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rPr>
          <w:rFonts w:ascii="Times New Roman"/>
          <w:sz w:val="20"/>
        </w:rPr>
      </w:pPr>
      <w:bookmarkStart w:id="1345" w:name="_GoBack"/>
      <w:bookmarkEnd w:id="1345"/>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8"/>
        <w:rPr>
          <w:rFonts w:ascii="Times New Roman"/>
          <w:sz w:val="15"/>
        </w:rPr>
      </w:pPr>
    </w:p>
    <w:p>
      <w:pPr>
        <w:spacing w:before="28" w:line="285" w:lineRule="auto"/>
        <w:ind w:left="1553" w:right="1588" w:firstLine="0"/>
        <w:jc w:val="center"/>
        <w:rPr>
          <w:rFonts w:hint="eastAsia" w:ascii="黑体" w:eastAsia="黑体"/>
          <w:sz w:val="52"/>
        </w:rPr>
      </w:pPr>
      <w:r>
        <w:rPr>
          <w:rFonts w:hint="eastAsia" w:ascii="黑体" w:eastAsia="黑体"/>
          <w:sz w:val="52"/>
        </w:rPr>
        <w:t>双鸭山大顺矿业有限公司改扩建项目</w:t>
      </w:r>
    </w:p>
    <w:p>
      <w:pPr>
        <w:pStyle w:val="6"/>
        <w:spacing w:before="7"/>
        <w:rPr>
          <w:rFonts w:ascii="黑体"/>
          <w:sz w:val="62"/>
        </w:rPr>
      </w:pPr>
    </w:p>
    <w:p>
      <w:pPr>
        <w:tabs>
          <w:tab w:val="left" w:pos="1079"/>
          <w:tab w:val="left" w:pos="2159"/>
          <w:tab w:val="left" w:pos="3239"/>
          <w:tab w:val="left" w:pos="4319"/>
          <w:tab w:val="left" w:pos="5399"/>
          <w:tab w:val="left" w:pos="6479"/>
        </w:tabs>
        <w:spacing w:before="0"/>
        <w:ind w:left="0" w:right="41" w:firstLine="0"/>
        <w:jc w:val="center"/>
        <w:rPr>
          <w:rFonts w:hint="eastAsia" w:ascii="黑体" w:eastAsia="黑体"/>
          <w:sz w:val="72"/>
        </w:rPr>
      </w:pPr>
      <w:r>
        <w:rPr>
          <w:rFonts w:hint="eastAsia" w:ascii="黑体" w:eastAsia="黑体"/>
          <w:sz w:val="72"/>
        </w:rPr>
        <w:t>环</w:t>
      </w:r>
      <w:r>
        <w:rPr>
          <w:rFonts w:hint="eastAsia" w:ascii="黑体" w:eastAsia="黑体"/>
          <w:sz w:val="72"/>
        </w:rPr>
        <w:tab/>
      </w:r>
      <w:r>
        <w:rPr>
          <w:rFonts w:hint="eastAsia" w:ascii="黑体" w:eastAsia="黑体"/>
          <w:sz w:val="72"/>
        </w:rPr>
        <w:t>境</w:t>
      </w:r>
      <w:r>
        <w:rPr>
          <w:rFonts w:hint="eastAsia" w:ascii="黑体" w:eastAsia="黑体"/>
          <w:sz w:val="72"/>
        </w:rPr>
        <w:tab/>
      </w:r>
      <w:r>
        <w:rPr>
          <w:rFonts w:hint="eastAsia" w:ascii="黑体" w:eastAsia="黑体"/>
          <w:sz w:val="72"/>
        </w:rPr>
        <w:t>影</w:t>
      </w:r>
      <w:r>
        <w:rPr>
          <w:rFonts w:hint="eastAsia" w:ascii="黑体" w:eastAsia="黑体"/>
          <w:sz w:val="72"/>
        </w:rPr>
        <w:tab/>
      </w:r>
      <w:r>
        <w:rPr>
          <w:rFonts w:hint="eastAsia" w:ascii="黑体" w:eastAsia="黑体"/>
          <w:sz w:val="72"/>
        </w:rPr>
        <w:t>响</w:t>
      </w:r>
      <w:r>
        <w:rPr>
          <w:rFonts w:hint="eastAsia" w:ascii="黑体" w:eastAsia="黑体"/>
          <w:sz w:val="72"/>
        </w:rPr>
        <w:tab/>
      </w:r>
      <w:r>
        <w:rPr>
          <w:rFonts w:hint="eastAsia" w:ascii="黑体" w:eastAsia="黑体"/>
          <w:sz w:val="72"/>
        </w:rPr>
        <w:t>报</w:t>
      </w:r>
      <w:r>
        <w:rPr>
          <w:rFonts w:hint="eastAsia" w:ascii="黑体" w:eastAsia="黑体"/>
          <w:sz w:val="72"/>
        </w:rPr>
        <w:tab/>
      </w:r>
      <w:r>
        <w:rPr>
          <w:rFonts w:hint="eastAsia" w:ascii="黑体" w:eastAsia="黑体"/>
          <w:sz w:val="72"/>
        </w:rPr>
        <w:t>告</w:t>
      </w:r>
      <w:r>
        <w:rPr>
          <w:rFonts w:hint="eastAsia" w:ascii="黑体" w:eastAsia="黑体"/>
          <w:sz w:val="72"/>
        </w:rPr>
        <w:tab/>
      </w:r>
      <w:r>
        <w:rPr>
          <w:rFonts w:hint="eastAsia" w:ascii="黑体" w:eastAsia="黑体"/>
          <w:sz w:val="72"/>
        </w:rPr>
        <w:t>书</w:t>
      </w:r>
    </w:p>
    <w:p>
      <w:pPr>
        <w:pStyle w:val="6"/>
        <w:rPr>
          <w:rFonts w:ascii="黑体"/>
          <w:sz w:val="72"/>
        </w:rPr>
      </w:pPr>
    </w:p>
    <w:p>
      <w:pPr>
        <w:pStyle w:val="6"/>
        <w:rPr>
          <w:rFonts w:ascii="黑体"/>
          <w:sz w:val="72"/>
        </w:rPr>
      </w:pPr>
    </w:p>
    <w:p>
      <w:pPr>
        <w:pStyle w:val="6"/>
        <w:rPr>
          <w:rFonts w:ascii="黑体"/>
          <w:sz w:val="72"/>
        </w:rPr>
      </w:pPr>
    </w:p>
    <w:p>
      <w:pPr>
        <w:pStyle w:val="6"/>
        <w:rPr>
          <w:rFonts w:ascii="黑体"/>
          <w:sz w:val="72"/>
        </w:rPr>
      </w:pPr>
    </w:p>
    <w:p>
      <w:pPr>
        <w:pStyle w:val="6"/>
        <w:rPr>
          <w:rFonts w:ascii="黑体"/>
          <w:sz w:val="72"/>
        </w:rPr>
      </w:pPr>
    </w:p>
    <w:p>
      <w:pPr>
        <w:pStyle w:val="6"/>
        <w:spacing w:before="8"/>
        <w:rPr>
          <w:rFonts w:ascii="黑体"/>
          <w:sz w:val="98"/>
        </w:rPr>
      </w:pPr>
    </w:p>
    <w:p>
      <w:pPr>
        <w:spacing w:before="1"/>
        <w:ind w:left="1940" w:right="0" w:firstLine="0"/>
        <w:jc w:val="left"/>
        <w:rPr>
          <w:rFonts w:hint="eastAsia" w:ascii="黑体" w:eastAsia="黑体"/>
          <w:sz w:val="30"/>
        </w:rPr>
      </w:pPr>
      <w:r>
        <w:rPr>
          <w:rFonts w:hint="eastAsia" w:ascii="黑体" w:eastAsia="黑体"/>
          <w:sz w:val="30"/>
        </w:rPr>
        <w:t>建设单位：双鸭山大顺矿业有限公司</w:t>
      </w:r>
    </w:p>
    <w:p>
      <w:pPr>
        <w:spacing w:before="124"/>
        <w:ind w:left="1940" w:right="0" w:firstLine="0"/>
        <w:jc w:val="left"/>
        <w:rPr>
          <w:rFonts w:hint="eastAsia" w:ascii="黑体" w:eastAsia="黑体"/>
          <w:sz w:val="30"/>
        </w:rPr>
      </w:pPr>
      <w:r>
        <w:rPr>
          <w:rFonts w:hint="eastAsia" w:ascii="黑体" w:eastAsia="黑体"/>
          <w:sz w:val="30"/>
        </w:rPr>
        <w:t>评价单位：黑龙江科大欣欣环保科技有限公司</w:t>
      </w:r>
    </w:p>
    <w:p>
      <w:pPr>
        <w:pStyle w:val="6"/>
        <w:rPr>
          <w:rFonts w:ascii="黑体"/>
          <w:sz w:val="30"/>
        </w:rPr>
      </w:pPr>
    </w:p>
    <w:p>
      <w:pPr>
        <w:spacing w:before="249"/>
        <w:ind w:left="1551" w:right="1588" w:firstLine="0"/>
        <w:jc w:val="center"/>
        <w:rPr>
          <w:rFonts w:hint="eastAsia" w:ascii="黑体" w:eastAsia="黑体"/>
          <w:sz w:val="30"/>
        </w:rPr>
      </w:pPr>
      <w:r>
        <w:rPr>
          <w:rFonts w:hint="eastAsia" w:ascii="黑体" w:eastAsia="黑体"/>
          <w:sz w:val="30"/>
        </w:rPr>
        <w:t>二零二零年十月</w:t>
      </w:r>
    </w:p>
    <w:p>
      <w:pPr>
        <w:spacing w:after="0"/>
        <w:jc w:val="center"/>
        <w:rPr>
          <w:rFonts w:hint="eastAsia" w:ascii="黑体" w:eastAsia="黑体"/>
          <w:sz w:val="30"/>
        </w:rPr>
        <w:sectPr>
          <w:type w:val="continuous"/>
          <w:pgSz w:w="11910" w:h="16840"/>
          <w:pgMar w:top="1580" w:right="720" w:bottom="280" w:left="760" w:header="720" w:footer="720" w:gutter="0"/>
        </w:sectPr>
      </w:pPr>
    </w:p>
    <w:p>
      <w:pPr>
        <w:pStyle w:val="3"/>
        <w:spacing w:before="45"/>
        <w:ind w:left="1551" w:right="1588" w:firstLine="0"/>
        <w:jc w:val="center"/>
      </w:pPr>
      <w:r>
        <w:t>目 录</w:t>
      </w:r>
    </w:p>
    <w:p>
      <w:pPr>
        <w:spacing w:after="0"/>
        <w:jc w:val="center"/>
        <w:sectPr>
          <w:footerReference r:id="rId3" w:type="default"/>
          <w:pgSz w:w="11910" w:h="16840"/>
          <w:pgMar w:top="1380" w:right="720" w:bottom="975" w:left="760" w:header="0" w:footer="975" w:gutter="0"/>
          <w:pgNumType w:start="1"/>
        </w:sectPr>
      </w:pPr>
    </w:p>
    <w:sdt>
      <w:sdtPr>
        <w:id w:val="0"/>
        <w:docPartObj>
          <w:docPartGallery w:val="Table of Contents"/>
          <w:docPartUnique/>
        </w:docPartObj>
      </w:sdtPr>
      <w:sdtContent>
        <w:p>
          <w:pPr>
            <w:pStyle w:val="8"/>
            <w:numPr>
              <w:ilvl w:val="0"/>
              <w:numId w:val="1"/>
            </w:numPr>
            <w:tabs>
              <w:tab w:val="left" w:pos="1253"/>
              <w:tab w:val="left" w:leader="dot" w:pos="8164"/>
            </w:tabs>
            <w:spacing w:before="41" w:after="0" w:line="240" w:lineRule="auto"/>
            <w:ind w:left="1252" w:right="38" w:hanging="1253"/>
            <w:jc w:val="left"/>
            <w:rPr>
              <w:rFonts w:ascii="Times New Roman" w:eastAsia="Times New Roman"/>
            </w:rPr>
          </w:pPr>
          <w:r>
            <w:fldChar w:fldCharType="begin"/>
          </w:r>
          <w:r>
            <w:instrText xml:space="preserve"> HYPERLINK \l "_bookmark1" </w:instrText>
          </w:r>
          <w:r>
            <w:fldChar w:fldCharType="separate"/>
          </w:r>
          <w:r>
            <w:t>前言</w:t>
          </w:r>
          <w:r>
            <w:tab/>
          </w:r>
          <w:r>
            <w:rPr>
              <w:rFonts w:ascii="Times New Roman" w:eastAsia="Times New Roman"/>
            </w:rPr>
            <w:t>1</w:t>
          </w:r>
          <w:r>
            <w:rPr>
              <w:rFonts w:ascii="Times New Roman" w:eastAsia="Times New Roman"/>
            </w:rPr>
            <w:fldChar w:fldCharType="end"/>
          </w:r>
        </w:p>
        <w:p>
          <w:pPr>
            <w:pStyle w:val="7"/>
            <w:numPr>
              <w:ilvl w:val="1"/>
              <w:numId w:val="1"/>
            </w:numPr>
            <w:tabs>
              <w:tab w:val="left" w:pos="1775"/>
              <w:tab w:val="left" w:leader="dot" w:pos="9240"/>
            </w:tabs>
            <w:spacing w:before="2" w:after="0" w:line="240" w:lineRule="auto"/>
            <w:ind w:left="1774" w:right="0" w:hanging="315"/>
            <w:jc w:val="left"/>
            <w:rPr>
              <w:rFonts w:ascii="Times New Roman" w:eastAsia="Times New Roman"/>
            </w:rPr>
          </w:pPr>
          <w:r>
            <w:fldChar w:fldCharType="begin"/>
          </w:r>
          <w:r>
            <w:instrText xml:space="preserve"> HYPERLINK \l "_bookmark0" </w:instrText>
          </w:r>
          <w:r>
            <w:fldChar w:fldCharType="separate"/>
          </w:r>
          <w:r>
            <w:t>项目由来</w:t>
          </w:r>
          <w:r>
            <w:tab/>
          </w:r>
          <w:r>
            <w:rPr>
              <w:rFonts w:ascii="Times New Roman" w:eastAsia="Times New Roman"/>
            </w:rPr>
            <w:t>1</w:t>
          </w:r>
          <w:r>
            <w:rPr>
              <w:rFonts w:ascii="Times New Roman" w:eastAsia="Times New Roman"/>
            </w:rPr>
            <w:fldChar w:fldCharType="end"/>
          </w:r>
        </w:p>
        <w:p>
          <w:pPr>
            <w:pStyle w:val="7"/>
            <w:numPr>
              <w:ilvl w:val="1"/>
              <w:numId w:val="1"/>
            </w:numPr>
            <w:tabs>
              <w:tab w:val="left" w:pos="1775"/>
              <w:tab w:val="left" w:leader="dot" w:pos="9240"/>
            </w:tabs>
            <w:spacing w:before="5" w:after="0" w:line="240" w:lineRule="auto"/>
            <w:ind w:left="1774" w:right="0" w:hanging="315"/>
            <w:jc w:val="left"/>
            <w:rPr>
              <w:rFonts w:ascii="Times New Roman" w:eastAsia="Times New Roman"/>
            </w:rPr>
          </w:pPr>
          <w:r>
            <w:fldChar w:fldCharType="begin"/>
          </w:r>
          <w:r>
            <w:instrText xml:space="preserve"> HYPERLINK \l "_bookmark2" </w:instrText>
          </w:r>
          <w:r>
            <w:fldChar w:fldCharType="separate"/>
          </w:r>
          <w:r>
            <w:t>建设项目特点</w:t>
          </w:r>
          <w:r>
            <w:tab/>
          </w:r>
          <w:r>
            <w:rPr>
              <w:rFonts w:ascii="Times New Roman" w:eastAsia="Times New Roman"/>
            </w:rPr>
            <w:t>2</w:t>
          </w:r>
          <w:r>
            <w:rPr>
              <w:rFonts w:ascii="Times New Roman" w:eastAsia="Times New Roman"/>
            </w:rPr>
            <w:fldChar w:fldCharType="end"/>
          </w:r>
        </w:p>
        <w:p>
          <w:pPr>
            <w:pStyle w:val="7"/>
            <w:numPr>
              <w:ilvl w:val="1"/>
              <w:numId w:val="1"/>
            </w:numPr>
            <w:tabs>
              <w:tab w:val="left" w:pos="1775"/>
              <w:tab w:val="left" w:leader="dot" w:pos="9240"/>
            </w:tabs>
            <w:spacing w:before="2" w:after="0" w:line="240" w:lineRule="auto"/>
            <w:ind w:left="1774" w:right="0" w:hanging="315"/>
            <w:jc w:val="left"/>
            <w:rPr>
              <w:rFonts w:ascii="Times New Roman" w:eastAsia="Times New Roman"/>
            </w:rPr>
          </w:pPr>
          <w:r>
            <w:fldChar w:fldCharType="begin"/>
          </w:r>
          <w:r>
            <w:instrText xml:space="preserve"> HYPERLINK \l "_bookmark3" </w:instrText>
          </w:r>
          <w:r>
            <w:fldChar w:fldCharType="separate"/>
          </w:r>
          <w:r>
            <w:t>环境影响评价工作过程</w:t>
          </w:r>
          <w:r>
            <w:tab/>
          </w:r>
          <w:r>
            <w:rPr>
              <w:rFonts w:ascii="Times New Roman" w:eastAsia="Times New Roman"/>
            </w:rPr>
            <w:t>2</w:t>
          </w:r>
          <w:r>
            <w:rPr>
              <w:rFonts w:ascii="Times New Roman" w:eastAsia="Times New Roman"/>
            </w:rPr>
            <w:fldChar w:fldCharType="end"/>
          </w:r>
        </w:p>
        <w:p>
          <w:pPr>
            <w:pStyle w:val="7"/>
            <w:numPr>
              <w:ilvl w:val="1"/>
              <w:numId w:val="1"/>
            </w:numPr>
            <w:tabs>
              <w:tab w:val="left" w:pos="1775"/>
              <w:tab w:val="left" w:leader="dot" w:pos="9240"/>
            </w:tabs>
            <w:spacing w:before="4" w:after="0" w:line="240" w:lineRule="auto"/>
            <w:ind w:left="1774" w:right="0" w:hanging="315"/>
            <w:jc w:val="left"/>
            <w:rPr>
              <w:rFonts w:ascii="Times New Roman" w:eastAsia="Times New Roman"/>
            </w:rPr>
          </w:pPr>
          <w:r>
            <w:fldChar w:fldCharType="begin"/>
          </w:r>
          <w:r>
            <w:instrText xml:space="preserve"> HYPERLINK \l "_bookmark4" </w:instrText>
          </w:r>
          <w:r>
            <w:fldChar w:fldCharType="separate"/>
          </w:r>
          <w:r>
            <w:t>关注的主要环境问题与环境影响</w:t>
          </w:r>
          <w:r>
            <w:tab/>
          </w:r>
          <w:r>
            <w:rPr>
              <w:rFonts w:ascii="Times New Roman" w:eastAsia="Times New Roman"/>
            </w:rPr>
            <w:t>4</w:t>
          </w:r>
          <w:r>
            <w:rPr>
              <w:rFonts w:ascii="Times New Roman" w:eastAsia="Times New Roman"/>
            </w:rPr>
            <w:fldChar w:fldCharType="end"/>
          </w:r>
        </w:p>
        <w:p>
          <w:pPr>
            <w:pStyle w:val="7"/>
            <w:numPr>
              <w:ilvl w:val="1"/>
              <w:numId w:val="1"/>
            </w:numPr>
            <w:tabs>
              <w:tab w:val="left" w:pos="1775"/>
              <w:tab w:val="left" w:leader="dot" w:pos="9240"/>
            </w:tabs>
            <w:spacing w:before="2" w:after="0" w:line="240" w:lineRule="auto"/>
            <w:ind w:left="1774" w:right="0" w:hanging="315"/>
            <w:jc w:val="left"/>
            <w:rPr>
              <w:rFonts w:ascii="Times New Roman" w:eastAsia="Times New Roman"/>
            </w:rPr>
          </w:pPr>
          <w:r>
            <w:fldChar w:fldCharType="begin"/>
          </w:r>
          <w:r>
            <w:instrText xml:space="preserve"> HYPERLINK \l "_bookmark5" </w:instrText>
          </w:r>
          <w:r>
            <w:fldChar w:fldCharType="separate"/>
          </w:r>
          <w:r>
            <w:t>环境影响评价主要结论</w:t>
          </w:r>
          <w:r>
            <w:tab/>
          </w:r>
          <w:r>
            <w:rPr>
              <w:rFonts w:ascii="Times New Roman" w:eastAsia="Times New Roman"/>
            </w:rPr>
            <w:t>4</w:t>
          </w:r>
          <w:r>
            <w:rPr>
              <w:rFonts w:ascii="Times New Roman" w:eastAsia="Times New Roman"/>
            </w:rPr>
            <w:fldChar w:fldCharType="end"/>
          </w:r>
        </w:p>
        <w:p>
          <w:pPr>
            <w:pStyle w:val="8"/>
            <w:numPr>
              <w:ilvl w:val="0"/>
              <w:numId w:val="1"/>
            </w:numPr>
            <w:tabs>
              <w:tab w:val="left" w:pos="1251"/>
              <w:tab w:val="left" w:leader="dot" w:pos="8164"/>
            </w:tabs>
            <w:spacing w:before="43" w:after="0" w:line="240" w:lineRule="auto"/>
            <w:ind w:left="1250" w:right="38" w:hanging="1251"/>
            <w:jc w:val="left"/>
            <w:rPr>
              <w:rFonts w:ascii="Times New Roman" w:eastAsia="Times New Roman"/>
            </w:rPr>
          </w:pPr>
          <w:r>
            <w:fldChar w:fldCharType="begin"/>
          </w:r>
          <w:r>
            <w:instrText xml:space="preserve"> HYPERLINK \l "_bookmark6" </w:instrText>
          </w:r>
          <w:r>
            <w:fldChar w:fldCharType="separate"/>
          </w:r>
          <w:r>
            <w:t>总则</w:t>
          </w:r>
          <w:r>
            <w:tab/>
          </w:r>
          <w:r>
            <w:rPr>
              <w:rFonts w:ascii="Times New Roman" w:eastAsia="Times New Roman"/>
            </w:rPr>
            <w:t>6</w:t>
          </w:r>
          <w:r>
            <w:rPr>
              <w:rFonts w:ascii="Times New Roman" w:eastAsia="Times New Roman"/>
            </w:rPr>
            <w:fldChar w:fldCharType="end"/>
          </w:r>
        </w:p>
        <w:p>
          <w:pPr>
            <w:pStyle w:val="7"/>
            <w:numPr>
              <w:ilvl w:val="1"/>
              <w:numId w:val="1"/>
            </w:numPr>
            <w:tabs>
              <w:tab w:val="left" w:pos="1775"/>
              <w:tab w:val="left" w:leader="dot" w:pos="9240"/>
            </w:tabs>
            <w:spacing w:before="2" w:after="0" w:line="240" w:lineRule="auto"/>
            <w:ind w:left="1774" w:right="0" w:hanging="315"/>
            <w:jc w:val="left"/>
            <w:rPr>
              <w:rFonts w:ascii="Times New Roman" w:eastAsia="Times New Roman"/>
            </w:rPr>
          </w:pPr>
          <w:r>
            <w:fldChar w:fldCharType="begin"/>
          </w:r>
          <w:r>
            <w:instrText xml:space="preserve"> HYPERLINK \l "_bookmark7" </w:instrText>
          </w:r>
          <w:r>
            <w:fldChar w:fldCharType="separate"/>
          </w:r>
          <w:r>
            <w:t>评价目的及指导思想</w:t>
          </w:r>
          <w:r>
            <w:tab/>
          </w:r>
          <w:r>
            <w:rPr>
              <w:rFonts w:ascii="Times New Roman" w:eastAsia="Times New Roman"/>
            </w:rPr>
            <w:t>6</w:t>
          </w:r>
          <w:r>
            <w:rPr>
              <w:rFonts w:ascii="Times New Roman" w:eastAsia="Times New Roman"/>
            </w:rPr>
            <w:fldChar w:fldCharType="end"/>
          </w:r>
        </w:p>
        <w:p>
          <w:pPr>
            <w:pStyle w:val="7"/>
            <w:numPr>
              <w:ilvl w:val="1"/>
              <w:numId w:val="1"/>
            </w:numPr>
            <w:tabs>
              <w:tab w:val="left" w:pos="1775"/>
              <w:tab w:val="left" w:leader="dot" w:pos="9240"/>
            </w:tabs>
            <w:spacing w:before="4" w:after="0" w:line="240" w:lineRule="auto"/>
            <w:ind w:left="1774" w:right="0" w:hanging="315"/>
            <w:jc w:val="left"/>
            <w:rPr>
              <w:rFonts w:ascii="Times New Roman" w:eastAsia="Times New Roman"/>
            </w:rPr>
          </w:pPr>
          <w:r>
            <w:fldChar w:fldCharType="begin"/>
          </w:r>
          <w:r>
            <w:instrText xml:space="preserve"> HYPERLINK \l "_bookmark8" </w:instrText>
          </w:r>
          <w:r>
            <w:fldChar w:fldCharType="separate"/>
          </w:r>
          <w:r>
            <w:t>编制依据</w:t>
          </w:r>
          <w:r>
            <w:tab/>
          </w:r>
          <w:r>
            <w:rPr>
              <w:rFonts w:ascii="Times New Roman" w:eastAsia="Times New Roman"/>
            </w:rPr>
            <w:t>7</w:t>
          </w:r>
          <w:r>
            <w:rPr>
              <w:rFonts w:ascii="Times New Roman" w:eastAsia="Times New Roman"/>
            </w:rPr>
            <w:fldChar w:fldCharType="end"/>
          </w:r>
        </w:p>
        <w:p>
          <w:pPr>
            <w:pStyle w:val="7"/>
            <w:numPr>
              <w:ilvl w:val="1"/>
              <w:numId w:val="1"/>
            </w:numPr>
            <w:tabs>
              <w:tab w:val="left" w:pos="1775"/>
              <w:tab w:val="left" w:leader="dot" w:pos="9240"/>
            </w:tabs>
            <w:spacing w:before="2" w:after="0" w:line="240" w:lineRule="auto"/>
            <w:ind w:left="1774" w:right="0" w:hanging="315"/>
            <w:jc w:val="left"/>
            <w:rPr>
              <w:rFonts w:ascii="Times New Roman" w:eastAsia="Times New Roman"/>
            </w:rPr>
          </w:pPr>
          <w:r>
            <w:fldChar w:fldCharType="begin"/>
          </w:r>
          <w:r>
            <w:instrText xml:space="preserve"> HYPERLINK \l "_bookmark9" </w:instrText>
          </w:r>
          <w:r>
            <w:fldChar w:fldCharType="separate"/>
          </w:r>
          <w:r>
            <w:t>评价标准</w:t>
          </w:r>
          <w:r>
            <w:tab/>
          </w:r>
          <w:r>
            <w:rPr>
              <w:rFonts w:ascii="Times New Roman" w:eastAsia="Times New Roman"/>
            </w:rPr>
            <w:t>9</w:t>
          </w:r>
          <w:r>
            <w:rPr>
              <w:rFonts w:ascii="Times New Roman" w:eastAsia="Times New Roman"/>
            </w:rPr>
            <w:fldChar w:fldCharType="end"/>
          </w:r>
        </w:p>
        <w:p>
          <w:pPr>
            <w:pStyle w:val="7"/>
            <w:numPr>
              <w:ilvl w:val="1"/>
              <w:numId w:val="1"/>
            </w:numPr>
            <w:tabs>
              <w:tab w:val="left" w:pos="1775"/>
              <w:tab w:val="left" w:leader="dot" w:pos="9135"/>
            </w:tabs>
            <w:spacing w:before="2" w:after="0" w:line="240" w:lineRule="auto"/>
            <w:ind w:left="1774" w:right="0" w:hanging="315"/>
            <w:jc w:val="left"/>
            <w:rPr>
              <w:rFonts w:ascii="Times New Roman" w:eastAsia="Times New Roman"/>
            </w:rPr>
          </w:pPr>
          <w:r>
            <w:fldChar w:fldCharType="begin"/>
          </w:r>
          <w:r>
            <w:instrText xml:space="preserve"> HYPERLINK \l "_bookmark10" </w:instrText>
          </w:r>
          <w:r>
            <w:fldChar w:fldCharType="separate"/>
          </w:r>
          <w:r>
            <w:t>评价工作等级</w:t>
          </w:r>
          <w:r>
            <w:tab/>
          </w:r>
          <w:r>
            <w:rPr>
              <w:rFonts w:ascii="Times New Roman" w:eastAsia="Times New Roman"/>
            </w:rPr>
            <w:t>14</w:t>
          </w:r>
          <w:r>
            <w:rPr>
              <w:rFonts w:ascii="Times New Roman" w:eastAsia="Times New Roman"/>
            </w:rPr>
            <w:fldChar w:fldCharType="end"/>
          </w:r>
        </w:p>
        <w:p>
          <w:pPr>
            <w:pStyle w:val="7"/>
            <w:numPr>
              <w:ilvl w:val="1"/>
              <w:numId w:val="1"/>
            </w:numPr>
            <w:tabs>
              <w:tab w:val="left" w:pos="1775"/>
              <w:tab w:val="left" w:leader="dot" w:pos="9135"/>
            </w:tabs>
            <w:spacing w:before="5" w:after="0" w:line="240" w:lineRule="auto"/>
            <w:ind w:left="1774" w:right="0" w:hanging="315"/>
            <w:jc w:val="left"/>
            <w:rPr>
              <w:rFonts w:ascii="Times New Roman" w:eastAsia="Times New Roman"/>
            </w:rPr>
          </w:pPr>
          <w:r>
            <w:fldChar w:fldCharType="begin"/>
          </w:r>
          <w:r>
            <w:instrText xml:space="preserve"> HYPERLINK \l "_bookmark11" </w:instrText>
          </w:r>
          <w:r>
            <w:fldChar w:fldCharType="separate"/>
          </w:r>
          <w:r>
            <w:t>环境风险</w:t>
          </w:r>
          <w:r>
            <w:tab/>
          </w:r>
          <w:r>
            <w:rPr>
              <w:rFonts w:ascii="Times New Roman" w:eastAsia="Times New Roman"/>
            </w:rPr>
            <w:t>20</w:t>
          </w:r>
          <w:r>
            <w:rPr>
              <w:rFonts w:ascii="Times New Roman" w:eastAsia="Times New Roman"/>
            </w:rPr>
            <w:fldChar w:fldCharType="end"/>
          </w:r>
        </w:p>
        <w:p>
          <w:pPr>
            <w:pStyle w:val="7"/>
            <w:numPr>
              <w:ilvl w:val="1"/>
              <w:numId w:val="1"/>
            </w:numPr>
            <w:tabs>
              <w:tab w:val="left" w:pos="1775"/>
              <w:tab w:val="left" w:leader="dot" w:pos="9135"/>
            </w:tabs>
            <w:spacing w:before="2" w:after="0" w:line="240" w:lineRule="auto"/>
            <w:ind w:left="1774" w:right="0" w:hanging="315"/>
            <w:jc w:val="left"/>
            <w:rPr>
              <w:rFonts w:ascii="Times New Roman" w:eastAsia="Times New Roman"/>
            </w:rPr>
          </w:pPr>
          <w:r>
            <w:fldChar w:fldCharType="begin"/>
          </w:r>
          <w:r>
            <w:instrText xml:space="preserve"> HYPERLINK \l "_bookmark12" </w:instrText>
          </w:r>
          <w:r>
            <w:fldChar w:fldCharType="separate"/>
          </w:r>
          <w:r>
            <w:t>评价范围</w:t>
          </w:r>
          <w:r>
            <w:tab/>
          </w:r>
          <w:r>
            <w:rPr>
              <w:rFonts w:ascii="Times New Roman" w:eastAsia="Times New Roman"/>
            </w:rPr>
            <w:t>21</w:t>
          </w:r>
          <w:r>
            <w:rPr>
              <w:rFonts w:ascii="Times New Roman" w:eastAsia="Times New Roman"/>
            </w:rPr>
            <w:fldChar w:fldCharType="end"/>
          </w:r>
        </w:p>
        <w:p>
          <w:pPr>
            <w:pStyle w:val="7"/>
            <w:numPr>
              <w:ilvl w:val="1"/>
              <w:numId w:val="1"/>
            </w:numPr>
            <w:tabs>
              <w:tab w:val="left" w:pos="1775"/>
              <w:tab w:val="left" w:leader="dot" w:pos="9135"/>
            </w:tabs>
            <w:spacing w:before="5" w:after="0" w:line="240" w:lineRule="auto"/>
            <w:ind w:left="1774" w:right="0" w:hanging="315"/>
            <w:jc w:val="left"/>
            <w:rPr>
              <w:rFonts w:ascii="Times New Roman" w:eastAsia="Times New Roman"/>
            </w:rPr>
          </w:pPr>
          <w:r>
            <w:fldChar w:fldCharType="begin"/>
          </w:r>
          <w:r>
            <w:instrText xml:space="preserve"> HYPERLINK \l "_bookmark13" </w:instrText>
          </w:r>
          <w:r>
            <w:fldChar w:fldCharType="separate"/>
          </w:r>
          <w:r>
            <w:t>控制污染与环境保护目标</w:t>
          </w:r>
          <w:r>
            <w:tab/>
          </w:r>
          <w:r>
            <w:rPr>
              <w:rFonts w:ascii="Times New Roman" w:eastAsia="Times New Roman"/>
            </w:rPr>
            <w:t>21</w:t>
          </w:r>
          <w:r>
            <w:rPr>
              <w:rFonts w:ascii="Times New Roman" w:eastAsia="Times New Roman"/>
            </w:rPr>
            <w:fldChar w:fldCharType="end"/>
          </w:r>
        </w:p>
        <w:p>
          <w:pPr>
            <w:pStyle w:val="8"/>
            <w:numPr>
              <w:ilvl w:val="0"/>
              <w:numId w:val="1"/>
            </w:numPr>
            <w:tabs>
              <w:tab w:val="left" w:pos="1462"/>
              <w:tab w:val="left" w:leader="dot" w:pos="8025"/>
            </w:tabs>
            <w:spacing w:before="42" w:after="0" w:line="240" w:lineRule="auto"/>
            <w:ind w:left="1461" w:right="36" w:hanging="1462"/>
            <w:jc w:val="left"/>
            <w:rPr>
              <w:rFonts w:ascii="Times New Roman" w:eastAsia="Times New Roman"/>
            </w:rPr>
          </w:pPr>
          <w:r>
            <w:fldChar w:fldCharType="begin"/>
          </w:r>
          <w:r>
            <w:instrText xml:space="preserve"> HYPERLINK \l "_bookmark14" </w:instrText>
          </w:r>
          <w:r>
            <w:fldChar w:fldCharType="separate"/>
          </w:r>
          <w:r>
            <w:rPr>
              <w:spacing w:val="-3"/>
            </w:rPr>
            <w:t>项</w:t>
          </w:r>
          <w:r>
            <w:t>目概</w:t>
          </w:r>
          <w:r>
            <w:rPr>
              <w:spacing w:val="-3"/>
            </w:rPr>
            <w:t>况</w:t>
          </w:r>
          <w:r>
            <w:t>与工</w:t>
          </w:r>
          <w:r>
            <w:rPr>
              <w:spacing w:val="-3"/>
            </w:rPr>
            <w:t>程</w:t>
          </w:r>
          <w:r>
            <w:t>分析</w:t>
          </w:r>
          <w:r>
            <w:tab/>
          </w:r>
          <w:r>
            <w:rPr>
              <w:rFonts w:ascii="Times New Roman" w:eastAsia="Times New Roman"/>
            </w:rPr>
            <w:t>23</w:t>
          </w:r>
          <w:r>
            <w:rPr>
              <w:rFonts w:ascii="Times New Roman" w:eastAsia="Times New Roman"/>
            </w:rPr>
            <w:fldChar w:fldCharType="end"/>
          </w:r>
        </w:p>
        <w:p>
          <w:pPr>
            <w:pStyle w:val="7"/>
            <w:numPr>
              <w:ilvl w:val="1"/>
              <w:numId w:val="1"/>
            </w:numPr>
            <w:tabs>
              <w:tab w:val="left" w:pos="1775"/>
              <w:tab w:val="left" w:leader="dot" w:pos="9135"/>
            </w:tabs>
            <w:spacing w:before="2" w:after="0" w:line="240" w:lineRule="auto"/>
            <w:ind w:left="1774" w:right="0" w:hanging="315"/>
            <w:jc w:val="left"/>
            <w:rPr>
              <w:rFonts w:ascii="Times New Roman" w:eastAsia="Times New Roman"/>
            </w:rPr>
          </w:pPr>
          <w:r>
            <w:fldChar w:fldCharType="begin"/>
          </w:r>
          <w:r>
            <w:instrText xml:space="preserve"> HYPERLINK \l "_bookmark15" </w:instrText>
          </w:r>
          <w:r>
            <w:fldChar w:fldCharType="separate"/>
          </w:r>
          <w:r>
            <w:t>原有工程概况</w:t>
          </w:r>
          <w:r>
            <w:tab/>
          </w:r>
          <w:r>
            <w:rPr>
              <w:rFonts w:ascii="Times New Roman" w:eastAsia="Times New Roman"/>
            </w:rPr>
            <w:t>23</w:t>
          </w:r>
          <w:r>
            <w:rPr>
              <w:rFonts w:ascii="Times New Roman" w:eastAsia="Times New Roman"/>
            </w:rPr>
            <w:fldChar w:fldCharType="end"/>
          </w:r>
        </w:p>
        <w:p>
          <w:pPr>
            <w:pStyle w:val="7"/>
            <w:numPr>
              <w:ilvl w:val="1"/>
              <w:numId w:val="1"/>
            </w:numPr>
            <w:tabs>
              <w:tab w:val="left" w:pos="1775"/>
              <w:tab w:val="left" w:leader="dot" w:pos="9135"/>
            </w:tabs>
            <w:spacing w:before="4" w:after="0" w:line="240" w:lineRule="auto"/>
            <w:ind w:left="1774" w:right="0" w:hanging="315"/>
            <w:jc w:val="left"/>
            <w:rPr>
              <w:rFonts w:ascii="Times New Roman" w:eastAsia="Times New Roman"/>
            </w:rPr>
          </w:pPr>
          <w:r>
            <w:fldChar w:fldCharType="begin"/>
          </w:r>
          <w:r>
            <w:instrText xml:space="preserve"> HYPERLINK \l "_bookmark16" </w:instrText>
          </w:r>
          <w:r>
            <w:fldChar w:fldCharType="separate"/>
          </w:r>
          <w:r>
            <w:t>改扩建生产项目概况</w:t>
          </w:r>
          <w:r>
            <w:tab/>
          </w:r>
          <w:r>
            <w:rPr>
              <w:rFonts w:ascii="Times New Roman" w:eastAsia="Times New Roman"/>
            </w:rPr>
            <w:t>25</w:t>
          </w:r>
          <w:r>
            <w:rPr>
              <w:rFonts w:ascii="Times New Roman" w:eastAsia="Times New Roman"/>
            </w:rPr>
            <w:fldChar w:fldCharType="end"/>
          </w:r>
        </w:p>
        <w:p>
          <w:pPr>
            <w:pStyle w:val="7"/>
            <w:numPr>
              <w:ilvl w:val="1"/>
              <w:numId w:val="1"/>
            </w:numPr>
            <w:tabs>
              <w:tab w:val="left" w:pos="1775"/>
              <w:tab w:val="left" w:leader="dot" w:pos="9135"/>
            </w:tabs>
            <w:spacing w:before="2" w:after="0" w:line="240" w:lineRule="auto"/>
            <w:ind w:left="1774" w:right="0" w:hanging="315"/>
            <w:jc w:val="left"/>
            <w:rPr>
              <w:rFonts w:ascii="Times New Roman" w:eastAsia="Times New Roman"/>
            </w:rPr>
          </w:pPr>
          <w:r>
            <w:fldChar w:fldCharType="begin"/>
          </w:r>
          <w:r>
            <w:instrText xml:space="preserve"> HYPERLINK \l "_bookmark17" </w:instrText>
          </w:r>
          <w:r>
            <w:fldChar w:fldCharType="separate"/>
          </w:r>
          <w:r>
            <w:t>工程分析</w:t>
          </w:r>
          <w:r>
            <w:tab/>
          </w:r>
          <w:r>
            <w:rPr>
              <w:rFonts w:ascii="Times New Roman" w:eastAsia="Times New Roman"/>
            </w:rPr>
            <w:t>33</w:t>
          </w:r>
          <w:r>
            <w:rPr>
              <w:rFonts w:ascii="Times New Roman" w:eastAsia="Times New Roman"/>
            </w:rPr>
            <w:fldChar w:fldCharType="end"/>
          </w:r>
        </w:p>
        <w:p>
          <w:pPr>
            <w:pStyle w:val="7"/>
            <w:numPr>
              <w:ilvl w:val="1"/>
              <w:numId w:val="1"/>
            </w:numPr>
            <w:tabs>
              <w:tab w:val="left" w:pos="1775"/>
              <w:tab w:val="left" w:leader="dot" w:pos="9135"/>
            </w:tabs>
            <w:spacing w:before="5" w:after="0" w:line="240" w:lineRule="auto"/>
            <w:ind w:left="1774" w:right="0" w:hanging="315"/>
            <w:jc w:val="left"/>
            <w:rPr>
              <w:rFonts w:ascii="Times New Roman" w:eastAsia="Times New Roman"/>
            </w:rPr>
          </w:pPr>
          <w:r>
            <w:fldChar w:fldCharType="begin"/>
          </w:r>
          <w:r>
            <w:instrText xml:space="preserve"> HYPERLINK \l "_bookmark18" </w:instrText>
          </w:r>
          <w:r>
            <w:fldChar w:fldCharType="separate"/>
          </w:r>
          <w:r>
            <w:t>污染源及环境影响因素分析</w:t>
          </w:r>
          <w:r>
            <w:tab/>
          </w:r>
          <w:r>
            <w:rPr>
              <w:rFonts w:ascii="Times New Roman" w:eastAsia="Times New Roman"/>
            </w:rPr>
            <w:t>51</w:t>
          </w:r>
          <w:r>
            <w:rPr>
              <w:rFonts w:ascii="Times New Roman" w:eastAsia="Times New Roman"/>
            </w:rPr>
            <w:fldChar w:fldCharType="end"/>
          </w:r>
        </w:p>
        <w:p>
          <w:pPr>
            <w:pStyle w:val="7"/>
            <w:numPr>
              <w:ilvl w:val="1"/>
              <w:numId w:val="1"/>
            </w:numPr>
            <w:tabs>
              <w:tab w:val="left" w:pos="1775"/>
              <w:tab w:val="left" w:leader="dot" w:pos="9135"/>
            </w:tabs>
            <w:spacing w:before="2" w:after="0" w:line="240" w:lineRule="auto"/>
            <w:ind w:left="1774" w:right="0" w:hanging="315"/>
            <w:jc w:val="left"/>
            <w:rPr>
              <w:rFonts w:ascii="Times New Roman" w:hAnsi="Times New Roman" w:eastAsia="Times New Roman"/>
            </w:rPr>
          </w:pPr>
          <w:r>
            <w:fldChar w:fldCharType="begin"/>
          </w:r>
          <w:r>
            <w:instrText xml:space="preserve"> HYPERLINK \l "_bookmark19" </w:instrText>
          </w:r>
          <w:r>
            <w:fldChar w:fldCharType="separate"/>
          </w:r>
          <w:r>
            <w:t>本工程</w:t>
          </w:r>
          <w:r>
            <w:rPr>
              <w:rFonts w:ascii="Times New Roman" w:hAnsi="Times New Roman" w:eastAsia="Times New Roman"/>
            </w:rPr>
            <w:t>“</w:t>
          </w:r>
          <w:r>
            <w:t>以新带老</w:t>
          </w:r>
          <w:r>
            <w:rPr>
              <w:rFonts w:ascii="Times New Roman" w:hAnsi="Times New Roman" w:eastAsia="Times New Roman"/>
            </w:rPr>
            <w:t>”</w:t>
          </w:r>
          <w:r>
            <w:t>环境保护措施</w:t>
          </w:r>
          <w:r>
            <w:tab/>
          </w:r>
          <w:r>
            <w:rPr>
              <w:rFonts w:ascii="Times New Roman" w:hAnsi="Times New Roman" w:eastAsia="Times New Roman"/>
            </w:rPr>
            <w:t>64</w:t>
          </w:r>
          <w:r>
            <w:rPr>
              <w:rFonts w:ascii="Times New Roman" w:hAnsi="Times New Roman" w:eastAsia="Times New Roman"/>
            </w:rPr>
            <w:fldChar w:fldCharType="end"/>
          </w:r>
        </w:p>
        <w:p>
          <w:pPr>
            <w:pStyle w:val="8"/>
            <w:numPr>
              <w:ilvl w:val="0"/>
              <w:numId w:val="1"/>
            </w:numPr>
            <w:tabs>
              <w:tab w:val="left" w:pos="1251"/>
              <w:tab w:val="left" w:leader="dot" w:pos="8025"/>
            </w:tabs>
            <w:spacing w:before="43" w:after="0" w:line="240" w:lineRule="auto"/>
            <w:ind w:left="1250" w:right="36" w:hanging="1251"/>
            <w:jc w:val="left"/>
            <w:rPr>
              <w:rFonts w:ascii="Times New Roman" w:eastAsia="Times New Roman"/>
            </w:rPr>
          </w:pPr>
          <w:r>
            <w:fldChar w:fldCharType="begin"/>
          </w:r>
          <w:r>
            <w:instrText xml:space="preserve"> HYPERLINK \l "_bookmark20" </w:instrText>
          </w:r>
          <w:r>
            <w:fldChar w:fldCharType="separate"/>
          </w:r>
          <w:r>
            <w:t>项</w:t>
          </w:r>
          <w:r>
            <w:rPr>
              <w:spacing w:val="-3"/>
            </w:rPr>
            <w:t>目</w:t>
          </w:r>
          <w:r>
            <w:t>所在</w:t>
          </w:r>
          <w:r>
            <w:rPr>
              <w:spacing w:val="-3"/>
            </w:rPr>
            <w:t>区</w:t>
          </w:r>
          <w:r>
            <w:t>域环</w:t>
          </w:r>
          <w:r>
            <w:rPr>
              <w:spacing w:val="-3"/>
            </w:rPr>
            <w:t>境</w:t>
          </w:r>
          <w:r>
            <w:t>概况</w:t>
          </w:r>
          <w:r>
            <w:tab/>
          </w:r>
          <w:r>
            <w:rPr>
              <w:rFonts w:ascii="Times New Roman" w:eastAsia="Times New Roman"/>
            </w:rPr>
            <w:t>67</w:t>
          </w:r>
          <w:r>
            <w:rPr>
              <w:rFonts w:ascii="Times New Roman" w:eastAsia="Times New Roman"/>
            </w:rPr>
            <w:fldChar w:fldCharType="end"/>
          </w:r>
        </w:p>
        <w:p>
          <w:pPr>
            <w:pStyle w:val="7"/>
            <w:numPr>
              <w:ilvl w:val="1"/>
              <w:numId w:val="1"/>
            </w:numPr>
            <w:tabs>
              <w:tab w:val="left" w:pos="1775"/>
              <w:tab w:val="left" w:leader="dot" w:pos="9135"/>
            </w:tabs>
            <w:spacing w:before="1" w:after="0" w:line="240" w:lineRule="auto"/>
            <w:ind w:left="1774" w:right="0" w:hanging="315"/>
            <w:jc w:val="left"/>
            <w:rPr>
              <w:rFonts w:ascii="Times New Roman" w:eastAsia="Times New Roman"/>
            </w:rPr>
          </w:pPr>
          <w:r>
            <w:fldChar w:fldCharType="begin"/>
          </w:r>
          <w:r>
            <w:instrText xml:space="preserve"> HYPERLINK \l "_bookmark21" </w:instrText>
          </w:r>
          <w:r>
            <w:fldChar w:fldCharType="separate"/>
          </w:r>
          <w:r>
            <w:t>自然环境概况</w:t>
          </w:r>
          <w:r>
            <w:tab/>
          </w:r>
          <w:r>
            <w:rPr>
              <w:rFonts w:ascii="Times New Roman" w:eastAsia="Times New Roman"/>
            </w:rPr>
            <w:t>67</w:t>
          </w:r>
          <w:r>
            <w:rPr>
              <w:rFonts w:ascii="Times New Roman" w:eastAsia="Times New Roman"/>
            </w:rPr>
            <w:fldChar w:fldCharType="end"/>
          </w:r>
        </w:p>
        <w:p>
          <w:pPr>
            <w:pStyle w:val="7"/>
            <w:numPr>
              <w:ilvl w:val="1"/>
              <w:numId w:val="1"/>
            </w:numPr>
            <w:tabs>
              <w:tab w:val="left" w:pos="1775"/>
              <w:tab w:val="left" w:leader="dot" w:pos="9135"/>
            </w:tabs>
            <w:spacing w:before="5" w:after="0" w:line="240" w:lineRule="auto"/>
            <w:ind w:left="1774" w:right="0" w:hanging="315"/>
            <w:jc w:val="left"/>
            <w:rPr>
              <w:rFonts w:ascii="Times New Roman" w:eastAsia="Times New Roman"/>
            </w:rPr>
          </w:pPr>
          <w:r>
            <w:fldChar w:fldCharType="begin"/>
          </w:r>
          <w:r>
            <w:instrText xml:space="preserve"> HYPERLINK \l "_bookmark22" </w:instrText>
          </w:r>
          <w:r>
            <w:fldChar w:fldCharType="separate"/>
          </w:r>
          <w:r>
            <w:t>敏感目标调查</w:t>
          </w:r>
          <w:r>
            <w:tab/>
          </w:r>
          <w:r>
            <w:rPr>
              <w:rFonts w:ascii="Times New Roman" w:eastAsia="Times New Roman"/>
            </w:rPr>
            <w:t>72</w:t>
          </w:r>
          <w:r>
            <w:rPr>
              <w:rFonts w:ascii="Times New Roman" w:eastAsia="Times New Roman"/>
            </w:rPr>
            <w:fldChar w:fldCharType="end"/>
          </w:r>
        </w:p>
        <w:p>
          <w:pPr>
            <w:pStyle w:val="8"/>
            <w:numPr>
              <w:ilvl w:val="0"/>
              <w:numId w:val="1"/>
            </w:numPr>
            <w:tabs>
              <w:tab w:val="left" w:pos="1253"/>
              <w:tab w:val="left" w:leader="dot" w:pos="8025"/>
            </w:tabs>
            <w:spacing w:before="42" w:after="0" w:line="240" w:lineRule="auto"/>
            <w:ind w:left="1252" w:right="36" w:hanging="1253"/>
            <w:jc w:val="left"/>
            <w:rPr>
              <w:rFonts w:ascii="Times New Roman" w:eastAsia="Times New Roman"/>
            </w:rPr>
          </w:pPr>
          <w:r>
            <w:fldChar w:fldCharType="begin"/>
          </w:r>
          <w:r>
            <w:instrText xml:space="preserve"> HYPERLINK \l "_bookmark23" </w:instrText>
          </w:r>
          <w:r>
            <w:fldChar w:fldCharType="separate"/>
          </w:r>
          <w:r>
            <w:t>地</w:t>
          </w:r>
          <w:r>
            <w:rPr>
              <w:spacing w:val="-3"/>
            </w:rPr>
            <w:t>表</w:t>
          </w:r>
          <w:r>
            <w:t>沉陷</w:t>
          </w:r>
          <w:r>
            <w:rPr>
              <w:spacing w:val="-3"/>
            </w:rPr>
            <w:t>预</w:t>
          </w:r>
          <w:r>
            <w:t>测及</w:t>
          </w:r>
          <w:r>
            <w:rPr>
              <w:spacing w:val="-3"/>
            </w:rPr>
            <w:t>生</w:t>
          </w:r>
          <w:r>
            <w:t>态环</w:t>
          </w:r>
          <w:r>
            <w:rPr>
              <w:spacing w:val="-3"/>
            </w:rPr>
            <w:t>境</w:t>
          </w:r>
          <w:r>
            <w:t>影响</w:t>
          </w:r>
          <w:r>
            <w:rPr>
              <w:spacing w:val="-3"/>
            </w:rPr>
            <w:t>评</w:t>
          </w:r>
          <w:r>
            <w:t>价</w:t>
          </w:r>
          <w:r>
            <w:tab/>
          </w:r>
          <w:r>
            <w:rPr>
              <w:rFonts w:ascii="Times New Roman" w:eastAsia="Times New Roman"/>
            </w:rPr>
            <w:t>73</w:t>
          </w:r>
          <w:r>
            <w:rPr>
              <w:rFonts w:ascii="Times New Roman" w:eastAsia="Times New Roman"/>
            </w:rPr>
            <w:fldChar w:fldCharType="end"/>
          </w:r>
        </w:p>
        <w:p>
          <w:pPr>
            <w:pStyle w:val="7"/>
            <w:numPr>
              <w:ilvl w:val="1"/>
              <w:numId w:val="1"/>
            </w:numPr>
            <w:tabs>
              <w:tab w:val="left" w:pos="1775"/>
              <w:tab w:val="left" w:leader="dot" w:pos="9135"/>
            </w:tabs>
            <w:spacing w:before="2" w:after="0" w:line="240" w:lineRule="auto"/>
            <w:ind w:left="1774" w:right="0" w:hanging="315"/>
            <w:jc w:val="left"/>
            <w:rPr>
              <w:rFonts w:ascii="Times New Roman" w:eastAsia="Times New Roman"/>
            </w:rPr>
          </w:pPr>
          <w:r>
            <w:fldChar w:fldCharType="begin"/>
          </w:r>
          <w:r>
            <w:instrText xml:space="preserve"> HYPERLINK \l "_bookmark24" </w:instrText>
          </w:r>
          <w:r>
            <w:fldChar w:fldCharType="separate"/>
          </w:r>
          <w:r>
            <w:t>生态环境现状调查与评价</w:t>
          </w:r>
          <w:r>
            <w:tab/>
          </w:r>
          <w:r>
            <w:rPr>
              <w:rFonts w:ascii="Times New Roman" w:eastAsia="Times New Roman"/>
            </w:rPr>
            <w:t>73</w:t>
          </w:r>
          <w:r>
            <w:rPr>
              <w:rFonts w:ascii="Times New Roman" w:eastAsia="Times New Roman"/>
            </w:rPr>
            <w:fldChar w:fldCharType="end"/>
          </w:r>
        </w:p>
        <w:p>
          <w:pPr>
            <w:pStyle w:val="7"/>
            <w:numPr>
              <w:ilvl w:val="1"/>
              <w:numId w:val="1"/>
            </w:numPr>
            <w:tabs>
              <w:tab w:val="left" w:pos="1775"/>
              <w:tab w:val="left" w:leader="dot" w:pos="9135"/>
            </w:tabs>
            <w:spacing w:before="2" w:after="0" w:line="240" w:lineRule="auto"/>
            <w:ind w:left="1774" w:right="0" w:hanging="315"/>
            <w:jc w:val="left"/>
            <w:rPr>
              <w:rFonts w:ascii="Times New Roman" w:eastAsia="Times New Roman"/>
            </w:rPr>
          </w:pPr>
          <w:r>
            <w:fldChar w:fldCharType="begin"/>
          </w:r>
          <w:r>
            <w:instrText xml:space="preserve"> HYPERLINK \l "_bookmark25" </w:instrText>
          </w:r>
          <w:r>
            <w:fldChar w:fldCharType="separate"/>
          </w:r>
          <w:r>
            <w:t>建设期生态影响分析与保护措施</w:t>
          </w:r>
          <w:r>
            <w:tab/>
          </w:r>
          <w:r>
            <w:rPr>
              <w:rFonts w:ascii="Times New Roman" w:eastAsia="Times New Roman"/>
            </w:rPr>
            <w:t>78</w:t>
          </w:r>
          <w:r>
            <w:rPr>
              <w:rFonts w:ascii="Times New Roman" w:eastAsia="Times New Roman"/>
            </w:rPr>
            <w:fldChar w:fldCharType="end"/>
          </w:r>
        </w:p>
        <w:p>
          <w:pPr>
            <w:pStyle w:val="7"/>
            <w:numPr>
              <w:ilvl w:val="1"/>
              <w:numId w:val="1"/>
            </w:numPr>
            <w:tabs>
              <w:tab w:val="left" w:pos="1775"/>
              <w:tab w:val="left" w:leader="dot" w:pos="9135"/>
            </w:tabs>
            <w:spacing w:before="5" w:after="0" w:line="240" w:lineRule="auto"/>
            <w:ind w:left="1774" w:right="0" w:hanging="315"/>
            <w:jc w:val="left"/>
            <w:rPr>
              <w:rFonts w:ascii="Times New Roman" w:eastAsia="Times New Roman"/>
            </w:rPr>
          </w:pPr>
          <w:r>
            <w:fldChar w:fldCharType="begin"/>
          </w:r>
          <w:r>
            <w:instrText xml:space="preserve"> HYPERLINK \l "_bookmark26" </w:instrText>
          </w:r>
          <w:r>
            <w:fldChar w:fldCharType="separate"/>
          </w:r>
          <w:r>
            <w:t>地表沉陷预测与影响分析</w:t>
          </w:r>
          <w:r>
            <w:tab/>
          </w:r>
          <w:r>
            <w:rPr>
              <w:rFonts w:ascii="Times New Roman" w:eastAsia="Times New Roman"/>
            </w:rPr>
            <w:t>79</w:t>
          </w:r>
          <w:r>
            <w:rPr>
              <w:rFonts w:ascii="Times New Roman" w:eastAsia="Times New Roman"/>
            </w:rPr>
            <w:fldChar w:fldCharType="end"/>
          </w:r>
        </w:p>
        <w:p>
          <w:pPr>
            <w:pStyle w:val="7"/>
            <w:numPr>
              <w:ilvl w:val="1"/>
              <w:numId w:val="1"/>
            </w:numPr>
            <w:tabs>
              <w:tab w:val="left" w:pos="1775"/>
              <w:tab w:val="left" w:leader="dot" w:pos="9135"/>
            </w:tabs>
            <w:spacing w:before="2" w:after="0" w:line="240" w:lineRule="auto"/>
            <w:ind w:left="1774" w:right="0" w:hanging="315"/>
            <w:jc w:val="left"/>
            <w:rPr>
              <w:rFonts w:ascii="Times New Roman" w:eastAsia="Times New Roman"/>
            </w:rPr>
          </w:pPr>
          <w:r>
            <w:fldChar w:fldCharType="begin"/>
          </w:r>
          <w:r>
            <w:instrText xml:space="preserve"> HYPERLINK \l "_bookmark27" </w:instrText>
          </w:r>
          <w:r>
            <w:fldChar w:fldCharType="separate"/>
          </w:r>
          <w:r>
            <w:t>生态影响评价</w:t>
          </w:r>
          <w:r>
            <w:tab/>
          </w:r>
          <w:r>
            <w:rPr>
              <w:rFonts w:ascii="Times New Roman" w:eastAsia="Times New Roman"/>
            </w:rPr>
            <w:t>87</w:t>
          </w:r>
          <w:r>
            <w:rPr>
              <w:rFonts w:ascii="Times New Roman" w:eastAsia="Times New Roman"/>
            </w:rPr>
            <w:fldChar w:fldCharType="end"/>
          </w:r>
        </w:p>
        <w:p>
          <w:pPr>
            <w:pStyle w:val="7"/>
            <w:numPr>
              <w:ilvl w:val="1"/>
              <w:numId w:val="1"/>
            </w:numPr>
            <w:tabs>
              <w:tab w:val="left" w:pos="1775"/>
              <w:tab w:val="left" w:leader="dot" w:pos="9135"/>
            </w:tabs>
            <w:spacing w:before="2" w:after="0" w:line="240" w:lineRule="auto"/>
            <w:ind w:left="1774" w:right="0" w:hanging="315"/>
            <w:jc w:val="left"/>
            <w:rPr>
              <w:rFonts w:ascii="Times New Roman" w:eastAsia="Times New Roman"/>
            </w:rPr>
          </w:pPr>
          <w:r>
            <w:fldChar w:fldCharType="begin"/>
          </w:r>
          <w:r>
            <w:instrText xml:space="preserve"> HYPERLINK \l "_bookmark28" </w:instrText>
          </w:r>
          <w:r>
            <w:fldChar w:fldCharType="separate"/>
          </w:r>
          <w:r>
            <w:t>地表沉陷区治理与生态环境综合整治</w:t>
          </w:r>
          <w:r>
            <w:tab/>
          </w:r>
          <w:r>
            <w:rPr>
              <w:rFonts w:ascii="Times New Roman" w:eastAsia="Times New Roman"/>
            </w:rPr>
            <w:t>89</w:t>
          </w:r>
          <w:r>
            <w:rPr>
              <w:rFonts w:ascii="Times New Roman" w:eastAsia="Times New Roman"/>
            </w:rPr>
            <w:fldChar w:fldCharType="end"/>
          </w:r>
        </w:p>
        <w:p>
          <w:pPr>
            <w:pStyle w:val="8"/>
            <w:numPr>
              <w:ilvl w:val="0"/>
              <w:numId w:val="1"/>
            </w:numPr>
            <w:tabs>
              <w:tab w:val="left" w:pos="1253"/>
              <w:tab w:val="left" w:leader="dot" w:pos="7886"/>
            </w:tabs>
            <w:spacing w:before="45" w:after="0" w:line="240" w:lineRule="auto"/>
            <w:ind w:left="1252" w:right="36" w:hanging="1253"/>
            <w:jc w:val="left"/>
            <w:rPr>
              <w:rFonts w:ascii="Times New Roman" w:eastAsia="Times New Roman"/>
            </w:rPr>
          </w:pPr>
          <w:r>
            <w:fldChar w:fldCharType="begin"/>
          </w:r>
          <w:r>
            <w:instrText xml:space="preserve"> HYPERLINK \l "_bookmark29" </w:instrText>
          </w:r>
          <w:r>
            <w:fldChar w:fldCharType="separate"/>
          </w:r>
          <w:r>
            <w:t>地</w:t>
          </w:r>
          <w:r>
            <w:rPr>
              <w:spacing w:val="-3"/>
            </w:rPr>
            <w:t>下</w:t>
          </w:r>
          <w:r>
            <w:t>水环</w:t>
          </w:r>
          <w:r>
            <w:rPr>
              <w:spacing w:val="-3"/>
            </w:rPr>
            <w:t>境</w:t>
          </w:r>
          <w:r>
            <w:t>影响</w:t>
          </w:r>
          <w:r>
            <w:rPr>
              <w:spacing w:val="-3"/>
            </w:rPr>
            <w:t>分</w:t>
          </w:r>
          <w:r>
            <w:t>析</w:t>
          </w:r>
          <w:r>
            <w:tab/>
          </w:r>
          <w:r>
            <w:rPr>
              <w:rFonts w:ascii="Times New Roman" w:eastAsia="Times New Roman"/>
            </w:rPr>
            <w:t>101</w:t>
          </w:r>
          <w:r>
            <w:rPr>
              <w:rFonts w:ascii="Times New Roman" w:eastAsia="Times New Roman"/>
            </w:rPr>
            <w:fldChar w:fldCharType="end"/>
          </w:r>
        </w:p>
        <w:p>
          <w:pPr>
            <w:pStyle w:val="7"/>
            <w:tabs>
              <w:tab w:val="left" w:leader="dot" w:pos="9031"/>
            </w:tabs>
            <w:ind w:left="1460" w:firstLine="0"/>
            <w:rPr>
              <w:rFonts w:ascii="Times New Roman" w:eastAsia="Times New Roman"/>
            </w:rPr>
          </w:pPr>
          <w:r>
            <w:fldChar w:fldCharType="begin"/>
          </w:r>
          <w:r>
            <w:instrText xml:space="preserve"> HYPERLINK \l "_bookmark30" </w:instrText>
          </w:r>
          <w:r>
            <w:fldChar w:fldCharType="separate"/>
          </w:r>
          <w:r>
            <w:rPr>
              <w:rFonts w:ascii="Times New Roman" w:eastAsia="Times New Roman"/>
            </w:rPr>
            <w:t>6.1</w:t>
          </w:r>
          <w:r>
            <w:rPr>
              <w:rFonts w:ascii="Times New Roman" w:eastAsia="Times New Roman"/>
              <w:spacing w:val="-2"/>
            </w:rPr>
            <w:t xml:space="preserve"> </w:t>
          </w:r>
          <w:r>
            <w:t>概述</w:t>
          </w:r>
          <w:r>
            <w:tab/>
          </w:r>
          <w:r>
            <w:rPr>
              <w:rFonts w:ascii="Times New Roman" w:eastAsia="Times New Roman"/>
            </w:rPr>
            <w:t>101</w:t>
          </w:r>
          <w:r>
            <w:rPr>
              <w:rFonts w:ascii="Times New Roman" w:eastAsia="Times New Roman"/>
            </w:rPr>
            <w:fldChar w:fldCharType="end"/>
          </w:r>
        </w:p>
        <w:p>
          <w:pPr>
            <w:pStyle w:val="7"/>
            <w:numPr>
              <w:ilvl w:val="1"/>
              <w:numId w:val="2"/>
            </w:numPr>
            <w:tabs>
              <w:tab w:val="left" w:pos="1775"/>
              <w:tab w:val="left" w:leader="dot" w:pos="9031"/>
            </w:tabs>
            <w:spacing w:before="2" w:after="0" w:line="240" w:lineRule="auto"/>
            <w:ind w:left="1774" w:right="0" w:hanging="315"/>
            <w:jc w:val="left"/>
            <w:rPr>
              <w:rFonts w:ascii="Times New Roman" w:eastAsia="Times New Roman"/>
            </w:rPr>
          </w:pPr>
          <w:r>
            <w:fldChar w:fldCharType="begin"/>
          </w:r>
          <w:r>
            <w:instrText xml:space="preserve"> HYPERLINK \l "_bookmark31" </w:instrText>
          </w:r>
          <w:r>
            <w:fldChar w:fldCharType="separate"/>
          </w:r>
          <w:r>
            <w:t>地层和构造</w:t>
          </w:r>
          <w:r>
            <w:tab/>
          </w:r>
          <w:r>
            <w:rPr>
              <w:rFonts w:ascii="Times New Roman" w:eastAsia="Times New Roman"/>
            </w:rPr>
            <w:t>101</w:t>
          </w:r>
          <w:r>
            <w:rPr>
              <w:rFonts w:ascii="Times New Roman" w:eastAsia="Times New Roman"/>
            </w:rPr>
            <w:fldChar w:fldCharType="end"/>
          </w:r>
        </w:p>
        <w:p>
          <w:pPr>
            <w:pStyle w:val="7"/>
            <w:numPr>
              <w:ilvl w:val="1"/>
              <w:numId w:val="2"/>
            </w:numPr>
            <w:tabs>
              <w:tab w:val="left" w:pos="1775"/>
              <w:tab w:val="left" w:leader="dot" w:pos="9031"/>
            </w:tabs>
            <w:spacing w:before="4" w:after="0" w:line="240" w:lineRule="auto"/>
            <w:ind w:left="1774" w:right="0" w:hanging="315"/>
            <w:jc w:val="left"/>
            <w:rPr>
              <w:rFonts w:ascii="Times New Roman" w:eastAsia="Times New Roman"/>
            </w:rPr>
          </w:pPr>
          <w:r>
            <w:fldChar w:fldCharType="begin"/>
          </w:r>
          <w:r>
            <w:instrText xml:space="preserve"> HYPERLINK \l "_bookmark32" </w:instrText>
          </w:r>
          <w:r>
            <w:fldChar w:fldCharType="separate"/>
          </w:r>
          <w:r>
            <w:t>水文地质条件</w:t>
          </w:r>
          <w:r>
            <w:tab/>
          </w:r>
          <w:r>
            <w:rPr>
              <w:rFonts w:ascii="Times New Roman" w:eastAsia="Times New Roman"/>
            </w:rPr>
            <w:t>105</w:t>
          </w:r>
          <w:r>
            <w:rPr>
              <w:rFonts w:ascii="Times New Roman" w:eastAsia="Times New Roman"/>
            </w:rPr>
            <w:fldChar w:fldCharType="end"/>
          </w:r>
        </w:p>
        <w:p>
          <w:pPr>
            <w:pStyle w:val="7"/>
            <w:numPr>
              <w:ilvl w:val="1"/>
              <w:numId w:val="2"/>
            </w:numPr>
            <w:tabs>
              <w:tab w:val="left" w:pos="1775"/>
              <w:tab w:val="left" w:leader="dot" w:pos="9031"/>
            </w:tabs>
            <w:spacing w:before="2" w:after="0" w:line="240" w:lineRule="auto"/>
            <w:ind w:left="1774" w:right="0" w:hanging="315"/>
            <w:jc w:val="left"/>
            <w:rPr>
              <w:rFonts w:ascii="Times New Roman" w:eastAsia="Times New Roman"/>
            </w:rPr>
          </w:pPr>
          <w:r>
            <w:fldChar w:fldCharType="begin"/>
          </w:r>
          <w:r>
            <w:instrText xml:space="preserve"> HYPERLINK \l "_bookmark33" </w:instrText>
          </w:r>
          <w:r>
            <w:fldChar w:fldCharType="separate"/>
          </w:r>
          <w:r>
            <w:t>地下水环境质量现状评价</w:t>
          </w:r>
          <w:r>
            <w:tab/>
          </w:r>
          <w:r>
            <w:rPr>
              <w:rFonts w:ascii="Times New Roman" w:eastAsia="Times New Roman"/>
            </w:rPr>
            <w:t>107</w:t>
          </w:r>
          <w:r>
            <w:rPr>
              <w:rFonts w:ascii="Times New Roman" w:eastAsia="Times New Roman"/>
            </w:rPr>
            <w:fldChar w:fldCharType="end"/>
          </w:r>
        </w:p>
        <w:p>
          <w:pPr>
            <w:pStyle w:val="7"/>
            <w:numPr>
              <w:ilvl w:val="1"/>
              <w:numId w:val="2"/>
            </w:numPr>
            <w:tabs>
              <w:tab w:val="left" w:pos="1775"/>
              <w:tab w:val="left" w:leader="dot" w:pos="9039"/>
            </w:tabs>
            <w:spacing w:before="5" w:after="0" w:line="240" w:lineRule="auto"/>
            <w:ind w:left="1774" w:right="0" w:hanging="315"/>
            <w:jc w:val="left"/>
            <w:rPr>
              <w:rFonts w:ascii="Times New Roman" w:eastAsia="Times New Roman"/>
            </w:rPr>
          </w:pPr>
          <w:r>
            <w:fldChar w:fldCharType="begin"/>
          </w:r>
          <w:r>
            <w:instrText xml:space="preserve"> HYPERLINK \l "_bookmark34" </w:instrText>
          </w:r>
          <w:r>
            <w:fldChar w:fldCharType="separate"/>
          </w:r>
          <w:r>
            <w:t>建设期地下水环境影响分析与防治措施</w:t>
          </w:r>
          <w:r>
            <w:tab/>
          </w:r>
          <w:r>
            <w:rPr>
              <w:rFonts w:ascii="Times New Roman" w:eastAsia="Times New Roman"/>
              <w:spacing w:val="-2"/>
            </w:rPr>
            <w:t>116</w:t>
          </w:r>
          <w:r>
            <w:rPr>
              <w:rFonts w:ascii="Times New Roman" w:eastAsia="Times New Roman"/>
              <w:spacing w:val="-2"/>
            </w:rPr>
            <w:fldChar w:fldCharType="end"/>
          </w:r>
        </w:p>
        <w:p>
          <w:pPr>
            <w:pStyle w:val="7"/>
            <w:tabs>
              <w:tab w:val="left" w:leader="dot" w:pos="9031"/>
            </w:tabs>
            <w:ind w:left="1460" w:firstLine="0"/>
            <w:rPr>
              <w:rFonts w:ascii="Times New Roman" w:eastAsia="Times New Roman"/>
            </w:rPr>
          </w:pPr>
          <w:r>
            <w:fldChar w:fldCharType="begin"/>
          </w:r>
          <w:r>
            <w:instrText xml:space="preserve"> HYPERLINK \l "_bookmark35" </w:instrText>
          </w:r>
          <w:r>
            <w:fldChar w:fldCharType="separate"/>
          </w:r>
          <w:r>
            <w:rPr>
              <w:rFonts w:ascii="Times New Roman" w:eastAsia="Times New Roman"/>
            </w:rPr>
            <w:t>6.7</w:t>
          </w:r>
          <w:r>
            <w:rPr>
              <w:rFonts w:ascii="Times New Roman" w:eastAsia="Times New Roman"/>
              <w:spacing w:val="-1"/>
            </w:rPr>
            <w:t xml:space="preserve"> </w:t>
          </w:r>
          <w:r>
            <w:t>地下水环境保护措施</w:t>
          </w:r>
          <w:r>
            <w:tab/>
          </w:r>
          <w:r>
            <w:rPr>
              <w:rFonts w:ascii="Times New Roman" w:eastAsia="Times New Roman"/>
            </w:rPr>
            <w:t>120</w:t>
          </w:r>
          <w:r>
            <w:rPr>
              <w:rFonts w:ascii="Times New Roman" w:eastAsia="Times New Roman"/>
            </w:rPr>
            <w:fldChar w:fldCharType="end"/>
          </w:r>
        </w:p>
        <w:p>
          <w:pPr>
            <w:pStyle w:val="8"/>
            <w:numPr>
              <w:ilvl w:val="0"/>
              <w:numId w:val="1"/>
            </w:numPr>
            <w:tabs>
              <w:tab w:val="left" w:pos="1253"/>
              <w:tab w:val="left" w:leader="dot" w:pos="7886"/>
            </w:tabs>
            <w:spacing w:before="45" w:after="0" w:line="358" w:lineRule="exact"/>
            <w:ind w:left="1252" w:right="36" w:hanging="1253"/>
            <w:jc w:val="left"/>
            <w:rPr>
              <w:rFonts w:ascii="Times New Roman" w:eastAsia="Times New Roman"/>
            </w:rPr>
          </w:pPr>
          <w:r>
            <w:fldChar w:fldCharType="begin"/>
          </w:r>
          <w:r>
            <w:instrText xml:space="preserve"> HYPERLINK \l "_bookmark37" </w:instrText>
          </w:r>
          <w:r>
            <w:fldChar w:fldCharType="separate"/>
          </w:r>
          <w:r>
            <w:t>地</w:t>
          </w:r>
          <w:r>
            <w:rPr>
              <w:spacing w:val="-3"/>
            </w:rPr>
            <w:t>表</w:t>
          </w:r>
          <w:r>
            <w:t>水环</w:t>
          </w:r>
          <w:r>
            <w:rPr>
              <w:spacing w:val="-3"/>
            </w:rPr>
            <w:t>境</w:t>
          </w:r>
          <w:r>
            <w:t>影响</w:t>
          </w:r>
          <w:r>
            <w:rPr>
              <w:spacing w:val="-3"/>
            </w:rPr>
            <w:t>分</w:t>
          </w:r>
          <w:r>
            <w:t>析</w:t>
          </w:r>
          <w:r>
            <w:tab/>
          </w:r>
          <w:r>
            <w:rPr>
              <w:rFonts w:ascii="Times New Roman" w:eastAsia="Times New Roman"/>
            </w:rPr>
            <w:t>125</w:t>
          </w:r>
          <w:r>
            <w:rPr>
              <w:rFonts w:ascii="Times New Roman" w:eastAsia="Times New Roman"/>
            </w:rPr>
            <w:fldChar w:fldCharType="end"/>
          </w:r>
        </w:p>
        <w:p>
          <w:pPr>
            <w:pStyle w:val="7"/>
            <w:numPr>
              <w:ilvl w:val="1"/>
              <w:numId w:val="1"/>
            </w:numPr>
            <w:tabs>
              <w:tab w:val="left" w:pos="1775"/>
              <w:tab w:val="left" w:leader="dot" w:pos="9031"/>
            </w:tabs>
            <w:spacing w:before="0" w:after="0" w:line="269" w:lineRule="exact"/>
            <w:ind w:left="1774" w:right="0" w:hanging="315"/>
            <w:jc w:val="left"/>
            <w:rPr>
              <w:rFonts w:ascii="Times New Roman" w:eastAsia="Times New Roman"/>
            </w:rPr>
          </w:pPr>
          <w:r>
            <w:fldChar w:fldCharType="begin"/>
          </w:r>
          <w:r>
            <w:instrText xml:space="preserve"> HYPERLINK \l "_bookmark36" </w:instrText>
          </w:r>
          <w:r>
            <w:fldChar w:fldCharType="separate"/>
          </w:r>
          <w:r>
            <w:t>评价等级</w:t>
          </w:r>
          <w:r>
            <w:tab/>
          </w:r>
          <w:r>
            <w:rPr>
              <w:rFonts w:ascii="Times New Roman" w:eastAsia="Times New Roman"/>
            </w:rPr>
            <w:t>125</w:t>
          </w:r>
          <w:r>
            <w:rPr>
              <w:rFonts w:ascii="Times New Roman" w:eastAsia="Times New Roman"/>
            </w:rPr>
            <w:fldChar w:fldCharType="end"/>
          </w:r>
        </w:p>
        <w:p>
          <w:pPr>
            <w:pStyle w:val="7"/>
            <w:numPr>
              <w:ilvl w:val="1"/>
              <w:numId w:val="1"/>
            </w:numPr>
            <w:tabs>
              <w:tab w:val="left" w:pos="1775"/>
              <w:tab w:val="left" w:leader="dot" w:pos="9031"/>
            </w:tabs>
            <w:spacing w:before="4" w:after="0" w:line="240" w:lineRule="auto"/>
            <w:ind w:left="1774" w:right="0" w:hanging="315"/>
            <w:jc w:val="left"/>
            <w:rPr>
              <w:rFonts w:ascii="Times New Roman" w:eastAsia="Times New Roman"/>
            </w:rPr>
          </w:pPr>
          <w:r>
            <w:fldChar w:fldCharType="begin"/>
          </w:r>
          <w:r>
            <w:instrText xml:space="preserve"> HYPERLINK \l "_bookmark38" </w:instrText>
          </w:r>
          <w:r>
            <w:fldChar w:fldCharType="separate"/>
          </w:r>
          <w:r>
            <w:t>地表水环境污染源现状调查</w:t>
          </w:r>
          <w:r>
            <w:tab/>
          </w:r>
          <w:r>
            <w:rPr>
              <w:rFonts w:ascii="Times New Roman" w:eastAsia="Times New Roman"/>
            </w:rPr>
            <w:t>125</w:t>
          </w:r>
          <w:r>
            <w:rPr>
              <w:rFonts w:ascii="Times New Roman" w:eastAsia="Times New Roman"/>
            </w:rPr>
            <w:fldChar w:fldCharType="end"/>
          </w:r>
        </w:p>
        <w:p>
          <w:pPr>
            <w:pStyle w:val="7"/>
            <w:numPr>
              <w:ilvl w:val="1"/>
              <w:numId w:val="1"/>
            </w:numPr>
            <w:tabs>
              <w:tab w:val="left" w:pos="1775"/>
              <w:tab w:val="left" w:leader="dot" w:pos="9031"/>
            </w:tabs>
            <w:spacing w:before="3" w:after="0" w:line="240" w:lineRule="auto"/>
            <w:ind w:left="1774" w:right="0" w:hanging="315"/>
            <w:jc w:val="left"/>
            <w:rPr>
              <w:rFonts w:ascii="Times New Roman" w:eastAsia="Times New Roman"/>
            </w:rPr>
          </w:pPr>
          <w:r>
            <w:fldChar w:fldCharType="begin"/>
          </w:r>
          <w:r>
            <w:instrText xml:space="preserve"> HYPERLINK \l "_bookmark39" </w:instrText>
          </w:r>
          <w:r>
            <w:fldChar w:fldCharType="separate"/>
          </w:r>
          <w:r>
            <w:t>地表水环境质量现状监测与评价</w:t>
          </w:r>
          <w:r>
            <w:tab/>
          </w:r>
          <w:r>
            <w:rPr>
              <w:rFonts w:ascii="Times New Roman" w:eastAsia="Times New Roman"/>
            </w:rPr>
            <w:t>126</w:t>
          </w:r>
          <w:r>
            <w:rPr>
              <w:rFonts w:ascii="Times New Roman" w:eastAsia="Times New Roman"/>
            </w:rPr>
            <w:fldChar w:fldCharType="end"/>
          </w:r>
        </w:p>
        <w:p>
          <w:pPr>
            <w:pStyle w:val="7"/>
            <w:numPr>
              <w:ilvl w:val="1"/>
              <w:numId w:val="1"/>
            </w:numPr>
            <w:tabs>
              <w:tab w:val="left" w:pos="1775"/>
              <w:tab w:val="left" w:leader="dot" w:pos="9031"/>
            </w:tabs>
            <w:spacing w:before="4" w:after="0" w:line="240" w:lineRule="auto"/>
            <w:ind w:left="1774" w:right="0" w:hanging="315"/>
            <w:jc w:val="left"/>
            <w:rPr>
              <w:rFonts w:ascii="Times New Roman" w:eastAsia="Times New Roman"/>
            </w:rPr>
          </w:pPr>
          <w:r>
            <w:fldChar w:fldCharType="begin"/>
          </w:r>
          <w:r>
            <w:instrText xml:space="preserve"> HYPERLINK \l "_bookmark40" </w:instrText>
          </w:r>
          <w:r>
            <w:fldChar w:fldCharType="separate"/>
          </w:r>
          <w:r>
            <w:t>建设期地表水环境影响分析与防治措施</w:t>
          </w:r>
          <w:r>
            <w:tab/>
          </w:r>
          <w:r>
            <w:rPr>
              <w:rFonts w:ascii="Times New Roman" w:eastAsia="Times New Roman"/>
            </w:rPr>
            <w:t>130</w:t>
          </w:r>
          <w:r>
            <w:rPr>
              <w:rFonts w:ascii="Times New Roman" w:eastAsia="Times New Roman"/>
            </w:rPr>
            <w:fldChar w:fldCharType="end"/>
          </w:r>
        </w:p>
        <w:p>
          <w:pPr>
            <w:pStyle w:val="7"/>
            <w:numPr>
              <w:ilvl w:val="1"/>
              <w:numId w:val="1"/>
            </w:numPr>
            <w:tabs>
              <w:tab w:val="left" w:pos="1775"/>
              <w:tab w:val="left" w:leader="dot" w:pos="9031"/>
            </w:tabs>
            <w:spacing w:before="2" w:after="0" w:line="240" w:lineRule="auto"/>
            <w:ind w:left="1774" w:right="0" w:hanging="315"/>
            <w:jc w:val="left"/>
            <w:rPr>
              <w:rFonts w:ascii="Times New Roman" w:eastAsia="Times New Roman"/>
            </w:rPr>
          </w:pPr>
          <w:r>
            <w:fldChar w:fldCharType="begin"/>
          </w:r>
          <w:r>
            <w:instrText xml:space="preserve"> HYPERLINK \l "_bookmark41" </w:instrText>
          </w:r>
          <w:r>
            <w:fldChar w:fldCharType="separate"/>
          </w:r>
          <w:r>
            <w:t>运营期地表水环境影响预测与评价</w:t>
          </w:r>
          <w:r>
            <w:tab/>
          </w:r>
          <w:r>
            <w:rPr>
              <w:rFonts w:ascii="Times New Roman" w:eastAsia="Times New Roman"/>
            </w:rPr>
            <w:t>130</w:t>
          </w:r>
          <w:r>
            <w:rPr>
              <w:rFonts w:ascii="Times New Roman" w:eastAsia="Times New Roman"/>
            </w:rPr>
            <w:fldChar w:fldCharType="end"/>
          </w:r>
        </w:p>
        <w:p>
          <w:pPr>
            <w:pStyle w:val="7"/>
            <w:numPr>
              <w:ilvl w:val="1"/>
              <w:numId w:val="1"/>
            </w:numPr>
            <w:tabs>
              <w:tab w:val="left" w:pos="1775"/>
              <w:tab w:val="left" w:leader="dot" w:pos="9031"/>
            </w:tabs>
            <w:spacing w:before="5" w:after="0" w:line="240" w:lineRule="auto"/>
            <w:ind w:left="1774" w:right="0" w:hanging="315"/>
            <w:jc w:val="left"/>
            <w:rPr>
              <w:rFonts w:ascii="Times New Roman" w:eastAsia="Times New Roman"/>
            </w:rPr>
          </w:pPr>
          <w:r>
            <w:fldChar w:fldCharType="begin"/>
          </w:r>
          <w:r>
            <w:instrText xml:space="preserve"> HYPERLINK \l "_bookmark42" </w:instrText>
          </w:r>
          <w:r>
            <w:fldChar w:fldCharType="separate"/>
          </w:r>
          <w:r>
            <w:t>水资源利用及水污染物防治措施可行性分析</w:t>
          </w:r>
          <w:r>
            <w:tab/>
          </w:r>
          <w:r>
            <w:rPr>
              <w:rFonts w:ascii="Times New Roman" w:eastAsia="Times New Roman"/>
            </w:rPr>
            <w:t>132</w:t>
          </w:r>
          <w:r>
            <w:rPr>
              <w:rFonts w:ascii="Times New Roman" w:eastAsia="Times New Roman"/>
            </w:rPr>
            <w:fldChar w:fldCharType="end"/>
          </w:r>
        </w:p>
        <w:p>
          <w:pPr>
            <w:pStyle w:val="8"/>
            <w:numPr>
              <w:ilvl w:val="0"/>
              <w:numId w:val="1"/>
            </w:numPr>
            <w:tabs>
              <w:tab w:val="left" w:pos="1253"/>
              <w:tab w:val="left" w:leader="dot" w:pos="7886"/>
            </w:tabs>
            <w:spacing w:before="42" w:after="0" w:line="240" w:lineRule="auto"/>
            <w:ind w:left="1252" w:right="36" w:hanging="1253"/>
            <w:jc w:val="left"/>
            <w:rPr>
              <w:rFonts w:ascii="Times New Roman" w:eastAsia="Times New Roman"/>
            </w:rPr>
          </w:pPr>
          <w:r>
            <w:fldChar w:fldCharType="begin"/>
          </w:r>
          <w:r>
            <w:instrText xml:space="preserve"> HYPERLINK \l "_bookmark43" </w:instrText>
          </w:r>
          <w:r>
            <w:fldChar w:fldCharType="separate"/>
          </w:r>
          <w:r>
            <w:t>大</w:t>
          </w:r>
          <w:r>
            <w:rPr>
              <w:spacing w:val="-3"/>
            </w:rPr>
            <w:t>气</w:t>
          </w:r>
          <w:r>
            <w:t>环境</w:t>
          </w:r>
          <w:r>
            <w:rPr>
              <w:spacing w:val="-3"/>
            </w:rPr>
            <w:t>影</w:t>
          </w:r>
          <w:r>
            <w:t>响分析</w:t>
          </w:r>
          <w:r>
            <w:tab/>
          </w:r>
          <w:r>
            <w:rPr>
              <w:rFonts w:ascii="Times New Roman" w:eastAsia="Times New Roman"/>
            </w:rPr>
            <w:t>136</w:t>
          </w:r>
          <w:r>
            <w:rPr>
              <w:rFonts w:ascii="Times New Roman" w:eastAsia="Times New Roman"/>
            </w:rPr>
            <w:fldChar w:fldCharType="end"/>
          </w:r>
        </w:p>
        <w:p>
          <w:pPr>
            <w:pStyle w:val="7"/>
            <w:numPr>
              <w:ilvl w:val="1"/>
              <w:numId w:val="1"/>
            </w:numPr>
            <w:tabs>
              <w:tab w:val="left" w:pos="1775"/>
              <w:tab w:val="left" w:leader="dot" w:pos="9031"/>
            </w:tabs>
            <w:spacing w:before="2" w:after="0" w:line="240" w:lineRule="auto"/>
            <w:ind w:left="1774" w:right="0" w:hanging="315"/>
            <w:jc w:val="left"/>
            <w:rPr>
              <w:rFonts w:ascii="Times New Roman" w:eastAsia="Times New Roman"/>
            </w:rPr>
          </w:pPr>
          <w:r>
            <w:fldChar w:fldCharType="begin"/>
          </w:r>
          <w:r>
            <w:instrText xml:space="preserve"> HYPERLINK \l "_bookmark44" </w:instrText>
          </w:r>
          <w:r>
            <w:fldChar w:fldCharType="separate"/>
          </w:r>
          <w:r>
            <w:t>评价工作等级及范围</w:t>
          </w:r>
          <w:r>
            <w:tab/>
          </w:r>
          <w:r>
            <w:rPr>
              <w:rFonts w:ascii="Times New Roman" w:eastAsia="Times New Roman"/>
            </w:rPr>
            <w:t>136</w:t>
          </w:r>
          <w:r>
            <w:rPr>
              <w:rFonts w:ascii="Times New Roman" w:eastAsia="Times New Roman"/>
            </w:rPr>
            <w:fldChar w:fldCharType="end"/>
          </w:r>
        </w:p>
        <w:p>
          <w:pPr>
            <w:pStyle w:val="7"/>
            <w:numPr>
              <w:ilvl w:val="1"/>
              <w:numId w:val="1"/>
            </w:numPr>
            <w:tabs>
              <w:tab w:val="left" w:pos="1775"/>
              <w:tab w:val="left" w:leader="dot" w:pos="9031"/>
            </w:tabs>
            <w:spacing w:before="2" w:after="240" w:line="240" w:lineRule="auto"/>
            <w:ind w:left="1774" w:right="0" w:hanging="315"/>
            <w:jc w:val="left"/>
            <w:rPr>
              <w:rFonts w:ascii="Times New Roman" w:eastAsia="Times New Roman"/>
            </w:rPr>
          </w:pPr>
          <w:r>
            <w:fldChar w:fldCharType="begin"/>
          </w:r>
          <w:r>
            <w:instrText xml:space="preserve"> HYPERLINK \l "_bookmark45" </w:instrText>
          </w:r>
          <w:r>
            <w:fldChar w:fldCharType="separate"/>
          </w:r>
          <w:r>
            <w:t>环境空气质量现状评价</w:t>
          </w:r>
          <w:r>
            <w:tab/>
          </w:r>
          <w:r>
            <w:rPr>
              <w:rFonts w:ascii="Times New Roman" w:eastAsia="Times New Roman"/>
            </w:rPr>
            <w:t>136</w:t>
          </w:r>
          <w:r>
            <w:rPr>
              <w:rFonts w:ascii="Times New Roman" w:eastAsia="Times New Roman"/>
            </w:rPr>
            <w:fldChar w:fldCharType="end"/>
          </w:r>
        </w:p>
        <w:p>
          <w:pPr>
            <w:pStyle w:val="7"/>
            <w:numPr>
              <w:ilvl w:val="1"/>
              <w:numId w:val="1"/>
            </w:numPr>
            <w:tabs>
              <w:tab w:val="left" w:pos="1775"/>
              <w:tab w:val="right" w:leader="dot" w:pos="9347"/>
            </w:tabs>
            <w:spacing w:before="62" w:after="0" w:line="240" w:lineRule="auto"/>
            <w:ind w:left="1774" w:right="0" w:hanging="315"/>
            <w:jc w:val="left"/>
            <w:rPr>
              <w:rFonts w:ascii="Times New Roman" w:eastAsia="Times New Roman"/>
            </w:rPr>
          </w:pPr>
          <w:r>
            <w:fldChar w:fldCharType="begin"/>
          </w:r>
          <w:r>
            <w:instrText xml:space="preserve"> HYPERLINK \l "_bookmark46" </w:instrText>
          </w:r>
          <w:r>
            <w:fldChar w:fldCharType="separate"/>
          </w:r>
          <w:r>
            <w:t>建设期大气环境影响及防治措施</w:t>
          </w:r>
          <w:r>
            <w:tab/>
          </w:r>
          <w:r>
            <w:rPr>
              <w:rFonts w:ascii="Times New Roman" w:eastAsia="Times New Roman"/>
            </w:rPr>
            <w:t>139</w:t>
          </w:r>
          <w:r>
            <w:rPr>
              <w:rFonts w:ascii="Times New Roman" w:eastAsia="Times New Roman"/>
            </w:rPr>
            <w:fldChar w:fldCharType="end"/>
          </w:r>
        </w:p>
        <w:p>
          <w:pPr>
            <w:pStyle w:val="7"/>
            <w:numPr>
              <w:ilvl w:val="1"/>
              <w:numId w:val="1"/>
            </w:numPr>
            <w:tabs>
              <w:tab w:val="left" w:pos="1775"/>
              <w:tab w:val="right" w:leader="dot" w:pos="9347"/>
            </w:tabs>
            <w:spacing w:before="4" w:after="0" w:line="240" w:lineRule="auto"/>
            <w:ind w:left="1774" w:right="0" w:hanging="315"/>
            <w:jc w:val="left"/>
            <w:rPr>
              <w:rFonts w:ascii="Times New Roman" w:eastAsia="Times New Roman"/>
            </w:rPr>
          </w:pPr>
          <w:r>
            <w:fldChar w:fldCharType="begin"/>
          </w:r>
          <w:r>
            <w:instrText xml:space="preserve"> HYPERLINK \l "_bookmark47" </w:instrText>
          </w:r>
          <w:r>
            <w:fldChar w:fldCharType="separate"/>
          </w:r>
          <w:r>
            <w:t>运营期大气环境影响预测与评价</w:t>
          </w:r>
          <w:r>
            <w:tab/>
          </w:r>
          <w:r>
            <w:rPr>
              <w:rFonts w:ascii="Times New Roman" w:eastAsia="Times New Roman"/>
            </w:rPr>
            <w:t>139</w:t>
          </w:r>
          <w:r>
            <w:rPr>
              <w:rFonts w:ascii="Times New Roman" w:eastAsia="Times New Roman"/>
            </w:rPr>
            <w:fldChar w:fldCharType="end"/>
          </w:r>
        </w:p>
        <w:p>
          <w:pPr>
            <w:pStyle w:val="7"/>
            <w:numPr>
              <w:ilvl w:val="1"/>
              <w:numId w:val="1"/>
            </w:numPr>
            <w:tabs>
              <w:tab w:val="left" w:pos="1775"/>
              <w:tab w:val="right" w:leader="dot" w:pos="9347"/>
            </w:tabs>
            <w:spacing w:before="2" w:after="0" w:line="240" w:lineRule="auto"/>
            <w:ind w:left="1774" w:right="0" w:hanging="315"/>
            <w:jc w:val="left"/>
            <w:rPr>
              <w:rFonts w:ascii="Times New Roman" w:eastAsia="Times New Roman"/>
            </w:rPr>
          </w:pPr>
          <w:r>
            <w:fldChar w:fldCharType="begin"/>
          </w:r>
          <w:r>
            <w:instrText xml:space="preserve"> HYPERLINK \l "_bookmark48" </w:instrText>
          </w:r>
          <w:r>
            <w:fldChar w:fldCharType="separate"/>
          </w:r>
          <w:r>
            <w:t>大气污染防治措施</w:t>
          </w:r>
          <w:r>
            <w:tab/>
          </w:r>
          <w:r>
            <w:rPr>
              <w:rFonts w:ascii="Times New Roman" w:eastAsia="Times New Roman"/>
            </w:rPr>
            <w:t>140</w:t>
          </w:r>
          <w:r>
            <w:rPr>
              <w:rFonts w:ascii="Times New Roman" w:eastAsia="Times New Roman"/>
            </w:rPr>
            <w:fldChar w:fldCharType="end"/>
          </w:r>
        </w:p>
        <w:p>
          <w:pPr>
            <w:pStyle w:val="7"/>
            <w:numPr>
              <w:ilvl w:val="1"/>
              <w:numId w:val="1"/>
            </w:numPr>
            <w:tabs>
              <w:tab w:val="left" w:pos="1775"/>
              <w:tab w:val="right" w:leader="dot" w:pos="9347"/>
            </w:tabs>
            <w:spacing w:before="5" w:after="0" w:line="240" w:lineRule="auto"/>
            <w:ind w:left="1774" w:right="0" w:hanging="315"/>
            <w:jc w:val="left"/>
            <w:rPr>
              <w:rFonts w:ascii="Times New Roman" w:eastAsia="Times New Roman"/>
            </w:rPr>
          </w:pPr>
          <w:r>
            <w:fldChar w:fldCharType="begin"/>
          </w:r>
          <w:r>
            <w:instrText xml:space="preserve"> HYPERLINK \l "_bookmark49" </w:instrText>
          </w:r>
          <w:r>
            <w:fldChar w:fldCharType="separate"/>
          </w:r>
          <w:r>
            <w:t>排放量核算</w:t>
          </w:r>
          <w:r>
            <w:tab/>
          </w:r>
          <w:r>
            <w:rPr>
              <w:rFonts w:ascii="Times New Roman" w:eastAsia="Times New Roman"/>
            </w:rPr>
            <w:t>141</w:t>
          </w:r>
          <w:r>
            <w:rPr>
              <w:rFonts w:ascii="Times New Roman" w:eastAsia="Times New Roman"/>
            </w:rPr>
            <w:fldChar w:fldCharType="end"/>
          </w:r>
        </w:p>
        <w:p>
          <w:pPr>
            <w:pStyle w:val="9"/>
            <w:numPr>
              <w:ilvl w:val="0"/>
              <w:numId w:val="1"/>
            </w:numPr>
            <w:tabs>
              <w:tab w:val="left" w:pos="1251"/>
              <w:tab w:val="right" w:leader="dot" w:pos="9347"/>
            </w:tabs>
            <w:spacing w:before="42" w:after="0" w:line="240" w:lineRule="auto"/>
            <w:ind w:left="1250" w:right="0" w:hanging="211"/>
            <w:jc w:val="left"/>
            <w:rPr>
              <w:rFonts w:ascii="Times New Roman" w:eastAsia="Times New Roman"/>
            </w:rPr>
          </w:pPr>
          <w:r>
            <w:fldChar w:fldCharType="begin"/>
          </w:r>
          <w:r>
            <w:instrText xml:space="preserve"> HYPERLINK \l "_bookmark50" </w:instrText>
          </w:r>
          <w:r>
            <w:fldChar w:fldCharType="separate"/>
          </w:r>
          <w:r>
            <w:t>声</w:t>
          </w:r>
          <w:r>
            <w:rPr>
              <w:spacing w:val="-3"/>
            </w:rPr>
            <w:t>环</w:t>
          </w:r>
          <w:r>
            <w:t>境影</w:t>
          </w:r>
          <w:r>
            <w:rPr>
              <w:spacing w:val="-3"/>
            </w:rPr>
            <w:t>响</w:t>
          </w:r>
          <w:r>
            <w:t>分析</w:t>
          </w:r>
          <w:r>
            <w:tab/>
          </w:r>
          <w:r>
            <w:rPr>
              <w:rFonts w:ascii="Times New Roman" w:eastAsia="Times New Roman"/>
            </w:rPr>
            <w:t>143</w:t>
          </w:r>
          <w:r>
            <w:rPr>
              <w:rFonts w:ascii="Times New Roman" w:eastAsia="Times New Roman"/>
            </w:rPr>
            <w:fldChar w:fldCharType="end"/>
          </w:r>
        </w:p>
        <w:p>
          <w:pPr>
            <w:pStyle w:val="7"/>
            <w:numPr>
              <w:ilvl w:val="1"/>
              <w:numId w:val="1"/>
            </w:numPr>
            <w:tabs>
              <w:tab w:val="left" w:pos="1775"/>
              <w:tab w:val="right" w:leader="dot" w:pos="9347"/>
            </w:tabs>
            <w:spacing w:before="2" w:after="0" w:line="240" w:lineRule="auto"/>
            <w:ind w:left="1774" w:right="0" w:hanging="315"/>
            <w:jc w:val="left"/>
            <w:rPr>
              <w:rFonts w:ascii="Times New Roman" w:eastAsia="Times New Roman"/>
            </w:rPr>
          </w:pPr>
          <w:r>
            <w:fldChar w:fldCharType="begin"/>
          </w:r>
          <w:r>
            <w:instrText xml:space="preserve"> HYPERLINK \l "_bookmark51" </w:instrText>
          </w:r>
          <w:r>
            <w:fldChar w:fldCharType="separate"/>
          </w:r>
          <w:r>
            <w:t>声环境评价工作等级及范围</w:t>
          </w:r>
          <w:r>
            <w:tab/>
          </w:r>
          <w:r>
            <w:rPr>
              <w:rFonts w:ascii="Times New Roman" w:eastAsia="Times New Roman"/>
            </w:rPr>
            <w:t>143</w:t>
          </w:r>
          <w:r>
            <w:rPr>
              <w:rFonts w:ascii="Times New Roman" w:eastAsia="Times New Roman"/>
            </w:rPr>
            <w:fldChar w:fldCharType="end"/>
          </w:r>
        </w:p>
        <w:p>
          <w:pPr>
            <w:pStyle w:val="7"/>
            <w:numPr>
              <w:ilvl w:val="1"/>
              <w:numId w:val="1"/>
            </w:numPr>
            <w:tabs>
              <w:tab w:val="left" w:pos="1775"/>
              <w:tab w:val="right" w:leader="dot" w:pos="9347"/>
            </w:tabs>
            <w:spacing w:before="2" w:after="0" w:line="240" w:lineRule="auto"/>
            <w:ind w:left="1774" w:right="0" w:hanging="315"/>
            <w:jc w:val="left"/>
            <w:rPr>
              <w:rFonts w:ascii="Times New Roman" w:eastAsia="Times New Roman"/>
            </w:rPr>
          </w:pPr>
          <w:r>
            <w:fldChar w:fldCharType="begin"/>
          </w:r>
          <w:r>
            <w:instrText xml:space="preserve"> HYPERLINK \l "_bookmark52" </w:instrText>
          </w:r>
          <w:r>
            <w:fldChar w:fldCharType="separate"/>
          </w:r>
          <w:r>
            <w:t>声环境现状监测与评价</w:t>
          </w:r>
          <w:r>
            <w:tab/>
          </w:r>
          <w:r>
            <w:rPr>
              <w:rFonts w:ascii="Times New Roman" w:eastAsia="Times New Roman"/>
            </w:rPr>
            <w:t>143</w:t>
          </w:r>
          <w:r>
            <w:rPr>
              <w:rFonts w:ascii="Times New Roman" w:eastAsia="Times New Roman"/>
            </w:rPr>
            <w:fldChar w:fldCharType="end"/>
          </w:r>
        </w:p>
        <w:p>
          <w:pPr>
            <w:pStyle w:val="7"/>
            <w:numPr>
              <w:ilvl w:val="1"/>
              <w:numId w:val="1"/>
            </w:numPr>
            <w:tabs>
              <w:tab w:val="left" w:pos="1775"/>
              <w:tab w:val="right" w:leader="dot" w:pos="9347"/>
            </w:tabs>
            <w:spacing w:before="5" w:after="0" w:line="240" w:lineRule="auto"/>
            <w:ind w:left="1774" w:right="0" w:hanging="315"/>
            <w:jc w:val="left"/>
            <w:rPr>
              <w:rFonts w:ascii="Times New Roman" w:eastAsia="Times New Roman"/>
            </w:rPr>
          </w:pPr>
          <w:r>
            <w:fldChar w:fldCharType="begin"/>
          </w:r>
          <w:r>
            <w:instrText xml:space="preserve"> HYPERLINK \l "_bookmark53" </w:instrText>
          </w:r>
          <w:r>
            <w:fldChar w:fldCharType="separate"/>
          </w:r>
          <w:r>
            <w:t>建设期声环境影响及防治措施</w:t>
          </w:r>
          <w:r>
            <w:tab/>
          </w:r>
          <w:r>
            <w:rPr>
              <w:rFonts w:ascii="Times New Roman" w:eastAsia="Times New Roman"/>
            </w:rPr>
            <w:t>144</w:t>
          </w:r>
          <w:r>
            <w:rPr>
              <w:rFonts w:ascii="Times New Roman" w:eastAsia="Times New Roman"/>
            </w:rPr>
            <w:fldChar w:fldCharType="end"/>
          </w:r>
        </w:p>
        <w:p>
          <w:pPr>
            <w:pStyle w:val="7"/>
            <w:numPr>
              <w:ilvl w:val="1"/>
              <w:numId w:val="1"/>
            </w:numPr>
            <w:tabs>
              <w:tab w:val="left" w:pos="1775"/>
              <w:tab w:val="right" w:leader="dot" w:pos="9347"/>
            </w:tabs>
            <w:spacing w:before="2" w:after="0" w:line="240" w:lineRule="auto"/>
            <w:ind w:left="1774" w:right="0" w:hanging="315"/>
            <w:jc w:val="left"/>
            <w:rPr>
              <w:rFonts w:ascii="Times New Roman" w:eastAsia="Times New Roman"/>
            </w:rPr>
          </w:pPr>
          <w:r>
            <w:fldChar w:fldCharType="begin"/>
          </w:r>
          <w:r>
            <w:instrText xml:space="preserve"> HYPERLINK \l "_bookmark54" </w:instrText>
          </w:r>
          <w:r>
            <w:fldChar w:fldCharType="separate"/>
          </w:r>
          <w:r>
            <w:t>运营期声环境影响预测与评价</w:t>
          </w:r>
          <w:r>
            <w:tab/>
          </w:r>
          <w:r>
            <w:rPr>
              <w:rFonts w:ascii="Times New Roman" w:eastAsia="Times New Roman"/>
            </w:rPr>
            <w:t>145</w:t>
          </w:r>
          <w:r>
            <w:rPr>
              <w:rFonts w:ascii="Times New Roman" w:eastAsia="Times New Roman"/>
            </w:rPr>
            <w:fldChar w:fldCharType="end"/>
          </w:r>
        </w:p>
        <w:p>
          <w:pPr>
            <w:pStyle w:val="7"/>
            <w:numPr>
              <w:ilvl w:val="1"/>
              <w:numId w:val="1"/>
            </w:numPr>
            <w:tabs>
              <w:tab w:val="left" w:pos="1775"/>
              <w:tab w:val="right" w:leader="dot" w:pos="9347"/>
            </w:tabs>
            <w:spacing w:before="4" w:after="0" w:line="240" w:lineRule="auto"/>
            <w:ind w:left="1774" w:right="0" w:hanging="315"/>
            <w:jc w:val="left"/>
            <w:rPr>
              <w:rFonts w:ascii="Times New Roman" w:eastAsia="Times New Roman"/>
            </w:rPr>
          </w:pPr>
          <w:r>
            <w:fldChar w:fldCharType="begin"/>
          </w:r>
          <w:r>
            <w:instrText xml:space="preserve"> HYPERLINK \l "_bookmark55" </w:instrText>
          </w:r>
          <w:r>
            <w:fldChar w:fldCharType="separate"/>
          </w:r>
          <w:r>
            <w:t>声环境污染防治措施</w:t>
          </w:r>
          <w:r>
            <w:tab/>
          </w:r>
          <w:r>
            <w:rPr>
              <w:rFonts w:ascii="Times New Roman" w:eastAsia="Times New Roman"/>
            </w:rPr>
            <w:t>148</w:t>
          </w:r>
          <w:r>
            <w:rPr>
              <w:rFonts w:ascii="Times New Roman" w:eastAsia="Times New Roman"/>
            </w:rPr>
            <w:fldChar w:fldCharType="end"/>
          </w:r>
        </w:p>
        <w:p>
          <w:pPr>
            <w:pStyle w:val="9"/>
            <w:numPr>
              <w:ilvl w:val="0"/>
              <w:numId w:val="1"/>
            </w:numPr>
            <w:tabs>
              <w:tab w:val="left" w:pos="1393"/>
              <w:tab w:val="right" w:leader="dot" w:pos="9347"/>
            </w:tabs>
            <w:spacing w:before="43" w:after="0" w:line="240" w:lineRule="auto"/>
            <w:ind w:left="1392" w:right="0" w:hanging="353"/>
            <w:jc w:val="left"/>
            <w:rPr>
              <w:rFonts w:ascii="Times New Roman" w:eastAsia="Times New Roman"/>
            </w:rPr>
          </w:pPr>
          <w:r>
            <w:fldChar w:fldCharType="begin"/>
          </w:r>
          <w:r>
            <w:instrText xml:space="preserve"> HYPERLINK \l "_bookmark56" </w:instrText>
          </w:r>
          <w:r>
            <w:fldChar w:fldCharType="separate"/>
          </w:r>
          <w:r>
            <w:t>固</w:t>
          </w:r>
          <w:r>
            <w:rPr>
              <w:spacing w:val="-3"/>
            </w:rPr>
            <w:t>体</w:t>
          </w:r>
          <w:r>
            <w:t>废物</w:t>
          </w:r>
          <w:r>
            <w:rPr>
              <w:spacing w:val="-3"/>
            </w:rPr>
            <w:t>环</w:t>
          </w:r>
          <w:r>
            <w:t>境影</w:t>
          </w:r>
          <w:r>
            <w:rPr>
              <w:spacing w:val="-3"/>
            </w:rPr>
            <w:t>响</w:t>
          </w:r>
          <w:r>
            <w:t>分析</w:t>
          </w:r>
          <w:r>
            <w:tab/>
          </w:r>
          <w:r>
            <w:rPr>
              <w:rFonts w:ascii="Times New Roman" w:eastAsia="Times New Roman"/>
            </w:rPr>
            <w:t>149</w:t>
          </w:r>
          <w:r>
            <w:rPr>
              <w:rFonts w:ascii="Times New Roman" w:eastAsia="Times New Roman"/>
            </w:rPr>
            <w:fldChar w:fldCharType="end"/>
          </w:r>
        </w:p>
        <w:p>
          <w:pPr>
            <w:pStyle w:val="7"/>
            <w:numPr>
              <w:ilvl w:val="1"/>
              <w:numId w:val="1"/>
            </w:numPr>
            <w:tabs>
              <w:tab w:val="left" w:pos="1880"/>
              <w:tab w:val="right" w:leader="dot" w:pos="9347"/>
            </w:tabs>
            <w:spacing w:before="1" w:after="0" w:line="240" w:lineRule="auto"/>
            <w:ind w:left="1880" w:right="0" w:hanging="420"/>
            <w:jc w:val="left"/>
            <w:rPr>
              <w:rFonts w:ascii="Times New Roman" w:eastAsia="Times New Roman"/>
            </w:rPr>
          </w:pPr>
          <w:r>
            <w:fldChar w:fldCharType="begin"/>
          </w:r>
          <w:r>
            <w:instrText xml:space="preserve"> HYPERLINK \l "_bookmark57" </w:instrText>
          </w:r>
          <w:r>
            <w:fldChar w:fldCharType="separate"/>
          </w:r>
          <w:r>
            <w:t>建设期固体废物的处置</w:t>
          </w:r>
          <w:r>
            <w:tab/>
          </w:r>
          <w:r>
            <w:rPr>
              <w:rFonts w:ascii="Times New Roman" w:eastAsia="Times New Roman"/>
            </w:rPr>
            <w:t>149</w:t>
          </w:r>
          <w:r>
            <w:rPr>
              <w:rFonts w:ascii="Times New Roman" w:eastAsia="Times New Roman"/>
            </w:rPr>
            <w:fldChar w:fldCharType="end"/>
          </w:r>
        </w:p>
        <w:p>
          <w:pPr>
            <w:pStyle w:val="7"/>
            <w:numPr>
              <w:ilvl w:val="1"/>
              <w:numId w:val="1"/>
            </w:numPr>
            <w:tabs>
              <w:tab w:val="left" w:pos="1880"/>
              <w:tab w:val="right" w:leader="dot" w:pos="9347"/>
            </w:tabs>
            <w:spacing w:before="3" w:after="0" w:line="240" w:lineRule="auto"/>
            <w:ind w:left="1880" w:right="0" w:hanging="420"/>
            <w:jc w:val="left"/>
            <w:rPr>
              <w:rFonts w:ascii="Times New Roman" w:eastAsia="Times New Roman"/>
            </w:rPr>
          </w:pPr>
          <w:r>
            <w:fldChar w:fldCharType="begin"/>
          </w:r>
          <w:r>
            <w:instrText xml:space="preserve"> HYPERLINK \l "_bookmark58" </w:instrText>
          </w:r>
          <w:r>
            <w:fldChar w:fldCharType="separate"/>
          </w:r>
          <w:r>
            <w:t>运营期固体废物排放情况与处置措施分析</w:t>
          </w:r>
          <w:r>
            <w:tab/>
          </w:r>
          <w:r>
            <w:rPr>
              <w:rFonts w:ascii="Times New Roman" w:eastAsia="Times New Roman"/>
            </w:rPr>
            <w:t>149</w:t>
          </w:r>
          <w:r>
            <w:rPr>
              <w:rFonts w:ascii="Times New Roman" w:eastAsia="Times New Roman"/>
            </w:rPr>
            <w:fldChar w:fldCharType="end"/>
          </w:r>
        </w:p>
        <w:p>
          <w:pPr>
            <w:pStyle w:val="7"/>
            <w:numPr>
              <w:ilvl w:val="1"/>
              <w:numId w:val="1"/>
            </w:numPr>
            <w:tabs>
              <w:tab w:val="left" w:pos="1880"/>
              <w:tab w:val="right" w:leader="dot" w:pos="9347"/>
            </w:tabs>
            <w:spacing w:before="4" w:after="0" w:line="240" w:lineRule="auto"/>
            <w:ind w:left="1880" w:right="0" w:hanging="420"/>
            <w:jc w:val="left"/>
            <w:rPr>
              <w:rFonts w:ascii="Times New Roman" w:eastAsia="Times New Roman"/>
            </w:rPr>
          </w:pPr>
          <w:r>
            <w:fldChar w:fldCharType="begin"/>
          </w:r>
          <w:r>
            <w:instrText xml:space="preserve"> HYPERLINK \l "_bookmark59" </w:instrText>
          </w:r>
          <w:r>
            <w:fldChar w:fldCharType="separate"/>
          </w:r>
          <w:r>
            <w:t>固体废物环境的影响分析</w:t>
          </w:r>
          <w:r>
            <w:tab/>
          </w:r>
          <w:r>
            <w:rPr>
              <w:rFonts w:ascii="Times New Roman" w:eastAsia="Times New Roman"/>
            </w:rPr>
            <w:t>149</w:t>
          </w:r>
          <w:r>
            <w:rPr>
              <w:rFonts w:ascii="Times New Roman" w:eastAsia="Times New Roman"/>
            </w:rPr>
            <w:fldChar w:fldCharType="end"/>
          </w:r>
        </w:p>
        <w:p>
          <w:pPr>
            <w:pStyle w:val="7"/>
            <w:numPr>
              <w:ilvl w:val="1"/>
              <w:numId w:val="1"/>
            </w:numPr>
            <w:tabs>
              <w:tab w:val="left" w:pos="1880"/>
              <w:tab w:val="right" w:leader="dot" w:pos="9347"/>
            </w:tabs>
            <w:spacing w:before="2" w:after="0" w:line="240" w:lineRule="auto"/>
            <w:ind w:left="1880" w:right="0" w:hanging="420"/>
            <w:jc w:val="left"/>
            <w:rPr>
              <w:rFonts w:ascii="Times New Roman" w:eastAsia="Times New Roman"/>
            </w:rPr>
          </w:pPr>
          <w:r>
            <w:fldChar w:fldCharType="begin"/>
          </w:r>
          <w:r>
            <w:instrText xml:space="preserve"> HYPERLINK \l "_bookmark60" </w:instrText>
          </w:r>
          <w:r>
            <w:fldChar w:fldCharType="separate"/>
          </w:r>
          <w:r>
            <w:t>排矸场污染防治和复垦措施</w:t>
          </w:r>
          <w:r>
            <w:tab/>
          </w:r>
          <w:r>
            <w:rPr>
              <w:rFonts w:ascii="Times New Roman" w:eastAsia="Times New Roman"/>
            </w:rPr>
            <w:t>151</w:t>
          </w:r>
          <w:r>
            <w:rPr>
              <w:rFonts w:ascii="Times New Roman" w:eastAsia="Times New Roman"/>
            </w:rPr>
            <w:fldChar w:fldCharType="end"/>
          </w:r>
        </w:p>
        <w:p>
          <w:pPr>
            <w:pStyle w:val="9"/>
            <w:numPr>
              <w:ilvl w:val="0"/>
              <w:numId w:val="1"/>
            </w:numPr>
            <w:tabs>
              <w:tab w:val="left" w:pos="1393"/>
              <w:tab w:val="right" w:leader="dot" w:pos="9347"/>
            </w:tabs>
            <w:spacing w:before="45" w:after="0" w:line="358" w:lineRule="exact"/>
            <w:ind w:left="1392" w:right="0" w:hanging="353"/>
            <w:jc w:val="left"/>
            <w:rPr>
              <w:rFonts w:ascii="Times New Roman" w:eastAsia="Times New Roman"/>
            </w:rPr>
          </w:pPr>
          <w:r>
            <w:fldChar w:fldCharType="begin"/>
          </w:r>
          <w:r>
            <w:instrText xml:space="preserve"> HYPERLINK \l "_bookmark62" </w:instrText>
          </w:r>
          <w:r>
            <w:fldChar w:fldCharType="separate"/>
          </w:r>
          <w:r>
            <w:t>土</w:t>
          </w:r>
          <w:r>
            <w:rPr>
              <w:spacing w:val="-3"/>
            </w:rPr>
            <w:t>壤</w:t>
          </w:r>
          <w:r>
            <w:t>环境</w:t>
          </w:r>
          <w:r>
            <w:rPr>
              <w:spacing w:val="-3"/>
            </w:rPr>
            <w:t>影</w:t>
          </w:r>
          <w:r>
            <w:t>响评价</w:t>
          </w:r>
          <w:r>
            <w:tab/>
          </w:r>
          <w:r>
            <w:rPr>
              <w:rFonts w:ascii="Times New Roman" w:eastAsia="Times New Roman"/>
            </w:rPr>
            <w:t>152</w:t>
          </w:r>
          <w:r>
            <w:rPr>
              <w:rFonts w:ascii="Times New Roman" w:eastAsia="Times New Roman"/>
            </w:rPr>
            <w:fldChar w:fldCharType="end"/>
          </w:r>
        </w:p>
        <w:p>
          <w:pPr>
            <w:pStyle w:val="7"/>
            <w:tabs>
              <w:tab w:val="right" w:leader="dot" w:pos="9347"/>
            </w:tabs>
            <w:spacing w:before="0" w:line="269" w:lineRule="exact"/>
            <w:ind w:left="1460" w:firstLine="0"/>
            <w:rPr>
              <w:rFonts w:ascii="Times New Roman" w:eastAsia="Times New Roman"/>
            </w:rPr>
          </w:pPr>
          <w:r>
            <w:fldChar w:fldCharType="begin"/>
          </w:r>
          <w:r>
            <w:instrText xml:space="preserve"> HYPERLINK \l "_bookmark61" </w:instrText>
          </w:r>
          <w:r>
            <w:fldChar w:fldCharType="separate"/>
          </w:r>
          <w:r>
            <w:rPr>
              <w:rFonts w:ascii="Times New Roman" w:eastAsia="Times New Roman"/>
            </w:rPr>
            <w:t>11.1</w:t>
          </w:r>
          <w:r>
            <w:rPr>
              <w:rFonts w:ascii="Times New Roman" w:eastAsia="Times New Roman"/>
              <w:spacing w:val="-2"/>
            </w:rPr>
            <w:t xml:space="preserve"> </w:t>
          </w:r>
          <w:r>
            <w:t>概述</w:t>
          </w:r>
          <w:r>
            <w:tab/>
          </w:r>
          <w:r>
            <w:rPr>
              <w:rFonts w:ascii="Times New Roman" w:eastAsia="Times New Roman"/>
            </w:rPr>
            <w:t>152</w:t>
          </w:r>
          <w:r>
            <w:rPr>
              <w:rFonts w:ascii="Times New Roman" w:eastAsia="Times New Roman"/>
            </w:rPr>
            <w:fldChar w:fldCharType="end"/>
          </w:r>
        </w:p>
        <w:p>
          <w:pPr>
            <w:pStyle w:val="7"/>
            <w:numPr>
              <w:ilvl w:val="1"/>
              <w:numId w:val="3"/>
            </w:numPr>
            <w:tabs>
              <w:tab w:val="left" w:pos="1873"/>
              <w:tab w:val="right" w:leader="dot" w:pos="9347"/>
            </w:tabs>
            <w:spacing w:before="5" w:after="0" w:line="240" w:lineRule="auto"/>
            <w:ind w:left="1872" w:right="0" w:hanging="413"/>
            <w:jc w:val="left"/>
            <w:rPr>
              <w:rFonts w:ascii="Times New Roman" w:eastAsia="Times New Roman"/>
            </w:rPr>
          </w:pPr>
          <w:r>
            <w:fldChar w:fldCharType="begin"/>
          </w:r>
          <w:r>
            <w:instrText xml:space="preserve"> HYPERLINK \l "_bookmark63" </w:instrText>
          </w:r>
          <w:r>
            <w:fldChar w:fldCharType="separate"/>
          </w:r>
          <w:r>
            <w:t>土壤环境评价等级、评价范围确定及敏感目标</w:t>
          </w:r>
          <w:r>
            <w:tab/>
          </w:r>
          <w:r>
            <w:rPr>
              <w:rFonts w:ascii="Times New Roman" w:eastAsia="Times New Roman"/>
            </w:rPr>
            <w:t>153</w:t>
          </w:r>
          <w:r>
            <w:rPr>
              <w:rFonts w:ascii="Times New Roman" w:eastAsia="Times New Roman"/>
            </w:rPr>
            <w:fldChar w:fldCharType="end"/>
          </w:r>
        </w:p>
        <w:p>
          <w:pPr>
            <w:pStyle w:val="7"/>
            <w:numPr>
              <w:ilvl w:val="1"/>
              <w:numId w:val="3"/>
            </w:numPr>
            <w:tabs>
              <w:tab w:val="left" w:pos="1873"/>
              <w:tab w:val="right" w:leader="dot" w:pos="9347"/>
            </w:tabs>
            <w:spacing w:before="4" w:after="0" w:line="240" w:lineRule="auto"/>
            <w:ind w:left="1872" w:right="0" w:hanging="413"/>
            <w:jc w:val="left"/>
            <w:rPr>
              <w:rFonts w:ascii="Times New Roman" w:eastAsia="Times New Roman"/>
            </w:rPr>
          </w:pPr>
          <w:r>
            <w:fldChar w:fldCharType="begin"/>
          </w:r>
          <w:r>
            <w:instrText xml:space="preserve"> HYPERLINK \l "_bookmark64" </w:instrText>
          </w:r>
          <w:r>
            <w:fldChar w:fldCharType="separate"/>
          </w:r>
          <w:r>
            <w:t>土壤环境质量现状监测与评价</w:t>
          </w:r>
          <w:r>
            <w:tab/>
          </w:r>
          <w:r>
            <w:rPr>
              <w:rFonts w:ascii="Times New Roman" w:eastAsia="Times New Roman"/>
            </w:rPr>
            <w:t>154</w:t>
          </w:r>
          <w:r>
            <w:rPr>
              <w:rFonts w:ascii="Times New Roman" w:eastAsia="Times New Roman"/>
            </w:rPr>
            <w:fldChar w:fldCharType="end"/>
          </w:r>
        </w:p>
        <w:p>
          <w:pPr>
            <w:pStyle w:val="7"/>
            <w:numPr>
              <w:ilvl w:val="1"/>
              <w:numId w:val="3"/>
            </w:numPr>
            <w:tabs>
              <w:tab w:val="left" w:pos="1880"/>
              <w:tab w:val="right" w:leader="dot" w:pos="9347"/>
            </w:tabs>
            <w:spacing w:before="2" w:after="0" w:line="240" w:lineRule="auto"/>
            <w:ind w:left="1880" w:right="0" w:hanging="420"/>
            <w:jc w:val="left"/>
            <w:rPr>
              <w:rFonts w:ascii="Times New Roman" w:eastAsia="Times New Roman"/>
            </w:rPr>
          </w:pPr>
          <w:r>
            <w:fldChar w:fldCharType="begin"/>
          </w:r>
          <w:r>
            <w:instrText xml:space="preserve"> HYPERLINK \l "_TOC_250000" </w:instrText>
          </w:r>
          <w:r>
            <w:fldChar w:fldCharType="separate"/>
          </w:r>
          <w:r>
            <w:t>项目施工期土壤环境影响分析</w:t>
          </w:r>
          <w:r>
            <w:tab/>
          </w:r>
          <w:r>
            <w:rPr>
              <w:rFonts w:ascii="Times New Roman" w:eastAsia="Times New Roman"/>
            </w:rPr>
            <w:t>165</w:t>
          </w:r>
          <w:r>
            <w:rPr>
              <w:rFonts w:ascii="Times New Roman" w:eastAsia="Times New Roman"/>
            </w:rPr>
            <w:fldChar w:fldCharType="end"/>
          </w:r>
        </w:p>
        <w:p>
          <w:pPr>
            <w:pStyle w:val="7"/>
            <w:numPr>
              <w:ilvl w:val="1"/>
              <w:numId w:val="3"/>
            </w:numPr>
            <w:tabs>
              <w:tab w:val="left" w:pos="1880"/>
              <w:tab w:val="right" w:leader="dot" w:pos="9347"/>
            </w:tabs>
            <w:spacing w:before="3" w:after="0" w:line="240" w:lineRule="auto"/>
            <w:ind w:left="1880" w:right="0" w:hanging="420"/>
            <w:jc w:val="left"/>
            <w:rPr>
              <w:rFonts w:ascii="Times New Roman" w:eastAsia="Times New Roman"/>
            </w:rPr>
          </w:pPr>
          <w:r>
            <w:fldChar w:fldCharType="begin"/>
          </w:r>
          <w:r>
            <w:instrText xml:space="preserve"> HYPERLINK \l "_bookmark65" </w:instrText>
          </w:r>
          <w:r>
            <w:fldChar w:fldCharType="separate"/>
          </w:r>
          <w:r>
            <w:t>运营期土壤环境影响分析</w:t>
          </w:r>
          <w:r>
            <w:tab/>
          </w:r>
          <w:r>
            <w:rPr>
              <w:rFonts w:ascii="Times New Roman" w:eastAsia="Times New Roman"/>
            </w:rPr>
            <w:t>165</w:t>
          </w:r>
          <w:r>
            <w:rPr>
              <w:rFonts w:ascii="Times New Roman" w:eastAsia="Times New Roman"/>
            </w:rPr>
            <w:fldChar w:fldCharType="end"/>
          </w:r>
        </w:p>
        <w:p>
          <w:pPr>
            <w:pStyle w:val="9"/>
            <w:numPr>
              <w:ilvl w:val="0"/>
              <w:numId w:val="1"/>
            </w:numPr>
            <w:tabs>
              <w:tab w:val="left" w:pos="1393"/>
              <w:tab w:val="right" w:leader="dot" w:pos="9347"/>
            </w:tabs>
            <w:spacing w:before="44" w:after="0" w:line="240" w:lineRule="auto"/>
            <w:ind w:left="1392" w:right="0" w:hanging="353"/>
            <w:jc w:val="left"/>
            <w:rPr>
              <w:rFonts w:ascii="Times New Roman" w:eastAsia="Times New Roman"/>
            </w:rPr>
          </w:pPr>
          <w:r>
            <w:fldChar w:fldCharType="begin"/>
          </w:r>
          <w:r>
            <w:instrText xml:space="preserve"> HYPERLINK \l "_bookmark66" </w:instrText>
          </w:r>
          <w:r>
            <w:fldChar w:fldCharType="separate"/>
          </w:r>
          <w:r>
            <w:t>清</w:t>
          </w:r>
          <w:r>
            <w:rPr>
              <w:spacing w:val="-3"/>
            </w:rPr>
            <w:t>洁</w:t>
          </w:r>
          <w:r>
            <w:t>生产</w:t>
          </w:r>
          <w:r>
            <w:rPr>
              <w:spacing w:val="-3"/>
            </w:rPr>
            <w:t>与</w:t>
          </w:r>
          <w:r>
            <w:t>循环</w:t>
          </w:r>
          <w:r>
            <w:rPr>
              <w:spacing w:val="-3"/>
            </w:rPr>
            <w:t>经</w:t>
          </w:r>
          <w:r>
            <w:t>济分析</w:t>
          </w:r>
          <w:r>
            <w:tab/>
          </w:r>
          <w:r>
            <w:rPr>
              <w:rFonts w:ascii="Times New Roman" w:eastAsia="Times New Roman"/>
            </w:rPr>
            <w:t>166</w:t>
          </w:r>
          <w:r>
            <w:rPr>
              <w:rFonts w:ascii="Times New Roman" w:eastAsia="Times New Roman"/>
            </w:rPr>
            <w:fldChar w:fldCharType="end"/>
          </w:r>
        </w:p>
        <w:p>
          <w:pPr>
            <w:pStyle w:val="7"/>
            <w:numPr>
              <w:ilvl w:val="1"/>
              <w:numId w:val="1"/>
            </w:numPr>
            <w:tabs>
              <w:tab w:val="left" w:pos="1880"/>
              <w:tab w:val="right" w:leader="dot" w:pos="9347"/>
            </w:tabs>
            <w:spacing w:before="2" w:after="0" w:line="240" w:lineRule="auto"/>
            <w:ind w:left="1880" w:right="0" w:hanging="420"/>
            <w:jc w:val="left"/>
            <w:rPr>
              <w:rFonts w:ascii="Times New Roman" w:eastAsia="Times New Roman"/>
            </w:rPr>
          </w:pPr>
          <w:r>
            <w:fldChar w:fldCharType="begin"/>
          </w:r>
          <w:r>
            <w:instrText xml:space="preserve"> HYPERLINK \l "_bookmark67" </w:instrText>
          </w:r>
          <w:r>
            <w:fldChar w:fldCharType="separate"/>
          </w:r>
          <w:r>
            <w:t>循环经济分析</w:t>
          </w:r>
          <w:r>
            <w:tab/>
          </w:r>
          <w:r>
            <w:rPr>
              <w:rFonts w:ascii="Times New Roman" w:eastAsia="Times New Roman"/>
            </w:rPr>
            <w:t>166</w:t>
          </w:r>
          <w:r>
            <w:rPr>
              <w:rFonts w:ascii="Times New Roman" w:eastAsia="Times New Roman"/>
            </w:rPr>
            <w:fldChar w:fldCharType="end"/>
          </w:r>
        </w:p>
        <w:p>
          <w:pPr>
            <w:pStyle w:val="7"/>
            <w:numPr>
              <w:ilvl w:val="1"/>
              <w:numId w:val="1"/>
            </w:numPr>
            <w:tabs>
              <w:tab w:val="left" w:pos="1880"/>
              <w:tab w:val="right" w:leader="dot" w:pos="9347"/>
            </w:tabs>
            <w:spacing w:before="2" w:after="0" w:line="240" w:lineRule="auto"/>
            <w:ind w:left="1880" w:right="0" w:hanging="420"/>
            <w:jc w:val="left"/>
            <w:rPr>
              <w:rFonts w:ascii="Times New Roman" w:eastAsia="Times New Roman"/>
            </w:rPr>
          </w:pPr>
          <w:r>
            <w:fldChar w:fldCharType="begin"/>
          </w:r>
          <w:r>
            <w:instrText xml:space="preserve"> HYPERLINK \l "_bookmark68" </w:instrText>
          </w:r>
          <w:r>
            <w:fldChar w:fldCharType="separate"/>
          </w:r>
          <w:r>
            <w:t>清洁生产水平分析</w:t>
          </w:r>
          <w:r>
            <w:tab/>
          </w:r>
          <w:r>
            <w:rPr>
              <w:rFonts w:ascii="Times New Roman" w:eastAsia="Times New Roman"/>
            </w:rPr>
            <w:t>168</w:t>
          </w:r>
          <w:r>
            <w:rPr>
              <w:rFonts w:ascii="Times New Roman" w:eastAsia="Times New Roman"/>
            </w:rPr>
            <w:fldChar w:fldCharType="end"/>
          </w:r>
        </w:p>
        <w:p>
          <w:pPr>
            <w:pStyle w:val="7"/>
            <w:numPr>
              <w:ilvl w:val="1"/>
              <w:numId w:val="1"/>
            </w:numPr>
            <w:tabs>
              <w:tab w:val="left" w:pos="1880"/>
              <w:tab w:val="right" w:leader="dot" w:pos="9347"/>
            </w:tabs>
            <w:spacing w:before="2" w:after="0" w:line="240" w:lineRule="auto"/>
            <w:ind w:left="1880" w:right="0" w:hanging="420"/>
            <w:jc w:val="left"/>
            <w:rPr>
              <w:rFonts w:ascii="Times New Roman" w:eastAsia="Times New Roman"/>
            </w:rPr>
          </w:pPr>
          <w:r>
            <w:fldChar w:fldCharType="begin"/>
          </w:r>
          <w:r>
            <w:instrText xml:space="preserve"> HYPERLINK \l "_bookmark69" </w:instrText>
          </w:r>
          <w:r>
            <w:fldChar w:fldCharType="separate"/>
          </w:r>
          <w:r>
            <w:t>清洁生产管理体系建设</w:t>
          </w:r>
          <w:r>
            <w:tab/>
          </w:r>
          <w:r>
            <w:rPr>
              <w:rFonts w:ascii="Times New Roman" w:eastAsia="Times New Roman"/>
            </w:rPr>
            <w:t>177</w:t>
          </w:r>
          <w:r>
            <w:rPr>
              <w:rFonts w:ascii="Times New Roman" w:eastAsia="Times New Roman"/>
            </w:rPr>
            <w:fldChar w:fldCharType="end"/>
          </w:r>
        </w:p>
        <w:p>
          <w:pPr>
            <w:pStyle w:val="7"/>
            <w:numPr>
              <w:ilvl w:val="1"/>
              <w:numId w:val="1"/>
            </w:numPr>
            <w:tabs>
              <w:tab w:val="left" w:pos="1880"/>
              <w:tab w:val="right" w:leader="dot" w:pos="9347"/>
            </w:tabs>
            <w:spacing w:before="5" w:after="0" w:line="240" w:lineRule="auto"/>
            <w:ind w:left="1880" w:right="0" w:hanging="420"/>
            <w:jc w:val="left"/>
            <w:rPr>
              <w:rFonts w:ascii="Times New Roman" w:eastAsia="Times New Roman"/>
            </w:rPr>
          </w:pPr>
          <w:r>
            <w:fldChar w:fldCharType="begin"/>
          </w:r>
          <w:r>
            <w:instrText xml:space="preserve"> HYPERLINK \l "_bookmark70" </w:instrText>
          </w:r>
          <w:r>
            <w:fldChar w:fldCharType="separate"/>
          </w:r>
          <w:r>
            <w:t>清洁生产总体评价</w:t>
          </w:r>
          <w:r>
            <w:tab/>
          </w:r>
          <w:r>
            <w:rPr>
              <w:rFonts w:ascii="Times New Roman" w:eastAsia="Times New Roman"/>
            </w:rPr>
            <w:t>177</w:t>
          </w:r>
          <w:r>
            <w:rPr>
              <w:rFonts w:ascii="Times New Roman" w:eastAsia="Times New Roman"/>
            </w:rPr>
            <w:fldChar w:fldCharType="end"/>
          </w:r>
        </w:p>
        <w:p>
          <w:pPr>
            <w:pStyle w:val="7"/>
            <w:numPr>
              <w:ilvl w:val="1"/>
              <w:numId w:val="1"/>
            </w:numPr>
            <w:tabs>
              <w:tab w:val="left" w:pos="1880"/>
              <w:tab w:val="right" w:leader="dot" w:pos="9347"/>
            </w:tabs>
            <w:spacing w:before="2" w:after="0" w:line="240" w:lineRule="auto"/>
            <w:ind w:left="1880" w:right="0" w:hanging="420"/>
            <w:jc w:val="left"/>
            <w:rPr>
              <w:rFonts w:ascii="Times New Roman" w:eastAsia="Times New Roman"/>
            </w:rPr>
          </w:pPr>
          <w:r>
            <w:fldChar w:fldCharType="begin"/>
          </w:r>
          <w:r>
            <w:instrText xml:space="preserve"> HYPERLINK \l "_bookmark71" </w:instrText>
          </w:r>
          <w:r>
            <w:fldChar w:fldCharType="separate"/>
          </w:r>
          <w:r>
            <w:t>清洁生产建议</w:t>
          </w:r>
          <w:r>
            <w:tab/>
          </w:r>
          <w:r>
            <w:rPr>
              <w:rFonts w:ascii="Times New Roman" w:eastAsia="Times New Roman"/>
            </w:rPr>
            <w:t>178</w:t>
          </w:r>
          <w:r>
            <w:rPr>
              <w:rFonts w:ascii="Times New Roman" w:eastAsia="Times New Roman"/>
            </w:rPr>
            <w:fldChar w:fldCharType="end"/>
          </w:r>
        </w:p>
        <w:p>
          <w:pPr>
            <w:pStyle w:val="9"/>
            <w:numPr>
              <w:ilvl w:val="0"/>
              <w:numId w:val="1"/>
            </w:numPr>
            <w:tabs>
              <w:tab w:val="left" w:pos="1393"/>
              <w:tab w:val="right" w:leader="dot" w:pos="9347"/>
            </w:tabs>
            <w:spacing w:before="45" w:after="0" w:line="358" w:lineRule="exact"/>
            <w:ind w:left="1392" w:right="0" w:hanging="353"/>
            <w:jc w:val="left"/>
            <w:rPr>
              <w:rFonts w:ascii="Times New Roman" w:eastAsia="Times New Roman"/>
            </w:rPr>
          </w:pPr>
          <w:r>
            <w:fldChar w:fldCharType="begin"/>
          </w:r>
          <w:r>
            <w:instrText xml:space="preserve"> HYPERLINK \l "_bookmark72" </w:instrText>
          </w:r>
          <w:r>
            <w:fldChar w:fldCharType="separate"/>
          </w:r>
          <w:r>
            <w:t>环</w:t>
          </w:r>
          <w:r>
            <w:rPr>
              <w:spacing w:val="-3"/>
            </w:rPr>
            <w:t>境</w:t>
          </w:r>
          <w:r>
            <w:t>管理</w:t>
          </w:r>
          <w:r>
            <w:rPr>
              <w:spacing w:val="-3"/>
            </w:rPr>
            <w:t>与</w:t>
          </w:r>
          <w:r>
            <w:t>环境</w:t>
          </w:r>
          <w:r>
            <w:rPr>
              <w:spacing w:val="-3"/>
            </w:rPr>
            <w:t>监</w:t>
          </w:r>
          <w:r>
            <w:t>测计划</w:t>
          </w:r>
          <w:r>
            <w:tab/>
          </w:r>
          <w:r>
            <w:rPr>
              <w:rFonts w:ascii="Times New Roman" w:eastAsia="Times New Roman"/>
            </w:rPr>
            <w:t>179</w:t>
          </w:r>
          <w:r>
            <w:rPr>
              <w:rFonts w:ascii="Times New Roman" w:eastAsia="Times New Roman"/>
            </w:rPr>
            <w:fldChar w:fldCharType="end"/>
          </w:r>
        </w:p>
        <w:p>
          <w:pPr>
            <w:pStyle w:val="7"/>
            <w:numPr>
              <w:ilvl w:val="1"/>
              <w:numId w:val="1"/>
            </w:numPr>
            <w:tabs>
              <w:tab w:val="left" w:pos="1880"/>
              <w:tab w:val="right" w:leader="dot" w:pos="9347"/>
            </w:tabs>
            <w:spacing w:before="0" w:after="0" w:line="269" w:lineRule="exact"/>
            <w:ind w:left="1880" w:right="0" w:hanging="420"/>
            <w:jc w:val="left"/>
            <w:rPr>
              <w:rFonts w:ascii="Times New Roman" w:eastAsia="Times New Roman"/>
            </w:rPr>
          </w:pPr>
          <w:r>
            <w:fldChar w:fldCharType="begin"/>
          </w:r>
          <w:r>
            <w:instrText xml:space="preserve"> HYPERLINK \l "_bookmark73" </w:instrText>
          </w:r>
          <w:r>
            <w:fldChar w:fldCharType="separate"/>
          </w:r>
          <w:r>
            <w:t>建设期环境管理和环境监理</w:t>
          </w:r>
          <w:r>
            <w:tab/>
          </w:r>
          <w:r>
            <w:rPr>
              <w:rFonts w:ascii="Times New Roman" w:eastAsia="Times New Roman"/>
            </w:rPr>
            <w:t>179</w:t>
          </w:r>
          <w:r>
            <w:rPr>
              <w:rFonts w:ascii="Times New Roman" w:eastAsia="Times New Roman"/>
            </w:rPr>
            <w:fldChar w:fldCharType="end"/>
          </w:r>
        </w:p>
        <w:p>
          <w:pPr>
            <w:pStyle w:val="7"/>
            <w:numPr>
              <w:ilvl w:val="1"/>
              <w:numId w:val="1"/>
            </w:numPr>
            <w:tabs>
              <w:tab w:val="left" w:pos="1880"/>
              <w:tab w:val="right" w:leader="dot" w:pos="9347"/>
            </w:tabs>
            <w:spacing w:before="5" w:after="0" w:line="240" w:lineRule="auto"/>
            <w:ind w:left="1880" w:right="0" w:hanging="420"/>
            <w:jc w:val="left"/>
            <w:rPr>
              <w:rFonts w:ascii="Times New Roman" w:eastAsia="Times New Roman"/>
            </w:rPr>
          </w:pPr>
          <w:r>
            <w:fldChar w:fldCharType="begin"/>
          </w:r>
          <w:r>
            <w:instrText xml:space="preserve"> HYPERLINK \l "_bookmark74" </w:instrText>
          </w:r>
          <w:r>
            <w:fldChar w:fldCharType="separate"/>
          </w:r>
          <w:r>
            <w:t>环境管理机构及职责</w:t>
          </w:r>
          <w:r>
            <w:tab/>
          </w:r>
          <w:r>
            <w:rPr>
              <w:rFonts w:ascii="Times New Roman" w:eastAsia="Times New Roman"/>
            </w:rPr>
            <w:t>180</w:t>
          </w:r>
          <w:r>
            <w:rPr>
              <w:rFonts w:ascii="Times New Roman" w:eastAsia="Times New Roman"/>
            </w:rPr>
            <w:fldChar w:fldCharType="end"/>
          </w:r>
        </w:p>
        <w:p>
          <w:pPr>
            <w:pStyle w:val="7"/>
            <w:numPr>
              <w:ilvl w:val="1"/>
              <w:numId w:val="1"/>
            </w:numPr>
            <w:tabs>
              <w:tab w:val="left" w:pos="1880"/>
              <w:tab w:val="right" w:leader="dot" w:pos="9347"/>
            </w:tabs>
            <w:spacing w:before="2" w:after="0" w:line="240" w:lineRule="auto"/>
            <w:ind w:left="1880" w:right="0" w:hanging="420"/>
            <w:jc w:val="left"/>
            <w:rPr>
              <w:rFonts w:ascii="Times New Roman" w:eastAsia="Times New Roman"/>
            </w:rPr>
          </w:pPr>
          <w:r>
            <w:fldChar w:fldCharType="begin"/>
          </w:r>
          <w:r>
            <w:instrText xml:space="preserve"> HYPERLINK \l "_bookmark75" </w:instrText>
          </w:r>
          <w:r>
            <w:fldChar w:fldCharType="separate"/>
          </w:r>
          <w:r>
            <w:t>环境监测计划</w:t>
          </w:r>
          <w:r>
            <w:tab/>
          </w:r>
          <w:r>
            <w:rPr>
              <w:rFonts w:ascii="Times New Roman" w:eastAsia="Times New Roman"/>
            </w:rPr>
            <w:t>183</w:t>
          </w:r>
          <w:r>
            <w:rPr>
              <w:rFonts w:ascii="Times New Roman" w:eastAsia="Times New Roman"/>
            </w:rPr>
            <w:fldChar w:fldCharType="end"/>
          </w:r>
        </w:p>
        <w:p>
          <w:pPr>
            <w:pStyle w:val="7"/>
            <w:numPr>
              <w:ilvl w:val="1"/>
              <w:numId w:val="1"/>
            </w:numPr>
            <w:tabs>
              <w:tab w:val="left" w:pos="1880"/>
              <w:tab w:val="right" w:leader="dot" w:pos="9347"/>
            </w:tabs>
            <w:spacing w:before="4" w:after="0" w:line="240" w:lineRule="auto"/>
            <w:ind w:left="1880" w:right="0" w:hanging="420"/>
            <w:jc w:val="left"/>
            <w:rPr>
              <w:rFonts w:ascii="Times New Roman" w:eastAsia="Times New Roman"/>
            </w:rPr>
          </w:pPr>
          <w:r>
            <w:fldChar w:fldCharType="begin"/>
          </w:r>
          <w:r>
            <w:instrText xml:space="preserve"> HYPERLINK \l "_bookmark76" </w:instrText>
          </w:r>
          <w:r>
            <w:fldChar w:fldCharType="separate"/>
          </w:r>
          <w:r>
            <w:t>污染物排放清单</w:t>
          </w:r>
          <w:r>
            <w:tab/>
          </w:r>
          <w:r>
            <w:rPr>
              <w:rFonts w:ascii="Times New Roman" w:eastAsia="Times New Roman"/>
            </w:rPr>
            <w:t>186</w:t>
          </w:r>
          <w:r>
            <w:rPr>
              <w:rFonts w:ascii="Times New Roman" w:eastAsia="Times New Roman"/>
            </w:rPr>
            <w:fldChar w:fldCharType="end"/>
          </w:r>
        </w:p>
        <w:p>
          <w:pPr>
            <w:pStyle w:val="7"/>
            <w:numPr>
              <w:ilvl w:val="1"/>
              <w:numId w:val="1"/>
            </w:numPr>
            <w:tabs>
              <w:tab w:val="left" w:pos="1880"/>
              <w:tab w:val="right" w:leader="dot" w:pos="9347"/>
            </w:tabs>
            <w:spacing w:before="5" w:after="0" w:line="240" w:lineRule="auto"/>
            <w:ind w:left="1880" w:right="0" w:hanging="420"/>
            <w:jc w:val="left"/>
            <w:rPr>
              <w:rFonts w:ascii="Times New Roman" w:eastAsia="Times New Roman"/>
            </w:rPr>
          </w:pPr>
          <w:r>
            <w:fldChar w:fldCharType="begin"/>
          </w:r>
          <w:r>
            <w:instrText xml:space="preserve"> HYPERLINK \l "_bookmark77" </w:instrText>
          </w:r>
          <w:r>
            <w:fldChar w:fldCharType="separate"/>
          </w:r>
          <w:r>
            <w:t>排污口规划化管理</w:t>
          </w:r>
          <w:r>
            <w:tab/>
          </w:r>
          <w:r>
            <w:rPr>
              <w:rFonts w:ascii="Times New Roman" w:eastAsia="Times New Roman"/>
            </w:rPr>
            <w:t>189</w:t>
          </w:r>
          <w:r>
            <w:rPr>
              <w:rFonts w:ascii="Times New Roman" w:eastAsia="Times New Roman"/>
            </w:rPr>
            <w:fldChar w:fldCharType="end"/>
          </w:r>
        </w:p>
        <w:p>
          <w:pPr>
            <w:pStyle w:val="7"/>
            <w:numPr>
              <w:ilvl w:val="1"/>
              <w:numId w:val="1"/>
            </w:numPr>
            <w:tabs>
              <w:tab w:val="left" w:pos="1880"/>
              <w:tab w:val="right" w:leader="dot" w:pos="9347"/>
            </w:tabs>
            <w:spacing w:before="2" w:after="0" w:line="240" w:lineRule="auto"/>
            <w:ind w:left="1880" w:right="0" w:hanging="420"/>
            <w:jc w:val="left"/>
            <w:rPr>
              <w:rFonts w:ascii="Times New Roman" w:eastAsia="Times New Roman"/>
            </w:rPr>
          </w:pPr>
          <w:r>
            <w:fldChar w:fldCharType="begin"/>
          </w:r>
          <w:r>
            <w:instrText xml:space="preserve"> HYPERLINK \l "_bookmark78" </w:instrText>
          </w:r>
          <w:r>
            <w:fldChar w:fldCharType="separate"/>
          </w:r>
          <w:r>
            <w:t>环境保护竣工验收</w:t>
          </w:r>
          <w:r>
            <w:tab/>
          </w:r>
          <w:r>
            <w:rPr>
              <w:rFonts w:ascii="Times New Roman" w:eastAsia="Times New Roman"/>
            </w:rPr>
            <w:t>190</w:t>
          </w:r>
          <w:r>
            <w:rPr>
              <w:rFonts w:ascii="Times New Roman" w:eastAsia="Times New Roman"/>
            </w:rPr>
            <w:fldChar w:fldCharType="end"/>
          </w:r>
        </w:p>
        <w:p>
          <w:pPr>
            <w:pStyle w:val="9"/>
            <w:numPr>
              <w:ilvl w:val="0"/>
              <w:numId w:val="1"/>
            </w:numPr>
            <w:tabs>
              <w:tab w:val="left" w:pos="1393"/>
              <w:tab w:val="right" w:leader="dot" w:pos="9347"/>
            </w:tabs>
            <w:spacing w:before="42" w:after="0" w:line="240" w:lineRule="auto"/>
            <w:ind w:left="1392" w:right="0" w:hanging="353"/>
            <w:jc w:val="left"/>
            <w:rPr>
              <w:rFonts w:ascii="Times New Roman" w:eastAsia="Times New Roman"/>
            </w:rPr>
          </w:pPr>
          <w:r>
            <w:fldChar w:fldCharType="begin"/>
          </w:r>
          <w:r>
            <w:instrText xml:space="preserve"> HYPERLINK \l "_bookmark80" </w:instrText>
          </w:r>
          <w:r>
            <w:fldChar w:fldCharType="separate"/>
          </w:r>
          <w:r>
            <w:t>项</w:t>
          </w:r>
          <w:r>
            <w:rPr>
              <w:spacing w:val="-3"/>
            </w:rPr>
            <w:t>目</w:t>
          </w:r>
          <w:r>
            <w:t>选址</w:t>
          </w:r>
          <w:r>
            <w:rPr>
              <w:spacing w:val="-3"/>
            </w:rPr>
            <w:t>环</w:t>
          </w:r>
          <w:r>
            <w:t>境可</w:t>
          </w:r>
          <w:r>
            <w:rPr>
              <w:spacing w:val="-3"/>
            </w:rPr>
            <w:t>行</w:t>
          </w:r>
          <w:r>
            <w:t>性分析</w:t>
          </w:r>
          <w:r>
            <w:tab/>
          </w:r>
          <w:r>
            <w:rPr>
              <w:rFonts w:ascii="Times New Roman" w:eastAsia="Times New Roman"/>
            </w:rPr>
            <w:t>192</w:t>
          </w:r>
          <w:r>
            <w:rPr>
              <w:rFonts w:ascii="Times New Roman" w:eastAsia="Times New Roman"/>
            </w:rPr>
            <w:fldChar w:fldCharType="end"/>
          </w:r>
        </w:p>
        <w:p>
          <w:pPr>
            <w:pStyle w:val="7"/>
            <w:numPr>
              <w:ilvl w:val="1"/>
              <w:numId w:val="1"/>
            </w:numPr>
            <w:tabs>
              <w:tab w:val="left" w:pos="1880"/>
              <w:tab w:val="right" w:leader="dot" w:pos="9347"/>
            </w:tabs>
            <w:spacing w:before="2" w:after="0" w:line="240" w:lineRule="auto"/>
            <w:ind w:left="1880" w:right="0" w:hanging="420"/>
            <w:jc w:val="left"/>
            <w:rPr>
              <w:rFonts w:ascii="Times New Roman" w:eastAsia="Times New Roman"/>
            </w:rPr>
          </w:pPr>
          <w:r>
            <w:fldChar w:fldCharType="begin"/>
          </w:r>
          <w:r>
            <w:instrText xml:space="preserve"> HYPERLINK \l "_bookmark79" </w:instrText>
          </w:r>
          <w:r>
            <w:fldChar w:fldCharType="separate"/>
          </w:r>
          <w:r>
            <w:t>场址方案概述</w:t>
          </w:r>
          <w:r>
            <w:tab/>
          </w:r>
          <w:r>
            <w:rPr>
              <w:rFonts w:ascii="Times New Roman" w:eastAsia="Times New Roman"/>
            </w:rPr>
            <w:t>192</w:t>
          </w:r>
          <w:r>
            <w:rPr>
              <w:rFonts w:ascii="Times New Roman" w:eastAsia="Times New Roman"/>
            </w:rPr>
            <w:fldChar w:fldCharType="end"/>
          </w:r>
        </w:p>
        <w:p>
          <w:pPr>
            <w:pStyle w:val="7"/>
            <w:numPr>
              <w:ilvl w:val="1"/>
              <w:numId w:val="1"/>
            </w:numPr>
            <w:tabs>
              <w:tab w:val="left" w:pos="1880"/>
              <w:tab w:val="right" w:leader="dot" w:pos="9347"/>
            </w:tabs>
            <w:spacing w:before="5" w:after="0" w:line="240" w:lineRule="auto"/>
            <w:ind w:left="1880" w:right="0" w:hanging="420"/>
            <w:jc w:val="left"/>
            <w:rPr>
              <w:rFonts w:ascii="Times New Roman" w:eastAsia="Times New Roman"/>
            </w:rPr>
          </w:pPr>
          <w:r>
            <w:fldChar w:fldCharType="begin"/>
          </w:r>
          <w:r>
            <w:instrText xml:space="preserve"> HYPERLINK \l "_bookmark81" </w:instrText>
          </w:r>
          <w:r>
            <w:fldChar w:fldCharType="separate"/>
          </w:r>
          <w:r>
            <w:t>厂址方案的技术经济比较</w:t>
          </w:r>
          <w:r>
            <w:tab/>
          </w:r>
          <w:r>
            <w:rPr>
              <w:rFonts w:ascii="Times New Roman" w:eastAsia="Times New Roman"/>
            </w:rPr>
            <w:t>192</w:t>
          </w:r>
          <w:r>
            <w:rPr>
              <w:rFonts w:ascii="Times New Roman" w:eastAsia="Times New Roman"/>
            </w:rPr>
            <w:fldChar w:fldCharType="end"/>
          </w:r>
        </w:p>
        <w:p>
          <w:pPr>
            <w:pStyle w:val="7"/>
            <w:numPr>
              <w:ilvl w:val="1"/>
              <w:numId w:val="1"/>
            </w:numPr>
            <w:tabs>
              <w:tab w:val="left" w:pos="1880"/>
              <w:tab w:val="right" w:leader="dot" w:pos="9347"/>
            </w:tabs>
            <w:spacing w:before="2" w:after="0" w:line="240" w:lineRule="auto"/>
            <w:ind w:left="1880" w:right="0" w:hanging="420"/>
            <w:jc w:val="left"/>
            <w:rPr>
              <w:rFonts w:ascii="Times New Roman" w:eastAsia="Times New Roman"/>
            </w:rPr>
          </w:pPr>
          <w:r>
            <w:fldChar w:fldCharType="begin"/>
          </w:r>
          <w:r>
            <w:instrText xml:space="preserve"> HYPERLINK \l "_bookmark82" </w:instrText>
          </w:r>
          <w:r>
            <w:fldChar w:fldCharType="separate"/>
          </w:r>
          <w:r>
            <w:t>设计场地环境制约因素分析</w:t>
          </w:r>
          <w:r>
            <w:tab/>
          </w:r>
          <w:r>
            <w:rPr>
              <w:rFonts w:ascii="Times New Roman" w:eastAsia="Times New Roman"/>
            </w:rPr>
            <w:t>192</w:t>
          </w:r>
          <w:r>
            <w:rPr>
              <w:rFonts w:ascii="Times New Roman" w:eastAsia="Times New Roman"/>
            </w:rPr>
            <w:fldChar w:fldCharType="end"/>
          </w:r>
        </w:p>
        <w:p>
          <w:pPr>
            <w:pStyle w:val="7"/>
            <w:numPr>
              <w:ilvl w:val="1"/>
              <w:numId w:val="1"/>
            </w:numPr>
            <w:tabs>
              <w:tab w:val="left" w:pos="1880"/>
              <w:tab w:val="right" w:leader="dot" w:pos="9347"/>
            </w:tabs>
            <w:spacing w:before="4" w:after="0" w:line="240" w:lineRule="auto"/>
            <w:ind w:left="1880" w:right="0" w:hanging="420"/>
            <w:jc w:val="left"/>
            <w:rPr>
              <w:rFonts w:ascii="Times New Roman" w:eastAsia="Times New Roman"/>
            </w:rPr>
          </w:pPr>
          <w:r>
            <w:fldChar w:fldCharType="begin"/>
          </w:r>
          <w:r>
            <w:instrText xml:space="preserve"> HYPERLINK \l "_bookmark83" </w:instrText>
          </w:r>
          <w:r>
            <w:fldChar w:fldCharType="separate"/>
          </w:r>
          <w:r>
            <w:t>排矸场的环境可行性</w:t>
          </w:r>
          <w:r>
            <w:tab/>
          </w:r>
          <w:r>
            <w:rPr>
              <w:rFonts w:ascii="Times New Roman" w:eastAsia="Times New Roman"/>
            </w:rPr>
            <w:t>192</w:t>
          </w:r>
          <w:r>
            <w:rPr>
              <w:rFonts w:ascii="Times New Roman" w:eastAsia="Times New Roman"/>
            </w:rPr>
            <w:fldChar w:fldCharType="end"/>
          </w:r>
        </w:p>
        <w:p>
          <w:pPr>
            <w:pStyle w:val="7"/>
            <w:numPr>
              <w:ilvl w:val="1"/>
              <w:numId w:val="1"/>
            </w:numPr>
            <w:tabs>
              <w:tab w:val="left" w:pos="1880"/>
              <w:tab w:val="right" w:leader="dot" w:pos="9347"/>
            </w:tabs>
            <w:spacing w:before="2" w:after="0" w:line="240" w:lineRule="auto"/>
            <w:ind w:left="1880" w:right="0" w:hanging="420"/>
            <w:jc w:val="left"/>
            <w:rPr>
              <w:rFonts w:ascii="Times New Roman" w:eastAsia="Times New Roman"/>
            </w:rPr>
          </w:pPr>
          <w:r>
            <w:fldChar w:fldCharType="begin"/>
          </w:r>
          <w:r>
            <w:instrText xml:space="preserve"> HYPERLINK \l "_bookmark84" </w:instrText>
          </w:r>
          <w:r>
            <w:fldChar w:fldCharType="separate"/>
          </w:r>
          <w:r>
            <w:t>项目选址环境可行性综合分析</w:t>
          </w:r>
          <w:r>
            <w:tab/>
          </w:r>
          <w:r>
            <w:rPr>
              <w:rFonts w:ascii="Times New Roman" w:eastAsia="Times New Roman"/>
            </w:rPr>
            <w:t>193</w:t>
          </w:r>
          <w:r>
            <w:rPr>
              <w:rFonts w:ascii="Times New Roman" w:eastAsia="Times New Roman"/>
            </w:rPr>
            <w:fldChar w:fldCharType="end"/>
          </w:r>
        </w:p>
        <w:p>
          <w:pPr>
            <w:pStyle w:val="9"/>
            <w:numPr>
              <w:ilvl w:val="0"/>
              <w:numId w:val="1"/>
            </w:numPr>
            <w:tabs>
              <w:tab w:val="left" w:pos="1393"/>
              <w:tab w:val="right" w:leader="dot" w:pos="9347"/>
            </w:tabs>
            <w:spacing w:before="43" w:after="0" w:line="240" w:lineRule="auto"/>
            <w:ind w:left="1392" w:right="0" w:hanging="353"/>
            <w:jc w:val="left"/>
            <w:rPr>
              <w:rFonts w:ascii="Times New Roman" w:eastAsia="Times New Roman"/>
            </w:rPr>
          </w:pPr>
          <w:r>
            <w:fldChar w:fldCharType="begin"/>
          </w:r>
          <w:r>
            <w:instrText xml:space="preserve"> HYPERLINK \l "_bookmark86" </w:instrText>
          </w:r>
          <w:r>
            <w:fldChar w:fldCharType="separate"/>
          </w:r>
          <w:r>
            <w:t>环</w:t>
          </w:r>
          <w:r>
            <w:rPr>
              <w:spacing w:val="-3"/>
            </w:rPr>
            <w:t>境</w:t>
          </w:r>
          <w:r>
            <w:t>风险</w:t>
          </w:r>
          <w:r>
            <w:rPr>
              <w:spacing w:val="-3"/>
            </w:rPr>
            <w:t>影</w:t>
          </w:r>
          <w:r>
            <w:t>响分析</w:t>
          </w:r>
          <w:r>
            <w:tab/>
          </w:r>
          <w:r>
            <w:rPr>
              <w:rFonts w:ascii="Times New Roman" w:eastAsia="Times New Roman"/>
            </w:rPr>
            <w:t>195</w:t>
          </w:r>
          <w:r>
            <w:rPr>
              <w:rFonts w:ascii="Times New Roman" w:eastAsia="Times New Roman"/>
            </w:rPr>
            <w:fldChar w:fldCharType="end"/>
          </w:r>
        </w:p>
        <w:p>
          <w:pPr>
            <w:pStyle w:val="7"/>
            <w:numPr>
              <w:ilvl w:val="1"/>
              <w:numId w:val="1"/>
            </w:numPr>
            <w:tabs>
              <w:tab w:val="left" w:pos="1880"/>
              <w:tab w:val="right" w:leader="dot" w:pos="9347"/>
            </w:tabs>
            <w:spacing w:before="2" w:after="0" w:line="240" w:lineRule="auto"/>
            <w:ind w:left="1880" w:right="0" w:hanging="420"/>
            <w:jc w:val="left"/>
            <w:rPr>
              <w:rFonts w:ascii="Times New Roman" w:eastAsia="Times New Roman"/>
            </w:rPr>
          </w:pPr>
          <w:r>
            <w:fldChar w:fldCharType="begin"/>
          </w:r>
          <w:r>
            <w:instrText xml:space="preserve"> HYPERLINK \l "_bookmark85" </w:instrText>
          </w:r>
          <w:r>
            <w:fldChar w:fldCharType="separate"/>
          </w:r>
          <w:r>
            <w:t>评价依据</w:t>
          </w:r>
          <w:r>
            <w:tab/>
          </w:r>
          <w:r>
            <w:rPr>
              <w:rFonts w:ascii="Times New Roman" w:eastAsia="Times New Roman"/>
            </w:rPr>
            <w:t>195</w:t>
          </w:r>
          <w:r>
            <w:rPr>
              <w:rFonts w:ascii="Times New Roman" w:eastAsia="Times New Roman"/>
            </w:rPr>
            <w:fldChar w:fldCharType="end"/>
          </w:r>
        </w:p>
        <w:p>
          <w:pPr>
            <w:pStyle w:val="7"/>
            <w:numPr>
              <w:ilvl w:val="1"/>
              <w:numId w:val="1"/>
            </w:numPr>
            <w:tabs>
              <w:tab w:val="left" w:pos="1880"/>
              <w:tab w:val="right" w:leader="dot" w:pos="9347"/>
            </w:tabs>
            <w:spacing w:before="4" w:after="0" w:line="240" w:lineRule="auto"/>
            <w:ind w:left="1880" w:right="0" w:hanging="420"/>
            <w:jc w:val="left"/>
            <w:rPr>
              <w:rFonts w:ascii="Times New Roman" w:eastAsia="Times New Roman"/>
            </w:rPr>
          </w:pPr>
          <w:r>
            <w:fldChar w:fldCharType="begin"/>
          </w:r>
          <w:r>
            <w:instrText xml:space="preserve"> HYPERLINK \l "_bookmark87" </w:instrText>
          </w:r>
          <w:r>
            <w:fldChar w:fldCharType="separate"/>
          </w:r>
          <w:r>
            <w:t>环境敏感目标调查</w:t>
          </w:r>
          <w:r>
            <w:tab/>
          </w:r>
          <w:r>
            <w:rPr>
              <w:rFonts w:ascii="Times New Roman" w:eastAsia="Times New Roman"/>
            </w:rPr>
            <w:t>195</w:t>
          </w:r>
          <w:r>
            <w:rPr>
              <w:rFonts w:ascii="Times New Roman" w:eastAsia="Times New Roman"/>
            </w:rPr>
            <w:fldChar w:fldCharType="end"/>
          </w:r>
        </w:p>
        <w:p>
          <w:pPr>
            <w:pStyle w:val="7"/>
            <w:numPr>
              <w:ilvl w:val="1"/>
              <w:numId w:val="1"/>
            </w:numPr>
            <w:tabs>
              <w:tab w:val="left" w:pos="1880"/>
              <w:tab w:val="right" w:leader="dot" w:pos="9347"/>
            </w:tabs>
            <w:spacing w:before="2" w:after="0" w:line="240" w:lineRule="auto"/>
            <w:ind w:left="1880" w:right="0" w:hanging="420"/>
            <w:jc w:val="left"/>
            <w:rPr>
              <w:rFonts w:ascii="Times New Roman" w:eastAsia="Times New Roman"/>
            </w:rPr>
          </w:pPr>
          <w:r>
            <w:fldChar w:fldCharType="begin"/>
          </w:r>
          <w:r>
            <w:instrText xml:space="preserve"> HYPERLINK \l "_bookmark88" </w:instrText>
          </w:r>
          <w:r>
            <w:fldChar w:fldCharType="separate"/>
          </w:r>
          <w:r>
            <w:t>环境风险识别</w:t>
          </w:r>
          <w:r>
            <w:tab/>
          </w:r>
          <w:r>
            <w:rPr>
              <w:rFonts w:ascii="Times New Roman" w:eastAsia="Times New Roman"/>
            </w:rPr>
            <w:t>196</w:t>
          </w:r>
          <w:r>
            <w:rPr>
              <w:rFonts w:ascii="Times New Roman" w:eastAsia="Times New Roman"/>
            </w:rPr>
            <w:fldChar w:fldCharType="end"/>
          </w:r>
        </w:p>
        <w:p>
          <w:pPr>
            <w:pStyle w:val="7"/>
            <w:numPr>
              <w:ilvl w:val="1"/>
              <w:numId w:val="1"/>
            </w:numPr>
            <w:tabs>
              <w:tab w:val="left" w:pos="1880"/>
              <w:tab w:val="right" w:leader="dot" w:pos="9347"/>
            </w:tabs>
            <w:spacing w:before="2" w:after="0" w:line="240" w:lineRule="auto"/>
            <w:ind w:left="1880" w:right="0" w:hanging="420"/>
            <w:jc w:val="left"/>
            <w:rPr>
              <w:rFonts w:ascii="Times New Roman" w:eastAsia="Times New Roman"/>
            </w:rPr>
          </w:pPr>
          <w:r>
            <w:fldChar w:fldCharType="begin"/>
          </w:r>
          <w:r>
            <w:instrText xml:space="preserve"> HYPERLINK \l "_bookmark89" </w:instrText>
          </w:r>
          <w:r>
            <w:fldChar w:fldCharType="separate"/>
          </w:r>
          <w:r>
            <w:t>环境风险分析</w:t>
          </w:r>
          <w:r>
            <w:tab/>
          </w:r>
          <w:r>
            <w:rPr>
              <w:rFonts w:ascii="Times New Roman" w:eastAsia="Times New Roman"/>
            </w:rPr>
            <w:t>196</w:t>
          </w:r>
          <w:r>
            <w:rPr>
              <w:rFonts w:ascii="Times New Roman" w:eastAsia="Times New Roman"/>
            </w:rPr>
            <w:fldChar w:fldCharType="end"/>
          </w:r>
        </w:p>
        <w:p>
          <w:pPr>
            <w:pStyle w:val="7"/>
            <w:numPr>
              <w:ilvl w:val="1"/>
              <w:numId w:val="1"/>
            </w:numPr>
            <w:tabs>
              <w:tab w:val="left" w:pos="1880"/>
              <w:tab w:val="right" w:leader="dot" w:pos="9347"/>
            </w:tabs>
            <w:spacing w:before="5" w:after="0" w:line="240" w:lineRule="auto"/>
            <w:ind w:left="1880" w:right="0" w:hanging="420"/>
            <w:jc w:val="left"/>
            <w:rPr>
              <w:rFonts w:ascii="Times New Roman" w:eastAsia="Times New Roman"/>
            </w:rPr>
          </w:pPr>
          <w:r>
            <w:fldChar w:fldCharType="begin"/>
          </w:r>
          <w:r>
            <w:instrText xml:space="preserve"> HYPERLINK \l "_bookmark90" </w:instrText>
          </w:r>
          <w:r>
            <w:fldChar w:fldCharType="separate"/>
          </w:r>
          <w:r>
            <w:t>环境风险防范措施及环应急要求</w:t>
          </w:r>
          <w:r>
            <w:tab/>
          </w:r>
          <w:r>
            <w:rPr>
              <w:rFonts w:ascii="Times New Roman" w:eastAsia="Times New Roman"/>
            </w:rPr>
            <w:t>196</w:t>
          </w:r>
          <w:r>
            <w:rPr>
              <w:rFonts w:ascii="Times New Roman" w:eastAsia="Times New Roman"/>
            </w:rPr>
            <w:fldChar w:fldCharType="end"/>
          </w:r>
        </w:p>
        <w:p>
          <w:pPr>
            <w:pStyle w:val="7"/>
            <w:numPr>
              <w:ilvl w:val="1"/>
              <w:numId w:val="1"/>
            </w:numPr>
            <w:tabs>
              <w:tab w:val="left" w:pos="1880"/>
              <w:tab w:val="right" w:leader="dot" w:pos="9347"/>
            </w:tabs>
            <w:spacing w:before="5" w:after="240" w:line="240" w:lineRule="auto"/>
            <w:ind w:left="1880" w:right="0" w:hanging="420"/>
            <w:jc w:val="left"/>
            <w:rPr>
              <w:rFonts w:ascii="Times New Roman" w:eastAsia="Times New Roman"/>
            </w:rPr>
          </w:pPr>
          <w:r>
            <w:fldChar w:fldCharType="begin"/>
          </w:r>
          <w:r>
            <w:instrText xml:space="preserve"> HYPERLINK \l "_bookmark91" </w:instrText>
          </w:r>
          <w:r>
            <w:fldChar w:fldCharType="separate"/>
          </w:r>
          <w:r>
            <w:t>分析结论</w:t>
          </w:r>
          <w:r>
            <w:tab/>
          </w:r>
          <w:r>
            <w:rPr>
              <w:rFonts w:ascii="Times New Roman" w:eastAsia="Times New Roman"/>
            </w:rPr>
            <w:t>198</w:t>
          </w:r>
          <w:r>
            <w:rPr>
              <w:rFonts w:ascii="Times New Roman" w:eastAsia="Times New Roman"/>
            </w:rPr>
            <w:fldChar w:fldCharType="end"/>
          </w:r>
        </w:p>
        <w:p>
          <w:pPr>
            <w:pStyle w:val="9"/>
            <w:numPr>
              <w:ilvl w:val="0"/>
              <w:numId w:val="1"/>
            </w:numPr>
            <w:tabs>
              <w:tab w:val="left" w:pos="1393"/>
              <w:tab w:val="right" w:leader="dot" w:pos="9347"/>
            </w:tabs>
            <w:spacing w:before="102" w:after="0" w:line="240" w:lineRule="auto"/>
            <w:ind w:left="1392" w:right="0" w:hanging="353"/>
            <w:jc w:val="left"/>
            <w:rPr>
              <w:rFonts w:ascii="Times New Roman" w:eastAsia="Times New Roman"/>
            </w:rPr>
          </w:pPr>
          <w:r>
            <w:fldChar w:fldCharType="begin"/>
          </w:r>
          <w:r>
            <w:instrText xml:space="preserve"> HYPERLINK \l "_bookmark92" </w:instrText>
          </w:r>
          <w:r>
            <w:fldChar w:fldCharType="separate"/>
          </w:r>
          <w:r>
            <w:t>环</w:t>
          </w:r>
          <w:r>
            <w:rPr>
              <w:spacing w:val="-3"/>
            </w:rPr>
            <w:t>境</w:t>
          </w:r>
          <w:r>
            <w:t>经济</w:t>
          </w:r>
          <w:r>
            <w:rPr>
              <w:spacing w:val="-3"/>
            </w:rPr>
            <w:t>损</w:t>
          </w:r>
          <w:r>
            <w:t>益分析</w:t>
          </w:r>
          <w:r>
            <w:tab/>
          </w:r>
          <w:r>
            <w:rPr>
              <w:rFonts w:ascii="Times New Roman" w:eastAsia="Times New Roman"/>
            </w:rPr>
            <w:t>200</w:t>
          </w:r>
          <w:r>
            <w:rPr>
              <w:rFonts w:ascii="Times New Roman" w:eastAsia="Times New Roman"/>
            </w:rPr>
            <w:fldChar w:fldCharType="end"/>
          </w:r>
        </w:p>
        <w:p>
          <w:pPr>
            <w:pStyle w:val="7"/>
            <w:numPr>
              <w:ilvl w:val="1"/>
              <w:numId w:val="1"/>
            </w:numPr>
            <w:tabs>
              <w:tab w:val="left" w:pos="1880"/>
              <w:tab w:val="right" w:leader="dot" w:pos="9347"/>
            </w:tabs>
            <w:spacing w:before="2" w:after="0" w:line="240" w:lineRule="auto"/>
            <w:ind w:left="1880" w:right="0" w:hanging="420"/>
            <w:jc w:val="left"/>
            <w:rPr>
              <w:rFonts w:ascii="Times New Roman" w:eastAsia="Times New Roman"/>
            </w:rPr>
          </w:pPr>
          <w:r>
            <w:fldChar w:fldCharType="begin"/>
          </w:r>
          <w:r>
            <w:instrText xml:space="preserve"> HYPERLINK \l "_bookmark93" </w:instrText>
          </w:r>
          <w:r>
            <w:fldChar w:fldCharType="separate"/>
          </w:r>
          <w:r>
            <w:t>环境保护工程投资分析</w:t>
          </w:r>
          <w:r>
            <w:tab/>
          </w:r>
          <w:r>
            <w:rPr>
              <w:rFonts w:ascii="Times New Roman" w:eastAsia="Times New Roman"/>
            </w:rPr>
            <w:t>200</w:t>
          </w:r>
          <w:r>
            <w:rPr>
              <w:rFonts w:ascii="Times New Roman" w:eastAsia="Times New Roman"/>
            </w:rPr>
            <w:fldChar w:fldCharType="end"/>
          </w:r>
        </w:p>
        <w:p>
          <w:pPr>
            <w:pStyle w:val="7"/>
            <w:numPr>
              <w:ilvl w:val="1"/>
              <w:numId w:val="1"/>
            </w:numPr>
            <w:tabs>
              <w:tab w:val="left" w:pos="1880"/>
              <w:tab w:val="right" w:leader="dot" w:pos="9347"/>
            </w:tabs>
            <w:spacing w:before="2" w:after="0" w:line="240" w:lineRule="auto"/>
            <w:ind w:left="1880" w:right="0" w:hanging="420"/>
            <w:jc w:val="left"/>
            <w:rPr>
              <w:rFonts w:ascii="Times New Roman" w:eastAsia="Times New Roman"/>
            </w:rPr>
          </w:pPr>
          <w:r>
            <w:fldChar w:fldCharType="begin"/>
          </w:r>
          <w:r>
            <w:instrText xml:space="preserve"> HYPERLINK \l "_bookmark94" </w:instrText>
          </w:r>
          <w:r>
            <w:fldChar w:fldCharType="separate"/>
          </w:r>
          <w:r>
            <w:t>环境经济效益分析与评价</w:t>
          </w:r>
          <w:r>
            <w:tab/>
          </w:r>
          <w:r>
            <w:rPr>
              <w:rFonts w:ascii="Times New Roman" w:eastAsia="Times New Roman"/>
            </w:rPr>
            <w:t>200</w:t>
          </w:r>
          <w:r>
            <w:rPr>
              <w:rFonts w:ascii="Times New Roman" w:eastAsia="Times New Roman"/>
            </w:rPr>
            <w:fldChar w:fldCharType="end"/>
          </w:r>
        </w:p>
        <w:p>
          <w:pPr>
            <w:pStyle w:val="7"/>
            <w:numPr>
              <w:ilvl w:val="1"/>
              <w:numId w:val="1"/>
            </w:numPr>
            <w:tabs>
              <w:tab w:val="left" w:pos="1880"/>
              <w:tab w:val="right" w:leader="dot" w:pos="9347"/>
            </w:tabs>
            <w:spacing w:before="4" w:after="0" w:line="240" w:lineRule="auto"/>
            <w:ind w:left="1880" w:right="0" w:hanging="420"/>
            <w:jc w:val="left"/>
            <w:rPr>
              <w:rFonts w:ascii="Times New Roman" w:eastAsia="Times New Roman"/>
            </w:rPr>
          </w:pPr>
          <w:r>
            <w:fldChar w:fldCharType="begin"/>
          </w:r>
          <w:r>
            <w:instrText xml:space="preserve"> HYPERLINK \l "_bookmark95" </w:instrText>
          </w:r>
          <w:r>
            <w:fldChar w:fldCharType="separate"/>
          </w:r>
          <w:r>
            <w:t>环境经济损益简要分析</w:t>
          </w:r>
          <w:r>
            <w:tab/>
          </w:r>
          <w:r>
            <w:rPr>
              <w:rFonts w:ascii="Times New Roman" w:eastAsia="Times New Roman"/>
            </w:rPr>
            <w:t>201</w:t>
          </w:r>
          <w:r>
            <w:rPr>
              <w:rFonts w:ascii="Times New Roman" w:eastAsia="Times New Roman"/>
            </w:rPr>
            <w:fldChar w:fldCharType="end"/>
          </w:r>
        </w:p>
        <w:p>
          <w:pPr>
            <w:pStyle w:val="7"/>
            <w:numPr>
              <w:ilvl w:val="1"/>
              <w:numId w:val="1"/>
            </w:numPr>
            <w:tabs>
              <w:tab w:val="left" w:pos="1880"/>
              <w:tab w:val="right" w:leader="dot" w:pos="9347"/>
            </w:tabs>
            <w:spacing w:before="5" w:after="0" w:line="240" w:lineRule="auto"/>
            <w:ind w:left="1880" w:right="0" w:hanging="420"/>
            <w:jc w:val="left"/>
            <w:rPr>
              <w:rFonts w:ascii="Times New Roman" w:eastAsia="Times New Roman"/>
            </w:rPr>
          </w:pPr>
          <w:r>
            <w:fldChar w:fldCharType="begin"/>
          </w:r>
          <w:r>
            <w:instrText xml:space="preserve"> HYPERLINK \l "_bookmark96" </w:instrText>
          </w:r>
          <w:r>
            <w:fldChar w:fldCharType="separate"/>
          </w:r>
          <w:r>
            <w:t>环境保护工程的经济效益分析</w:t>
          </w:r>
          <w:r>
            <w:tab/>
          </w:r>
          <w:r>
            <w:rPr>
              <w:rFonts w:ascii="Times New Roman" w:eastAsia="Times New Roman"/>
            </w:rPr>
            <w:t>203</w:t>
          </w:r>
          <w:r>
            <w:rPr>
              <w:rFonts w:ascii="Times New Roman" w:eastAsia="Times New Roman"/>
            </w:rPr>
            <w:fldChar w:fldCharType="end"/>
          </w:r>
        </w:p>
        <w:p>
          <w:pPr>
            <w:pStyle w:val="7"/>
            <w:numPr>
              <w:ilvl w:val="1"/>
              <w:numId w:val="1"/>
            </w:numPr>
            <w:tabs>
              <w:tab w:val="left" w:pos="1880"/>
              <w:tab w:val="right" w:leader="dot" w:pos="9347"/>
            </w:tabs>
            <w:spacing w:before="2" w:after="0" w:line="240" w:lineRule="auto"/>
            <w:ind w:left="1880" w:right="0" w:hanging="420"/>
            <w:jc w:val="left"/>
            <w:rPr>
              <w:rFonts w:ascii="Times New Roman" w:eastAsia="Times New Roman"/>
            </w:rPr>
          </w:pPr>
          <w:r>
            <w:fldChar w:fldCharType="begin"/>
          </w:r>
          <w:r>
            <w:instrText xml:space="preserve"> HYPERLINK \l "_bookmark97" </w:instrText>
          </w:r>
          <w:r>
            <w:fldChar w:fldCharType="separate"/>
          </w:r>
          <w:r>
            <w:t>环境经济分析结论</w:t>
          </w:r>
          <w:r>
            <w:tab/>
          </w:r>
          <w:r>
            <w:rPr>
              <w:rFonts w:ascii="Times New Roman" w:eastAsia="Times New Roman"/>
            </w:rPr>
            <w:t>204</w:t>
          </w:r>
          <w:r>
            <w:rPr>
              <w:rFonts w:ascii="Times New Roman" w:eastAsia="Times New Roman"/>
            </w:rPr>
            <w:fldChar w:fldCharType="end"/>
          </w:r>
        </w:p>
        <w:p>
          <w:pPr>
            <w:pStyle w:val="9"/>
            <w:numPr>
              <w:ilvl w:val="0"/>
              <w:numId w:val="1"/>
            </w:numPr>
            <w:tabs>
              <w:tab w:val="left" w:pos="1393"/>
              <w:tab w:val="right" w:leader="dot" w:pos="9347"/>
            </w:tabs>
            <w:spacing w:before="42" w:after="0" w:line="240" w:lineRule="auto"/>
            <w:ind w:left="1392" w:right="0" w:hanging="353"/>
            <w:jc w:val="left"/>
            <w:rPr>
              <w:rFonts w:ascii="Times New Roman" w:eastAsia="Times New Roman"/>
            </w:rPr>
          </w:pPr>
          <w:r>
            <w:fldChar w:fldCharType="begin"/>
          </w:r>
          <w:r>
            <w:instrText xml:space="preserve"> HYPERLINK \l "_bookmark98" </w:instrText>
          </w:r>
          <w:r>
            <w:fldChar w:fldCharType="separate"/>
          </w:r>
          <w:r>
            <w:t>选</w:t>
          </w:r>
          <w:r>
            <w:rPr>
              <w:spacing w:val="-3"/>
            </w:rPr>
            <w:t>址</w:t>
          </w:r>
          <w:r>
            <w:t>及规</w:t>
          </w:r>
          <w:r>
            <w:rPr>
              <w:spacing w:val="-3"/>
            </w:rPr>
            <w:t>划</w:t>
          </w:r>
          <w:r>
            <w:t>符合</w:t>
          </w:r>
          <w:r>
            <w:rPr>
              <w:spacing w:val="-3"/>
            </w:rPr>
            <w:t>性</w:t>
          </w:r>
          <w:r>
            <w:t>分析</w:t>
          </w:r>
          <w:r>
            <w:tab/>
          </w:r>
          <w:r>
            <w:rPr>
              <w:rFonts w:ascii="Times New Roman" w:eastAsia="Times New Roman"/>
            </w:rPr>
            <w:t>205</w:t>
          </w:r>
          <w:r>
            <w:rPr>
              <w:rFonts w:ascii="Times New Roman" w:eastAsia="Times New Roman"/>
            </w:rPr>
            <w:fldChar w:fldCharType="end"/>
          </w:r>
        </w:p>
        <w:p>
          <w:pPr>
            <w:pStyle w:val="7"/>
            <w:numPr>
              <w:ilvl w:val="1"/>
              <w:numId w:val="1"/>
            </w:numPr>
            <w:tabs>
              <w:tab w:val="left" w:pos="1880"/>
              <w:tab w:val="right" w:leader="dot" w:pos="9347"/>
            </w:tabs>
            <w:spacing w:before="2" w:after="0" w:line="240" w:lineRule="auto"/>
            <w:ind w:left="1880" w:right="0" w:hanging="420"/>
            <w:jc w:val="left"/>
            <w:rPr>
              <w:rFonts w:ascii="Times New Roman" w:eastAsia="Times New Roman"/>
            </w:rPr>
          </w:pPr>
          <w:r>
            <w:fldChar w:fldCharType="begin"/>
          </w:r>
          <w:r>
            <w:instrText xml:space="preserve"> HYPERLINK \l "_bookmark99" </w:instrText>
          </w:r>
          <w:r>
            <w:fldChar w:fldCharType="separate"/>
          </w:r>
          <w:r>
            <w:t>与国家产业政策符合性分析</w:t>
          </w:r>
          <w:r>
            <w:tab/>
          </w:r>
          <w:r>
            <w:rPr>
              <w:rFonts w:ascii="Times New Roman" w:eastAsia="Times New Roman"/>
            </w:rPr>
            <w:t>205</w:t>
          </w:r>
          <w:r>
            <w:rPr>
              <w:rFonts w:ascii="Times New Roman" w:eastAsia="Times New Roman"/>
            </w:rPr>
            <w:fldChar w:fldCharType="end"/>
          </w:r>
        </w:p>
        <w:p>
          <w:pPr>
            <w:pStyle w:val="7"/>
            <w:numPr>
              <w:ilvl w:val="1"/>
              <w:numId w:val="1"/>
            </w:numPr>
            <w:tabs>
              <w:tab w:val="left" w:pos="1828"/>
              <w:tab w:val="right" w:leader="dot" w:pos="9347"/>
            </w:tabs>
            <w:spacing w:before="5" w:after="0" w:line="240" w:lineRule="auto"/>
            <w:ind w:left="1827" w:right="0" w:hanging="368"/>
            <w:jc w:val="left"/>
            <w:rPr>
              <w:rFonts w:ascii="Times New Roman" w:hAnsi="Times New Roman" w:eastAsia="Times New Roman"/>
            </w:rPr>
          </w:pPr>
          <w:r>
            <w:fldChar w:fldCharType="begin"/>
          </w:r>
          <w:r>
            <w:instrText xml:space="preserve"> HYPERLINK \l "_bookmark100" </w:instrText>
          </w:r>
          <w:r>
            <w:fldChar w:fldCharType="separate"/>
          </w:r>
          <w:r>
            <w:rPr>
              <w:rFonts w:ascii="Times New Roman" w:hAnsi="Times New Roman" w:eastAsia="Times New Roman"/>
            </w:rPr>
            <w:t>“</w:t>
          </w:r>
          <w:r>
            <w:t>三线一单</w:t>
          </w:r>
          <w:r>
            <w:rPr>
              <w:rFonts w:ascii="Times New Roman" w:hAnsi="Times New Roman" w:eastAsia="Times New Roman"/>
            </w:rPr>
            <w:t>”</w:t>
          </w:r>
          <w:r>
            <w:t>符合性</w:t>
          </w:r>
          <w:r>
            <w:tab/>
          </w:r>
          <w:r>
            <w:rPr>
              <w:rFonts w:ascii="Times New Roman" w:hAnsi="Times New Roman" w:eastAsia="Times New Roman"/>
            </w:rPr>
            <w:t>205</w:t>
          </w:r>
          <w:r>
            <w:rPr>
              <w:rFonts w:ascii="Times New Roman" w:hAnsi="Times New Roman" w:eastAsia="Times New Roman"/>
            </w:rPr>
            <w:fldChar w:fldCharType="end"/>
          </w:r>
        </w:p>
        <w:p>
          <w:pPr>
            <w:pStyle w:val="7"/>
            <w:numPr>
              <w:ilvl w:val="1"/>
              <w:numId w:val="1"/>
            </w:numPr>
            <w:tabs>
              <w:tab w:val="left" w:pos="1880"/>
              <w:tab w:val="right" w:leader="dot" w:pos="9347"/>
            </w:tabs>
            <w:spacing w:before="2" w:after="0" w:line="240" w:lineRule="auto"/>
            <w:ind w:left="1880" w:right="0" w:hanging="420"/>
            <w:jc w:val="left"/>
            <w:rPr>
              <w:rFonts w:ascii="Times New Roman" w:eastAsia="Times New Roman"/>
            </w:rPr>
          </w:pPr>
          <w:r>
            <w:fldChar w:fldCharType="begin"/>
          </w:r>
          <w:r>
            <w:instrText xml:space="preserve"> HYPERLINK \l "_bookmark101" </w:instrText>
          </w:r>
          <w:r>
            <w:fldChar w:fldCharType="separate"/>
          </w:r>
          <w:r>
            <w:t>与黑龙江省相关政策、规划符合性</w:t>
          </w:r>
          <w:r>
            <w:tab/>
          </w:r>
          <w:r>
            <w:rPr>
              <w:rFonts w:ascii="Times New Roman" w:eastAsia="Times New Roman"/>
            </w:rPr>
            <w:t>206</w:t>
          </w:r>
          <w:r>
            <w:rPr>
              <w:rFonts w:ascii="Times New Roman" w:eastAsia="Times New Roman"/>
            </w:rPr>
            <w:fldChar w:fldCharType="end"/>
          </w:r>
        </w:p>
        <w:p>
          <w:pPr>
            <w:pStyle w:val="7"/>
            <w:numPr>
              <w:ilvl w:val="1"/>
              <w:numId w:val="1"/>
            </w:numPr>
            <w:tabs>
              <w:tab w:val="left" w:pos="1880"/>
              <w:tab w:val="right" w:leader="dot" w:pos="9347"/>
            </w:tabs>
            <w:spacing w:before="2" w:after="0" w:line="240" w:lineRule="auto"/>
            <w:ind w:left="1880" w:right="0" w:hanging="420"/>
            <w:jc w:val="left"/>
            <w:rPr>
              <w:rFonts w:ascii="Times New Roman" w:eastAsia="Times New Roman"/>
            </w:rPr>
          </w:pPr>
          <w:r>
            <w:fldChar w:fldCharType="begin"/>
          </w:r>
          <w:r>
            <w:instrText xml:space="preserve"> HYPERLINK \l "_bookmark102" </w:instrText>
          </w:r>
          <w:r>
            <w:fldChar w:fldCharType="separate"/>
          </w:r>
          <w:r>
            <w:t>与双鸭山市城市总体规划符合性分析</w:t>
          </w:r>
          <w:r>
            <w:tab/>
          </w:r>
          <w:r>
            <w:rPr>
              <w:rFonts w:ascii="Times New Roman" w:eastAsia="Times New Roman"/>
            </w:rPr>
            <w:t>208</w:t>
          </w:r>
          <w:r>
            <w:rPr>
              <w:rFonts w:ascii="Times New Roman" w:eastAsia="Times New Roman"/>
            </w:rPr>
            <w:fldChar w:fldCharType="end"/>
          </w:r>
        </w:p>
        <w:p>
          <w:pPr>
            <w:pStyle w:val="7"/>
            <w:numPr>
              <w:ilvl w:val="1"/>
              <w:numId w:val="1"/>
            </w:numPr>
            <w:tabs>
              <w:tab w:val="left" w:pos="1880"/>
              <w:tab w:val="right" w:leader="dot" w:pos="9347"/>
            </w:tabs>
            <w:spacing w:before="4" w:after="0" w:line="240" w:lineRule="auto"/>
            <w:ind w:left="1880" w:right="0" w:hanging="420"/>
            <w:jc w:val="left"/>
            <w:rPr>
              <w:rFonts w:ascii="Times New Roman" w:eastAsia="Times New Roman"/>
            </w:rPr>
          </w:pPr>
          <w:r>
            <w:fldChar w:fldCharType="begin"/>
          </w:r>
          <w:r>
            <w:instrText xml:space="preserve"> HYPERLINK \l "_bookmark103" </w:instrText>
          </w:r>
          <w:r>
            <w:fldChar w:fldCharType="separate"/>
          </w:r>
          <w:r>
            <w:t>选址环境合理性分析</w:t>
          </w:r>
          <w:r>
            <w:tab/>
          </w:r>
          <w:r>
            <w:rPr>
              <w:rFonts w:ascii="Times New Roman" w:eastAsia="Times New Roman"/>
            </w:rPr>
            <w:t>208</w:t>
          </w:r>
          <w:r>
            <w:rPr>
              <w:rFonts w:ascii="Times New Roman" w:eastAsia="Times New Roman"/>
            </w:rPr>
            <w:fldChar w:fldCharType="end"/>
          </w:r>
        </w:p>
        <w:p>
          <w:pPr>
            <w:pStyle w:val="9"/>
            <w:numPr>
              <w:ilvl w:val="0"/>
              <w:numId w:val="1"/>
            </w:numPr>
            <w:tabs>
              <w:tab w:val="left" w:pos="1393"/>
              <w:tab w:val="right" w:leader="dot" w:pos="9347"/>
            </w:tabs>
            <w:spacing w:before="43" w:after="0" w:line="240" w:lineRule="auto"/>
            <w:ind w:left="1392" w:right="0" w:hanging="353"/>
            <w:jc w:val="left"/>
            <w:rPr>
              <w:rFonts w:ascii="Times New Roman" w:eastAsia="Times New Roman"/>
            </w:rPr>
          </w:pPr>
          <w:r>
            <w:fldChar w:fldCharType="begin"/>
          </w:r>
          <w:r>
            <w:instrText xml:space="preserve"> HYPERLINK \l "_bookmark104" </w:instrText>
          </w:r>
          <w:r>
            <w:fldChar w:fldCharType="separate"/>
          </w:r>
          <w:r>
            <w:t>结</w:t>
          </w:r>
          <w:r>
            <w:rPr>
              <w:spacing w:val="-3"/>
            </w:rPr>
            <w:t>论</w:t>
          </w:r>
          <w:r>
            <w:t>与建议</w:t>
          </w:r>
          <w:r>
            <w:tab/>
          </w:r>
          <w:r>
            <w:rPr>
              <w:rFonts w:ascii="Times New Roman" w:eastAsia="Times New Roman"/>
            </w:rPr>
            <w:t>209</w:t>
          </w:r>
          <w:r>
            <w:rPr>
              <w:rFonts w:ascii="Times New Roman" w:eastAsia="Times New Roman"/>
            </w:rPr>
            <w:fldChar w:fldCharType="end"/>
          </w:r>
        </w:p>
        <w:p>
          <w:pPr>
            <w:pStyle w:val="7"/>
            <w:numPr>
              <w:ilvl w:val="1"/>
              <w:numId w:val="1"/>
            </w:numPr>
            <w:tabs>
              <w:tab w:val="left" w:pos="1880"/>
              <w:tab w:val="right" w:leader="dot" w:pos="9347"/>
            </w:tabs>
            <w:spacing w:before="2" w:after="0" w:line="240" w:lineRule="auto"/>
            <w:ind w:left="1880" w:right="0" w:hanging="420"/>
            <w:jc w:val="left"/>
            <w:rPr>
              <w:rFonts w:ascii="Times New Roman" w:eastAsia="Times New Roman"/>
            </w:rPr>
          </w:pPr>
          <w:r>
            <w:fldChar w:fldCharType="begin"/>
          </w:r>
          <w:r>
            <w:instrText xml:space="preserve"> HYPERLINK \l "_bookmark105" </w:instrText>
          </w:r>
          <w:r>
            <w:fldChar w:fldCharType="separate"/>
          </w:r>
          <w:r>
            <w:t>项目概况</w:t>
          </w:r>
          <w:r>
            <w:tab/>
          </w:r>
          <w:r>
            <w:rPr>
              <w:rFonts w:ascii="Times New Roman" w:eastAsia="Times New Roman"/>
            </w:rPr>
            <w:t>209</w:t>
          </w:r>
          <w:r>
            <w:rPr>
              <w:rFonts w:ascii="Times New Roman" w:eastAsia="Times New Roman"/>
            </w:rPr>
            <w:fldChar w:fldCharType="end"/>
          </w:r>
        </w:p>
        <w:p>
          <w:pPr>
            <w:pStyle w:val="7"/>
            <w:numPr>
              <w:ilvl w:val="1"/>
              <w:numId w:val="1"/>
            </w:numPr>
            <w:tabs>
              <w:tab w:val="left" w:pos="1880"/>
              <w:tab w:val="right" w:leader="dot" w:pos="9347"/>
            </w:tabs>
            <w:spacing w:before="2" w:after="0" w:line="240" w:lineRule="auto"/>
            <w:ind w:left="1880" w:right="0" w:hanging="420"/>
            <w:jc w:val="left"/>
            <w:rPr>
              <w:rFonts w:ascii="Times New Roman" w:eastAsia="Times New Roman"/>
            </w:rPr>
          </w:pPr>
          <w:r>
            <w:fldChar w:fldCharType="begin"/>
          </w:r>
          <w:r>
            <w:instrText xml:space="preserve"> HYPERLINK \l "_bookmark106" </w:instrText>
          </w:r>
          <w:r>
            <w:fldChar w:fldCharType="separate"/>
          </w:r>
          <w:r>
            <w:t>项目环境影响结论</w:t>
          </w:r>
          <w:r>
            <w:tab/>
          </w:r>
          <w:r>
            <w:rPr>
              <w:rFonts w:ascii="Times New Roman" w:eastAsia="Times New Roman"/>
            </w:rPr>
            <w:t>210</w:t>
          </w:r>
          <w:r>
            <w:rPr>
              <w:rFonts w:ascii="Times New Roman" w:eastAsia="Times New Roman"/>
            </w:rPr>
            <w:fldChar w:fldCharType="end"/>
          </w:r>
        </w:p>
        <w:p>
          <w:pPr>
            <w:pStyle w:val="7"/>
            <w:numPr>
              <w:ilvl w:val="1"/>
              <w:numId w:val="1"/>
            </w:numPr>
            <w:tabs>
              <w:tab w:val="left" w:pos="1880"/>
              <w:tab w:val="right" w:leader="dot" w:pos="9349"/>
            </w:tabs>
            <w:spacing w:before="4" w:after="0" w:line="240" w:lineRule="auto"/>
            <w:ind w:left="1880" w:right="0" w:hanging="420"/>
            <w:jc w:val="left"/>
            <w:rPr>
              <w:rFonts w:ascii="Times New Roman" w:eastAsia="Times New Roman"/>
            </w:rPr>
          </w:pPr>
          <w:r>
            <w:fldChar w:fldCharType="begin"/>
          </w:r>
          <w:r>
            <w:instrText xml:space="preserve"> HYPERLINK \l "_bookmark107" </w:instrText>
          </w:r>
          <w:r>
            <w:fldChar w:fldCharType="separate"/>
          </w:r>
          <w:r>
            <w:t>建设项目的环境可行性总结</w:t>
          </w:r>
          <w:r>
            <w:tab/>
          </w:r>
          <w:r>
            <w:rPr>
              <w:rFonts w:ascii="Times New Roman" w:eastAsia="Times New Roman"/>
            </w:rPr>
            <w:t>211</w:t>
          </w:r>
          <w:r>
            <w:rPr>
              <w:rFonts w:ascii="Times New Roman" w:eastAsia="Times New Roman"/>
            </w:rPr>
            <w:fldChar w:fldCharType="end"/>
          </w:r>
        </w:p>
      </w:sdtContent>
    </w:sdt>
    <w:p>
      <w:pPr>
        <w:spacing w:after="0" w:line="240" w:lineRule="auto"/>
        <w:jc w:val="left"/>
        <w:rPr>
          <w:rFonts w:ascii="Times New Roman" w:eastAsia="Times New Roman"/>
        </w:rPr>
        <w:sectPr>
          <w:type w:val="continuous"/>
          <w:pgSz w:w="11910" w:h="16840"/>
          <w:pgMar w:top="1379" w:right="720" w:bottom="975" w:left="760" w:header="720" w:footer="720" w:gutter="0"/>
        </w:sectPr>
      </w:pPr>
    </w:p>
    <w:p>
      <w:pPr>
        <w:pStyle w:val="6"/>
        <w:rPr>
          <w:rFonts w:ascii="Times New Roman"/>
          <w:sz w:val="22"/>
        </w:rPr>
      </w:pPr>
    </w:p>
    <w:p>
      <w:pPr>
        <w:pStyle w:val="6"/>
        <w:spacing w:before="9"/>
        <w:rPr>
          <w:rFonts w:ascii="Times New Roman"/>
          <w:sz w:val="26"/>
        </w:rPr>
      </w:pPr>
    </w:p>
    <w:p>
      <w:pPr>
        <w:spacing w:before="1"/>
        <w:ind w:left="1040" w:right="0" w:firstLine="0"/>
        <w:jc w:val="left"/>
        <w:rPr>
          <w:b/>
          <w:sz w:val="21"/>
        </w:rPr>
      </w:pPr>
      <w:r>
        <w:rPr>
          <w:b/>
          <w:sz w:val="21"/>
        </w:rPr>
        <w:t>附图</w:t>
      </w:r>
    </w:p>
    <w:p>
      <w:pPr>
        <w:spacing w:before="33"/>
        <w:ind w:left="1040" w:right="0" w:firstLine="0"/>
        <w:jc w:val="left"/>
        <w:rPr>
          <w:sz w:val="21"/>
        </w:rPr>
      </w:pPr>
      <w:r>
        <w:rPr>
          <w:sz w:val="21"/>
        </w:rPr>
        <w:t>附图一：地理位置图</w:t>
      </w:r>
    </w:p>
    <w:p>
      <w:pPr>
        <w:spacing w:before="2" w:line="244" w:lineRule="auto"/>
        <w:ind w:left="1040" w:right="4766" w:firstLine="0"/>
        <w:jc w:val="left"/>
        <w:rPr>
          <w:sz w:val="21"/>
        </w:rPr>
      </w:pPr>
      <w:r>
        <w:rPr>
          <w:w w:val="95"/>
          <w:sz w:val="21"/>
        </w:rPr>
        <w:t xml:space="preserve">附图二：项目大气、土壤评价范围及敏感点分布图 </w:t>
      </w:r>
      <w:r>
        <w:rPr>
          <w:sz w:val="21"/>
        </w:rPr>
        <w:t>附图三：地下水评价范围及监测布点图</w:t>
      </w:r>
    </w:p>
    <w:p>
      <w:pPr>
        <w:spacing w:before="0" w:line="244" w:lineRule="auto"/>
        <w:ind w:left="1040" w:right="6655" w:firstLine="0"/>
        <w:jc w:val="left"/>
        <w:rPr>
          <w:sz w:val="21"/>
        </w:rPr>
      </w:pPr>
      <w:r>
        <w:rPr>
          <w:spacing w:val="-1"/>
          <w:sz w:val="21"/>
        </w:rPr>
        <w:t>附图四：工业场地平面布置图</w:t>
      </w:r>
      <w:r>
        <w:rPr>
          <w:sz w:val="21"/>
        </w:rPr>
        <w:t>附图五：监测点位图</w:t>
      </w:r>
    </w:p>
    <w:p>
      <w:pPr>
        <w:spacing w:before="0" w:line="244" w:lineRule="auto"/>
        <w:ind w:left="1040" w:right="7075" w:firstLine="0"/>
        <w:jc w:val="left"/>
        <w:rPr>
          <w:sz w:val="21"/>
        </w:rPr>
      </w:pPr>
      <w:r>
        <w:rPr>
          <w:spacing w:val="-2"/>
          <w:sz w:val="21"/>
        </w:rPr>
        <w:t>附图六：区域地表水系图</w:t>
      </w:r>
      <w:r>
        <w:rPr>
          <w:sz w:val="21"/>
        </w:rPr>
        <w:t>附图七：水文地质图</w:t>
      </w:r>
    </w:p>
    <w:p>
      <w:pPr>
        <w:spacing w:before="0" w:line="265" w:lineRule="exact"/>
        <w:ind w:left="1040" w:right="0" w:firstLine="0"/>
        <w:jc w:val="left"/>
        <w:rPr>
          <w:sz w:val="21"/>
        </w:rPr>
      </w:pPr>
      <w:r>
        <w:rPr>
          <w:w w:val="95"/>
          <w:sz w:val="21"/>
        </w:rPr>
        <w:t>附图八：矿区范围图</w:t>
      </w:r>
    </w:p>
    <w:p>
      <w:pPr>
        <w:spacing w:before="0" w:line="242" w:lineRule="auto"/>
        <w:ind w:left="1040" w:right="4346" w:firstLine="0"/>
        <w:jc w:val="left"/>
        <w:rPr>
          <w:sz w:val="21"/>
        </w:rPr>
      </w:pPr>
      <w:r>
        <w:rPr>
          <w:w w:val="95"/>
          <w:sz w:val="21"/>
        </w:rPr>
        <w:t xml:space="preserve">附图九：矿区与黑龙江青山国家森林公园位置性关系图 </w:t>
      </w:r>
      <w:r>
        <w:rPr>
          <w:sz w:val="21"/>
        </w:rPr>
        <w:t>附图十：井田开拓布置平面图</w:t>
      </w:r>
    </w:p>
    <w:p>
      <w:pPr>
        <w:spacing w:before="0" w:line="244" w:lineRule="auto"/>
        <w:ind w:left="1040" w:right="6235" w:firstLine="0"/>
        <w:jc w:val="left"/>
        <w:rPr>
          <w:sz w:val="21"/>
        </w:rPr>
      </w:pPr>
      <w:r>
        <w:rPr>
          <w:sz w:val="21"/>
        </w:rPr>
        <w:t xml:space="preserve">附图十一：井田开拓布置剖面图 </w:t>
      </w:r>
      <w:r>
        <w:rPr>
          <w:spacing w:val="-1"/>
          <w:w w:val="95"/>
          <w:sz w:val="21"/>
        </w:rPr>
        <w:t>附图十二：地形地质及矿区范围图</w:t>
      </w:r>
    </w:p>
    <w:p>
      <w:pPr>
        <w:spacing w:before="0" w:line="244" w:lineRule="auto"/>
        <w:ind w:left="1040" w:right="5186" w:firstLine="0"/>
        <w:jc w:val="left"/>
        <w:rPr>
          <w:sz w:val="21"/>
        </w:rPr>
      </w:pPr>
      <w:r>
        <w:rPr>
          <w:w w:val="95"/>
          <w:sz w:val="21"/>
        </w:rPr>
        <w:t xml:space="preserve">附图十三：一采区巷道布置及机械配备平面图 </w:t>
      </w:r>
      <w:r>
        <w:rPr>
          <w:sz w:val="21"/>
        </w:rPr>
        <w:t>附图十四：一采区巷道布置剖面图</w:t>
      </w:r>
    </w:p>
    <w:p>
      <w:pPr>
        <w:spacing w:before="0" w:line="242" w:lineRule="auto"/>
        <w:ind w:left="1040" w:right="5606" w:firstLine="0"/>
        <w:jc w:val="both"/>
        <w:rPr>
          <w:sz w:val="21"/>
        </w:rPr>
      </w:pPr>
      <w:r>
        <w:rPr>
          <w:w w:val="95"/>
          <w:sz w:val="21"/>
        </w:rPr>
        <w:t>附图十五：全井田开采沉陷影响等值线图附图十六：全井田开采形成采空区叠合图</w:t>
      </w:r>
      <w:r>
        <w:rPr>
          <w:sz w:val="21"/>
        </w:rPr>
        <w:t>附图十七：井上下对照图</w:t>
      </w:r>
    </w:p>
    <w:p>
      <w:pPr>
        <w:spacing w:before="146"/>
        <w:ind w:left="1040" w:right="0" w:firstLine="0"/>
        <w:jc w:val="left"/>
        <w:rPr>
          <w:b/>
          <w:sz w:val="21"/>
        </w:rPr>
      </w:pPr>
      <w:r>
        <w:rPr>
          <w:b/>
          <w:sz w:val="21"/>
        </w:rPr>
        <w:t>附件</w:t>
      </w:r>
    </w:p>
    <w:p>
      <w:pPr>
        <w:spacing w:before="36"/>
        <w:ind w:left="1040" w:right="0" w:firstLine="0"/>
        <w:jc w:val="left"/>
        <w:rPr>
          <w:sz w:val="21"/>
        </w:rPr>
      </w:pPr>
      <w:r>
        <w:rPr>
          <w:sz w:val="21"/>
        </w:rPr>
        <w:t xml:space="preserve">附件 </w:t>
      </w:r>
      <w:r>
        <w:rPr>
          <w:rFonts w:ascii="Times New Roman" w:eastAsia="Times New Roman"/>
          <w:sz w:val="21"/>
        </w:rPr>
        <w:t>1</w:t>
      </w:r>
      <w:r>
        <w:rPr>
          <w:sz w:val="21"/>
        </w:rPr>
        <w:t>：营业执照</w:t>
      </w:r>
    </w:p>
    <w:p>
      <w:pPr>
        <w:spacing w:before="2"/>
        <w:ind w:left="1040" w:right="0" w:firstLine="0"/>
        <w:jc w:val="left"/>
        <w:rPr>
          <w:sz w:val="21"/>
        </w:rPr>
      </w:pPr>
      <w:r>
        <w:rPr>
          <w:sz w:val="21"/>
        </w:rPr>
        <w:t xml:space="preserve">附件 </w:t>
      </w:r>
      <w:r>
        <w:rPr>
          <w:rFonts w:ascii="Times New Roman" w:eastAsia="Times New Roman"/>
          <w:sz w:val="21"/>
        </w:rPr>
        <w:t>2</w:t>
      </w:r>
      <w:r>
        <w:rPr>
          <w:sz w:val="21"/>
        </w:rPr>
        <w:t xml:space="preserve">：《关于全省 </w:t>
      </w:r>
      <w:r>
        <w:rPr>
          <w:rFonts w:ascii="Times New Roman" w:eastAsia="Times New Roman"/>
          <w:sz w:val="21"/>
        </w:rPr>
        <w:t xml:space="preserve">167 </w:t>
      </w:r>
      <w:r>
        <w:rPr>
          <w:sz w:val="21"/>
        </w:rPr>
        <w:t>处煤矿进入规划升级改造核准程序名单的批复》（黑煤整治办发</w:t>
      </w:r>
    </w:p>
    <w:p>
      <w:pPr>
        <w:spacing w:before="5"/>
        <w:ind w:left="1040" w:right="0" w:firstLine="0"/>
        <w:jc w:val="both"/>
        <w:rPr>
          <w:sz w:val="21"/>
        </w:rPr>
      </w:pPr>
      <w:r>
        <w:rPr>
          <w:sz w:val="21"/>
        </w:rPr>
        <w:t>﹝</w:t>
      </w:r>
      <w:r>
        <w:rPr>
          <w:rFonts w:ascii="Times New Roman" w:eastAsia="Times New Roman"/>
          <w:sz w:val="21"/>
        </w:rPr>
        <w:t>2020</w:t>
      </w:r>
      <w:r>
        <w:rPr>
          <w:sz w:val="21"/>
        </w:rPr>
        <w:t>﹞</w:t>
      </w:r>
      <w:r>
        <w:rPr>
          <w:rFonts w:ascii="Times New Roman" w:eastAsia="Times New Roman"/>
          <w:sz w:val="21"/>
        </w:rPr>
        <w:t xml:space="preserve">7 </w:t>
      </w:r>
      <w:r>
        <w:rPr>
          <w:sz w:val="21"/>
        </w:rPr>
        <w:t>号）</w:t>
      </w:r>
    </w:p>
    <w:p>
      <w:pPr>
        <w:spacing w:before="2" w:line="242" w:lineRule="auto"/>
        <w:ind w:left="1040" w:right="1077" w:firstLine="0"/>
        <w:jc w:val="left"/>
        <w:rPr>
          <w:sz w:val="21"/>
        </w:rPr>
      </w:pPr>
      <w:r>
        <w:rPr>
          <w:spacing w:val="-20"/>
          <w:sz w:val="21"/>
        </w:rPr>
        <w:t xml:space="preserve">附件 </w:t>
      </w:r>
      <w:r>
        <w:rPr>
          <w:rFonts w:ascii="Times New Roman" w:eastAsia="Times New Roman"/>
          <w:spacing w:val="-21"/>
          <w:sz w:val="21"/>
        </w:rPr>
        <w:t>3</w:t>
      </w:r>
      <w:r>
        <w:rPr>
          <w:spacing w:val="-8"/>
          <w:sz w:val="21"/>
        </w:rPr>
        <w:t xml:space="preserve">：《关于进一步加大关闭淘汰力度严格办理全省 </w:t>
      </w:r>
      <w:r>
        <w:rPr>
          <w:rFonts w:ascii="Times New Roman" w:eastAsia="Times New Roman"/>
          <w:sz w:val="21"/>
        </w:rPr>
        <w:t xml:space="preserve">167 </w:t>
      </w:r>
      <w:r>
        <w:rPr>
          <w:sz w:val="21"/>
        </w:rPr>
        <w:t>处进入规划升级改造核准程序煤矿审批手续的通知》（黑煤整治办法﹝</w:t>
      </w:r>
      <w:r>
        <w:rPr>
          <w:rFonts w:ascii="Times New Roman" w:eastAsia="Times New Roman"/>
          <w:sz w:val="21"/>
        </w:rPr>
        <w:t>2020</w:t>
      </w:r>
      <w:r>
        <w:rPr>
          <w:sz w:val="21"/>
        </w:rPr>
        <w:t>﹞</w:t>
      </w:r>
      <w:r>
        <w:rPr>
          <w:rFonts w:ascii="Times New Roman" w:eastAsia="Times New Roman"/>
          <w:sz w:val="21"/>
        </w:rPr>
        <w:t xml:space="preserve">8 </w:t>
      </w:r>
      <w:r>
        <w:rPr>
          <w:sz w:val="21"/>
        </w:rPr>
        <w:t>号）</w:t>
      </w:r>
    </w:p>
    <w:p>
      <w:pPr>
        <w:spacing w:before="1"/>
        <w:ind w:left="1040" w:right="0" w:firstLine="0"/>
        <w:jc w:val="left"/>
        <w:rPr>
          <w:sz w:val="21"/>
        </w:rPr>
      </w:pPr>
      <w:r>
        <w:rPr>
          <w:sz w:val="21"/>
        </w:rPr>
        <w:t xml:space="preserve">附件 </w:t>
      </w:r>
      <w:r>
        <w:rPr>
          <w:rFonts w:ascii="Times New Roman" w:eastAsia="Times New Roman"/>
          <w:sz w:val="21"/>
        </w:rPr>
        <w:t>4</w:t>
      </w:r>
      <w:r>
        <w:rPr>
          <w:sz w:val="21"/>
        </w:rPr>
        <w:t>：划定矿区范围批复（双自然规划﹝</w:t>
      </w:r>
      <w:r>
        <w:rPr>
          <w:rFonts w:ascii="Times New Roman" w:eastAsia="Times New Roman"/>
          <w:sz w:val="21"/>
        </w:rPr>
        <w:t>2020</w:t>
      </w:r>
      <w:r>
        <w:rPr>
          <w:sz w:val="21"/>
        </w:rPr>
        <w:t>﹞</w:t>
      </w:r>
      <w:r>
        <w:rPr>
          <w:rFonts w:ascii="Times New Roman" w:eastAsia="Times New Roman"/>
          <w:sz w:val="21"/>
        </w:rPr>
        <w:t xml:space="preserve">004 </w:t>
      </w:r>
      <w:r>
        <w:rPr>
          <w:sz w:val="21"/>
        </w:rPr>
        <w:t>号）</w:t>
      </w:r>
    </w:p>
    <w:p>
      <w:pPr>
        <w:spacing w:before="2" w:line="244" w:lineRule="auto"/>
        <w:ind w:left="1040" w:right="1605" w:firstLine="0"/>
        <w:jc w:val="left"/>
        <w:rPr>
          <w:sz w:val="21"/>
        </w:rPr>
      </w:pPr>
      <w:r>
        <w:rPr>
          <w:sz w:val="21"/>
        </w:rPr>
        <w:t xml:space="preserve">附件 </w:t>
      </w:r>
      <w:r>
        <w:rPr>
          <w:rFonts w:ascii="Times New Roman" w:eastAsia="Times New Roman"/>
          <w:sz w:val="21"/>
        </w:rPr>
        <w:t>5</w:t>
      </w:r>
      <w:r>
        <w:rPr>
          <w:sz w:val="21"/>
        </w:rPr>
        <w:t xml:space="preserve">：关于《双鸭山市进入升级改造核准程序煤矿矿区范围征询意见的函》的回复附件 </w:t>
      </w:r>
      <w:r>
        <w:rPr>
          <w:rFonts w:ascii="Times New Roman" w:eastAsia="Times New Roman"/>
          <w:sz w:val="21"/>
        </w:rPr>
        <w:t>6</w:t>
      </w:r>
      <w:r>
        <w:rPr>
          <w:sz w:val="21"/>
        </w:rPr>
        <w:t>：矿产资源储量评审备案核收证明（双自然资储备字﹝</w:t>
      </w:r>
      <w:r>
        <w:rPr>
          <w:rFonts w:ascii="Times New Roman" w:eastAsia="Times New Roman"/>
          <w:sz w:val="21"/>
        </w:rPr>
        <w:t>2020</w:t>
      </w:r>
      <w:r>
        <w:rPr>
          <w:sz w:val="21"/>
        </w:rPr>
        <w:t>﹞</w:t>
      </w:r>
      <w:r>
        <w:rPr>
          <w:rFonts w:ascii="Times New Roman" w:eastAsia="Times New Roman"/>
          <w:sz w:val="21"/>
        </w:rPr>
        <w:t xml:space="preserve">002 </w:t>
      </w:r>
      <w:r>
        <w:rPr>
          <w:sz w:val="21"/>
        </w:rPr>
        <w:t>号）</w:t>
      </w:r>
    </w:p>
    <w:p>
      <w:pPr>
        <w:spacing w:before="0" w:line="242" w:lineRule="auto"/>
        <w:ind w:left="1040" w:right="1077" w:firstLine="0"/>
        <w:jc w:val="left"/>
        <w:rPr>
          <w:sz w:val="21"/>
        </w:rPr>
      </w:pPr>
      <w:r>
        <w:rPr>
          <w:spacing w:val="-22"/>
          <w:sz w:val="21"/>
        </w:rPr>
        <w:t xml:space="preserve">附件 </w:t>
      </w:r>
      <w:r>
        <w:rPr>
          <w:rFonts w:ascii="Times New Roman" w:eastAsia="Times New Roman"/>
          <w:spacing w:val="-10"/>
          <w:sz w:val="21"/>
        </w:rPr>
        <w:t>7</w:t>
      </w:r>
      <w:r>
        <w:rPr>
          <w:spacing w:val="-4"/>
          <w:sz w:val="21"/>
        </w:rPr>
        <w:t>：《黑龙江省双鸭山市</w:t>
      </w:r>
      <w:r>
        <w:rPr>
          <w:sz w:val="21"/>
        </w:rPr>
        <w:t>（横头山矿区</w:t>
      </w:r>
      <w:r>
        <w:rPr>
          <w:spacing w:val="-10"/>
          <w:sz w:val="21"/>
        </w:rPr>
        <w:t>）</w:t>
      </w:r>
      <w:r>
        <w:rPr>
          <w:sz w:val="21"/>
        </w:rPr>
        <w:t>双鸭山大顺矿业有限公司扩大区煤炭资源储量核实报告》评审意见书</w:t>
      </w:r>
    </w:p>
    <w:p>
      <w:pPr>
        <w:spacing w:before="0" w:line="268" w:lineRule="exact"/>
        <w:ind w:left="1040" w:right="0" w:firstLine="0"/>
        <w:jc w:val="left"/>
        <w:rPr>
          <w:sz w:val="21"/>
        </w:rPr>
      </w:pPr>
      <w:r>
        <w:rPr>
          <w:sz w:val="21"/>
        </w:rPr>
        <w:t xml:space="preserve">附件 </w:t>
      </w:r>
      <w:r>
        <w:rPr>
          <w:rFonts w:ascii="Times New Roman" w:eastAsia="Times New Roman"/>
          <w:sz w:val="21"/>
        </w:rPr>
        <w:t>8</w:t>
      </w:r>
      <w:r>
        <w:rPr>
          <w:sz w:val="21"/>
        </w:rPr>
        <w:t>：双鸭山市自然资源局审查表极坐标</w:t>
      </w:r>
    </w:p>
    <w:p>
      <w:pPr>
        <w:spacing w:after="0" w:line="268" w:lineRule="exact"/>
        <w:jc w:val="left"/>
        <w:rPr>
          <w:sz w:val="21"/>
        </w:rPr>
        <w:sectPr>
          <w:type w:val="continuous"/>
          <w:pgSz w:w="11910" w:h="16840"/>
          <w:pgMar w:top="1420" w:right="720" w:bottom="1160" w:left="760" w:header="720" w:footer="720" w:gutter="0"/>
        </w:sectPr>
      </w:pPr>
    </w:p>
    <w:p>
      <w:pPr>
        <w:spacing w:before="62" w:line="244" w:lineRule="auto"/>
        <w:ind w:left="1040" w:right="2654" w:firstLine="0"/>
        <w:jc w:val="left"/>
        <w:rPr>
          <w:sz w:val="21"/>
        </w:rPr>
      </w:pPr>
      <w:r>
        <w:rPr>
          <w:sz w:val="21"/>
        </w:rPr>
        <w:t xml:space="preserve">附件 </w:t>
      </w:r>
      <w:r>
        <w:rPr>
          <w:rFonts w:ascii="Times New Roman" w:eastAsia="Times New Roman"/>
          <w:sz w:val="21"/>
        </w:rPr>
        <w:t>9</w:t>
      </w:r>
      <w:r>
        <w:rPr>
          <w:sz w:val="21"/>
        </w:rPr>
        <w:t xml:space="preserve">：瓦斯等级鉴定报告、煤尘爆炸性检测报告、自燃倾向性检测报告附件 </w:t>
      </w:r>
      <w:r>
        <w:rPr>
          <w:rFonts w:ascii="Times New Roman" w:eastAsia="Times New Roman"/>
          <w:sz w:val="21"/>
        </w:rPr>
        <w:t>10</w:t>
      </w:r>
      <w:r>
        <w:rPr>
          <w:sz w:val="21"/>
        </w:rPr>
        <w:t>：划定矿区范围核查登记表</w:t>
      </w:r>
    </w:p>
    <w:p>
      <w:pPr>
        <w:spacing w:before="0" w:line="265" w:lineRule="exact"/>
        <w:ind w:left="1040" w:right="0" w:firstLine="0"/>
        <w:jc w:val="left"/>
        <w:rPr>
          <w:sz w:val="21"/>
        </w:rPr>
      </w:pPr>
      <w:r>
        <w:rPr>
          <w:sz w:val="21"/>
        </w:rPr>
        <w:t xml:space="preserve">附件 </w:t>
      </w:r>
      <w:r>
        <w:rPr>
          <w:rFonts w:ascii="Times New Roman" w:eastAsia="Times New Roman"/>
          <w:sz w:val="21"/>
        </w:rPr>
        <w:t>11</w:t>
      </w:r>
      <w:r>
        <w:rPr>
          <w:sz w:val="21"/>
        </w:rPr>
        <w:t>：双鸭山市升级改造煤矿规划环境影响报告书的审查意见（双环函﹝</w:t>
      </w:r>
      <w:r>
        <w:rPr>
          <w:rFonts w:ascii="Times New Roman" w:eastAsia="Times New Roman"/>
          <w:sz w:val="21"/>
        </w:rPr>
        <w:t>2020</w:t>
      </w:r>
      <w:r>
        <w:rPr>
          <w:sz w:val="21"/>
        </w:rPr>
        <w:t>﹞</w:t>
      </w:r>
      <w:r>
        <w:rPr>
          <w:rFonts w:ascii="Times New Roman" w:eastAsia="Times New Roman"/>
          <w:sz w:val="21"/>
        </w:rPr>
        <w:t xml:space="preserve">63 </w:t>
      </w:r>
      <w:r>
        <w:rPr>
          <w:sz w:val="21"/>
        </w:rPr>
        <w:t>号）</w:t>
      </w:r>
    </w:p>
    <w:p>
      <w:pPr>
        <w:pStyle w:val="6"/>
        <w:rPr>
          <w:sz w:val="22"/>
        </w:rPr>
      </w:pPr>
    </w:p>
    <w:p>
      <w:pPr>
        <w:spacing w:before="183"/>
        <w:ind w:left="1040" w:right="0" w:firstLine="0"/>
        <w:jc w:val="left"/>
        <w:rPr>
          <w:b/>
          <w:sz w:val="21"/>
        </w:rPr>
      </w:pPr>
      <w:r>
        <w:rPr>
          <w:b/>
          <w:sz w:val="21"/>
        </w:rPr>
        <w:t>附表</w:t>
      </w:r>
    </w:p>
    <w:p>
      <w:pPr>
        <w:spacing w:before="2"/>
        <w:ind w:left="1040" w:right="0" w:firstLine="0"/>
        <w:jc w:val="left"/>
        <w:rPr>
          <w:sz w:val="21"/>
        </w:rPr>
      </w:pPr>
      <w:r>
        <w:rPr>
          <w:sz w:val="21"/>
        </w:rPr>
        <w:t xml:space="preserve">附表 </w:t>
      </w:r>
      <w:r>
        <w:rPr>
          <w:rFonts w:ascii="Times New Roman" w:eastAsia="Times New Roman"/>
          <w:sz w:val="21"/>
        </w:rPr>
        <w:t>1</w:t>
      </w:r>
      <w:r>
        <w:rPr>
          <w:sz w:val="21"/>
        </w:rPr>
        <w:t>：建设项目环评审批基础信息表</w:t>
      </w:r>
    </w:p>
    <w:p>
      <w:pPr>
        <w:spacing w:before="2" w:line="242" w:lineRule="auto"/>
        <w:ind w:left="1040" w:right="5174" w:firstLine="0"/>
        <w:jc w:val="left"/>
        <w:rPr>
          <w:sz w:val="21"/>
        </w:rPr>
      </w:pPr>
      <w:r>
        <w:rPr>
          <w:sz w:val="21"/>
        </w:rPr>
        <w:t xml:space="preserve">附表 </w:t>
      </w:r>
      <w:r>
        <w:rPr>
          <w:rFonts w:ascii="Times New Roman" w:eastAsia="Times New Roman"/>
          <w:sz w:val="21"/>
        </w:rPr>
        <w:t>2</w:t>
      </w:r>
      <w:r>
        <w:rPr>
          <w:sz w:val="21"/>
        </w:rPr>
        <w:t xml:space="preserve">：建设项目大气环境影响评价自查表附表 </w:t>
      </w:r>
      <w:r>
        <w:rPr>
          <w:rFonts w:ascii="Times New Roman" w:eastAsia="Times New Roman"/>
          <w:sz w:val="21"/>
        </w:rPr>
        <w:t>3</w:t>
      </w:r>
      <w:r>
        <w:rPr>
          <w:sz w:val="21"/>
        </w:rPr>
        <w:t xml:space="preserve">：建设项目地表水环境影响评价自查表附表 </w:t>
      </w:r>
      <w:r>
        <w:rPr>
          <w:rFonts w:ascii="Times New Roman" w:eastAsia="Times New Roman"/>
          <w:sz w:val="21"/>
        </w:rPr>
        <w:t>4</w:t>
      </w:r>
      <w:r>
        <w:rPr>
          <w:sz w:val="21"/>
        </w:rPr>
        <w:t>：环境风险评价自查表</w:t>
      </w:r>
    </w:p>
    <w:p>
      <w:pPr>
        <w:spacing w:before="3"/>
        <w:ind w:left="1040" w:right="0" w:firstLine="0"/>
        <w:jc w:val="left"/>
        <w:rPr>
          <w:sz w:val="21"/>
        </w:rPr>
      </w:pPr>
      <w:r>
        <w:rPr>
          <w:sz w:val="21"/>
        </w:rPr>
        <w:t xml:space="preserve">附表 </w:t>
      </w:r>
      <w:r>
        <w:rPr>
          <w:rFonts w:ascii="Times New Roman" w:eastAsia="Times New Roman"/>
          <w:sz w:val="21"/>
        </w:rPr>
        <w:t>5</w:t>
      </w:r>
      <w:r>
        <w:rPr>
          <w:sz w:val="21"/>
        </w:rPr>
        <w:t>：土壤环境影响评价自查表</w:t>
      </w:r>
    </w:p>
    <w:p>
      <w:pPr>
        <w:spacing w:after="0"/>
        <w:jc w:val="left"/>
        <w:rPr>
          <w:sz w:val="21"/>
        </w:rPr>
        <w:sectPr>
          <w:footerReference r:id="rId4" w:type="default"/>
          <w:pgSz w:w="11910" w:h="16840"/>
          <w:pgMar w:top="1360" w:right="720" w:bottom="1160" w:left="760" w:header="0" w:footer="975" w:gutter="0"/>
          <w:pgNumType w:start="4"/>
        </w:sectPr>
      </w:pPr>
    </w:p>
    <w:p>
      <w:pPr>
        <w:pStyle w:val="6"/>
        <w:rPr>
          <w:sz w:val="32"/>
        </w:rPr>
      </w:pPr>
    </w:p>
    <w:p>
      <w:pPr>
        <w:pStyle w:val="6"/>
        <w:spacing w:before="11"/>
        <w:rPr>
          <w:sz w:val="25"/>
        </w:rPr>
      </w:pPr>
    </w:p>
    <w:p>
      <w:pPr>
        <w:pStyle w:val="3"/>
        <w:numPr>
          <w:ilvl w:val="1"/>
          <w:numId w:val="4"/>
        </w:numPr>
        <w:tabs>
          <w:tab w:val="left" w:pos="1108"/>
        </w:tabs>
        <w:spacing w:before="1" w:after="0" w:line="240" w:lineRule="auto"/>
        <w:ind w:left="1107" w:right="0" w:hanging="450"/>
        <w:jc w:val="left"/>
      </w:pPr>
      <w:bookmarkStart w:id="0" w:name="_bookmark0"/>
      <w:bookmarkEnd w:id="0"/>
      <w:bookmarkStart w:id="1" w:name="1.1项目由来"/>
      <w:bookmarkEnd w:id="1"/>
      <w:bookmarkStart w:id="2" w:name="_bookmark0"/>
      <w:bookmarkEnd w:id="2"/>
      <w:r>
        <w:t>项目由来</w:t>
      </w:r>
    </w:p>
    <w:p>
      <w:pPr>
        <w:pStyle w:val="2"/>
        <w:numPr>
          <w:ilvl w:val="0"/>
          <w:numId w:val="5"/>
        </w:numPr>
        <w:tabs>
          <w:tab w:val="left" w:pos="971"/>
        </w:tabs>
        <w:spacing w:before="41" w:after="0" w:line="240" w:lineRule="auto"/>
        <w:ind w:left="970" w:right="0" w:hanging="313"/>
        <w:jc w:val="left"/>
      </w:pPr>
      <w:bookmarkStart w:id="3" w:name="1.前言"/>
      <w:bookmarkEnd w:id="3"/>
      <w:bookmarkStart w:id="4" w:name="_bookmark1"/>
      <w:bookmarkEnd w:id="4"/>
      <w:bookmarkStart w:id="5" w:name="_bookmark1"/>
      <w:bookmarkEnd w:id="5"/>
      <w:r>
        <w:rPr>
          <w:spacing w:val="2"/>
          <w:w w:val="99"/>
        </w:rPr>
        <w:br w:type="column"/>
      </w:r>
      <w:r>
        <w:t>前言</w:t>
      </w:r>
    </w:p>
    <w:p>
      <w:pPr>
        <w:spacing w:after="0" w:line="240" w:lineRule="auto"/>
        <w:jc w:val="left"/>
        <w:sectPr>
          <w:footerReference r:id="rId5" w:type="default"/>
          <w:pgSz w:w="11910" w:h="16840"/>
          <w:pgMar w:top="1360" w:right="720" w:bottom="1160" w:left="760" w:header="0" w:footer="975" w:gutter="0"/>
          <w:pgNumType w:start="1"/>
          <w:cols w:equalWidth="0" w:num="2">
            <w:col w:w="2350" w:space="1668"/>
            <w:col w:w="6412"/>
          </w:cols>
        </w:sectPr>
      </w:pPr>
    </w:p>
    <w:p>
      <w:pPr>
        <w:pStyle w:val="6"/>
        <w:spacing w:before="7"/>
        <w:rPr>
          <w:b/>
          <w:sz w:val="9"/>
        </w:rPr>
      </w:pPr>
    </w:p>
    <w:p>
      <w:pPr>
        <w:pStyle w:val="6"/>
        <w:spacing w:before="76" w:line="364" w:lineRule="auto"/>
        <w:ind w:left="658" w:right="693" w:firstLine="480"/>
        <w:jc w:val="both"/>
      </w:pPr>
      <w:r>
        <w:t>双鸭山大顺矿业有限公司位于双鸭山矿业集团岭东煤矿南</w:t>
      </w:r>
      <w:r>
        <w:rPr>
          <w:rFonts w:ascii="Times New Roman" w:hAnsi="Times New Roman" w:eastAsia="Times New Roman"/>
        </w:rPr>
        <w:t>7km</w:t>
      </w:r>
      <w:r>
        <w:rPr>
          <w:spacing w:val="-2"/>
        </w:rPr>
        <w:t>处，在双鸭山市司法</w:t>
      </w:r>
      <w:r>
        <w:rPr>
          <w:spacing w:val="-6"/>
        </w:rPr>
        <w:t>局劳教所东部。从岭东矿通往矿井有砂石公路可直达，距双鸭山矿业集团内部运煤专用</w:t>
      </w:r>
      <w:r>
        <w:t>铁路线岭东车站</w:t>
      </w:r>
      <w:r>
        <w:rPr>
          <w:rFonts w:ascii="Times New Roman" w:hAnsi="Times New Roman" w:eastAsia="Times New Roman"/>
          <w:spacing w:val="-6"/>
        </w:rPr>
        <w:t>7km</w:t>
      </w:r>
      <w:r>
        <w:rPr>
          <w:spacing w:val="-2"/>
        </w:rPr>
        <w:t>，距双鸭山火车站</w:t>
      </w:r>
      <w:r>
        <w:rPr>
          <w:rFonts w:ascii="Times New Roman" w:hAnsi="Times New Roman" w:eastAsia="Times New Roman"/>
          <w:spacing w:val="-4"/>
        </w:rPr>
        <w:t>15km</w:t>
      </w:r>
      <w:r>
        <w:rPr>
          <w:spacing w:val="-6"/>
        </w:rPr>
        <w:t>，交通较为方便。矿区行政区划属双鸭山市</w:t>
      </w:r>
      <w:r>
        <w:t>岭东区，中心地理位置坐标经度</w:t>
      </w:r>
      <w:r>
        <w:rPr>
          <w:rFonts w:ascii="Times New Roman" w:hAnsi="Times New Roman" w:eastAsia="Times New Roman"/>
        </w:rPr>
        <w:t>131</w:t>
      </w:r>
      <w:r>
        <w:t>°</w:t>
      </w:r>
      <w:r>
        <w:rPr>
          <w:rFonts w:ascii="Times New Roman" w:hAnsi="Times New Roman" w:eastAsia="Times New Roman"/>
        </w:rPr>
        <w:t>09</w:t>
      </w:r>
      <w:r>
        <w:t>＇</w:t>
      </w:r>
      <w:r>
        <w:rPr>
          <w:rFonts w:ascii="Times New Roman" w:hAnsi="Times New Roman" w:eastAsia="Times New Roman"/>
        </w:rPr>
        <w:t>48″</w:t>
      </w:r>
      <w:r>
        <w:t>，纬度</w:t>
      </w:r>
      <w:r>
        <w:rPr>
          <w:rFonts w:ascii="Times New Roman" w:hAnsi="Times New Roman" w:eastAsia="Times New Roman"/>
        </w:rPr>
        <w:t>46</w:t>
      </w:r>
      <w:r>
        <w:t>°</w:t>
      </w:r>
      <w:r>
        <w:rPr>
          <w:rFonts w:ascii="Times New Roman" w:hAnsi="Times New Roman" w:eastAsia="Times New Roman"/>
        </w:rPr>
        <w:t>29</w:t>
      </w:r>
      <w:r>
        <w:t>＇</w:t>
      </w:r>
      <w:r>
        <w:rPr>
          <w:rFonts w:ascii="Times New Roman" w:hAnsi="Times New Roman" w:eastAsia="Times New Roman"/>
        </w:rPr>
        <w:t>54″</w:t>
      </w:r>
      <w:r>
        <w:t>。</w:t>
      </w:r>
    </w:p>
    <w:p>
      <w:pPr>
        <w:pStyle w:val="6"/>
        <w:spacing w:line="364" w:lineRule="auto"/>
        <w:ind w:left="658" w:right="697" w:firstLine="480"/>
        <w:jc w:val="both"/>
      </w:pPr>
      <w:r>
        <w:t>大顺煤矿于</w:t>
      </w:r>
      <w:r>
        <w:rPr>
          <w:rFonts w:ascii="Times New Roman" w:eastAsia="Times New Roman"/>
        </w:rPr>
        <w:t>1980</w:t>
      </w:r>
      <w:r>
        <w:t>年建井，其前身为双鸭山市横头山矿区横头山煤矿。</w:t>
      </w:r>
      <w:r>
        <w:rPr>
          <w:rFonts w:ascii="Times New Roman" w:eastAsia="Times New Roman"/>
        </w:rPr>
        <w:t>2002</w:t>
      </w:r>
      <w:r>
        <w:rPr>
          <w:spacing w:val="2"/>
        </w:rPr>
        <w:t>年资源</w:t>
      </w:r>
      <w:r>
        <w:rPr>
          <w:rFonts w:ascii="Times New Roman" w:eastAsia="Times New Roman"/>
        </w:rPr>
        <w:t xml:space="preserve">/ </w:t>
      </w:r>
      <w:r>
        <w:rPr>
          <w:spacing w:val="-3"/>
        </w:rPr>
        <w:t>储量核实后换发采矿许可证时更名为双鸭山市大顺煤矿。双鸭山市大顺煤矿于</w:t>
      </w:r>
      <w:r>
        <w:rPr>
          <w:rFonts w:ascii="Times New Roman" w:eastAsia="Times New Roman"/>
        </w:rPr>
        <w:t>1980</w:t>
      </w:r>
      <w:r>
        <w:rPr>
          <w:spacing w:val="-9"/>
        </w:rPr>
        <w:t>年取</w:t>
      </w:r>
      <w:r>
        <w:rPr>
          <w:spacing w:val="-4"/>
        </w:rPr>
        <w:t>得采矿权，先后开凿三对斜井。主要开采</w:t>
      </w:r>
      <w:r>
        <w:rPr>
          <w:rFonts w:ascii="Times New Roman" w:eastAsia="Times New Roman"/>
        </w:rPr>
        <w:t>15</w:t>
      </w:r>
      <w:r>
        <w:rPr>
          <w:spacing w:val="-4"/>
        </w:rPr>
        <w:t>煤层。到目前：</w:t>
      </w:r>
      <w:r>
        <w:rPr>
          <w:rFonts w:ascii="Times New Roman" w:eastAsia="Times New Roman"/>
          <w:spacing w:val="-4"/>
        </w:rPr>
        <w:t>15</w:t>
      </w:r>
      <w:r>
        <w:rPr>
          <w:spacing w:val="-2"/>
        </w:rPr>
        <w:t>煤层在一井区内尚有部分</w:t>
      </w:r>
      <w:r>
        <w:rPr>
          <w:spacing w:val="-5"/>
        </w:rPr>
        <w:t>资源，二、三井的</w:t>
      </w:r>
      <w:r>
        <w:rPr>
          <w:rFonts w:ascii="Times New Roman" w:eastAsia="Times New Roman"/>
        </w:rPr>
        <w:t>15</w:t>
      </w:r>
      <w:r>
        <w:rPr>
          <w:spacing w:val="-2"/>
        </w:rPr>
        <w:t>煤层资源基本开采完，现在</w:t>
      </w:r>
      <w:r>
        <w:rPr>
          <w:rFonts w:ascii="Times New Roman" w:eastAsia="Times New Roman"/>
        </w:rPr>
        <w:t>10</w:t>
      </w:r>
      <w:r>
        <w:rPr>
          <w:spacing w:val="-2"/>
        </w:rPr>
        <w:t>煤层进行开采活动。</w:t>
      </w:r>
      <w:r>
        <w:rPr>
          <w:rFonts w:ascii="Times New Roman" w:eastAsia="Times New Roman"/>
        </w:rPr>
        <w:t>30</w:t>
      </w:r>
      <w:r>
        <w:rPr>
          <w:spacing w:val="-3"/>
        </w:rPr>
        <w:t>煤层始终没进</w:t>
      </w:r>
      <w:r>
        <w:t>行开发利用。截止</w:t>
      </w:r>
      <w:r>
        <w:rPr>
          <w:rFonts w:ascii="Times New Roman" w:eastAsia="Times New Roman"/>
        </w:rPr>
        <w:t>2018</w:t>
      </w:r>
      <w:r>
        <w:rPr>
          <w:spacing w:val="4"/>
        </w:rPr>
        <w:t>年</w:t>
      </w:r>
      <w:r>
        <w:rPr>
          <w:rFonts w:ascii="Times New Roman" w:eastAsia="Times New Roman"/>
        </w:rPr>
        <w:t>12</w:t>
      </w:r>
      <w:r>
        <w:rPr>
          <w:spacing w:val="4"/>
        </w:rPr>
        <w:t>月</w:t>
      </w:r>
      <w:r>
        <w:rPr>
          <w:rFonts w:ascii="Times New Roman" w:eastAsia="Times New Roman"/>
        </w:rPr>
        <w:t>31</w:t>
      </w:r>
      <w:r>
        <w:t>日，双鸭山大顺矿业有限公司全矿井煤炭资源</w:t>
      </w:r>
      <w:r>
        <w:rPr>
          <w:rFonts w:ascii="Times New Roman" w:eastAsia="Times New Roman"/>
        </w:rPr>
        <w:t>/</w:t>
      </w:r>
      <w:r>
        <w:rPr>
          <w:spacing w:val="1"/>
        </w:rPr>
        <w:t>储量为</w:t>
      </w:r>
      <w:r>
        <w:rPr>
          <w:rFonts w:ascii="Times New Roman" w:eastAsia="Times New Roman"/>
          <w:spacing w:val="1"/>
        </w:rPr>
        <w:t>952.98</w:t>
      </w:r>
      <w:r>
        <w:rPr>
          <w:spacing w:val="1"/>
        </w:rPr>
        <w:t>万</w:t>
      </w:r>
      <w:r>
        <w:rPr>
          <w:rFonts w:ascii="Times New Roman" w:eastAsia="Times New Roman"/>
          <w:spacing w:val="1"/>
        </w:rPr>
        <w:t>t</w:t>
      </w:r>
      <w:r>
        <w:rPr>
          <w:spacing w:val="1"/>
        </w:rPr>
        <w:t>。可采储量为</w:t>
      </w:r>
      <w:r>
        <w:rPr>
          <w:rFonts w:ascii="Times New Roman" w:eastAsia="Times New Roman"/>
          <w:spacing w:val="1"/>
        </w:rPr>
        <w:t>646.59</w:t>
      </w:r>
      <w:r>
        <w:rPr>
          <w:spacing w:val="1"/>
        </w:rPr>
        <w:t>万</w:t>
      </w:r>
      <w:r>
        <w:rPr>
          <w:rFonts w:ascii="Times New Roman" w:eastAsia="Times New Roman"/>
          <w:spacing w:val="1"/>
        </w:rPr>
        <w:t>t</w:t>
      </w:r>
      <w:r>
        <w:rPr>
          <w:spacing w:val="1"/>
        </w:rPr>
        <w:t>。</w:t>
      </w:r>
    </w:p>
    <w:p>
      <w:pPr>
        <w:pStyle w:val="6"/>
        <w:spacing w:line="364" w:lineRule="auto"/>
        <w:ind w:left="658" w:right="691" w:firstLine="480"/>
        <w:jc w:val="both"/>
      </w:pPr>
      <w:r>
        <w:t>按照《黑龙江省人民政府关于印发</w:t>
      </w:r>
      <w:r>
        <w:rPr>
          <w:rFonts w:ascii="Times New Roman" w:eastAsia="Times New Roman"/>
        </w:rPr>
        <w:t>&lt;</w:t>
      </w:r>
      <w:r>
        <w:t>黑龙江省煤炭行业淘汰落后产能化解过剩产能专项整治工作方案</w:t>
      </w:r>
      <w:r>
        <w:rPr>
          <w:rFonts w:ascii="Times New Roman" w:eastAsia="Times New Roman"/>
        </w:rPr>
        <w:t>&gt;</w:t>
      </w:r>
      <w:r>
        <w:t>的通知》（黑政规〔</w:t>
      </w:r>
      <w:r>
        <w:rPr>
          <w:rFonts w:ascii="Times New Roman" w:eastAsia="Times New Roman"/>
        </w:rPr>
        <w:t>2018</w:t>
      </w:r>
      <w:r>
        <w:t>〕</w:t>
      </w:r>
      <w:r>
        <w:rPr>
          <w:rFonts w:ascii="Times New Roman" w:eastAsia="Times New Roman"/>
        </w:rPr>
        <w:t>13</w:t>
      </w:r>
      <w:r>
        <w:t>号）文件及双鸭山市煤炭生产安全管</w:t>
      </w:r>
      <w:r>
        <w:rPr>
          <w:spacing w:val="-9"/>
        </w:rPr>
        <w:t>理局《双鸭山市煤炭生产安全管理局关于组织上报淘汰落后产能化解过剩产能保留煤矿</w:t>
      </w:r>
      <w:r>
        <w:t>项目方案的通知》（双煤发〔</w:t>
      </w:r>
      <w:r>
        <w:rPr>
          <w:rFonts w:ascii="Times New Roman" w:eastAsia="Times New Roman"/>
        </w:rPr>
        <w:t>2018</w:t>
      </w:r>
      <w:r>
        <w:t>〕</w:t>
      </w:r>
      <w:r>
        <w:rPr>
          <w:rFonts w:ascii="Times New Roman" w:eastAsia="Times New Roman"/>
        </w:rPr>
        <w:t>124</w:t>
      </w:r>
      <w:r>
        <w:t>号）等有关文件的精神，双鸭山大顺矿业有限公司对本矿井原矿界进行了扩层扩界，同时将矿井原有的设计生产能力由</w:t>
      </w:r>
      <w:r>
        <w:rPr>
          <w:rFonts w:ascii="Times New Roman" w:eastAsia="Times New Roman"/>
        </w:rPr>
        <w:t>4</w:t>
      </w:r>
      <w:r>
        <w:t>万</w:t>
      </w:r>
      <w:r>
        <w:rPr>
          <w:rFonts w:ascii="Times New Roman" w:eastAsia="Times New Roman"/>
        </w:rPr>
        <w:t>t/a</w:t>
      </w:r>
      <w:r>
        <w:t>提升到</w:t>
      </w:r>
      <w:r>
        <w:rPr>
          <w:rFonts w:ascii="Times New Roman" w:eastAsia="Times New Roman"/>
        </w:rPr>
        <w:t>30</w:t>
      </w:r>
      <w:r>
        <w:t>万</w:t>
      </w:r>
      <w:r>
        <w:rPr>
          <w:rFonts w:ascii="Times New Roman" w:eastAsia="Times New Roman"/>
          <w:spacing w:val="-7"/>
        </w:rPr>
        <w:t>t/a</w:t>
      </w:r>
      <w:r>
        <w:rPr>
          <w:spacing w:val="-3"/>
        </w:rPr>
        <w:t>，矿井服务年限</w:t>
      </w:r>
      <w:r>
        <w:rPr>
          <w:rFonts w:ascii="Times New Roman" w:eastAsia="Times New Roman"/>
        </w:rPr>
        <w:t>15.4a</w:t>
      </w:r>
      <w:r>
        <w:rPr>
          <w:spacing w:val="-9"/>
        </w:rPr>
        <w:t>。矿井改扩建后服务年限满足《煤炭工业矿井设计规范》中</w:t>
      </w:r>
      <w:r>
        <w:t>关于改扩建矿井服务年限的规定。项目总投资</w:t>
      </w:r>
      <w:r>
        <w:rPr>
          <w:rFonts w:ascii="Times New Roman" w:eastAsia="Times New Roman"/>
        </w:rPr>
        <w:t>6755.07</w:t>
      </w:r>
      <w:r>
        <w:t>万元。</w:t>
      </w:r>
    </w:p>
    <w:p>
      <w:pPr>
        <w:pStyle w:val="6"/>
        <w:spacing w:line="364" w:lineRule="auto"/>
        <w:ind w:left="658" w:right="697" w:firstLine="480"/>
        <w:jc w:val="both"/>
      </w:pPr>
      <w:r>
        <w:rPr>
          <w:spacing w:val="-8"/>
        </w:rPr>
        <w:t xml:space="preserve">根据《中华人民共和国环境保护法》和国务院第 </w:t>
      </w:r>
      <w:r>
        <w:rPr>
          <w:rFonts w:ascii="Times New Roman" w:eastAsia="Times New Roman"/>
        </w:rPr>
        <w:t xml:space="preserve">253 </w:t>
      </w:r>
      <w:r>
        <w:rPr>
          <w:spacing w:val="-6"/>
        </w:rPr>
        <w:t>号令《建设项目环境保护管理</w:t>
      </w:r>
      <w:r>
        <w:rPr>
          <w:spacing w:val="-8"/>
        </w:rPr>
        <w:t>条例》中有关规定，受双鸭山大顺矿业有限公司的委托，黑龙江科大欣欣环保科技有限</w:t>
      </w:r>
      <w:r>
        <w:rPr>
          <w:spacing w:val="-3"/>
        </w:rPr>
        <w:t>公司承担了双鸭山大顺矿业有限公司改扩建项目的环境影响评价工作。接受委托后，评</w:t>
      </w:r>
      <w:r>
        <w:rPr>
          <w:spacing w:val="-5"/>
        </w:rPr>
        <w:t>价单位组成了课题组，课题组评价人员对现场进行了实地踏查并收集了相关资料，经工</w:t>
      </w:r>
      <w:r>
        <w:rPr>
          <w:spacing w:val="-7"/>
        </w:rPr>
        <w:t>程分析、环境影响识别等工作，按照环境影响评价导则以及国家、地方的有关环境保护</w:t>
      </w:r>
      <w:r>
        <w:t>法律、法规的规定，制定了环境影响评价工作方案。</w:t>
      </w:r>
    </w:p>
    <w:p>
      <w:pPr>
        <w:pStyle w:val="6"/>
        <w:spacing w:line="364" w:lineRule="auto"/>
        <w:ind w:left="658" w:right="645" w:firstLine="480"/>
        <w:jc w:val="both"/>
      </w:pPr>
      <w:r>
        <w:t>根据环境影响评价工作方案确定的工作内容，评价单位进行了公众参与以及污染源调查。课题组经过资料整理、模式计算及统计分析，编制出该工程的环境影响报告书， 现提交主管部门及与会专家审查。</w:t>
      </w:r>
    </w:p>
    <w:p>
      <w:pPr>
        <w:pStyle w:val="6"/>
        <w:spacing w:line="307" w:lineRule="exact"/>
        <w:ind w:left="1138"/>
      </w:pPr>
      <w:r>
        <w:t>在报告书编制过程中，</w:t>
      </w:r>
      <w:r>
        <w:fldChar w:fldCharType="begin"/>
      </w:r>
      <w:r>
        <w:instrText xml:space="preserve"> HYPERLINK "https://www.bidcenter.com.cn/newssearchyz-66418654.html" \h </w:instrText>
      </w:r>
      <w:r>
        <w:fldChar w:fldCharType="separate"/>
      </w:r>
      <w:r>
        <w:t>得到了双鸭山市生态环境局</w:t>
      </w:r>
      <w:r>
        <w:fldChar w:fldCharType="end"/>
      </w:r>
      <w:r>
        <w:t>等单位的热情支持和指导，以及</w:t>
      </w:r>
    </w:p>
    <w:p>
      <w:pPr>
        <w:spacing w:after="0" w:line="307" w:lineRule="exact"/>
        <w:sectPr>
          <w:type w:val="continuous"/>
          <w:pgSz w:w="11910" w:h="16840"/>
          <w:pgMar w:top="1580" w:right="720" w:bottom="280" w:left="760" w:header="720" w:footer="720" w:gutter="0"/>
        </w:sectPr>
      </w:pPr>
    </w:p>
    <w:p>
      <w:pPr>
        <w:pStyle w:val="6"/>
        <w:spacing w:before="41"/>
        <w:ind w:left="658"/>
      </w:pPr>
      <w:r>
        <w:t>建设单位双鸭山大顺矿业有限公司的积极协助与支持，在此一并表示感谢。</w:t>
      </w:r>
    </w:p>
    <w:p>
      <w:pPr>
        <w:pStyle w:val="3"/>
        <w:numPr>
          <w:ilvl w:val="1"/>
          <w:numId w:val="4"/>
        </w:numPr>
        <w:tabs>
          <w:tab w:val="left" w:pos="1108"/>
        </w:tabs>
        <w:spacing w:before="161" w:after="0" w:line="240" w:lineRule="auto"/>
        <w:ind w:left="1107" w:right="0" w:hanging="450"/>
        <w:jc w:val="left"/>
      </w:pPr>
      <w:bookmarkStart w:id="6" w:name="_bookmark2"/>
      <w:bookmarkEnd w:id="6"/>
      <w:bookmarkStart w:id="7" w:name="_bookmark2"/>
      <w:bookmarkEnd w:id="7"/>
      <w:bookmarkStart w:id="8" w:name="1.2建设项目特点"/>
      <w:bookmarkEnd w:id="8"/>
      <w:r>
        <w:t>建设项目特点</w:t>
      </w:r>
    </w:p>
    <w:p>
      <w:pPr>
        <w:pStyle w:val="6"/>
        <w:spacing w:before="198" w:line="362" w:lineRule="auto"/>
        <w:ind w:left="658" w:right="511" w:firstLine="480"/>
      </w:pPr>
      <w:r>
        <w:t xml:space="preserve">项目选址位于双鸭山矿业集团岭东煤矿南 </w:t>
      </w:r>
      <w:r>
        <w:rPr>
          <w:rFonts w:ascii="Times New Roman" w:eastAsia="Times New Roman"/>
        </w:rPr>
        <w:t xml:space="preserve">7km </w:t>
      </w:r>
      <w:r>
        <w:t xml:space="preserve">处，在双鸭山市司法局劳教所东部， 改扩建后矿井生产能力为 </w:t>
      </w:r>
      <w:r>
        <w:rPr>
          <w:rFonts w:ascii="Times New Roman" w:eastAsia="Times New Roman"/>
        </w:rPr>
        <w:t xml:space="preserve">30 </w:t>
      </w:r>
      <w:r>
        <w:t xml:space="preserve">万 </w:t>
      </w:r>
      <w:r>
        <w:rPr>
          <w:rFonts w:ascii="Times New Roman" w:eastAsia="Times New Roman"/>
        </w:rPr>
        <w:t>t/a</w:t>
      </w:r>
      <w:r>
        <w:t>。</w:t>
      </w:r>
    </w:p>
    <w:p>
      <w:pPr>
        <w:pStyle w:val="13"/>
        <w:numPr>
          <w:ilvl w:val="2"/>
          <w:numId w:val="4"/>
        </w:numPr>
        <w:tabs>
          <w:tab w:val="left" w:pos="1744"/>
        </w:tabs>
        <w:spacing w:before="5" w:after="0" w:line="362" w:lineRule="auto"/>
        <w:ind w:left="658" w:right="696" w:firstLine="480"/>
        <w:jc w:val="left"/>
        <w:rPr>
          <w:sz w:val="24"/>
        </w:rPr>
      </w:pPr>
      <w:r>
        <w:rPr>
          <w:sz w:val="24"/>
        </w:rPr>
        <w:t>本项目属于煤矿改扩建项目，采用井工开采，井田境界外围不存在生态恢复问题。</w:t>
      </w:r>
    </w:p>
    <w:p>
      <w:pPr>
        <w:pStyle w:val="13"/>
        <w:numPr>
          <w:ilvl w:val="2"/>
          <w:numId w:val="4"/>
        </w:numPr>
        <w:tabs>
          <w:tab w:val="left" w:pos="1744"/>
        </w:tabs>
        <w:spacing w:before="5" w:after="0" w:line="364" w:lineRule="auto"/>
        <w:ind w:left="658" w:right="697" w:firstLine="480"/>
        <w:jc w:val="both"/>
        <w:rPr>
          <w:sz w:val="24"/>
        </w:rPr>
      </w:pPr>
      <w:r>
        <w:rPr>
          <w:sz w:val="24"/>
        </w:rPr>
        <w:t>本项目原煤经仓下给煤机、主斜井提升带式输送机提出的原煤在筛分拣矸车</w:t>
      </w:r>
      <w:r>
        <w:rPr>
          <w:spacing w:val="-8"/>
          <w:sz w:val="24"/>
        </w:rPr>
        <w:t>间筛分，经筛分后分别由块煤带式输送机、中块煤带式输送机、末煤带式输送机，运输</w:t>
      </w:r>
      <w:r>
        <w:rPr>
          <w:sz w:val="24"/>
        </w:rPr>
        <w:t>至存煤场地装车外运。电子汽车衡计量，汽车公路外运销售。</w:t>
      </w:r>
    </w:p>
    <w:p>
      <w:pPr>
        <w:pStyle w:val="13"/>
        <w:numPr>
          <w:ilvl w:val="2"/>
          <w:numId w:val="4"/>
        </w:numPr>
        <w:tabs>
          <w:tab w:val="left" w:pos="1744"/>
        </w:tabs>
        <w:spacing w:before="0" w:after="0" w:line="364" w:lineRule="auto"/>
        <w:ind w:left="658" w:right="577" w:firstLine="480"/>
        <w:jc w:val="left"/>
        <w:rPr>
          <w:sz w:val="24"/>
        </w:rPr>
      </w:pPr>
      <w:r>
        <w:rPr>
          <w:sz w:val="24"/>
        </w:rPr>
        <w:t>矿井建设期，矸石全部用于工业场地和场外道路路基的填筑料。矿井生产期</w:t>
      </w:r>
      <w:r>
        <w:rPr>
          <w:spacing w:val="-15"/>
          <w:sz w:val="24"/>
        </w:rPr>
        <w:t xml:space="preserve">不设矸石山，井下矸石及时运出，只有小部分存在矸石场地。矿井排放的矸石热值很小， </w:t>
      </w:r>
      <w:r>
        <w:rPr>
          <w:spacing w:val="-4"/>
          <w:sz w:val="24"/>
        </w:rPr>
        <w:t>作为能源可利用价值很小，但可以用来平整工业场地；用作公路的路基石料；用于填沟造地。</w:t>
      </w:r>
    </w:p>
    <w:p>
      <w:pPr>
        <w:pStyle w:val="13"/>
        <w:numPr>
          <w:ilvl w:val="2"/>
          <w:numId w:val="4"/>
        </w:numPr>
        <w:tabs>
          <w:tab w:val="left" w:pos="1740"/>
        </w:tabs>
        <w:spacing w:before="0" w:after="0" w:line="240" w:lineRule="auto"/>
        <w:ind w:left="1739" w:right="0" w:hanging="602"/>
        <w:jc w:val="left"/>
        <w:rPr>
          <w:sz w:val="24"/>
        </w:rPr>
      </w:pPr>
      <w:r>
        <w:rPr>
          <w:sz w:val="24"/>
        </w:rPr>
        <w:t>项目开采范围内无居民分布，不涉及居民搬迁。</w:t>
      </w:r>
    </w:p>
    <w:p>
      <w:pPr>
        <w:pStyle w:val="13"/>
        <w:numPr>
          <w:ilvl w:val="2"/>
          <w:numId w:val="4"/>
        </w:numPr>
        <w:tabs>
          <w:tab w:val="left" w:pos="1740"/>
        </w:tabs>
        <w:spacing w:before="155" w:after="0" w:line="362" w:lineRule="auto"/>
        <w:ind w:left="658" w:right="568" w:firstLine="480"/>
        <w:jc w:val="left"/>
        <w:rPr>
          <w:sz w:val="24"/>
        </w:rPr>
      </w:pPr>
      <w:r>
        <w:rPr>
          <w:spacing w:val="-2"/>
          <w:sz w:val="24"/>
        </w:rPr>
        <w:t>本项目供热锅炉采用生物质热水锅炉，产生的废气经布袋除尘器处理后排放，</w:t>
      </w:r>
      <w:r>
        <w:rPr>
          <w:spacing w:val="-12"/>
          <w:position w:val="2"/>
          <w:sz w:val="24"/>
        </w:rPr>
        <w:t>排放浓度满足《锅炉大气污染物排放标准</w:t>
      </w:r>
      <w:r>
        <w:rPr>
          <w:spacing w:val="-238"/>
          <w:position w:val="2"/>
          <w:sz w:val="24"/>
        </w:rPr>
        <w:t>》</w:t>
      </w:r>
      <w:r>
        <w:rPr>
          <w:spacing w:val="-3"/>
          <w:position w:val="2"/>
          <w:sz w:val="24"/>
        </w:rPr>
        <w:t>（</w:t>
      </w:r>
      <w:r>
        <w:rPr>
          <w:rFonts w:ascii="Times New Roman" w:eastAsia="Times New Roman"/>
          <w:spacing w:val="-1"/>
          <w:position w:val="2"/>
          <w:sz w:val="24"/>
        </w:rPr>
        <w:t>G</w:t>
      </w:r>
      <w:r>
        <w:rPr>
          <w:rFonts w:ascii="Times New Roman" w:eastAsia="Times New Roman"/>
          <w:spacing w:val="-2"/>
          <w:position w:val="2"/>
          <w:sz w:val="24"/>
        </w:rPr>
        <w:t>B</w:t>
      </w:r>
      <w:r>
        <w:rPr>
          <w:rFonts w:ascii="Times New Roman" w:eastAsia="Times New Roman"/>
          <w:position w:val="2"/>
          <w:sz w:val="24"/>
        </w:rPr>
        <w:t>13271</w:t>
      </w:r>
      <w:r>
        <w:rPr>
          <w:rFonts w:ascii="Times New Roman" w:eastAsia="Times New Roman"/>
          <w:spacing w:val="1"/>
          <w:position w:val="2"/>
          <w:sz w:val="24"/>
        </w:rPr>
        <w:t>-</w:t>
      </w:r>
      <w:r>
        <w:rPr>
          <w:rFonts w:ascii="Times New Roman" w:eastAsia="Times New Roman"/>
          <w:position w:val="2"/>
          <w:sz w:val="24"/>
        </w:rPr>
        <w:t>2014</w:t>
      </w:r>
      <w:r>
        <w:rPr>
          <w:spacing w:val="-120"/>
          <w:position w:val="2"/>
          <w:sz w:val="24"/>
        </w:rPr>
        <w:t>）</w:t>
      </w:r>
      <w:r>
        <w:rPr>
          <w:spacing w:val="19"/>
          <w:position w:val="2"/>
          <w:sz w:val="24"/>
        </w:rPr>
        <w:t>烟尘</w:t>
      </w:r>
      <w:r>
        <w:rPr>
          <w:rFonts w:ascii="Times New Roman" w:eastAsia="Times New Roman"/>
          <w:position w:val="2"/>
          <w:sz w:val="24"/>
        </w:rPr>
        <w:t>50m</w:t>
      </w:r>
      <w:r>
        <w:rPr>
          <w:rFonts w:ascii="Times New Roman" w:eastAsia="Times New Roman"/>
          <w:spacing w:val="-3"/>
          <w:position w:val="2"/>
          <w:sz w:val="24"/>
        </w:rPr>
        <w:t>g</w:t>
      </w:r>
      <w:r>
        <w:rPr>
          <w:rFonts w:ascii="Times New Roman" w:eastAsia="Times New Roman"/>
          <w:position w:val="2"/>
          <w:sz w:val="24"/>
        </w:rPr>
        <w:t>/</w:t>
      </w:r>
      <w:r>
        <w:rPr>
          <w:rFonts w:ascii="Times New Roman" w:eastAsia="Times New Roman"/>
          <w:spacing w:val="2"/>
          <w:position w:val="2"/>
          <w:sz w:val="24"/>
        </w:rPr>
        <w:t>m</w:t>
      </w:r>
      <w:r>
        <w:rPr>
          <w:rFonts w:ascii="Times New Roman" w:eastAsia="Times New Roman"/>
          <w:spacing w:val="-2"/>
          <w:w w:val="103"/>
          <w:position w:val="2"/>
          <w:sz w:val="24"/>
          <w:vertAlign w:val="superscript"/>
        </w:rPr>
        <w:t>3</w:t>
      </w:r>
      <w:r>
        <w:rPr>
          <w:spacing w:val="-120"/>
          <w:position w:val="2"/>
          <w:sz w:val="24"/>
          <w:vertAlign w:val="baseline"/>
        </w:rPr>
        <w:t>、</w:t>
      </w:r>
      <w:r>
        <w:rPr>
          <w:rFonts w:ascii="Times New Roman" w:eastAsia="Times New Roman"/>
          <w:position w:val="2"/>
          <w:sz w:val="24"/>
          <w:vertAlign w:val="baseline"/>
        </w:rPr>
        <w:t>S</w:t>
      </w:r>
      <w:r>
        <w:rPr>
          <w:rFonts w:ascii="Times New Roman" w:eastAsia="Times New Roman"/>
          <w:spacing w:val="-1"/>
          <w:position w:val="2"/>
          <w:sz w:val="24"/>
          <w:vertAlign w:val="baseline"/>
        </w:rPr>
        <w:t>O</w:t>
      </w:r>
      <w:r>
        <w:rPr>
          <w:rFonts w:ascii="Times New Roman" w:eastAsia="Times New Roman"/>
          <w:spacing w:val="-2"/>
          <w:w w:val="103"/>
          <w:position w:val="2"/>
          <w:sz w:val="24"/>
          <w:vertAlign w:val="subscript"/>
        </w:rPr>
        <w:t>2</w:t>
      </w:r>
      <w:r>
        <w:rPr>
          <w:rFonts w:ascii="Times New Roman" w:eastAsia="Times New Roman"/>
          <w:position w:val="2"/>
          <w:sz w:val="24"/>
          <w:vertAlign w:val="baseline"/>
        </w:rPr>
        <w:t>300m</w:t>
      </w:r>
      <w:r>
        <w:rPr>
          <w:rFonts w:ascii="Times New Roman" w:eastAsia="Times New Roman"/>
          <w:spacing w:val="-3"/>
          <w:position w:val="2"/>
          <w:sz w:val="24"/>
          <w:vertAlign w:val="baseline"/>
        </w:rPr>
        <w:t>g</w:t>
      </w:r>
      <w:r>
        <w:rPr>
          <w:rFonts w:ascii="Times New Roman" w:eastAsia="Times New Roman"/>
          <w:position w:val="2"/>
          <w:sz w:val="24"/>
          <w:vertAlign w:val="baseline"/>
        </w:rPr>
        <w:t>/</w:t>
      </w:r>
      <w:r>
        <w:rPr>
          <w:rFonts w:ascii="Times New Roman" w:eastAsia="Times New Roman"/>
          <w:spacing w:val="2"/>
          <w:position w:val="2"/>
          <w:sz w:val="24"/>
          <w:vertAlign w:val="baseline"/>
        </w:rPr>
        <w:t>m</w:t>
      </w:r>
      <w:r>
        <w:rPr>
          <w:rFonts w:ascii="Times New Roman" w:eastAsia="Times New Roman"/>
          <w:spacing w:val="-2"/>
          <w:w w:val="103"/>
          <w:position w:val="2"/>
          <w:sz w:val="24"/>
          <w:vertAlign w:val="superscript"/>
        </w:rPr>
        <w:t>3</w:t>
      </w:r>
      <w:r>
        <w:rPr>
          <w:spacing w:val="-4"/>
          <w:position w:val="2"/>
          <w:sz w:val="24"/>
          <w:vertAlign w:val="baseline"/>
        </w:rPr>
        <w:t xml:space="preserve">、 </w:t>
      </w:r>
      <w:r>
        <w:rPr>
          <w:rFonts w:ascii="Times New Roman" w:eastAsia="Times New Roman"/>
          <w:position w:val="2"/>
          <w:sz w:val="24"/>
          <w:vertAlign w:val="baseline"/>
        </w:rPr>
        <w:t>NO</w:t>
      </w:r>
      <w:r>
        <w:rPr>
          <w:rFonts w:ascii="Times New Roman" w:eastAsia="Times New Roman"/>
          <w:position w:val="2"/>
          <w:sz w:val="24"/>
          <w:vertAlign w:val="subscript"/>
        </w:rPr>
        <w:t>x</w:t>
      </w:r>
      <w:r>
        <w:rPr>
          <w:rFonts w:ascii="Times New Roman" w:eastAsia="Times New Roman"/>
          <w:position w:val="2"/>
          <w:sz w:val="24"/>
          <w:vertAlign w:val="baseline"/>
        </w:rPr>
        <w:t>300mg/m</w:t>
      </w:r>
      <w:r>
        <w:rPr>
          <w:rFonts w:ascii="Times New Roman" w:eastAsia="Times New Roman"/>
          <w:position w:val="2"/>
          <w:sz w:val="24"/>
          <w:vertAlign w:val="superscript"/>
        </w:rPr>
        <w:t>3</w:t>
      </w:r>
      <w:r>
        <w:rPr>
          <w:rFonts w:ascii="Times New Roman" w:eastAsia="Times New Roman"/>
          <w:spacing w:val="-22"/>
          <w:position w:val="2"/>
          <w:sz w:val="24"/>
          <w:vertAlign w:val="baseline"/>
        </w:rPr>
        <w:t xml:space="preserve"> </w:t>
      </w:r>
      <w:r>
        <w:rPr>
          <w:spacing w:val="-7"/>
          <w:position w:val="2"/>
          <w:sz w:val="24"/>
          <w:vertAlign w:val="baseline"/>
        </w:rPr>
        <w:t>的标准限值要求。井筒加热采用热风炉，产生的废气经布袋除尘器处理后</w:t>
      </w:r>
      <w:r>
        <w:rPr>
          <w:spacing w:val="-7"/>
          <w:sz w:val="24"/>
          <w:vertAlign w:val="baseline"/>
        </w:rPr>
        <w:t>排放，热风炉污染物排放浓度满足《工业炉窑大气污染物排放</w:t>
      </w:r>
      <w:r>
        <w:rPr>
          <w:spacing w:val="2"/>
          <w:sz w:val="21"/>
          <w:vertAlign w:val="baseline"/>
        </w:rPr>
        <w:t>标准</w:t>
      </w:r>
      <w:r>
        <w:rPr>
          <w:sz w:val="24"/>
          <w:vertAlign w:val="baseline"/>
        </w:rPr>
        <w:t>》（</w:t>
      </w:r>
      <w:r>
        <w:rPr>
          <w:rFonts w:ascii="Times New Roman" w:eastAsia="Times New Roman"/>
          <w:sz w:val="24"/>
          <w:vertAlign w:val="baseline"/>
        </w:rPr>
        <w:t>GB9078-1996</w:t>
      </w:r>
      <w:r>
        <w:rPr>
          <w:sz w:val="24"/>
          <w:vertAlign w:val="baseline"/>
        </w:rPr>
        <w:t>）</w:t>
      </w:r>
      <w:r>
        <w:rPr>
          <w:spacing w:val="-20"/>
          <w:position w:val="2"/>
          <w:sz w:val="24"/>
          <w:vertAlign w:val="baseline"/>
        </w:rPr>
        <w:t xml:space="preserve">中表 </w:t>
      </w:r>
      <w:r>
        <w:rPr>
          <w:rFonts w:ascii="Times New Roman" w:eastAsia="Times New Roman"/>
          <w:position w:val="2"/>
          <w:sz w:val="24"/>
          <w:vertAlign w:val="baseline"/>
        </w:rPr>
        <w:t xml:space="preserve">2 </w:t>
      </w:r>
      <w:r>
        <w:rPr>
          <w:spacing w:val="-20"/>
          <w:position w:val="2"/>
          <w:sz w:val="24"/>
          <w:vertAlign w:val="baseline"/>
        </w:rPr>
        <w:t xml:space="preserve">及表 </w:t>
      </w:r>
      <w:r>
        <w:rPr>
          <w:rFonts w:ascii="Times New Roman" w:eastAsia="Times New Roman"/>
          <w:position w:val="2"/>
          <w:sz w:val="24"/>
          <w:vertAlign w:val="baseline"/>
        </w:rPr>
        <w:t xml:space="preserve">4 </w:t>
      </w:r>
      <w:r>
        <w:rPr>
          <w:spacing w:val="-15"/>
          <w:position w:val="2"/>
          <w:sz w:val="24"/>
          <w:vertAlign w:val="baseline"/>
        </w:rPr>
        <w:t xml:space="preserve">中烟尘 </w:t>
      </w:r>
      <w:r>
        <w:rPr>
          <w:rFonts w:ascii="Times New Roman" w:eastAsia="Times New Roman"/>
          <w:position w:val="2"/>
          <w:sz w:val="24"/>
          <w:vertAlign w:val="baseline"/>
        </w:rPr>
        <w:t>200mg/m</w:t>
      </w:r>
      <w:r>
        <w:rPr>
          <w:rFonts w:ascii="Times New Roman" w:eastAsia="Times New Roman"/>
          <w:position w:val="2"/>
          <w:sz w:val="24"/>
          <w:vertAlign w:val="superscript"/>
        </w:rPr>
        <w:t>3</w:t>
      </w:r>
      <w:r>
        <w:rPr>
          <w:position w:val="2"/>
          <w:sz w:val="24"/>
          <w:vertAlign w:val="baseline"/>
        </w:rPr>
        <w:t>、</w:t>
      </w:r>
      <w:r>
        <w:rPr>
          <w:rFonts w:ascii="Times New Roman" w:eastAsia="Times New Roman"/>
          <w:position w:val="2"/>
          <w:sz w:val="24"/>
          <w:vertAlign w:val="baseline"/>
        </w:rPr>
        <w:t>SO</w:t>
      </w:r>
      <w:r>
        <w:rPr>
          <w:rFonts w:ascii="Times New Roman" w:eastAsia="Times New Roman"/>
          <w:position w:val="2"/>
          <w:sz w:val="24"/>
          <w:vertAlign w:val="subscript"/>
        </w:rPr>
        <w:t>2</w:t>
      </w:r>
      <w:r>
        <w:rPr>
          <w:rFonts w:ascii="Times New Roman" w:eastAsia="Times New Roman"/>
          <w:position w:val="2"/>
          <w:sz w:val="24"/>
          <w:vertAlign w:val="baseline"/>
        </w:rPr>
        <w:t>850mg/m</w:t>
      </w:r>
      <w:r>
        <w:rPr>
          <w:rFonts w:ascii="Times New Roman" w:eastAsia="Times New Roman"/>
          <w:position w:val="2"/>
          <w:sz w:val="24"/>
          <w:vertAlign w:val="superscript"/>
        </w:rPr>
        <w:t>3</w:t>
      </w:r>
      <w:r>
        <w:rPr>
          <w:rFonts w:ascii="Times New Roman" w:eastAsia="Times New Roman"/>
          <w:spacing w:val="-23"/>
          <w:position w:val="2"/>
          <w:sz w:val="24"/>
          <w:vertAlign w:val="baseline"/>
        </w:rPr>
        <w:t xml:space="preserve"> </w:t>
      </w:r>
      <w:r>
        <w:rPr>
          <w:position w:val="2"/>
          <w:sz w:val="24"/>
          <w:vertAlign w:val="baseline"/>
        </w:rPr>
        <w:t>的标准限值要求。</w:t>
      </w:r>
    </w:p>
    <w:p>
      <w:pPr>
        <w:pStyle w:val="13"/>
        <w:numPr>
          <w:ilvl w:val="2"/>
          <w:numId w:val="4"/>
        </w:numPr>
        <w:tabs>
          <w:tab w:val="left" w:pos="1740"/>
        </w:tabs>
        <w:spacing w:before="1" w:after="0" w:line="364" w:lineRule="auto"/>
        <w:ind w:left="658" w:right="577" w:firstLine="480"/>
        <w:jc w:val="left"/>
        <w:rPr>
          <w:sz w:val="24"/>
        </w:rPr>
      </w:pPr>
      <w:r>
        <w:rPr>
          <w:spacing w:val="-3"/>
          <w:sz w:val="24"/>
        </w:rPr>
        <w:t>矿井井下排水经过污水处理站处理后，部分回用于井下生产用水、洗浴用水、洗衣用水和锅炉补水等非饮用生活用水，部分外排，排水水质满足《煤炭工业污染物排放标准》（</w:t>
      </w:r>
      <w:r>
        <w:rPr>
          <w:rFonts w:ascii="Times New Roman" w:eastAsia="Times New Roman"/>
          <w:spacing w:val="-3"/>
          <w:sz w:val="24"/>
        </w:rPr>
        <w:t>GB20426-2006</w:t>
      </w:r>
      <w:r>
        <w:rPr>
          <w:spacing w:val="-3"/>
          <w:sz w:val="24"/>
        </w:rPr>
        <w:t>）</w:t>
      </w:r>
      <w:r>
        <w:rPr>
          <w:spacing w:val="-22"/>
          <w:sz w:val="24"/>
        </w:rPr>
        <w:t xml:space="preserve">中表 </w:t>
      </w:r>
      <w:r>
        <w:rPr>
          <w:rFonts w:ascii="Times New Roman" w:eastAsia="Times New Roman"/>
          <w:sz w:val="24"/>
        </w:rPr>
        <w:t xml:space="preserve">2 </w:t>
      </w:r>
      <w:r>
        <w:rPr>
          <w:sz w:val="24"/>
        </w:rPr>
        <w:t>采煤废水污染物排放限值及《地表水环境质量标准》</w:t>
      </w:r>
    </w:p>
    <w:p>
      <w:pPr>
        <w:pStyle w:val="6"/>
        <w:spacing w:line="304" w:lineRule="exact"/>
        <w:ind w:left="658"/>
      </w:pPr>
      <w:r>
        <w:t>（</w:t>
      </w:r>
      <w:r>
        <w:rPr>
          <w:rFonts w:ascii="Times New Roman" w:hAnsi="Times New Roman" w:eastAsia="Times New Roman"/>
        </w:rPr>
        <w:t>GB3838-2002</w:t>
      </w:r>
      <w:r>
        <w:t>）中Ⅲ类标准限值。</w:t>
      </w:r>
    </w:p>
    <w:p>
      <w:pPr>
        <w:pStyle w:val="6"/>
        <w:spacing w:before="160" w:line="364" w:lineRule="auto"/>
        <w:ind w:left="658" w:right="645" w:firstLine="480"/>
        <w:jc w:val="both"/>
      </w:pPr>
      <w:r>
        <w:rPr>
          <w:spacing w:val="-2"/>
        </w:rPr>
        <w:t>本项目对环境产生的主要影响为营运期产生的废气对大气环境的影响，经分析，本</w:t>
      </w:r>
      <w:r>
        <w:rPr>
          <w:spacing w:val="-3"/>
        </w:rPr>
        <w:t xml:space="preserve">项目产生的废气均能得到有效治理并实现达标排放；产生的污废水经处理后部分回用， </w:t>
      </w:r>
      <w:r>
        <w:rPr>
          <w:spacing w:val="-6"/>
        </w:rPr>
        <w:t>部分外排；产生的固体废物均得到妥善处置；噪声源均经过有效的降噪措施，可以实现达标排放。</w:t>
      </w:r>
    </w:p>
    <w:p>
      <w:pPr>
        <w:pStyle w:val="3"/>
        <w:numPr>
          <w:ilvl w:val="1"/>
          <w:numId w:val="4"/>
        </w:numPr>
        <w:tabs>
          <w:tab w:val="left" w:pos="1108"/>
        </w:tabs>
        <w:spacing w:before="0" w:after="0" w:line="382" w:lineRule="exact"/>
        <w:ind w:left="1107" w:right="0" w:hanging="450"/>
        <w:jc w:val="left"/>
      </w:pPr>
      <w:bookmarkStart w:id="9" w:name="_bookmark3"/>
      <w:bookmarkEnd w:id="9"/>
      <w:bookmarkStart w:id="10" w:name="1.3环境影响评价工作过程"/>
      <w:bookmarkEnd w:id="10"/>
      <w:bookmarkStart w:id="11" w:name="_bookmark3"/>
      <w:bookmarkEnd w:id="11"/>
      <w:r>
        <w:t>环境影响评价工作过程</w:t>
      </w:r>
    </w:p>
    <w:p>
      <w:pPr>
        <w:pStyle w:val="6"/>
        <w:spacing w:before="199"/>
        <w:ind w:left="1138"/>
      </w:pPr>
      <w:r>
        <w:t>根据《中华人民共和国环境保护法》、《中华人民共和国环境影响评价法》及国务</w:t>
      </w:r>
    </w:p>
    <w:p>
      <w:pPr>
        <w:spacing w:after="0"/>
        <w:sectPr>
          <w:pgSz w:w="11910" w:h="16840"/>
          <w:pgMar w:top="1360" w:right="720" w:bottom="1160" w:left="760" w:header="0" w:footer="975" w:gutter="0"/>
        </w:sectPr>
      </w:pPr>
    </w:p>
    <w:p>
      <w:pPr>
        <w:pStyle w:val="6"/>
        <w:spacing w:before="61" w:line="364" w:lineRule="auto"/>
        <w:ind w:left="658" w:right="465"/>
      </w:pPr>
      <w:r>
        <w:rPr>
          <w:spacing w:val="-15"/>
        </w:rPr>
        <w:t xml:space="preserve">院令第 </w:t>
      </w:r>
      <w:r>
        <w:rPr>
          <w:rFonts w:ascii="Times New Roman" w:eastAsia="Times New Roman"/>
        </w:rPr>
        <w:t xml:space="preserve">682 </w:t>
      </w:r>
      <w:r>
        <w:rPr>
          <w:spacing w:val="-6"/>
        </w:rPr>
        <w:t>号《建设项目环境保护管理条例》等有关规定，双鸭山大顺矿业有限公司委</w:t>
      </w:r>
      <w:r>
        <w:rPr>
          <w:spacing w:val="-8"/>
        </w:rPr>
        <w:t>托黑龙江科大欣欣环保科技有限公司开展本项目的环境影响评价工作，根据《建设项目</w:t>
      </w:r>
      <w:r>
        <w:rPr>
          <w:spacing w:val="-13"/>
        </w:rPr>
        <w:t>环境影响评价分类管理名录》</w:t>
      </w:r>
      <w:r>
        <w:t>（</w:t>
      </w:r>
      <w:r>
        <w:rPr>
          <w:spacing w:val="-10"/>
        </w:rPr>
        <w:t xml:space="preserve">生态环境部 </w:t>
      </w:r>
      <w:r>
        <w:rPr>
          <w:rFonts w:ascii="Times New Roman" w:eastAsia="Times New Roman"/>
        </w:rPr>
        <w:t xml:space="preserve">2018 </w:t>
      </w:r>
      <w:r>
        <w:rPr>
          <w:spacing w:val="-20"/>
        </w:rPr>
        <w:t xml:space="preserve">年第 </w:t>
      </w:r>
      <w:r>
        <w:rPr>
          <w:rFonts w:ascii="Times New Roman" w:eastAsia="Times New Roman"/>
        </w:rPr>
        <w:t xml:space="preserve">1 </w:t>
      </w:r>
      <w:r>
        <w:rPr>
          <w:spacing w:val="-2"/>
        </w:rPr>
        <w:t>号令修改，</w:t>
      </w:r>
      <w:r>
        <w:rPr>
          <w:rFonts w:ascii="Times New Roman" w:eastAsia="Times New Roman"/>
          <w:spacing w:val="-7"/>
        </w:rPr>
        <w:t xml:space="preserve">2018 </w:t>
      </w:r>
      <w:r>
        <w:rPr>
          <w:spacing w:val="-30"/>
        </w:rPr>
        <w:t xml:space="preserve">年 </w:t>
      </w:r>
      <w:r>
        <w:rPr>
          <w:rFonts w:ascii="Times New Roman" w:eastAsia="Times New Roman"/>
        </w:rPr>
        <w:t xml:space="preserve">4 </w:t>
      </w:r>
      <w:r>
        <w:rPr>
          <w:spacing w:val="-30"/>
        </w:rPr>
        <w:t xml:space="preserve">月 </w:t>
      </w:r>
      <w:r>
        <w:rPr>
          <w:rFonts w:ascii="Times New Roman" w:eastAsia="Times New Roman"/>
        </w:rPr>
        <w:t xml:space="preserve">28 </w:t>
      </w:r>
      <w:r>
        <w:t>日</w:t>
      </w:r>
      <w:r>
        <w:rPr>
          <w:spacing w:val="-23"/>
        </w:rPr>
        <w:t>），</w:t>
      </w:r>
    </w:p>
    <w:p>
      <w:pPr>
        <w:pStyle w:val="6"/>
        <w:spacing w:line="362" w:lineRule="auto"/>
        <w:ind w:left="658" w:right="697"/>
      </w:pPr>
      <w:r>
        <w:rPr>
          <w:spacing w:val="-8"/>
        </w:rPr>
        <w:t xml:space="preserve">本项目类别为“四十一、煤炭开采和洗选业 </w:t>
      </w:r>
      <w:r>
        <w:rPr>
          <w:rFonts w:ascii="Times New Roman" w:hAnsi="Times New Roman" w:eastAsia="Times New Roman"/>
        </w:rPr>
        <w:t xml:space="preserve">128 </w:t>
      </w:r>
      <w:r>
        <w:rPr>
          <w:spacing w:val="-9"/>
        </w:rPr>
        <w:t>煤炭开采”，因此本项目需编制环境影</w:t>
      </w:r>
      <w:r>
        <w:t>响报告书。</w:t>
      </w:r>
    </w:p>
    <w:p>
      <w:pPr>
        <w:pStyle w:val="6"/>
        <w:spacing w:before="4" w:line="362" w:lineRule="auto"/>
        <w:ind w:left="658" w:right="696" w:firstLine="480"/>
      </w:pPr>
      <w:r>
        <w:t>依据《环境影响评价技术导则总纲》（</w:t>
      </w:r>
      <w:r>
        <w:rPr>
          <w:rFonts w:ascii="Times New Roman" w:eastAsia="Times New Roman"/>
        </w:rPr>
        <w:t>HJ2.1-2016</w:t>
      </w:r>
      <w:r>
        <w:t>）</w:t>
      </w:r>
      <w:r>
        <w:rPr>
          <w:spacing w:val="-1"/>
        </w:rPr>
        <w:t>要求，本次环评工作分为三个</w:t>
      </w:r>
      <w:r>
        <w:t>阶段进行。</w:t>
      </w:r>
    </w:p>
    <w:p>
      <w:pPr>
        <w:pStyle w:val="6"/>
        <w:spacing w:before="5" w:line="364" w:lineRule="auto"/>
        <w:ind w:left="658" w:right="697" w:firstLine="480"/>
        <w:jc w:val="both"/>
      </w:pPr>
      <w:r>
        <w:rPr>
          <w:rFonts w:ascii="Times New Roman" w:eastAsia="Times New Roman"/>
        </w:rPr>
        <w:t>1</w:t>
      </w:r>
      <w:r>
        <w:t>、在研究相关技术及其他有关文件基础上进行初步工程分析，开展了初步环境现</w:t>
      </w:r>
      <w:r>
        <w:rPr>
          <w:spacing w:val="-7"/>
        </w:rPr>
        <w:t>状调查，进行了环境影响识别和评价因子筛选。明确了评价重点为环境空气影响和环境风险评价，确定了保护目标，进一步确定评价工作等级、范围及评价标准，制定出相应</w:t>
      </w:r>
      <w:r>
        <w:t>工作方案。</w:t>
      </w:r>
    </w:p>
    <w:p>
      <w:pPr>
        <w:pStyle w:val="6"/>
        <w:spacing w:line="362" w:lineRule="auto"/>
        <w:ind w:left="658" w:right="696" w:firstLine="480"/>
      </w:pPr>
      <w:r>
        <w:rPr>
          <w:rFonts w:ascii="Times New Roman" w:eastAsia="Times New Roman"/>
        </w:rPr>
        <w:t>2</w:t>
      </w:r>
      <w:r>
        <w:t>、根据第一阶段工作成果，对环境现状进行了监测与评价，详细进行工程分析， 对各环境要素影响进行预测与分析。</w:t>
      </w:r>
    </w:p>
    <w:p>
      <w:pPr>
        <w:pStyle w:val="6"/>
        <w:spacing w:before="3" w:line="364" w:lineRule="auto"/>
        <w:ind w:left="658" w:right="697" w:firstLine="480"/>
        <w:jc w:val="both"/>
      </w:pPr>
      <w:r>
        <w:rPr>
          <w:rFonts w:ascii="Times New Roman" w:eastAsia="Times New Roman"/>
        </w:rPr>
        <w:t>3</w:t>
      </w:r>
      <w:r>
        <w:t>、提出环境保护措施，进行经济技术可行性论证，给出污染物排放清单，并给出评价结论。为工程设计、环保决策提供科学依据。本项目环境影响评价工作程序见图</w:t>
      </w:r>
      <w:r>
        <w:rPr>
          <w:rFonts w:ascii="Times New Roman" w:eastAsia="Times New Roman"/>
        </w:rPr>
        <w:t>1.3-1</w:t>
      </w:r>
      <w:r>
        <w:t>。</w:t>
      </w:r>
    </w:p>
    <w:p>
      <w:pPr>
        <w:spacing w:after="0" w:line="364" w:lineRule="auto"/>
        <w:jc w:val="both"/>
        <w:sectPr>
          <w:pgSz w:w="11910" w:h="16840"/>
          <w:pgMar w:top="1340" w:right="720" w:bottom="1160" w:left="760" w:header="0" w:footer="975" w:gutter="0"/>
        </w:sectPr>
      </w:pPr>
    </w:p>
    <w:p>
      <w:pPr>
        <w:pStyle w:val="6"/>
        <w:ind w:left="1078"/>
        <w:rPr>
          <w:sz w:val="20"/>
        </w:rPr>
      </w:pPr>
      <w:r>
        <w:rPr>
          <w:sz w:val="20"/>
        </w:rPr>
        <w:drawing>
          <wp:inline distT="0" distB="0" distL="0" distR="0">
            <wp:extent cx="5018405" cy="503872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37" cstate="print"/>
                    <a:stretch>
                      <a:fillRect/>
                    </a:stretch>
                  </pic:blipFill>
                  <pic:spPr>
                    <a:xfrm>
                      <a:off x="0" y="0"/>
                      <a:ext cx="5018911" cy="5038725"/>
                    </a:xfrm>
                    <a:prstGeom prst="rect">
                      <a:avLst/>
                    </a:prstGeom>
                  </pic:spPr>
                </pic:pic>
              </a:graphicData>
            </a:graphic>
          </wp:inline>
        </w:drawing>
      </w:r>
    </w:p>
    <w:p>
      <w:pPr>
        <w:pStyle w:val="5"/>
        <w:ind w:left="1553" w:right="1104"/>
        <w:jc w:val="center"/>
      </w:pPr>
      <w:r>
        <w:t xml:space="preserve">图 </w:t>
      </w:r>
      <w:r>
        <w:rPr>
          <w:rFonts w:ascii="Times New Roman" w:eastAsia="Times New Roman"/>
        </w:rPr>
        <w:t xml:space="preserve">1.3-1 </w:t>
      </w:r>
      <w:r>
        <w:t>环境影响评价工作程序</w:t>
      </w:r>
    </w:p>
    <w:p>
      <w:pPr>
        <w:pStyle w:val="3"/>
        <w:numPr>
          <w:ilvl w:val="1"/>
          <w:numId w:val="4"/>
        </w:numPr>
        <w:tabs>
          <w:tab w:val="left" w:pos="1108"/>
        </w:tabs>
        <w:spacing w:before="160" w:after="0" w:line="240" w:lineRule="auto"/>
        <w:ind w:left="1107" w:right="0" w:hanging="450"/>
        <w:jc w:val="left"/>
      </w:pPr>
      <w:bookmarkStart w:id="12" w:name="1.4关注的主要环境问题与环境影响"/>
      <w:bookmarkEnd w:id="12"/>
      <w:bookmarkStart w:id="13" w:name="_bookmark4"/>
      <w:bookmarkEnd w:id="13"/>
      <w:bookmarkStart w:id="14" w:name="_bookmark4"/>
      <w:bookmarkEnd w:id="14"/>
      <w:r>
        <w:t>关注的主要环境问题与环境影响</w:t>
      </w:r>
    </w:p>
    <w:p>
      <w:pPr>
        <w:pStyle w:val="6"/>
        <w:spacing w:before="197" w:line="364" w:lineRule="auto"/>
        <w:ind w:left="658" w:right="696" w:firstLine="480"/>
      </w:pPr>
      <w:r>
        <w:t>本次评价主要关注的环境问题是建设项目建设过程及投入营运后主要污染物的产生、控制。</w:t>
      </w:r>
    </w:p>
    <w:p>
      <w:pPr>
        <w:pStyle w:val="13"/>
        <w:numPr>
          <w:ilvl w:val="0"/>
          <w:numId w:val="6"/>
        </w:numPr>
        <w:tabs>
          <w:tab w:val="left" w:pos="1740"/>
        </w:tabs>
        <w:spacing w:before="1" w:after="0" w:line="240" w:lineRule="auto"/>
        <w:ind w:left="1739" w:right="0" w:hanging="602"/>
        <w:jc w:val="left"/>
        <w:rPr>
          <w:sz w:val="24"/>
        </w:rPr>
      </w:pPr>
      <w:r>
        <w:rPr>
          <w:sz w:val="24"/>
        </w:rPr>
        <w:t>项目施工期扬尘、废水、噪声等对周围环境的影响；</w:t>
      </w:r>
    </w:p>
    <w:p>
      <w:pPr>
        <w:pStyle w:val="13"/>
        <w:numPr>
          <w:ilvl w:val="0"/>
          <w:numId w:val="6"/>
        </w:numPr>
        <w:tabs>
          <w:tab w:val="left" w:pos="1740"/>
        </w:tabs>
        <w:spacing w:before="158" w:after="0" w:line="240" w:lineRule="auto"/>
        <w:ind w:left="1739" w:right="0" w:hanging="602"/>
        <w:jc w:val="left"/>
        <w:rPr>
          <w:sz w:val="24"/>
        </w:rPr>
      </w:pPr>
      <w:r>
        <w:rPr>
          <w:sz w:val="24"/>
        </w:rPr>
        <w:t>营运期污水排放对地表水环境的影响以及采取的污染防治措施；</w:t>
      </w:r>
    </w:p>
    <w:p>
      <w:pPr>
        <w:pStyle w:val="13"/>
        <w:numPr>
          <w:ilvl w:val="0"/>
          <w:numId w:val="6"/>
        </w:numPr>
        <w:tabs>
          <w:tab w:val="left" w:pos="1740"/>
        </w:tabs>
        <w:spacing w:before="158" w:after="0" w:line="240" w:lineRule="auto"/>
        <w:ind w:left="1739" w:right="0" w:hanging="602"/>
        <w:jc w:val="left"/>
        <w:rPr>
          <w:sz w:val="24"/>
        </w:rPr>
      </w:pPr>
      <w:r>
        <w:rPr>
          <w:sz w:val="24"/>
        </w:rPr>
        <w:t>营运期锅炉及热风炉废气对大气环境的影响以及采取的污染防治措施；</w:t>
      </w:r>
    </w:p>
    <w:p>
      <w:pPr>
        <w:pStyle w:val="13"/>
        <w:numPr>
          <w:ilvl w:val="0"/>
          <w:numId w:val="6"/>
        </w:numPr>
        <w:tabs>
          <w:tab w:val="left" w:pos="1740"/>
        </w:tabs>
        <w:spacing w:before="161" w:after="0" w:line="240" w:lineRule="auto"/>
        <w:ind w:left="1739" w:right="0" w:hanging="602"/>
        <w:jc w:val="left"/>
        <w:rPr>
          <w:sz w:val="24"/>
        </w:rPr>
      </w:pPr>
      <w:r>
        <w:rPr>
          <w:sz w:val="24"/>
        </w:rPr>
        <w:t>采空沉陷引起的井田范围生态破坏；</w:t>
      </w:r>
    </w:p>
    <w:p>
      <w:pPr>
        <w:pStyle w:val="13"/>
        <w:numPr>
          <w:ilvl w:val="0"/>
          <w:numId w:val="6"/>
        </w:numPr>
        <w:tabs>
          <w:tab w:val="left" w:pos="1740"/>
        </w:tabs>
        <w:spacing w:before="160" w:after="0" w:line="240" w:lineRule="auto"/>
        <w:ind w:left="1739" w:right="0" w:hanging="602"/>
        <w:jc w:val="left"/>
        <w:rPr>
          <w:sz w:val="24"/>
        </w:rPr>
      </w:pPr>
      <w:r>
        <w:rPr>
          <w:sz w:val="24"/>
        </w:rPr>
        <w:t>煤层开采过程对地下水环境的影响及采取的污染防治措施。</w:t>
      </w:r>
    </w:p>
    <w:p>
      <w:pPr>
        <w:pStyle w:val="3"/>
        <w:numPr>
          <w:ilvl w:val="1"/>
          <w:numId w:val="4"/>
        </w:numPr>
        <w:tabs>
          <w:tab w:val="left" w:pos="1108"/>
        </w:tabs>
        <w:spacing w:before="161" w:after="0" w:line="240" w:lineRule="auto"/>
        <w:ind w:left="1107" w:right="0" w:hanging="450"/>
        <w:jc w:val="left"/>
      </w:pPr>
      <w:bookmarkStart w:id="15" w:name="_bookmark5"/>
      <w:bookmarkEnd w:id="15"/>
      <w:bookmarkStart w:id="16" w:name="1.5环境影响评价主要结论"/>
      <w:bookmarkEnd w:id="16"/>
      <w:bookmarkStart w:id="17" w:name="_bookmark5"/>
      <w:bookmarkEnd w:id="17"/>
      <w:r>
        <w:t>环境影响评价主要结论</w:t>
      </w:r>
    </w:p>
    <w:p>
      <w:pPr>
        <w:pStyle w:val="6"/>
        <w:spacing w:before="196" w:line="364" w:lineRule="auto"/>
        <w:ind w:left="658" w:right="697" w:firstLine="480"/>
      </w:pPr>
      <w:r>
        <w:rPr>
          <w:spacing w:val="-7"/>
        </w:rPr>
        <w:t>综上所述，本工程的建设符合国家产业政策，符合地方规划。在落实本环评报告提</w:t>
      </w:r>
      <w:r>
        <w:rPr>
          <w:spacing w:val="-5"/>
        </w:rPr>
        <w:t>出的各项环保措施后，本工程产生的污染物能够实现达标排放，满足地区污染物总量控</w:t>
      </w:r>
    </w:p>
    <w:p>
      <w:pPr>
        <w:spacing w:after="0" w:line="364" w:lineRule="auto"/>
        <w:sectPr>
          <w:pgSz w:w="11910" w:h="16840"/>
          <w:pgMar w:top="1540" w:right="720" w:bottom="1160" w:left="760" w:header="0" w:footer="975" w:gutter="0"/>
        </w:sectPr>
      </w:pPr>
    </w:p>
    <w:p>
      <w:pPr>
        <w:pStyle w:val="6"/>
        <w:spacing w:before="41" w:line="362" w:lineRule="auto"/>
        <w:ind w:left="1138" w:right="1605" w:hanging="480"/>
      </w:pPr>
      <w:r>
        <w:t>制要求，对周围环境的影响可接受。同时本项目建设得到所在地公众的支持。从环境保护角度分析，本工程建设是可行的。</w:t>
      </w:r>
    </w:p>
    <w:p>
      <w:pPr>
        <w:spacing w:after="0" w:line="362" w:lineRule="auto"/>
        <w:sectPr>
          <w:pgSz w:w="11910" w:h="16840"/>
          <w:pgMar w:top="1360" w:right="720" w:bottom="1160" w:left="760" w:header="0" w:footer="975" w:gutter="0"/>
        </w:sectPr>
      </w:pPr>
    </w:p>
    <w:p>
      <w:pPr>
        <w:pStyle w:val="2"/>
        <w:numPr>
          <w:ilvl w:val="0"/>
          <w:numId w:val="5"/>
        </w:numPr>
        <w:tabs>
          <w:tab w:val="left" w:pos="4969"/>
        </w:tabs>
        <w:spacing w:before="41" w:after="0" w:line="240" w:lineRule="auto"/>
        <w:ind w:left="4968" w:right="37" w:hanging="4969"/>
        <w:jc w:val="left"/>
      </w:pPr>
      <w:bookmarkStart w:id="18" w:name="_bookmark6"/>
      <w:bookmarkEnd w:id="18"/>
      <w:bookmarkStart w:id="19" w:name="_bookmark6"/>
      <w:bookmarkEnd w:id="19"/>
      <w:bookmarkStart w:id="20" w:name="2.总则"/>
      <w:bookmarkEnd w:id="20"/>
      <w:r>
        <w:t>总则</w:t>
      </w:r>
    </w:p>
    <w:p>
      <w:pPr>
        <w:pStyle w:val="3"/>
        <w:numPr>
          <w:ilvl w:val="1"/>
          <w:numId w:val="7"/>
        </w:numPr>
        <w:tabs>
          <w:tab w:val="left" w:pos="1184"/>
        </w:tabs>
        <w:spacing w:before="240" w:after="0" w:line="240" w:lineRule="auto"/>
        <w:ind w:left="1184" w:right="0" w:hanging="526"/>
        <w:jc w:val="left"/>
      </w:pPr>
      <w:bookmarkStart w:id="21" w:name="2.1 评价目的及指导思想"/>
      <w:bookmarkEnd w:id="21"/>
      <w:bookmarkStart w:id="22" w:name="_bookmark7"/>
      <w:bookmarkEnd w:id="22"/>
      <w:bookmarkStart w:id="23" w:name="_bookmark7"/>
      <w:bookmarkEnd w:id="23"/>
      <w:r>
        <w:t>评价目的及指导思想</w:t>
      </w:r>
    </w:p>
    <w:p>
      <w:pPr>
        <w:pStyle w:val="4"/>
        <w:numPr>
          <w:ilvl w:val="2"/>
          <w:numId w:val="7"/>
        </w:numPr>
        <w:tabs>
          <w:tab w:val="left" w:pos="1288"/>
        </w:tabs>
        <w:spacing w:before="199" w:after="0" w:line="240" w:lineRule="auto"/>
        <w:ind w:left="1287" w:right="0" w:hanging="630"/>
        <w:jc w:val="left"/>
      </w:pPr>
      <w:bookmarkStart w:id="24" w:name="2.1.1评价目的"/>
      <w:bookmarkEnd w:id="24"/>
      <w:bookmarkStart w:id="25" w:name="2.1.1评价目的"/>
      <w:bookmarkEnd w:id="25"/>
      <w:r>
        <w:t>评价目的</w:t>
      </w:r>
    </w:p>
    <w:p>
      <w:pPr>
        <w:pStyle w:val="6"/>
        <w:spacing w:before="4"/>
        <w:rPr>
          <w:b/>
          <w:sz w:val="9"/>
        </w:rPr>
      </w:pPr>
    </w:p>
    <w:p>
      <w:pPr>
        <w:pStyle w:val="6"/>
        <w:spacing w:before="66" w:line="364" w:lineRule="auto"/>
        <w:ind w:left="658" w:right="697" w:firstLine="480"/>
        <w:jc w:val="both"/>
      </w:pPr>
      <w:r>
        <w:rPr>
          <w:spacing w:val="-6"/>
        </w:rPr>
        <w:t>在对项目工程特征、环境现状进行详细分析的基础上，根据国家和地方的有关法律</w:t>
      </w:r>
      <w:r>
        <w:rPr>
          <w:spacing w:val="-8"/>
        </w:rPr>
        <w:t>法规、发展规划，分析项目建设是否符合国家产业政策与区域规划，生产工艺过程是否</w:t>
      </w:r>
      <w:r>
        <w:rPr>
          <w:spacing w:val="-5"/>
        </w:rPr>
        <w:t>符合清洁生产和环境保护政策；对项目建成后可能造成的污染和生态影响范围和程度进</w:t>
      </w:r>
      <w:r>
        <w:rPr>
          <w:spacing w:val="-6"/>
        </w:rPr>
        <w:t>行预测分析；分析项目排放的各类污染物是否达标排放、是否满足总量控制的要求；对</w:t>
      </w:r>
      <w:r>
        <w:rPr>
          <w:spacing w:val="-4"/>
        </w:rPr>
        <w:t>可研设计拟采取的环境保护措施进行评价，在此基础上提出技术上可靠、针对性强和可</w:t>
      </w:r>
      <w:r>
        <w:rPr>
          <w:spacing w:val="-7"/>
        </w:rPr>
        <w:t>操作性强、经济上合理的污染防治方案和生态环境减缓、恢复、补偿措施；从环境保护</w:t>
      </w:r>
      <w:r>
        <w:rPr>
          <w:spacing w:val="-4"/>
        </w:rPr>
        <w:t>和生态恢复的角度论证项目建设的可行性，为领导部门决策、工程设计和环境管理提供</w:t>
      </w:r>
      <w:r>
        <w:t>科学依据。</w:t>
      </w:r>
    </w:p>
    <w:p>
      <w:pPr>
        <w:pStyle w:val="4"/>
        <w:numPr>
          <w:ilvl w:val="2"/>
          <w:numId w:val="7"/>
        </w:numPr>
        <w:tabs>
          <w:tab w:val="left" w:pos="1288"/>
        </w:tabs>
        <w:spacing w:before="0" w:after="0" w:line="355" w:lineRule="exact"/>
        <w:ind w:left="1287" w:right="0" w:hanging="630"/>
        <w:jc w:val="left"/>
      </w:pPr>
      <w:bookmarkStart w:id="26" w:name="2.1.2评价指导思想"/>
      <w:bookmarkEnd w:id="26"/>
      <w:bookmarkStart w:id="27" w:name="2.1.2评价指导思想"/>
      <w:bookmarkEnd w:id="27"/>
      <w:r>
        <w:t>评价指导思想</w:t>
      </w:r>
    </w:p>
    <w:p>
      <w:pPr>
        <w:pStyle w:val="13"/>
        <w:numPr>
          <w:ilvl w:val="3"/>
          <w:numId w:val="7"/>
        </w:numPr>
        <w:tabs>
          <w:tab w:val="left" w:pos="1744"/>
        </w:tabs>
        <w:spacing w:before="185" w:after="0" w:line="364" w:lineRule="auto"/>
        <w:ind w:left="658" w:right="577" w:firstLine="480"/>
        <w:jc w:val="left"/>
        <w:rPr>
          <w:sz w:val="24"/>
        </w:rPr>
      </w:pPr>
      <w:r>
        <w:rPr>
          <w:sz w:val="24"/>
        </w:rPr>
        <w:t>依据国家和黑龙江省有关环保法律法规、产业政策以及环境影响评价技术规</w:t>
      </w:r>
      <w:r>
        <w:rPr>
          <w:spacing w:val="-7"/>
          <w:sz w:val="24"/>
        </w:rPr>
        <w:t>定，以预防为主、防治结合、清洁生产、全过程控制的现代环境管理思想和循环经济理</w:t>
      </w:r>
      <w:r>
        <w:rPr>
          <w:spacing w:val="-17"/>
          <w:sz w:val="24"/>
        </w:rPr>
        <w:t xml:space="preserve">念为指导，以建设绿色生态矿区为目的，密切结合项目工程特点和所在区域的环境特征， </w:t>
      </w:r>
      <w:r>
        <w:rPr>
          <w:spacing w:val="-3"/>
          <w:sz w:val="24"/>
        </w:rPr>
        <w:t>在区域总体发展规划和环境功能区划的总原则下，以科学、求实、严谨的工作作风开展评价工作。</w:t>
      </w:r>
    </w:p>
    <w:p>
      <w:pPr>
        <w:pStyle w:val="13"/>
        <w:numPr>
          <w:ilvl w:val="3"/>
          <w:numId w:val="7"/>
        </w:numPr>
        <w:tabs>
          <w:tab w:val="left" w:pos="1740"/>
        </w:tabs>
        <w:spacing w:before="0" w:after="0" w:line="306" w:lineRule="exact"/>
        <w:ind w:left="1739" w:right="0" w:hanging="602"/>
        <w:jc w:val="left"/>
        <w:rPr>
          <w:sz w:val="24"/>
        </w:rPr>
      </w:pPr>
      <w:r>
        <w:rPr>
          <w:spacing w:val="-3"/>
          <w:sz w:val="24"/>
        </w:rPr>
        <w:t>该项目为改扩建项目，项目建设带来的环境问题具有一般传统工业污染特征。</w:t>
      </w:r>
    </w:p>
    <w:p>
      <w:pPr>
        <w:pStyle w:val="13"/>
        <w:numPr>
          <w:ilvl w:val="3"/>
          <w:numId w:val="7"/>
        </w:numPr>
        <w:tabs>
          <w:tab w:val="left" w:pos="1744"/>
        </w:tabs>
        <w:spacing w:before="159" w:after="0" w:line="364" w:lineRule="auto"/>
        <w:ind w:left="658" w:right="696" w:firstLine="480"/>
        <w:jc w:val="both"/>
        <w:rPr>
          <w:sz w:val="24"/>
        </w:rPr>
      </w:pPr>
      <w:r>
        <w:rPr>
          <w:sz w:val="24"/>
        </w:rPr>
        <w:t>本着“以新带老、清洁生产、达标排放、总量控制”的原则，充分论证项目</w:t>
      </w:r>
      <w:r>
        <w:rPr>
          <w:spacing w:val="-2"/>
          <w:sz w:val="24"/>
        </w:rPr>
        <w:t xml:space="preserve">污染防治措施与生态保护措施，体现循环经济的减量、再用、循环的 </w:t>
      </w:r>
      <w:r>
        <w:rPr>
          <w:rFonts w:ascii="Times New Roman" w:hAnsi="Times New Roman" w:eastAsia="Times New Roman"/>
          <w:sz w:val="24"/>
        </w:rPr>
        <w:t>3R</w:t>
      </w:r>
      <w:r>
        <w:rPr>
          <w:rFonts w:ascii="Times New Roman" w:hAnsi="Times New Roman" w:eastAsia="Times New Roman"/>
          <w:spacing w:val="10"/>
          <w:sz w:val="24"/>
        </w:rPr>
        <w:t xml:space="preserve"> </w:t>
      </w:r>
      <w:r>
        <w:rPr>
          <w:spacing w:val="-3"/>
          <w:sz w:val="24"/>
        </w:rPr>
        <w:t>原则。减少煤</w:t>
      </w:r>
      <w:r>
        <w:rPr>
          <w:sz w:val="24"/>
        </w:rPr>
        <w:t>矸石的排放量，充分利用采煤废水，化害为利，变废为宝，保护生态环境。</w:t>
      </w:r>
    </w:p>
    <w:p>
      <w:pPr>
        <w:pStyle w:val="13"/>
        <w:numPr>
          <w:ilvl w:val="3"/>
          <w:numId w:val="7"/>
        </w:numPr>
        <w:tabs>
          <w:tab w:val="left" w:pos="1744"/>
        </w:tabs>
        <w:spacing w:before="0" w:after="0" w:line="364" w:lineRule="auto"/>
        <w:ind w:left="658" w:right="697" w:firstLine="480"/>
        <w:jc w:val="both"/>
        <w:rPr>
          <w:sz w:val="24"/>
        </w:rPr>
      </w:pPr>
      <w:r>
        <w:rPr>
          <w:sz w:val="24"/>
        </w:rPr>
        <w:t>报告书的编制力求条理清晰、论据充分、重点突出、内容全面、客观地反映</w:t>
      </w:r>
      <w:r>
        <w:rPr>
          <w:spacing w:val="-7"/>
          <w:sz w:val="24"/>
        </w:rPr>
        <w:t>实际情况，评价结论科学准确，环保对策实用可行、可操作性强，从而使本次评价真正</w:t>
      </w:r>
      <w:r>
        <w:rPr>
          <w:sz w:val="24"/>
        </w:rPr>
        <w:t>起到为项目审批、环境管理、工程建设服务的作用。</w:t>
      </w:r>
    </w:p>
    <w:p>
      <w:pPr>
        <w:pStyle w:val="4"/>
        <w:numPr>
          <w:ilvl w:val="2"/>
          <w:numId w:val="7"/>
        </w:numPr>
        <w:tabs>
          <w:tab w:val="left" w:pos="1288"/>
        </w:tabs>
        <w:spacing w:before="0" w:after="0" w:line="357" w:lineRule="exact"/>
        <w:ind w:left="1287" w:right="0" w:hanging="630"/>
        <w:jc w:val="left"/>
      </w:pPr>
      <w:bookmarkStart w:id="28" w:name="2.1.3评价重点"/>
      <w:bookmarkEnd w:id="28"/>
      <w:bookmarkStart w:id="29" w:name="2.1.3评价重点"/>
      <w:bookmarkEnd w:id="29"/>
      <w:r>
        <w:t>评价重点</w:t>
      </w:r>
    </w:p>
    <w:p>
      <w:pPr>
        <w:pStyle w:val="6"/>
        <w:spacing w:before="184" w:line="364" w:lineRule="auto"/>
        <w:ind w:left="658" w:right="634" w:firstLine="480"/>
      </w:pPr>
      <w:r>
        <w:t>根据环境影响识别结果，确定本次评价重点为生态环境影响评价（包括地表沉陷预测与影响评价）、水环境影响评价、土壤环境影响评价及大气环境影响评价。</w:t>
      </w:r>
    </w:p>
    <w:p>
      <w:pPr>
        <w:pStyle w:val="6"/>
        <w:spacing w:before="1"/>
        <w:ind w:left="1138"/>
      </w:pPr>
      <w:r>
        <w:t>通过本次评价，重点回答以下几个问题：</w:t>
      </w:r>
    </w:p>
    <w:p>
      <w:pPr>
        <w:pStyle w:val="13"/>
        <w:numPr>
          <w:ilvl w:val="0"/>
          <w:numId w:val="8"/>
        </w:numPr>
        <w:tabs>
          <w:tab w:val="left" w:pos="1744"/>
        </w:tabs>
        <w:spacing w:before="158" w:after="0" w:line="240" w:lineRule="auto"/>
        <w:ind w:left="1743" w:right="0" w:hanging="606"/>
        <w:jc w:val="left"/>
        <w:rPr>
          <w:sz w:val="24"/>
        </w:rPr>
      </w:pPr>
      <w:r>
        <w:rPr>
          <w:sz w:val="24"/>
        </w:rPr>
        <w:t>煤炭开采沉陷引起的生态环境破坏及恢复措施，主要包括：土地利用结构的</w:t>
      </w:r>
    </w:p>
    <w:p>
      <w:pPr>
        <w:spacing w:after="0" w:line="240" w:lineRule="auto"/>
        <w:jc w:val="left"/>
        <w:rPr>
          <w:sz w:val="24"/>
        </w:rPr>
        <w:sectPr>
          <w:pgSz w:w="11910" w:h="16840"/>
          <w:pgMar w:top="1360" w:right="720" w:bottom="1160" w:left="760" w:header="0" w:footer="975" w:gutter="0"/>
        </w:sectPr>
      </w:pPr>
    </w:p>
    <w:p>
      <w:pPr>
        <w:pStyle w:val="6"/>
        <w:spacing w:before="41" w:line="362" w:lineRule="auto"/>
        <w:ind w:left="658" w:right="697"/>
      </w:pPr>
      <w:r>
        <w:rPr>
          <w:spacing w:val="-8"/>
        </w:rPr>
        <w:t>变化，地表植被影响与恢复，沉陷区土地综合整治，浅层地下水影响与保护措施、对地</w:t>
      </w:r>
      <w:r>
        <w:t>面基础设施影响及保护等。</w:t>
      </w:r>
    </w:p>
    <w:p>
      <w:pPr>
        <w:pStyle w:val="13"/>
        <w:numPr>
          <w:ilvl w:val="0"/>
          <w:numId w:val="8"/>
        </w:numPr>
        <w:tabs>
          <w:tab w:val="left" w:pos="1740"/>
        </w:tabs>
        <w:spacing w:before="5" w:after="0" w:line="240" w:lineRule="auto"/>
        <w:ind w:left="1739" w:right="0" w:hanging="602"/>
        <w:jc w:val="left"/>
        <w:rPr>
          <w:sz w:val="24"/>
        </w:rPr>
      </w:pPr>
      <w:r>
        <w:rPr>
          <w:sz w:val="24"/>
        </w:rPr>
        <w:t>项目排水对扁石河的影响。采煤废水资源化途径分析论证。</w:t>
      </w:r>
    </w:p>
    <w:p>
      <w:pPr>
        <w:pStyle w:val="13"/>
        <w:numPr>
          <w:ilvl w:val="0"/>
          <w:numId w:val="8"/>
        </w:numPr>
        <w:tabs>
          <w:tab w:val="left" w:pos="1740"/>
        </w:tabs>
        <w:spacing w:before="161" w:after="0" w:line="240" w:lineRule="auto"/>
        <w:ind w:left="1739" w:right="0" w:hanging="602"/>
        <w:jc w:val="left"/>
        <w:rPr>
          <w:sz w:val="24"/>
        </w:rPr>
      </w:pPr>
      <w:r>
        <w:rPr>
          <w:sz w:val="24"/>
        </w:rPr>
        <w:t>矸石处置措施及综合利用途径分析论证。</w:t>
      </w:r>
    </w:p>
    <w:p>
      <w:pPr>
        <w:pStyle w:val="3"/>
        <w:numPr>
          <w:ilvl w:val="1"/>
          <w:numId w:val="7"/>
        </w:numPr>
        <w:tabs>
          <w:tab w:val="left" w:pos="1184"/>
        </w:tabs>
        <w:spacing w:before="160" w:after="0" w:line="240" w:lineRule="auto"/>
        <w:ind w:left="1184" w:right="0" w:hanging="526"/>
        <w:jc w:val="left"/>
      </w:pPr>
      <w:bookmarkStart w:id="30" w:name="_bookmark8"/>
      <w:bookmarkEnd w:id="30"/>
      <w:bookmarkStart w:id="31" w:name="_bookmark8"/>
      <w:bookmarkEnd w:id="31"/>
      <w:bookmarkStart w:id="32" w:name="2.2 编制依据"/>
      <w:bookmarkEnd w:id="32"/>
      <w:r>
        <w:t>编制依据</w:t>
      </w:r>
    </w:p>
    <w:p>
      <w:pPr>
        <w:pStyle w:val="4"/>
        <w:numPr>
          <w:ilvl w:val="2"/>
          <w:numId w:val="7"/>
        </w:numPr>
        <w:tabs>
          <w:tab w:val="left" w:pos="1288"/>
        </w:tabs>
        <w:spacing w:before="200" w:after="0" w:line="240" w:lineRule="auto"/>
        <w:ind w:left="1287" w:right="0" w:hanging="630"/>
        <w:jc w:val="left"/>
      </w:pPr>
      <w:r>
        <w:t>相关法律、法规</w:t>
      </w:r>
    </w:p>
    <w:p>
      <w:pPr>
        <w:pStyle w:val="13"/>
        <w:numPr>
          <w:ilvl w:val="0"/>
          <w:numId w:val="9"/>
        </w:numPr>
        <w:tabs>
          <w:tab w:val="left" w:pos="1419"/>
        </w:tabs>
        <w:spacing w:before="183" w:after="0" w:line="364" w:lineRule="auto"/>
        <w:ind w:left="658" w:right="693" w:firstLine="480"/>
        <w:jc w:val="left"/>
        <w:rPr>
          <w:sz w:val="24"/>
        </w:rPr>
      </w:pPr>
      <w:r>
        <w:rPr>
          <w:spacing w:val="-4"/>
          <w:sz w:val="24"/>
        </w:rPr>
        <w:t>《中华人民共和国环境保护法》</w:t>
      </w:r>
      <w:r>
        <w:rPr>
          <w:sz w:val="24"/>
        </w:rPr>
        <w:t>（</w:t>
      </w:r>
      <w:r>
        <w:rPr>
          <w:rFonts w:ascii="Times New Roman" w:eastAsia="Times New Roman"/>
          <w:sz w:val="24"/>
        </w:rPr>
        <w:t xml:space="preserve">2014 </w:t>
      </w:r>
      <w:r>
        <w:rPr>
          <w:spacing w:val="-30"/>
          <w:sz w:val="24"/>
        </w:rPr>
        <w:t xml:space="preserve">年 </w:t>
      </w:r>
      <w:r>
        <w:rPr>
          <w:rFonts w:ascii="Times New Roman" w:eastAsia="Times New Roman"/>
          <w:sz w:val="24"/>
        </w:rPr>
        <w:t xml:space="preserve">4 </w:t>
      </w:r>
      <w:r>
        <w:rPr>
          <w:spacing w:val="-30"/>
          <w:sz w:val="24"/>
        </w:rPr>
        <w:t xml:space="preserve">月 </w:t>
      </w:r>
      <w:r>
        <w:rPr>
          <w:rFonts w:ascii="Times New Roman" w:eastAsia="Times New Roman"/>
          <w:sz w:val="24"/>
        </w:rPr>
        <w:t xml:space="preserve">24 </w:t>
      </w:r>
      <w:r>
        <w:rPr>
          <w:spacing w:val="-2"/>
          <w:sz w:val="24"/>
        </w:rPr>
        <w:t>日修订，</w:t>
      </w:r>
      <w:r>
        <w:rPr>
          <w:rFonts w:ascii="Times New Roman" w:eastAsia="Times New Roman"/>
          <w:spacing w:val="-5"/>
          <w:sz w:val="24"/>
        </w:rPr>
        <w:t>2015</w:t>
      </w:r>
      <w:r>
        <w:rPr>
          <w:rFonts w:ascii="Times New Roman" w:eastAsia="Times New Roman"/>
          <w:spacing w:val="1"/>
          <w:sz w:val="24"/>
        </w:rPr>
        <w:t xml:space="preserve"> </w:t>
      </w:r>
      <w:r>
        <w:rPr>
          <w:spacing w:val="-30"/>
          <w:sz w:val="24"/>
        </w:rPr>
        <w:t xml:space="preserve">年 </w:t>
      </w:r>
      <w:r>
        <w:rPr>
          <w:rFonts w:ascii="Times New Roman" w:eastAsia="Times New Roman"/>
          <w:sz w:val="24"/>
        </w:rPr>
        <w:t>1</w:t>
      </w:r>
      <w:r>
        <w:rPr>
          <w:rFonts w:ascii="Times New Roman" w:eastAsia="Times New Roman"/>
          <w:spacing w:val="1"/>
          <w:sz w:val="24"/>
        </w:rPr>
        <w:t xml:space="preserve"> </w:t>
      </w:r>
      <w:r>
        <w:rPr>
          <w:spacing w:val="-30"/>
          <w:sz w:val="24"/>
        </w:rPr>
        <w:t xml:space="preserve">月 </w:t>
      </w:r>
      <w:r>
        <w:rPr>
          <w:rFonts w:ascii="Times New Roman" w:eastAsia="Times New Roman"/>
          <w:sz w:val="24"/>
        </w:rPr>
        <w:t>1</w:t>
      </w:r>
      <w:r>
        <w:rPr>
          <w:rFonts w:ascii="Times New Roman" w:eastAsia="Times New Roman"/>
          <w:spacing w:val="1"/>
          <w:sz w:val="24"/>
        </w:rPr>
        <w:t xml:space="preserve"> </w:t>
      </w:r>
      <w:r>
        <w:rPr>
          <w:spacing w:val="-5"/>
          <w:sz w:val="24"/>
        </w:rPr>
        <w:t>日起施</w:t>
      </w:r>
      <w:r>
        <w:rPr>
          <w:sz w:val="24"/>
        </w:rPr>
        <w:t>行）；</w:t>
      </w:r>
    </w:p>
    <w:p>
      <w:pPr>
        <w:pStyle w:val="13"/>
        <w:numPr>
          <w:ilvl w:val="0"/>
          <w:numId w:val="9"/>
        </w:numPr>
        <w:tabs>
          <w:tab w:val="left" w:pos="1419"/>
        </w:tabs>
        <w:spacing w:before="0" w:after="0" w:line="306" w:lineRule="exact"/>
        <w:ind w:left="1418" w:right="0" w:hanging="281"/>
        <w:jc w:val="left"/>
        <w:rPr>
          <w:sz w:val="24"/>
        </w:rPr>
      </w:pPr>
      <w:r>
        <w:rPr>
          <w:spacing w:val="-1"/>
          <w:sz w:val="24"/>
        </w:rPr>
        <w:t>《中华人民共和国环境影响评价法》</w:t>
      </w:r>
      <w:r>
        <w:rPr>
          <w:sz w:val="24"/>
        </w:rPr>
        <w:t>（</w:t>
      </w:r>
      <w:r>
        <w:rPr>
          <w:rFonts w:ascii="Times New Roman" w:eastAsia="Times New Roman"/>
          <w:sz w:val="24"/>
        </w:rPr>
        <w:t xml:space="preserve">2018 </w:t>
      </w:r>
      <w:r>
        <w:rPr>
          <w:spacing w:val="-30"/>
          <w:sz w:val="24"/>
        </w:rPr>
        <w:t xml:space="preserve">年 </w:t>
      </w:r>
      <w:r>
        <w:rPr>
          <w:rFonts w:ascii="Times New Roman" w:eastAsia="Times New Roman"/>
          <w:sz w:val="24"/>
        </w:rPr>
        <w:t xml:space="preserve">12 </w:t>
      </w:r>
      <w:r>
        <w:rPr>
          <w:spacing w:val="-30"/>
          <w:sz w:val="24"/>
        </w:rPr>
        <w:t xml:space="preserve">月 </w:t>
      </w:r>
      <w:r>
        <w:rPr>
          <w:rFonts w:ascii="Times New Roman" w:eastAsia="Times New Roman"/>
          <w:sz w:val="24"/>
        </w:rPr>
        <w:t xml:space="preserve">29 </w:t>
      </w:r>
      <w:r>
        <w:rPr>
          <w:sz w:val="24"/>
        </w:rPr>
        <w:t>日第二次修正并施行</w:t>
      </w:r>
      <w:r>
        <w:rPr>
          <w:spacing w:val="-4"/>
          <w:sz w:val="24"/>
        </w:rPr>
        <w:t>）；</w:t>
      </w:r>
    </w:p>
    <w:p>
      <w:pPr>
        <w:pStyle w:val="13"/>
        <w:numPr>
          <w:ilvl w:val="0"/>
          <w:numId w:val="9"/>
        </w:numPr>
        <w:tabs>
          <w:tab w:val="left" w:pos="1419"/>
        </w:tabs>
        <w:spacing w:before="160" w:after="0" w:line="240" w:lineRule="auto"/>
        <w:ind w:left="1418" w:right="0" w:hanging="281"/>
        <w:jc w:val="left"/>
        <w:rPr>
          <w:sz w:val="24"/>
        </w:rPr>
      </w:pPr>
      <w:r>
        <w:rPr>
          <w:spacing w:val="-1"/>
          <w:sz w:val="24"/>
        </w:rPr>
        <w:t>《中华人民共和国大气污染防治法》</w:t>
      </w:r>
      <w:r>
        <w:rPr>
          <w:sz w:val="24"/>
        </w:rPr>
        <w:t>（</w:t>
      </w:r>
      <w:r>
        <w:rPr>
          <w:rFonts w:ascii="Times New Roman" w:eastAsia="Times New Roman"/>
          <w:sz w:val="24"/>
        </w:rPr>
        <w:t xml:space="preserve">2018 </w:t>
      </w:r>
      <w:r>
        <w:rPr>
          <w:spacing w:val="-30"/>
          <w:sz w:val="24"/>
        </w:rPr>
        <w:t xml:space="preserve">年 </w:t>
      </w:r>
      <w:r>
        <w:rPr>
          <w:rFonts w:ascii="Times New Roman" w:eastAsia="Times New Roman"/>
          <w:sz w:val="24"/>
        </w:rPr>
        <w:t xml:space="preserve">10 </w:t>
      </w:r>
      <w:r>
        <w:rPr>
          <w:spacing w:val="-30"/>
          <w:sz w:val="24"/>
        </w:rPr>
        <w:t xml:space="preserve">月 </w:t>
      </w:r>
      <w:r>
        <w:rPr>
          <w:rFonts w:ascii="Times New Roman" w:eastAsia="Times New Roman"/>
          <w:sz w:val="24"/>
        </w:rPr>
        <w:t xml:space="preserve">26 </w:t>
      </w:r>
      <w:r>
        <w:rPr>
          <w:sz w:val="24"/>
        </w:rPr>
        <w:t>日第二次修正并施行</w:t>
      </w:r>
      <w:r>
        <w:rPr>
          <w:spacing w:val="-4"/>
          <w:sz w:val="24"/>
        </w:rPr>
        <w:t>）；</w:t>
      </w:r>
    </w:p>
    <w:p>
      <w:pPr>
        <w:pStyle w:val="13"/>
        <w:numPr>
          <w:ilvl w:val="0"/>
          <w:numId w:val="9"/>
        </w:numPr>
        <w:tabs>
          <w:tab w:val="left" w:pos="1419"/>
        </w:tabs>
        <w:spacing w:before="158" w:after="0" w:line="240" w:lineRule="auto"/>
        <w:ind w:left="1418" w:right="0" w:hanging="281"/>
        <w:jc w:val="left"/>
        <w:rPr>
          <w:sz w:val="24"/>
        </w:rPr>
      </w:pPr>
      <w:r>
        <w:rPr>
          <w:sz w:val="24"/>
        </w:rPr>
        <w:t>《中华人民共和国环境噪声污染防治法》（</w:t>
      </w:r>
      <w:r>
        <w:rPr>
          <w:rFonts w:ascii="Times New Roman" w:eastAsia="Times New Roman"/>
          <w:sz w:val="24"/>
        </w:rPr>
        <w:t xml:space="preserve">2018 </w:t>
      </w:r>
      <w:r>
        <w:rPr>
          <w:spacing w:val="-30"/>
          <w:sz w:val="24"/>
        </w:rPr>
        <w:t xml:space="preserve">年 </w:t>
      </w:r>
      <w:r>
        <w:rPr>
          <w:rFonts w:ascii="Times New Roman" w:eastAsia="Times New Roman"/>
          <w:sz w:val="24"/>
        </w:rPr>
        <w:t xml:space="preserve">12 </w:t>
      </w:r>
      <w:r>
        <w:rPr>
          <w:spacing w:val="-30"/>
          <w:sz w:val="24"/>
        </w:rPr>
        <w:t xml:space="preserve">月 </w:t>
      </w:r>
      <w:r>
        <w:rPr>
          <w:rFonts w:ascii="Times New Roman" w:eastAsia="Times New Roman"/>
          <w:sz w:val="24"/>
        </w:rPr>
        <w:t xml:space="preserve">29 </w:t>
      </w:r>
      <w:r>
        <w:rPr>
          <w:sz w:val="24"/>
        </w:rPr>
        <w:t>日修正并施行）；</w:t>
      </w:r>
    </w:p>
    <w:p>
      <w:pPr>
        <w:pStyle w:val="13"/>
        <w:numPr>
          <w:ilvl w:val="0"/>
          <w:numId w:val="9"/>
        </w:numPr>
        <w:tabs>
          <w:tab w:val="left" w:pos="1419"/>
        </w:tabs>
        <w:spacing w:before="161" w:after="0" w:line="240" w:lineRule="auto"/>
        <w:ind w:left="1418" w:right="0" w:hanging="281"/>
        <w:jc w:val="left"/>
        <w:rPr>
          <w:sz w:val="24"/>
        </w:rPr>
      </w:pPr>
      <w:r>
        <w:rPr>
          <w:spacing w:val="-4"/>
          <w:sz w:val="24"/>
        </w:rPr>
        <w:t>《中华人民共和国水污染防治法》</w:t>
      </w:r>
      <w:r>
        <w:rPr>
          <w:sz w:val="24"/>
        </w:rPr>
        <w:t>（</w:t>
      </w:r>
      <w:r>
        <w:rPr>
          <w:rFonts w:ascii="Times New Roman" w:eastAsia="Times New Roman"/>
          <w:sz w:val="24"/>
        </w:rPr>
        <w:t xml:space="preserve">2017 </w:t>
      </w:r>
      <w:r>
        <w:rPr>
          <w:spacing w:val="-30"/>
          <w:sz w:val="24"/>
        </w:rPr>
        <w:t xml:space="preserve">年 </w:t>
      </w:r>
      <w:r>
        <w:rPr>
          <w:rFonts w:ascii="Times New Roman" w:eastAsia="Times New Roman"/>
          <w:sz w:val="24"/>
        </w:rPr>
        <w:t xml:space="preserve">6 </w:t>
      </w:r>
      <w:r>
        <w:rPr>
          <w:spacing w:val="-30"/>
          <w:sz w:val="24"/>
        </w:rPr>
        <w:t xml:space="preserve">月 </w:t>
      </w:r>
      <w:r>
        <w:rPr>
          <w:rFonts w:ascii="Times New Roman" w:eastAsia="Times New Roman"/>
          <w:sz w:val="24"/>
        </w:rPr>
        <w:t xml:space="preserve">27 </w:t>
      </w:r>
      <w:r>
        <w:rPr>
          <w:spacing w:val="-1"/>
          <w:sz w:val="24"/>
        </w:rPr>
        <w:t>日第二次修正，</w:t>
      </w:r>
      <w:r>
        <w:rPr>
          <w:rFonts w:ascii="Times New Roman" w:eastAsia="Times New Roman"/>
          <w:spacing w:val="-5"/>
          <w:sz w:val="24"/>
        </w:rPr>
        <w:t>2018</w:t>
      </w:r>
      <w:r>
        <w:rPr>
          <w:rFonts w:ascii="Times New Roman" w:eastAsia="Times New Roman"/>
          <w:sz w:val="24"/>
        </w:rPr>
        <w:t xml:space="preserve"> </w:t>
      </w:r>
      <w:r>
        <w:rPr>
          <w:spacing w:val="-30"/>
          <w:sz w:val="24"/>
        </w:rPr>
        <w:t xml:space="preserve">年 </w:t>
      </w:r>
      <w:r>
        <w:rPr>
          <w:rFonts w:ascii="Times New Roman" w:eastAsia="Times New Roman"/>
          <w:sz w:val="24"/>
        </w:rPr>
        <w:t>1</w:t>
      </w:r>
      <w:r>
        <w:rPr>
          <w:rFonts w:ascii="Times New Roman" w:eastAsia="Times New Roman"/>
          <w:spacing w:val="3"/>
          <w:sz w:val="24"/>
        </w:rPr>
        <w:t xml:space="preserve"> </w:t>
      </w:r>
      <w:r>
        <w:rPr>
          <w:sz w:val="24"/>
        </w:rPr>
        <w:t>月</w:t>
      </w:r>
    </w:p>
    <w:p>
      <w:pPr>
        <w:pStyle w:val="6"/>
        <w:spacing w:before="160"/>
        <w:ind w:left="658"/>
      </w:pPr>
      <w:r>
        <w:rPr>
          <w:rFonts w:ascii="Times New Roman" w:eastAsia="Times New Roman"/>
        </w:rPr>
        <w:t xml:space="preserve">1 </w:t>
      </w:r>
      <w:r>
        <w:t>日起施行）；</w:t>
      </w:r>
    </w:p>
    <w:p>
      <w:pPr>
        <w:pStyle w:val="13"/>
        <w:numPr>
          <w:ilvl w:val="0"/>
          <w:numId w:val="9"/>
        </w:numPr>
        <w:tabs>
          <w:tab w:val="left" w:pos="1419"/>
        </w:tabs>
        <w:spacing w:before="158" w:after="0" w:line="240" w:lineRule="auto"/>
        <w:ind w:left="1418" w:right="0" w:hanging="281"/>
        <w:jc w:val="left"/>
        <w:rPr>
          <w:sz w:val="24"/>
        </w:rPr>
      </w:pPr>
      <w:r>
        <w:rPr>
          <w:spacing w:val="-4"/>
          <w:sz w:val="24"/>
        </w:rPr>
        <w:t>《中华人民共和国固体废物污染环境防治法》</w:t>
      </w:r>
      <w:r>
        <w:rPr>
          <w:rFonts w:ascii="Times New Roman" w:eastAsia="Times New Roman"/>
          <w:sz w:val="24"/>
        </w:rPr>
        <w:t xml:space="preserve">(2020 </w:t>
      </w:r>
      <w:r>
        <w:rPr>
          <w:spacing w:val="-29"/>
          <w:sz w:val="24"/>
        </w:rPr>
        <w:t xml:space="preserve">年 </w:t>
      </w:r>
      <w:r>
        <w:rPr>
          <w:rFonts w:ascii="Times New Roman" w:eastAsia="Times New Roman"/>
          <w:sz w:val="24"/>
        </w:rPr>
        <w:t xml:space="preserve">4 </w:t>
      </w:r>
      <w:r>
        <w:rPr>
          <w:spacing w:val="-30"/>
          <w:sz w:val="24"/>
        </w:rPr>
        <w:t xml:space="preserve">月 </w:t>
      </w:r>
      <w:r>
        <w:rPr>
          <w:rFonts w:ascii="Times New Roman" w:eastAsia="Times New Roman"/>
          <w:sz w:val="24"/>
        </w:rPr>
        <w:t xml:space="preserve">29 </w:t>
      </w:r>
      <w:r>
        <w:rPr>
          <w:sz w:val="24"/>
        </w:rPr>
        <w:t>日第十三届全国人</w:t>
      </w:r>
    </w:p>
    <w:p>
      <w:pPr>
        <w:pStyle w:val="6"/>
        <w:spacing w:before="158"/>
        <w:ind w:left="658"/>
      </w:pPr>
      <w:r>
        <w:t>民代表大会常务委员会第十七次会议第二次修订</w:t>
      </w:r>
      <w:r>
        <w:rPr>
          <w:rFonts w:ascii="Times New Roman" w:eastAsia="Times New Roman"/>
        </w:rPr>
        <w:t xml:space="preserve">,2020 </w:t>
      </w:r>
      <w:r>
        <w:t xml:space="preserve">年 </w:t>
      </w:r>
      <w:r>
        <w:rPr>
          <w:rFonts w:ascii="Times New Roman" w:eastAsia="Times New Roman"/>
        </w:rPr>
        <w:t xml:space="preserve">09 </w:t>
      </w:r>
      <w:r>
        <w:t xml:space="preserve">月 </w:t>
      </w:r>
      <w:r>
        <w:rPr>
          <w:rFonts w:ascii="Times New Roman" w:eastAsia="Times New Roman"/>
        </w:rPr>
        <w:t xml:space="preserve">1 </w:t>
      </w:r>
      <w:r>
        <w:t>日施行）；</w:t>
      </w:r>
    </w:p>
    <w:p>
      <w:pPr>
        <w:pStyle w:val="13"/>
        <w:numPr>
          <w:ilvl w:val="0"/>
          <w:numId w:val="9"/>
        </w:numPr>
        <w:tabs>
          <w:tab w:val="left" w:pos="1419"/>
        </w:tabs>
        <w:spacing w:before="161" w:after="0" w:line="240" w:lineRule="auto"/>
        <w:ind w:left="1418" w:right="0" w:hanging="281"/>
        <w:jc w:val="left"/>
        <w:rPr>
          <w:sz w:val="24"/>
        </w:rPr>
      </w:pPr>
      <w:r>
        <w:rPr>
          <w:sz w:val="24"/>
        </w:rPr>
        <w:t>《中华人民共和国土壤污染防治法》</w:t>
      </w:r>
      <w:r>
        <w:rPr>
          <w:rFonts w:ascii="Times New Roman" w:eastAsia="Times New Roman"/>
          <w:sz w:val="24"/>
        </w:rPr>
        <w:t>(2019</w:t>
      </w:r>
      <w:r>
        <w:rPr>
          <w:rFonts w:ascii="Times New Roman" w:eastAsia="Times New Roman"/>
          <w:spacing w:val="-1"/>
          <w:sz w:val="24"/>
        </w:rPr>
        <w:t xml:space="preserve"> </w:t>
      </w:r>
      <w:r>
        <w:rPr>
          <w:spacing w:val="-30"/>
          <w:sz w:val="24"/>
        </w:rPr>
        <w:t xml:space="preserve">年 </w:t>
      </w:r>
      <w:r>
        <w:rPr>
          <w:rFonts w:ascii="Times New Roman" w:eastAsia="Times New Roman"/>
          <w:sz w:val="24"/>
        </w:rPr>
        <w:t xml:space="preserve">1 </w:t>
      </w:r>
      <w:r>
        <w:rPr>
          <w:spacing w:val="-30"/>
          <w:sz w:val="24"/>
        </w:rPr>
        <w:t xml:space="preserve">月 </w:t>
      </w:r>
      <w:r>
        <w:rPr>
          <w:rFonts w:ascii="Times New Roman" w:eastAsia="Times New Roman"/>
          <w:sz w:val="24"/>
        </w:rPr>
        <w:t xml:space="preserve">1 </w:t>
      </w:r>
      <w:r>
        <w:rPr>
          <w:sz w:val="24"/>
        </w:rPr>
        <w:t>日施行）；</w:t>
      </w:r>
    </w:p>
    <w:p>
      <w:pPr>
        <w:pStyle w:val="13"/>
        <w:numPr>
          <w:ilvl w:val="0"/>
          <w:numId w:val="9"/>
        </w:numPr>
        <w:tabs>
          <w:tab w:val="left" w:pos="1420"/>
        </w:tabs>
        <w:spacing w:before="160" w:after="0" w:line="362" w:lineRule="auto"/>
        <w:ind w:left="658" w:right="693" w:firstLine="480"/>
        <w:jc w:val="left"/>
        <w:rPr>
          <w:sz w:val="24"/>
        </w:rPr>
      </w:pPr>
      <w:r>
        <w:rPr>
          <w:sz w:val="24"/>
        </w:rPr>
        <w:t>《中华人民共和国水土保持法》（</w:t>
      </w:r>
      <w:r>
        <w:rPr>
          <w:rFonts w:ascii="Times New Roman" w:eastAsia="Times New Roman"/>
          <w:sz w:val="24"/>
        </w:rPr>
        <w:t>2010</w:t>
      </w:r>
      <w:r>
        <w:rPr>
          <w:rFonts w:ascii="Times New Roman" w:eastAsia="Times New Roman"/>
          <w:spacing w:val="3"/>
          <w:sz w:val="24"/>
        </w:rPr>
        <w:t xml:space="preserve"> </w:t>
      </w:r>
      <w:r>
        <w:rPr>
          <w:spacing w:val="-29"/>
          <w:sz w:val="24"/>
        </w:rPr>
        <w:t xml:space="preserve">年 </w:t>
      </w:r>
      <w:r>
        <w:rPr>
          <w:rFonts w:ascii="Times New Roman" w:eastAsia="Times New Roman"/>
          <w:sz w:val="24"/>
        </w:rPr>
        <w:t>12</w:t>
      </w:r>
      <w:r>
        <w:rPr>
          <w:rFonts w:ascii="Times New Roman" w:eastAsia="Times New Roman"/>
          <w:spacing w:val="1"/>
          <w:sz w:val="24"/>
        </w:rPr>
        <w:t xml:space="preserve"> </w:t>
      </w:r>
      <w:r>
        <w:rPr>
          <w:spacing w:val="-28"/>
          <w:sz w:val="24"/>
        </w:rPr>
        <w:t xml:space="preserve">月 </w:t>
      </w:r>
      <w:r>
        <w:rPr>
          <w:rFonts w:ascii="Times New Roman" w:eastAsia="Times New Roman"/>
          <w:sz w:val="24"/>
        </w:rPr>
        <w:t>25</w:t>
      </w:r>
      <w:r>
        <w:rPr>
          <w:rFonts w:ascii="Times New Roman" w:eastAsia="Times New Roman"/>
          <w:spacing w:val="4"/>
          <w:sz w:val="24"/>
        </w:rPr>
        <w:t xml:space="preserve"> </w:t>
      </w:r>
      <w:r>
        <w:rPr>
          <w:sz w:val="24"/>
        </w:rPr>
        <w:t>日修订，</w:t>
      </w:r>
      <w:r>
        <w:rPr>
          <w:rFonts w:ascii="Times New Roman" w:eastAsia="Times New Roman"/>
          <w:sz w:val="24"/>
        </w:rPr>
        <w:t>2011</w:t>
      </w:r>
      <w:r>
        <w:rPr>
          <w:rFonts w:ascii="Times New Roman" w:eastAsia="Times New Roman"/>
          <w:spacing w:val="-2"/>
          <w:sz w:val="24"/>
        </w:rPr>
        <w:t xml:space="preserve"> </w:t>
      </w:r>
      <w:r>
        <w:rPr>
          <w:spacing w:val="-29"/>
          <w:sz w:val="24"/>
        </w:rPr>
        <w:t xml:space="preserve">年 </w:t>
      </w:r>
      <w:r>
        <w:rPr>
          <w:rFonts w:ascii="Times New Roman" w:eastAsia="Times New Roman"/>
          <w:sz w:val="24"/>
        </w:rPr>
        <w:t>3</w:t>
      </w:r>
      <w:r>
        <w:rPr>
          <w:rFonts w:ascii="Times New Roman" w:eastAsia="Times New Roman"/>
          <w:spacing w:val="4"/>
          <w:sz w:val="24"/>
        </w:rPr>
        <w:t xml:space="preserve"> </w:t>
      </w:r>
      <w:r>
        <w:rPr>
          <w:spacing w:val="-29"/>
          <w:sz w:val="24"/>
        </w:rPr>
        <w:t xml:space="preserve">月 </w:t>
      </w:r>
      <w:r>
        <w:rPr>
          <w:rFonts w:ascii="Times New Roman" w:eastAsia="Times New Roman"/>
          <w:sz w:val="24"/>
        </w:rPr>
        <w:t>1</w:t>
      </w:r>
      <w:r>
        <w:rPr>
          <w:rFonts w:ascii="Times New Roman" w:eastAsia="Times New Roman"/>
          <w:spacing w:val="2"/>
          <w:sz w:val="24"/>
        </w:rPr>
        <w:t xml:space="preserve"> </w:t>
      </w:r>
      <w:r>
        <w:rPr>
          <w:sz w:val="24"/>
        </w:rPr>
        <w:t>日起施行）；</w:t>
      </w:r>
    </w:p>
    <w:p>
      <w:pPr>
        <w:pStyle w:val="13"/>
        <w:numPr>
          <w:ilvl w:val="0"/>
          <w:numId w:val="9"/>
        </w:numPr>
        <w:tabs>
          <w:tab w:val="left" w:pos="1419"/>
        </w:tabs>
        <w:spacing w:before="5" w:after="0" w:line="362" w:lineRule="auto"/>
        <w:ind w:left="658" w:right="691" w:firstLine="480"/>
        <w:jc w:val="left"/>
        <w:rPr>
          <w:sz w:val="24"/>
        </w:rPr>
      </w:pPr>
      <w:r>
        <w:rPr>
          <w:spacing w:val="-3"/>
          <w:sz w:val="24"/>
        </w:rPr>
        <w:t>《中华人民共和国清洁生产促进法》</w:t>
      </w:r>
      <w:r>
        <w:rPr>
          <w:sz w:val="24"/>
        </w:rPr>
        <w:t>（</w:t>
      </w:r>
      <w:r>
        <w:rPr>
          <w:rFonts w:ascii="Times New Roman" w:eastAsia="Times New Roman"/>
          <w:sz w:val="24"/>
        </w:rPr>
        <w:t>2012</w:t>
      </w:r>
      <w:r>
        <w:rPr>
          <w:rFonts w:ascii="Times New Roman" w:eastAsia="Times New Roman"/>
          <w:spacing w:val="7"/>
          <w:sz w:val="24"/>
        </w:rPr>
        <w:t xml:space="preserve"> </w:t>
      </w:r>
      <w:r>
        <w:rPr>
          <w:spacing w:val="-27"/>
          <w:sz w:val="24"/>
        </w:rPr>
        <w:t xml:space="preserve">年 </w:t>
      </w:r>
      <w:r>
        <w:rPr>
          <w:rFonts w:ascii="Times New Roman" w:eastAsia="Times New Roman"/>
          <w:sz w:val="24"/>
        </w:rPr>
        <w:t>2</w:t>
      </w:r>
      <w:r>
        <w:rPr>
          <w:rFonts w:ascii="Times New Roman" w:eastAsia="Times New Roman"/>
          <w:spacing w:val="8"/>
          <w:sz w:val="24"/>
        </w:rPr>
        <w:t xml:space="preserve"> </w:t>
      </w:r>
      <w:r>
        <w:rPr>
          <w:spacing w:val="-27"/>
          <w:sz w:val="24"/>
        </w:rPr>
        <w:t xml:space="preserve">月 </w:t>
      </w:r>
      <w:r>
        <w:rPr>
          <w:rFonts w:ascii="Times New Roman" w:eastAsia="Times New Roman"/>
          <w:sz w:val="24"/>
        </w:rPr>
        <w:t>29</w:t>
      </w:r>
      <w:r>
        <w:rPr>
          <w:rFonts w:ascii="Times New Roman" w:eastAsia="Times New Roman"/>
          <w:spacing w:val="8"/>
          <w:sz w:val="24"/>
        </w:rPr>
        <w:t xml:space="preserve"> </w:t>
      </w:r>
      <w:r>
        <w:rPr>
          <w:spacing w:val="-2"/>
          <w:sz w:val="24"/>
        </w:rPr>
        <w:t>日修正，</w:t>
      </w:r>
      <w:r>
        <w:rPr>
          <w:rFonts w:ascii="Times New Roman" w:eastAsia="Times New Roman"/>
          <w:spacing w:val="-5"/>
          <w:sz w:val="24"/>
        </w:rPr>
        <w:t>2012</w:t>
      </w:r>
      <w:r>
        <w:rPr>
          <w:rFonts w:ascii="Times New Roman" w:eastAsia="Times New Roman"/>
          <w:spacing w:val="7"/>
          <w:sz w:val="24"/>
        </w:rPr>
        <w:t xml:space="preserve"> </w:t>
      </w:r>
      <w:r>
        <w:rPr>
          <w:spacing w:val="-26"/>
          <w:sz w:val="24"/>
        </w:rPr>
        <w:t xml:space="preserve">年 </w:t>
      </w:r>
      <w:r>
        <w:rPr>
          <w:rFonts w:ascii="Times New Roman" w:eastAsia="Times New Roman"/>
          <w:sz w:val="24"/>
        </w:rPr>
        <w:t>7</w:t>
      </w:r>
      <w:r>
        <w:rPr>
          <w:rFonts w:ascii="Times New Roman" w:eastAsia="Times New Roman"/>
          <w:spacing w:val="7"/>
          <w:sz w:val="24"/>
        </w:rPr>
        <w:t xml:space="preserve"> </w:t>
      </w:r>
      <w:r>
        <w:rPr>
          <w:spacing w:val="-26"/>
          <w:sz w:val="24"/>
        </w:rPr>
        <w:t xml:space="preserve">月 </w:t>
      </w:r>
      <w:r>
        <w:rPr>
          <w:rFonts w:ascii="Times New Roman" w:eastAsia="Times New Roman"/>
          <w:sz w:val="24"/>
        </w:rPr>
        <w:t xml:space="preserve">1 </w:t>
      </w:r>
      <w:r>
        <w:rPr>
          <w:spacing w:val="-5"/>
          <w:sz w:val="24"/>
        </w:rPr>
        <w:t>日起施行</w:t>
      </w:r>
      <w:r>
        <w:rPr>
          <w:sz w:val="24"/>
        </w:rPr>
        <w:t>）；</w:t>
      </w:r>
    </w:p>
    <w:p>
      <w:pPr>
        <w:pStyle w:val="13"/>
        <w:numPr>
          <w:ilvl w:val="0"/>
          <w:numId w:val="9"/>
        </w:numPr>
        <w:tabs>
          <w:tab w:val="left" w:pos="1539"/>
        </w:tabs>
        <w:spacing w:before="5" w:after="0" w:line="362" w:lineRule="auto"/>
        <w:ind w:left="658" w:right="697" w:firstLine="480"/>
        <w:jc w:val="left"/>
        <w:rPr>
          <w:sz w:val="24"/>
        </w:rPr>
      </w:pPr>
      <w:r>
        <w:rPr>
          <w:sz w:val="24"/>
        </w:rPr>
        <w:t>《中华人民共和国土地管理法》（主席令〔</w:t>
      </w:r>
      <w:r>
        <w:rPr>
          <w:rFonts w:ascii="Times New Roman" w:eastAsia="Times New Roman"/>
          <w:sz w:val="24"/>
        </w:rPr>
        <w:t>2004</w:t>
      </w:r>
      <w:r>
        <w:rPr>
          <w:sz w:val="24"/>
        </w:rPr>
        <w:t>〕</w:t>
      </w:r>
      <w:r>
        <w:rPr>
          <w:rFonts w:ascii="Times New Roman" w:eastAsia="Times New Roman"/>
          <w:sz w:val="24"/>
        </w:rPr>
        <w:t>28</w:t>
      </w:r>
      <w:r>
        <w:rPr>
          <w:rFonts w:ascii="Times New Roman" w:eastAsia="Times New Roman"/>
          <w:spacing w:val="3"/>
          <w:sz w:val="24"/>
        </w:rPr>
        <w:t xml:space="preserve"> </w:t>
      </w:r>
      <w:r>
        <w:rPr>
          <w:sz w:val="24"/>
        </w:rPr>
        <w:t>号，</w:t>
      </w:r>
      <w:r>
        <w:rPr>
          <w:rFonts w:ascii="Times New Roman" w:eastAsia="Times New Roman"/>
          <w:sz w:val="24"/>
        </w:rPr>
        <w:t>2019</w:t>
      </w:r>
      <w:r>
        <w:rPr>
          <w:rFonts w:ascii="Times New Roman" w:eastAsia="Times New Roman"/>
          <w:spacing w:val="3"/>
          <w:sz w:val="24"/>
        </w:rPr>
        <w:t xml:space="preserve"> </w:t>
      </w:r>
      <w:r>
        <w:rPr>
          <w:spacing w:val="-28"/>
          <w:sz w:val="24"/>
        </w:rPr>
        <w:t xml:space="preserve">年 </w:t>
      </w:r>
      <w:r>
        <w:rPr>
          <w:rFonts w:ascii="Times New Roman" w:eastAsia="Times New Roman"/>
          <w:sz w:val="24"/>
        </w:rPr>
        <w:t>8</w:t>
      </w:r>
      <w:r>
        <w:rPr>
          <w:rFonts w:ascii="Times New Roman" w:eastAsia="Times New Roman"/>
          <w:spacing w:val="4"/>
          <w:sz w:val="24"/>
        </w:rPr>
        <w:t xml:space="preserve"> </w:t>
      </w:r>
      <w:r>
        <w:rPr>
          <w:spacing w:val="-28"/>
          <w:sz w:val="24"/>
        </w:rPr>
        <w:t xml:space="preserve">月 </w:t>
      </w:r>
      <w:r>
        <w:rPr>
          <w:rFonts w:ascii="Times New Roman" w:eastAsia="Times New Roman"/>
          <w:sz w:val="24"/>
        </w:rPr>
        <w:t>28</w:t>
      </w:r>
      <w:r>
        <w:rPr>
          <w:rFonts w:ascii="Times New Roman" w:eastAsia="Times New Roman"/>
          <w:spacing w:val="3"/>
          <w:sz w:val="24"/>
        </w:rPr>
        <w:t xml:space="preserve"> </w:t>
      </w:r>
      <w:r>
        <w:rPr>
          <w:spacing w:val="-6"/>
          <w:sz w:val="24"/>
        </w:rPr>
        <w:t>日第</w:t>
      </w:r>
      <w:r>
        <w:rPr>
          <w:sz w:val="24"/>
        </w:rPr>
        <w:t>三次修订，</w:t>
      </w:r>
      <w:r>
        <w:rPr>
          <w:rFonts w:ascii="Times New Roman" w:eastAsia="Times New Roman"/>
          <w:sz w:val="24"/>
        </w:rPr>
        <w:t xml:space="preserve">2020 </w:t>
      </w:r>
      <w:r>
        <w:rPr>
          <w:spacing w:val="-30"/>
          <w:sz w:val="24"/>
        </w:rPr>
        <w:t xml:space="preserve">年 </w:t>
      </w:r>
      <w:r>
        <w:rPr>
          <w:rFonts w:ascii="Times New Roman" w:eastAsia="Times New Roman"/>
          <w:sz w:val="24"/>
        </w:rPr>
        <w:t xml:space="preserve">1 </w:t>
      </w:r>
      <w:r>
        <w:rPr>
          <w:spacing w:val="-30"/>
          <w:sz w:val="24"/>
        </w:rPr>
        <w:t xml:space="preserve">月 </w:t>
      </w:r>
      <w:r>
        <w:rPr>
          <w:rFonts w:ascii="Times New Roman" w:eastAsia="Times New Roman"/>
          <w:sz w:val="24"/>
        </w:rPr>
        <w:t xml:space="preserve">1 </w:t>
      </w:r>
      <w:r>
        <w:rPr>
          <w:sz w:val="24"/>
        </w:rPr>
        <w:t>日起施行）；</w:t>
      </w:r>
    </w:p>
    <w:p>
      <w:pPr>
        <w:pStyle w:val="13"/>
        <w:numPr>
          <w:ilvl w:val="0"/>
          <w:numId w:val="9"/>
        </w:numPr>
        <w:tabs>
          <w:tab w:val="left" w:pos="1532"/>
        </w:tabs>
        <w:spacing w:before="5" w:after="0" w:line="240" w:lineRule="auto"/>
        <w:ind w:left="1531" w:right="0" w:hanging="394"/>
        <w:jc w:val="left"/>
        <w:rPr>
          <w:sz w:val="24"/>
        </w:rPr>
      </w:pPr>
      <w:r>
        <w:rPr>
          <w:sz w:val="24"/>
        </w:rPr>
        <w:t>《中华人民共和国矿产资源法》（</w:t>
      </w:r>
      <w:r>
        <w:rPr>
          <w:rFonts w:ascii="Times New Roman" w:eastAsia="Times New Roman"/>
          <w:sz w:val="24"/>
        </w:rPr>
        <w:t xml:space="preserve">2009 </w:t>
      </w:r>
      <w:r>
        <w:rPr>
          <w:spacing w:val="-30"/>
          <w:sz w:val="24"/>
        </w:rPr>
        <w:t xml:space="preserve">年 </w:t>
      </w:r>
      <w:r>
        <w:rPr>
          <w:rFonts w:ascii="Times New Roman" w:eastAsia="Times New Roman"/>
          <w:sz w:val="24"/>
        </w:rPr>
        <w:t xml:space="preserve">8 </w:t>
      </w:r>
      <w:r>
        <w:rPr>
          <w:spacing w:val="-30"/>
          <w:sz w:val="24"/>
        </w:rPr>
        <w:t xml:space="preserve">月 </w:t>
      </w:r>
      <w:r>
        <w:rPr>
          <w:rFonts w:ascii="Times New Roman" w:eastAsia="Times New Roman"/>
          <w:sz w:val="24"/>
        </w:rPr>
        <w:t xml:space="preserve">27 </w:t>
      </w:r>
      <w:r>
        <w:rPr>
          <w:sz w:val="24"/>
        </w:rPr>
        <w:t>日第二次修正，</w:t>
      </w:r>
      <w:r>
        <w:rPr>
          <w:rFonts w:ascii="Times New Roman" w:eastAsia="Times New Roman"/>
          <w:sz w:val="24"/>
        </w:rPr>
        <w:t xml:space="preserve">2009 </w:t>
      </w:r>
      <w:r>
        <w:rPr>
          <w:spacing w:val="-30"/>
          <w:sz w:val="24"/>
        </w:rPr>
        <w:t xml:space="preserve">年 </w:t>
      </w:r>
      <w:r>
        <w:rPr>
          <w:rFonts w:ascii="Times New Roman" w:eastAsia="Times New Roman"/>
          <w:sz w:val="24"/>
        </w:rPr>
        <w:t xml:space="preserve">8 </w:t>
      </w:r>
      <w:r>
        <w:rPr>
          <w:sz w:val="24"/>
        </w:rPr>
        <w:t>月</w:t>
      </w:r>
    </w:p>
    <w:p>
      <w:pPr>
        <w:pStyle w:val="6"/>
        <w:spacing w:before="158"/>
        <w:ind w:left="658"/>
      </w:pPr>
      <w:r>
        <w:rPr>
          <w:rFonts w:ascii="Times New Roman" w:eastAsia="Times New Roman"/>
        </w:rPr>
        <w:t xml:space="preserve">27 </w:t>
      </w:r>
      <w:r>
        <w:t>日起施行）；</w:t>
      </w:r>
    </w:p>
    <w:p>
      <w:pPr>
        <w:pStyle w:val="13"/>
        <w:numPr>
          <w:ilvl w:val="0"/>
          <w:numId w:val="9"/>
        </w:numPr>
        <w:tabs>
          <w:tab w:val="left" w:pos="1539"/>
        </w:tabs>
        <w:spacing w:before="161" w:after="0" w:line="362" w:lineRule="auto"/>
        <w:ind w:left="658" w:right="693" w:firstLine="480"/>
        <w:jc w:val="left"/>
        <w:rPr>
          <w:sz w:val="24"/>
        </w:rPr>
      </w:pPr>
      <w:r>
        <w:rPr>
          <w:spacing w:val="-4"/>
          <w:sz w:val="24"/>
        </w:rPr>
        <w:t>《中华人民共和国煤炭法》</w:t>
      </w:r>
      <w:r>
        <w:rPr>
          <w:sz w:val="24"/>
        </w:rPr>
        <w:t>（</w:t>
      </w:r>
      <w:r>
        <w:rPr>
          <w:rFonts w:ascii="Times New Roman" w:eastAsia="Times New Roman"/>
          <w:sz w:val="24"/>
        </w:rPr>
        <w:t>2016</w:t>
      </w:r>
      <w:r>
        <w:rPr>
          <w:rFonts w:ascii="Times New Roman" w:eastAsia="Times New Roman"/>
          <w:spacing w:val="6"/>
          <w:sz w:val="24"/>
        </w:rPr>
        <w:t xml:space="preserve"> </w:t>
      </w:r>
      <w:r>
        <w:rPr>
          <w:spacing w:val="-27"/>
          <w:sz w:val="24"/>
        </w:rPr>
        <w:t xml:space="preserve">年 </w:t>
      </w:r>
      <w:r>
        <w:rPr>
          <w:rFonts w:ascii="Times New Roman" w:eastAsia="Times New Roman"/>
          <w:sz w:val="24"/>
        </w:rPr>
        <w:t>6</w:t>
      </w:r>
      <w:r>
        <w:rPr>
          <w:rFonts w:ascii="Times New Roman" w:eastAsia="Times New Roman"/>
          <w:spacing w:val="7"/>
          <w:sz w:val="24"/>
        </w:rPr>
        <w:t xml:space="preserve"> </w:t>
      </w:r>
      <w:r>
        <w:rPr>
          <w:spacing w:val="-27"/>
          <w:sz w:val="24"/>
        </w:rPr>
        <w:t xml:space="preserve">月 </w:t>
      </w:r>
      <w:r>
        <w:rPr>
          <w:rFonts w:ascii="Times New Roman" w:eastAsia="Times New Roman"/>
          <w:sz w:val="24"/>
        </w:rPr>
        <w:t>17</w:t>
      </w:r>
      <w:r>
        <w:rPr>
          <w:rFonts w:ascii="Times New Roman" w:eastAsia="Times New Roman"/>
          <w:spacing w:val="7"/>
          <w:sz w:val="24"/>
        </w:rPr>
        <w:t xml:space="preserve"> </w:t>
      </w:r>
      <w:r>
        <w:rPr>
          <w:spacing w:val="-1"/>
          <w:sz w:val="24"/>
        </w:rPr>
        <w:t>日第四次修正，</w:t>
      </w:r>
      <w:r>
        <w:rPr>
          <w:rFonts w:ascii="Times New Roman" w:eastAsia="Times New Roman"/>
          <w:spacing w:val="-5"/>
          <w:sz w:val="24"/>
        </w:rPr>
        <w:t>2016</w:t>
      </w:r>
      <w:r>
        <w:rPr>
          <w:rFonts w:ascii="Times New Roman" w:eastAsia="Times New Roman"/>
          <w:spacing w:val="7"/>
          <w:sz w:val="24"/>
        </w:rPr>
        <w:t xml:space="preserve"> </w:t>
      </w:r>
      <w:r>
        <w:rPr>
          <w:spacing w:val="-27"/>
          <w:sz w:val="24"/>
        </w:rPr>
        <w:t xml:space="preserve">年 </w:t>
      </w:r>
      <w:r>
        <w:rPr>
          <w:rFonts w:ascii="Times New Roman" w:eastAsia="Times New Roman"/>
          <w:sz w:val="24"/>
        </w:rPr>
        <w:t>6</w:t>
      </w:r>
      <w:r>
        <w:rPr>
          <w:rFonts w:ascii="Times New Roman" w:eastAsia="Times New Roman"/>
          <w:spacing w:val="7"/>
          <w:sz w:val="24"/>
        </w:rPr>
        <w:t xml:space="preserve"> </w:t>
      </w:r>
      <w:r>
        <w:rPr>
          <w:spacing w:val="-27"/>
          <w:sz w:val="24"/>
        </w:rPr>
        <w:t xml:space="preserve">月 </w:t>
      </w:r>
      <w:r>
        <w:rPr>
          <w:rFonts w:ascii="Times New Roman" w:eastAsia="Times New Roman"/>
          <w:sz w:val="24"/>
        </w:rPr>
        <w:t xml:space="preserve">17 </w:t>
      </w:r>
      <w:r>
        <w:rPr>
          <w:spacing w:val="-4"/>
          <w:sz w:val="24"/>
        </w:rPr>
        <w:t>日起施行</w:t>
      </w:r>
      <w:r>
        <w:rPr>
          <w:sz w:val="24"/>
        </w:rPr>
        <w:t>）；</w:t>
      </w:r>
    </w:p>
    <w:p>
      <w:pPr>
        <w:pStyle w:val="13"/>
        <w:numPr>
          <w:ilvl w:val="0"/>
          <w:numId w:val="9"/>
        </w:numPr>
        <w:tabs>
          <w:tab w:val="left" w:pos="1539"/>
        </w:tabs>
        <w:spacing w:before="5" w:after="0" w:line="240" w:lineRule="auto"/>
        <w:ind w:left="1538" w:right="0" w:hanging="401"/>
        <w:jc w:val="left"/>
        <w:rPr>
          <w:rFonts w:ascii="Times New Roman" w:eastAsia="Times New Roman"/>
          <w:sz w:val="24"/>
        </w:rPr>
      </w:pPr>
      <w:r>
        <w:rPr>
          <w:spacing w:val="-1"/>
          <w:sz w:val="24"/>
        </w:rPr>
        <w:t>《中华人民共和国循环经济促进法》</w:t>
      </w:r>
      <w:r>
        <w:rPr>
          <w:sz w:val="24"/>
        </w:rPr>
        <w:t>（</w:t>
      </w:r>
      <w:r>
        <w:rPr>
          <w:rFonts w:ascii="Times New Roman" w:eastAsia="Times New Roman"/>
          <w:sz w:val="24"/>
        </w:rPr>
        <w:t>2018</w:t>
      </w:r>
      <w:r>
        <w:rPr>
          <w:rFonts w:ascii="Times New Roman" w:eastAsia="Times New Roman"/>
          <w:spacing w:val="-1"/>
          <w:sz w:val="24"/>
        </w:rPr>
        <w:t xml:space="preserve"> </w:t>
      </w:r>
      <w:r>
        <w:rPr>
          <w:spacing w:val="-30"/>
          <w:sz w:val="24"/>
        </w:rPr>
        <w:t xml:space="preserve">年 </w:t>
      </w:r>
      <w:r>
        <w:rPr>
          <w:rFonts w:ascii="Times New Roman" w:eastAsia="Times New Roman"/>
          <w:sz w:val="24"/>
        </w:rPr>
        <w:t xml:space="preserve">10 </w:t>
      </w:r>
      <w:r>
        <w:rPr>
          <w:spacing w:val="-31"/>
          <w:sz w:val="24"/>
        </w:rPr>
        <w:t xml:space="preserve">月 </w:t>
      </w:r>
      <w:r>
        <w:rPr>
          <w:rFonts w:ascii="Times New Roman" w:eastAsia="Times New Roman"/>
          <w:sz w:val="24"/>
        </w:rPr>
        <w:t xml:space="preserve">26 </w:t>
      </w:r>
      <w:r>
        <w:rPr>
          <w:sz w:val="24"/>
        </w:rPr>
        <w:t>日修正，</w:t>
      </w:r>
      <w:r>
        <w:rPr>
          <w:rFonts w:ascii="Times New Roman" w:eastAsia="Times New Roman"/>
          <w:sz w:val="24"/>
        </w:rPr>
        <w:t xml:space="preserve">2019 </w:t>
      </w:r>
      <w:r>
        <w:rPr>
          <w:spacing w:val="-31"/>
          <w:sz w:val="24"/>
        </w:rPr>
        <w:t xml:space="preserve">年 </w:t>
      </w:r>
      <w:r>
        <w:rPr>
          <w:rFonts w:ascii="Times New Roman" w:eastAsia="Times New Roman"/>
          <w:sz w:val="24"/>
        </w:rPr>
        <w:t xml:space="preserve">1 </w:t>
      </w:r>
      <w:r>
        <w:rPr>
          <w:spacing w:val="-31"/>
          <w:sz w:val="24"/>
        </w:rPr>
        <w:t xml:space="preserve">月 </w:t>
      </w:r>
      <w:r>
        <w:rPr>
          <w:rFonts w:ascii="Times New Roman" w:eastAsia="Times New Roman"/>
          <w:sz w:val="24"/>
        </w:rPr>
        <w:t>1</w:t>
      </w:r>
    </w:p>
    <w:p>
      <w:pPr>
        <w:pStyle w:val="6"/>
        <w:spacing w:before="160"/>
        <w:ind w:left="658"/>
      </w:pPr>
      <w:r>
        <w:t>日起施行）；</w:t>
      </w:r>
    </w:p>
    <w:p>
      <w:pPr>
        <w:pStyle w:val="13"/>
        <w:numPr>
          <w:ilvl w:val="0"/>
          <w:numId w:val="9"/>
        </w:numPr>
        <w:tabs>
          <w:tab w:val="left" w:pos="1539"/>
        </w:tabs>
        <w:spacing w:before="158" w:after="0" w:line="240" w:lineRule="auto"/>
        <w:ind w:left="1538" w:right="0" w:hanging="401"/>
        <w:jc w:val="left"/>
        <w:rPr>
          <w:rFonts w:ascii="Times New Roman" w:eastAsia="Times New Roman"/>
          <w:sz w:val="24"/>
        </w:rPr>
      </w:pPr>
      <w:r>
        <w:rPr>
          <w:spacing w:val="-5"/>
          <w:sz w:val="24"/>
        </w:rPr>
        <w:t xml:space="preserve">中华人民共和国国务院令第 </w:t>
      </w:r>
      <w:r>
        <w:rPr>
          <w:rFonts w:ascii="Times New Roman" w:eastAsia="Times New Roman"/>
          <w:sz w:val="24"/>
        </w:rPr>
        <w:t xml:space="preserve">682 </w:t>
      </w:r>
      <w:r>
        <w:rPr>
          <w:sz w:val="24"/>
        </w:rPr>
        <w:t>号《建设项目环境保护管理条例》（</w:t>
      </w:r>
      <w:r>
        <w:rPr>
          <w:rFonts w:ascii="Times New Roman" w:eastAsia="Times New Roman"/>
          <w:sz w:val="24"/>
        </w:rPr>
        <w:t xml:space="preserve">2017 </w:t>
      </w:r>
      <w:r>
        <w:rPr>
          <w:spacing w:val="-30"/>
          <w:sz w:val="24"/>
        </w:rPr>
        <w:t xml:space="preserve">年 </w:t>
      </w:r>
      <w:r>
        <w:rPr>
          <w:rFonts w:ascii="Times New Roman" w:eastAsia="Times New Roman"/>
          <w:sz w:val="24"/>
        </w:rPr>
        <w:t>7</w:t>
      </w:r>
    </w:p>
    <w:p>
      <w:pPr>
        <w:spacing w:after="0" w:line="240" w:lineRule="auto"/>
        <w:jc w:val="left"/>
        <w:rPr>
          <w:rFonts w:ascii="Times New Roman" w:eastAsia="Times New Roman"/>
          <w:sz w:val="24"/>
        </w:rPr>
        <w:sectPr>
          <w:pgSz w:w="11910" w:h="16840"/>
          <w:pgMar w:top="1360" w:right="720" w:bottom="1160" w:left="760" w:header="0" w:footer="975" w:gutter="0"/>
        </w:sectPr>
      </w:pPr>
    </w:p>
    <w:p>
      <w:pPr>
        <w:pStyle w:val="6"/>
        <w:spacing w:before="61"/>
        <w:ind w:left="658"/>
      </w:pPr>
      <w:r>
        <w:t xml:space="preserve">月 </w:t>
      </w:r>
      <w:r>
        <w:rPr>
          <w:rFonts w:ascii="Times New Roman" w:eastAsia="Times New Roman"/>
        </w:rPr>
        <w:t xml:space="preserve">16 </w:t>
      </w:r>
      <w:r>
        <w:t>日修订，</w:t>
      </w:r>
      <w:r>
        <w:rPr>
          <w:rFonts w:ascii="Times New Roman" w:eastAsia="Times New Roman"/>
        </w:rPr>
        <w:t xml:space="preserve">2017 </w:t>
      </w:r>
      <w:r>
        <w:t xml:space="preserve">年 </w:t>
      </w:r>
      <w:r>
        <w:rPr>
          <w:rFonts w:ascii="Times New Roman" w:eastAsia="Times New Roman"/>
        </w:rPr>
        <w:t xml:space="preserve">10 </w:t>
      </w:r>
      <w:r>
        <w:t xml:space="preserve">月 </w:t>
      </w:r>
      <w:r>
        <w:rPr>
          <w:rFonts w:ascii="Times New Roman" w:eastAsia="Times New Roman"/>
        </w:rPr>
        <w:t xml:space="preserve">1 </w:t>
      </w:r>
      <w:r>
        <w:t>日起实施）；</w:t>
      </w:r>
    </w:p>
    <w:p>
      <w:pPr>
        <w:pStyle w:val="13"/>
        <w:numPr>
          <w:ilvl w:val="0"/>
          <w:numId w:val="9"/>
        </w:numPr>
        <w:tabs>
          <w:tab w:val="left" w:pos="1539"/>
        </w:tabs>
        <w:spacing w:before="158" w:after="0" w:line="240" w:lineRule="auto"/>
        <w:ind w:left="1538" w:right="0" w:hanging="401"/>
        <w:jc w:val="left"/>
        <w:rPr>
          <w:sz w:val="24"/>
        </w:rPr>
      </w:pPr>
      <w:r>
        <w:rPr>
          <w:sz w:val="24"/>
        </w:rPr>
        <w:t>《建设项目环境影响评价分类管理名录》（</w:t>
      </w:r>
      <w:r>
        <w:rPr>
          <w:rFonts w:ascii="Times New Roman" w:eastAsia="Times New Roman"/>
          <w:sz w:val="24"/>
        </w:rPr>
        <w:t xml:space="preserve">2018 </w:t>
      </w:r>
      <w:r>
        <w:rPr>
          <w:spacing w:val="-30"/>
          <w:sz w:val="24"/>
        </w:rPr>
        <w:t xml:space="preserve">年 </w:t>
      </w:r>
      <w:r>
        <w:rPr>
          <w:rFonts w:ascii="Times New Roman" w:eastAsia="Times New Roman"/>
          <w:sz w:val="24"/>
        </w:rPr>
        <w:t xml:space="preserve">4 </w:t>
      </w:r>
      <w:r>
        <w:rPr>
          <w:spacing w:val="-30"/>
          <w:sz w:val="24"/>
        </w:rPr>
        <w:t xml:space="preserve">月 </w:t>
      </w:r>
      <w:r>
        <w:rPr>
          <w:rFonts w:ascii="Times New Roman" w:eastAsia="Times New Roman"/>
          <w:sz w:val="24"/>
        </w:rPr>
        <w:t xml:space="preserve">28 </w:t>
      </w:r>
      <w:r>
        <w:rPr>
          <w:sz w:val="24"/>
        </w:rPr>
        <w:t>日修订）；</w:t>
      </w:r>
    </w:p>
    <w:p>
      <w:pPr>
        <w:pStyle w:val="13"/>
        <w:numPr>
          <w:ilvl w:val="0"/>
          <w:numId w:val="9"/>
        </w:numPr>
        <w:tabs>
          <w:tab w:val="left" w:pos="1539"/>
        </w:tabs>
        <w:spacing w:before="161" w:after="0" w:line="364" w:lineRule="auto"/>
        <w:ind w:left="658" w:right="691" w:firstLine="480"/>
        <w:jc w:val="left"/>
        <w:rPr>
          <w:sz w:val="24"/>
        </w:rPr>
      </w:pPr>
      <w:r>
        <w:rPr>
          <w:spacing w:val="-5"/>
          <w:sz w:val="24"/>
        </w:rPr>
        <w:t xml:space="preserve">国家发展和改革委员会文件第 </w:t>
      </w:r>
      <w:r>
        <w:rPr>
          <w:rFonts w:ascii="Times New Roman" w:eastAsia="Times New Roman"/>
          <w:sz w:val="24"/>
        </w:rPr>
        <w:t>29</w:t>
      </w:r>
      <w:r>
        <w:rPr>
          <w:rFonts w:ascii="Times New Roman" w:eastAsia="Times New Roman"/>
          <w:spacing w:val="1"/>
          <w:sz w:val="24"/>
        </w:rPr>
        <w:t xml:space="preserve"> </w:t>
      </w:r>
      <w:r>
        <w:rPr>
          <w:spacing w:val="-11"/>
          <w:sz w:val="24"/>
        </w:rPr>
        <w:t>号令《产业结构调整指导目录</w:t>
      </w:r>
      <w:r>
        <w:rPr>
          <w:rFonts w:ascii="Times New Roman" w:eastAsia="Times New Roman"/>
          <w:sz w:val="24"/>
        </w:rPr>
        <w:t>(2019</w:t>
      </w:r>
      <w:r>
        <w:rPr>
          <w:rFonts w:ascii="Times New Roman" w:eastAsia="Times New Roman"/>
          <w:spacing w:val="1"/>
          <w:sz w:val="24"/>
        </w:rPr>
        <w:t xml:space="preserve"> </w:t>
      </w:r>
      <w:r>
        <w:rPr>
          <w:sz w:val="24"/>
        </w:rPr>
        <w:t>年本</w:t>
      </w:r>
      <w:r>
        <w:rPr>
          <w:rFonts w:ascii="Times New Roman" w:eastAsia="Times New Roman"/>
          <w:sz w:val="24"/>
        </w:rPr>
        <w:t>)</w:t>
      </w:r>
      <w:r>
        <w:rPr>
          <w:spacing w:val="-204"/>
          <w:sz w:val="24"/>
        </w:rPr>
        <w:t>》</w:t>
      </w:r>
      <w:r>
        <w:rPr>
          <w:sz w:val="24"/>
        </w:rPr>
        <w:t>（</w:t>
      </w:r>
      <w:r>
        <w:rPr>
          <w:spacing w:val="-13"/>
          <w:sz w:val="24"/>
        </w:rPr>
        <w:t>修</w:t>
      </w:r>
      <w:r>
        <w:rPr>
          <w:sz w:val="24"/>
        </w:rPr>
        <w:t>正）（</w:t>
      </w:r>
      <w:r>
        <w:rPr>
          <w:rFonts w:ascii="Times New Roman" w:eastAsia="Times New Roman"/>
          <w:sz w:val="24"/>
        </w:rPr>
        <w:t>2020.1.1</w:t>
      </w:r>
      <w:r>
        <w:rPr>
          <w:sz w:val="24"/>
        </w:rPr>
        <w:t>）；</w:t>
      </w:r>
    </w:p>
    <w:p>
      <w:pPr>
        <w:pStyle w:val="6"/>
        <w:spacing w:line="306" w:lineRule="exact"/>
        <w:ind w:left="1138"/>
      </w:pPr>
      <w:r>
        <w:rPr>
          <w:rFonts w:ascii="Times New Roman" w:eastAsia="Times New Roman"/>
          <w:spacing w:val="-1"/>
        </w:rPr>
        <w:t>(</w:t>
      </w:r>
      <w:r>
        <w:rPr>
          <w:rFonts w:ascii="Times New Roman" w:eastAsia="Times New Roman"/>
        </w:rPr>
        <w:t>1</w:t>
      </w:r>
      <w:r>
        <w:rPr>
          <w:rFonts w:ascii="Times New Roman" w:eastAsia="Times New Roman"/>
          <w:spacing w:val="-39"/>
        </w:rPr>
        <w:t>7</w:t>
      </w:r>
      <w:r>
        <w:rPr>
          <w:spacing w:val="-202"/>
        </w:rPr>
        <w:t>《</w:t>
      </w:r>
      <w:r>
        <w:rPr>
          <w:rFonts w:ascii="Times New Roman" w:eastAsia="Times New Roman"/>
          <w:spacing w:val="-1"/>
        </w:rPr>
        <w:t xml:space="preserve">)  </w:t>
      </w:r>
      <w:r>
        <w:rPr>
          <w:spacing w:val="-7"/>
        </w:rPr>
        <w:t>建设项目环境影响评价信息公开机制方案》</w:t>
      </w:r>
      <w:r>
        <w:rPr>
          <w:spacing w:val="-238"/>
        </w:rPr>
        <w:t>，</w:t>
      </w:r>
      <w:r>
        <w:rPr>
          <w:spacing w:val="-3"/>
        </w:rPr>
        <w:t>（</w:t>
      </w:r>
      <w:r>
        <w:rPr>
          <w:spacing w:val="-41"/>
        </w:rPr>
        <w:t>环发〔</w:t>
      </w:r>
      <w:r>
        <w:rPr>
          <w:rFonts w:ascii="Times New Roman" w:eastAsia="Times New Roman"/>
        </w:rPr>
        <w:t>2015</w:t>
      </w:r>
      <w:r>
        <w:rPr>
          <w:spacing w:val="-120"/>
        </w:rPr>
        <w:t>〕</w:t>
      </w:r>
      <w:r>
        <w:rPr>
          <w:rFonts w:ascii="Times New Roman" w:eastAsia="Times New Roman"/>
        </w:rPr>
        <w:t>162</w:t>
      </w:r>
      <w:r>
        <w:rPr>
          <w:rFonts w:ascii="Times New Roman" w:eastAsia="Times New Roman"/>
          <w:spacing w:val="-22"/>
        </w:rPr>
        <w:t xml:space="preserve"> </w:t>
      </w:r>
      <w:r>
        <w:t>号</w:t>
      </w:r>
      <w:r>
        <w:rPr>
          <w:spacing w:val="-236"/>
        </w:rPr>
        <w:t>）</w:t>
      </w:r>
      <w:r>
        <w:rPr>
          <w:spacing w:val="-5"/>
        </w:rPr>
        <w:t>（</w:t>
      </w:r>
      <w:r>
        <w:rPr>
          <w:rFonts w:ascii="Times New Roman" w:eastAsia="Times New Roman"/>
        </w:rPr>
        <w:t>2015.12.</w:t>
      </w:r>
      <w:r>
        <w:rPr>
          <w:rFonts w:ascii="Times New Roman" w:eastAsia="Times New Roman"/>
          <w:spacing w:val="-5"/>
        </w:rPr>
        <w:t>1</w:t>
      </w:r>
      <w:r>
        <w:rPr>
          <w:rFonts w:ascii="Times New Roman" w:eastAsia="Times New Roman"/>
          <w:spacing w:val="-3"/>
        </w:rPr>
        <w:t>1</w:t>
      </w:r>
      <w:r>
        <w:rPr>
          <w:spacing w:val="-120"/>
        </w:rPr>
        <w:t>）</w:t>
      </w:r>
      <w:r>
        <w:t>；</w:t>
      </w:r>
    </w:p>
    <w:p>
      <w:pPr>
        <w:pStyle w:val="13"/>
        <w:numPr>
          <w:ilvl w:val="0"/>
          <w:numId w:val="10"/>
        </w:numPr>
        <w:tabs>
          <w:tab w:val="left" w:pos="1539"/>
        </w:tabs>
        <w:spacing w:before="160" w:after="0" w:line="362" w:lineRule="auto"/>
        <w:ind w:left="658" w:right="697" w:firstLine="480"/>
        <w:jc w:val="left"/>
        <w:rPr>
          <w:sz w:val="24"/>
        </w:rPr>
      </w:pPr>
      <w:r>
        <w:rPr>
          <w:spacing w:val="-1"/>
          <w:sz w:val="24"/>
        </w:rPr>
        <w:t>《环境影响评价公众参与办法》</w:t>
      </w:r>
      <w:r>
        <w:rPr>
          <w:sz w:val="24"/>
        </w:rPr>
        <w:t>（</w:t>
      </w:r>
      <w:r>
        <w:rPr>
          <w:spacing w:val="-8"/>
          <w:sz w:val="24"/>
        </w:rPr>
        <w:t xml:space="preserve">生态环境部令第 </w:t>
      </w:r>
      <w:r>
        <w:rPr>
          <w:rFonts w:ascii="Times New Roman" w:eastAsia="Times New Roman"/>
          <w:sz w:val="24"/>
        </w:rPr>
        <w:t>4</w:t>
      </w:r>
      <w:r>
        <w:rPr>
          <w:rFonts w:ascii="Times New Roman" w:eastAsia="Times New Roman"/>
          <w:spacing w:val="1"/>
          <w:sz w:val="24"/>
        </w:rPr>
        <w:t xml:space="preserve"> </w:t>
      </w:r>
      <w:r>
        <w:rPr>
          <w:sz w:val="24"/>
        </w:rPr>
        <w:t>号</w:t>
      </w:r>
      <w:r>
        <w:rPr>
          <w:spacing w:val="-3"/>
          <w:sz w:val="24"/>
        </w:rPr>
        <w:t>）（</w:t>
      </w:r>
      <w:r>
        <w:rPr>
          <w:rFonts w:ascii="Times New Roman" w:eastAsia="Times New Roman"/>
          <w:spacing w:val="-3"/>
          <w:sz w:val="24"/>
        </w:rPr>
        <w:t>2019</w:t>
      </w:r>
      <w:r>
        <w:rPr>
          <w:rFonts w:ascii="Times New Roman" w:eastAsia="Times New Roman"/>
          <w:spacing w:val="1"/>
          <w:sz w:val="24"/>
        </w:rPr>
        <w:t xml:space="preserve"> </w:t>
      </w:r>
      <w:r>
        <w:rPr>
          <w:spacing w:val="-30"/>
          <w:sz w:val="24"/>
        </w:rPr>
        <w:t xml:space="preserve">年 </w:t>
      </w:r>
      <w:r>
        <w:rPr>
          <w:rFonts w:ascii="Times New Roman" w:eastAsia="Times New Roman"/>
          <w:sz w:val="24"/>
        </w:rPr>
        <w:t>1</w:t>
      </w:r>
      <w:r>
        <w:rPr>
          <w:rFonts w:ascii="Times New Roman" w:eastAsia="Times New Roman"/>
          <w:spacing w:val="1"/>
          <w:sz w:val="24"/>
        </w:rPr>
        <w:t xml:space="preserve"> </w:t>
      </w:r>
      <w:r>
        <w:rPr>
          <w:spacing w:val="-30"/>
          <w:sz w:val="24"/>
        </w:rPr>
        <w:t xml:space="preserve">月 </w:t>
      </w:r>
      <w:r>
        <w:rPr>
          <w:rFonts w:ascii="Times New Roman" w:eastAsia="Times New Roman"/>
          <w:sz w:val="24"/>
        </w:rPr>
        <w:t xml:space="preserve">1 </w:t>
      </w:r>
      <w:r>
        <w:rPr>
          <w:spacing w:val="-9"/>
          <w:sz w:val="24"/>
        </w:rPr>
        <w:t>日起</w:t>
      </w:r>
      <w:r>
        <w:rPr>
          <w:sz w:val="24"/>
        </w:rPr>
        <w:t>施行）；</w:t>
      </w:r>
    </w:p>
    <w:p>
      <w:pPr>
        <w:pStyle w:val="13"/>
        <w:numPr>
          <w:ilvl w:val="0"/>
          <w:numId w:val="10"/>
        </w:numPr>
        <w:tabs>
          <w:tab w:val="left" w:pos="1539"/>
        </w:tabs>
        <w:spacing w:before="5" w:after="0" w:line="362" w:lineRule="auto"/>
        <w:ind w:left="658" w:right="693" w:firstLine="480"/>
        <w:jc w:val="left"/>
        <w:rPr>
          <w:sz w:val="24"/>
        </w:rPr>
      </w:pPr>
      <w:r>
        <w:rPr>
          <w:sz w:val="24"/>
        </w:rPr>
        <w:t>《关于以改善环境质量为核心加强环境影响评价管理的通知》（</w:t>
      </w:r>
      <w:r>
        <w:rPr>
          <w:spacing w:val="-2"/>
          <w:sz w:val="24"/>
        </w:rPr>
        <w:t>环境保护部文</w:t>
      </w:r>
      <w:r>
        <w:rPr>
          <w:sz w:val="24"/>
        </w:rPr>
        <w:t>件，环环评〔</w:t>
      </w:r>
      <w:r>
        <w:rPr>
          <w:rFonts w:ascii="Times New Roman" w:eastAsia="Times New Roman"/>
          <w:sz w:val="24"/>
        </w:rPr>
        <w:t>2016</w:t>
      </w:r>
      <w:r>
        <w:rPr>
          <w:sz w:val="24"/>
        </w:rPr>
        <w:t>〕</w:t>
      </w:r>
      <w:r>
        <w:rPr>
          <w:rFonts w:ascii="Times New Roman" w:eastAsia="Times New Roman"/>
          <w:sz w:val="24"/>
        </w:rPr>
        <w:t xml:space="preserve">150 </w:t>
      </w:r>
      <w:r>
        <w:rPr>
          <w:sz w:val="24"/>
        </w:rPr>
        <w:t>号）（</w:t>
      </w:r>
      <w:r>
        <w:rPr>
          <w:rFonts w:ascii="Times New Roman" w:eastAsia="Times New Roman"/>
          <w:sz w:val="24"/>
        </w:rPr>
        <w:t>2016.10.27</w:t>
      </w:r>
      <w:r>
        <w:rPr>
          <w:sz w:val="24"/>
        </w:rPr>
        <w:t>）；</w:t>
      </w:r>
    </w:p>
    <w:p>
      <w:pPr>
        <w:pStyle w:val="13"/>
        <w:numPr>
          <w:ilvl w:val="0"/>
          <w:numId w:val="10"/>
        </w:numPr>
        <w:tabs>
          <w:tab w:val="left" w:pos="1539"/>
        </w:tabs>
        <w:spacing w:before="5" w:after="0" w:line="240" w:lineRule="auto"/>
        <w:ind w:left="1538" w:right="0" w:hanging="401"/>
        <w:jc w:val="left"/>
        <w:rPr>
          <w:sz w:val="24"/>
        </w:rPr>
      </w:pPr>
      <w:r>
        <w:rPr>
          <w:spacing w:val="-7"/>
          <w:sz w:val="24"/>
        </w:rPr>
        <w:t>《矿山生态环境保护与污染防治技术政策》</w:t>
      </w:r>
      <w:r>
        <w:rPr>
          <w:spacing w:val="-3"/>
          <w:sz w:val="24"/>
        </w:rPr>
        <w:t>（</w:t>
      </w:r>
      <w:r>
        <w:rPr>
          <w:spacing w:val="-16"/>
          <w:sz w:val="24"/>
        </w:rPr>
        <w:t>环发〔</w:t>
      </w:r>
      <w:r>
        <w:rPr>
          <w:rFonts w:ascii="Times New Roman" w:eastAsia="Times New Roman"/>
          <w:sz w:val="24"/>
        </w:rPr>
        <w:t>2005</w:t>
      </w:r>
      <w:r>
        <w:rPr>
          <w:spacing w:val="-48"/>
          <w:sz w:val="24"/>
        </w:rPr>
        <w:t>〕</w:t>
      </w:r>
      <w:r>
        <w:rPr>
          <w:rFonts w:ascii="Times New Roman" w:eastAsia="Times New Roman"/>
          <w:sz w:val="24"/>
        </w:rPr>
        <w:t xml:space="preserve">109  </w:t>
      </w:r>
      <w:r>
        <w:rPr>
          <w:sz w:val="24"/>
        </w:rPr>
        <w:t>号</w:t>
      </w:r>
      <w:r>
        <w:rPr>
          <w:spacing w:val="-94"/>
          <w:sz w:val="24"/>
        </w:rPr>
        <w:t>）</w:t>
      </w:r>
      <w:r>
        <w:rPr>
          <w:sz w:val="24"/>
        </w:rPr>
        <w:t>（</w:t>
      </w:r>
      <w:r>
        <w:rPr>
          <w:rFonts w:ascii="Times New Roman" w:eastAsia="Times New Roman"/>
          <w:sz w:val="24"/>
        </w:rPr>
        <w:t>2005.9.7</w:t>
      </w:r>
      <w:r>
        <w:rPr>
          <w:spacing w:val="-120"/>
          <w:sz w:val="24"/>
        </w:rPr>
        <w:t>）</w:t>
      </w:r>
      <w:r>
        <w:rPr>
          <w:sz w:val="24"/>
        </w:rPr>
        <w:t>；</w:t>
      </w:r>
    </w:p>
    <w:p>
      <w:pPr>
        <w:pStyle w:val="13"/>
        <w:numPr>
          <w:ilvl w:val="0"/>
          <w:numId w:val="10"/>
        </w:numPr>
        <w:tabs>
          <w:tab w:val="left" w:pos="1539"/>
        </w:tabs>
        <w:spacing w:before="158" w:after="0" w:line="240" w:lineRule="auto"/>
        <w:ind w:left="1538" w:right="0" w:hanging="401"/>
        <w:jc w:val="left"/>
        <w:rPr>
          <w:sz w:val="24"/>
        </w:rPr>
      </w:pPr>
      <w:r>
        <w:rPr>
          <w:sz w:val="24"/>
        </w:rPr>
        <w:t>《矿山生态环境保护与恢复治理技术规范（试行）》（</w:t>
      </w:r>
      <w:r>
        <w:rPr>
          <w:rFonts w:ascii="Times New Roman" w:eastAsia="Times New Roman"/>
          <w:sz w:val="24"/>
        </w:rPr>
        <w:t>HJ651-2013</w:t>
      </w:r>
      <w:r>
        <w:rPr>
          <w:sz w:val="24"/>
        </w:rPr>
        <w:t>）；</w:t>
      </w:r>
    </w:p>
    <w:p>
      <w:pPr>
        <w:pStyle w:val="13"/>
        <w:numPr>
          <w:ilvl w:val="0"/>
          <w:numId w:val="10"/>
        </w:numPr>
        <w:tabs>
          <w:tab w:val="left" w:pos="1539"/>
        </w:tabs>
        <w:spacing w:before="161" w:after="0" w:line="240" w:lineRule="auto"/>
        <w:ind w:left="1538" w:right="0" w:hanging="401"/>
        <w:jc w:val="left"/>
        <w:rPr>
          <w:sz w:val="24"/>
        </w:rPr>
      </w:pPr>
      <w:r>
        <w:rPr>
          <w:spacing w:val="-10"/>
          <w:sz w:val="24"/>
        </w:rPr>
        <w:t>中共中央国务院《关于全面加强生态环境保护坚决打好污染防治攻坚战的意见》</w:t>
      </w:r>
    </w:p>
    <w:p>
      <w:pPr>
        <w:pStyle w:val="6"/>
        <w:spacing w:before="158"/>
        <w:ind w:left="658"/>
      </w:pPr>
      <w:r>
        <w:t>（</w:t>
      </w:r>
      <w:r>
        <w:rPr>
          <w:rFonts w:ascii="Times New Roman" w:eastAsia="Times New Roman"/>
        </w:rPr>
        <w:t>2018.6.16</w:t>
      </w:r>
      <w:r>
        <w:t>）；</w:t>
      </w:r>
    </w:p>
    <w:p>
      <w:pPr>
        <w:pStyle w:val="6"/>
        <w:spacing w:before="160"/>
        <w:ind w:left="1138"/>
      </w:pPr>
      <w:r>
        <w:rPr>
          <w:rFonts w:ascii="Times New Roman" w:eastAsia="Times New Roman"/>
          <w:spacing w:val="-1"/>
        </w:rPr>
        <w:t>(</w:t>
      </w:r>
      <w:r>
        <w:rPr>
          <w:rFonts w:ascii="Times New Roman" w:eastAsia="Times New Roman"/>
        </w:rPr>
        <w:t>2</w:t>
      </w:r>
      <w:r>
        <w:rPr>
          <w:rFonts w:ascii="Times New Roman" w:eastAsia="Times New Roman"/>
          <w:spacing w:val="-10"/>
        </w:rPr>
        <w:t>3</w:t>
      </w:r>
      <w:r>
        <w:rPr>
          <w:spacing w:val="-231"/>
        </w:rPr>
        <w:t>《</w:t>
      </w:r>
      <w:r>
        <w:rPr>
          <w:rFonts w:ascii="Times New Roman" w:eastAsia="Times New Roman"/>
          <w:spacing w:val="-8"/>
        </w:rPr>
        <w:t xml:space="preserve">)   </w:t>
      </w:r>
      <w:r>
        <w:t>国务院关于印发水污染防治行动计划的通知</w:t>
      </w:r>
      <w:r>
        <w:rPr>
          <w:spacing w:val="-180"/>
        </w:rPr>
        <w:t>》</w:t>
      </w:r>
      <w:r>
        <w:t>（</w:t>
      </w:r>
      <w:r>
        <w:rPr>
          <w:spacing w:val="-31"/>
        </w:rPr>
        <w:t>国发〔</w:t>
      </w:r>
      <w:r>
        <w:rPr>
          <w:rFonts w:ascii="Times New Roman" w:eastAsia="Times New Roman"/>
        </w:rPr>
        <w:t>2015</w:t>
      </w:r>
      <w:r>
        <w:rPr>
          <w:spacing w:val="-89"/>
        </w:rPr>
        <w:t>〕</w:t>
      </w:r>
      <w:r>
        <w:rPr>
          <w:rFonts w:ascii="Times New Roman" w:eastAsia="Times New Roman"/>
        </w:rPr>
        <w:t xml:space="preserve">17 </w:t>
      </w:r>
      <w:r>
        <w:t>号</w:t>
      </w:r>
      <w:r>
        <w:rPr>
          <w:spacing w:val="-180"/>
        </w:rPr>
        <w:t>）</w:t>
      </w:r>
      <w:r>
        <w:t>（</w:t>
      </w:r>
      <w:r>
        <w:rPr>
          <w:rFonts w:ascii="Times New Roman" w:eastAsia="Times New Roman"/>
        </w:rPr>
        <w:t>2015.4.2</w:t>
      </w:r>
      <w:r>
        <w:rPr>
          <w:spacing w:val="-120"/>
        </w:rPr>
        <w:t>）</w:t>
      </w:r>
      <w:r>
        <w:t>；</w:t>
      </w:r>
    </w:p>
    <w:p>
      <w:pPr>
        <w:pStyle w:val="13"/>
        <w:numPr>
          <w:ilvl w:val="0"/>
          <w:numId w:val="11"/>
        </w:numPr>
        <w:tabs>
          <w:tab w:val="left" w:pos="1539"/>
        </w:tabs>
        <w:spacing w:before="161" w:after="0" w:line="240" w:lineRule="auto"/>
        <w:ind w:left="1538" w:right="0" w:hanging="401"/>
        <w:jc w:val="left"/>
        <w:rPr>
          <w:sz w:val="24"/>
        </w:rPr>
      </w:pPr>
      <w:r>
        <w:rPr>
          <w:sz w:val="24"/>
        </w:rPr>
        <w:t>《黑龙江省环境保护条例》（</w:t>
      </w:r>
      <w:r>
        <w:rPr>
          <w:rFonts w:ascii="Times New Roman" w:eastAsia="Times New Roman"/>
          <w:sz w:val="24"/>
        </w:rPr>
        <w:t xml:space="preserve">2018 </w:t>
      </w:r>
      <w:r>
        <w:rPr>
          <w:spacing w:val="-30"/>
          <w:sz w:val="24"/>
        </w:rPr>
        <w:t xml:space="preserve">年 </w:t>
      </w:r>
      <w:r>
        <w:rPr>
          <w:rFonts w:ascii="Times New Roman" w:eastAsia="Times New Roman"/>
          <w:sz w:val="24"/>
        </w:rPr>
        <w:t xml:space="preserve">4 </w:t>
      </w:r>
      <w:r>
        <w:rPr>
          <w:spacing w:val="-30"/>
          <w:sz w:val="24"/>
        </w:rPr>
        <w:t xml:space="preserve">月 </w:t>
      </w:r>
      <w:r>
        <w:rPr>
          <w:rFonts w:ascii="Times New Roman" w:eastAsia="Times New Roman"/>
          <w:sz w:val="24"/>
        </w:rPr>
        <w:t xml:space="preserve">17 </w:t>
      </w:r>
      <w:r>
        <w:rPr>
          <w:sz w:val="24"/>
        </w:rPr>
        <w:t>日修正版）；</w:t>
      </w:r>
    </w:p>
    <w:p>
      <w:pPr>
        <w:pStyle w:val="13"/>
        <w:numPr>
          <w:ilvl w:val="0"/>
          <w:numId w:val="11"/>
        </w:numPr>
        <w:tabs>
          <w:tab w:val="left" w:pos="1539"/>
        </w:tabs>
        <w:spacing w:before="158" w:after="0" w:line="240" w:lineRule="auto"/>
        <w:ind w:left="1538" w:right="0" w:hanging="401"/>
        <w:jc w:val="left"/>
        <w:rPr>
          <w:sz w:val="24"/>
        </w:rPr>
      </w:pPr>
      <w:r>
        <w:rPr>
          <w:sz w:val="24"/>
        </w:rPr>
        <w:t>《黑龙江省大气污染防治条例》（</w:t>
      </w:r>
      <w:r>
        <w:rPr>
          <w:rFonts w:ascii="Times New Roman" w:eastAsia="Times New Roman"/>
          <w:sz w:val="24"/>
        </w:rPr>
        <w:t xml:space="preserve">2018 </w:t>
      </w:r>
      <w:r>
        <w:rPr>
          <w:spacing w:val="-30"/>
          <w:sz w:val="24"/>
        </w:rPr>
        <w:t xml:space="preserve">年 </w:t>
      </w:r>
      <w:r>
        <w:rPr>
          <w:rFonts w:ascii="Times New Roman" w:eastAsia="Times New Roman"/>
          <w:sz w:val="24"/>
        </w:rPr>
        <w:t xml:space="preserve">12 </w:t>
      </w:r>
      <w:r>
        <w:rPr>
          <w:spacing w:val="-30"/>
          <w:sz w:val="24"/>
        </w:rPr>
        <w:t xml:space="preserve">月 </w:t>
      </w:r>
      <w:r>
        <w:rPr>
          <w:rFonts w:ascii="Times New Roman" w:eastAsia="Times New Roman"/>
          <w:sz w:val="24"/>
        </w:rPr>
        <w:t xml:space="preserve">27 </w:t>
      </w:r>
      <w:r>
        <w:rPr>
          <w:sz w:val="24"/>
        </w:rPr>
        <w:t>日修正）；</w:t>
      </w:r>
    </w:p>
    <w:p>
      <w:pPr>
        <w:pStyle w:val="13"/>
        <w:numPr>
          <w:ilvl w:val="0"/>
          <w:numId w:val="11"/>
        </w:numPr>
        <w:tabs>
          <w:tab w:val="left" w:pos="1539"/>
        </w:tabs>
        <w:spacing w:before="160" w:after="0" w:line="362" w:lineRule="auto"/>
        <w:ind w:left="658" w:right="696" w:firstLine="480"/>
        <w:jc w:val="left"/>
        <w:rPr>
          <w:sz w:val="24"/>
        </w:rPr>
      </w:pPr>
      <w:r>
        <w:rPr>
          <w:spacing w:val="-1"/>
          <w:sz w:val="24"/>
        </w:rPr>
        <w:t>中共黑龙江省委黑龙江省人民政府《关于全面加强生态环境保护坚决打好污染</w:t>
      </w:r>
      <w:r>
        <w:rPr>
          <w:sz w:val="24"/>
        </w:rPr>
        <w:t>防治攻坚战的实施意见》（</w:t>
      </w:r>
      <w:r>
        <w:rPr>
          <w:rFonts w:ascii="Times New Roman" w:eastAsia="Times New Roman"/>
          <w:sz w:val="24"/>
        </w:rPr>
        <w:t>2018.9.14</w:t>
      </w:r>
      <w:r>
        <w:rPr>
          <w:sz w:val="24"/>
        </w:rPr>
        <w:t>）；</w:t>
      </w:r>
    </w:p>
    <w:p>
      <w:pPr>
        <w:pStyle w:val="13"/>
        <w:numPr>
          <w:ilvl w:val="0"/>
          <w:numId w:val="11"/>
        </w:numPr>
        <w:tabs>
          <w:tab w:val="left" w:pos="1539"/>
        </w:tabs>
        <w:spacing w:before="3" w:after="0" w:line="240" w:lineRule="auto"/>
        <w:ind w:left="1538" w:right="0" w:hanging="401"/>
        <w:jc w:val="left"/>
        <w:rPr>
          <w:sz w:val="24"/>
        </w:rPr>
      </w:pPr>
      <w:r>
        <w:rPr>
          <w:sz w:val="24"/>
        </w:rPr>
        <w:t>《黑龙江省人民政府关于印发黑龙江省水污染防治工作方案的通知》（黑政发</w:t>
      </w:r>
    </w:p>
    <w:p>
      <w:pPr>
        <w:pStyle w:val="6"/>
        <w:spacing w:before="160"/>
        <w:ind w:left="658"/>
      </w:pPr>
      <w:r>
        <w:t>〔</w:t>
      </w:r>
      <w:r>
        <w:rPr>
          <w:rFonts w:ascii="Times New Roman" w:eastAsia="Times New Roman"/>
        </w:rPr>
        <w:t>2016</w:t>
      </w:r>
      <w:r>
        <w:t>〕</w:t>
      </w:r>
      <w:r>
        <w:rPr>
          <w:rFonts w:ascii="Times New Roman" w:eastAsia="Times New Roman"/>
        </w:rPr>
        <w:t xml:space="preserve">3 </w:t>
      </w:r>
      <w:r>
        <w:t>号）（</w:t>
      </w:r>
      <w:r>
        <w:rPr>
          <w:rFonts w:ascii="Times New Roman" w:eastAsia="Times New Roman"/>
        </w:rPr>
        <w:t>2016.1.10</w:t>
      </w:r>
      <w:r>
        <w:t>）；</w:t>
      </w:r>
    </w:p>
    <w:p>
      <w:pPr>
        <w:pStyle w:val="13"/>
        <w:numPr>
          <w:ilvl w:val="0"/>
          <w:numId w:val="11"/>
        </w:numPr>
        <w:tabs>
          <w:tab w:val="left" w:pos="1539"/>
        </w:tabs>
        <w:spacing w:before="161" w:after="0" w:line="362" w:lineRule="auto"/>
        <w:ind w:left="658" w:right="693" w:firstLine="480"/>
        <w:jc w:val="left"/>
        <w:rPr>
          <w:sz w:val="24"/>
        </w:rPr>
      </w:pPr>
      <w:r>
        <w:rPr>
          <w:spacing w:val="-9"/>
          <w:sz w:val="24"/>
        </w:rPr>
        <w:t>关于印发《黑龙江省重点生态功能区产业准入负面清单</w:t>
      </w:r>
      <w:r>
        <w:rPr>
          <w:sz w:val="24"/>
        </w:rPr>
        <w:t>（试行版</w:t>
      </w:r>
      <w:r>
        <w:rPr>
          <w:spacing w:val="-44"/>
          <w:sz w:val="24"/>
        </w:rPr>
        <w:t>）</w:t>
      </w:r>
      <w:r>
        <w:rPr>
          <w:spacing w:val="-21"/>
          <w:sz w:val="24"/>
        </w:rPr>
        <w:t>》的通知</w:t>
      </w:r>
      <w:r>
        <w:rPr>
          <w:sz w:val="24"/>
        </w:rPr>
        <w:t>（</w:t>
      </w:r>
      <w:r>
        <w:rPr>
          <w:spacing w:val="-14"/>
          <w:sz w:val="24"/>
        </w:rPr>
        <w:t>黑</w:t>
      </w:r>
      <w:r>
        <w:rPr>
          <w:sz w:val="24"/>
        </w:rPr>
        <w:t>发改规〔</w:t>
      </w:r>
      <w:r>
        <w:rPr>
          <w:rFonts w:ascii="Times New Roman" w:eastAsia="Times New Roman"/>
          <w:sz w:val="24"/>
        </w:rPr>
        <w:t>2017</w:t>
      </w:r>
      <w:r>
        <w:rPr>
          <w:sz w:val="24"/>
        </w:rPr>
        <w:t>〕</w:t>
      </w:r>
      <w:r>
        <w:rPr>
          <w:rFonts w:ascii="Times New Roman" w:eastAsia="Times New Roman"/>
          <w:sz w:val="24"/>
        </w:rPr>
        <w:t xml:space="preserve">4 </w:t>
      </w:r>
      <w:r>
        <w:rPr>
          <w:sz w:val="24"/>
        </w:rPr>
        <w:t>号）；</w:t>
      </w:r>
    </w:p>
    <w:p>
      <w:pPr>
        <w:pStyle w:val="13"/>
        <w:numPr>
          <w:ilvl w:val="0"/>
          <w:numId w:val="11"/>
        </w:numPr>
        <w:tabs>
          <w:tab w:val="left" w:pos="1539"/>
        </w:tabs>
        <w:spacing w:before="5" w:after="0" w:line="240" w:lineRule="auto"/>
        <w:ind w:left="1538" w:right="0" w:hanging="401"/>
        <w:jc w:val="left"/>
        <w:rPr>
          <w:sz w:val="24"/>
        </w:rPr>
      </w:pPr>
      <w:r>
        <w:rPr>
          <w:sz w:val="24"/>
        </w:rPr>
        <w:t>《黑龙江省矿产资源总体规划（</w:t>
      </w:r>
      <w:r>
        <w:rPr>
          <w:rFonts w:ascii="Times New Roman" w:eastAsia="Times New Roman"/>
          <w:sz w:val="24"/>
        </w:rPr>
        <w:t>2016~2020</w:t>
      </w:r>
      <w:r>
        <w:rPr>
          <w:sz w:val="24"/>
        </w:rPr>
        <w:t>）》（黑政规〔</w:t>
      </w:r>
      <w:r>
        <w:rPr>
          <w:rFonts w:ascii="Times New Roman" w:eastAsia="Times New Roman"/>
          <w:sz w:val="24"/>
        </w:rPr>
        <w:t>2018</w:t>
      </w:r>
      <w:r>
        <w:rPr>
          <w:sz w:val="24"/>
        </w:rPr>
        <w:t>〕</w:t>
      </w:r>
      <w:r>
        <w:rPr>
          <w:rFonts w:ascii="Times New Roman" w:eastAsia="Times New Roman"/>
          <w:sz w:val="24"/>
        </w:rPr>
        <w:t>1</w:t>
      </w:r>
      <w:r>
        <w:rPr>
          <w:rFonts w:ascii="Times New Roman" w:eastAsia="Times New Roman"/>
          <w:spacing w:val="-2"/>
          <w:sz w:val="24"/>
        </w:rPr>
        <w:t xml:space="preserve"> </w:t>
      </w:r>
      <w:r>
        <w:rPr>
          <w:sz w:val="24"/>
        </w:rPr>
        <w:t>号）。</w:t>
      </w:r>
    </w:p>
    <w:p>
      <w:pPr>
        <w:pStyle w:val="4"/>
        <w:numPr>
          <w:ilvl w:val="2"/>
          <w:numId w:val="7"/>
        </w:numPr>
        <w:tabs>
          <w:tab w:val="left" w:pos="1288"/>
        </w:tabs>
        <w:spacing w:before="159" w:after="0" w:line="240" w:lineRule="auto"/>
        <w:ind w:left="1287" w:right="0" w:hanging="630"/>
        <w:jc w:val="left"/>
      </w:pPr>
      <w:r>
        <w:t>相关技术规范</w:t>
      </w:r>
    </w:p>
    <w:p>
      <w:pPr>
        <w:pStyle w:val="13"/>
        <w:numPr>
          <w:ilvl w:val="0"/>
          <w:numId w:val="12"/>
        </w:numPr>
        <w:tabs>
          <w:tab w:val="left" w:pos="1419"/>
        </w:tabs>
        <w:spacing w:before="185" w:after="0" w:line="240" w:lineRule="auto"/>
        <w:ind w:left="1418" w:right="0" w:hanging="281"/>
        <w:jc w:val="left"/>
        <w:rPr>
          <w:sz w:val="24"/>
        </w:rPr>
      </w:pPr>
      <w:r>
        <w:rPr>
          <w:spacing w:val="-1"/>
          <w:sz w:val="24"/>
        </w:rPr>
        <w:t>《建设项目环境影响评价技术导则 总纲》</w:t>
      </w:r>
      <w:r>
        <w:rPr>
          <w:rFonts w:ascii="Times New Roman" w:eastAsia="Times New Roman"/>
          <w:sz w:val="24"/>
        </w:rPr>
        <w:t>(HJ2.1-2016)</w:t>
      </w:r>
      <w:r>
        <w:rPr>
          <w:sz w:val="24"/>
        </w:rPr>
        <w:t>；</w:t>
      </w:r>
    </w:p>
    <w:p>
      <w:pPr>
        <w:pStyle w:val="13"/>
        <w:numPr>
          <w:ilvl w:val="0"/>
          <w:numId w:val="12"/>
        </w:numPr>
        <w:tabs>
          <w:tab w:val="left" w:pos="1419"/>
        </w:tabs>
        <w:spacing w:before="161" w:after="0" w:line="364" w:lineRule="auto"/>
        <w:ind w:left="1138" w:right="3280" w:firstLine="0"/>
        <w:jc w:val="left"/>
        <w:rPr>
          <w:sz w:val="24"/>
        </w:rPr>
      </w:pPr>
      <w:r>
        <w:rPr>
          <w:spacing w:val="-1"/>
          <w:sz w:val="24"/>
        </w:rPr>
        <w:t>《环境影响评价技术导则 大气环境》</w:t>
      </w:r>
      <w:r>
        <w:rPr>
          <w:rFonts w:ascii="Times New Roman" w:eastAsia="Times New Roman"/>
          <w:sz w:val="24"/>
        </w:rPr>
        <w:t>(HJ2.2-2018)</w:t>
      </w:r>
      <w:r>
        <w:rPr>
          <w:sz w:val="24"/>
        </w:rPr>
        <w:t xml:space="preserve">； </w:t>
      </w:r>
      <w:r>
        <w:rPr>
          <w:rFonts w:ascii="Times New Roman" w:eastAsia="Times New Roman"/>
          <w:sz w:val="24"/>
        </w:rPr>
        <w:t>(3)</w:t>
      </w:r>
      <w:r>
        <w:rPr>
          <w:sz w:val="24"/>
        </w:rPr>
        <w:t>《环境影响评价技术导则 地表水环境》</w:t>
      </w:r>
      <w:r>
        <w:rPr>
          <w:rFonts w:ascii="Times New Roman" w:eastAsia="Times New Roman"/>
          <w:spacing w:val="-3"/>
          <w:sz w:val="24"/>
        </w:rPr>
        <w:t>(HJ2.3-2018)</w:t>
      </w:r>
      <w:r>
        <w:rPr>
          <w:spacing w:val="-3"/>
          <w:sz w:val="24"/>
        </w:rPr>
        <w:t xml:space="preserve">； </w:t>
      </w:r>
      <w:r>
        <w:rPr>
          <w:rFonts w:ascii="Times New Roman" w:eastAsia="Times New Roman"/>
          <w:sz w:val="24"/>
        </w:rPr>
        <w:t>(4)</w:t>
      </w:r>
      <w:r>
        <w:rPr>
          <w:spacing w:val="-1"/>
          <w:sz w:val="24"/>
        </w:rPr>
        <w:t>《环境影响评价技术导则 声环境》</w:t>
      </w:r>
      <w:r>
        <w:rPr>
          <w:rFonts w:ascii="Times New Roman" w:eastAsia="Times New Roman"/>
          <w:sz w:val="24"/>
        </w:rPr>
        <w:t>(HJ2.4-2009)</w:t>
      </w:r>
      <w:r>
        <w:rPr>
          <w:sz w:val="24"/>
        </w:rPr>
        <w:t>；</w:t>
      </w:r>
    </w:p>
    <w:p>
      <w:pPr>
        <w:pStyle w:val="13"/>
        <w:numPr>
          <w:ilvl w:val="0"/>
          <w:numId w:val="13"/>
        </w:numPr>
        <w:tabs>
          <w:tab w:val="left" w:pos="1419"/>
        </w:tabs>
        <w:spacing w:before="0" w:after="0" w:line="305" w:lineRule="exact"/>
        <w:ind w:left="1418" w:right="0" w:hanging="281"/>
        <w:jc w:val="left"/>
        <w:rPr>
          <w:sz w:val="24"/>
        </w:rPr>
      </w:pPr>
      <w:r>
        <w:rPr>
          <w:spacing w:val="-1"/>
          <w:sz w:val="24"/>
        </w:rPr>
        <w:t>《环境影响评价技术导则 地下水环境》</w:t>
      </w:r>
      <w:r>
        <w:rPr>
          <w:rFonts w:ascii="Times New Roman" w:eastAsia="Times New Roman"/>
          <w:sz w:val="24"/>
        </w:rPr>
        <w:t>(HJ610-2016)</w:t>
      </w:r>
      <w:r>
        <w:rPr>
          <w:sz w:val="24"/>
        </w:rPr>
        <w:t>；</w:t>
      </w:r>
    </w:p>
    <w:p>
      <w:pPr>
        <w:pStyle w:val="13"/>
        <w:numPr>
          <w:ilvl w:val="0"/>
          <w:numId w:val="13"/>
        </w:numPr>
        <w:tabs>
          <w:tab w:val="left" w:pos="1419"/>
        </w:tabs>
        <w:spacing w:before="160" w:after="0" w:line="240" w:lineRule="auto"/>
        <w:ind w:left="1418" w:right="0" w:hanging="281"/>
        <w:jc w:val="left"/>
        <w:rPr>
          <w:sz w:val="24"/>
        </w:rPr>
      </w:pPr>
      <w:r>
        <w:rPr>
          <w:spacing w:val="-1"/>
          <w:sz w:val="24"/>
        </w:rPr>
        <w:t>《环境影响评价技术导则 生态影响》</w:t>
      </w:r>
      <w:r>
        <w:rPr>
          <w:rFonts w:ascii="Times New Roman" w:eastAsia="Times New Roman"/>
          <w:sz w:val="24"/>
        </w:rPr>
        <w:t>(HJ19-2011)</w:t>
      </w:r>
      <w:r>
        <w:rPr>
          <w:sz w:val="24"/>
        </w:rPr>
        <w:t>；</w:t>
      </w:r>
    </w:p>
    <w:p>
      <w:pPr>
        <w:spacing w:after="0" w:line="240" w:lineRule="auto"/>
        <w:jc w:val="left"/>
        <w:rPr>
          <w:sz w:val="24"/>
        </w:rPr>
        <w:sectPr>
          <w:pgSz w:w="11910" w:h="16840"/>
          <w:pgMar w:top="1340" w:right="720" w:bottom="1160" w:left="760" w:header="0" w:footer="975" w:gutter="0"/>
        </w:sectPr>
      </w:pPr>
    </w:p>
    <w:p>
      <w:pPr>
        <w:pStyle w:val="13"/>
        <w:numPr>
          <w:ilvl w:val="0"/>
          <w:numId w:val="13"/>
        </w:numPr>
        <w:tabs>
          <w:tab w:val="left" w:pos="1419"/>
        </w:tabs>
        <w:spacing w:before="61" w:after="0" w:line="240" w:lineRule="auto"/>
        <w:ind w:left="1418" w:right="0" w:hanging="281"/>
        <w:jc w:val="left"/>
        <w:rPr>
          <w:sz w:val="24"/>
        </w:rPr>
      </w:pPr>
      <w:r>
        <w:rPr>
          <w:sz w:val="24"/>
        </w:rPr>
        <w:t>《环境影响评价技术导则 土壤环境（试行）》（</w:t>
      </w:r>
      <w:r>
        <w:rPr>
          <w:rFonts w:ascii="Times New Roman" w:eastAsia="Times New Roman"/>
          <w:sz w:val="24"/>
        </w:rPr>
        <w:t>HJ964-2018</w:t>
      </w:r>
      <w:r>
        <w:rPr>
          <w:sz w:val="24"/>
        </w:rPr>
        <w:t>）；</w:t>
      </w:r>
    </w:p>
    <w:p>
      <w:pPr>
        <w:pStyle w:val="13"/>
        <w:numPr>
          <w:ilvl w:val="0"/>
          <w:numId w:val="13"/>
        </w:numPr>
        <w:tabs>
          <w:tab w:val="left" w:pos="1419"/>
        </w:tabs>
        <w:spacing w:before="158" w:after="0" w:line="240" w:lineRule="auto"/>
        <w:ind w:left="1418" w:right="0" w:hanging="281"/>
        <w:jc w:val="left"/>
        <w:rPr>
          <w:sz w:val="24"/>
        </w:rPr>
      </w:pPr>
      <w:r>
        <w:rPr>
          <w:sz w:val="24"/>
        </w:rPr>
        <w:t>《建设项目环境风险评价技术导则》</w:t>
      </w:r>
      <w:r>
        <w:rPr>
          <w:rFonts w:ascii="Times New Roman" w:eastAsia="Times New Roman"/>
          <w:sz w:val="24"/>
        </w:rPr>
        <w:t>(HJ169-2018)</w:t>
      </w:r>
      <w:r>
        <w:rPr>
          <w:sz w:val="24"/>
        </w:rPr>
        <w:t>；</w:t>
      </w:r>
    </w:p>
    <w:p>
      <w:pPr>
        <w:pStyle w:val="13"/>
        <w:numPr>
          <w:ilvl w:val="0"/>
          <w:numId w:val="13"/>
        </w:numPr>
        <w:tabs>
          <w:tab w:val="left" w:pos="1419"/>
        </w:tabs>
        <w:spacing w:before="161" w:after="0" w:line="240" w:lineRule="auto"/>
        <w:ind w:left="1418" w:right="0" w:hanging="281"/>
        <w:jc w:val="left"/>
        <w:rPr>
          <w:sz w:val="24"/>
        </w:rPr>
      </w:pPr>
      <w:r>
        <w:rPr>
          <w:spacing w:val="-1"/>
          <w:sz w:val="24"/>
        </w:rPr>
        <w:t>《环境影响评价技术导则 煤炭采选工程》</w:t>
      </w:r>
      <w:r>
        <w:rPr>
          <w:sz w:val="24"/>
        </w:rPr>
        <w:t>（</w:t>
      </w:r>
      <w:r>
        <w:rPr>
          <w:rFonts w:ascii="Times New Roman" w:eastAsia="Times New Roman"/>
          <w:sz w:val="24"/>
        </w:rPr>
        <w:t>HJ619-2011</w:t>
      </w:r>
      <w:r>
        <w:rPr>
          <w:sz w:val="24"/>
        </w:rPr>
        <w:t>）；</w:t>
      </w:r>
    </w:p>
    <w:p>
      <w:pPr>
        <w:pStyle w:val="13"/>
        <w:numPr>
          <w:ilvl w:val="0"/>
          <w:numId w:val="13"/>
        </w:numPr>
        <w:tabs>
          <w:tab w:val="left" w:pos="1539"/>
        </w:tabs>
        <w:spacing w:before="160" w:after="0" w:line="240" w:lineRule="auto"/>
        <w:ind w:left="1538" w:right="0" w:hanging="401"/>
        <w:jc w:val="left"/>
        <w:rPr>
          <w:sz w:val="24"/>
        </w:rPr>
      </w:pPr>
      <w:r>
        <w:rPr>
          <w:sz w:val="24"/>
        </w:rPr>
        <w:t>《建设项目危险废物环境影响评价指南》（</w:t>
      </w:r>
      <w:r>
        <w:rPr>
          <w:spacing w:val="-8"/>
          <w:sz w:val="24"/>
        </w:rPr>
        <w:t xml:space="preserve">环境保护部公告 </w:t>
      </w:r>
      <w:r>
        <w:rPr>
          <w:rFonts w:ascii="Times New Roman" w:eastAsia="Times New Roman"/>
          <w:sz w:val="24"/>
        </w:rPr>
        <w:t>2017</w:t>
      </w:r>
      <w:r>
        <w:rPr>
          <w:rFonts w:ascii="Times New Roman" w:eastAsia="Times New Roman"/>
          <w:spacing w:val="3"/>
          <w:sz w:val="24"/>
        </w:rPr>
        <w:t xml:space="preserve"> </w:t>
      </w:r>
      <w:r>
        <w:rPr>
          <w:spacing w:val="-19"/>
          <w:sz w:val="24"/>
        </w:rPr>
        <w:t xml:space="preserve">年第 </w:t>
      </w:r>
      <w:r>
        <w:rPr>
          <w:rFonts w:ascii="Times New Roman" w:eastAsia="Times New Roman"/>
          <w:sz w:val="24"/>
        </w:rPr>
        <w:t>43</w:t>
      </w:r>
      <w:r>
        <w:rPr>
          <w:rFonts w:ascii="Times New Roman" w:eastAsia="Times New Roman"/>
          <w:spacing w:val="2"/>
          <w:sz w:val="24"/>
        </w:rPr>
        <w:t xml:space="preserve"> </w:t>
      </w:r>
      <w:r>
        <w:rPr>
          <w:sz w:val="24"/>
        </w:rPr>
        <w:t>号）</w:t>
      </w:r>
    </w:p>
    <w:p>
      <w:pPr>
        <w:pStyle w:val="6"/>
        <w:spacing w:before="158"/>
        <w:ind w:left="658"/>
      </w:pPr>
      <w:r>
        <w:t>（</w:t>
      </w:r>
      <w:r>
        <w:rPr>
          <w:rFonts w:ascii="Times New Roman" w:eastAsia="Times New Roman"/>
        </w:rPr>
        <w:t>2017.10.01</w:t>
      </w:r>
      <w:r>
        <w:t>）；</w:t>
      </w:r>
    </w:p>
    <w:p>
      <w:pPr>
        <w:pStyle w:val="13"/>
        <w:numPr>
          <w:ilvl w:val="0"/>
          <w:numId w:val="13"/>
        </w:numPr>
        <w:tabs>
          <w:tab w:val="left" w:pos="1532"/>
        </w:tabs>
        <w:spacing w:before="161" w:after="0" w:line="364" w:lineRule="auto"/>
        <w:ind w:left="1138" w:right="3321" w:firstLine="0"/>
        <w:jc w:val="left"/>
        <w:rPr>
          <w:sz w:val="24"/>
        </w:rPr>
      </w:pPr>
      <w:r>
        <w:rPr>
          <w:spacing w:val="-1"/>
          <w:sz w:val="24"/>
        </w:rPr>
        <w:t>《危险化学品重大危险源辨识》</w:t>
      </w:r>
      <w:r>
        <w:rPr>
          <w:sz w:val="24"/>
        </w:rPr>
        <w:t>（</w:t>
      </w:r>
      <w:r>
        <w:rPr>
          <w:rFonts w:ascii="Times New Roman" w:eastAsia="Times New Roman"/>
          <w:sz w:val="24"/>
        </w:rPr>
        <w:t>GB18218-2018</w:t>
      </w:r>
      <w:r>
        <w:rPr>
          <w:sz w:val="24"/>
        </w:rPr>
        <w:t xml:space="preserve">）； </w:t>
      </w:r>
      <w:r>
        <w:rPr>
          <w:rFonts w:ascii="Times New Roman" w:eastAsia="Times New Roman"/>
          <w:sz w:val="24"/>
        </w:rPr>
        <w:t>(12)</w:t>
      </w:r>
      <w:r>
        <w:rPr>
          <w:sz w:val="24"/>
        </w:rPr>
        <w:t>《清洁生产标准 煤炭采选业》（</w:t>
      </w:r>
      <w:r>
        <w:rPr>
          <w:rFonts w:ascii="Times New Roman" w:eastAsia="Times New Roman"/>
          <w:sz w:val="24"/>
        </w:rPr>
        <w:t>HJ446-2008</w:t>
      </w:r>
      <w:r>
        <w:rPr>
          <w:sz w:val="24"/>
        </w:rPr>
        <w:t xml:space="preserve">）； </w:t>
      </w:r>
      <w:r>
        <w:rPr>
          <w:rFonts w:ascii="Times New Roman" w:eastAsia="Times New Roman"/>
          <w:sz w:val="24"/>
        </w:rPr>
        <w:t>(13)</w:t>
      </w:r>
      <w:r>
        <w:rPr>
          <w:sz w:val="24"/>
        </w:rPr>
        <w:t>《煤炭工业矿井设计规范》（</w:t>
      </w:r>
      <w:r>
        <w:rPr>
          <w:rFonts w:ascii="Times New Roman" w:eastAsia="Times New Roman"/>
          <w:sz w:val="24"/>
        </w:rPr>
        <w:t>GB50215-2015</w:t>
      </w:r>
      <w:r>
        <w:rPr>
          <w:sz w:val="24"/>
        </w:rPr>
        <w:t>）；</w:t>
      </w:r>
    </w:p>
    <w:p>
      <w:pPr>
        <w:pStyle w:val="6"/>
        <w:spacing w:line="304" w:lineRule="exact"/>
        <w:ind w:left="1138"/>
      </w:pPr>
      <w:r>
        <w:rPr>
          <w:rFonts w:ascii="Times New Roman" w:eastAsia="Times New Roman"/>
        </w:rPr>
        <w:t>(14)</w:t>
      </w:r>
      <w:r>
        <w:t>《开发建设项目水土保持方案技术规范》（</w:t>
      </w:r>
      <w:r>
        <w:rPr>
          <w:rFonts w:ascii="Times New Roman" w:eastAsia="Times New Roman"/>
        </w:rPr>
        <w:t>SL204-98</w:t>
      </w:r>
      <w:r>
        <w:t>）。</w:t>
      </w:r>
    </w:p>
    <w:p>
      <w:pPr>
        <w:pStyle w:val="3"/>
        <w:numPr>
          <w:ilvl w:val="1"/>
          <w:numId w:val="7"/>
        </w:numPr>
        <w:tabs>
          <w:tab w:val="left" w:pos="1184"/>
        </w:tabs>
        <w:spacing w:before="160" w:after="0" w:line="240" w:lineRule="auto"/>
        <w:ind w:left="1184" w:right="0" w:hanging="526"/>
        <w:jc w:val="left"/>
      </w:pPr>
      <w:bookmarkStart w:id="33" w:name="_bookmark9"/>
      <w:bookmarkEnd w:id="33"/>
      <w:bookmarkStart w:id="34" w:name="_bookmark9"/>
      <w:bookmarkEnd w:id="34"/>
      <w:bookmarkStart w:id="35" w:name="2.3 评价标准"/>
      <w:bookmarkEnd w:id="35"/>
      <w:r>
        <w:t>评价标准</w:t>
      </w:r>
    </w:p>
    <w:p>
      <w:pPr>
        <w:pStyle w:val="6"/>
        <w:spacing w:before="199"/>
        <w:ind w:left="1138"/>
      </w:pPr>
      <w:r>
        <w:t xml:space="preserve">本次环评执行的环境保护标准见表 </w:t>
      </w:r>
      <w:r>
        <w:rPr>
          <w:rFonts w:ascii="Times New Roman" w:eastAsia="Times New Roman"/>
        </w:rPr>
        <w:t>2.3-1</w:t>
      </w:r>
      <w:r>
        <w:t xml:space="preserve">，表 </w:t>
      </w:r>
      <w:r>
        <w:rPr>
          <w:rFonts w:ascii="Times New Roman" w:eastAsia="Times New Roman"/>
        </w:rPr>
        <w:t xml:space="preserve">2.3-2 </w:t>
      </w:r>
      <w:r>
        <w:t xml:space="preserve">和表 </w:t>
      </w:r>
      <w:r>
        <w:rPr>
          <w:rFonts w:ascii="Times New Roman" w:eastAsia="Times New Roman"/>
        </w:rPr>
        <w:t>2.3-3</w:t>
      </w:r>
      <w:r>
        <w:t>。</w:t>
      </w:r>
    </w:p>
    <w:p>
      <w:pPr>
        <w:pStyle w:val="5"/>
        <w:spacing w:before="161" w:after="32"/>
        <w:ind w:left="1553" w:right="1108"/>
        <w:jc w:val="center"/>
      </w:pPr>
      <w:r>
        <w:t xml:space="preserve">表 </w:t>
      </w:r>
      <w:r>
        <w:rPr>
          <w:rFonts w:ascii="Times New Roman" w:eastAsia="Times New Roman"/>
        </w:rPr>
        <w:t xml:space="preserve">2.3-1  </w:t>
      </w:r>
      <w:r>
        <w:t>环境质量标准</w:t>
      </w:r>
    </w:p>
    <w:tbl>
      <w:tblPr>
        <w:tblStyle w:val="10"/>
        <w:tblW w:w="0" w:type="auto"/>
        <w:tblInd w:w="9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5"/>
        <w:gridCol w:w="2920"/>
        <w:gridCol w:w="1763"/>
        <w:gridCol w:w="1350"/>
        <w:gridCol w:w="812"/>
        <w:gridCol w:w="10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restart"/>
          </w:tcPr>
          <w:p>
            <w:pPr>
              <w:pStyle w:val="14"/>
              <w:spacing w:before="141"/>
              <w:ind w:left="126"/>
              <w:jc w:val="left"/>
              <w:rPr>
                <w:sz w:val="21"/>
              </w:rPr>
            </w:pPr>
            <w:r>
              <w:rPr>
                <w:sz w:val="21"/>
              </w:rPr>
              <w:t>类别</w:t>
            </w:r>
          </w:p>
        </w:tc>
        <w:tc>
          <w:tcPr>
            <w:tcW w:w="2920" w:type="dxa"/>
            <w:vMerge w:val="restart"/>
          </w:tcPr>
          <w:p>
            <w:pPr>
              <w:pStyle w:val="14"/>
              <w:spacing w:before="141"/>
              <w:ind w:left="409"/>
              <w:jc w:val="left"/>
              <w:rPr>
                <w:sz w:val="21"/>
              </w:rPr>
            </w:pPr>
            <w:r>
              <w:rPr>
                <w:sz w:val="21"/>
              </w:rPr>
              <w:t>标准名称及级（类）别</w:t>
            </w:r>
          </w:p>
        </w:tc>
        <w:tc>
          <w:tcPr>
            <w:tcW w:w="1763" w:type="dxa"/>
            <w:vMerge w:val="restart"/>
          </w:tcPr>
          <w:p>
            <w:pPr>
              <w:pStyle w:val="14"/>
              <w:spacing w:before="141"/>
              <w:ind w:left="460"/>
              <w:jc w:val="left"/>
              <w:rPr>
                <w:sz w:val="21"/>
              </w:rPr>
            </w:pPr>
            <w:r>
              <w:rPr>
                <w:sz w:val="21"/>
              </w:rPr>
              <w:t>污染因子</w:t>
            </w:r>
          </w:p>
        </w:tc>
        <w:tc>
          <w:tcPr>
            <w:tcW w:w="3164" w:type="dxa"/>
            <w:gridSpan w:val="3"/>
          </w:tcPr>
          <w:p>
            <w:pPr>
              <w:pStyle w:val="14"/>
              <w:spacing w:line="252" w:lineRule="exact"/>
              <w:ind w:left="1245" w:right="1239"/>
              <w:rPr>
                <w:sz w:val="21"/>
              </w:rPr>
            </w:pPr>
            <w:r>
              <w:rPr>
                <w:sz w:val="21"/>
              </w:rPr>
              <w:t>标准值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vMerge w:val="continue"/>
            <w:tcBorders>
              <w:top w:val="nil"/>
            </w:tcBorders>
          </w:tcPr>
          <w:p>
            <w:pPr>
              <w:rPr>
                <w:sz w:val="2"/>
                <w:szCs w:val="2"/>
              </w:rPr>
            </w:pPr>
          </w:p>
        </w:tc>
        <w:tc>
          <w:tcPr>
            <w:tcW w:w="2162" w:type="dxa"/>
            <w:gridSpan w:val="2"/>
          </w:tcPr>
          <w:p>
            <w:pPr>
              <w:pStyle w:val="14"/>
              <w:spacing w:line="251" w:lineRule="exact"/>
              <w:ind w:left="741" w:right="736"/>
              <w:rPr>
                <w:sz w:val="21"/>
              </w:rPr>
            </w:pPr>
            <w:r>
              <w:rPr>
                <w:sz w:val="21"/>
              </w:rPr>
              <w:t>单位</w:t>
            </w:r>
          </w:p>
        </w:tc>
        <w:tc>
          <w:tcPr>
            <w:tcW w:w="1002" w:type="dxa"/>
          </w:tcPr>
          <w:p>
            <w:pPr>
              <w:pStyle w:val="14"/>
              <w:spacing w:line="251" w:lineRule="exact"/>
              <w:ind w:left="291"/>
              <w:jc w:val="left"/>
              <w:rPr>
                <w:sz w:val="21"/>
              </w:rPr>
            </w:pPr>
            <w:r>
              <w:rPr>
                <w:sz w:val="21"/>
              </w:rPr>
              <w:t>数值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675"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3"/>
              <w:jc w:val="left"/>
              <w:rPr>
                <w:b/>
                <w:sz w:val="29"/>
              </w:rPr>
            </w:pPr>
          </w:p>
          <w:p>
            <w:pPr>
              <w:pStyle w:val="14"/>
              <w:spacing w:line="242" w:lineRule="auto"/>
              <w:ind w:left="126" w:right="118"/>
              <w:jc w:val="left"/>
              <w:rPr>
                <w:sz w:val="21"/>
              </w:rPr>
            </w:pPr>
            <w:r>
              <w:rPr>
                <w:sz w:val="21"/>
              </w:rPr>
              <w:t>环境空气</w:t>
            </w:r>
          </w:p>
        </w:tc>
        <w:tc>
          <w:tcPr>
            <w:tcW w:w="2920"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7"/>
              <w:jc w:val="left"/>
              <w:rPr>
                <w:b/>
                <w:sz w:val="18"/>
              </w:rPr>
            </w:pPr>
          </w:p>
          <w:p>
            <w:pPr>
              <w:pStyle w:val="14"/>
              <w:ind w:left="118" w:right="112"/>
              <w:rPr>
                <w:sz w:val="21"/>
              </w:rPr>
            </w:pPr>
            <w:r>
              <w:rPr>
                <w:sz w:val="21"/>
              </w:rPr>
              <w:t>《环境空气质量标准》</w:t>
            </w:r>
          </w:p>
          <w:p>
            <w:pPr>
              <w:pStyle w:val="14"/>
              <w:spacing w:before="5" w:line="242" w:lineRule="auto"/>
              <w:ind w:left="123" w:right="112"/>
              <w:rPr>
                <w:sz w:val="21"/>
              </w:rPr>
            </w:pPr>
            <w:r>
              <w:rPr>
                <w:sz w:val="21"/>
              </w:rPr>
              <w:t>（</w:t>
            </w:r>
            <w:r>
              <w:rPr>
                <w:rFonts w:ascii="Times New Roman" w:eastAsia="Times New Roman"/>
                <w:sz w:val="21"/>
              </w:rPr>
              <w:t>GB3095-2012</w:t>
            </w:r>
            <w:r>
              <w:rPr>
                <w:sz w:val="21"/>
              </w:rPr>
              <w:t>）及其修改单二级标准</w:t>
            </w:r>
          </w:p>
        </w:tc>
        <w:tc>
          <w:tcPr>
            <w:tcW w:w="1763" w:type="dxa"/>
            <w:vMerge w:val="restart"/>
          </w:tcPr>
          <w:p>
            <w:pPr>
              <w:pStyle w:val="14"/>
              <w:spacing w:before="6"/>
              <w:jc w:val="left"/>
              <w:rPr>
                <w:b/>
                <w:sz w:val="28"/>
              </w:rPr>
            </w:pPr>
          </w:p>
          <w:p>
            <w:pPr>
              <w:pStyle w:val="14"/>
              <w:ind w:left="116" w:right="107"/>
              <w:rPr>
                <w:rFonts w:ascii="Times New Roman"/>
                <w:sz w:val="21"/>
              </w:rPr>
            </w:pPr>
            <w:r>
              <w:rPr>
                <w:rFonts w:ascii="Times New Roman"/>
                <w:position w:val="2"/>
                <w:sz w:val="21"/>
              </w:rPr>
              <w:t>SO</w:t>
            </w:r>
            <w:r>
              <w:rPr>
                <w:rFonts w:ascii="Times New Roman"/>
                <w:position w:val="2"/>
                <w:sz w:val="21"/>
                <w:vertAlign w:val="subscript"/>
              </w:rPr>
              <w:t>2</w:t>
            </w:r>
          </w:p>
        </w:tc>
        <w:tc>
          <w:tcPr>
            <w:tcW w:w="1350" w:type="dxa"/>
          </w:tcPr>
          <w:p>
            <w:pPr>
              <w:pStyle w:val="14"/>
              <w:spacing w:before="71"/>
              <w:ind w:left="101" w:right="95"/>
              <w:rPr>
                <w:sz w:val="21"/>
              </w:rPr>
            </w:pPr>
            <w:r>
              <w:rPr>
                <w:rFonts w:ascii="Times New Roman" w:eastAsia="Times New Roman"/>
                <w:sz w:val="21"/>
              </w:rPr>
              <w:t xml:space="preserve">1 </w:t>
            </w:r>
            <w:r>
              <w:rPr>
                <w:sz w:val="21"/>
              </w:rPr>
              <w:t>小时平均</w:t>
            </w:r>
          </w:p>
        </w:tc>
        <w:tc>
          <w:tcPr>
            <w:tcW w:w="812" w:type="dxa"/>
          </w:tcPr>
          <w:p>
            <w:pPr>
              <w:pStyle w:val="14"/>
              <w:spacing w:before="87"/>
              <w:ind w:left="108" w:right="98"/>
              <w:rPr>
                <w:rFonts w:ascii="Times New Roman"/>
                <w:sz w:val="13"/>
              </w:rPr>
            </w:pPr>
            <w:r>
              <w:rPr>
                <w:rFonts w:ascii="Times New Roman"/>
                <w:sz w:val="21"/>
              </w:rPr>
              <w:t>ug/m</w:t>
            </w:r>
            <w:r>
              <w:rPr>
                <w:rFonts w:ascii="Times New Roman"/>
                <w:position w:val="7"/>
                <w:sz w:val="13"/>
              </w:rPr>
              <w:t>3</w:t>
            </w:r>
          </w:p>
        </w:tc>
        <w:tc>
          <w:tcPr>
            <w:tcW w:w="1002" w:type="dxa"/>
          </w:tcPr>
          <w:p>
            <w:pPr>
              <w:pStyle w:val="14"/>
              <w:spacing w:before="87"/>
              <w:ind w:left="190" w:right="182"/>
              <w:rPr>
                <w:rFonts w:ascii="Times New Roman"/>
                <w:sz w:val="21"/>
              </w:rPr>
            </w:pPr>
            <w:r>
              <w:rPr>
                <w:rFonts w:ascii="Times New Roman"/>
                <w:sz w:val="21"/>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vMerge w:val="continue"/>
            <w:tcBorders>
              <w:top w:val="nil"/>
            </w:tcBorders>
          </w:tcPr>
          <w:p>
            <w:pPr>
              <w:rPr>
                <w:sz w:val="2"/>
                <w:szCs w:val="2"/>
              </w:rPr>
            </w:pPr>
          </w:p>
        </w:tc>
        <w:tc>
          <w:tcPr>
            <w:tcW w:w="1350" w:type="dxa"/>
          </w:tcPr>
          <w:p>
            <w:pPr>
              <w:pStyle w:val="14"/>
              <w:spacing w:line="252" w:lineRule="exact"/>
              <w:ind w:left="101" w:right="95"/>
              <w:rPr>
                <w:sz w:val="21"/>
              </w:rPr>
            </w:pPr>
            <w:r>
              <w:rPr>
                <w:rFonts w:ascii="Times New Roman" w:eastAsia="Times New Roman"/>
                <w:sz w:val="21"/>
              </w:rPr>
              <w:t xml:space="preserve">24 </w:t>
            </w:r>
            <w:r>
              <w:rPr>
                <w:sz w:val="21"/>
              </w:rPr>
              <w:t>小时平均</w:t>
            </w:r>
          </w:p>
        </w:tc>
        <w:tc>
          <w:tcPr>
            <w:tcW w:w="812" w:type="dxa"/>
          </w:tcPr>
          <w:p>
            <w:pPr>
              <w:pStyle w:val="14"/>
              <w:spacing w:before="14" w:line="238" w:lineRule="exact"/>
              <w:ind w:left="108" w:right="98"/>
              <w:rPr>
                <w:rFonts w:ascii="Times New Roman"/>
                <w:sz w:val="13"/>
              </w:rPr>
            </w:pPr>
            <w:r>
              <w:rPr>
                <w:rFonts w:ascii="Times New Roman"/>
                <w:sz w:val="21"/>
              </w:rPr>
              <w:t>ug/m</w:t>
            </w:r>
            <w:r>
              <w:rPr>
                <w:rFonts w:ascii="Times New Roman"/>
                <w:position w:val="7"/>
                <w:sz w:val="13"/>
              </w:rPr>
              <w:t>3</w:t>
            </w:r>
          </w:p>
        </w:tc>
        <w:tc>
          <w:tcPr>
            <w:tcW w:w="1002" w:type="dxa"/>
          </w:tcPr>
          <w:p>
            <w:pPr>
              <w:pStyle w:val="14"/>
              <w:spacing w:before="14" w:line="238" w:lineRule="exact"/>
              <w:ind w:left="190" w:right="182"/>
              <w:rPr>
                <w:rFonts w:ascii="Times New Roman"/>
                <w:sz w:val="21"/>
              </w:rPr>
            </w:pPr>
            <w:r>
              <w:rPr>
                <w:rFonts w:ascii="Times New Roman"/>
                <w:sz w:val="21"/>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vMerge w:val="continue"/>
            <w:tcBorders>
              <w:top w:val="nil"/>
            </w:tcBorders>
          </w:tcPr>
          <w:p>
            <w:pPr>
              <w:rPr>
                <w:sz w:val="2"/>
                <w:szCs w:val="2"/>
              </w:rPr>
            </w:pPr>
          </w:p>
        </w:tc>
        <w:tc>
          <w:tcPr>
            <w:tcW w:w="1350" w:type="dxa"/>
          </w:tcPr>
          <w:p>
            <w:pPr>
              <w:pStyle w:val="14"/>
              <w:spacing w:line="251" w:lineRule="exact"/>
              <w:ind w:left="101" w:right="95"/>
              <w:rPr>
                <w:sz w:val="21"/>
              </w:rPr>
            </w:pPr>
            <w:r>
              <w:rPr>
                <w:sz w:val="21"/>
              </w:rPr>
              <w:t>年平均</w:t>
            </w:r>
          </w:p>
        </w:tc>
        <w:tc>
          <w:tcPr>
            <w:tcW w:w="812" w:type="dxa"/>
          </w:tcPr>
          <w:p>
            <w:pPr>
              <w:pStyle w:val="14"/>
              <w:spacing w:before="14" w:line="237" w:lineRule="exact"/>
              <w:ind w:left="108" w:right="98"/>
              <w:rPr>
                <w:rFonts w:ascii="Times New Roman"/>
                <w:sz w:val="13"/>
              </w:rPr>
            </w:pPr>
            <w:r>
              <w:rPr>
                <w:rFonts w:ascii="Times New Roman"/>
                <w:sz w:val="21"/>
              </w:rPr>
              <w:t>ug/m</w:t>
            </w:r>
            <w:r>
              <w:rPr>
                <w:rFonts w:ascii="Times New Roman"/>
                <w:position w:val="7"/>
                <w:sz w:val="13"/>
              </w:rPr>
              <w:t>3</w:t>
            </w:r>
          </w:p>
        </w:tc>
        <w:tc>
          <w:tcPr>
            <w:tcW w:w="1002" w:type="dxa"/>
          </w:tcPr>
          <w:p>
            <w:pPr>
              <w:pStyle w:val="14"/>
              <w:spacing w:before="14" w:line="237" w:lineRule="exact"/>
              <w:ind w:left="190" w:right="182"/>
              <w:rPr>
                <w:rFonts w:ascii="Times New Roman"/>
                <w:sz w:val="21"/>
              </w:rPr>
            </w:pPr>
            <w:r>
              <w:rPr>
                <w:rFonts w:ascii="Times New Roman"/>
                <w:sz w:val="21"/>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vMerge w:val="restart"/>
          </w:tcPr>
          <w:p>
            <w:pPr>
              <w:pStyle w:val="14"/>
              <w:spacing w:before="11"/>
              <w:jc w:val="left"/>
              <w:rPr>
                <w:b/>
                <w:sz w:val="22"/>
              </w:rPr>
            </w:pPr>
          </w:p>
          <w:p>
            <w:pPr>
              <w:pStyle w:val="14"/>
              <w:ind w:left="116" w:right="107"/>
              <w:rPr>
                <w:rFonts w:ascii="Times New Roman"/>
                <w:sz w:val="21"/>
              </w:rPr>
            </w:pPr>
            <w:r>
              <w:rPr>
                <w:rFonts w:ascii="Times New Roman"/>
                <w:position w:val="2"/>
                <w:sz w:val="21"/>
              </w:rPr>
              <w:t>NO</w:t>
            </w:r>
            <w:r>
              <w:rPr>
                <w:rFonts w:ascii="Times New Roman"/>
                <w:position w:val="2"/>
                <w:sz w:val="21"/>
                <w:vertAlign w:val="subscript"/>
              </w:rPr>
              <w:t>2</w:t>
            </w:r>
          </w:p>
        </w:tc>
        <w:tc>
          <w:tcPr>
            <w:tcW w:w="1350" w:type="dxa"/>
          </w:tcPr>
          <w:p>
            <w:pPr>
              <w:pStyle w:val="14"/>
              <w:spacing w:before="2" w:line="250" w:lineRule="exact"/>
              <w:ind w:left="101" w:right="95"/>
              <w:rPr>
                <w:sz w:val="21"/>
              </w:rPr>
            </w:pPr>
            <w:r>
              <w:rPr>
                <w:rFonts w:ascii="Times New Roman" w:eastAsia="Times New Roman"/>
                <w:sz w:val="21"/>
              </w:rPr>
              <w:t xml:space="preserve">1 </w:t>
            </w:r>
            <w:r>
              <w:rPr>
                <w:sz w:val="21"/>
              </w:rPr>
              <w:t>小时平均</w:t>
            </w:r>
          </w:p>
        </w:tc>
        <w:tc>
          <w:tcPr>
            <w:tcW w:w="812" w:type="dxa"/>
          </w:tcPr>
          <w:p>
            <w:pPr>
              <w:pStyle w:val="14"/>
              <w:spacing w:before="16" w:line="236" w:lineRule="exact"/>
              <w:ind w:left="108" w:right="98"/>
              <w:rPr>
                <w:rFonts w:ascii="Times New Roman"/>
                <w:sz w:val="13"/>
              </w:rPr>
            </w:pPr>
            <w:r>
              <w:rPr>
                <w:rFonts w:ascii="Times New Roman"/>
                <w:sz w:val="21"/>
              </w:rPr>
              <w:t>ug/m</w:t>
            </w:r>
            <w:r>
              <w:rPr>
                <w:rFonts w:ascii="Times New Roman"/>
                <w:position w:val="7"/>
                <w:sz w:val="13"/>
              </w:rPr>
              <w:t>3</w:t>
            </w:r>
          </w:p>
        </w:tc>
        <w:tc>
          <w:tcPr>
            <w:tcW w:w="1002" w:type="dxa"/>
          </w:tcPr>
          <w:p>
            <w:pPr>
              <w:pStyle w:val="14"/>
              <w:spacing w:before="16" w:line="236" w:lineRule="exact"/>
              <w:ind w:left="190" w:right="182"/>
              <w:rPr>
                <w:rFonts w:ascii="Times New Roman"/>
                <w:sz w:val="21"/>
              </w:rPr>
            </w:pPr>
            <w:r>
              <w:rPr>
                <w:rFonts w:ascii="Times New Roman"/>
                <w:sz w:val="21"/>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vMerge w:val="continue"/>
            <w:tcBorders>
              <w:top w:val="nil"/>
            </w:tcBorders>
          </w:tcPr>
          <w:p>
            <w:pPr>
              <w:rPr>
                <w:sz w:val="2"/>
                <w:szCs w:val="2"/>
              </w:rPr>
            </w:pPr>
          </w:p>
        </w:tc>
        <w:tc>
          <w:tcPr>
            <w:tcW w:w="1350" w:type="dxa"/>
          </w:tcPr>
          <w:p>
            <w:pPr>
              <w:pStyle w:val="14"/>
              <w:spacing w:before="1" w:line="252" w:lineRule="exact"/>
              <w:ind w:left="101" w:right="95"/>
              <w:rPr>
                <w:sz w:val="21"/>
              </w:rPr>
            </w:pPr>
            <w:r>
              <w:rPr>
                <w:rFonts w:ascii="Times New Roman" w:eastAsia="Times New Roman"/>
                <w:sz w:val="21"/>
              </w:rPr>
              <w:t xml:space="preserve">24 </w:t>
            </w:r>
            <w:r>
              <w:rPr>
                <w:sz w:val="21"/>
              </w:rPr>
              <w:t>小时平均</w:t>
            </w:r>
          </w:p>
        </w:tc>
        <w:tc>
          <w:tcPr>
            <w:tcW w:w="812" w:type="dxa"/>
          </w:tcPr>
          <w:p>
            <w:pPr>
              <w:pStyle w:val="14"/>
              <w:spacing w:before="14" w:line="238" w:lineRule="exact"/>
              <w:ind w:left="108" w:right="98"/>
              <w:rPr>
                <w:rFonts w:ascii="Times New Roman"/>
                <w:sz w:val="13"/>
              </w:rPr>
            </w:pPr>
            <w:r>
              <w:rPr>
                <w:rFonts w:ascii="Times New Roman"/>
                <w:sz w:val="21"/>
              </w:rPr>
              <w:t>ug/m</w:t>
            </w:r>
            <w:r>
              <w:rPr>
                <w:rFonts w:ascii="Times New Roman"/>
                <w:position w:val="7"/>
                <w:sz w:val="13"/>
              </w:rPr>
              <w:t>3</w:t>
            </w:r>
          </w:p>
        </w:tc>
        <w:tc>
          <w:tcPr>
            <w:tcW w:w="1002" w:type="dxa"/>
          </w:tcPr>
          <w:p>
            <w:pPr>
              <w:pStyle w:val="14"/>
              <w:spacing w:before="14" w:line="238" w:lineRule="exact"/>
              <w:ind w:left="190" w:right="182"/>
              <w:rPr>
                <w:rFonts w:ascii="Times New Roman"/>
                <w:sz w:val="21"/>
              </w:rPr>
            </w:pPr>
            <w:r>
              <w:rPr>
                <w:rFonts w:ascii="Times New Roman"/>
                <w:sz w:val="21"/>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vMerge w:val="continue"/>
            <w:tcBorders>
              <w:top w:val="nil"/>
            </w:tcBorders>
          </w:tcPr>
          <w:p>
            <w:pPr>
              <w:rPr>
                <w:sz w:val="2"/>
                <w:szCs w:val="2"/>
              </w:rPr>
            </w:pPr>
          </w:p>
        </w:tc>
        <w:tc>
          <w:tcPr>
            <w:tcW w:w="1350" w:type="dxa"/>
          </w:tcPr>
          <w:p>
            <w:pPr>
              <w:pStyle w:val="14"/>
              <w:spacing w:before="1" w:line="251" w:lineRule="exact"/>
              <w:ind w:left="101" w:right="95"/>
              <w:rPr>
                <w:sz w:val="21"/>
              </w:rPr>
            </w:pPr>
            <w:r>
              <w:rPr>
                <w:sz w:val="21"/>
              </w:rPr>
              <w:t>年平均</w:t>
            </w:r>
          </w:p>
        </w:tc>
        <w:tc>
          <w:tcPr>
            <w:tcW w:w="812" w:type="dxa"/>
          </w:tcPr>
          <w:p>
            <w:pPr>
              <w:pStyle w:val="14"/>
              <w:spacing w:before="15" w:line="237" w:lineRule="exact"/>
              <w:ind w:left="108" w:right="98"/>
              <w:rPr>
                <w:rFonts w:ascii="Times New Roman"/>
                <w:sz w:val="13"/>
              </w:rPr>
            </w:pPr>
            <w:r>
              <w:rPr>
                <w:rFonts w:ascii="Times New Roman"/>
                <w:sz w:val="21"/>
              </w:rPr>
              <w:t>ug/m</w:t>
            </w:r>
            <w:r>
              <w:rPr>
                <w:rFonts w:ascii="Times New Roman"/>
                <w:position w:val="7"/>
                <w:sz w:val="13"/>
              </w:rPr>
              <w:t>3</w:t>
            </w:r>
          </w:p>
        </w:tc>
        <w:tc>
          <w:tcPr>
            <w:tcW w:w="1002" w:type="dxa"/>
          </w:tcPr>
          <w:p>
            <w:pPr>
              <w:pStyle w:val="14"/>
              <w:spacing w:before="15" w:line="237" w:lineRule="exact"/>
              <w:ind w:left="190" w:right="182"/>
              <w:rPr>
                <w:rFonts w:ascii="Times New Roman"/>
                <w:sz w:val="21"/>
              </w:rPr>
            </w:pPr>
            <w:r>
              <w:rPr>
                <w:rFonts w:ascii="Times New Roman"/>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vMerge w:val="restart"/>
          </w:tcPr>
          <w:p>
            <w:pPr>
              <w:pStyle w:val="14"/>
              <w:spacing w:before="152"/>
              <w:ind w:left="116" w:right="104"/>
              <w:rPr>
                <w:rFonts w:ascii="Times New Roman"/>
                <w:sz w:val="21"/>
              </w:rPr>
            </w:pPr>
            <w:r>
              <w:rPr>
                <w:rFonts w:ascii="Times New Roman"/>
                <w:position w:val="2"/>
                <w:sz w:val="21"/>
              </w:rPr>
              <w:t>PM</w:t>
            </w:r>
            <w:r>
              <w:rPr>
                <w:rFonts w:ascii="Times New Roman"/>
                <w:position w:val="2"/>
                <w:sz w:val="21"/>
                <w:vertAlign w:val="subscript"/>
              </w:rPr>
              <w:t>10</w:t>
            </w:r>
          </w:p>
        </w:tc>
        <w:tc>
          <w:tcPr>
            <w:tcW w:w="1350" w:type="dxa"/>
          </w:tcPr>
          <w:p>
            <w:pPr>
              <w:pStyle w:val="14"/>
              <w:spacing w:before="2" w:line="250" w:lineRule="exact"/>
              <w:ind w:left="101" w:right="95"/>
              <w:rPr>
                <w:sz w:val="21"/>
              </w:rPr>
            </w:pPr>
            <w:r>
              <w:rPr>
                <w:sz w:val="21"/>
              </w:rPr>
              <w:t>日平均</w:t>
            </w:r>
          </w:p>
        </w:tc>
        <w:tc>
          <w:tcPr>
            <w:tcW w:w="812" w:type="dxa"/>
          </w:tcPr>
          <w:p>
            <w:pPr>
              <w:pStyle w:val="14"/>
              <w:spacing w:before="16" w:line="236" w:lineRule="exact"/>
              <w:ind w:left="108" w:right="98"/>
              <w:rPr>
                <w:rFonts w:ascii="Times New Roman"/>
                <w:sz w:val="13"/>
              </w:rPr>
            </w:pPr>
            <w:r>
              <w:rPr>
                <w:rFonts w:ascii="Times New Roman"/>
                <w:sz w:val="21"/>
              </w:rPr>
              <w:t>ug/m</w:t>
            </w:r>
            <w:r>
              <w:rPr>
                <w:rFonts w:ascii="Times New Roman"/>
                <w:position w:val="7"/>
                <w:sz w:val="13"/>
              </w:rPr>
              <w:t>3</w:t>
            </w:r>
          </w:p>
        </w:tc>
        <w:tc>
          <w:tcPr>
            <w:tcW w:w="1002" w:type="dxa"/>
          </w:tcPr>
          <w:p>
            <w:pPr>
              <w:pStyle w:val="14"/>
              <w:spacing w:before="16" w:line="236" w:lineRule="exact"/>
              <w:ind w:left="190" w:right="182"/>
              <w:rPr>
                <w:rFonts w:ascii="Times New Roman"/>
                <w:sz w:val="21"/>
              </w:rPr>
            </w:pPr>
            <w:r>
              <w:rPr>
                <w:rFonts w:ascii="Times New Roman"/>
                <w:sz w:val="21"/>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vMerge w:val="continue"/>
            <w:tcBorders>
              <w:top w:val="nil"/>
            </w:tcBorders>
          </w:tcPr>
          <w:p>
            <w:pPr>
              <w:rPr>
                <w:sz w:val="2"/>
                <w:szCs w:val="2"/>
              </w:rPr>
            </w:pPr>
          </w:p>
        </w:tc>
        <w:tc>
          <w:tcPr>
            <w:tcW w:w="1350" w:type="dxa"/>
          </w:tcPr>
          <w:p>
            <w:pPr>
              <w:pStyle w:val="14"/>
              <w:spacing w:before="1" w:line="252" w:lineRule="exact"/>
              <w:ind w:left="101" w:right="95"/>
              <w:rPr>
                <w:sz w:val="21"/>
              </w:rPr>
            </w:pPr>
            <w:r>
              <w:rPr>
                <w:sz w:val="21"/>
              </w:rPr>
              <w:t>年平均</w:t>
            </w:r>
          </w:p>
        </w:tc>
        <w:tc>
          <w:tcPr>
            <w:tcW w:w="812" w:type="dxa"/>
          </w:tcPr>
          <w:p>
            <w:pPr>
              <w:pStyle w:val="14"/>
              <w:spacing w:before="15" w:line="238" w:lineRule="exact"/>
              <w:ind w:left="108" w:right="98"/>
              <w:rPr>
                <w:rFonts w:ascii="Times New Roman"/>
                <w:sz w:val="13"/>
              </w:rPr>
            </w:pPr>
            <w:r>
              <w:rPr>
                <w:rFonts w:ascii="Times New Roman"/>
                <w:sz w:val="21"/>
              </w:rPr>
              <w:t>ug/m</w:t>
            </w:r>
            <w:r>
              <w:rPr>
                <w:rFonts w:ascii="Times New Roman"/>
                <w:position w:val="7"/>
                <w:sz w:val="13"/>
              </w:rPr>
              <w:t>3</w:t>
            </w:r>
          </w:p>
        </w:tc>
        <w:tc>
          <w:tcPr>
            <w:tcW w:w="1002" w:type="dxa"/>
          </w:tcPr>
          <w:p>
            <w:pPr>
              <w:pStyle w:val="14"/>
              <w:spacing w:before="15" w:line="238" w:lineRule="exact"/>
              <w:ind w:left="190" w:right="182"/>
              <w:rPr>
                <w:rFonts w:ascii="Times New Roman"/>
                <w:sz w:val="21"/>
              </w:rPr>
            </w:pPr>
            <w:r>
              <w:rPr>
                <w:rFonts w:ascii="Times New Roman"/>
                <w:sz w:val="21"/>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vMerge w:val="restart"/>
          </w:tcPr>
          <w:p>
            <w:pPr>
              <w:pStyle w:val="14"/>
              <w:spacing w:before="151"/>
              <w:ind w:left="116" w:right="104"/>
              <w:rPr>
                <w:rFonts w:ascii="Times New Roman"/>
                <w:sz w:val="13"/>
              </w:rPr>
            </w:pPr>
            <w:r>
              <w:rPr>
                <w:rFonts w:ascii="Times New Roman"/>
                <w:w w:val="105"/>
                <w:position w:val="2"/>
                <w:sz w:val="21"/>
              </w:rPr>
              <w:t>PM</w:t>
            </w:r>
            <w:r>
              <w:rPr>
                <w:rFonts w:ascii="Times New Roman"/>
                <w:w w:val="105"/>
                <w:sz w:val="13"/>
              </w:rPr>
              <w:t>2.5</w:t>
            </w:r>
          </w:p>
        </w:tc>
        <w:tc>
          <w:tcPr>
            <w:tcW w:w="1350" w:type="dxa"/>
          </w:tcPr>
          <w:p>
            <w:pPr>
              <w:pStyle w:val="14"/>
              <w:spacing w:before="1" w:line="251" w:lineRule="exact"/>
              <w:ind w:left="101" w:right="95"/>
              <w:rPr>
                <w:sz w:val="21"/>
              </w:rPr>
            </w:pPr>
            <w:r>
              <w:rPr>
                <w:sz w:val="21"/>
              </w:rPr>
              <w:t>日平均</w:t>
            </w:r>
          </w:p>
        </w:tc>
        <w:tc>
          <w:tcPr>
            <w:tcW w:w="812" w:type="dxa"/>
          </w:tcPr>
          <w:p>
            <w:pPr>
              <w:pStyle w:val="14"/>
              <w:spacing w:before="15" w:line="237" w:lineRule="exact"/>
              <w:ind w:left="108" w:right="98"/>
              <w:rPr>
                <w:rFonts w:ascii="Times New Roman"/>
                <w:sz w:val="13"/>
              </w:rPr>
            </w:pPr>
            <w:r>
              <w:rPr>
                <w:rFonts w:ascii="Times New Roman"/>
                <w:sz w:val="21"/>
              </w:rPr>
              <w:t>ug/m</w:t>
            </w:r>
            <w:r>
              <w:rPr>
                <w:rFonts w:ascii="Times New Roman"/>
                <w:position w:val="7"/>
                <w:sz w:val="13"/>
              </w:rPr>
              <w:t>3</w:t>
            </w:r>
          </w:p>
        </w:tc>
        <w:tc>
          <w:tcPr>
            <w:tcW w:w="1002" w:type="dxa"/>
          </w:tcPr>
          <w:p>
            <w:pPr>
              <w:pStyle w:val="14"/>
              <w:spacing w:before="15" w:line="237" w:lineRule="exact"/>
              <w:ind w:left="190" w:right="182"/>
              <w:rPr>
                <w:rFonts w:ascii="Times New Roman"/>
                <w:sz w:val="21"/>
              </w:rPr>
            </w:pPr>
            <w:r>
              <w:rPr>
                <w:rFonts w:ascii="Times New Roman"/>
                <w:sz w:val="21"/>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vMerge w:val="continue"/>
            <w:tcBorders>
              <w:top w:val="nil"/>
            </w:tcBorders>
          </w:tcPr>
          <w:p>
            <w:pPr>
              <w:rPr>
                <w:sz w:val="2"/>
                <w:szCs w:val="2"/>
              </w:rPr>
            </w:pPr>
          </w:p>
        </w:tc>
        <w:tc>
          <w:tcPr>
            <w:tcW w:w="1350" w:type="dxa"/>
          </w:tcPr>
          <w:p>
            <w:pPr>
              <w:pStyle w:val="14"/>
              <w:spacing w:line="253" w:lineRule="exact"/>
              <w:ind w:left="101" w:right="95"/>
              <w:rPr>
                <w:sz w:val="21"/>
              </w:rPr>
            </w:pPr>
            <w:r>
              <w:rPr>
                <w:sz w:val="21"/>
              </w:rPr>
              <w:t>年平均</w:t>
            </w:r>
          </w:p>
        </w:tc>
        <w:tc>
          <w:tcPr>
            <w:tcW w:w="812" w:type="dxa"/>
          </w:tcPr>
          <w:p>
            <w:pPr>
              <w:pStyle w:val="14"/>
              <w:spacing w:before="14" w:line="239" w:lineRule="exact"/>
              <w:ind w:left="108" w:right="98"/>
              <w:rPr>
                <w:rFonts w:ascii="Times New Roman"/>
                <w:sz w:val="13"/>
              </w:rPr>
            </w:pPr>
            <w:r>
              <w:rPr>
                <w:rFonts w:ascii="Times New Roman"/>
                <w:sz w:val="21"/>
              </w:rPr>
              <w:t>ug/m</w:t>
            </w:r>
            <w:r>
              <w:rPr>
                <w:rFonts w:ascii="Times New Roman"/>
                <w:position w:val="7"/>
                <w:sz w:val="13"/>
              </w:rPr>
              <w:t>3</w:t>
            </w:r>
          </w:p>
        </w:tc>
        <w:tc>
          <w:tcPr>
            <w:tcW w:w="1002" w:type="dxa"/>
          </w:tcPr>
          <w:p>
            <w:pPr>
              <w:pStyle w:val="14"/>
              <w:spacing w:before="14" w:line="239" w:lineRule="exact"/>
              <w:ind w:left="190" w:right="182"/>
              <w:rPr>
                <w:rFonts w:ascii="Times New Roman"/>
                <w:sz w:val="21"/>
              </w:rPr>
            </w:pPr>
            <w:r>
              <w:rPr>
                <w:rFonts w:ascii="Times New Roman"/>
                <w:sz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1" w:line="241" w:lineRule="exact"/>
              <w:ind w:left="116" w:right="107"/>
              <w:rPr>
                <w:rFonts w:ascii="Times New Roman"/>
                <w:sz w:val="21"/>
              </w:rPr>
            </w:pPr>
            <w:r>
              <w:rPr>
                <w:rFonts w:ascii="Times New Roman"/>
                <w:position w:val="2"/>
                <w:sz w:val="21"/>
              </w:rPr>
              <w:t>O</w:t>
            </w:r>
            <w:r>
              <w:rPr>
                <w:rFonts w:ascii="Times New Roman"/>
                <w:position w:val="2"/>
                <w:sz w:val="21"/>
                <w:vertAlign w:val="subscript"/>
              </w:rPr>
              <w:t>3</w:t>
            </w:r>
          </w:p>
        </w:tc>
        <w:tc>
          <w:tcPr>
            <w:tcW w:w="1350" w:type="dxa"/>
          </w:tcPr>
          <w:p>
            <w:pPr>
              <w:pStyle w:val="14"/>
              <w:spacing w:line="252" w:lineRule="exact"/>
              <w:ind w:left="101" w:right="95"/>
              <w:rPr>
                <w:sz w:val="21"/>
              </w:rPr>
            </w:pPr>
            <w:r>
              <w:rPr>
                <w:rFonts w:ascii="Times New Roman" w:eastAsia="Times New Roman"/>
                <w:sz w:val="21"/>
              </w:rPr>
              <w:t xml:space="preserve">1 </w:t>
            </w:r>
            <w:r>
              <w:rPr>
                <w:sz w:val="21"/>
              </w:rPr>
              <w:t>小时平均</w:t>
            </w:r>
          </w:p>
        </w:tc>
        <w:tc>
          <w:tcPr>
            <w:tcW w:w="812" w:type="dxa"/>
          </w:tcPr>
          <w:p>
            <w:pPr>
              <w:pStyle w:val="14"/>
              <w:spacing w:before="14" w:line="238" w:lineRule="exact"/>
              <w:ind w:left="108" w:right="98"/>
              <w:rPr>
                <w:rFonts w:ascii="Times New Roman"/>
                <w:sz w:val="13"/>
              </w:rPr>
            </w:pPr>
            <w:r>
              <w:rPr>
                <w:rFonts w:ascii="Times New Roman"/>
                <w:sz w:val="21"/>
              </w:rPr>
              <w:t>ug/m</w:t>
            </w:r>
            <w:r>
              <w:rPr>
                <w:rFonts w:ascii="Times New Roman"/>
                <w:position w:val="7"/>
                <w:sz w:val="13"/>
              </w:rPr>
              <w:t>3</w:t>
            </w:r>
          </w:p>
        </w:tc>
        <w:tc>
          <w:tcPr>
            <w:tcW w:w="1002" w:type="dxa"/>
          </w:tcPr>
          <w:p>
            <w:pPr>
              <w:pStyle w:val="14"/>
              <w:spacing w:before="14" w:line="238" w:lineRule="exact"/>
              <w:ind w:left="190" w:right="182"/>
              <w:rPr>
                <w:rFonts w:ascii="Times New Roman"/>
                <w:sz w:val="21"/>
              </w:rPr>
            </w:pPr>
            <w:r>
              <w:rPr>
                <w:rFonts w:ascii="Times New Roman"/>
                <w:sz w:val="21"/>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vMerge w:val="restart"/>
          </w:tcPr>
          <w:p>
            <w:pPr>
              <w:pStyle w:val="14"/>
              <w:spacing w:before="154"/>
              <w:ind w:left="116" w:right="106"/>
              <w:rPr>
                <w:rFonts w:ascii="Times New Roman"/>
                <w:sz w:val="21"/>
              </w:rPr>
            </w:pPr>
            <w:r>
              <w:rPr>
                <w:rFonts w:ascii="Times New Roman"/>
                <w:sz w:val="21"/>
              </w:rPr>
              <w:t>CO</w:t>
            </w:r>
          </w:p>
        </w:tc>
        <w:tc>
          <w:tcPr>
            <w:tcW w:w="1350" w:type="dxa"/>
          </w:tcPr>
          <w:p>
            <w:pPr>
              <w:pStyle w:val="14"/>
              <w:spacing w:line="252" w:lineRule="exact"/>
              <w:ind w:left="101" w:right="95"/>
              <w:rPr>
                <w:sz w:val="21"/>
              </w:rPr>
            </w:pPr>
            <w:r>
              <w:rPr>
                <w:rFonts w:ascii="Times New Roman" w:eastAsia="Times New Roman"/>
                <w:sz w:val="21"/>
              </w:rPr>
              <w:t xml:space="preserve">1 </w:t>
            </w:r>
            <w:r>
              <w:rPr>
                <w:sz w:val="21"/>
              </w:rPr>
              <w:t>小时平均</w:t>
            </w:r>
          </w:p>
        </w:tc>
        <w:tc>
          <w:tcPr>
            <w:tcW w:w="812" w:type="dxa"/>
          </w:tcPr>
          <w:p>
            <w:pPr>
              <w:pStyle w:val="14"/>
              <w:spacing w:before="13" w:line="239" w:lineRule="exact"/>
              <w:ind w:left="108" w:right="98"/>
              <w:rPr>
                <w:rFonts w:ascii="Times New Roman"/>
                <w:sz w:val="13"/>
              </w:rPr>
            </w:pPr>
            <w:r>
              <w:rPr>
                <w:rFonts w:ascii="Times New Roman"/>
                <w:sz w:val="21"/>
              </w:rPr>
              <w:t>mg/m</w:t>
            </w:r>
            <w:r>
              <w:rPr>
                <w:rFonts w:ascii="Times New Roman"/>
                <w:position w:val="7"/>
                <w:sz w:val="13"/>
              </w:rPr>
              <w:t>3</w:t>
            </w:r>
          </w:p>
        </w:tc>
        <w:tc>
          <w:tcPr>
            <w:tcW w:w="1002" w:type="dxa"/>
          </w:tcPr>
          <w:p>
            <w:pPr>
              <w:pStyle w:val="14"/>
              <w:spacing w:before="13" w:line="239" w:lineRule="exact"/>
              <w:ind w:left="8"/>
              <w:rPr>
                <w:rFonts w:ascii="Times New Roman"/>
                <w:sz w:val="21"/>
              </w:rPr>
            </w:pPr>
            <w:r>
              <w:rPr>
                <w:rFonts w:ascii="Times New Roman"/>
                <w:w w:val="99"/>
                <w:sz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vMerge w:val="continue"/>
            <w:tcBorders>
              <w:top w:val="nil"/>
            </w:tcBorders>
          </w:tcPr>
          <w:p>
            <w:pPr>
              <w:rPr>
                <w:sz w:val="2"/>
                <w:szCs w:val="2"/>
              </w:rPr>
            </w:pPr>
          </w:p>
        </w:tc>
        <w:tc>
          <w:tcPr>
            <w:tcW w:w="1350" w:type="dxa"/>
          </w:tcPr>
          <w:p>
            <w:pPr>
              <w:pStyle w:val="14"/>
              <w:spacing w:line="253" w:lineRule="exact"/>
              <w:ind w:left="101" w:right="95"/>
              <w:rPr>
                <w:sz w:val="21"/>
              </w:rPr>
            </w:pPr>
            <w:r>
              <w:rPr>
                <w:rFonts w:ascii="Times New Roman" w:eastAsia="Times New Roman"/>
                <w:sz w:val="21"/>
              </w:rPr>
              <w:t xml:space="preserve">24 </w:t>
            </w:r>
            <w:r>
              <w:rPr>
                <w:sz w:val="21"/>
              </w:rPr>
              <w:t>小时平均</w:t>
            </w:r>
          </w:p>
        </w:tc>
        <w:tc>
          <w:tcPr>
            <w:tcW w:w="812" w:type="dxa"/>
          </w:tcPr>
          <w:p>
            <w:pPr>
              <w:pStyle w:val="14"/>
              <w:spacing w:before="14" w:line="239" w:lineRule="exact"/>
              <w:ind w:left="108" w:right="98"/>
              <w:rPr>
                <w:rFonts w:ascii="Times New Roman"/>
                <w:sz w:val="13"/>
              </w:rPr>
            </w:pPr>
            <w:r>
              <w:rPr>
                <w:rFonts w:ascii="Times New Roman"/>
                <w:sz w:val="21"/>
              </w:rPr>
              <w:t>mg/m</w:t>
            </w:r>
            <w:r>
              <w:rPr>
                <w:rFonts w:ascii="Times New Roman"/>
                <w:position w:val="7"/>
                <w:sz w:val="13"/>
              </w:rPr>
              <w:t>3</w:t>
            </w:r>
          </w:p>
        </w:tc>
        <w:tc>
          <w:tcPr>
            <w:tcW w:w="1002" w:type="dxa"/>
          </w:tcPr>
          <w:p>
            <w:pPr>
              <w:pStyle w:val="14"/>
              <w:spacing w:before="14" w:line="239" w:lineRule="exact"/>
              <w:ind w:left="190" w:right="182"/>
              <w:rPr>
                <w:rFonts w:ascii="Times New Roman"/>
                <w:sz w:val="21"/>
              </w:rPr>
            </w:pPr>
            <w:r>
              <w:rPr>
                <w:rFonts w:ascii="Times New Roman"/>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vMerge w:val="restart"/>
          </w:tcPr>
          <w:p>
            <w:pPr>
              <w:pStyle w:val="14"/>
              <w:spacing w:before="156"/>
              <w:ind w:left="116" w:right="107"/>
              <w:rPr>
                <w:rFonts w:ascii="Times New Roman"/>
                <w:sz w:val="21"/>
              </w:rPr>
            </w:pPr>
            <w:r>
              <w:rPr>
                <w:rFonts w:ascii="Times New Roman"/>
                <w:sz w:val="21"/>
              </w:rPr>
              <w:t>TSP</w:t>
            </w:r>
          </w:p>
        </w:tc>
        <w:tc>
          <w:tcPr>
            <w:tcW w:w="1350" w:type="dxa"/>
          </w:tcPr>
          <w:p>
            <w:pPr>
              <w:pStyle w:val="14"/>
              <w:spacing w:line="252" w:lineRule="exact"/>
              <w:ind w:left="101" w:right="95"/>
              <w:rPr>
                <w:sz w:val="21"/>
              </w:rPr>
            </w:pPr>
            <w:r>
              <w:rPr>
                <w:sz w:val="21"/>
              </w:rPr>
              <w:t>年平均</w:t>
            </w:r>
          </w:p>
        </w:tc>
        <w:tc>
          <w:tcPr>
            <w:tcW w:w="812" w:type="dxa"/>
          </w:tcPr>
          <w:p>
            <w:pPr>
              <w:pStyle w:val="14"/>
              <w:spacing w:before="14" w:line="238" w:lineRule="exact"/>
              <w:ind w:left="108" w:right="98"/>
              <w:rPr>
                <w:rFonts w:ascii="Times New Roman"/>
                <w:sz w:val="13"/>
              </w:rPr>
            </w:pPr>
            <w:r>
              <w:rPr>
                <w:rFonts w:ascii="Times New Roman"/>
                <w:sz w:val="21"/>
              </w:rPr>
              <w:t>ug/m</w:t>
            </w:r>
            <w:r>
              <w:rPr>
                <w:rFonts w:ascii="Times New Roman"/>
                <w:position w:val="7"/>
                <w:sz w:val="13"/>
              </w:rPr>
              <w:t>3</w:t>
            </w:r>
          </w:p>
        </w:tc>
        <w:tc>
          <w:tcPr>
            <w:tcW w:w="1002" w:type="dxa"/>
          </w:tcPr>
          <w:p>
            <w:pPr>
              <w:pStyle w:val="14"/>
              <w:spacing w:before="14" w:line="238" w:lineRule="exact"/>
              <w:ind w:left="190" w:right="182"/>
              <w:rPr>
                <w:rFonts w:ascii="Times New Roman"/>
                <w:sz w:val="21"/>
              </w:rPr>
            </w:pPr>
            <w:r>
              <w:rPr>
                <w:rFonts w:ascii="Times New Roman"/>
                <w:sz w:val="21"/>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vMerge w:val="continue"/>
            <w:tcBorders>
              <w:top w:val="nil"/>
            </w:tcBorders>
          </w:tcPr>
          <w:p>
            <w:pPr>
              <w:rPr>
                <w:sz w:val="2"/>
                <w:szCs w:val="2"/>
              </w:rPr>
            </w:pPr>
          </w:p>
        </w:tc>
        <w:tc>
          <w:tcPr>
            <w:tcW w:w="1350" w:type="dxa"/>
          </w:tcPr>
          <w:p>
            <w:pPr>
              <w:pStyle w:val="14"/>
              <w:spacing w:line="252" w:lineRule="exact"/>
              <w:ind w:left="101" w:right="95"/>
              <w:rPr>
                <w:sz w:val="21"/>
              </w:rPr>
            </w:pPr>
            <w:r>
              <w:rPr>
                <w:rFonts w:ascii="Times New Roman" w:eastAsia="Times New Roman"/>
                <w:sz w:val="21"/>
              </w:rPr>
              <w:t>24</w:t>
            </w:r>
            <w:r>
              <w:rPr>
                <w:sz w:val="21"/>
              </w:rPr>
              <w:t>小时平均</w:t>
            </w:r>
          </w:p>
        </w:tc>
        <w:tc>
          <w:tcPr>
            <w:tcW w:w="812" w:type="dxa"/>
          </w:tcPr>
          <w:p>
            <w:pPr>
              <w:pStyle w:val="14"/>
              <w:spacing w:before="13" w:line="239" w:lineRule="exact"/>
              <w:ind w:left="108" w:right="98"/>
              <w:rPr>
                <w:rFonts w:ascii="Times New Roman"/>
                <w:sz w:val="13"/>
              </w:rPr>
            </w:pPr>
            <w:r>
              <w:rPr>
                <w:rFonts w:ascii="Times New Roman"/>
                <w:sz w:val="21"/>
              </w:rPr>
              <w:t>ug/m</w:t>
            </w:r>
            <w:r>
              <w:rPr>
                <w:rFonts w:ascii="Times New Roman"/>
                <w:position w:val="7"/>
                <w:sz w:val="13"/>
              </w:rPr>
              <w:t>3</w:t>
            </w:r>
          </w:p>
        </w:tc>
        <w:tc>
          <w:tcPr>
            <w:tcW w:w="1002" w:type="dxa"/>
          </w:tcPr>
          <w:p>
            <w:pPr>
              <w:pStyle w:val="14"/>
              <w:spacing w:before="13" w:line="239" w:lineRule="exact"/>
              <w:ind w:left="190" w:right="182"/>
              <w:rPr>
                <w:rFonts w:ascii="Times New Roman"/>
                <w:sz w:val="21"/>
              </w:rPr>
            </w:pPr>
            <w:r>
              <w:rPr>
                <w:rFonts w:ascii="Times New Roman"/>
                <w:sz w:val="21"/>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75"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6"/>
              </w:rPr>
            </w:pPr>
          </w:p>
          <w:p>
            <w:pPr>
              <w:pStyle w:val="14"/>
              <w:spacing w:line="242" w:lineRule="auto"/>
              <w:ind w:left="232" w:right="118" w:hanging="106"/>
              <w:jc w:val="left"/>
              <w:rPr>
                <w:sz w:val="21"/>
              </w:rPr>
            </w:pPr>
            <w:r>
              <w:rPr>
                <w:sz w:val="21"/>
              </w:rPr>
              <w:t>地表水</w:t>
            </w:r>
          </w:p>
        </w:tc>
        <w:tc>
          <w:tcPr>
            <w:tcW w:w="2920"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6"/>
              </w:rPr>
            </w:pPr>
          </w:p>
          <w:p>
            <w:pPr>
              <w:pStyle w:val="14"/>
              <w:ind w:left="303"/>
              <w:jc w:val="left"/>
              <w:rPr>
                <w:sz w:val="21"/>
              </w:rPr>
            </w:pPr>
            <w:r>
              <w:rPr>
                <w:sz w:val="21"/>
              </w:rPr>
              <w:t>《地表水环境质量标准》</w:t>
            </w:r>
          </w:p>
          <w:p>
            <w:pPr>
              <w:pStyle w:val="14"/>
              <w:spacing w:before="3"/>
              <w:ind w:left="229"/>
              <w:jc w:val="left"/>
              <w:rPr>
                <w:sz w:val="21"/>
              </w:rPr>
            </w:pPr>
            <w:r>
              <w:rPr>
                <w:sz w:val="21"/>
              </w:rPr>
              <w:t>（</w:t>
            </w:r>
            <w:r>
              <w:rPr>
                <w:rFonts w:ascii="Times New Roman" w:hAnsi="Times New Roman" w:eastAsia="Times New Roman"/>
                <w:sz w:val="21"/>
              </w:rPr>
              <w:t>GB3838-2002</w:t>
            </w:r>
            <w:r>
              <w:rPr>
                <w:sz w:val="21"/>
              </w:rPr>
              <w:t>）Ⅲ类标准</w:t>
            </w:r>
          </w:p>
        </w:tc>
        <w:tc>
          <w:tcPr>
            <w:tcW w:w="1763" w:type="dxa"/>
          </w:tcPr>
          <w:p>
            <w:pPr>
              <w:pStyle w:val="14"/>
              <w:spacing w:line="220" w:lineRule="exact"/>
              <w:ind w:left="116" w:right="106"/>
              <w:rPr>
                <w:rFonts w:ascii="Times New Roman"/>
                <w:sz w:val="21"/>
              </w:rPr>
            </w:pPr>
            <w:r>
              <w:rPr>
                <w:rFonts w:ascii="Times New Roman"/>
                <w:sz w:val="21"/>
              </w:rPr>
              <w:t>pH</w:t>
            </w:r>
          </w:p>
        </w:tc>
        <w:tc>
          <w:tcPr>
            <w:tcW w:w="2162" w:type="dxa"/>
            <w:gridSpan w:val="2"/>
          </w:tcPr>
          <w:p>
            <w:pPr>
              <w:pStyle w:val="14"/>
              <w:spacing w:line="220" w:lineRule="exact"/>
              <w:ind w:left="746" w:right="736"/>
              <w:rPr>
                <w:sz w:val="21"/>
              </w:rPr>
            </w:pPr>
            <w:r>
              <w:rPr>
                <w:sz w:val="21"/>
              </w:rPr>
              <w:t>无量纲</w:t>
            </w:r>
          </w:p>
        </w:tc>
        <w:tc>
          <w:tcPr>
            <w:tcW w:w="1002" w:type="dxa"/>
          </w:tcPr>
          <w:p>
            <w:pPr>
              <w:pStyle w:val="14"/>
              <w:spacing w:line="220" w:lineRule="exact"/>
              <w:ind w:left="291"/>
              <w:jc w:val="left"/>
              <w:rPr>
                <w:rFonts w:ascii="Times New Roman" w:eastAsia="Times New Roman"/>
                <w:sz w:val="21"/>
              </w:rPr>
            </w:pPr>
            <w:r>
              <w:rPr>
                <w:rFonts w:ascii="Times New Roman" w:eastAsia="Times New Roman"/>
                <w:sz w:val="21"/>
              </w:rPr>
              <w:t>6</w:t>
            </w:r>
            <w:r>
              <w:rPr>
                <w:sz w:val="21"/>
              </w:rPr>
              <w:t>～</w:t>
            </w:r>
            <w:r>
              <w:rPr>
                <w:rFonts w:ascii="Times New Roman" w:eastAsia="Times New Roman"/>
                <w:sz w:val="21"/>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20" w:lineRule="exact"/>
              <w:ind w:left="116" w:right="108"/>
              <w:rPr>
                <w:rFonts w:ascii="Times New Roman"/>
                <w:sz w:val="21"/>
              </w:rPr>
            </w:pPr>
            <w:r>
              <w:rPr>
                <w:rFonts w:ascii="Times New Roman"/>
                <w:sz w:val="21"/>
              </w:rPr>
              <w:t>COD</w:t>
            </w:r>
          </w:p>
        </w:tc>
        <w:tc>
          <w:tcPr>
            <w:tcW w:w="2162" w:type="dxa"/>
            <w:gridSpan w:val="2"/>
            <w:vMerge w:val="restart"/>
          </w:tcPr>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spacing w:before="11"/>
              <w:jc w:val="left"/>
              <w:rPr>
                <w:b/>
                <w:sz w:val="19"/>
              </w:rPr>
            </w:pPr>
          </w:p>
          <w:p>
            <w:pPr>
              <w:pStyle w:val="14"/>
              <w:ind w:left="744" w:right="736"/>
              <w:rPr>
                <w:rFonts w:ascii="Times New Roman"/>
                <w:sz w:val="21"/>
              </w:rPr>
            </w:pPr>
            <w:r>
              <w:rPr>
                <w:rFonts w:ascii="Times New Roman"/>
                <w:sz w:val="21"/>
              </w:rPr>
              <w:t>mg/L</w:t>
            </w:r>
          </w:p>
        </w:tc>
        <w:tc>
          <w:tcPr>
            <w:tcW w:w="1002" w:type="dxa"/>
          </w:tcPr>
          <w:p>
            <w:pPr>
              <w:pStyle w:val="14"/>
              <w:spacing w:line="220" w:lineRule="exact"/>
              <w:ind w:left="291"/>
              <w:jc w:val="left"/>
              <w:rPr>
                <w:rFonts w:ascii="Times New Roman" w:hAnsi="Times New Roman"/>
                <w:sz w:val="21"/>
              </w:rPr>
            </w:pPr>
            <w:r>
              <w:rPr>
                <w:sz w:val="21"/>
              </w:rPr>
              <w:t>≤</w:t>
            </w:r>
            <w:r>
              <w:rPr>
                <w:rFonts w:ascii="Times New Roman" w:hAnsi="Times New Roman"/>
                <w:sz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20" w:lineRule="exact"/>
              <w:ind w:left="116" w:right="108"/>
              <w:rPr>
                <w:sz w:val="21"/>
              </w:rPr>
            </w:pPr>
            <w:r>
              <w:rPr>
                <w:sz w:val="21"/>
              </w:rPr>
              <w:t>石油类</w:t>
            </w:r>
          </w:p>
        </w:tc>
        <w:tc>
          <w:tcPr>
            <w:tcW w:w="2162" w:type="dxa"/>
            <w:gridSpan w:val="2"/>
            <w:vMerge w:val="continue"/>
            <w:tcBorders>
              <w:top w:val="nil"/>
            </w:tcBorders>
          </w:tcPr>
          <w:p>
            <w:pPr>
              <w:rPr>
                <w:sz w:val="2"/>
                <w:szCs w:val="2"/>
              </w:rPr>
            </w:pPr>
          </w:p>
        </w:tc>
        <w:tc>
          <w:tcPr>
            <w:tcW w:w="1002" w:type="dxa"/>
          </w:tcPr>
          <w:p>
            <w:pPr>
              <w:pStyle w:val="14"/>
              <w:spacing w:line="220" w:lineRule="exact"/>
              <w:ind w:right="200"/>
              <w:jc w:val="right"/>
              <w:rPr>
                <w:rFonts w:ascii="Times New Roman" w:hAnsi="Times New Roman"/>
                <w:sz w:val="21"/>
              </w:rPr>
            </w:pPr>
            <w:r>
              <w:rPr>
                <w:w w:val="95"/>
                <w:sz w:val="21"/>
              </w:rPr>
              <w:t>≤</w:t>
            </w:r>
            <w:r>
              <w:rPr>
                <w:rFonts w:ascii="Times New Roman" w:hAnsi="Times New Roman"/>
                <w:w w:val="95"/>
                <w:sz w:val="21"/>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20" w:lineRule="exact"/>
              <w:ind w:left="111" w:right="108"/>
              <w:rPr>
                <w:sz w:val="21"/>
              </w:rPr>
            </w:pPr>
            <w:r>
              <w:rPr>
                <w:sz w:val="21"/>
              </w:rPr>
              <w:t>总铁</w:t>
            </w:r>
          </w:p>
        </w:tc>
        <w:tc>
          <w:tcPr>
            <w:tcW w:w="2162" w:type="dxa"/>
            <w:gridSpan w:val="2"/>
            <w:vMerge w:val="continue"/>
            <w:tcBorders>
              <w:top w:val="nil"/>
            </w:tcBorders>
          </w:tcPr>
          <w:p>
            <w:pPr>
              <w:rPr>
                <w:sz w:val="2"/>
                <w:szCs w:val="2"/>
              </w:rPr>
            </w:pPr>
          </w:p>
        </w:tc>
        <w:tc>
          <w:tcPr>
            <w:tcW w:w="1002" w:type="dxa"/>
          </w:tcPr>
          <w:p>
            <w:pPr>
              <w:pStyle w:val="14"/>
              <w:spacing w:line="220" w:lineRule="exact"/>
              <w:ind w:left="265"/>
              <w:jc w:val="left"/>
              <w:rPr>
                <w:rFonts w:ascii="Times New Roman" w:hAnsi="Times New Roman"/>
                <w:sz w:val="21"/>
              </w:rPr>
            </w:pPr>
            <w:r>
              <w:rPr>
                <w:sz w:val="21"/>
              </w:rPr>
              <w:t>≤</w:t>
            </w:r>
            <w:r>
              <w:rPr>
                <w:rFonts w:ascii="Times New Roman" w:hAnsi="Times New Roman"/>
                <w:sz w:val="21"/>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20" w:lineRule="exact"/>
              <w:ind w:left="111" w:right="108"/>
              <w:rPr>
                <w:sz w:val="21"/>
              </w:rPr>
            </w:pPr>
            <w:r>
              <w:rPr>
                <w:sz w:val="21"/>
              </w:rPr>
              <w:t>总锰</w:t>
            </w:r>
          </w:p>
        </w:tc>
        <w:tc>
          <w:tcPr>
            <w:tcW w:w="2162" w:type="dxa"/>
            <w:gridSpan w:val="2"/>
            <w:vMerge w:val="continue"/>
            <w:tcBorders>
              <w:top w:val="nil"/>
            </w:tcBorders>
          </w:tcPr>
          <w:p>
            <w:pPr>
              <w:rPr>
                <w:sz w:val="2"/>
                <w:szCs w:val="2"/>
              </w:rPr>
            </w:pPr>
          </w:p>
        </w:tc>
        <w:tc>
          <w:tcPr>
            <w:tcW w:w="1002" w:type="dxa"/>
          </w:tcPr>
          <w:p>
            <w:pPr>
              <w:pStyle w:val="14"/>
              <w:spacing w:line="220" w:lineRule="exact"/>
              <w:ind w:left="265"/>
              <w:jc w:val="left"/>
              <w:rPr>
                <w:rFonts w:ascii="Times New Roman" w:hAnsi="Times New Roman"/>
                <w:sz w:val="21"/>
              </w:rPr>
            </w:pPr>
            <w:r>
              <w:rPr>
                <w:sz w:val="21"/>
              </w:rPr>
              <w:t>≤</w:t>
            </w:r>
            <w:r>
              <w:rPr>
                <w:rFonts w:ascii="Times New Roman" w:hAnsi="Times New Roman"/>
                <w:sz w:val="21"/>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01"/>
              <w:ind w:left="111" w:right="108"/>
              <w:rPr>
                <w:sz w:val="21"/>
              </w:rPr>
            </w:pPr>
            <w:r>
              <w:rPr>
                <w:sz w:val="21"/>
              </w:rPr>
              <w:t>总汞</w:t>
            </w:r>
          </w:p>
        </w:tc>
        <w:tc>
          <w:tcPr>
            <w:tcW w:w="2162" w:type="dxa"/>
            <w:gridSpan w:val="2"/>
            <w:vMerge w:val="continue"/>
            <w:tcBorders>
              <w:top w:val="nil"/>
            </w:tcBorders>
          </w:tcPr>
          <w:p>
            <w:pPr>
              <w:rPr>
                <w:sz w:val="2"/>
                <w:szCs w:val="2"/>
              </w:rPr>
            </w:pPr>
          </w:p>
        </w:tc>
        <w:tc>
          <w:tcPr>
            <w:tcW w:w="1002" w:type="dxa"/>
          </w:tcPr>
          <w:p>
            <w:pPr>
              <w:pStyle w:val="14"/>
              <w:spacing w:line="243" w:lineRule="exact"/>
              <w:ind w:left="6"/>
              <w:rPr>
                <w:sz w:val="21"/>
              </w:rPr>
            </w:pPr>
            <w:r>
              <w:rPr>
                <w:w w:val="99"/>
                <w:sz w:val="21"/>
              </w:rPr>
              <w:t>≤</w:t>
            </w:r>
          </w:p>
          <w:p>
            <w:pPr>
              <w:pStyle w:val="14"/>
              <w:spacing w:line="217" w:lineRule="exact"/>
              <w:ind w:left="192" w:right="182"/>
              <w:rPr>
                <w:rFonts w:ascii="Times New Roman"/>
                <w:sz w:val="21"/>
              </w:rPr>
            </w:pPr>
            <w:r>
              <w:rPr>
                <w:rFonts w:ascii="Times New Roman"/>
                <w:sz w:val="21"/>
              </w:rPr>
              <w:t>0.0001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20" w:lineRule="exact"/>
              <w:ind w:left="111" w:right="108"/>
              <w:rPr>
                <w:sz w:val="21"/>
              </w:rPr>
            </w:pPr>
            <w:r>
              <w:rPr>
                <w:sz w:val="21"/>
              </w:rPr>
              <w:t>总镉</w:t>
            </w:r>
          </w:p>
        </w:tc>
        <w:tc>
          <w:tcPr>
            <w:tcW w:w="2162" w:type="dxa"/>
            <w:gridSpan w:val="2"/>
            <w:vMerge w:val="continue"/>
            <w:tcBorders>
              <w:top w:val="nil"/>
            </w:tcBorders>
          </w:tcPr>
          <w:p>
            <w:pPr>
              <w:rPr>
                <w:sz w:val="2"/>
                <w:szCs w:val="2"/>
              </w:rPr>
            </w:pPr>
          </w:p>
        </w:tc>
        <w:tc>
          <w:tcPr>
            <w:tcW w:w="1002" w:type="dxa"/>
          </w:tcPr>
          <w:p>
            <w:pPr>
              <w:pStyle w:val="14"/>
              <w:spacing w:line="220" w:lineRule="exact"/>
              <w:ind w:right="147"/>
              <w:jc w:val="right"/>
              <w:rPr>
                <w:rFonts w:ascii="Times New Roman" w:hAnsi="Times New Roman"/>
                <w:sz w:val="21"/>
              </w:rPr>
            </w:pPr>
            <w:r>
              <w:rPr>
                <w:w w:val="95"/>
                <w:sz w:val="21"/>
              </w:rPr>
              <w:t>≤</w:t>
            </w:r>
            <w:r>
              <w:rPr>
                <w:rFonts w:ascii="Times New Roman" w:hAnsi="Times New Roman"/>
                <w:w w:val="95"/>
                <w:sz w:val="21"/>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20" w:lineRule="exact"/>
              <w:ind w:left="116" w:right="108"/>
              <w:rPr>
                <w:sz w:val="21"/>
              </w:rPr>
            </w:pPr>
            <w:r>
              <w:rPr>
                <w:sz w:val="21"/>
              </w:rPr>
              <w:t>六价铬</w:t>
            </w:r>
          </w:p>
        </w:tc>
        <w:tc>
          <w:tcPr>
            <w:tcW w:w="2162" w:type="dxa"/>
            <w:gridSpan w:val="2"/>
            <w:vMerge w:val="continue"/>
            <w:tcBorders>
              <w:top w:val="nil"/>
            </w:tcBorders>
          </w:tcPr>
          <w:p>
            <w:pPr>
              <w:rPr>
                <w:sz w:val="2"/>
                <w:szCs w:val="2"/>
              </w:rPr>
            </w:pPr>
          </w:p>
        </w:tc>
        <w:tc>
          <w:tcPr>
            <w:tcW w:w="1002" w:type="dxa"/>
          </w:tcPr>
          <w:p>
            <w:pPr>
              <w:pStyle w:val="14"/>
              <w:spacing w:line="220" w:lineRule="exact"/>
              <w:ind w:right="200"/>
              <w:jc w:val="right"/>
              <w:rPr>
                <w:rFonts w:ascii="Times New Roman" w:hAnsi="Times New Roman"/>
                <w:sz w:val="21"/>
              </w:rPr>
            </w:pPr>
            <w:r>
              <w:rPr>
                <w:w w:val="95"/>
                <w:sz w:val="21"/>
              </w:rPr>
              <w:t>≤</w:t>
            </w:r>
            <w:r>
              <w:rPr>
                <w:rFonts w:ascii="Times New Roman" w:hAnsi="Times New Roman"/>
                <w:w w:val="95"/>
                <w:sz w:val="21"/>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20" w:lineRule="exact"/>
              <w:ind w:left="111" w:right="108"/>
              <w:rPr>
                <w:sz w:val="21"/>
              </w:rPr>
            </w:pPr>
            <w:r>
              <w:rPr>
                <w:sz w:val="21"/>
              </w:rPr>
              <w:t>总铅</w:t>
            </w:r>
          </w:p>
        </w:tc>
        <w:tc>
          <w:tcPr>
            <w:tcW w:w="2162" w:type="dxa"/>
            <w:gridSpan w:val="2"/>
            <w:vMerge w:val="continue"/>
            <w:tcBorders>
              <w:top w:val="nil"/>
            </w:tcBorders>
          </w:tcPr>
          <w:p>
            <w:pPr>
              <w:rPr>
                <w:sz w:val="2"/>
                <w:szCs w:val="2"/>
              </w:rPr>
            </w:pPr>
          </w:p>
        </w:tc>
        <w:tc>
          <w:tcPr>
            <w:tcW w:w="1002" w:type="dxa"/>
          </w:tcPr>
          <w:p>
            <w:pPr>
              <w:pStyle w:val="14"/>
              <w:spacing w:line="220" w:lineRule="exact"/>
              <w:ind w:right="200"/>
              <w:jc w:val="right"/>
              <w:rPr>
                <w:rFonts w:ascii="Times New Roman" w:hAnsi="Times New Roman"/>
                <w:sz w:val="21"/>
              </w:rPr>
            </w:pPr>
            <w:r>
              <w:rPr>
                <w:w w:val="95"/>
                <w:sz w:val="21"/>
              </w:rPr>
              <w:t>≤</w:t>
            </w:r>
            <w:r>
              <w:rPr>
                <w:rFonts w:ascii="Times New Roman" w:hAnsi="Times New Roman"/>
                <w:w w:val="95"/>
                <w:sz w:val="21"/>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20" w:lineRule="exact"/>
              <w:ind w:left="111" w:right="108"/>
              <w:rPr>
                <w:sz w:val="21"/>
              </w:rPr>
            </w:pPr>
            <w:r>
              <w:rPr>
                <w:sz w:val="21"/>
              </w:rPr>
              <w:t>总砷</w:t>
            </w:r>
          </w:p>
        </w:tc>
        <w:tc>
          <w:tcPr>
            <w:tcW w:w="2162" w:type="dxa"/>
            <w:gridSpan w:val="2"/>
            <w:vMerge w:val="continue"/>
            <w:tcBorders>
              <w:top w:val="nil"/>
            </w:tcBorders>
          </w:tcPr>
          <w:p>
            <w:pPr>
              <w:rPr>
                <w:sz w:val="2"/>
                <w:szCs w:val="2"/>
              </w:rPr>
            </w:pPr>
          </w:p>
        </w:tc>
        <w:tc>
          <w:tcPr>
            <w:tcW w:w="1002" w:type="dxa"/>
          </w:tcPr>
          <w:p>
            <w:pPr>
              <w:pStyle w:val="14"/>
              <w:spacing w:line="220" w:lineRule="exact"/>
              <w:ind w:right="200"/>
              <w:jc w:val="right"/>
              <w:rPr>
                <w:rFonts w:ascii="Times New Roman" w:hAnsi="Times New Roman"/>
                <w:sz w:val="21"/>
              </w:rPr>
            </w:pPr>
            <w:r>
              <w:rPr>
                <w:w w:val="95"/>
                <w:sz w:val="21"/>
              </w:rPr>
              <w:t>≤</w:t>
            </w:r>
            <w:r>
              <w:rPr>
                <w:rFonts w:ascii="Times New Roman" w:hAnsi="Times New Roman"/>
                <w:w w:val="95"/>
                <w:sz w:val="21"/>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20" w:lineRule="exact"/>
              <w:ind w:left="111" w:right="108"/>
              <w:rPr>
                <w:sz w:val="21"/>
              </w:rPr>
            </w:pPr>
            <w:r>
              <w:rPr>
                <w:sz w:val="21"/>
              </w:rPr>
              <w:t>总锌</w:t>
            </w:r>
          </w:p>
        </w:tc>
        <w:tc>
          <w:tcPr>
            <w:tcW w:w="2162" w:type="dxa"/>
            <w:gridSpan w:val="2"/>
            <w:vMerge w:val="continue"/>
            <w:tcBorders>
              <w:top w:val="nil"/>
            </w:tcBorders>
          </w:tcPr>
          <w:p>
            <w:pPr>
              <w:rPr>
                <w:sz w:val="2"/>
                <w:szCs w:val="2"/>
              </w:rPr>
            </w:pPr>
          </w:p>
        </w:tc>
        <w:tc>
          <w:tcPr>
            <w:tcW w:w="1002" w:type="dxa"/>
          </w:tcPr>
          <w:p>
            <w:pPr>
              <w:pStyle w:val="14"/>
              <w:spacing w:line="220" w:lineRule="exact"/>
              <w:ind w:left="265"/>
              <w:jc w:val="left"/>
              <w:rPr>
                <w:rFonts w:ascii="Times New Roman" w:hAnsi="Times New Roman"/>
                <w:sz w:val="21"/>
              </w:rPr>
            </w:pPr>
            <w:r>
              <w:rPr>
                <w:sz w:val="21"/>
              </w:rPr>
              <w:t>≤</w:t>
            </w:r>
            <w:r>
              <w:rPr>
                <w:rFonts w:ascii="Times New Roman" w:hAnsi="Times New Roman"/>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0" w:lineRule="exact"/>
              <w:ind w:left="116" w:right="108"/>
              <w:rPr>
                <w:sz w:val="21"/>
              </w:rPr>
            </w:pPr>
            <w:r>
              <w:rPr>
                <w:sz w:val="21"/>
              </w:rPr>
              <w:t>氟化物</w:t>
            </w:r>
          </w:p>
        </w:tc>
        <w:tc>
          <w:tcPr>
            <w:tcW w:w="2162" w:type="dxa"/>
            <w:gridSpan w:val="2"/>
            <w:vMerge w:val="continue"/>
            <w:tcBorders>
              <w:top w:val="nil"/>
            </w:tcBorders>
          </w:tcPr>
          <w:p>
            <w:pPr>
              <w:rPr>
                <w:sz w:val="2"/>
                <w:szCs w:val="2"/>
              </w:rPr>
            </w:pPr>
          </w:p>
        </w:tc>
        <w:tc>
          <w:tcPr>
            <w:tcW w:w="1002" w:type="dxa"/>
          </w:tcPr>
          <w:p>
            <w:pPr>
              <w:pStyle w:val="14"/>
              <w:spacing w:line="251" w:lineRule="exact"/>
              <w:ind w:left="265"/>
              <w:jc w:val="left"/>
              <w:rPr>
                <w:rFonts w:ascii="Times New Roman" w:hAnsi="Times New Roman"/>
                <w:sz w:val="21"/>
              </w:rPr>
            </w:pPr>
            <w:r>
              <w:rPr>
                <w:sz w:val="21"/>
              </w:rPr>
              <w:t>≤</w:t>
            </w:r>
            <w:r>
              <w:rPr>
                <w:rFonts w:ascii="Times New Roman" w:hAnsi="Times New Roman"/>
                <w:sz w:val="21"/>
              </w:rPr>
              <w:t>1.0</w:t>
            </w:r>
          </w:p>
        </w:tc>
      </w:tr>
    </w:tbl>
    <w:p>
      <w:pPr>
        <w:spacing w:after="0" w:line="251" w:lineRule="exact"/>
        <w:jc w:val="left"/>
        <w:rPr>
          <w:rFonts w:ascii="Times New Roman" w:hAnsi="Times New Roman"/>
          <w:sz w:val="21"/>
        </w:rPr>
        <w:sectPr>
          <w:pgSz w:w="11910" w:h="16840"/>
          <w:pgMar w:top="1340" w:right="720" w:bottom="1160" w:left="760" w:header="0" w:footer="975" w:gutter="0"/>
        </w:sectPr>
      </w:pPr>
    </w:p>
    <w:tbl>
      <w:tblPr>
        <w:tblStyle w:val="10"/>
        <w:tblW w:w="0" w:type="auto"/>
        <w:tblInd w:w="9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5"/>
        <w:gridCol w:w="2920"/>
        <w:gridCol w:w="1763"/>
        <w:gridCol w:w="1350"/>
        <w:gridCol w:w="812"/>
        <w:gridCol w:w="10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restart"/>
          </w:tcPr>
          <w:p>
            <w:pPr>
              <w:pStyle w:val="14"/>
              <w:jc w:val="left"/>
              <w:rPr>
                <w:rFonts w:ascii="Times New Roman"/>
                <w:sz w:val="20"/>
              </w:rPr>
            </w:pPr>
          </w:p>
        </w:tc>
        <w:tc>
          <w:tcPr>
            <w:tcW w:w="2920" w:type="dxa"/>
            <w:vMerge w:val="restart"/>
          </w:tcPr>
          <w:p>
            <w:pPr>
              <w:pStyle w:val="14"/>
              <w:jc w:val="left"/>
              <w:rPr>
                <w:rFonts w:ascii="Times New Roman"/>
                <w:sz w:val="20"/>
              </w:rPr>
            </w:pPr>
          </w:p>
        </w:tc>
        <w:tc>
          <w:tcPr>
            <w:tcW w:w="1763" w:type="dxa"/>
          </w:tcPr>
          <w:p>
            <w:pPr>
              <w:pStyle w:val="14"/>
              <w:spacing w:line="252" w:lineRule="exact"/>
              <w:ind w:left="116" w:right="108"/>
              <w:rPr>
                <w:sz w:val="21"/>
              </w:rPr>
            </w:pPr>
            <w:r>
              <w:rPr>
                <w:sz w:val="21"/>
              </w:rPr>
              <w:t>溶解氧</w:t>
            </w:r>
          </w:p>
        </w:tc>
        <w:tc>
          <w:tcPr>
            <w:tcW w:w="2162" w:type="dxa"/>
            <w:gridSpan w:val="2"/>
            <w:vMerge w:val="restart"/>
          </w:tcPr>
          <w:p>
            <w:pPr>
              <w:pStyle w:val="14"/>
              <w:jc w:val="left"/>
              <w:rPr>
                <w:rFonts w:ascii="Times New Roman"/>
                <w:sz w:val="20"/>
              </w:rPr>
            </w:pPr>
          </w:p>
        </w:tc>
        <w:tc>
          <w:tcPr>
            <w:tcW w:w="1002" w:type="dxa"/>
          </w:tcPr>
          <w:p>
            <w:pPr>
              <w:pStyle w:val="14"/>
              <w:spacing w:line="252" w:lineRule="exact"/>
              <w:ind w:left="190" w:right="182"/>
              <w:rPr>
                <w:rFonts w:ascii="Times New Roman" w:hAnsi="Times New Roman"/>
                <w:sz w:val="21"/>
              </w:rPr>
            </w:pPr>
            <w:r>
              <w:rPr>
                <w:sz w:val="21"/>
              </w:rPr>
              <w:t>≥</w:t>
            </w:r>
            <w:r>
              <w:rPr>
                <w:rFonts w:ascii="Times New Roman" w:hAnsi="Times New Roman"/>
                <w:sz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20" w:lineRule="exact"/>
              <w:ind w:left="116" w:right="107"/>
              <w:rPr>
                <w:rFonts w:ascii="Times New Roman"/>
                <w:sz w:val="21"/>
              </w:rPr>
            </w:pPr>
            <w:r>
              <w:rPr>
                <w:rFonts w:ascii="Times New Roman"/>
                <w:position w:val="2"/>
                <w:sz w:val="21"/>
              </w:rPr>
              <w:t>BOD</w:t>
            </w:r>
            <w:r>
              <w:rPr>
                <w:rFonts w:ascii="Times New Roman"/>
                <w:position w:val="2"/>
                <w:sz w:val="21"/>
                <w:vertAlign w:val="subscript"/>
              </w:rPr>
              <w:t>5</w:t>
            </w:r>
          </w:p>
        </w:tc>
        <w:tc>
          <w:tcPr>
            <w:tcW w:w="2162" w:type="dxa"/>
            <w:gridSpan w:val="2"/>
            <w:vMerge w:val="continue"/>
            <w:tcBorders>
              <w:top w:val="nil"/>
            </w:tcBorders>
          </w:tcPr>
          <w:p>
            <w:pPr>
              <w:rPr>
                <w:sz w:val="2"/>
                <w:szCs w:val="2"/>
              </w:rPr>
            </w:pPr>
          </w:p>
        </w:tc>
        <w:tc>
          <w:tcPr>
            <w:tcW w:w="1002" w:type="dxa"/>
          </w:tcPr>
          <w:p>
            <w:pPr>
              <w:pStyle w:val="14"/>
              <w:spacing w:line="220" w:lineRule="exact"/>
              <w:ind w:left="190" w:right="182"/>
              <w:rPr>
                <w:rFonts w:ascii="Times New Roman" w:hAnsi="Times New Roman"/>
                <w:sz w:val="21"/>
              </w:rPr>
            </w:pPr>
            <w:r>
              <w:rPr>
                <w:sz w:val="21"/>
              </w:rPr>
              <w:t>≤</w:t>
            </w:r>
            <w:r>
              <w:rPr>
                <w:rFonts w:ascii="Times New Roman" w:hAnsi="Times New Roman"/>
                <w:sz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20" w:lineRule="exact"/>
              <w:ind w:left="111" w:right="108"/>
              <w:rPr>
                <w:sz w:val="21"/>
              </w:rPr>
            </w:pPr>
            <w:r>
              <w:rPr>
                <w:sz w:val="21"/>
              </w:rPr>
              <w:t>氨氮</w:t>
            </w:r>
          </w:p>
        </w:tc>
        <w:tc>
          <w:tcPr>
            <w:tcW w:w="2162" w:type="dxa"/>
            <w:gridSpan w:val="2"/>
            <w:vMerge w:val="continue"/>
            <w:tcBorders>
              <w:top w:val="nil"/>
            </w:tcBorders>
          </w:tcPr>
          <w:p>
            <w:pPr>
              <w:rPr>
                <w:sz w:val="2"/>
                <w:szCs w:val="2"/>
              </w:rPr>
            </w:pPr>
          </w:p>
        </w:tc>
        <w:tc>
          <w:tcPr>
            <w:tcW w:w="1002" w:type="dxa"/>
          </w:tcPr>
          <w:p>
            <w:pPr>
              <w:pStyle w:val="14"/>
              <w:spacing w:line="220" w:lineRule="exact"/>
              <w:ind w:left="265"/>
              <w:jc w:val="left"/>
              <w:rPr>
                <w:rFonts w:ascii="Times New Roman" w:hAnsi="Times New Roman"/>
                <w:sz w:val="21"/>
              </w:rPr>
            </w:pPr>
            <w:r>
              <w:rPr>
                <w:sz w:val="21"/>
              </w:rPr>
              <w:t>≤</w:t>
            </w:r>
            <w:r>
              <w:rPr>
                <w:rFonts w:ascii="Times New Roman" w:hAnsi="Times New Roman"/>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restart"/>
          </w:tcPr>
          <w:p>
            <w:pPr>
              <w:pStyle w:val="14"/>
              <w:spacing w:before="4" w:line="270" w:lineRule="atLeast"/>
              <w:ind w:left="232" w:right="118" w:hanging="106"/>
              <w:jc w:val="left"/>
              <w:rPr>
                <w:sz w:val="21"/>
              </w:rPr>
            </w:pPr>
            <w:r>
              <w:rPr>
                <w:sz w:val="21"/>
              </w:rPr>
              <w:t>声环境</w:t>
            </w:r>
          </w:p>
        </w:tc>
        <w:tc>
          <w:tcPr>
            <w:tcW w:w="2920" w:type="dxa"/>
            <w:vMerge w:val="restart"/>
          </w:tcPr>
          <w:p>
            <w:pPr>
              <w:pStyle w:val="14"/>
              <w:spacing w:before="5"/>
              <w:ind w:left="121" w:right="112"/>
              <w:rPr>
                <w:sz w:val="21"/>
              </w:rPr>
            </w:pPr>
            <w:r>
              <w:rPr>
                <w:sz w:val="21"/>
              </w:rPr>
              <w:t>《声环境质量标准》</w:t>
            </w:r>
          </w:p>
          <w:p>
            <w:pPr>
              <w:pStyle w:val="14"/>
              <w:spacing w:before="2" w:line="259" w:lineRule="exact"/>
              <w:ind w:left="123" w:right="112"/>
              <w:rPr>
                <w:sz w:val="21"/>
              </w:rPr>
            </w:pPr>
            <w:r>
              <w:rPr>
                <w:rFonts w:ascii="Times New Roman" w:eastAsia="Times New Roman"/>
                <w:sz w:val="21"/>
              </w:rPr>
              <w:t>(GB3096-2008)</w:t>
            </w:r>
            <w:r>
              <w:rPr>
                <w:sz w:val="21"/>
              </w:rPr>
              <w:t xml:space="preserve">中 </w:t>
            </w:r>
            <w:r>
              <w:rPr>
                <w:rFonts w:ascii="Times New Roman" w:eastAsia="Times New Roman"/>
                <w:sz w:val="21"/>
              </w:rPr>
              <w:t xml:space="preserve">2 </w:t>
            </w:r>
            <w:r>
              <w:rPr>
                <w:sz w:val="21"/>
              </w:rPr>
              <w:t>类标准</w:t>
            </w:r>
          </w:p>
        </w:tc>
        <w:tc>
          <w:tcPr>
            <w:tcW w:w="1763" w:type="dxa"/>
            <w:vMerge w:val="restart"/>
          </w:tcPr>
          <w:p>
            <w:pPr>
              <w:pStyle w:val="14"/>
              <w:spacing w:before="142"/>
              <w:ind w:left="111" w:right="108"/>
              <w:rPr>
                <w:sz w:val="21"/>
              </w:rPr>
            </w:pPr>
            <w:r>
              <w:rPr>
                <w:sz w:val="21"/>
              </w:rPr>
              <w:t>噪声</w:t>
            </w:r>
          </w:p>
        </w:tc>
        <w:tc>
          <w:tcPr>
            <w:tcW w:w="1350" w:type="dxa"/>
            <w:vMerge w:val="restart"/>
          </w:tcPr>
          <w:p>
            <w:pPr>
              <w:pStyle w:val="14"/>
              <w:spacing w:before="142"/>
              <w:ind w:left="267"/>
              <w:jc w:val="left"/>
              <w:rPr>
                <w:sz w:val="21"/>
              </w:rPr>
            </w:pPr>
            <w:r>
              <w:rPr>
                <w:rFonts w:ascii="Times New Roman" w:eastAsia="Times New Roman"/>
                <w:sz w:val="21"/>
              </w:rPr>
              <w:t>dB</w:t>
            </w:r>
            <w:r>
              <w:rPr>
                <w:sz w:val="21"/>
              </w:rPr>
              <w:t>（</w:t>
            </w:r>
            <w:r>
              <w:rPr>
                <w:rFonts w:ascii="Times New Roman" w:eastAsia="Times New Roman"/>
                <w:sz w:val="21"/>
              </w:rPr>
              <w:t>A</w:t>
            </w:r>
            <w:r>
              <w:rPr>
                <w:sz w:val="21"/>
              </w:rPr>
              <w:t>）</w:t>
            </w:r>
          </w:p>
        </w:tc>
        <w:tc>
          <w:tcPr>
            <w:tcW w:w="812" w:type="dxa"/>
          </w:tcPr>
          <w:p>
            <w:pPr>
              <w:pStyle w:val="14"/>
              <w:spacing w:line="253" w:lineRule="exact"/>
              <w:ind w:left="106" w:right="98"/>
              <w:rPr>
                <w:sz w:val="21"/>
              </w:rPr>
            </w:pPr>
            <w:r>
              <w:rPr>
                <w:sz w:val="21"/>
              </w:rPr>
              <w:t>昼间</w:t>
            </w:r>
          </w:p>
        </w:tc>
        <w:tc>
          <w:tcPr>
            <w:tcW w:w="1002" w:type="dxa"/>
          </w:tcPr>
          <w:p>
            <w:pPr>
              <w:pStyle w:val="14"/>
              <w:spacing w:before="14" w:line="239" w:lineRule="exact"/>
              <w:ind w:left="190" w:right="182"/>
              <w:rPr>
                <w:rFonts w:ascii="Times New Roman"/>
                <w:sz w:val="21"/>
              </w:rPr>
            </w:pPr>
            <w:r>
              <w:rPr>
                <w:rFonts w:ascii="Times New Roman"/>
                <w:sz w:val="21"/>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vMerge w:val="continue"/>
            <w:tcBorders>
              <w:top w:val="nil"/>
            </w:tcBorders>
          </w:tcPr>
          <w:p>
            <w:pPr>
              <w:rPr>
                <w:sz w:val="2"/>
                <w:szCs w:val="2"/>
              </w:rPr>
            </w:pPr>
          </w:p>
        </w:tc>
        <w:tc>
          <w:tcPr>
            <w:tcW w:w="1350" w:type="dxa"/>
            <w:vMerge w:val="continue"/>
            <w:tcBorders>
              <w:top w:val="nil"/>
            </w:tcBorders>
          </w:tcPr>
          <w:p>
            <w:pPr>
              <w:rPr>
                <w:sz w:val="2"/>
                <w:szCs w:val="2"/>
              </w:rPr>
            </w:pPr>
          </w:p>
        </w:tc>
        <w:tc>
          <w:tcPr>
            <w:tcW w:w="812" w:type="dxa"/>
          </w:tcPr>
          <w:p>
            <w:pPr>
              <w:pStyle w:val="14"/>
              <w:spacing w:line="251" w:lineRule="exact"/>
              <w:ind w:left="106" w:right="98"/>
              <w:rPr>
                <w:sz w:val="21"/>
              </w:rPr>
            </w:pPr>
            <w:r>
              <w:rPr>
                <w:sz w:val="21"/>
              </w:rPr>
              <w:t>夜间</w:t>
            </w:r>
          </w:p>
        </w:tc>
        <w:tc>
          <w:tcPr>
            <w:tcW w:w="1002" w:type="dxa"/>
          </w:tcPr>
          <w:p>
            <w:pPr>
              <w:pStyle w:val="14"/>
              <w:spacing w:before="14" w:line="237" w:lineRule="exact"/>
              <w:ind w:left="190" w:right="182"/>
              <w:rPr>
                <w:rFonts w:ascii="Times New Roman"/>
                <w:sz w:val="21"/>
              </w:rPr>
            </w:pPr>
            <w:r>
              <w:rPr>
                <w:rFonts w:ascii="Times New Roman"/>
                <w:sz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675"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1"/>
              <w:jc w:val="left"/>
              <w:rPr>
                <w:b/>
                <w:sz w:val="27"/>
              </w:rPr>
            </w:pPr>
          </w:p>
          <w:p>
            <w:pPr>
              <w:pStyle w:val="14"/>
              <w:spacing w:line="242" w:lineRule="auto"/>
              <w:ind w:left="232" w:right="118" w:hanging="106"/>
              <w:jc w:val="left"/>
              <w:rPr>
                <w:sz w:val="21"/>
              </w:rPr>
            </w:pPr>
            <w:r>
              <w:rPr>
                <w:sz w:val="21"/>
              </w:rPr>
              <w:t>地下水</w:t>
            </w:r>
          </w:p>
        </w:tc>
        <w:tc>
          <w:tcPr>
            <w:tcW w:w="2920"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1"/>
              <w:jc w:val="left"/>
              <w:rPr>
                <w:b/>
                <w:sz w:val="27"/>
              </w:rPr>
            </w:pPr>
          </w:p>
          <w:p>
            <w:pPr>
              <w:pStyle w:val="14"/>
              <w:ind w:left="121" w:right="112"/>
              <w:rPr>
                <w:sz w:val="21"/>
              </w:rPr>
            </w:pPr>
            <w:r>
              <w:rPr>
                <w:sz w:val="21"/>
              </w:rPr>
              <w:t>《地下水质量标准》</w:t>
            </w:r>
          </w:p>
          <w:p>
            <w:pPr>
              <w:pStyle w:val="14"/>
              <w:spacing w:before="2"/>
              <w:ind w:left="64" w:right="53"/>
              <w:rPr>
                <w:sz w:val="21"/>
              </w:rPr>
            </w:pPr>
            <w:r>
              <w:rPr>
                <w:spacing w:val="2"/>
                <w:w w:val="99"/>
                <w:sz w:val="21"/>
              </w:rPr>
              <w:t>（</w:t>
            </w:r>
            <w:r>
              <w:rPr>
                <w:rFonts w:ascii="Times New Roman" w:eastAsia="Times New Roman"/>
                <w:w w:val="99"/>
                <w:sz w:val="21"/>
              </w:rPr>
              <w:t>G</w:t>
            </w:r>
            <w:r>
              <w:rPr>
                <w:rFonts w:ascii="Times New Roman" w:eastAsia="Times New Roman"/>
                <w:spacing w:val="-1"/>
                <w:w w:val="99"/>
                <w:sz w:val="21"/>
              </w:rPr>
              <w:t>B/T</w:t>
            </w:r>
            <w:r>
              <w:rPr>
                <w:rFonts w:ascii="Times New Roman" w:eastAsia="Times New Roman"/>
                <w:spacing w:val="1"/>
                <w:w w:val="99"/>
                <w:sz w:val="21"/>
              </w:rPr>
              <w:t>14848</w:t>
            </w:r>
            <w:r>
              <w:rPr>
                <w:rFonts w:ascii="Times New Roman" w:eastAsia="Times New Roman"/>
                <w:spacing w:val="-3"/>
                <w:w w:val="99"/>
                <w:sz w:val="21"/>
              </w:rPr>
              <w:t>-</w:t>
            </w:r>
            <w:r>
              <w:rPr>
                <w:rFonts w:ascii="Times New Roman" w:eastAsia="Times New Roman"/>
                <w:spacing w:val="1"/>
                <w:w w:val="99"/>
                <w:sz w:val="21"/>
              </w:rPr>
              <w:t>2017</w:t>
            </w:r>
            <w:r>
              <w:rPr>
                <w:spacing w:val="-101"/>
                <w:w w:val="99"/>
                <w:sz w:val="21"/>
              </w:rPr>
              <w:t>）</w:t>
            </w:r>
            <w:r>
              <w:rPr>
                <w:rFonts w:ascii="Times New Roman" w:eastAsia="Times New Roman"/>
                <w:spacing w:val="-3"/>
                <w:w w:val="99"/>
                <w:sz w:val="21"/>
              </w:rPr>
              <w:t>I</w:t>
            </w:r>
            <w:r>
              <w:rPr>
                <w:rFonts w:ascii="Times New Roman" w:eastAsia="Times New Roman"/>
                <w:w w:val="99"/>
                <w:sz w:val="21"/>
              </w:rPr>
              <w:t>II</w:t>
            </w:r>
            <w:r>
              <w:rPr>
                <w:rFonts w:ascii="Times New Roman" w:eastAsia="Times New Roman"/>
                <w:spacing w:val="2"/>
                <w:sz w:val="21"/>
              </w:rPr>
              <w:t xml:space="preserve"> </w:t>
            </w:r>
            <w:r>
              <w:rPr>
                <w:w w:val="99"/>
                <w:sz w:val="21"/>
              </w:rPr>
              <w:t>类标准</w:t>
            </w:r>
          </w:p>
        </w:tc>
        <w:tc>
          <w:tcPr>
            <w:tcW w:w="1763" w:type="dxa"/>
          </w:tcPr>
          <w:p>
            <w:pPr>
              <w:pStyle w:val="14"/>
              <w:spacing w:line="222" w:lineRule="exact"/>
              <w:ind w:left="116" w:right="106"/>
              <w:rPr>
                <w:rFonts w:ascii="Times New Roman"/>
                <w:sz w:val="21"/>
              </w:rPr>
            </w:pPr>
            <w:r>
              <w:rPr>
                <w:rFonts w:ascii="Times New Roman"/>
                <w:sz w:val="21"/>
              </w:rPr>
              <w:t>pH</w:t>
            </w:r>
          </w:p>
        </w:tc>
        <w:tc>
          <w:tcPr>
            <w:tcW w:w="2162" w:type="dxa"/>
            <w:gridSpan w:val="2"/>
          </w:tcPr>
          <w:p>
            <w:pPr>
              <w:pStyle w:val="14"/>
              <w:spacing w:line="222" w:lineRule="exact"/>
              <w:ind w:left="746" w:right="736"/>
              <w:rPr>
                <w:sz w:val="21"/>
              </w:rPr>
            </w:pPr>
            <w:r>
              <w:rPr>
                <w:sz w:val="21"/>
              </w:rPr>
              <w:t>无量纲</w:t>
            </w:r>
          </w:p>
        </w:tc>
        <w:tc>
          <w:tcPr>
            <w:tcW w:w="1002" w:type="dxa"/>
          </w:tcPr>
          <w:p>
            <w:pPr>
              <w:pStyle w:val="14"/>
              <w:spacing w:line="222" w:lineRule="exact"/>
              <w:ind w:right="168"/>
              <w:jc w:val="right"/>
              <w:rPr>
                <w:rFonts w:ascii="Times New Roman"/>
                <w:sz w:val="21"/>
              </w:rPr>
            </w:pPr>
            <w:r>
              <w:rPr>
                <w:rFonts w:ascii="Times New Roman"/>
                <w:w w:val="95"/>
                <w:sz w:val="21"/>
              </w:rPr>
              <w:t>6.5~8.5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2" w:lineRule="exact"/>
              <w:ind w:left="111" w:right="108"/>
              <w:rPr>
                <w:sz w:val="21"/>
              </w:rPr>
            </w:pPr>
            <w:r>
              <w:rPr>
                <w:sz w:val="21"/>
              </w:rPr>
              <w:t>氨氮</w:t>
            </w:r>
          </w:p>
        </w:tc>
        <w:tc>
          <w:tcPr>
            <w:tcW w:w="2162" w:type="dxa"/>
            <w:gridSpan w:val="2"/>
            <w:vMerge w:val="restart"/>
          </w:tcPr>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spacing w:before="8"/>
              <w:jc w:val="left"/>
              <w:rPr>
                <w:b/>
                <w:sz w:val="24"/>
              </w:rPr>
            </w:pPr>
          </w:p>
          <w:p>
            <w:pPr>
              <w:pStyle w:val="14"/>
              <w:ind w:left="744" w:right="736"/>
              <w:rPr>
                <w:rFonts w:ascii="Times New Roman"/>
                <w:sz w:val="21"/>
              </w:rPr>
            </w:pPr>
            <w:r>
              <w:rPr>
                <w:rFonts w:ascii="Times New Roman"/>
                <w:sz w:val="21"/>
              </w:rPr>
              <w:t>mg/L</w:t>
            </w:r>
          </w:p>
        </w:tc>
        <w:tc>
          <w:tcPr>
            <w:tcW w:w="1002" w:type="dxa"/>
          </w:tcPr>
          <w:p>
            <w:pPr>
              <w:pStyle w:val="14"/>
              <w:spacing w:line="252" w:lineRule="exact"/>
              <w:ind w:right="200"/>
              <w:jc w:val="right"/>
              <w:rPr>
                <w:rFonts w:ascii="Times New Roman" w:hAnsi="Times New Roman"/>
                <w:sz w:val="21"/>
              </w:rPr>
            </w:pPr>
            <w:r>
              <w:rPr>
                <w:w w:val="95"/>
                <w:sz w:val="21"/>
              </w:rPr>
              <w:t>≤</w:t>
            </w:r>
            <w:r>
              <w:rPr>
                <w:rFonts w:ascii="Times New Roman" w:hAnsi="Times New Roman"/>
                <w:w w:val="95"/>
                <w:sz w:val="21"/>
              </w:rPr>
              <w:t>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1" w:lineRule="exact"/>
              <w:ind w:left="116" w:right="108"/>
              <w:rPr>
                <w:sz w:val="21"/>
              </w:rPr>
            </w:pPr>
            <w:r>
              <w:rPr>
                <w:sz w:val="21"/>
              </w:rPr>
              <w:t>硝酸盐</w:t>
            </w:r>
          </w:p>
        </w:tc>
        <w:tc>
          <w:tcPr>
            <w:tcW w:w="2162" w:type="dxa"/>
            <w:gridSpan w:val="2"/>
            <w:vMerge w:val="continue"/>
            <w:tcBorders>
              <w:top w:val="nil"/>
            </w:tcBorders>
          </w:tcPr>
          <w:p>
            <w:pPr>
              <w:rPr>
                <w:sz w:val="2"/>
                <w:szCs w:val="2"/>
              </w:rPr>
            </w:pPr>
          </w:p>
        </w:tc>
        <w:tc>
          <w:tcPr>
            <w:tcW w:w="1002" w:type="dxa"/>
          </w:tcPr>
          <w:p>
            <w:pPr>
              <w:pStyle w:val="14"/>
              <w:spacing w:line="251" w:lineRule="exact"/>
              <w:ind w:right="200"/>
              <w:jc w:val="right"/>
              <w:rPr>
                <w:rFonts w:ascii="Times New Roman" w:hAnsi="Times New Roman"/>
                <w:sz w:val="21"/>
              </w:rPr>
            </w:pPr>
            <w:r>
              <w:rPr>
                <w:w w:val="95"/>
                <w:sz w:val="21"/>
              </w:rPr>
              <w:t>≤</w:t>
            </w:r>
            <w:r>
              <w:rPr>
                <w:rFonts w:ascii="Times New Roman" w:hAnsi="Times New Roman"/>
                <w:w w:val="95"/>
                <w:sz w:val="21"/>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1" w:lineRule="exact"/>
              <w:ind w:left="114" w:right="108"/>
              <w:rPr>
                <w:sz w:val="21"/>
              </w:rPr>
            </w:pPr>
            <w:r>
              <w:rPr>
                <w:sz w:val="21"/>
              </w:rPr>
              <w:t>亚硝酸盐</w:t>
            </w:r>
          </w:p>
        </w:tc>
        <w:tc>
          <w:tcPr>
            <w:tcW w:w="2162" w:type="dxa"/>
            <w:gridSpan w:val="2"/>
            <w:vMerge w:val="continue"/>
            <w:tcBorders>
              <w:top w:val="nil"/>
            </w:tcBorders>
          </w:tcPr>
          <w:p>
            <w:pPr>
              <w:rPr>
                <w:sz w:val="2"/>
                <w:szCs w:val="2"/>
              </w:rPr>
            </w:pPr>
          </w:p>
        </w:tc>
        <w:tc>
          <w:tcPr>
            <w:tcW w:w="1002" w:type="dxa"/>
          </w:tcPr>
          <w:p>
            <w:pPr>
              <w:pStyle w:val="14"/>
              <w:spacing w:before="1" w:line="251" w:lineRule="exact"/>
              <w:ind w:right="200"/>
              <w:jc w:val="right"/>
              <w:rPr>
                <w:rFonts w:ascii="Times New Roman" w:hAnsi="Times New Roman"/>
                <w:sz w:val="21"/>
              </w:rPr>
            </w:pPr>
            <w:r>
              <w:rPr>
                <w:w w:val="95"/>
                <w:sz w:val="21"/>
              </w:rPr>
              <w:t>≤</w:t>
            </w:r>
            <w:r>
              <w:rPr>
                <w:rFonts w:ascii="Times New Roman" w:hAnsi="Times New Roman"/>
                <w:w w:val="95"/>
                <w:sz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2" w:lineRule="exact"/>
              <w:ind w:left="116" w:right="108"/>
              <w:rPr>
                <w:sz w:val="21"/>
              </w:rPr>
            </w:pPr>
            <w:r>
              <w:rPr>
                <w:sz w:val="21"/>
              </w:rPr>
              <w:t>总硬度</w:t>
            </w:r>
          </w:p>
        </w:tc>
        <w:tc>
          <w:tcPr>
            <w:tcW w:w="2162" w:type="dxa"/>
            <w:gridSpan w:val="2"/>
            <w:vMerge w:val="continue"/>
            <w:tcBorders>
              <w:top w:val="nil"/>
            </w:tcBorders>
          </w:tcPr>
          <w:p>
            <w:pPr>
              <w:rPr>
                <w:sz w:val="2"/>
                <w:szCs w:val="2"/>
              </w:rPr>
            </w:pPr>
          </w:p>
        </w:tc>
        <w:tc>
          <w:tcPr>
            <w:tcW w:w="1002" w:type="dxa"/>
          </w:tcPr>
          <w:p>
            <w:pPr>
              <w:pStyle w:val="14"/>
              <w:spacing w:line="252" w:lineRule="exact"/>
              <w:ind w:right="226"/>
              <w:jc w:val="right"/>
              <w:rPr>
                <w:rFonts w:ascii="Times New Roman" w:hAnsi="Times New Roman"/>
                <w:sz w:val="21"/>
              </w:rPr>
            </w:pPr>
            <w:r>
              <w:rPr>
                <w:sz w:val="21"/>
              </w:rPr>
              <w:t>≤</w:t>
            </w:r>
            <w:r>
              <w:rPr>
                <w:rFonts w:ascii="Times New Roman" w:hAnsi="Times New Roman"/>
                <w:sz w:val="21"/>
              </w:rPr>
              <w:t>450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1" w:lineRule="exact"/>
              <w:ind w:left="111" w:right="108"/>
              <w:rPr>
                <w:sz w:val="21"/>
              </w:rPr>
            </w:pPr>
            <w:r>
              <w:rPr>
                <w:sz w:val="21"/>
              </w:rPr>
              <w:t>高锰酸盐指数</w:t>
            </w:r>
          </w:p>
        </w:tc>
        <w:tc>
          <w:tcPr>
            <w:tcW w:w="2162" w:type="dxa"/>
            <w:gridSpan w:val="2"/>
            <w:vMerge w:val="continue"/>
            <w:tcBorders>
              <w:top w:val="nil"/>
            </w:tcBorders>
          </w:tcPr>
          <w:p>
            <w:pPr>
              <w:rPr>
                <w:sz w:val="2"/>
                <w:szCs w:val="2"/>
              </w:rPr>
            </w:pPr>
          </w:p>
        </w:tc>
        <w:tc>
          <w:tcPr>
            <w:tcW w:w="1002" w:type="dxa"/>
          </w:tcPr>
          <w:p>
            <w:pPr>
              <w:pStyle w:val="14"/>
              <w:spacing w:line="252" w:lineRule="exact"/>
              <w:ind w:left="265"/>
              <w:jc w:val="left"/>
              <w:rPr>
                <w:rFonts w:ascii="Times New Roman" w:hAnsi="Times New Roman"/>
                <w:sz w:val="21"/>
              </w:rPr>
            </w:pPr>
            <w:r>
              <w:rPr>
                <w:sz w:val="21"/>
              </w:rPr>
              <w:t>≤</w:t>
            </w:r>
            <w:r>
              <w:rPr>
                <w:rFonts w:ascii="Times New Roman" w:hAnsi="Times New Roman"/>
                <w:sz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2" w:line="251" w:lineRule="exact"/>
              <w:ind w:left="111" w:right="108"/>
              <w:rPr>
                <w:sz w:val="21"/>
              </w:rPr>
            </w:pPr>
            <w:r>
              <w:rPr>
                <w:sz w:val="21"/>
              </w:rPr>
              <w:t>溶解性总固体</w:t>
            </w:r>
          </w:p>
        </w:tc>
        <w:tc>
          <w:tcPr>
            <w:tcW w:w="2162" w:type="dxa"/>
            <w:gridSpan w:val="2"/>
            <w:vMerge w:val="continue"/>
            <w:tcBorders>
              <w:top w:val="nil"/>
            </w:tcBorders>
          </w:tcPr>
          <w:p>
            <w:pPr>
              <w:rPr>
                <w:sz w:val="2"/>
                <w:szCs w:val="2"/>
              </w:rPr>
            </w:pPr>
          </w:p>
        </w:tc>
        <w:tc>
          <w:tcPr>
            <w:tcW w:w="1002" w:type="dxa"/>
          </w:tcPr>
          <w:p>
            <w:pPr>
              <w:pStyle w:val="14"/>
              <w:spacing w:before="2" w:line="251" w:lineRule="exact"/>
              <w:ind w:right="173"/>
              <w:jc w:val="right"/>
              <w:rPr>
                <w:rFonts w:ascii="Times New Roman" w:hAnsi="Times New Roman"/>
                <w:sz w:val="21"/>
              </w:rPr>
            </w:pPr>
            <w:r>
              <w:rPr>
                <w:w w:val="95"/>
                <w:sz w:val="21"/>
              </w:rPr>
              <w:t>≤</w:t>
            </w:r>
            <w:r>
              <w:rPr>
                <w:rFonts w:ascii="Times New Roman" w:hAnsi="Times New Roman"/>
                <w:w w:val="95"/>
                <w:sz w:val="21"/>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2" w:lineRule="exact"/>
              <w:ind w:left="6"/>
              <w:rPr>
                <w:sz w:val="21"/>
              </w:rPr>
            </w:pPr>
            <w:r>
              <w:rPr>
                <w:w w:val="99"/>
                <w:sz w:val="21"/>
              </w:rPr>
              <w:t>铁</w:t>
            </w:r>
          </w:p>
        </w:tc>
        <w:tc>
          <w:tcPr>
            <w:tcW w:w="2162" w:type="dxa"/>
            <w:gridSpan w:val="2"/>
            <w:vMerge w:val="continue"/>
            <w:tcBorders>
              <w:top w:val="nil"/>
            </w:tcBorders>
          </w:tcPr>
          <w:p>
            <w:pPr>
              <w:rPr>
                <w:sz w:val="2"/>
                <w:szCs w:val="2"/>
              </w:rPr>
            </w:pPr>
          </w:p>
        </w:tc>
        <w:tc>
          <w:tcPr>
            <w:tcW w:w="1002" w:type="dxa"/>
          </w:tcPr>
          <w:p>
            <w:pPr>
              <w:pStyle w:val="14"/>
              <w:spacing w:line="252" w:lineRule="exact"/>
              <w:ind w:left="265"/>
              <w:jc w:val="left"/>
              <w:rPr>
                <w:rFonts w:ascii="Times New Roman" w:hAnsi="Times New Roman"/>
                <w:sz w:val="21"/>
              </w:rPr>
            </w:pPr>
            <w:r>
              <w:rPr>
                <w:sz w:val="21"/>
              </w:rPr>
              <w:t>≤</w:t>
            </w:r>
            <w:r>
              <w:rPr>
                <w:rFonts w:ascii="Times New Roman" w:hAnsi="Times New Roman"/>
                <w:sz w:val="21"/>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1" w:lineRule="exact"/>
              <w:ind w:left="6"/>
              <w:rPr>
                <w:sz w:val="21"/>
              </w:rPr>
            </w:pPr>
            <w:r>
              <w:rPr>
                <w:w w:val="99"/>
                <w:sz w:val="21"/>
              </w:rPr>
              <w:t>锰</w:t>
            </w:r>
          </w:p>
        </w:tc>
        <w:tc>
          <w:tcPr>
            <w:tcW w:w="2162" w:type="dxa"/>
            <w:gridSpan w:val="2"/>
            <w:vMerge w:val="continue"/>
            <w:tcBorders>
              <w:top w:val="nil"/>
            </w:tcBorders>
          </w:tcPr>
          <w:p>
            <w:pPr>
              <w:rPr>
                <w:sz w:val="2"/>
                <w:szCs w:val="2"/>
              </w:rPr>
            </w:pPr>
          </w:p>
        </w:tc>
        <w:tc>
          <w:tcPr>
            <w:tcW w:w="1002" w:type="dxa"/>
          </w:tcPr>
          <w:p>
            <w:pPr>
              <w:pStyle w:val="14"/>
              <w:spacing w:before="1" w:line="251" w:lineRule="exact"/>
              <w:ind w:right="200"/>
              <w:jc w:val="right"/>
              <w:rPr>
                <w:rFonts w:ascii="Times New Roman" w:hAnsi="Times New Roman"/>
                <w:sz w:val="21"/>
              </w:rPr>
            </w:pPr>
            <w:r>
              <w:rPr>
                <w:w w:val="95"/>
                <w:sz w:val="21"/>
              </w:rPr>
              <w:t>≤</w:t>
            </w:r>
            <w:r>
              <w:rPr>
                <w:rFonts w:ascii="Times New Roman" w:hAnsi="Times New Roman"/>
                <w:w w:val="95"/>
                <w:sz w:val="21"/>
              </w:rPr>
              <w: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2" w:line="251" w:lineRule="exact"/>
              <w:ind w:left="6"/>
              <w:rPr>
                <w:sz w:val="21"/>
              </w:rPr>
            </w:pPr>
            <w:r>
              <w:rPr>
                <w:w w:val="99"/>
                <w:sz w:val="21"/>
              </w:rPr>
              <w:t>铅</w:t>
            </w:r>
          </w:p>
        </w:tc>
        <w:tc>
          <w:tcPr>
            <w:tcW w:w="2162" w:type="dxa"/>
            <w:gridSpan w:val="2"/>
            <w:vMerge w:val="continue"/>
            <w:tcBorders>
              <w:top w:val="nil"/>
            </w:tcBorders>
          </w:tcPr>
          <w:p>
            <w:pPr>
              <w:rPr>
                <w:sz w:val="2"/>
                <w:szCs w:val="2"/>
              </w:rPr>
            </w:pPr>
          </w:p>
        </w:tc>
        <w:tc>
          <w:tcPr>
            <w:tcW w:w="1002" w:type="dxa"/>
          </w:tcPr>
          <w:p>
            <w:pPr>
              <w:pStyle w:val="14"/>
              <w:spacing w:line="253" w:lineRule="exact"/>
              <w:ind w:right="200"/>
              <w:jc w:val="right"/>
              <w:rPr>
                <w:rFonts w:ascii="Times New Roman" w:hAnsi="Times New Roman"/>
                <w:sz w:val="21"/>
              </w:rPr>
            </w:pPr>
            <w:r>
              <w:rPr>
                <w:w w:val="95"/>
                <w:sz w:val="21"/>
              </w:rPr>
              <w:t>≤</w:t>
            </w:r>
            <w:r>
              <w:rPr>
                <w:rFonts w:ascii="Times New Roman" w:hAnsi="Times New Roman"/>
                <w:w w:val="95"/>
                <w:sz w:val="21"/>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2" w:lineRule="exact"/>
              <w:ind w:left="116" w:right="108"/>
              <w:rPr>
                <w:sz w:val="21"/>
              </w:rPr>
            </w:pPr>
            <w:r>
              <w:rPr>
                <w:sz w:val="21"/>
              </w:rPr>
              <w:t>六价铬</w:t>
            </w:r>
          </w:p>
        </w:tc>
        <w:tc>
          <w:tcPr>
            <w:tcW w:w="2162" w:type="dxa"/>
            <w:gridSpan w:val="2"/>
            <w:vMerge w:val="continue"/>
            <w:tcBorders>
              <w:top w:val="nil"/>
            </w:tcBorders>
          </w:tcPr>
          <w:p>
            <w:pPr>
              <w:rPr>
                <w:sz w:val="2"/>
                <w:szCs w:val="2"/>
              </w:rPr>
            </w:pPr>
          </w:p>
        </w:tc>
        <w:tc>
          <w:tcPr>
            <w:tcW w:w="1002" w:type="dxa"/>
          </w:tcPr>
          <w:p>
            <w:pPr>
              <w:pStyle w:val="14"/>
              <w:spacing w:line="252" w:lineRule="exact"/>
              <w:ind w:right="200"/>
              <w:jc w:val="right"/>
              <w:rPr>
                <w:rFonts w:ascii="Times New Roman" w:hAnsi="Times New Roman"/>
                <w:sz w:val="21"/>
              </w:rPr>
            </w:pPr>
            <w:r>
              <w:rPr>
                <w:w w:val="95"/>
                <w:sz w:val="21"/>
              </w:rPr>
              <w:t>≤</w:t>
            </w:r>
            <w:r>
              <w:rPr>
                <w:rFonts w:ascii="Times New Roman" w:hAnsi="Times New Roman"/>
                <w:w w:val="95"/>
                <w:sz w:val="21"/>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1" w:lineRule="exact"/>
              <w:ind w:left="116" w:right="108"/>
              <w:rPr>
                <w:sz w:val="21"/>
              </w:rPr>
            </w:pPr>
            <w:r>
              <w:rPr>
                <w:sz w:val="21"/>
              </w:rPr>
              <w:t>氯化物</w:t>
            </w:r>
          </w:p>
        </w:tc>
        <w:tc>
          <w:tcPr>
            <w:tcW w:w="2162" w:type="dxa"/>
            <w:gridSpan w:val="2"/>
            <w:vMerge w:val="continue"/>
            <w:tcBorders>
              <w:top w:val="nil"/>
            </w:tcBorders>
          </w:tcPr>
          <w:p>
            <w:pPr>
              <w:rPr>
                <w:sz w:val="2"/>
                <w:szCs w:val="2"/>
              </w:rPr>
            </w:pPr>
          </w:p>
        </w:tc>
        <w:tc>
          <w:tcPr>
            <w:tcW w:w="1002" w:type="dxa"/>
          </w:tcPr>
          <w:p>
            <w:pPr>
              <w:pStyle w:val="14"/>
              <w:spacing w:before="1" w:line="251" w:lineRule="exact"/>
              <w:ind w:right="226"/>
              <w:jc w:val="right"/>
              <w:rPr>
                <w:rFonts w:ascii="Times New Roman" w:hAnsi="Times New Roman"/>
                <w:sz w:val="21"/>
              </w:rPr>
            </w:pPr>
            <w:r>
              <w:rPr>
                <w:sz w:val="21"/>
              </w:rPr>
              <w:t>≤</w:t>
            </w:r>
            <w:r>
              <w:rPr>
                <w:rFonts w:ascii="Times New Roman" w:hAnsi="Times New Roman"/>
                <w:sz w:val="21"/>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3" w:lineRule="exact"/>
              <w:ind w:left="116" w:right="108"/>
              <w:rPr>
                <w:sz w:val="21"/>
              </w:rPr>
            </w:pPr>
            <w:r>
              <w:rPr>
                <w:sz w:val="21"/>
              </w:rPr>
              <w:t>硫酸盐</w:t>
            </w:r>
          </w:p>
        </w:tc>
        <w:tc>
          <w:tcPr>
            <w:tcW w:w="2162" w:type="dxa"/>
            <w:gridSpan w:val="2"/>
            <w:vMerge w:val="continue"/>
            <w:tcBorders>
              <w:top w:val="nil"/>
            </w:tcBorders>
          </w:tcPr>
          <w:p>
            <w:pPr>
              <w:rPr>
                <w:sz w:val="2"/>
                <w:szCs w:val="2"/>
              </w:rPr>
            </w:pPr>
          </w:p>
        </w:tc>
        <w:tc>
          <w:tcPr>
            <w:tcW w:w="1002" w:type="dxa"/>
          </w:tcPr>
          <w:p>
            <w:pPr>
              <w:pStyle w:val="14"/>
              <w:spacing w:line="253" w:lineRule="exact"/>
              <w:ind w:right="226"/>
              <w:jc w:val="right"/>
              <w:rPr>
                <w:rFonts w:ascii="Times New Roman" w:hAnsi="Times New Roman"/>
                <w:sz w:val="21"/>
              </w:rPr>
            </w:pPr>
            <w:r>
              <w:rPr>
                <w:sz w:val="21"/>
              </w:rPr>
              <w:t>≤</w:t>
            </w:r>
            <w:r>
              <w:rPr>
                <w:rFonts w:ascii="Times New Roman" w:hAnsi="Times New Roman"/>
                <w:sz w:val="21"/>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2" w:lineRule="exact"/>
              <w:ind w:left="114" w:right="108"/>
              <w:rPr>
                <w:sz w:val="21"/>
              </w:rPr>
            </w:pPr>
            <w:r>
              <w:rPr>
                <w:sz w:val="21"/>
              </w:rPr>
              <w:t>菌落总数</w:t>
            </w:r>
          </w:p>
        </w:tc>
        <w:tc>
          <w:tcPr>
            <w:tcW w:w="2162" w:type="dxa"/>
            <w:gridSpan w:val="2"/>
          </w:tcPr>
          <w:p>
            <w:pPr>
              <w:pStyle w:val="14"/>
              <w:spacing w:line="252" w:lineRule="exact"/>
              <w:ind w:left="492"/>
              <w:jc w:val="left"/>
              <w:rPr>
                <w:sz w:val="21"/>
              </w:rPr>
            </w:pPr>
            <w:r>
              <w:rPr>
                <w:sz w:val="21"/>
              </w:rPr>
              <w:t>（</w:t>
            </w:r>
            <w:r>
              <w:rPr>
                <w:rFonts w:ascii="Times New Roman" w:eastAsia="Times New Roman"/>
                <w:sz w:val="21"/>
              </w:rPr>
              <w:t>CFU/mL</w:t>
            </w:r>
            <w:r>
              <w:rPr>
                <w:sz w:val="21"/>
              </w:rPr>
              <w:t>）</w:t>
            </w:r>
          </w:p>
        </w:tc>
        <w:tc>
          <w:tcPr>
            <w:tcW w:w="1002" w:type="dxa"/>
          </w:tcPr>
          <w:p>
            <w:pPr>
              <w:pStyle w:val="14"/>
              <w:spacing w:line="252" w:lineRule="exact"/>
              <w:ind w:right="226"/>
              <w:jc w:val="right"/>
              <w:rPr>
                <w:rFonts w:ascii="Times New Roman" w:hAnsi="Times New Roman"/>
                <w:sz w:val="21"/>
              </w:rPr>
            </w:pPr>
            <w:r>
              <w:rPr>
                <w:sz w:val="21"/>
              </w:rPr>
              <w:t>≤</w:t>
            </w:r>
            <w:r>
              <w:rPr>
                <w:rFonts w:ascii="Times New Roman" w:hAnsi="Times New Roman"/>
                <w:sz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2" w:lineRule="exact"/>
              <w:ind w:left="114" w:right="108"/>
              <w:rPr>
                <w:sz w:val="21"/>
              </w:rPr>
            </w:pPr>
            <w:r>
              <w:rPr>
                <w:sz w:val="21"/>
              </w:rPr>
              <w:t>总大肠菌群</w:t>
            </w:r>
          </w:p>
        </w:tc>
        <w:tc>
          <w:tcPr>
            <w:tcW w:w="2162" w:type="dxa"/>
            <w:gridSpan w:val="2"/>
          </w:tcPr>
          <w:p>
            <w:pPr>
              <w:pStyle w:val="14"/>
              <w:spacing w:line="252" w:lineRule="exact"/>
              <w:ind w:left="310"/>
              <w:jc w:val="left"/>
              <w:rPr>
                <w:sz w:val="21"/>
              </w:rPr>
            </w:pPr>
            <w:r>
              <w:rPr>
                <w:sz w:val="21"/>
              </w:rPr>
              <w:t>（</w:t>
            </w:r>
            <w:r>
              <w:rPr>
                <w:rFonts w:ascii="Times New Roman" w:eastAsia="Times New Roman"/>
                <w:sz w:val="21"/>
              </w:rPr>
              <w:t>MPN/100mL</w:t>
            </w:r>
            <w:r>
              <w:rPr>
                <w:sz w:val="21"/>
              </w:rPr>
              <w:t>）</w:t>
            </w:r>
          </w:p>
        </w:tc>
        <w:tc>
          <w:tcPr>
            <w:tcW w:w="1002" w:type="dxa"/>
          </w:tcPr>
          <w:p>
            <w:pPr>
              <w:pStyle w:val="14"/>
              <w:spacing w:line="252" w:lineRule="exact"/>
              <w:ind w:left="265"/>
              <w:jc w:val="left"/>
              <w:rPr>
                <w:rFonts w:ascii="Times New Roman" w:hAnsi="Times New Roman"/>
                <w:sz w:val="21"/>
              </w:rPr>
            </w:pPr>
            <w:r>
              <w:rPr>
                <w:sz w:val="21"/>
              </w:rPr>
              <w:t>≤</w:t>
            </w:r>
            <w:r>
              <w:rPr>
                <w:rFonts w:ascii="Times New Roman" w:hAnsi="Times New Roman"/>
                <w:sz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3" w:lineRule="exact"/>
              <w:ind w:left="114" w:right="108"/>
              <w:rPr>
                <w:sz w:val="21"/>
              </w:rPr>
            </w:pPr>
            <w:r>
              <w:rPr>
                <w:sz w:val="21"/>
              </w:rPr>
              <w:t>挥发性酚类</w:t>
            </w:r>
          </w:p>
        </w:tc>
        <w:tc>
          <w:tcPr>
            <w:tcW w:w="2162" w:type="dxa"/>
            <w:gridSpan w:val="2"/>
            <w:vMerge w:val="restart"/>
          </w:tcPr>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spacing w:before="193"/>
              <w:ind w:left="744" w:right="736"/>
              <w:rPr>
                <w:rFonts w:ascii="Times New Roman"/>
                <w:sz w:val="21"/>
              </w:rPr>
            </w:pPr>
            <w:r>
              <w:rPr>
                <w:rFonts w:ascii="Times New Roman"/>
                <w:sz w:val="21"/>
              </w:rPr>
              <w:t>mg/L</w:t>
            </w:r>
          </w:p>
        </w:tc>
        <w:tc>
          <w:tcPr>
            <w:tcW w:w="1002" w:type="dxa"/>
          </w:tcPr>
          <w:p>
            <w:pPr>
              <w:pStyle w:val="14"/>
              <w:spacing w:line="253" w:lineRule="exact"/>
              <w:ind w:right="147"/>
              <w:jc w:val="right"/>
              <w:rPr>
                <w:rFonts w:ascii="Times New Roman" w:hAnsi="Times New Roman"/>
                <w:sz w:val="21"/>
              </w:rPr>
            </w:pPr>
            <w:r>
              <w:rPr>
                <w:w w:val="95"/>
                <w:sz w:val="21"/>
              </w:rPr>
              <w:t>≤</w:t>
            </w:r>
            <w:r>
              <w:rPr>
                <w:rFonts w:ascii="Times New Roman" w:hAnsi="Times New Roman"/>
                <w:w w:val="95"/>
                <w:sz w:val="21"/>
              </w:rPr>
              <w:t>0.002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2" w:lineRule="exact"/>
              <w:ind w:left="116" w:right="108"/>
              <w:rPr>
                <w:sz w:val="21"/>
              </w:rPr>
            </w:pPr>
            <w:r>
              <w:rPr>
                <w:sz w:val="21"/>
              </w:rPr>
              <w:t>氰化物</w:t>
            </w:r>
          </w:p>
        </w:tc>
        <w:tc>
          <w:tcPr>
            <w:tcW w:w="2162" w:type="dxa"/>
            <w:gridSpan w:val="2"/>
            <w:vMerge w:val="continue"/>
            <w:tcBorders>
              <w:top w:val="nil"/>
            </w:tcBorders>
          </w:tcPr>
          <w:p>
            <w:pPr>
              <w:rPr>
                <w:sz w:val="2"/>
                <w:szCs w:val="2"/>
              </w:rPr>
            </w:pPr>
          </w:p>
        </w:tc>
        <w:tc>
          <w:tcPr>
            <w:tcW w:w="1002" w:type="dxa"/>
          </w:tcPr>
          <w:p>
            <w:pPr>
              <w:pStyle w:val="14"/>
              <w:spacing w:line="252" w:lineRule="exact"/>
              <w:ind w:right="200"/>
              <w:jc w:val="right"/>
              <w:rPr>
                <w:rFonts w:ascii="Times New Roman" w:hAnsi="Times New Roman"/>
                <w:sz w:val="21"/>
              </w:rPr>
            </w:pPr>
            <w:r>
              <w:rPr>
                <w:w w:val="95"/>
                <w:sz w:val="21"/>
              </w:rPr>
              <w:t>≤</w:t>
            </w:r>
            <w:r>
              <w:rPr>
                <w:rFonts w:ascii="Times New Roman" w:hAnsi="Times New Roman"/>
                <w:w w:val="95"/>
                <w:sz w:val="21"/>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0" w:lineRule="exact"/>
              <w:ind w:left="6"/>
              <w:rPr>
                <w:sz w:val="21"/>
              </w:rPr>
            </w:pPr>
            <w:r>
              <w:rPr>
                <w:w w:val="99"/>
                <w:sz w:val="21"/>
              </w:rPr>
              <w:t>砷</w:t>
            </w:r>
          </w:p>
        </w:tc>
        <w:tc>
          <w:tcPr>
            <w:tcW w:w="2162" w:type="dxa"/>
            <w:gridSpan w:val="2"/>
            <w:vMerge w:val="continue"/>
            <w:tcBorders>
              <w:top w:val="nil"/>
            </w:tcBorders>
          </w:tcPr>
          <w:p>
            <w:pPr>
              <w:rPr>
                <w:sz w:val="2"/>
                <w:szCs w:val="2"/>
              </w:rPr>
            </w:pPr>
          </w:p>
        </w:tc>
        <w:tc>
          <w:tcPr>
            <w:tcW w:w="1002" w:type="dxa"/>
          </w:tcPr>
          <w:p>
            <w:pPr>
              <w:pStyle w:val="14"/>
              <w:spacing w:before="1" w:line="250" w:lineRule="exact"/>
              <w:ind w:right="200"/>
              <w:jc w:val="right"/>
              <w:rPr>
                <w:rFonts w:ascii="Times New Roman" w:hAnsi="Times New Roman"/>
                <w:sz w:val="21"/>
              </w:rPr>
            </w:pPr>
            <w:r>
              <w:rPr>
                <w:w w:val="95"/>
                <w:sz w:val="21"/>
              </w:rPr>
              <w:t>≤</w:t>
            </w:r>
            <w:r>
              <w:rPr>
                <w:rFonts w:ascii="Times New Roman" w:hAnsi="Times New Roman"/>
                <w:w w:val="95"/>
                <w:sz w:val="21"/>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3" w:lineRule="exact"/>
              <w:ind w:left="6"/>
              <w:rPr>
                <w:sz w:val="21"/>
              </w:rPr>
            </w:pPr>
            <w:r>
              <w:rPr>
                <w:w w:val="99"/>
                <w:sz w:val="21"/>
              </w:rPr>
              <w:t>汞</w:t>
            </w:r>
          </w:p>
        </w:tc>
        <w:tc>
          <w:tcPr>
            <w:tcW w:w="2162" w:type="dxa"/>
            <w:gridSpan w:val="2"/>
            <w:vMerge w:val="continue"/>
            <w:tcBorders>
              <w:top w:val="nil"/>
            </w:tcBorders>
          </w:tcPr>
          <w:p>
            <w:pPr>
              <w:rPr>
                <w:sz w:val="2"/>
                <w:szCs w:val="2"/>
              </w:rPr>
            </w:pPr>
          </w:p>
        </w:tc>
        <w:tc>
          <w:tcPr>
            <w:tcW w:w="1002" w:type="dxa"/>
          </w:tcPr>
          <w:p>
            <w:pPr>
              <w:pStyle w:val="14"/>
              <w:spacing w:line="253" w:lineRule="exact"/>
              <w:ind w:right="147"/>
              <w:jc w:val="right"/>
              <w:rPr>
                <w:rFonts w:ascii="Times New Roman" w:hAnsi="Times New Roman"/>
                <w:sz w:val="21"/>
              </w:rPr>
            </w:pPr>
            <w:r>
              <w:rPr>
                <w:w w:val="95"/>
                <w:sz w:val="21"/>
              </w:rPr>
              <w:t>≤</w:t>
            </w:r>
            <w:r>
              <w:rPr>
                <w:rFonts w:ascii="Times New Roman" w:hAnsi="Times New Roman"/>
                <w:w w:val="95"/>
                <w:sz w:val="21"/>
              </w:rPr>
              <w:t>0.001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1" w:lineRule="exact"/>
              <w:ind w:left="116" w:right="108"/>
              <w:rPr>
                <w:sz w:val="21"/>
              </w:rPr>
            </w:pPr>
            <w:r>
              <w:rPr>
                <w:sz w:val="21"/>
              </w:rPr>
              <w:t>氟化物</w:t>
            </w:r>
          </w:p>
        </w:tc>
        <w:tc>
          <w:tcPr>
            <w:tcW w:w="2162" w:type="dxa"/>
            <w:gridSpan w:val="2"/>
            <w:vMerge w:val="continue"/>
            <w:tcBorders>
              <w:top w:val="nil"/>
            </w:tcBorders>
          </w:tcPr>
          <w:p>
            <w:pPr>
              <w:rPr>
                <w:sz w:val="2"/>
                <w:szCs w:val="2"/>
              </w:rPr>
            </w:pPr>
          </w:p>
        </w:tc>
        <w:tc>
          <w:tcPr>
            <w:tcW w:w="1002" w:type="dxa"/>
          </w:tcPr>
          <w:p>
            <w:pPr>
              <w:pStyle w:val="14"/>
              <w:spacing w:line="251" w:lineRule="exact"/>
              <w:ind w:left="265"/>
              <w:jc w:val="left"/>
              <w:rPr>
                <w:rFonts w:ascii="Times New Roman" w:hAnsi="Times New Roman"/>
                <w:sz w:val="21"/>
              </w:rPr>
            </w:pPr>
            <w:r>
              <w:rPr>
                <w:sz w:val="21"/>
              </w:rPr>
              <w:t>≤</w:t>
            </w:r>
            <w:r>
              <w:rPr>
                <w:rFonts w:ascii="Times New Roman" w:hAnsi="Times New Roman"/>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2" w:line="250" w:lineRule="exact"/>
              <w:ind w:left="6"/>
              <w:rPr>
                <w:sz w:val="21"/>
              </w:rPr>
            </w:pPr>
            <w:r>
              <w:rPr>
                <w:w w:val="99"/>
                <w:sz w:val="21"/>
              </w:rPr>
              <w:t>镉</w:t>
            </w:r>
          </w:p>
        </w:tc>
        <w:tc>
          <w:tcPr>
            <w:tcW w:w="2162" w:type="dxa"/>
            <w:gridSpan w:val="2"/>
            <w:vMerge w:val="continue"/>
            <w:tcBorders>
              <w:top w:val="nil"/>
            </w:tcBorders>
          </w:tcPr>
          <w:p>
            <w:pPr>
              <w:rPr>
                <w:sz w:val="2"/>
                <w:szCs w:val="2"/>
              </w:rPr>
            </w:pPr>
          </w:p>
        </w:tc>
        <w:tc>
          <w:tcPr>
            <w:tcW w:w="1002" w:type="dxa"/>
          </w:tcPr>
          <w:p>
            <w:pPr>
              <w:pStyle w:val="14"/>
              <w:spacing w:before="2" w:line="250" w:lineRule="exact"/>
              <w:ind w:right="147"/>
              <w:jc w:val="right"/>
              <w:rPr>
                <w:rFonts w:ascii="Times New Roman" w:hAnsi="Times New Roman"/>
                <w:sz w:val="21"/>
              </w:rPr>
            </w:pPr>
            <w:r>
              <w:rPr>
                <w:w w:val="95"/>
                <w:sz w:val="21"/>
              </w:rPr>
              <w:t>≤</w:t>
            </w:r>
            <w:r>
              <w:rPr>
                <w:rFonts w:ascii="Times New Roman" w:hAnsi="Times New Roman"/>
                <w:w w:val="95"/>
                <w:sz w:val="21"/>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21" w:lineRule="exact"/>
              <w:ind w:left="116" w:right="105"/>
              <w:rPr>
                <w:rFonts w:ascii="Times New Roman"/>
                <w:sz w:val="13"/>
              </w:rPr>
            </w:pPr>
            <w:r>
              <w:rPr>
                <w:rFonts w:ascii="Times New Roman"/>
                <w:position w:val="-6"/>
                <w:sz w:val="21"/>
              </w:rPr>
              <w:t>K</w:t>
            </w:r>
            <w:r>
              <w:rPr>
                <w:rFonts w:ascii="Times New Roman"/>
                <w:sz w:val="13"/>
              </w:rPr>
              <w:t>+</w:t>
            </w:r>
          </w:p>
        </w:tc>
        <w:tc>
          <w:tcPr>
            <w:tcW w:w="2162" w:type="dxa"/>
            <w:gridSpan w:val="2"/>
            <w:vMerge w:val="continue"/>
            <w:tcBorders>
              <w:top w:val="nil"/>
            </w:tcBorders>
          </w:tcPr>
          <w:p>
            <w:pPr>
              <w:rPr>
                <w:sz w:val="2"/>
                <w:szCs w:val="2"/>
              </w:rPr>
            </w:pPr>
          </w:p>
        </w:tc>
        <w:tc>
          <w:tcPr>
            <w:tcW w:w="1002" w:type="dxa"/>
          </w:tcPr>
          <w:p>
            <w:pPr>
              <w:pStyle w:val="14"/>
              <w:spacing w:line="222" w:lineRule="exact"/>
              <w:ind w:left="9"/>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21" w:lineRule="exact"/>
              <w:ind w:left="116" w:right="107"/>
              <w:rPr>
                <w:rFonts w:ascii="Times New Roman"/>
                <w:sz w:val="13"/>
              </w:rPr>
            </w:pPr>
            <w:r>
              <w:rPr>
                <w:rFonts w:ascii="Times New Roman"/>
                <w:sz w:val="21"/>
              </w:rPr>
              <w:t>Na</w:t>
            </w:r>
            <w:r>
              <w:rPr>
                <w:rFonts w:ascii="Times New Roman"/>
                <w:position w:val="7"/>
                <w:sz w:val="13"/>
              </w:rPr>
              <w:t>+</w:t>
            </w:r>
          </w:p>
        </w:tc>
        <w:tc>
          <w:tcPr>
            <w:tcW w:w="2162" w:type="dxa"/>
            <w:gridSpan w:val="2"/>
            <w:vMerge w:val="continue"/>
            <w:tcBorders>
              <w:top w:val="nil"/>
            </w:tcBorders>
          </w:tcPr>
          <w:p>
            <w:pPr>
              <w:rPr>
                <w:sz w:val="2"/>
                <w:szCs w:val="2"/>
              </w:rPr>
            </w:pPr>
          </w:p>
        </w:tc>
        <w:tc>
          <w:tcPr>
            <w:tcW w:w="1002" w:type="dxa"/>
          </w:tcPr>
          <w:p>
            <w:pPr>
              <w:pStyle w:val="14"/>
              <w:spacing w:line="221" w:lineRule="exact"/>
              <w:ind w:right="226"/>
              <w:jc w:val="right"/>
              <w:rPr>
                <w:rFonts w:ascii="Times New Roman" w:hAnsi="Times New Roman"/>
                <w:sz w:val="21"/>
              </w:rPr>
            </w:pPr>
            <w:r>
              <w:rPr>
                <w:sz w:val="21"/>
              </w:rPr>
              <w:t>≤</w:t>
            </w:r>
            <w:r>
              <w:rPr>
                <w:rFonts w:ascii="Times New Roman" w:hAnsi="Times New Roman"/>
                <w:sz w:val="21"/>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20" w:lineRule="exact"/>
              <w:ind w:left="116" w:right="103"/>
              <w:rPr>
                <w:rFonts w:ascii="Times New Roman"/>
                <w:sz w:val="13"/>
              </w:rPr>
            </w:pPr>
            <w:r>
              <w:rPr>
                <w:rFonts w:ascii="Times New Roman"/>
                <w:position w:val="-6"/>
                <w:sz w:val="21"/>
              </w:rPr>
              <w:t>Ca</w:t>
            </w:r>
            <w:r>
              <w:rPr>
                <w:rFonts w:ascii="Times New Roman"/>
                <w:sz w:val="13"/>
              </w:rPr>
              <w:t>2+</w:t>
            </w:r>
          </w:p>
        </w:tc>
        <w:tc>
          <w:tcPr>
            <w:tcW w:w="2162" w:type="dxa"/>
            <w:gridSpan w:val="2"/>
            <w:vMerge w:val="continue"/>
            <w:tcBorders>
              <w:top w:val="nil"/>
            </w:tcBorders>
          </w:tcPr>
          <w:p>
            <w:pPr>
              <w:rPr>
                <w:sz w:val="2"/>
                <w:szCs w:val="2"/>
              </w:rPr>
            </w:pPr>
          </w:p>
        </w:tc>
        <w:tc>
          <w:tcPr>
            <w:tcW w:w="1002" w:type="dxa"/>
          </w:tcPr>
          <w:p>
            <w:pPr>
              <w:pStyle w:val="14"/>
              <w:spacing w:before="1" w:line="221" w:lineRule="exact"/>
              <w:ind w:left="9"/>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21" w:lineRule="exact"/>
              <w:ind w:left="116" w:right="103"/>
              <w:rPr>
                <w:rFonts w:ascii="Times New Roman"/>
                <w:sz w:val="13"/>
              </w:rPr>
            </w:pPr>
            <w:r>
              <w:rPr>
                <w:rFonts w:ascii="Times New Roman"/>
                <w:position w:val="-6"/>
                <w:sz w:val="21"/>
              </w:rPr>
              <w:t>Mg</w:t>
            </w:r>
            <w:r>
              <w:rPr>
                <w:rFonts w:ascii="Times New Roman"/>
                <w:sz w:val="13"/>
              </w:rPr>
              <w:t>2+</w:t>
            </w:r>
          </w:p>
        </w:tc>
        <w:tc>
          <w:tcPr>
            <w:tcW w:w="2162" w:type="dxa"/>
            <w:gridSpan w:val="2"/>
            <w:vMerge w:val="continue"/>
            <w:tcBorders>
              <w:top w:val="nil"/>
            </w:tcBorders>
          </w:tcPr>
          <w:p>
            <w:pPr>
              <w:rPr>
                <w:sz w:val="2"/>
                <w:szCs w:val="2"/>
              </w:rPr>
            </w:pPr>
          </w:p>
        </w:tc>
        <w:tc>
          <w:tcPr>
            <w:tcW w:w="1002" w:type="dxa"/>
          </w:tcPr>
          <w:p>
            <w:pPr>
              <w:pStyle w:val="14"/>
              <w:spacing w:line="221" w:lineRule="exact"/>
              <w:ind w:left="9"/>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5" w:line="71" w:lineRule="exact"/>
              <w:ind w:left="476" w:right="108"/>
              <w:rPr>
                <w:rFonts w:ascii="Times New Roman"/>
                <w:sz w:val="13"/>
              </w:rPr>
            </w:pPr>
            <w:r>
              <w:rPr>
                <w:rFonts w:ascii="Times New Roman"/>
                <w:w w:val="105"/>
                <w:sz w:val="13"/>
              </w:rPr>
              <w:t>2-</w:t>
            </w:r>
          </w:p>
          <w:p>
            <w:pPr>
              <w:pStyle w:val="14"/>
              <w:spacing w:line="147" w:lineRule="exact"/>
              <w:ind w:left="8" w:right="108"/>
              <w:rPr>
                <w:rFonts w:ascii="Times New Roman"/>
                <w:sz w:val="21"/>
              </w:rPr>
            </w:pPr>
            <w:r>
              <w:rPr>
                <w:rFonts w:ascii="Times New Roman"/>
                <w:position w:val="2"/>
                <w:sz w:val="21"/>
              </w:rPr>
              <w:t>CO</w:t>
            </w:r>
            <w:r>
              <w:rPr>
                <w:rFonts w:ascii="Times New Roman"/>
                <w:position w:val="2"/>
                <w:sz w:val="21"/>
                <w:vertAlign w:val="subscript"/>
              </w:rPr>
              <w:t>3</w:t>
            </w:r>
          </w:p>
        </w:tc>
        <w:tc>
          <w:tcPr>
            <w:tcW w:w="2162" w:type="dxa"/>
            <w:gridSpan w:val="2"/>
            <w:vMerge w:val="continue"/>
            <w:tcBorders>
              <w:top w:val="nil"/>
            </w:tcBorders>
          </w:tcPr>
          <w:p>
            <w:pPr>
              <w:rPr>
                <w:sz w:val="2"/>
                <w:szCs w:val="2"/>
              </w:rPr>
            </w:pPr>
          </w:p>
        </w:tc>
        <w:tc>
          <w:tcPr>
            <w:tcW w:w="1002" w:type="dxa"/>
          </w:tcPr>
          <w:p>
            <w:pPr>
              <w:pStyle w:val="14"/>
              <w:spacing w:line="222" w:lineRule="exact"/>
              <w:ind w:left="9"/>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5" w:line="71" w:lineRule="exact"/>
              <w:ind w:left="519"/>
              <w:rPr>
                <w:rFonts w:ascii="Times New Roman"/>
                <w:sz w:val="13"/>
              </w:rPr>
            </w:pPr>
            <w:r>
              <w:rPr>
                <w:rFonts w:ascii="Times New Roman"/>
                <w:w w:val="105"/>
                <w:sz w:val="13"/>
              </w:rPr>
              <w:t>-</w:t>
            </w:r>
          </w:p>
          <w:p>
            <w:pPr>
              <w:pStyle w:val="14"/>
              <w:spacing w:line="146" w:lineRule="exact"/>
              <w:ind w:left="77" w:right="108"/>
              <w:rPr>
                <w:rFonts w:ascii="Times New Roman"/>
                <w:sz w:val="21"/>
              </w:rPr>
            </w:pPr>
            <w:r>
              <w:rPr>
                <w:rFonts w:ascii="Times New Roman"/>
                <w:position w:val="2"/>
                <w:sz w:val="21"/>
              </w:rPr>
              <w:t>HCO</w:t>
            </w:r>
            <w:r>
              <w:rPr>
                <w:rFonts w:ascii="Times New Roman"/>
                <w:position w:val="2"/>
                <w:sz w:val="21"/>
                <w:vertAlign w:val="subscript"/>
              </w:rPr>
              <w:t>3</w:t>
            </w:r>
          </w:p>
        </w:tc>
        <w:tc>
          <w:tcPr>
            <w:tcW w:w="2162" w:type="dxa"/>
            <w:gridSpan w:val="2"/>
            <w:vMerge w:val="continue"/>
            <w:tcBorders>
              <w:top w:val="nil"/>
            </w:tcBorders>
          </w:tcPr>
          <w:p>
            <w:pPr>
              <w:rPr>
                <w:sz w:val="2"/>
                <w:szCs w:val="2"/>
              </w:rPr>
            </w:pPr>
          </w:p>
        </w:tc>
        <w:tc>
          <w:tcPr>
            <w:tcW w:w="1002" w:type="dxa"/>
          </w:tcPr>
          <w:p>
            <w:pPr>
              <w:pStyle w:val="14"/>
              <w:spacing w:line="221" w:lineRule="exact"/>
              <w:ind w:left="9"/>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21" w:lineRule="exact"/>
              <w:ind w:left="116" w:right="105"/>
              <w:rPr>
                <w:rFonts w:ascii="Times New Roman"/>
                <w:sz w:val="13"/>
              </w:rPr>
            </w:pPr>
            <w:r>
              <w:rPr>
                <w:rFonts w:ascii="Times New Roman"/>
                <w:sz w:val="21"/>
              </w:rPr>
              <w:t>Cl</w:t>
            </w:r>
            <w:r>
              <w:rPr>
                <w:rFonts w:ascii="Times New Roman"/>
                <w:position w:val="7"/>
                <w:sz w:val="13"/>
              </w:rPr>
              <w:t>-</w:t>
            </w:r>
          </w:p>
        </w:tc>
        <w:tc>
          <w:tcPr>
            <w:tcW w:w="2162" w:type="dxa"/>
            <w:gridSpan w:val="2"/>
            <w:vMerge w:val="continue"/>
            <w:tcBorders>
              <w:top w:val="nil"/>
            </w:tcBorders>
          </w:tcPr>
          <w:p>
            <w:pPr>
              <w:rPr>
                <w:sz w:val="2"/>
                <w:szCs w:val="2"/>
              </w:rPr>
            </w:pPr>
          </w:p>
        </w:tc>
        <w:tc>
          <w:tcPr>
            <w:tcW w:w="1002" w:type="dxa"/>
          </w:tcPr>
          <w:p>
            <w:pPr>
              <w:pStyle w:val="14"/>
              <w:spacing w:line="222" w:lineRule="exact"/>
              <w:ind w:left="9"/>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21" w:lineRule="exact"/>
              <w:ind w:left="116" w:right="105"/>
              <w:rPr>
                <w:rFonts w:ascii="Times New Roman"/>
                <w:sz w:val="13"/>
              </w:rPr>
            </w:pPr>
            <w:r>
              <w:rPr>
                <w:rFonts w:ascii="Times New Roman"/>
                <w:w w:val="105"/>
                <w:position w:val="2"/>
                <w:sz w:val="21"/>
              </w:rPr>
              <w:t>SO</w:t>
            </w:r>
            <w:r>
              <w:rPr>
                <w:rFonts w:ascii="Times New Roman"/>
                <w:w w:val="105"/>
                <w:sz w:val="13"/>
              </w:rPr>
              <w:t>4</w:t>
            </w:r>
            <w:r>
              <w:rPr>
                <w:rFonts w:ascii="Times New Roman"/>
                <w:w w:val="105"/>
                <w:position w:val="8"/>
                <w:sz w:val="13"/>
              </w:rPr>
              <w:t>2-</w:t>
            </w:r>
          </w:p>
        </w:tc>
        <w:tc>
          <w:tcPr>
            <w:tcW w:w="2162" w:type="dxa"/>
            <w:gridSpan w:val="2"/>
            <w:vMerge w:val="continue"/>
            <w:tcBorders>
              <w:top w:val="nil"/>
            </w:tcBorders>
          </w:tcPr>
          <w:p>
            <w:pPr>
              <w:rPr>
                <w:sz w:val="2"/>
                <w:szCs w:val="2"/>
              </w:rPr>
            </w:pPr>
          </w:p>
        </w:tc>
        <w:tc>
          <w:tcPr>
            <w:tcW w:w="1002" w:type="dxa"/>
          </w:tcPr>
          <w:p>
            <w:pPr>
              <w:pStyle w:val="14"/>
              <w:spacing w:line="221" w:lineRule="exact"/>
              <w:ind w:left="9"/>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4"/>
              <w:jc w:val="left"/>
              <w:rPr>
                <w:b/>
                <w:sz w:val="25"/>
              </w:rPr>
            </w:pPr>
          </w:p>
          <w:p>
            <w:pPr>
              <w:pStyle w:val="14"/>
              <w:spacing w:before="1"/>
              <w:ind w:left="126"/>
              <w:jc w:val="left"/>
              <w:rPr>
                <w:sz w:val="21"/>
              </w:rPr>
            </w:pPr>
            <w:r>
              <w:rPr>
                <w:sz w:val="21"/>
              </w:rPr>
              <w:t>土壤</w:t>
            </w:r>
          </w:p>
        </w:tc>
        <w:tc>
          <w:tcPr>
            <w:tcW w:w="2920"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4"/>
              </w:rPr>
            </w:pPr>
          </w:p>
          <w:p>
            <w:pPr>
              <w:pStyle w:val="14"/>
              <w:spacing w:line="242" w:lineRule="auto"/>
              <w:ind w:left="107" w:right="-44" w:firstLine="38"/>
              <w:jc w:val="left"/>
              <w:rPr>
                <w:sz w:val="21"/>
              </w:rPr>
            </w:pPr>
            <w:r>
              <w:rPr>
                <w:spacing w:val="-1"/>
                <w:sz w:val="21"/>
              </w:rPr>
              <w:t>《土壤环境质量 建设用地土</w:t>
            </w:r>
            <w:r>
              <w:rPr>
                <w:spacing w:val="-7"/>
                <w:sz w:val="21"/>
              </w:rPr>
              <w:t>壤污染风险管控标准</w:t>
            </w:r>
            <w:r>
              <w:rPr>
                <w:sz w:val="21"/>
              </w:rPr>
              <w:t>（试行</w:t>
            </w:r>
            <w:r>
              <w:rPr>
                <w:spacing w:val="-51"/>
                <w:sz w:val="21"/>
              </w:rPr>
              <w:t>）</w:t>
            </w:r>
            <w:r>
              <w:rPr>
                <w:sz w:val="21"/>
              </w:rPr>
              <w:t>》</w:t>
            </w:r>
          </w:p>
          <w:p>
            <w:pPr>
              <w:pStyle w:val="14"/>
              <w:spacing w:before="1"/>
              <w:ind w:left="596"/>
              <w:jc w:val="left"/>
              <w:rPr>
                <w:sz w:val="21"/>
              </w:rPr>
            </w:pPr>
            <w:r>
              <w:rPr>
                <w:sz w:val="21"/>
              </w:rPr>
              <w:t>（</w:t>
            </w:r>
            <w:r>
              <w:rPr>
                <w:rFonts w:ascii="Times New Roman" w:eastAsia="Times New Roman"/>
                <w:sz w:val="21"/>
              </w:rPr>
              <w:t>GB36600-2018</w:t>
            </w:r>
            <w:r>
              <w:rPr>
                <w:sz w:val="21"/>
              </w:rPr>
              <w:t>）</w:t>
            </w:r>
          </w:p>
        </w:tc>
        <w:tc>
          <w:tcPr>
            <w:tcW w:w="1763" w:type="dxa"/>
          </w:tcPr>
          <w:p>
            <w:pPr>
              <w:pStyle w:val="14"/>
              <w:spacing w:before="2" w:line="251" w:lineRule="exact"/>
              <w:ind w:left="6"/>
              <w:rPr>
                <w:sz w:val="21"/>
              </w:rPr>
            </w:pPr>
            <w:r>
              <w:rPr>
                <w:w w:val="99"/>
                <w:sz w:val="21"/>
              </w:rPr>
              <w:t>砷</w:t>
            </w:r>
          </w:p>
        </w:tc>
        <w:tc>
          <w:tcPr>
            <w:tcW w:w="2162" w:type="dxa"/>
            <w:gridSpan w:val="2"/>
          </w:tcPr>
          <w:p>
            <w:pPr>
              <w:pStyle w:val="14"/>
              <w:spacing w:before="16" w:line="237" w:lineRule="exact"/>
              <w:ind w:left="742" w:right="736"/>
              <w:rPr>
                <w:rFonts w:ascii="Times New Roman"/>
                <w:sz w:val="21"/>
              </w:rPr>
            </w:pPr>
            <w:r>
              <w:rPr>
                <w:rFonts w:ascii="Times New Roman"/>
                <w:sz w:val="21"/>
              </w:rPr>
              <w:t>mg/kg</w:t>
            </w:r>
          </w:p>
        </w:tc>
        <w:tc>
          <w:tcPr>
            <w:tcW w:w="1002" w:type="dxa"/>
          </w:tcPr>
          <w:p>
            <w:pPr>
              <w:pStyle w:val="14"/>
              <w:spacing w:before="16" w:line="237" w:lineRule="exact"/>
              <w:ind w:left="190" w:right="182"/>
              <w:rPr>
                <w:rFonts w:ascii="Times New Roman"/>
                <w:sz w:val="21"/>
              </w:rPr>
            </w:pPr>
            <w:r>
              <w:rPr>
                <w:rFonts w:ascii="Times New Roman"/>
                <w:sz w:val="21"/>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2" w:lineRule="exact"/>
              <w:ind w:left="6"/>
              <w:rPr>
                <w:sz w:val="21"/>
              </w:rPr>
            </w:pPr>
            <w:r>
              <w:rPr>
                <w:w w:val="99"/>
                <w:sz w:val="21"/>
              </w:rPr>
              <w:t>镉</w:t>
            </w:r>
          </w:p>
        </w:tc>
        <w:tc>
          <w:tcPr>
            <w:tcW w:w="2162" w:type="dxa"/>
            <w:gridSpan w:val="2"/>
          </w:tcPr>
          <w:p>
            <w:pPr>
              <w:pStyle w:val="14"/>
              <w:spacing w:before="14" w:line="238" w:lineRule="exact"/>
              <w:ind w:left="742" w:right="736"/>
              <w:rPr>
                <w:rFonts w:ascii="Times New Roman"/>
                <w:sz w:val="21"/>
              </w:rPr>
            </w:pPr>
            <w:r>
              <w:rPr>
                <w:rFonts w:ascii="Times New Roman"/>
                <w:sz w:val="21"/>
              </w:rPr>
              <w:t>mg/kg</w:t>
            </w:r>
          </w:p>
        </w:tc>
        <w:tc>
          <w:tcPr>
            <w:tcW w:w="1002" w:type="dxa"/>
          </w:tcPr>
          <w:p>
            <w:pPr>
              <w:pStyle w:val="14"/>
              <w:spacing w:before="14" w:line="238" w:lineRule="exact"/>
              <w:ind w:left="190" w:right="182"/>
              <w:rPr>
                <w:rFonts w:ascii="Times New Roman"/>
                <w:sz w:val="21"/>
              </w:rPr>
            </w:pPr>
            <w:r>
              <w:rPr>
                <w:rFonts w:ascii="Times New Roman"/>
                <w:sz w:val="21"/>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1" w:lineRule="exact"/>
              <w:ind w:left="116" w:right="108"/>
              <w:rPr>
                <w:sz w:val="21"/>
              </w:rPr>
            </w:pPr>
            <w:r>
              <w:rPr>
                <w:sz w:val="21"/>
              </w:rPr>
              <w:t>六价铬</w:t>
            </w:r>
          </w:p>
        </w:tc>
        <w:tc>
          <w:tcPr>
            <w:tcW w:w="2162" w:type="dxa"/>
            <w:gridSpan w:val="2"/>
          </w:tcPr>
          <w:p>
            <w:pPr>
              <w:pStyle w:val="14"/>
              <w:spacing w:before="15" w:line="237" w:lineRule="exact"/>
              <w:ind w:left="742" w:right="736"/>
              <w:rPr>
                <w:rFonts w:ascii="Times New Roman"/>
                <w:sz w:val="21"/>
              </w:rPr>
            </w:pPr>
            <w:r>
              <w:rPr>
                <w:rFonts w:ascii="Times New Roman"/>
                <w:sz w:val="21"/>
              </w:rPr>
              <w:t>mg/kg</w:t>
            </w:r>
          </w:p>
        </w:tc>
        <w:tc>
          <w:tcPr>
            <w:tcW w:w="1002" w:type="dxa"/>
          </w:tcPr>
          <w:p>
            <w:pPr>
              <w:pStyle w:val="14"/>
              <w:spacing w:before="15" w:line="237" w:lineRule="exact"/>
              <w:ind w:left="190" w:right="182"/>
              <w:rPr>
                <w:rFonts w:ascii="Times New Roman"/>
                <w:sz w:val="21"/>
              </w:rPr>
            </w:pPr>
            <w:r>
              <w:rPr>
                <w:rFonts w:ascii="Times New Roman"/>
                <w:sz w:val="21"/>
              </w:rPr>
              <w:t>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3" w:lineRule="exact"/>
              <w:ind w:left="6"/>
              <w:rPr>
                <w:sz w:val="21"/>
              </w:rPr>
            </w:pPr>
            <w:r>
              <w:rPr>
                <w:w w:val="99"/>
                <w:sz w:val="21"/>
              </w:rPr>
              <w:t>铜</w:t>
            </w:r>
          </w:p>
        </w:tc>
        <w:tc>
          <w:tcPr>
            <w:tcW w:w="2162" w:type="dxa"/>
            <w:gridSpan w:val="2"/>
          </w:tcPr>
          <w:p>
            <w:pPr>
              <w:pStyle w:val="14"/>
              <w:spacing w:before="14" w:line="239" w:lineRule="exact"/>
              <w:ind w:left="742" w:right="736"/>
              <w:rPr>
                <w:rFonts w:ascii="Times New Roman"/>
                <w:sz w:val="21"/>
              </w:rPr>
            </w:pPr>
            <w:r>
              <w:rPr>
                <w:rFonts w:ascii="Times New Roman"/>
                <w:sz w:val="21"/>
              </w:rPr>
              <w:t>mg/kg</w:t>
            </w:r>
          </w:p>
        </w:tc>
        <w:tc>
          <w:tcPr>
            <w:tcW w:w="1002" w:type="dxa"/>
          </w:tcPr>
          <w:p>
            <w:pPr>
              <w:pStyle w:val="14"/>
              <w:spacing w:before="14" w:line="239" w:lineRule="exact"/>
              <w:ind w:right="228"/>
              <w:jc w:val="right"/>
              <w:rPr>
                <w:rFonts w:ascii="Times New Roman"/>
                <w:sz w:val="21"/>
              </w:rPr>
            </w:pPr>
            <w:r>
              <w:rPr>
                <w:rFonts w:ascii="Times New Roman"/>
                <w:w w:val="95"/>
                <w:sz w:val="21"/>
              </w:rPr>
              <w:t>18000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2" w:lineRule="exact"/>
              <w:ind w:left="6"/>
              <w:rPr>
                <w:sz w:val="21"/>
              </w:rPr>
            </w:pPr>
            <w:r>
              <w:rPr>
                <w:w w:val="99"/>
                <w:sz w:val="21"/>
              </w:rPr>
              <w:t>汞</w:t>
            </w:r>
          </w:p>
        </w:tc>
        <w:tc>
          <w:tcPr>
            <w:tcW w:w="2162" w:type="dxa"/>
            <w:gridSpan w:val="2"/>
          </w:tcPr>
          <w:p>
            <w:pPr>
              <w:pStyle w:val="14"/>
              <w:spacing w:before="14" w:line="238" w:lineRule="exact"/>
              <w:ind w:left="742" w:right="736"/>
              <w:rPr>
                <w:rFonts w:ascii="Times New Roman"/>
                <w:sz w:val="21"/>
              </w:rPr>
            </w:pPr>
            <w:r>
              <w:rPr>
                <w:rFonts w:ascii="Times New Roman"/>
                <w:sz w:val="21"/>
              </w:rPr>
              <w:t>mg/kg</w:t>
            </w:r>
          </w:p>
        </w:tc>
        <w:tc>
          <w:tcPr>
            <w:tcW w:w="1002" w:type="dxa"/>
          </w:tcPr>
          <w:p>
            <w:pPr>
              <w:pStyle w:val="14"/>
              <w:spacing w:before="14" w:line="238" w:lineRule="exact"/>
              <w:ind w:left="190" w:right="182"/>
              <w:rPr>
                <w:rFonts w:ascii="Times New Roman"/>
                <w:sz w:val="21"/>
              </w:rPr>
            </w:pPr>
            <w:r>
              <w:rPr>
                <w:rFonts w:ascii="Times New Roman"/>
                <w:sz w:val="21"/>
              </w:rPr>
              <w:t>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2" w:lineRule="exact"/>
              <w:ind w:left="6"/>
              <w:rPr>
                <w:sz w:val="21"/>
              </w:rPr>
            </w:pPr>
            <w:r>
              <w:rPr>
                <w:w w:val="99"/>
                <w:sz w:val="21"/>
              </w:rPr>
              <w:t>镍</w:t>
            </w:r>
          </w:p>
        </w:tc>
        <w:tc>
          <w:tcPr>
            <w:tcW w:w="2162" w:type="dxa"/>
            <w:gridSpan w:val="2"/>
          </w:tcPr>
          <w:p>
            <w:pPr>
              <w:pStyle w:val="14"/>
              <w:spacing w:before="13" w:line="239" w:lineRule="exact"/>
              <w:ind w:left="742" w:right="736"/>
              <w:rPr>
                <w:rFonts w:ascii="Times New Roman"/>
                <w:sz w:val="21"/>
              </w:rPr>
            </w:pPr>
            <w:r>
              <w:rPr>
                <w:rFonts w:ascii="Times New Roman"/>
                <w:sz w:val="21"/>
              </w:rPr>
              <w:t>mg/kg</w:t>
            </w:r>
          </w:p>
        </w:tc>
        <w:tc>
          <w:tcPr>
            <w:tcW w:w="1002" w:type="dxa"/>
          </w:tcPr>
          <w:p>
            <w:pPr>
              <w:pStyle w:val="14"/>
              <w:spacing w:before="13" w:line="239" w:lineRule="exact"/>
              <w:ind w:left="190" w:right="182"/>
              <w:rPr>
                <w:rFonts w:ascii="Times New Roman"/>
                <w:sz w:val="21"/>
              </w:rPr>
            </w:pPr>
            <w:r>
              <w:rPr>
                <w:rFonts w:ascii="Times New Roman"/>
                <w:sz w:val="21"/>
              </w:rPr>
              <w:t>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3" w:lineRule="exact"/>
              <w:ind w:left="6"/>
              <w:rPr>
                <w:sz w:val="21"/>
              </w:rPr>
            </w:pPr>
            <w:r>
              <w:rPr>
                <w:w w:val="99"/>
                <w:sz w:val="21"/>
              </w:rPr>
              <w:t>铅</w:t>
            </w:r>
          </w:p>
        </w:tc>
        <w:tc>
          <w:tcPr>
            <w:tcW w:w="2162" w:type="dxa"/>
            <w:gridSpan w:val="2"/>
          </w:tcPr>
          <w:p>
            <w:pPr>
              <w:pStyle w:val="14"/>
              <w:spacing w:before="14" w:line="239" w:lineRule="exact"/>
              <w:ind w:left="742" w:right="736"/>
              <w:rPr>
                <w:rFonts w:ascii="Times New Roman"/>
                <w:sz w:val="21"/>
              </w:rPr>
            </w:pPr>
            <w:r>
              <w:rPr>
                <w:rFonts w:ascii="Times New Roman"/>
                <w:sz w:val="21"/>
              </w:rPr>
              <w:t>mg/kg</w:t>
            </w:r>
          </w:p>
        </w:tc>
        <w:tc>
          <w:tcPr>
            <w:tcW w:w="1002" w:type="dxa"/>
          </w:tcPr>
          <w:p>
            <w:pPr>
              <w:pStyle w:val="14"/>
              <w:spacing w:before="14" w:line="239" w:lineRule="exact"/>
              <w:ind w:left="190" w:right="182"/>
              <w:rPr>
                <w:rFonts w:ascii="Times New Roman"/>
                <w:sz w:val="21"/>
              </w:rPr>
            </w:pPr>
            <w:r>
              <w:rPr>
                <w:rFonts w:ascii="Times New Roman"/>
                <w:sz w:val="21"/>
              </w:rPr>
              <w:t>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2" w:lineRule="exact"/>
              <w:ind w:left="116" w:right="108"/>
              <w:rPr>
                <w:sz w:val="21"/>
              </w:rPr>
            </w:pPr>
            <w:r>
              <w:rPr>
                <w:sz w:val="21"/>
              </w:rPr>
              <w:t>氯乙烯</w:t>
            </w:r>
          </w:p>
        </w:tc>
        <w:tc>
          <w:tcPr>
            <w:tcW w:w="2162" w:type="dxa"/>
            <w:gridSpan w:val="2"/>
          </w:tcPr>
          <w:p>
            <w:pPr>
              <w:pStyle w:val="14"/>
              <w:spacing w:before="14" w:line="238" w:lineRule="exact"/>
              <w:ind w:left="742" w:right="736"/>
              <w:rPr>
                <w:rFonts w:ascii="Times New Roman"/>
                <w:sz w:val="21"/>
              </w:rPr>
            </w:pPr>
            <w:r>
              <w:rPr>
                <w:rFonts w:ascii="Times New Roman"/>
                <w:sz w:val="21"/>
              </w:rPr>
              <w:t>mg/kg</w:t>
            </w:r>
          </w:p>
        </w:tc>
        <w:tc>
          <w:tcPr>
            <w:tcW w:w="1002" w:type="dxa"/>
          </w:tcPr>
          <w:p>
            <w:pPr>
              <w:pStyle w:val="14"/>
              <w:spacing w:before="14" w:line="238" w:lineRule="exact"/>
              <w:ind w:left="265"/>
              <w:jc w:val="left"/>
              <w:rPr>
                <w:rFonts w:ascii="Times New Roman"/>
                <w:sz w:val="21"/>
              </w:rPr>
            </w:pPr>
            <w:r>
              <w:rPr>
                <w:rFonts w:ascii="Times New Roman"/>
                <w:sz w:val="21"/>
              </w:rPr>
              <w:t>0.430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0" w:lineRule="exact"/>
              <w:ind w:left="116" w:right="108"/>
              <w:rPr>
                <w:sz w:val="21"/>
              </w:rPr>
            </w:pPr>
            <w:r>
              <w:rPr>
                <w:rFonts w:ascii="Times New Roman" w:eastAsia="Times New Roman"/>
                <w:sz w:val="21"/>
              </w:rPr>
              <w:t>1,1-</w:t>
            </w:r>
            <w:r>
              <w:rPr>
                <w:sz w:val="21"/>
              </w:rPr>
              <w:t>二氯乙烯</w:t>
            </w:r>
          </w:p>
        </w:tc>
        <w:tc>
          <w:tcPr>
            <w:tcW w:w="2162" w:type="dxa"/>
            <w:gridSpan w:val="2"/>
          </w:tcPr>
          <w:p>
            <w:pPr>
              <w:pStyle w:val="14"/>
              <w:spacing w:before="13" w:line="239" w:lineRule="exact"/>
              <w:ind w:left="742" w:right="736"/>
              <w:rPr>
                <w:rFonts w:ascii="Times New Roman"/>
                <w:sz w:val="21"/>
              </w:rPr>
            </w:pPr>
            <w:r>
              <w:rPr>
                <w:rFonts w:ascii="Times New Roman"/>
                <w:sz w:val="21"/>
              </w:rPr>
              <w:t>mg/kg</w:t>
            </w:r>
          </w:p>
        </w:tc>
        <w:tc>
          <w:tcPr>
            <w:tcW w:w="1002" w:type="dxa"/>
          </w:tcPr>
          <w:p>
            <w:pPr>
              <w:pStyle w:val="14"/>
              <w:spacing w:before="13" w:line="239" w:lineRule="exact"/>
              <w:ind w:left="190" w:right="182"/>
              <w:rPr>
                <w:rFonts w:ascii="Times New Roman"/>
                <w:sz w:val="21"/>
              </w:rPr>
            </w:pPr>
            <w:r>
              <w:rPr>
                <w:rFonts w:ascii="Times New Roman"/>
                <w:sz w:val="21"/>
              </w:rPr>
              <w:t>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3" w:lineRule="exact"/>
              <w:ind w:left="114" w:right="108"/>
              <w:rPr>
                <w:sz w:val="21"/>
              </w:rPr>
            </w:pPr>
            <w:r>
              <w:rPr>
                <w:sz w:val="21"/>
              </w:rPr>
              <w:t>二氯甲烷</w:t>
            </w:r>
          </w:p>
        </w:tc>
        <w:tc>
          <w:tcPr>
            <w:tcW w:w="2162" w:type="dxa"/>
            <w:gridSpan w:val="2"/>
          </w:tcPr>
          <w:p>
            <w:pPr>
              <w:pStyle w:val="14"/>
              <w:spacing w:before="14" w:line="239" w:lineRule="exact"/>
              <w:ind w:left="742" w:right="736"/>
              <w:rPr>
                <w:rFonts w:ascii="Times New Roman"/>
                <w:sz w:val="21"/>
              </w:rPr>
            </w:pPr>
            <w:r>
              <w:rPr>
                <w:rFonts w:ascii="Times New Roman"/>
                <w:sz w:val="21"/>
              </w:rPr>
              <w:t>mg/kg</w:t>
            </w:r>
          </w:p>
        </w:tc>
        <w:tc>
          <w:tcPr>
            <w:tcW w:w="1002" w:type="dxa"/>
          </w:tcPr>
          <w:p>
            <w:pPr>
              <w:pStyle w:val="14"/>
              <w:spacing w:before="14" w:line="239" w:lineRule="exact"/>
              <w:ind w:left="190" w:right="182"/>
              <w:rPr>
                <w:rFonts w:ascii="Times New Roman"/>
                <w:sz w:val="21"/>
              </w:rPr>
            </w:pPr>
            <w:r>
              <w:rPr>
                <w:rFonts w:ascii="Times New Roman"/>
                <w:sz w:val="21"/>
              </w:rPr>
              <w:t>616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1" w:lineRule="exact"/>
              <w:ind w:left="116" w:right="108"/>
              <w:rPr>
                <w:sz w:val="21"/>
              </w:rPr>
            </w:pPr>
            <w:r>
              <w:rPr>
                <w:sz w:val="21"/>
              </w:rPr>
              <w:t>反</w:t>
            </w:r>
            <w:r>
              <w:rPr>
                <w:rFonts w:ascii="Times New Roman" w:eastAsia="Times New Roman"/>
                <w:sz w:val="21"/>
              </w:rPr>
              <w:t>-1,2-</w:t>
            </w:r>
            <w:r>
              <w:rPr>
                <w:sz w:val="21"/>
              </w:rPr>
              <w:t>二氯乙烯</w:t>
            </w:r>
          </w:p>
        </w:tc>
        <w:tc>
          <w:tcPr>
            <w:tcW w:w="2162" w:type="dxa"/>
            <w:gridSpan w:val="2"/>
          </w:tcPr>
          <w:p>
            <w:pPr>
              <w:pStyle w:val="14"/>
              <w:spacing w:before="14" w:line="237" w:lineRule="exact"/>
              <w:ind w:left="742" w:right="736"/>
              <w:rPr>
                <w:rFonts w:ascii="Times New Roman"/>
                <w:sz w:val="21"/>
              </w:rPr>
            </w:pPr>
            <w:r>
              <w:rPr>
                <w:rFonts w:ascii="Times New Roman"/>
                <w:sz w:val="21"/>
              </w:rPr>
              <w:t>mg/kg</w:t>
            </w:r>
          </w:p>
        </w:tc>
        <w:tc>
          <w:tcPr>
            <w:tcW w:w="1002" w:type="dxa"/>
          </w:tcPr>
          <w:p>
            <w:pPr>
              <w:pStyle w:val="14"/>
              <w:spacing w:before="14" w:line="237" w:lineRule="exact"/>
              <w:ind w:left="190" w:right="182"/>
              <w:rPr>
                <w:rFonts w:ascii="Times New Roman"/>
                <w:sz w:val="21"/>
              </w:rPr>
            </w:pPr>
            <w:r>
              <w:rPr>
                <w:rFonts w:ascii="Times New Roman"/>
                <w:sz w:val="21"/>
              </w:rPr>
              <w:t>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0" w:lineRule="exact"/>
              <w:ind w:left="116" w:right="108"/>
              <w:rPr>
                <w:sz w:val="21"/>
              </w:rPr>
            </w:pPr>
            <w:r>
              <w:rPr>
                <w:rFonts w:ascii="Times New Roman" w:eastAsia="Times New Roman"/>
                <w:sz w:val="21"/>
              </w:rPr>
              <w:t>1,1-</w:t>
            </w:r>
            <w:r>
              <w:rPr>
                <w:sz w:val="21"/>
              </w:rPr>
              <w:t>二氯乙烷</w:t>
            </w:r>
          </w:p>
        </w:tc>
        <w:tc>
          <w:tcPr>
            <w:tcW w:w="2162" w:type="dxa"/>
            <w:gridSpan w:val="2"/>
          </w:tcPr>
          <w:p>
            <w:pPr>
              <w:pStyle w:val="14"/>
              <w:spacing w:before="15" w:line="236" w:lineRule="exact"/>
              <w:ind w:left="742" w:right="736"/>
              <w:rPr>
                <w:rFonts w:ascii="Times New Roman"/>
                <w:sz w:val="21"/>
              </w:rPr>
            </w:pPr>
            <w:r>
              <w:rPr>
                <w:rFonts w:ascii="Times New Roman"/>
                <w:sz w:val="21"/>
              </w:rPr>
              <w:t>mg/kg</w:t>
            </w:r>
          </w:p>
        </w:tc>
        <w:tc>
          <w:tcPr>
            <w:tcW w:w="1002" w:type="dxa"/>
          </w:tcPr>
          <w:p>
            <w:pPr>
              <w:pStyle w:val="14"/>
              <w:spacing w:before="15" w:line="236" w:lineRule="exact"/>
              <w:ind w:left="8"/>
              <w:rPr>
                <w:rFonts w:ascii="Times New Roman"/>
                <w:sz w:val="21"/>
              </w:rPr>
            </w:pPr>
            <w:r>
              <w:rPr>
                <w:rFonts w:ascii="Times New Roman"/>
                <w:w w:val="99"/>
                <w:sz w:val="21"/>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3" w:line="250" w:lineRule="exact"/>
              <w:ind w:left="116" w:right="108"/>
              <w:rPr>
                <w:sz w:val="21"/>
              </w:rPr>
            </w:pPr>
            <w:r>
              <w:rPr>
                <w:sz w:val="21"/>
              </w:rPr>
              <w:t>顺</w:t>
            </w:r>
            <w:r>
              <w:rPr>
                <w:rFonts w:ascii="Times New Roman" w:eastAsia="Times New Roman"/>
                <w:sz w:val="21"/>
              </w:rPr>
              <w:t>-1,2-</w:t>
            </w:r>
            <w:r>
              <w:rPr>
                <w:sz w:val="21"/>
              </w:rPr>
              <w:t>二氯乙烯</w:t>
            </w:r>
          </w:p>
        </w:tc>
        <w:tc>
          <w:tcPr>
            <w:tcW w:w="2162" w:type="dxa"/>
            <w:gridSpan w:val="2"/>
          </w:tcPr>
          <w:p>
            <w:pPr>
              <w:pStyle w:val="14"/>
              <w:spacing w:before="14" w:line="238" w:lineRule="exact"/>
              <w:ind w:left="742" w:right="736"/>
              <w:rPr>
                <w:rFonts w:ascii="Times New Roman"/>
                <w:sz w:val="21"/>
              </w:rPr>
            </w:pPr>
            <w:r>
              <w:rPr>
                <w:rFonts w:ascii="Times New Roman"/>
                <w:sz w:val="21"/>
              </w:rPr>
              <w:t>mg/kg</w:t>
            </w:r>
          </w:p>
        </w:tc>
        <w:tc>
          <w:tcPr>
            <w:tcW w:w="1002" w:type="dxa"/>
          </w:tcPr>
          <w:p>
            <w:pPr>
              <w:pStyle w:val="14"/>
              <w:spacing w:before="14" w:line="238" w:lineRule="exact"/>
              <w:ind w:left="190" w:right="182"/>
              <w:rPr>
                <w:rFonts w:ascii="Times New Roman"/>
                <w:sz w:val="21"/>
              </w:rPr>
            </w:pPr>
            <w:r>
              <w:rPr>
                <w:rFonts w:ascii="Times New Roman"/>
                <w:sz w:val="21"/>
              </w:rPr>
              <w:t>596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1" w:lineRule="exact"/>
              <w:ind w:left="111" w:right="108"/>
              <w:rPr>
                <w:sz w:val="21"/>
              </w:rPr>
            </w:pPr>
            <w:r>
              <w:rPr>
                <w:sz w:val="21"/>
              </w:rPr>
              <w:t>氯仿</w:t>
            </w:r>
          </w:p>
        </w:tc>
        <w:tc>
          <w:tcPr>
            <w:tcW w:w="2162" w:type="dxa"/>
            <w:gridSpan w:val="2"/>
          </w:tcPr>
          <w:p>
            <w:pPr>
              <w:pStyle w:val="14"/>
              <w:spacing w:before="14" w:line="237" w:lineRule="exact"/>
              <w:ind w:left="742" w:right="736"/>
              <w:rPr>
                <w:rFonts w:ascii="Times New Roman"/>
                <w:sz w:val="21"/>
              </w:rPr>
            </w:pPr>
            <w:r>
              <w:rPr>
                <w:rFonts w:ascii="Times New Roman"/>
                <w:sz w:val="21"/>
              </w:rPr>
              <w:t>mg/kg</w:t>
            </w:r>
          </w:p>
        </w:tc>
        <w:tc>
          <w:tcPr>
            <w:tcW w:w="1002" w:type="dxa"/>
          </w:tcPr>
          <w:p>
            <w:pPr>
              <w:pStyle w:val="14"/>
              <w:spacing w:before="14" w:line="237" w:lineRule="exact"/>
              <w:ind w:left="190" w:right="182"/>
              <w:rPr>
                <w:rFonts w:ascii="Times New Roman"/>
                <w:sz w:val="21"/>
              </w:rPr>
            </w:pPr>
            <w:r>
              <w:rPr>
                <w:rFonts w:ascii="Times New Roman"/>
                <w:sz w:val="21"/>
              </w:rPr>
              <w:t>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2" w:line="250" w:lineRule="exact"/>
              <w:ind w:left="114" w:right="108"/>
              <w:rPr>
                <w:sz w:val="21"/>
              </w:rPr>
            </w:pPr>
            <w:r>
              <w:rPr>
                <w:rFonts w:ascii="Times New Roman" w:eastAsia="Times New Roman"/>
                <w:sz w:val="21"/>
              </w:rPr>
              <w:t>1,1,1-</w:t>
            </w:r>
            <w:r>
              <w:rPr>
                <w:sz w:val="21"/>
              </w:rPr>
              <w:t>三氯乙烷</w:t>
            </w:r>
          </w:p>
        </w:tc>
        <w:tc>
          <w:tcPr>
            <w:tcW w:w="2162" w:type="dxa"/>
            <w:gridSpan w:val="2"/>
          </w:tcPr>
          <w:p>
            <w:pPr>
              <w:pStyle w:val="14"/>
              <w:spacing w:before="16" w:line="236" w:lineRule="exact"/>
              <w:ind w:left="742" w:right="736"/>
              <w:rPr>
                <w:rFonts w:ascii="Times New Roman"/>
                <w:sz w:val="21"/>
              </w:rPr>
            </w:pPr>
            <w:r>
              <w:rPr>
                <w:rFonts w:ascii="Times New Roman"/>
                <w:sz w:val="21"/>
              </w:rPr>
              <w:t>mg/kg</w:t>
            </w:r>
          </w:p>
        </w:tc>
        <w:tc>
          <w:tcPr>
            <w:tcW w:w="1002" w:type="dxa"/>
          </w:tcPr>
          <w:p>
            <w:pPr>
              <w:pStyle w:val="14"/>
              <w:spacing w:before="16" w:line="236" w:lineRule="exact"/>
              <w:ind w:left="190" w:right="182"/>
              <w:rPr>
                <w:rFonts w:ascii="Times New Roman"/>
                <w:sz w:val="21"/>
              </w:rPr>
            </w:pPr>
            <w:r>
              <w:rPr>
                <w:rFonts w:ascii="Times New Roman"/>
                <w:sz w:val="21"/>
              </w:rPr>
              <w:t>840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0" w:lineRule="exact"/>
              <w:ind w:left="114" w:right="108"/>
              <w:rPr>
                <w:sz w:val="21"/>
              </w:rPr>
            </w:pPr>
            <w:r>
              <w:rPr>
                <w:sz w:val="21"/>
              </w:rPr>
              <w:t>四氯化碳</w:t>
            </w:r>
          </w:p>
        </w:tc>
        <w:tc>
          <w:tcPr>
            <w:tcW w:w="2162" w:type="dxa"/>
            <w:gridSpan w:val="2"/>
          </w:tcPr>
          <w:p>
            <w:pPr>
              <w:pStyle w:val="14"/>
              <w:spacing w:before="14" w:line="236" w:lineRule="exact"/>
              <w:ind w:left="742" w:right="736"/>
              <w:rPr>
                <w:rFonts w:ascii="Times New Roman"/>
                <w:sz w:val="21"/>
              </w:rPr>
            </w:pPr>
            <w:r>
              <w:rPr>
                <w:rFonts w:ascii="Times New Roman"/>
                <w:sz w:val="21"/>
              </w:rPr>
              <w:t>mg/kg</w:t>
            </w:r>
          </w:p>
        </w:tc>
        <w:tc>
          <w:tcPr>
            <w:tcW w:w="1002" w:type="dxa"/>
          </w:tcPr>
          <w:p>
            <w:pPr>
              <w:pStyle w:val="14"/>
              <w:spacing w:before="14" w:line="236" w:lineRule="exact"/>
              <w:ind w:left="190" w:right="182"/>
              <w:rPr>
                <w:rFonts w:ascii="Times New Roman"/>
                <w:sz w:val="21"/>
              </w:rPr>
            </w:pPr>
            <w:r>
              <w:rPr>
                <w:rFonts w:ascii="Times New Roman"/>
                <w:sz w:val="21"/>
              </w:rPr>
              <w:t>2.8</w:t>
            </w:r>
          </w:p>
        </w:tc>
      </w:tr>
    </w:tbl>
    <w:p>
      <w:pPr>
        <w:spacing w:after="0" w:line="236" w:lineRule="exact"/>
        <w:rPr>
          <w:rFonts w:ascii="Times New Roman"/>
          <w:sz w:val="21"/>
        </w:rPr>
        <w:sectPr>
          <w:footerReference r:id="rId6" w:type="default"/>
          <w:pgSz w:w="11910" w:h="16840"/>
          <w:pgMar w:top="1400" w:right="720" w:bottom="1080" w:left="760" w:header="0" w:footer="895" w:gutter="0"/>
          <w:pgNumType w:start="10"/>
        </w:sectPr>
      </w:pPr>
    </w:p>
    <w:tbl>
      <w:tblPr>
        <w:tblStyle w:val="10"/>
        <w:tblW w:w="0" w:type="auto"/>
        <w:tblInd w:w="9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5"/>
        <w:gridCol w:w="2920"/>
        <w:gridCol w:w="1763"/>
        <w:gridCol w:w="2162"/>
        <w:gridCol w:w="10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restart"/>
          </w:tcPr>
          <w:p>
            <w:pPr>
              <w:pStyle w:val="14"/>
              <w:jc w:val="left"/>
              <w:rPr>
                <w:rFonts w:ascii="Times New Roman"/>
                <w:sz w:val="20"/>
              </w:rPr>
            </w:pPr>
          </w:p>
        </w:tc>
        <w:tc>
          <w:tcPr>
            <w:tcW w:w="2920" w:type="dxa"/>
            <w:vMerge w:val="restart"/>
          </w:tcPr>
          <w:p>
            <w:pPr>
              <w:pStyle w:val="14"/>
              <w:jc w:val="left"/>
              <w:rPr>
                <w:rFonts w:ascii="Times New Roman"/>
                <w:sz w:val="20"/>
              </w:rPr>
            </w:pPr>
          </w:p>
        </w:tc>
        <w:tc>
          <w:tcPr>
            <w:tcW w:w="1763" w:type="dxa"/>
          </w:tcPr>
          <w:p>
            <w:pPr>
              <w:pStyle w:val="14"/>
              <w:spacing w:line="252" w:lineRule="exact"/>
              <w:ind w:left="6"/>
              <w:rPr>
                <w:sz w:val="21"/>
              </w:rPr>
            </w:pPr>
            <w:r>
              <w:rPr>
                <w:w w:val="99"/>
                <w:sz w:val="21"/>
              </w:rPr>
              <w:t>苯</w:t>
            </w:r>
          </w:p>
        </w:tc>
        <w:tc>
          <w:tcPr>
            <w:tcW w:w="2162" w:type="dxa"/>
          </w:tcPr>
          <w:p>
            <w:pPr>
              <w:pStyle w:val="14"/>
              <w:spacing w:before="14" w:line="238" w:lineRule="exact"/>
              <w:ind w:left="812"/>
              <w:jc w:val="left"/>
              <w:rPr>
                <w:rFonts w:ascii="Times New Roman"/>
                <w:sz w:val="21"/>
              </w:rPr>
            </w:pPr>
            <w:r>
              <w:rPr>
                <w:rFonts w:ascii="Times New Roman"/>
                <w:sz w:val="21"/>
              </w:rPr>
              <w:t>mg/kg</w:t>
            </w:r>
          </w:p>
        </w:tc>
        <w:tc>
          <w:tcPr>
            <w:tcW w:w="1002" w:type="dxa"/>
          </w:tcPr>
          <w:p>
            <w:pPr>
              <w:pStyle w:val="14"/>
              <w:spacing w:before="14" w:line="238" w:lineRule="exact"/>
              <w:ind w:left="8"/>
              <w:rPr>
                <w:rFonts w:ascii="Times New Roman"/>
                <w:sz w:val="21"/>
              </w:rPr>
            </w:pPr>
            <w:r>
              <w:rPr>
                <w:rFonts w:ascii="Times New Roman"/>
                <w:w w:val="99"/>
                <w:sz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2" w:lineRule="exact"/>
              <w:ind w:left="116" w:right="108"/>
              <w:rPr>
                <w:sz w:val="21"/>
              </w:rPr>
            </w:pPr>
            <w:r>
              <w:rPr>
                <w:rFonts w:ascii="Times New Roman" w:eastAsia="Times New Roman"/>
                <w:sz w:val="21"/>
              </w:rPr>
              <w:t>1,2-</w:t>
            </w:r>
            <w:r>
              <w:rPr>
                <w:sz w:val="21"/>
              </w:rPr>
              <w:t>二氯乙烷</w:t>
            </w:r>
          </w:p>
        </w:tc>
        <w:tc>
          <w:tcPr>
            <w:tcW w:w="2162" w:type="dxa"/>
          </w:tcPr>
          <w:p>
            <w:pPr>
              <w:pStyle w:val="14"/>
              <w:spacing w:before="15" w:line="238" w:lineRule="exact"/>
              <w:ind w:left="812"/>
              <w:jc w:val="left"/>
              <w:rPr>
                <w:rFonts w:ascii="Times New Roman"/>
                <w:sz w:val="21"/>
              </w:rPr>
            </w:pPr>
            <w:r>
              <w:rPr>
                <w:rFonts w:ascii="Times New Roman"/>
                <w:sz w:val="21"/>
              </w:rPr>
              <w:t>mg/kg</w:t>
            </w:r>
          </w:p>
        </w:tc>
        <w:tc>
          <w:tcPr>
            <w:tcW w:w="1002" w:type="dxa"/>
          </w:tcPr>
          <w:p>
            <w:pPr>
              <w:pStyle w:val="14"/>
              <w:spacing w:before="15" w:line="238" w:lineRule="exact"/>
              <w:ind w:left="8"/>
              <w:rPr>
                <w:rFonts w:ascii="Times New Roman"/>
                <w:sz w:val="21"/>
              </w:rPr>
            </w:pPr>
            <w:r>
              <w:rPr>
                <w:rFonts w:ascii="Times New Roman"/>
                <w:w w:val="99"/>
                <w:sz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2" w:lineRule="exact"/>
              <w:ind w:left="114" w:right="108"/>
              <w:rPr>
                <w:sz w:val="21"/>
              </w:rPr>
            </w:pPr>
            <w:r>
              <w:rPr>
                <w:sz w:val="21"/>
              </w:rPr>
              <w:t>三氯乙烯</w:t>
            </w:r>
          </w:p>
        </w:tc>
        <w:tc>
          <w:tcPr>
            <w:tcW w:w="2162" w:type="dxa"/>
          </w:tcPr>
          <w:p>
            <w:pPr>
              <w:pStyle w:val="14"/>
              <w:spacing w:before="13" w:line="239" w:lineRule="exact"/>
              <w:ind w:left="812"/>
              <w:jc w:val="left"/>
              <w:rPr>
                <w:rFonts w:ascii="Times New Roman"/>
                <w:sz w:val="21"/>
              </w:rPr>
            </w:pPr>
            <w:r>
              <w:rPr>
                <w:rFonts w:ascii="Times New Roman"/>
                <w:sz w:val="21"/>
              </w:rPr>
              <w:t>mg/kg</w:t>
            </w:r>
          </w:p>
        </w:tc>
        <w:tc>
          <w:tcPr>
            <w:tcW w:w="1002" w:type="dxa"/>
          </w:tcPr>
          <w:p>
            <w:pPr>
              <w:pStyle w:val="14"/>
              <w:spacing w:before="13" w:line="239" w:lineRule="exact"/>
              <w:ind w:left="190" w:right="182"/>
              <w:rPr>
                <w:rFonts w:ascii="Times New Roman"/>
                <w:sz w:val="21"/>
              </w:rPr>
            </w:pPr>
            <w:r>
              <w:rPr>
                <w:rFonts w:ascii="Times New Roman"/>
                <w:sz w:val="21"/>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2" w:line="249" w:lineRule="exact"/>
              <w:ind w:left="116" w:right="108"/>
              <w:rPr>
                <w:sz w:val="21"/>
              </w:rPr>
            </w:pPr>
            <w:r>
              <w:rPr>
                <w:rFonts w:ascii="Times New Roman" w:eastAsia="Times New Roman"/>
                <w:sz w:val="21"/>
              </w:rPr>
              <w:t>1,2-</w:t>
            </w:r>
            <w:r>
              <w:rPr>
                <w:sz w:val="21"/>
              </w:rPr>
              <w:t>二氯丙烷</w:t>
            </w:r>
          </w:p>
        </w:tc>
        <w:tc>
          <w:tcPr>
            <w:tcW w:w="2162" w:type="dxa"/>
          </w:tcPr>
          <w:p>
            <w:pPr>
              <w:pStyle w:val="14"/>
              <w:spacing w:before="14" w:line="238" w:lineRule="exact"/>
              <w:ind w:left="812"/>
              <w:jc w:val="left"/>
              <w:rPr>
                <w:rFonts w:ascii="Times New Roman"/>
                <w:sz w:val="21"/>
              </w:rPr>
            </w:pPr>
            <w:r>
              <w:rPr>
                <w:rFonts w:ascii="Times New Roman"/>
                <w:sz w:val="21"/>
              </w:rPr>
              <w:t>mg/kg</w:t>
            </w:r>
          </w:p>
        </w:tc>
        <w:tc>
          <w:tcPr>
            <w:tcW w:w="1002" w:type="dxa"/>
          </w:tcPr>
          <w:p>
            <w:pPr>
              <w:pStyle w:val="14"/>
              <w:spacing w:before="14" w:line="238" w:lineRule="exact"/>
              <w:ind w:left="8"/>
              <w:rPr>
                <w:rFonts w:ascii="Times New Roman"/>
                <w:sz w:val="21"/>
              </w:rPr>
            </w:pPr>
            <w:r>
              <w:rPr>
                <w:rFonts w:ascii="Times New Roman"/>
                <w:w w:val="99"/>
                <w:sz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2" w:lineRule="exact"/>
              <w:ind w:left="111" w:right="108"/>
              <w:rPr>
                <w:sz w:val="21"/>
              </w:rPr>
            </w:pPr>
            <w:r>
              <w:rPr>
                <w:sz w:val="21"/>
              </w:rPr>
              <w:t>甲苯</w:t>
            </w:r>
          </w:p>
        </w:tc>
        <w:tc>
          <w:tcPr>
            <w:tcW w:w="2162" w:type="dxa"/>
          </w:tcPr>
          <w:p>
            <w:pPr>
              <w:pStyle w:val="14"/>
              <w:spacing w:before="15" w:line="238" w:lineRule="exact"/>
              <w:ind w:left="812"/>
              <w:jc w:val="left"/>
              <w:rPr>
                <w:rFonts w:ascii="Times New Roman"/>
                <w:sz w:val="21"/>
              </w:rPr>
            </w:pPr>
            <w:r>
              <w:rPr>
                <w:rFonts w:ascii="Times New Roman"/>
                <w:sz w:val="21"/>
              </w:rPr>
              <w:t>mg/kg</w:t>
            </w:r>
          </w:p>
        </w:tc>
        <w:tc>
          <w:tcPr>
            <w:tcW w:w="1002" w:type="dxa"/>
          </w:tcPr>
          <w:p>
            <w:pPr>
              <w:pStyle w:val="14"/>
              <w:spacing w:before="15" w:line="238" w:lineRule="exact"/>
              <w:ind w:right="279"/>
              <w:jc w:val="right"/>
              <w:rPr>
                <w:rFonts w:ascii="Times New Roman"/>
                <w:sz w:val="21"/>
              </w:rPr>
            </w:pPr>
            <w:r>
              <w:rPr>
                <w:rFonts w:ascii="Times New Roman"/>
                <w:w w:val="95"/>
                <w:sz w:val="21"/>
              </w:rPr>
              <w:t>1200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0" w:lineRule="exact"/>
              <w:ind w:left="114" w:right="108"/>
              <w:rPr>
                <w:sz w:val="21"/>
              </w:rPr>
            </w:pPr>
            <w:r>
              <w:rPr>
                <w:rFonts w:ascii="Times New Roman" w:eastAsia="Times New Roman"/>
                <w:sz w:val="21"/>
              </w:rPr>
              <w:t>1,1,2-</w:t>
            </w:r>
            <w:r>
              <w:rPr>
                <w:sz w:val="21"/>
              </w:rPr>
              <w:t>三氯乙烷</w:t>
            </w:r>
          </w:p>
        </w:tc>
        <w:tc>
          <w:tcPr>
            <w:tcW w:w="2162" w:type="dxa"/>
          </w:tcPr>
          <w:p>
            <w:pPr>
              <w:pStyle w:val="14"/>
              <w:spacing w:before="13" w:line="239" w:lineRule="exact"/>
              <w:ind w:left="812"/>
              <w:jc w:val="left"/>
              <w:rPr>
                <w:rFonts w:ascii="Times New Roman"/>
                <w:sz w:val="21"/>
              </w:rPr>
            </w:pPr>
            <w:r>
              <w:rPr>
                <w:rFonts w:ascii="Times New Roman"/>
                <w:sz w:val="21"/>
              </w:rPr>
              <w:t>mg/kg</w:t>
            </w:r>
          </w:p>
        </w:tc>
        <w:tc>
          <w:tcPr>
            <w:tcW w:w="1002" w:type="dxa"/>
          </w:tcPr>
          <w:p>
            <w:pPr>
              <w:pStyle w:val="14"/>
              <w:spacing w:before="13" w:line="239" w:lineRule="exact"/>
              <w:ind w:left="190" w:right="182"/>
              <w:rPr>
                <w:rFonts w:ascii="Times New Roman"/>
                <w:sz w:val="21"/>
              </w:rPr>
            </w:pPr>
            <w:r>
              <w:rPr>
                <w:rFonts w:ascii="Times New Roman"/>
                <w:sz w:val="21"/>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2" w:lineRule="exact"/>
              <w:ind w:left="114" w:right="108"/>
              <w:rPr>
                <w:sz w:val="21"/>
              </w:rPr>
            </w:pPr>
            <w:r>
              <w:rPr>
                <w:sz w:val="21"/>
              </w:rPr>
              <w:t>四氯乙烯</w:t>
            </w:r>
          </w:p>
        </w:tc>
        <w:tc>
          <w:tcPr>
            <w:tcW w:w="2162" w:type="dxa"/>
          </w:tcPr>
          <w:p>
            <w:pPr>
              <w:pStyle w:val="14"/>
              <w:spacing w:before="14" w:line="238" w:lineRule="exact"/>
              <w:ind w:left="812"/>
              <w:jc w:val="left"/>
              <w:rPr>
                <w:rFonts w:ascii="Times New Roman"/>
                <w:sz w:val="21"/>
              </w:rPr>
            </w:pPr>
            <w:r>
              <w:rPr>
                <w:rFonts w:ascii="Times New Roman"/>
                <w:sz w:val="21"/>
              </w:rPr>
              <w:t>mg/kg</w:t>
            </w:r>
          </w:p>
        </w:tc>
        <w:tc>
          <w:tcPr>
            <w:tcW w:w="1002" w:type="dxa"/>
          </w:tcPr>
          <w:p>
            <w:pPr>
              <w:pStyle w:val="14"/>
              <w:spacing w:before="14" w:line="238" w:lineRule="exact"/>
              <w:ind w:left="190" w:right="182"/>
              <w:rPr>
                <w:rFonts w:ascii="Times New Roman"/>
                <w:sz w:val="21"/>
              </w:rPr>
            </w:pPr>
            <w:r>
              <w:rPr>
                <w:rFonts w:ascii="Times New Roman"/>
                <w:sz w:val="21"/>
              </w:rPr>
              <w:t>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1" w:lineRule="exact"/>
              <w:ind w:left="111" w:right="108"/>
              <w:rPr>
                <w:sz w:val="21"/>
              </w:rPr>
            </w:pPr>
            <w:r>
              <w:rPr>
                <w:sz w:val="21"/>
              </w:rPr>
              <w:t>氯苯</w:t>
            </w:r>
          </w:p>
        </w:tc>
        <w:tc>
          <w:tcPr>
            <w:tcW w:w="2162" w:type="dxa"/>
          </w:tcPr>
          <w:p>
            <w:pPr>
              <w:pStyle w:val="14"/>
              <w:spacing w:before="15" w:line="237" w:lineRule="exact"/>
              <w:ind w:left="812"/>
              <w:jc w:val="left"/>
              <w:rPr>
                <w:rFonts w:ascii="Times New Roman"/>
                <w:sz w:val="21"/>
              </w:rPr>
            </w:pPr>
            <w:r>
              <w:rPr>
                <w:rFonts w:ascii="Times New Roman"/>
                <w:sz w:val="21"/>
              </w:rPr>
              <w:t>mg/kg</w:t>
            </w:r>
          </w:p>
        </w:tc>
        <w:tc>
          <w:tcPr>
            <w:tcW w:w="1002" w:type="dxa"/>
          </w:tcPr>
          <w:p>
            <w:pPr>
              <w:pStyle w:val="14"/>
              <w:spacing w:before="15" w:line="237" w:lineRule="exact"/>
              <w:ind w:left="190" w:right="182"/>
              <w:rPr>
                <w:rFonts w:ascii="Times New Roman"/>
                <w:sz w:val="21"/>
              </w:rPr>
            </w:pPr>
            <w:r>
              <w:rPr>
                <w:rFonts w:ascii="Times New Roman"/>
                <w:sz w:val="21"/>
              </w:rPr>
              <w:t>270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2" w:line="250" w:lineRule="exact"/>
              <w:ind w:left="116" w:right="108"/>
              <w:rPr>
                <w:sz w:val="21"/>
              </w:rPr>
            </w:pPr>
            <w:r>
              <w:rPr>
                <w:rFonts w:ascii="Times New Roman" w:eastAsia="Times New Roman"/>
                <w:sz w:val="21"/>
              </w:rPr>
              <w:t>1,1,1,2-</w:t>
            </w:r>
            <w:r>
              <w:rPr>
                <w:sz w:val="21"/>
              </w:rPr>
              <w:t>四氯乙烷</w:t>
            </w:r>
          </w:p>
        </w:tc>
        <w:tc>
          <w:tcPr>
            <w:tcW w:w="2162" w:type="dxa"/>
          </w:tcPr>
          <w:p>
            <w:pPr>
              <w:pStyle w:val="14"/>
              <w:spacing w:before="13" w:line="239" w:lineRule="exact"/>
              <w:ind w:left="812"/>
              <w:jc w:val="left"/>
              <w:rPr>
                <w:rFonts w:ascii="Times New Roman"/>
                <w:sz w:val="21"/>
              </w:rPr>
            </w:pPr>
            <w:r>
              <w:rPr>
                <w:rFonts w:ascii="Times New Roman"/>
                <w:sz w:val="21"/>
              </w:rPr>
              <w:t>mg/kg</w:t>
            </w:r>
          </w:p>
        </w:tc>
        <w:tc>
          <w:tcPr>
            <w:tcW w:w="1002" w:type="dxa"/>
          </w:tcPr>
          <w:p>
            <w:pPr>
              <w:pStyle w:val="14"/>
              <w:spacing w:before="13" w:line="239" w:lineRule="exact"/>
              <w:ind w:left="190" w:right="182"/>
              <w:rPr>
                <w:rFonts w:ascii="Times New Roman"/>
                <w:sz w:val="21"/>
              </w:rPr>
            </w:pPr>
            <w:r>
              <w:rPr>
                <w:rFonts w:ascii="Times New Roman"/>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1" w:lineRule="exact"/>
              <w:ind w:left="111" w:right="108"/>
              <w:rPr>
                <w:sz w:val="21"/>
              </w:rPr>
            </w:pPr>
            <w:r>
              <w:rPr>
                <w:sz w:val="21"/>
              </w:rPr>
              <w:t>乙苯</w:t>
            </w:r>
          </w:p>
        </w:tc>
        <w:tc>
          <w:tcPr>
            <w:tcW w:w="2162" w:type="dxa"/>
          </w:tcPr>
          <w:p>
            <w:pPr>
              <w:pStyle w:val="14"/>
              <w:spacing w:before="14" w:line="237" w:lineRule="exact"/>
              <w:ind w:left="812"/>
              <w:jc w:val="left"/>
              <w:rPr>
                <w:rFonts w:ascii="Times New Roman"/>
                <w:sz w:val="21"/>
              </w:rPr>
            </w:pPr>
            <w:r>
              <w:rPr>
                <w:rFonts w:ascii="Times New Roman"/>
                <w:sz w:val="21"/>
              </w:rPr>
              <w:t>mg/kg</w:t>
            </w:r>
          </w:p>
        </w:tc>
        <w:tc>
          <w:tcPr>
            <w:tcW w:w="1002" w:type="dxa"/>
          </w:tcPr>
          <w:p>
            <w:pPr>
              <w:pStyle w:val="14"/>
              <w:spacing w:before="14" w:line="237" w:lineRule="exact"/>
              <w:ind w:left="190" w:right="182"/>
              <w:rPr>
                <w:rFonts w:ascii="Times New Roman"/>
                <w:sz w:val="21"/>
              </w:rPr>
            </w:pPr>
            <w:r>
              <w:rPr>
                <w:rFonts w:ascii="Times New Roman"/>
                <w:sz w:val="21"/>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1" w:lineRule="exact"/>
              <w:ind w:left="116" w:right="108"/>
              <w:rPr>
                <w:sz w:val="21"/>
              </w:rPr>
            </w:pPr>
            <w:r>
              <w:rPr>
                <w:sz w:val="21"/>
              </w:rPr>
              <w:t>间</w:t>
            </w:r>
            <w:r>
              <w:rPr>
                <w:rFonts w:ascii="Times New Roman" w:eastAsia="Times New Roman"/>
                <w:sz w:val="21"/>
              </w:rPr>
              <w:t>/</w:t>
            </w:r>
            <w:r>
              <w:rPr>
                <w:sz w:val="21"/>
              </w:rPr>
              <w:t>对</w:t>
            </w:r>
            <w:r>
              <w:rPr>
                <w:rFonts w:ascii="Times New Roman" w:eastAsia="Times New Roman"/>
                <w:sz w:val="21"/>
              </w:rPr>
              <w:t>-</w:t>
            </w:r>
            <w:r>
              <w:rPr>
                <w:sz w:val="21"/>
              </w:rPr>
              <w:t>二甲苯</w:t>
            </w:r>
          </w:p>
        </w:tc>
        <w:tc>
          <w:tcPr>
            <w:tcW w:w="2162" w:type="dxa"/>
          </w:tcPr>
          <w:p>
            <w:pPr>
              <w:pStyle w:val="14"/>
              <w:spacing w:before="15" w:line="237" w:lineRule="exact"/>
              <w:ind w:left="812"/>
              <w:jc w:val="left"/>
              <w:rPr>
                <w:rFonts w:ascii="Times New Roman"/>
                <w:sz w:val="21"/>
              </w:rPr>
            </w:pPr>
            <w:r>
              <w:rPr>
                <w:rFonts w:ascii="Times New Roman"/>
                <w:sz w:val="21"/>
              </w:rPr>
              <w:t>mg/kg</w:t>
            </w:r>
          </w:p>
        </w:tc>
        <w:tc>
          <w:tcPr>
            <w:tcW w:w="1002" w:type="dxa"/>
          </w:tcPr>
          <w:p>
            <w:pPr>
              <w:pStyle w:val="14"/>
              <w:spacing w:before="15" w:line="237" w:lineRule="exact"/>
              <w:ind w:left="190" w:right="182"/>
              <w:rPr>
                <w:rFonts w:ascii="Times New Roman"/>
                <w:sz w:val="21"/>
              </w:rPr>
            </w:pPr>
            <w:r>
              <w:rPr>
                <w:rFonts w:ascii="Times New Roman"/>
                <w:sz w:val="21"/>
              </w:rPr>
              <w:t>570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2" w:line="250" w:lineRule="exact"/>
              <w:ind w:left="116" w:right="108"/>
              <w:rPr>
                <w:sz w:val="21"/>
              </w:rPr>
            </w:pPr>
            <w:r>
              <w:rPr>
                <w:sz w:val="21"/>
              </w:rPr>
              <w:t>邻</w:t>
            </w:r>
            <w:r>
              <w:rPr>
                <w:rFonts w:ascii="Times New Roman" w:eastAsia="Times New Roman"/>
                <w:sz w:val="21"/>
              </w:rPr>
              <w:t>-</w:t>
            </w:r>
            <w:r>
              <w:rPr>
                <w:sz w:val="21"/>
              </w:rPr>
              <w:t>二甲苯</w:t>
            </w:r>
          </w:p>
        </w:tc>
        <w:tc>
          <w:tcPr>
            <w:tcW w:w="2162" w:type="dxa"/>
          </w:tcPr>
          <w:p>
            <w:pPr>
              <w:pStyle w:val="14"/>
              <w:spacing w:before="13" w:line="238" w:lineRule="exact"/>
              <w:ind w:left="812"/>
              <w:jc w:val="left"/>
              <w:rPr>
                <w:rFonts w:ascii="Times New Roman"/>
                <w:sz w:val="21"/>
              </w:rPr>
            </w:pPr>
            <w:r>
              <w:rPr>
                <w:rFonts w:ascii="Times New Roman"/>
                <w:sz w:val="21"/>
              </w:rPr>
              <w:t>mg/kg</w:t>
            </w:r>
          </w:p>
        </w:tc>
        <w:tc>
          <w:tcPr>
            <w:tcW w:w="1002" w:type="dxa"/>
          </w:tcPr>
          <w:p>
            <w:pPr>
              <w:pStyle w:val="14"/>
              <w:spacing w:before="13" w:line="238" w:lineRule="exact"/>
              <w:ind w:left="190" w:right="182"/>
              <w:rPr>
                <w:rFonts w:ascii="Times New Roman"/>
                <w:sz w:val="21"/>
              </w:rPr>
            </w:pPr>
            <w:r>
              <w:rPr>
                <w:rFonts w:ascii="Times New Roman"/>
                <w:sz w:val="21"/>
              </w:rPr>
              <w:t>640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1" w:lineRule="exact"/>
              <w:ind w:left="116" w:right="108"/>
              <w:rPr>
                <w:sz w:val="21"/>
              </w:rPr>
            </w:pPr>
            <w:r>
              <w:rPr>
                <w:sz w:val="21"/>
              </w:rPr>
              <w:t>苯乙烯</w:t>
            </w:r>
          </w:p>
        </w:tc>
        <w:tc>
          <w:tcPr>
            <w:tcW w:w="2162" w:type="dxa"/>
          </w:tcPr>
          <w:p>
            <w:pPr>
              <w:pStyle w:val="14"/>
              <w:spacing w:before="14" w:line="237" w:lineRule="exact"/>
              <w:ind w:left="812"/>
              <w:jc w:val="left"/>
              <w:rPr>
                <w:rFonts w:ascii="Times New Roman"/>
                <w:sz w:val="21"/>
              </w:rPr>
            </w:pPr>
            <w:r>
              <w:rPr>
                <w:rFonts w:ascii="Times New Roman"/>
                <w:sz w:val="21"/>
              </w:rPr>
              <w:t>mg/kg</w:t>
            </w:r>
          </w:p>
        </w:tc>
        <w:tc>
          <w:tcPr>
            <w:tcW w:w="1002" w:type="dxa"/>
          </w:tcPr>
          <w:p>
            <w:pPr>
              <w:pStyle w:val="14"/>
              <w:spacing w:before="14" w:line="237" w:lineRule="exact"/>
              <w:ind w:right="279"/>
              <w:jc w:val="right"/>
              <w:rPr>
                <w:rFonts w:ascii="Times New Roman"/>
                <w:sz w:val="21"/>
              </w:rPr>
            </w:pPr>
            <w:r>
              <w:rPr>
                <w:rFonts w:ascii="Times New Roman"/>
                <w:w w:val="95"/>
                <w:sz w:val="21"/>
              </w:rPr>
              <w:t>1290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2" w:line="251" w:lineRule="exact"/>
              <w:ind w:left="116" w:right="108"/>
              <w:rPr>
                <w:sz w:val="21"/>
              </w:rPr>
            </w:pPr>
            <w:r>
              <w:rPr>
                <w:rFonts w:ascii="Times New Roman" w:eastAsia="Times New Roman"/>
                <w:sz w:val="21"/>
              </w:rPr>
              <w:t>1,1,2,2-</w:t>
            </w:r>
            <w:r>
              <w:rPr>
                <w:sz w:val="21"/>
              </w:rPr>
              <w:t>四氯乙烷</w:t>
            </w:r>
          </w:p>
        </w:tc>
        <w:tc>
          <w:tcPr>
            <w:tcW w:w="2162" w:type="dxa"/>
          </w:tcPr>
          <w:p>
            <w:pPr>
              <w:pStyle w:val="14"/>
              <w:spacing w:before="16" w:line="237" w:lineRule="exact"/>
              <w:ind w:left="812"/>
              <w:jc w:val="left"/>
              <w:rPr>
                <w:rFonts w:ascii="Times New Roman"/>
                <w:sz w:val="21"/>
              </w:rPr>
            </w:pPr>
            <w:r>
              <w:rPr>
                <w:rFonts w:ascii="Times New Roman"/>
                <w:sz w:val="21"/>
              </w:rPr>
              <w:t>mg/kg</w:t>
            </w:r>
          </w:p>
        </w:tc>
        <w:tc>
          <w:tcPr>
            <w:tcW w:w="1002" w:type="dxa"/>
          </w:tcPr>
          <w:p>
            <w:pPr>
              <w:pStyle w:val="14"/>
              <w:spacing w:before="16" w:line="237" w:lineRule="exact"/>
              <w:ind w:left="190" w:right="182"/>
              <w:rPr>
                <w:rFonts w:ascii="Times New Roman"/>
                <w:sz w:val="21"/>
              </w:rPr>
            </w:pPr>
            <w:r>
              <w:rPr>
                <w:rFonts w:ascii="Times New Roman"/>
                <w:sz w:val="21"/>
              </w:rPr>
              <w:t>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2" w:line="250" w:lineRule="exact"/>
              <w:ind w:left="114" w:right="108"/>
              <w:rPr>
                <w:sz w:val="21"/>
              </w:rPr>
            </w:pPr>
            <w:r>
              <w:rPr>
                <w:rFonts w:ascii="Times New Roman" w:eastAsia="Times New Roman"/>
                <w:sz w:val="21"/>
              </w:rPr>
              <w:t>1,2,3-</w:t>
            </w:r>
            <w:r>
              <w:rPr>
                <w:sz w:val="21"/>
              </w:rPr>
              <w:t>三氯丙烷</w:t>
            </w:r>
          </w:p>
        </w:tc>
        <w:tc>
          <w:tcPr>
            <w:tcW w:w="2162" w:type="dxa"/>
          </w:tcPr>
          <w:p>
            <w:pPr>
              <w:pStyle w:val="14"/>
              <w:spacing w:before="13" w:line="238" w:lineRule="exact"/>
              <w:ind w:left="812"/>
              <w:jc w:val="left"/>
              <w:rPr>
                <w:rFonts w:ascii="Times New Roman"/>
                <w:sz w:val="21"/>
              </w:rPr>
            </w:pPr>
            <w:r>
              <w:rPr>
                <w:rFonts w:ascii="Times New Roman"/>
                <w:sz w:val="21"/>
              </w:rPr>
              <w:t>mg/kg</w:t>
            </w:r>
          </w:p>
        </w:tc>
        <w:tc>
          <w:tcPr>
            <w:tcW w:w="1002" w:type="dxa"/>
          </w:tcPr>
          <w:p>
            <w:pPr>
              <w:pStyle w:val="14"/>
              <w:spacing w:before="13" w:line="238" w:lineRule="exact"/>
              <w:ind w:left="190" w:right="182"/>
              <w:rPr>
                <w:rFonts w:ascii="Times New Roman"/>
                <w:sz w:val="21"/>
              </w:rPr>
            </w:pPr>
            <w:r>
              <w:rPr>
                <w:rFonts w:ascii="Times New Roman"/>
                <w:sz w:val="21"/>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2" w:lineRule="exact"/>
              <w:ind w:left="116" w:right="108"/>
              <w:rPr>
                <w:sz w:val="21"/>
              </w:rPr>
            </w:pPr>
            <w:r>
              <w:rPr>
                <w:rFonts w:ascii="Times New Roman" w:eastAsia="Times New Roman"/>
                <w:sz w:val="21"/>
              </w:rPr>
              <w:t>1,2-</w:t>
            </w:r>
            <w:r>
              <w:rPr>
                <w:sz w:val="21"/>
              </w:rPr>
              <w:t>二氯苯</w:t>
            </w:r>
          </w:p>
        </w:tc>
        <w:tc>
          <w:tcPr>
            <w:tcW w:w="2162" w:type="dxa"/>
          </w:tcPr>
          <w:p>
            <w:pPr>
              <w:pStyle w:val="14"/>
              <w:spacing w:before="15" w:line="238" w:lineRule="exact"/>
              <w:ind w:left="812"/>
              <w:jc w:val="left"/>
              <w:rPr>
                <w:rFonts w:ascii="Times New Roman"/>
                <w:sz w:val="21"/>
              </w:rPr>
            </w:pPr>
            <w:r>
              <w:rPr>
                <w:rFonts w:ascii="Times New Roman"/>
                <w:sz w:val="21"/>
              </w:rPr>
              <w:t>mg/kg</w:t>
            </w:r>
          </w:p>
        </w:tc>
        <w:tc>
          <w:tcPr>
            <w:tcW w:w="1002" w:type="dxa"/>
          </w:tcPr>
          <w:p>
            <w:pPr>
              <w:pStyle w:val="14"/>
              <w:spacing w:before="15" w:line="238" w:lineRule="exact"/>
              <w:ind w:left="190" w:right="182"/>
              <w:rPr>
                <w:rFonts w:ascii="Times New Roman"/>
                <w:sz w:val="21"/>
              </w:rPr>
            </w:pPr>
            <w:r>
              <w:rPr>
                <w:rFonts w:ascii="Times New Roman"/>
                <w:sz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1" w:lineRule="exact"/>
              <w:ind w:left="116" w:right="108"/>
              <w:rPr>
                <w:sz w:val="21"/>
              </w:rPr>
            </w:pPr>
            <w:r>
              <w:rPr>
                <w:rFonts w:ascii="Times New Roman" w:eastAsia="Times New Roman"/>
                <w:sz w:val="21"/>
              </w:rPr>
              <w:t>1,4-</w:t>
            </w:r>
            <w:r>
              <w:rPr>
                <w:sz w:val="21"/>
              </w:rPr>
              <w:t>二氯苯</w:t>
            </w:r>
          </w:p>
        </w:tc>
        <w:tc>
          <w:tcPr>
            <w:tcW w:w="2162" w:type="dxa"/>
          </w:tcPr>
          <w:p>
            <w:pPr>
              <w:pStyle w:val="14"/>
              <w:spacing w:before="15" w:line="237" w:lineRule="exact"/>
              <w:ind w:left="812"/>
              <w:jc w:val="left"/>
              <w:rPr>
                <w:rFonts w:ascii="Times New Roman"/>
                <w:sz w:val="21"/>
              </w:rPr>
            </w:pPr>
            <w:r>
              <w:rPr>
                <w:rFonts w:ascii="Times New Roman"/>
                <w:sz w:val="21"/>
              </w:rPr>
              <w:t>mg/kg</w:t>
            </w:r>
          </w:p>
        </w:tc>
        <w:tc>
          <w:tcPr>
            <w:tcW w:w="1002" w:type="dxa"/>
          </w:tcPr>
          <w:p>
            <w:pPr>
              <w:pStyle w:val="14"/>
              <w:spacing w:before="15" w:line="237" w:lineRule="exact"/>
              <w:ind w:left="190" w:right="182"/>
              <w:rPr>
                <w:rFonts w:ascii="Times New Roman"/>
                <w:sz w:val="21"/>
              </w:rPr>
            </w:pPr>
            <w:r>
              <w:rPr>
                <w:rFonts w:ascii="Times New Roman"/>
                <w:sz w:val="21"/>
              </w:rPr>
              <w:t>560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2" w:lineRule="exact"/>
              <w:ind w:left="116" w:right="108"/>
              <w:rPr>
                <w:sz w:val="21"/>
              </w:rPr>
            </w:pPr>
            <w:r>
              <w:rPr>
                <w:sz w:val="21"/>
              </w:rPr>
              <w:t>氯甲烷</w:t>
            </w:r>
          </w:p>
        </w:tc>
        <w:tc>
          <w:tcPr>
            <w:tcW w:w="2162" w:type="dxa"/>
          </w:tcPr>
          <w:p>
            <w:pPr>
              <w:pStyle w:val="14"/>
              <w:spacing w:before="14" w:line="238" w:lineRule="exact"/>
              <w:ind w:left="812"/>
              <w:jc w:val="left"/>
              <w:rPr>
                <w:rFonts w:ascii="Times New Roman"/>
                <w:sz w:val="21"/>
              </w:rPr>
            </w:pPr>
            <w:r>
              <w:rPr>
                <w:rFonts w:ascii="Times New Roman"/>
                <w:sz w:val="21"/>
              </w:rPr>
              <w:t>mg/kg</w:t>
            </w:r>
          </w:p>
        </w:tc>
        <w:tc>
          <w:tcPr>
            <w:tcW w:w="1002" w:type="dxa"/>
          </w:tcPr>
          <w:p>
            <w:pPr>
              <w:pStyle w:val="14"/>
              <w:spacing w:before="14" w:line="238" w:lineRule="exact"/>
              <w:ind w:left="190" w:right="182"/>
              <w:rPr>
                <w:rFonts w:ascii="Times New Roman"/>
                <w:sz w:val="21"/>
              </w:rPr>
            </w:pPr>
            <w:r>
              <w:rPr>
                <w:rFonts w:ascii="Times New Roman"/>
                <w:sz w:val="21"/>
              </w:rPr>
              <w:t>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2" w:lineRule="exact"/>
              <w:ind w:left="6"/>
              <w:rPr>
                <w:sz w:val="21"/>
              </w:rPr>
            </w:pPr>
            <w:r>
              <w:rPr>
                <w:w w:val="99"/>
                <w:sz w:val="21"/>
              </w:rPr>
              <w:t>萘</w:t>
            </w:r>
          </w:p>
        </w:tc>
        <w:tc>
          <w:tcPr>
            <w:tcW w:w="2162" w:type="dxa"/>
          </w:tcPr>
          <w:p>
            <w:pPr>
              <w:pStyle w:val="14"/>
              <w:spacing w:before="15" w:line="238" w:lineRule="exact"/>
              <w:ind w:left="812"/>
              <w:jc w:val="left"/>
              <w:rPr>
                <w:rFonts w:ascii="Times New Roman"/>
                <w:sz w:val="21"/>
              </w:rPr>
            </w:pPr>
            <w:r>
              <w:rPr>
                <w:rFonts w:ascii="Times New Roman"/>
                <w:sz w:val="21"/>
              </w:rPr>
              <w:t>mg/kg</w:t>
            </w:r>
          </w:p>
        </w:tc>
        <w:tc>
          <w:tcPr>
            <w:tcW w:w="1002" w:type="dxa"/>
          </w:tcPr>
          <w:p>
            <w:pPr>
              <w:pStyle w:val="14"/>
              <w:spacing w:before="15" w:line="238" w:lineRule="exact"/>
              <w:ind w:left="190" w:right="182"/>
              <w:rPr>
                <w:rFonts w:ascii="Times New Roman"/>
                <w:sz w:val="21"/>
              </w:rPr>
            </w:pPr>
            <w:r>
              <w:rPr>
                <w:rFonts w:ascii="Times New Roman"/>
                <w:sz w:val="21"/>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1" w:lineRule="exact"/>
              <w:ind w:left="116" w:right="105"/>
              <w:rPr>
                <w:sz w:val="21"/>
              </w:rPr>
            </w:pPr>
            <w:r>
              <w:rPr>
                <w:sz w:val="21"/>
              </w:rPr>
              <w:t>苯并</w:t>
            </w:r>
            <w:r>
              <w:rPr>
                <w:rFonts w:ascii="Times New Roman" w:eastAsia="Times New Roman"/>
                <w:sz w:val="21"/>
              </w:rPr>
              <w:t>[a]</w:t>
            </w:r>
            <w:r>
              <w:rPr>
                <w:sz w:val="21"/>
              </w:rPr>
              <w:t>蒽</w:t>
            </w:r>
          </w:p>
        </w:tc>
        <w:tc>
          <w:tcPr>
            <w:tcW w:w="2162" w:type="dxa"/>
          </w:tcPr>
          <w:p>
            <w:pPr>
              <w:pStyle w:val="14"/>
              <w:spacing w:before="13" w:line="239" w:lineRule="exact"/>
              <w:ind w:left="812"/>
              <w:jc w:val="left"/>
              <w:rPr>
                <w:rFonts w:ascii="Times New Roman"/>
                <w:sz w:val="21"/>
              </w:rPr>
            </w:pPr>
            <w:r>
              <w:rPr>
                <w:rFonts w:ascii="Times New Roman"/>
                <w:sz w:val="21"/>
              </w:rPr>
              <w:t>mg/kg</w:t>
            </w:r>
          </w:p>
        </w:tc>
        <w:tc>
          <w:tcPr>
            <w:tcW w:w="1002" w:type="dxa"/>
          </w:tcPr>
          <w:p>
            <w:pPr>
              <w:pStyle w:val="14"/>
              <w:spacing w:before="13" w:line="239" w:lineRule="exact"/>
              <w:ind w:left="190" w:right="182"/>
              <w:rPr>
                <w:rFonts w:ascii="Times New Roman"/>
                <w:sz w:val="21"/>
              </w:rPr>
            </w:pPr>
            <w:r>
              <w:rPr>
                <w:rFonts w:ascii="Times New Roman"/>
                <w:sz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2" w:lineRule="exact"/>
              <w:ind w:left="6"/>
              <w:rPr>
                <w:sz w:val="21"/>
              </w:rPr>
            </w:pPr>
            <w:r>
              <w:rPr>
                <w:w w:val="99"/>
                <w:sz w:val="21"/>
              </w:rPr>
              <w:t>䓛</w:t>
            </w:r>
          </w:p>
        </w:tc>
        <w:tc>
          <w:tcPr>
            <w:tcW w:w="2162" w:type="dxa"/>
          </w:tcPr>
          <w:p>
            <w:pPr>
              <w:pStyle w:val="14"/>
              <w:spacing w:before="14" w:line="238" w:lineRule="exact"/>
              <w:ind w:left="812"/>
              <w:jc w:val="left"/>
              <w:rPr>
                <w:rFonts w:ascii="Times New Roman"/>
                <w:sz w:val="21"/>
              </w:rPr>
            </w:pPr>
            <w:r>
              <w:rPr>
                <w:rFonts w:ascii="Times New Roman"/>
                <w:sz w:val="21"/>
              </w:rPr>
              <w:t>mg/kg</w:t>
            </w:r>
          </w:p>
        </w:tc>
        <w:tc>
          <w:tcPr>
            <w:tcW w:w="1002" w:type="dxa"/>
          </w:tcPr>
          <w:p>
            <w:pPr>
              <w:pStyle w:val="14"/>
              <w:spacing w:before="14" w:line="238" w:lineRule="exact"/>
              <w:ind w:right="279"/>
              <w:jc w:val="right"/>
              <w:rPr>
                <w:rFonts w:ascii="Times New Roman"/>
                <w:sz w:val="21"/>
              </w:rPr>
            </w:pPr>
            <w:r>
              <w:rPr>
                <w:rFonts w:ascii="Times New Roman"/>
                <w:w w:val="95"/>
                <w:sz w:val="21"/>
              </w:rPr>
              <w:t>1293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2" w:lineRule="exact"/>
              <w:ind w:left="116" w:right="108"/>
              <w:rPr>
                <w:sz w:val="21"/>
              </w:rPr>
            </w:pPr>
            <w:r>
              <w:rPr>
                <w:sz w:val="21"/>
              </w:rPr>
              <w:t>苯并</w:t>
            </w:r>
            <w:r>
              <w:rPr>
                <w:rFonts w:ascii="Times New Roman" w:eastAsia="Times New Roman"/>
                <w:sz w:val="21"/>
              </w:rPr>
              <w:t>[b]</w:t>
            </w:r>
            <w:r>
              <w:rPr>
                <w:sz w:val="21"/>
              </w:rPr>
              <w:t>荧蒽</w:t>
            </w:r>
          </w:p>
        </w:tc>
        <w:tc>
          <w:tcPr>
            <w:tcW w:w="2162" w:type="dxa"/>
          </w:tcPr>
          <w:p>
            <w:pPr>
              <w:pStyle w:val="14"/>
              <w:spacing w:before="15" w:line="238" w:lineRule="exact"/>
              <w:ind w:left="812"/>
              <w:jc w:val="left"/>
              <w:rPr>
                <w:rFonts w:ascii="Times New Roman"/>
                <w:sz w:val="21"/>
              </w:rPr>
            </w:pPr>
            <w:r>
              <w:rPr>
                <w:rFonts w:ascii="Times New Roman"/>
                <w:sz w:val="21"/>
              </w:rPr>
              <w:t>mg/kg</w:t>
            </w:r>
          </w:p>
        </w:tc>
        <w:tc>
          <w:tcPr>
            <w:tcW w:w="1002" w:type="dxa"/>
          </w:tcPr>
          <w:p>
            <w:pPr>
              <w:pStyle w:val="14"/>
              <w:spacing w:before="15" w:line="238" w:lineRule="exact"/>
              <w:ind w:left="190" w:right="182"/>
              <w:rPr>
                <w:rFonts w:ascii="Times New Roman"/>
                <w:sz w:val="21"/>
              </w:rPr>
            </w:pPr>
            <w:r>
              <w:rPr>
                <w:rFonts w:ascii="Times New Roman"/>
                <w:sz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0" w:lineRule="exact"/>
              <w:ind w:left="116" w:right="108"/>
              <w:rPr>
                <w:sz w:val="21"/>
              </w:rPr>
            </w:pPr>
            <w:r>
              <w:rPr>
                <w:sz w:val="21"/>
              </w:rPr>
              <w:t>苯并</w:t>
            </w:r>
            <w:r>
              <w:rPr>
                <w:rFonts w:ascii="Times New Roman" w:eastAsia="Times New Roman"/>
                <w:sz w:val="21"/>
              </w:rPr>
              <w:t>[k]</w:t>
            </w:r>
            <w:r>
              <w:rPr>
                <w:sz w:val="21"/>
              </w:rPr>
              <w:t>荧蒽</w:t>
            </w:r>
          </w:p>
        </w:tc>
        <w:tc>
          <w:tcPr>
            <w:tcW w:w="2162" w:type="dxa"/>
          </w:tcPr>
          <w:p>
            <w:pPr>
              <w:pStyle w:val="14"/>
              <w:spacing w:before="13" w:line="239" w:lineRule="exact"/>
              <w:ind w:left="812"/>
              <w:jc w:val="left"/>
              <w:rPr>
                <w:rFonts w:ascii="Times New Roman"/>
                <w:sz w:val="21"/>
              </w:rPr>
            </w:pPr>
            <w:r>
              <w:rPr>
                <w:rFonts w:ascii="Times New Roman"/>
                <w:sz w:val="21"/>
              </w:rPr>
              <w:t>mg/kg</w:t>
            </w:r>
          </w:p>
        </w:tc>
        <w:tc>
          <w:tcPr>
            <w:tcW w:w="1002" w:type="dxa"/>
          </w:tcPr>
          <w:p>
            <w:pPr>
              <w:pStyle w:val="14"/>
              <w:spacing w:before="13" w:line="239" w:lineRule="exact"/>
              <w:ind w:left="190" w:right="182"/>
              <w:rPr>
                <w:rFonts w:ascii="Times New Roman"/>
                <w:sz w:val="21"/>
              </w:rPr>
            </w:pPr>
            <w:r>
              <w:rPr>
                <w:rFonts w:ascii="Times New Roman"/>
                <w:sz w:val="21"/>
              </w:rPr>
              <w:t>151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2" w:lineRule="exact"/>
              <w:ind w:left="116" w:right="105"/>
              <w:rPr>
                <w:sz w:val="21"/>
              </w:rPr>
            </w:pPr>
            <w:r>
              <w:rPr>
                <w:sz w:val="21"/>
              </w:rPr>
              <w:t>苯并</w:t>
            </w:r>
            <w:r>
              <w:rPr>
                <w:rFonts w:ascii="Times New Roman" w:eastAsia="Times New Roman"/>
                <w:sz w:val="21"/>
              </w:rPr>
              <w:t>[a]</w:t>
            </w:r>
            <w:r>
              <w:rPr>
                <w:sz w:val="21"/>
              </w:rPr>
              <w:t>芘</w:t>
            </w:r>
          </w:p>
        </w:tc>
        <w:tc>
          <w:tcPr>
            <w:tcW w:w="2162" w:type="dxa"/>
          </w:tcPr>
          <w:p>
            <w:pPr>
              <w:pStyle w:val="14"/>
              <w:spacing w:before="14" w:line="238" w:lineRule="exact"/>
              <w:ind w:left="812"/>
              <w:jc w:val="left"/>
              <w:rPr>
                <w:rFonts w:ascii="Times New Roman"/>
                <w:sz w:val="21"/>
              </w:rPr>
            </w:pPr>
            <w:r>
              <w:rPr>
                <w:rFonts w:ascii="Times New Roman"/>
                <w:sz w:val="21"/>
              </w:rPr>
              <w:t>mg/kg</w:t>
            </w:r>
          </w:p>
        </w:tc>
        <w:tc>
          <w:tcPr>
            <w:tcW w:w="1002" w:type="dxa"/>
          </w:tcPr>
          <w:p>
            <w:pPr>
              <w:pStyle w:val="14"/>
              <w:spacing w:before="14" w:line="238" w:lineRule="exact"/>
              <w:ind w:left="190" w:right="182"/>
              <w:rPr>
                <w:rFonts w:ascii="Times New Roman"/>
                <w:sz w:val="21"/>
              </w:rPr>
            </w:pPr>
            <w:r>
              <w:rPr>
                <w:rFonts w:ascii="Times New Roman"/>
                <w:sz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1" w:lineRule="exact"/>
              <w:ind w:left="116" w:right="105"/>
              <w:rPr>
                <w:sz w:val="21"/>
              </w:rPr>
            </w:pPr>
            <w:r>
              <w:rPr>
                <w:sz w:val="21"/>
              </w:rPr>
              <w:t>茚并</w:t>
            </w:r>
            <w:r>
              <w:rPr>
                <w:rFonts w:ascii="Times New Roman" w:eastAsia="Times New Roman"/>
                <w:sz w:val="21"/>
              </w:rPr>
              <w:t>[1,2,3-cd]</w:t>
            </w:r>
            <w:r>
              <w:rPr>
                <w:sz w:val="21"/>
              </w:rPr>
              <w:t>芘</w:t>
            </w:r>
          </w:p>
        </w:tc>
        <w:tc>
          <w:tcPr>
            <w:tcW w:w="2162" w:type="dxa"/>
          </w:tcPr>
          <w:p>
            <w:pPr>
              <w:pStyle w:val="14"/>
              <w:spacing w:before="15" w:line="237" w:lineRule="exact"/>
              <w:ind w:left="812"/>
              <w:jc w:val="left"/>
              <w:rPr>
                <w:rFonts w:ascii="Times New Roman"/>
                <w:sz w:val="21"/>
              </w:rPr>
            </w:pPr>
            <w:r>
              <w:rPr>
                <w:rFonts w:ascii="Times New Roman"/>
                <w:sz w:val="21"/>
              </w:rPr>
              <w:t>mg/kg</w:t>
            </w:r>
          </w:p>
        </w:tc>
        <w:tc>
          <w:tcPr>
            <w:tcW w:w="1002" w:type="dxa"/>
          </w:tcPr>
          <w:p>
            <w:pPr>
              <w:pStyle w:val="14"/>
              <w:spacing w:before="15" w:line="237" w:lineRule="exact"/>
              <w:ind w:left="190" w:right="182"/>
              <w:rPr>
                <w:rFonts w:ascii="Times New Roman"/>
                <w:sz w:val="21"/>
              </w:rPr>
            </w:pPr>
            <w:r>
              <w:rPr>
                <w:rFonts w:ascii="Times New Roman"/>
                <w:sz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0" w:lineRule="exact"/>
              <w:ind w:left="116" w:right="108"/>
              <w:rPr>
                <w:sz w:val="21"/>
              </w:rPr>
            </w:pPr>
            <w:r>
              <w:rPr>
                <w:sz w:val="21"/>
              </w:rPr>
              <w:t>二苯并</w:t>
            </w:r>
            <w:r>
              <w:rPr>
                <w:rFonts w:ascii="Times New Roman" w:eastAsia="Times New Roman"/>
                <w:sz w:val="21"/>
              </w:rPr>
              <w:t>[a,h]</w:t>
            </w:r>
            <w:r>
              <w:rPr>
                <w:sz w:val="21"/>
              </w:rPr>
              <w:t>蒽</w:t>
            </w:r>
          </w:p>
        </w:tc>
        <w:tc>
          <w:tcPr>
            <w:tcW w:w="2162" w:type="dxa"/>
          </w:tcPr>
          <w:p>
            <w:pPr>
              <w:pStyle w:val="14"/>
              <w:spacing w:before="13" w:line="239" w:lineRule="exact"/>
              <w:ind w:left="812"/>
              <w:jc w:val="left"/>
              <w:rPr>
                <w:rFonts w:ascii="Times New Roman"/>
                <w:sz w:val="21"/>
              </w:rPr>
            </w:pPr>
            <w:r>
              <w:rPr>
                <w:rFonts w:ascii="Times New Roman"/>
                <w:sz w:val="21"/>
              </w:rPr>
              <w:t>mg/kg</w:t>
            </w:r>
          </w:p>
        </w:tc>
        <w:tc>
          <w:tcPr>
            <w:tcW w:w="1002" w:type="dxa"/>
          </w:tcPr>
          <w:p>
            <w:pPr>
              <w:pStyle w:val="14"/>
              <w:spacing w:before="13" w:line="239" w:lineRule="exact"/>
              <w:ind w:left="190" w:right="182"/>
              <w:rPr>
                <w:rFonts w:ascii="Times New Roman"/>
                <w:sz w:val="21"/>
              </w:rPr>
            </w:pPr>
            <w:r>
              <w:rPr>
                <w:rFonts w:ascii="Times New Roman"/>
                <w:sz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1" w:lineRule="exact"/>
              <w:ind w:left="114" w:right="108"/>
              <w:rPr>
                <w:sz w:val="21"/>
              </w:rPr>
            </w:pPr>
            <w:r>
              <w:rPr>
                <w:rFonts w:ascii="Times New Roman" w:eastAsia="Times New Roman"/>
                <w:sz w:val="21"/>
              </w:rPr>
              <w:t>2-</w:t>
            </w:r>
            <w:r>
              <w:rPr>
                <w:sz w:val="21"/>
              </w:rPr>
              <w:t>氯酚</w:t>
            </w:r>
          </w:p>
        </w:tc>
        <w:tc>
          <w:tcPr>
            <w:tcW w:w="2162" w:type="dxa"/>
          </w:tcPr>
          <w:p>
            <w:pPr>
              <w:pStyle w:val="14"/>
              <w:spacing w:before="14" w:line="237" w:lineRule="exact"/>
              <w:ind w:left="812"/>
              <w:jc w:val="left"/>
              <w:rPr>
                <w:rFonts w:ascii="Times New Roman"/>
                <w:sz w:val="21"/>
              </w:rPr>
            </w:pPr>
            <w:r>
              <w:rPr>
                <w:rFonts w:ascii="Times New Roman"/>
                <w:sz w:val="21"/>
              </w:rPr>
              <w:t>mg/kg</w:t>
            </w:r>
          </w:p>
        </w:tc>
        <w:tc>
          <w:tcPr>
            <w:tcW w:w="1002" w:type="dxa"/>
          </w:tcPr>
          <w:p>
            <w:pPr>
              <w:pStyle w:val="14"/>
              <w:spacing w:before="14" w:line="237" w:lineRule="exact"/>
              <w:ind w:right="279"/>
              <w:jc w:val="right"/>
              <w:rPr>
                <w:rFonts w:ascii="Times New Roman"/>
                <w:sz w:val="21"/>
              </w:rPr>
            </w:pPr>
            <w:r>
              <w:rPr>
                <w:rFonts w:ascii="Times New Roman"/>
                <w:w w:val="95"/>
                <w:sz w:val="21"/>
              </w:rPr>
              <w:t>2256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2" w:line="251" w:lineRule="exact"/>
              <w:ind w:left="116" w:right="108"/>
              <w:rPr>
                <w:sz w:val="21"/>
              </w:rPr>
            </w:pPr>
            <w:r>
              <w:rPr>
                <w:sz w:val="21"/>
              </w:rPr>
              <w:t>硝基苯</w:t>
            </w:r>
          </w:p>
        </w:tc>
        <w:tc>
          <w:tcPr>
            <w:tcW w:w="2162" w:type="dxa"/>
          </w:tcPr>
          <w:p>
            <w:pPr>
              <w:pStyle w:val="14"/>
              <w:spacing w:before="15" w:line="237" w:lineRule="exact"/>
              <w:ind w:left="812"/>
              <w:jc w:val="left"/>
              <w:rPr>
                <w:rFonts w:ascii="Times New Roman"/>
                <w:sz w:val="21"/>
              </w:rPr>
            </w:pPr>
            <w:r>
              <w:rPr>
                <w:rFonts w:ascii="Times New Roman"/>
                <w:sz w:val="21"/>
              </w:rPr>
              <w:t>mg/kg</w:t>
            </w:r>
          </w:p>
        </w:tc>
        <w:tc>
          <w:tcPr>
            <w:tcW w:w="1002" w:type="dxa"/>
          </w:tcPr>
          <w:p>
            <w:pPr>
              <w:pStyle w:val="14"/>
              <w:spacing w:before="15" w:line="237" w:lineRule="exact"/>
              <w:ind w:right="252"/>
              <w:jc w:val="right"/>
              <w:rPr>
                <w:rFonts w:ascii="Times New Roman"/>
                <w:sz w:val="21"/>
              </w:rPr>
            </w:pPr>
            <w:r>
              <w:rPr>
                <w:rFonts w:ascii="Times New Roman"/>
                <w:w w:val="95"/>
                <w:sz w:val="21"/>
              </w:rPr>
              <w:t>0.076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2" w:lineRule="exact"/>
              <w:ind w:left="111" w:right="108"/>
              <w:rPr>
                <w:sz w:val="21"/>
              </w:rPr>
            </w:pPr>
            <w:r>
              <w:rPr>
                <w:sz w:val="21"/>
              </w:rPr>
              <w:t>苯胺</w:t>
            </w:r>
          </w:p>
        </w:tc>
        <w:tc>
          <w:tcPr>
            <w:tcW w:w="2162" w:type="dxa"/>
          </w:tcPr>
          <w:p>
            <w:pPr>
              <w:pStyle w:val="14"/>
              <w:spacing w:before="13" w:line="238" w:lineRule="exact"/>
              <w:ind w:left="812"/>
              <w:jc w:val="left"/>
              <w:rPr>
                <w:rFonts w:ascii="Times New Roman"/>
                <w:sz w:val="21"/>
              </w:rPr>
            </w:pPr>
            <w:r>
              <w:rPr>
                <w:rFonts w:ascii="Times New Roman"/>
                <w:sz w:val="21"/>
              </w:rPr>
              <w:t>mg/kg</w:t>
            </w:r>
          </w:p>
        </w:tc>
        <w:tc>
          <w:tcPr>
            <w:tcW w:w="1002" w:type="dxa"/>
          </w:tcPr>
          <w:p>
            <w:pPr>
              <w:pStyle w:val="14"/>
              <w:spacing w:before="13" w:line="238" w:lineRule="exact"/>
              <w:ind w:left="315"/>
              <w:jc w:val="left"/>
              <w:rPr>
                <w:rFonts w:ascii="Times New Roman"/>
                <w:sz w:val="21"/>
              </w:rPr>
            </w:pPr>
            <w:r>
              <w:rPr>
                <w:rFonts w:ascii="Times New Roman"/>
                <w:sz w:val="21"/>
              </w:rPr>
              <w:t>0.26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ind w:left="114" w:right="108"/>
              <w:rPr>
                <w:sz w:val="21"/>
              </w:rPr>
            </w:pPr>
            <w:r>
              <w:rPr>
                <w:sz w:val="21"/>
              </w:rPr>
              <w:t>石油烃（</w:t>
            </w:r>
            <w:r>
              <w:rPr>
                <w:rFonts w:ascii="Times New Roman" w:eastAsia="Times New Roman"/>
                <w:sz w:val="21"/>
              </w:rPr>
              <w:t>C10</w:t>
            </w:r>
            <w:r>
              <w:rPr>
                <w:sz w:val="21"/>
              </w:rPr>
              <w:t>～</w:t>
            </w:r>
          </w:p>
          <w:p>
            <w:pPr>
              <w:pStyle w:val="14"/>
              <w:spacing w:before="3" w:line="253" w:lineRule="exact"/>
              <w:ind w:left="114" w:right="108"/>
              <w:rPr>
                <w:sz w:val="21"/>
              </w:rPr>
            </w:pPr>
            <w:r>
              <w:rPr>
                <w:rFonts w:ascii="Times New Roman" w:eastAsia="Times New Roman"/>
                <w:sz w:val="21"/>
              </w:rPr>
              <w:t>C40</w:t>
            </w:r>
            <w:r>
              <w:rPr>
                <w:sz w:val="21"/>
              </w:rPr>
              <w:t>）</w:t>
            </w:r>
          </w:p>
        </w:tc>
        <w:tc>
          <w:tcPr>
            <w:tcW w:w="2162" w:type="dxa"/>
          </w:tcPr>
          <w:p>
            <w:pPr>
              <w:pStyle w:val="14"/>
              <w:spacing w:before="149"/>
              <w:ind w:left="812"/>
              <w:jc w:val="left"/>
              <w:rPr>
                <w:rFonts w:ascii="Times New Roman"/>
                <w:sz w:val="21"/>
              </w:rPr>
            </w:pPr>
            <w:r>
              <w:rPr>
                <w:rFonts w:ascii="Times New Roman"/>
                <w:sz w:val="21"/>
              </w:rPr>
              <w:t>mg/kg</w:t>
            </w:r>
          </w:p>
        </w:tc>
        <w:tc>
          <w:tcPr>
            <w:tcW w:w="1002" w:type="dxa"/>
          </w:tcPr>
          <w:p>
            <w:pPr>
              <w:pStyle w:val="14"/>
              <w:spacing w:before="149"/>
              <w:ind w:right="279"/>
              <w:jc w:val="right"/>
              <w:rPr>
                <w:rFonts w:ascii="Times New Roman"/>
                <w:sz w:val="21"/>
              </w:rPr>
            </w:pPr>
            <w:r>
              <w:rPr>
                <w:rFonts w:ascii="Times New Roman"/>
                <w:w w:val="95"/>
                <w:sz w:val="21"/>
              </w:rPr>
              <w:t>4500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75"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166" w:line="242" w:lineRule="auto"/>
              <w:ind w:left="126" w:right="118"/>
              <w:jc w:val="both"/>
              <w:rPr>
                <w:sz w:val="21"/>
              </w:rPr>
            </w:pPr>
            <w:r>
              <w:rPr>
                <w:sz w:val="21"/>
              </w:rPr>
              <w:t>矸石山淋溶液</w:t>
            </w:r>
          </w:p>
        </w:tc>
        <w:tc>
          <w:tcPr>
            <w:tcW w:w="2920"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8"/>
              <w:jc w:val="left"/>
              <w:rPr>
                <w:b/>
                <w:sz w:val="23"/>
              </w:rPr>
            </w:pPr>
          </w:p>
          <w:p>
            <w:pPr>
              <w:pStyle w:val="14"/>
              <w:spacing w:before="1"/>
              <w:ind w:left="86" w:right="53"/>
              <w:rPr>
                <w:sz w:val="21"/>
              </w:rPr>
            </w:pPr>
            <w:r>
              <w:rPr>
                <w:sz w:val="21"/>
              </w:rPr>
              <w:t>《煤炭工业污染物排放标准》</w:t>
            </w:r>
          </w:p>
          <w:p>
            <w:pPr>
              <w:pStyle w:val="14"/>
              <w:spacing w:before="2"/>
              <w:ind w:left="121" w:right="112"/>
              <w:rPr>
                <w:sz w:val="21"/>
              </w:rPr>
            </w:pPr>
            <w:r>
              <w:rPr>
                <w:sz w:val="21"/>
              </w:rPr>
              <w:t>（</w:t>
            </w:r>
            <w:r>
              <w:rPr>
                <w:rFonts w:ascii="Times New Roman" w:eastAsia="Times New Roman"/>
                <w:sz w:val="21"/>
              </w:rPr>
              <w:t>GB20426-2006</w:t>
            </w:r>
            <w:r>
              <w:rPr>
                <w:sz w:val="21"/>
              </w:rPr>
              <w:t>）</w:t>
            </w:r>
          </w:p>
        </w:tc>
        <w:tc>
          <w:tcPr>
            <w:tcW w:w="1763" w:type="dxa"/>
          </w:tcPr>
          <w:p>
            <w:pPr>
              <w:pStyle w:val="14"/>
              <w:spacing w:before="14" w:line="238" w:lineRule="exact"/>
              <w:ind w:left="116" w:right="106"/>
              <w:rPr>
                <w:rFonts w:ascii="Times New Roman"/>
                <w:sz w:val="21"/>
              </w:rPr>
            </w:pPr>
            <w:r>
              <w:rPr>
                <w:rFonts w:ascii="Times New Roman"/>
                <w:sz w:val="21"/>
              </w:rPr>
              <w:t>pH</w:t>
            </w:r>
          </w:p>
        </w:tc>
        <w:tc>
          <w:tcPr>
            <w:tcW w:w="2162" w:type="dxa"/>
          </w:tcPr>
          <w:p>
            <w:pPr>
              <w:pStyle w:val="14"/>
              <w:spacing w:line="252" w:lineRule="exact"/>
              <w:ind w:left="766"/>
              <w:jc w:val="left"/>
              <w:rPr>
                <w:sz w:val="21"/>
              </w:rPr>
            </w:pPr>
            <w:r>
              <w:rPr>
                <w:sz w:val="21"/>
              </w:rPr>
              <w:t>无量纲</w:t>
            </w:r>
          </w:p>
        </w:tc>
        <w:tc>
          <w:tcPr>
            <w:tcW w:w="1002" w:type="dxa"/>
          </w:tcPr>
          <w:p>
            <w:pPr>
              <w:pStyle w:val="14"/>
              <w:spacing w:before="14" w:line="238" w:lineRule="exact"/>
              <w:ind w:left="339"/>
              <w:jc w:val="left"/>
              <w:rPr>
                <w:rFonts w:ascii="Times New Roman"/>
                <w:sz w:val="21"/>
              </w:rPr>
            </w:pPr>
            <w:r>
              <w:rPr>
                <w:rFonts w:ascii="Times New Roman"/>
                <w:sz w:val="21"/>
              </w:rPr>
              <w:t>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1" w:lineRule="exact"/>
              <w:ind w:left="111" w:right="108"/>
              <w:rPr>
                <w:sz w:val="21"/>
              </w:rPr>
            </w:pPr>
            <w:r>
              <w:rPr>
                <w:sz w:val="21"/>
              </w:rPr>
              <w:t>总汞</w:t>
            </w:r>
          </w:p>
        </w:tc>
        <w:tc>
          <w:tcPr>
            <w:tcW w:w="2162" w:type="dxa"/>
          </w:tcPr>
          <w:p>
            <w:pPr>
              <w:pStyle w:val="14"/>
              <w:spacing w:before="13" w:line="239" w:lineRule="exact"/>
              <w:ind w:left="852"/>
              <w:jc w:val="left"/>
              <w:rPr>
                <w:rFonts w:ascii="Times New Roman"/>
                <w:sz w:val="21"/>
              </w:rPr>
            </w:pPr>
            <w:r>
              <w:rPr>
                <w:rFonts w:ascii="Times New Roman"/>
                <w:sz w:val="21"/>
              </w:rPr>
              <w:t>mg/L</w:t>
            </w:r>
          </w:p>
        </w:tc>
        <w:tc>
          <w:tcPr>
            <w:tcW w:w="1002" w:type="dxa"/>
          </w:tcPr>
          <w:p>
            <w:pPr>
              <w:pStyle w:val="14"/>
              <w:spacing w:before="15" w:line="237" w:lineRule="exact"/>
              <w:ind w:left="315"/>
              <w:jc w:val="left"/>
              <w:rPr>
                <w:rFonts w:ascii="Times New Roman"/>
                <w:sz w:val="21"/>
              </w:rPr>
            </w:pPr>
            <w:r>
              <w:rPr>
                <w:rFonts w:ascii="Times New Roman"/>
                <w:sz w:val="21"/>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3" w:lineRule="exact"/>
              <w:ind w:left="111" w:right="108"/>
              <w:rPr>
                <w:sz w:val="21"/>
              </w:rPr>
            </w:pPr>
            <w:r>
              <w:rPr>
                <w:sz w:val="21"/>
              </w:rPr>
              <w:t>总镉</w:t>
            </w:r>
          </w:p>
        </w:tc>
        <w:tc>
          <w:tcPr>
            <w:tcW w:w="2162" w:type="dxa"/>
          </w:tcPr>
          <w:p>
            <w:pPr>
              <w:pStyle w:val="14"/>
              <w:spacing w:before="11" w:line="241" w:lineRule="exact"/>
              <w:ind w:left="852"/>
              <w:jc w:val="left"/>
              <w:rPr>
                <w:rFonts w:ascii="Times New Roman"/>
                <w:sz w:val="21"/>
              </w:rPr>
            </w:pPr>
            <w:r>
              <w:rPr>
                <w:rFonts w:ascii="Times New Roman"/>
                <w:sz w:val="21"/>
              </w:rPr>
              <w:t>mg/L</w:t>
            </w:r>
          </w:p>
        </w:tc>
        <w:tc>
          <w:tcPr>
            <w:tcW w:w="1002" w:type="dxa"/>
          </w:tcPr>
          <w:p>
            <w:pPr>
              <w:pStyle w:val="14"/>
              <w:spacing w:before="14" w:line="239" w:lineRule="exact"/>
              <w:ind w:left="190" w:right="182"/>
              <w:rPr>
                <w:rFonts w:ascii="Times New Roman"/>
                <w:sz w:val="21"/>
              </w:rPr>
            </w:pPr>
            <w:r>
              <w:rPr>
                <w:rFonts w:ascii="Times New Roman"/>
                <w:sz w:val="21"/>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2" w:lineRule="exact"/>
              <w:ind w:left="111" w:right="108"/>
              <w:rPr>
                <w:sz w:val="21"/>
              </w:rPr>
            </w:pPr>
            <w:r>
              <w:rPr>
                <w:sz w:val="21"/>
              </w:rPr>
              <w:t>总铬</w:t>
            </w:r>
          </w:p>
        </w:tc>
        <w:tc>
          <w:tcPr>
            <w:tcW w:w="2162" w:type="dxa"/>
          </w:tcPr>
          <w:p>
            <w:pPr>
              <w:pStyle w:val="14"/>
              <w:spacing w:before="12" w:line="240" w:lineRule="exact"/>
              <w:ind w:left="852"/>
              <w:jc w:val="left"/>
              <w:rPr>
                <w:rFonts w:ascii="Times New Roman"/>
                <w:sz w:val="21"/>
              </w:rPr>
            </w:pPr>
            <w:r>
              <w:rPr>
                <w:rFonts w:ascii="Times New Roman"/>
                <w:sz w:val="21"/>
              </w:rPr>
              <w:t>mg/L</w:t>
            </w:r>
          </w:p>
        </w:tc>
        <w:tc>
          <w:tcPr>
            <w:tcW w:w="1002" w:type="dxa"/>
          </w:tcPr>
          <w:p>
            <w:pPr>
              <w:pStyle w:val="14"/>
              <w:spacing w:before="14" w:line="238" w:lineRule="exact"/>
              <w:ind w:left="190" w:right="182"/>
              <w:rPr>
                <w:rFonts w:ascii="Times New Roman"/>
                <w:sz w:val="21"/>
              </w:rPr>
            </w:pPr>
            <w:r>
              <w:rPr>
                <w:rFonts w:ascii="Times New Roman"/>
                <w:sz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0" w:lineRule="exact"/>
              <w:ind w:left="116" w:right="108"/>
              <w:rPr>
                <w:sz w:val="21"/>
              </w:rPr>
            </w:pPr>
            <w:r>
              <w:rPr>
                <w:sz w:val="21"/>
              </w:rPr>
              <w:t>六价铬</w:t>
            </w:r>
          </w:p>
        </w:tc>
        <w:tc>
          <w:tcPr>
            <w:tcW w:w="2162" w:type="dxa"/>
          </w:tcPr>
          <w:p>
            <w:pPr>
              <w:pStyle w:val="14"/>
              <w:spacing w:before="13" w:line="239" w:lineRule="exact"/>
              <w:ind w:left="852"/>
              <w:jc w:val="left"/>
              <w:rPr>
                <w:rFonts w:ascii="Times New Roman"/>
                <w:sz w:val="21"/>
              </w:rPr>
            </w:pPr>
            <w:r>
              <w:rPr>
                <w:rFonts w:ascii="Times New Roman"/>
                <w:sz w:val="21"/>
              </w:rPr>
              <w:t>mg/L</w:t>
            </w:r>
          </w:p>
        </w:tc>
        <w:tc>
          <w:tcPr>
            <w:tcW w:w="1002" w:type="dxa"/>
          </w:tcPr>
          <w:p>
            <w:pPr>
              <w:pStyle w:val="14"/>
              <w:spacing w:before="15" w:line="236" w:lineRule="exact"/>
              <w:ind w:left="190" w:right="182"/>
              <w:rPr>
                <w:rFonts w:ascii="Times New Roman"/>
                <w:sz w:val="21"/>
              </w:rPr>
            </w:pPr>
            <w:r>
              <w:rPr>
                <w:rFonts w:ascii="Times New Roman"/>
                <w:sz w:val="21"/>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3" w:lineRule="exact"/>
              <w:ind w:left="114" w:right="108"/>
              <w:rPr>
                <w:sz w:val="21"/>
              </w:rPr>
            </w:pPr>
            <w:r>
              <w:rPr>
                <w:sz w:val="21"/>
              </w:rPr>
              <w:t>总铅</w:t>
            </w:r>
          </w:p>
        </w:tc>
        <w:tc>
          <w:tcPr>
            <w:tcW w:w="2162" w:type="dxa"/>
          </w:tcPr>
          <w:p>
            <w:pPr>
              <w:pStyle w:val="14"/>
              <w:spacing w:before="12" w:line="241" w:lineRule="exact"/>
              <w:ind w:left="852"/>
              <w:jc w:val="left"/>
              <w:rPr>
                <w:rFonts w:ascii="Times New Roman"/>
                <w:sz w:val="21"/>
              </w:rPr>
            </w:pPr>
            <w:r>
              <w:rPr>
                <w:rFonts w:ascii="Times New Roman"/>
                <w:sz w:val="21"/>
              </w:rPr>
              <w:t>mg/L</w:t>
            </w:r>
          </w:p>
        </w:tc>
        <w:tc>
          <w:tcPr>
            <w:tcW w:w="1002" w:type="dxa"/>
          </w:tcPr>
          <w:p>
            <w:pPr>
              <w:pStyle w:val="14"/>
              <w:spacing w:before="14" w:line="239" w:lineRule="exact"/>
              <w:ind w:left="190" w:right="182"/>
              <w:rPr>
                <w:rFonts w:ascii="Times New Roman"/>
                <w:sz w:val="21"/>
              </w:rPr>
            </w:pPr>
            <w:r>
              <w:rPr>
                <w:rFonts w:ascii="Times New Roman"/>
                <w:sz w:val="21"/>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1" w:lineRule="exact"/>
              <w:ind w:left="111" w:right="108"/>
              <w:rPr>
                <w:sz w:val="21"/>
              </w:rPr>
            </w:pPr>
            <w:r>
              <w:rPr>
                <w:sz w:val="21"/>
              </w:rPr>
              <w:t>总砷</w:t>
            </w:r>
          </w:p>
        </w:tc>
        <w:tc>
          <w:tcPr>
            <w:tcW w:w="2162" w:type="dxa"/>
          </w:tcPr>
          <w:p>
            <w:pPr>
              <w:pStyle w:val="14"/>
              <w:spacing w:before="12" w:line="240" w:lineRule="exact"/>
              <w:ind w:left="852"/>
              <w:jc w:val="left"/>
              <w:rPr>
                <w:rFonts w:ascii="Times New Roman"/>
                <w:sz w:val="21"/>
              </w:rPr>
            </w:pPr>
            <w:r>
              <w:rPr>
                <w:rFonts w:ascii="Times New Roman"/>
                <w:sz w:val="21"/>
              </w:rPr>
              <w:t>mg/L</w:t>
            </w:r>
          </w:p>
        </w:tc>
        <w:tc>
          <w:tcPr>
            <w:tcW w:w="1002" w:type="dxa"/>
          </w:tcPr>
          <w:p>
            <w:pPr>
              <w:pStyle w:val="14"/>
              <w:spacing w:before="14" w:line="237" w:lineRule="exact"/>
              <w:ind w:left="190" w:right="182"/>
              <w:rPr>
                <w:rFonts w:ascii="Times New Roman"/>
                <w:sz w:val="21"/>
              </w:rPr>
            </w:pPr>
            <w:r>
              <w:rPr>
                <w:rFonts w:ascii="Times New Roman"/>
                <w:sz w:val="21"/>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0" w:lineRule="exact"/>
              <w:ind w:left="111" w:right="108"/>
              <w:rPr>
                <w:sz w:val="21"/>
              </w:rPr>
            </w:pPr>
            <w:r>
              <w:rPr>
                <w:sz w:val="21"/>
              </w:rPr>
              <w:t>总锌</w:t>
            </w:r>
          </w:p>
        </w:tc>
        <w:tc>
          <w:tcPr>
            <w:tcW w:w="2162" w:type="dxa"/>
          </w:tcPr>
          <w:p>
            <w:pPr>
              <w:pStyle w:val="14"/>
              <w:spacing w:before="11" w:line="241" w:lineRule="exact"/>
              <w:ind w:left="852"/>
              <w:jc w:val="left"/>
              <w:rPr>
                <w:rFonts w:ascii="Times New Roman"/>
                <w:sz w:val="21"/>
              </w:rPr>
            </w:pPr>
            <w:r>
              <w:rPr>
                <w:rFonts w:ascii="Times New Roman"/>
                <w:sz w:val="21"/>
              </w:rPr>
              <w:t>mg/L</w:t>
            </w:r>
          </w:p>
        </w:tc>
        <w:tc>
          <w:tcPr>
            <w:tcW w:w="1002" w:type="dxa"/>
          </w:tcPr>
          <w:p>
            <w:pPr>
              <w:pStyle w:val="14"/>
              <w:spacing w:before="15" w:line="236" w:lineRule="exact"/>
              <w:ind w:left="190" w:right="182"/>
              <w:rPr>
                <w:rFonts w:ascii="Times New Roman"/>
                <w:sz w:val="21"/>
              </w:rPr>
            </w:pPr>
            <w:r>
              <w:rPr>
                <w:rFonts w:ascii="Times New Roman"/>
                <w:sz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2" w:lineRule="exact"/>
              <w:ind w:left="116" w:right="108"/>
              <w:rPr>
                <w:sz w:val="21"/>
              </w:rPr>
            </w:pPr>
            <w:r>
              <w:rPr>
                <w:sz w:val="21"/>
              </w:rPr>
              <w:t>氟化物</w:t>
            </w:r>
          </w:p>
        </w:tc>
        <w:tc>
          <w:tcPr>
            <w:tcW w:w="2162" w:type="dxa"/>
          </w:tcPr>
          <w:p>
            <w:pPr>
              <w:pStyle w:val="14"/>
              <w:spacing w:before="12" w:line="241" w:lineRule="exact"/>
              <w:ind w:left="852"/>
              <w:jc w:val="left"/>
              <w:rPr>
                <w:rFonts w:ascii="Times New Roman"/>
                <w:sz w:val="21"/>
              </w:rPr>
            </w:pPr>
            <w:r>
              <w:rPr>
                <w:rFonts w:ascii="Times New Roman"/>
                <w:sz w:val="21"/>
              </w:rPr>
              <w:t>mg/L</w:t>
            </w:r>
          </w:p>
        </w:tc>
        <w:tc>
          <w:tcPr>
            <w:tcW w:w="1002" w:type="dxa"/>
          </w:tcPr>
          <w:p>
            <w:pPr>
              <w:pStyle w:val="14"/>
              <w:spacing w:before="14" w:line="238" w:lineRule="exact"/>
              <w:ind w:left="190" w:right="182"/>
              <w:rPr>
                <w:rFonts w:ascii="Times New Roman"/>
                <w:sz w:val="21"/>
              </w:rPr>
            </w:pPr>
            <w:r>
              <w:rPr>
                <w:rFonts w:ascii="Times New Roman"/>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1" w:lineRule="exact"/>
              <w:ind w:left="114" w:right="108"/>
              <w:rPr>
                <w:sz w:val="21"/>
              </w:rPr>
            </w:pPr>
            <w:r>
              <w:rPr>
                <w:sz w:val="21"/>
              </w:rPr>
              <w:t>总铜</w:t>
            </w:r>
          </w:p>
        </w:tc>
        <w:tc>
          <w:tcPr>
            <w:tcW w:w="2162" w:type="dxa"/>
          </w:tcPr>
          <w:p>
            <w:pPr>
              <w:pStyle w:val="14"/>
              <w:spacing w:before="10"/>
              <w:ind w:left="852"/>
              <w:jc w:val="left"/>
              <w:rPr>
                <w:rFonts w:ascii="Times New Roman"/>
                <w:sz w:val="21"/>
              </w:rPr>
            </w:pPr>
            <w:r>
              <w:rPr>
                <w:rFonts w:ascii="Times New Roman"/>
                <w:sz w:val="21"/>
              </w:rPr>
              <w:t>mg/L</w:t>
            </w:r>
          </w:p>
        </w:tc>
        <w:tc>
          <w:tcPr>
            <w:tcW w:w="1002" w:type="dxa"/>
          </w:tcPr>
          <w:p>
            <w:pPr>
              <w:pStyle w:val="14"/>
              <w:spacing w:before="10"/>
              <w:ind w:left="9"/>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2" w:line="250" w:lineRule="exact"/>
              <w:ind w:left="116" w:right="108"/>
              <w:rPr>
                <w:sz w:val="21"/>
              </w:rPr>
            </w:pPr>
            <w:r>
              <w:rPr>
                <w:sz w:val="21"/>
              </w:rPr>
              <w:t>烷基汞</w:t>
            </w:r>
          </w:p>
        </w:tc>
        <w:tc>
          <w:tcPr>
            <w:tcW w:w="2162" w:type="dxa"/>
          </w:tcPr>
          <w:p>
            <w:pPr>
              <w:pStyle w:val="14"/>
              <w:spacing w:before="11" w:line="241" w:lineRule="exact"/>
              <w:ind w:left="852"/>
              <w:jc w:val="left"/>
              <w:rPr>
                <w:rFonts w:ascii="Times New Roman"/>
                <w:sz w:val="21"/>
              </w:rPr>
            </w:pPr>
            <w:r>
              <w:rPr>
                <w:rFonts w:ascii="Times New Roman"/>
                <w:sz w:val="21"/>
              </w:rPr>
              <w:t>mg/L</w:t>
            </w:r>
          </w:p>
        </w:tc>
        <w:tc>
          <w:tcPr>
            <w:tcW w:w="1002" w:type="dxa"/>
          </w:tcPr>
          <w:p>
            <w:pPr>
              <w:pStyle w:val="14"/>
              <w:spacing w:before="11" w:line="241" w:lineRule="exact"/>
              <w:ind w:left="9"/>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line="252" w:lineRule="exact"/>
              <w:ind w:left="114" w:right="108"/>
              <w:rPr>
                <w:sz w:val="21"/>
              </w:rPr>
            </w:pPr>
            <w:r>
              <w:rPr>
                <w:sz w:val="21"/>
              </w:rPr>
              <w:t>总铍</w:t>
            </w:r>
          </w:p>
        </w:tc>
        <w:tc>
          <w:tcPr>
            <w:tcW w:w="2162" w:type="dxa"/>
          </w:tcPr>
          <w:p>
            <w:pPr>
              <w:pStyle w:val="14"/>
              <w:spacing w:before="12" w:line="241" w:lineRule="exact"/>
              <w:ind w:left="852"/>
              <w:jc w:val="left"/>
              <w:rPr>
                <w:rFonts w:ascii="Times New Roman"/>
                <w:sz w:val="21"/>
              </w:rPr>
            </w:pPr>
            <w:r>
              <w:rPr>
                <w:rFonts w:ascii="Times New Roman"/>
                <w:sz w:val="21"/>
              </w:rPr>
              <w:t>mg/L</w:t>
            </w:r>
          </w:p>
        </w:tc>
        <w:tc>
          <w:tcPr>
            <w:tcW w:w="1002" w:type="dxa"/>
          </w:tcPr>
          <w:p>
            <w:pPr>
              <w:pStyle w:val="14"/>
              <w:spacing w:before="12" w:line="241" w:lineRule="exact"/>
              <w:ind w:left="9"/>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1" w:lineRule="exact"/>
              <w:ind w:left="111" w:right="108"/>
              <w:rPr>
                <w:sz w:val="21"/>
              </w:rPr>
            </w:pPr>
            <w:r>
              <w:rPr>
                <w:sz w:val="21"/>
              </w:rPr>
              <w:t>总镍</w:t>
            </w:r>
          </w:p>
        </w:tc>
        <w:tc>
          <w:tcPr>
            <w:tcW w:w="2162" w:type="dxa"/>
          </w:tcPr>
          <w:p>
            <w:pPr>
              <w:pStyle w:val="14"/>
              <w:spacing w:before="10"/>
              <w:ind w:left="852"/>
              <w:jc w:val="left"/>
              <w:rPr>
                <w:rFonts w:ascii="Times New Roman"/>
                <w:sz w:val="21"/>
              </w:rPr>
            </w:pPr>
            <w:r>
              <w:rPr>
                <w:rFonts w:ascii="Times New Roman"/>
                <w:sz w:val="21"/>
              </w:rPr>
              <w:t>mg/L</w:t>
            </w:r>
          </w:p>
        </w:tc>
        <w:tc>
          <w:tcPr>
            <w:tcW w:w="1002" w:type="dxa"/>
          </w:tcPr>
          <w:p>
            <w:pPr>
              <w:pStyle w:val="14"/>
              <w:spacing w:before="10"/>
              <w:ind w:left="9"/>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2" w:line="250" w:lineRule="exact"/>
              <w:ind w:left="111" w:right="108"/>
              <w:rPr>
                <w:sz w:val="21"/>
              </w:rPr>
            </w:pPr>
            <w:r>
              <w:rPr>
                <w:sz w:val="21"/>
              </w:rPr>
              <w:t>总银</w:t>
            </w:r>
          </w:p>
        </w:tc>
        <w:tc>
          <w:tcPr>
            <w:tcW w:w="2162" w:type="dxa"/>
          </w:tcPr>
          <w:p>
            <w:pPr>
              <w:pStyle w:val="14"/>
              <w:spacing w:before="11" w:line="241" w:lineRule="exact"/>
              <w:ind w:left="852"/>
              <w:jc w:val="left"/>
              <w:rPr>
                <w:rFonts w:ascii="Times New Roman"/>
                <w:sz w:val="21"/>
              </w:rPr>
            </w:pPr>
            <w:r>
              <w:rPr>
                <w:rFonts w:ascii="Times New Roman"/>
                <w:sz w:val="21"/>
              </w:rPr>
              <w:t>mg/L</w:t>
            </w:r>
          </w:p>
        </w:tc>
        <w:tc>
          <w:tcPr>
            <w:tcW w:w="1002" w:type="dxa"/>
          </w:tcPr>
          <w:p>
            <w:pPr>
              <w:pStyle w:val="14"/>
              <w:spacing w:before="11" w:line="241" w:lineRule="exact"/>
              <w:ind w:left="9"/>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5" w:type="dxa"/>
            <w:vMerge w:val="continue"/>
            <w:tcBorders>
              <w:top w:val="nil"/>
            </w:tcBorders>
          </w:tcPr>
          <w:p>
            <w:pPr>
              <w:rPr>
                <w:sz w:val="2"/>
                <w:szCs w:val="2"/>
              </w:rPr>
            </w:pPr>
          </w:p>
        </w:tc>
        <w:tc>
          <w:tcPr>
            <w:tcW w:w="2920" w:type="dxa"/>
            <w:vMerge w:val="continue"/>
            <w:tcBorders>
              <w:top w:val="nil"/>
            </w:tcBorders>
          </w:tcPr>
          <w:p>
            <w:pPr>
              <w:rPr>
                <w:sz w:val="2"/>
                <w:szCs w:val="2"/>
              </w:rPr>
            </w:pPr>
          </w:p>
        </w:tc>
        <w:tc>
          <w:tcPr>
            <w:tcW w:w="1763" w:type="dxa"/>
          </w:tcPr>
          <w:p>
            <w:pPr>
              <w:pStyle w:val="14"/>
              <w:spacing w:before="1" w:line="252" w:lineRule="exact"/>
              <w:ind w:left="111" w:right="108"/>
              <w:rPr>
                <w:sz w:val="21"/>
              </w:rPr>
            </w:pPr>
            <w:r>
              <w:rPr>
                <w:sz w:val="21"/>
              </w:rPr>
              <w:t>总硒</w:t>
            </w:r>
          </w:p>
        </w:tc>
        <w:tc>
          <w:tcPr>
            <w:tcW w:w="2162" w:type="dxa"/>
          </w:tcPr>
          <w:p>
            <w:pPr>
              <w:pStyle w:val="14"/>
              <w:spacing w:before="12" w:line="240" w:lineRule="exact"/>
              <w:ind w:left="852"/>
              <w:jc w:val="left"/>
              <w:rPr>
                <w:rFonts w:ascii="Times New Roman"/>
                <w:sz w:val="21"/>
              </w:rPr>
            </w:pPr>
            <w:r>
              <w:rPr>
                <w:rFonts w:ascii="Times New Roman"/>
                <w:sz w:val="21"/>
              </w:rPr>
              <w:t>mg/L</w:t>
            </w:r>
          </w:p>
        </w:tc>
        <w:tc>
          <w:tcPr>
            <w:tcW w:w="1002" w:type="dxa"/>
          </w:tcPr>
          <w:p>
            <w:pPr>
              <w:pStyle w:val="14"/>
              <w:spacing w:before="12" w:line="240" w:lineRule="exact"/>
              <w:ind w:left="9"/>
              <w:rPr>
                <w:rFonts w:ascii="Times New Roman"/>
                <w:sz w:val="21"/>
              </w:rPr>
            </w:pPr>
            <w:r>
              <w:rPr>
                <w:rFonts w:ascii="Times New Roman"/>
                <w:w w:val="99"/>
                <w:sz w:val="21"/>
              </w:rPr>
              <w:t>/</w:t>
            </w:r>
          </w:p>
        </w:tc>
      </w:tr>
    </w:tbl>
    <w:p>
      <w:pPr>
        <w:pStyle w:val="6"/>
        <w:spacing w:before="7"/>
        <w:rPr>
          <w:b/>
          <w:sz w:val="6"/>
        </w:rPr>
      </w:pPr>
    </w:p>
    <w:p>
      <w:pPr>
        <w:tabs>
          <w:tab w:val="left" w:pos="1039"/>
        </w:tabs>
        <w:spacing w:before="77" w:after="32"/>
        <w:ind w:left="0" w:right="20" w:firstLine="0"/>
        <w:jc w:val="center"/>
        <w:rPr>
          <w:b/>
          <w:sz w:val="24"/>
        </w:rPr>
      </w:pPr>
      <w:r>
        <w:rPr>
          <w:b/>
          <w:sz w:val="24"/>
        </w:rPr>
        <w:t>表</w:t>
      </w:r>
      <w:r>
        <w:rPr>
          <w:b/>
          <w:spacing w:val="-62"/>
          <w:sz w:val="24"/>
        </w:rPr>
        <w:t xml:space="preserve"> </w:t>
      </w:r>
      <w:r>
        <w:rPr>
          <w:rFonts w:ascii="Times New Roman" w:eastAsia="Times New Roman"/>
          <w:b/>
          <w:sz w:val="24"/>
        </w:rPr>
        <w:t>2.3-2</w:t>
      </w:r>
      <w:r>
        <w:rPr>
          <w:rFonts w:ascii="Times New Roman" w:eastAsia="Times New Roman"/>
          <w:b/>
          <w:sz w:val="24"/>
        </w:rPr>
        <w:tab/>
      </w:r>
      <w:r>
        <w:rPr>
          <w:b/>
          <w:sz w:val="24"/>
        </w:rPr>
        <w:t>农用地土壤环境质量标准（单位：</w:t>
      </w:r>
      <w:r>
        <w:rPr>
          <w:rFonts w:ascii="Times New Roman" w:eastAsia="Times New Roman"/>
          <w:b/>
          <w:sz w:val="24"/>
        </w:rPr>
        <w:t>mg/kg</w:t>
      </w:r>
      <w:r>
        <w:rPr>
          <w:b/>
          <w:sz w:val="24"/>
        </w:rPr>
        <w:t>）</w:t>
      </w:r>
    </w:p>
    <w:tbl>
      <w:tblPr>
        <w:tblStyle w:val="10"/>
        <w:tblW w:w="0" w:type="auto"/>
        <w:tblInd w:w="12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4"/>
        <w:gridCol w:w="1530"/>
        <w:gridCol w:w="55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744" w:type="dxa"/>
          </w:tcPr>
          <w:p>
            <w:pPr>
              <w:pStyle w:val="14"/>
              <w:spacing w:before="45" w:line="252" w:lineRule="exact"/>
              <w:ind w:left="161"/>
              <w:jc w:val="left"/>
              <w:rPr>
                <w:sz w:val="21"/>
              </w:rPr>
            </w:pPr>
            <w:r>
              <w:rPr>
                <w:sz w:val="21"/>
              </w:rPr>
              <w:t>序号</w:t>
            </w:r>
          </w:p>
        </w:tc>
        <w:tc>
          <w:tcPr>
            <w:tcW w:w="1530" w:type="dxa"/>
          </w:tcPr>
          <w:p>
            <w:pPr>
              <w:pStyle w:val="14"/>
              <w:spacing w:before="45" w:line="252" w:lineRule="exact"/>
              <w:ind w:left="238"/>
              <w:jc w:val="left"/>
              <w:rPr>
                <w:sz w:val="21"/>
              </w:rPr>
            </w:pPr>
            <w:r>
              <w:rPr>
                <w:sz w:val="21"/>
              </w:rPr>
              <w:t>污染物项目</w:t>
            </w:r>
          </w:p>
        </w:tc>
        <w:tc>
          <w:tcPr>
            <w:tcW w:w="5526" w:type="dxa"/>
          </w:tcPr>
          <w:p>
            <w:pPr>
              <w:pStyle w:val="14"/>
              <w:spacing w:before="45" w:line="252" w:lineRule="exact"/>
              <w:ind w:left="2216" w:right="2210"/>
              <w:rPr>
                <w:sz w:val="21"/>
              </w:rPr>
            </w:pPr>
            <w:r>
              <w:rPr>
                <w:sz w:val="21"/>
              </w:rPr>
              <w:t>风险筛选值</w:t>
            </w:r>
          </w:p>
        </w:tc>
      </w:tr>
    </w:tbl>
    <w:p>
      <w:pPr>
        <w:spacing w:after="0" w:line="252" w:lineRule="exact"/>
        <w:rPr>
          <w:sz w:val="21"/>
        </w:rPr>
        <w:sectPr>
          <w:pgSz w:w="11910" w:h="16840"/>
          <w:pgMar w:top="1400" w:right="720" w:bottom="1080" w:left="760" w:header="0" w:footer="895" w:gutter="0"/>
        </w:sectPr>
      </w:pPr>
    </w:p>
    <w:tbl>
      <w:tblPr>
        <w:tblStyle w:val="10"/>
        <w:tblW w:w="0" w:type="auto"/>
        <w:tblInd w:w="12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4"/>
        <w:gridCol w:w="720"/>
        <w:gridCol w:w="810"/>
        <w:gridCol w:w="1381"/>
        <w:gridCol w:w="1381"/>
        <w:gridCol w:w="1381"/>
        <w:gridCol w:w="13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744" w:type="dxa"/>
          </w:tcPr>
          <w:p>
            <w:pPr>
              <w:pStyle w:val="14"/>
              <w:jc w:val="left"/>
              <w:rPr>
                <w:rFonts w:ascii="Times New Roman"/>
                <w:sz w:val="20"/>
              </w:rPr>
            </w:pPr>
          </w:p>
        </w:tc>
        <w:tc>
          <w:tcPr>
            <w:tcW w:w="1530" w:type="dxa"/>
            <w:gridSpan w:val="2"/>
          </w:tcPr>
          <w:p>
            <w:pPr>
              <w:pStyle w:val="14"/>
              <w:jc w:val="left"/>
              <w:rPr>
                <w:rFonts w:ascii="Times New Roman"/>
                <w:sz w:val="20"/>
              </w:rPr>
            </w:pPr>
          </w:p>
        </w:tc>
        <w:tc>
          <w:tcPr>
            <w:tcW w:w="1381" w:type="dxa"/>
          </w:tcPr>
          <w:p>
            <w:pPr>
              <w:pStyle w:val="14"/>
              <w:spacing w:before="1"/>
              <w:jc w:val="left"/>
              <w:rPr>
                <w:b/>
                <w:sz w:val="16"/>
              </w:rPr>
            </w:pPr>
          </w:p>
          <w:p>
            <w:pPr>
              <w:pStyle w:val="14"/>
              <w:ind w:left="199" w:right="189"/>
              <w:rPr>
                <w:rFonts w:ascii="Times New Roman" w:hAnsi="Times New Roman"/>
                <w:sz w:val="21"/>
              </w:rPr>
            </w:pPr>
            <w:r>
              <w:rPr>
                <w:rFonts w:ascii="Times New Roman" w:hAnsi="Times New Roman"/>
                <w:sz w:val="21"/>
              </w:rPr>
              <w:t>pH</w:t>
            </w:r>
            <w:r>
              <w:rPr>
                <w:sz w:val="21"/>
              </w:rPr>
              <w:t>≤</w:t>
            </w:r>
            <w:r>
              <w:rPr>
                <w:rFonts w:ascii="Times New Roman" w:hAnsi="Times New Roman"/>
                <w:sz w:val="21"/>
              </w:rPr>
              <w:t>5.5</w:t>
            </w:r>
          </w:p>
        </w:tc>
        <w:tc>
          <w:tcPr>
            <w:tcW w:w="1381" w:type="dxa"/>
          </w:tcPr>
          <w:p>
            <w:pPr>
              <w:pStyle w:val="14"/>
              <w:spacing w:before="45"/>
              <w:ind w:left="197" w:right="190"/>
              <w:rPr>
                <w:sz w:val="21"/>
              </w:rPr>
            </w:pPr>
            <w:r>
              <w:rPr>
                <w:rFonts w:ascii="Times New Roman" w:hAnsi="Times New Roman" w:eastAsia="Times New Roman"/>
                <w:sz w:val="21"/>
              </w:rPr>
              <w:t>5.5</w:t>
            </w:r>
            <w:r>
              <w:rPr>
                <w:sz w:val="21"/>
              </w:rPr>
              <w:t>＜</w:t>
            </w:r>
            <w:r>
              <w:rPr>
                <w:rFonts w:ascii="Times New Roman" w:hAnsi="Times New Roman" w:eastAsia="Times New Roman"/>
                <w:sz w:val="21"/>
              </w:rPr>
              <w:t>pH</w:t>
            </w:r>
            <w:r>
              <w:rPr>
                <w:sz w:val="21"/>
              </w:rPr>
              <w:t>≤</w:t>
            </w:r>
          </w:p>
          <w:p>
            <w:pPr>
              <w:pStyle w:val="14"/>
              <w:spacing w:before="67" w:line="239" w:lineRule="exact"/>
              <w:ind w:left="198" w:right="190"/>
              <w:rPr>
                <w:rFonts w:ascii="Times New Roman"/>
                <w:sz w:val="21"/>
              </w:rPr>
            </w:pPr>
            <w:r>
              <w:rPr>
                <w:rFonts w:ascii="Times New Roman"/>
                <w:sz w:val="21"/>
              </w:rPr>
              <w:t>6.5</w:t>
            </w:r>
          </w:p>
        </w:tc>
        <w:tc>
          <w:tcPr>
            <w:tcW w:w="1381" w:type="dxa"/>
          </w:tcPr>
          <w:p>
            <w:pPr>
              <w:pStyle w:val="14"/>
              <w:spacing w:before="45"/>
              <w:ind w:left="199" w:right="189"/>
              <w:rPr>
                <w:sz w:val="21"/>
              </w:rPr>
            </w:pPr>
            <w:r>
              <w:rPr>
                <w:rFonts w:ascii="Times New Roman" w:hAnsi="Times New Roman" w:eastAsia="Times New Roman"/>
                <w:sz w:val="21"/>
              </w:rPr>
              <w:t>6.5</w:t>
            </w:r>
            <w:r>
              <w:rPr>
                <w:sz w:val="21"/>
              </w:rPr>
              <w:t>＜</w:t>
            </w:r>
            <w:r>
              <w:rPr>
                <w:rFonts w:ascii="Times New Roman" w:hAnsi="Times New Roman" w:eastAsia="Times New Roman"/>
                <w:sz w:val="21"/>
              </w:rPr>
              <w:t>pH</w:t>
            </w:r>
            <w:r>
              <w:rPr>
                <w:sz w:val="21"/>
              </w:rPr>
              <w:t>≤</w:t>
            </w:r>
          </w:p>
          <w:p>
            <w:pPr>
              <w:pStyle w:val="14"/>
              <w:spacing w:before="67" w:line="239" w:lineRule="exact"/>
              <w:ind w:left="199" w:right="188"/>
              <w:rPr>
                <w:rFonts w:ascii="Times New Roman"/>
                <w:sz w:val="21"/>
              </w:rPr>
            </w:pPr>
            <w:r>
              <w:rPr>
                <w:rFonts w:ascii="Times New Roman"/>
                <w:sz w:val="21"/>
              </w:rPr>
              <w:t>7.5</w:t>
            </w:r>
          </w:p>
        </w:tc>
        <w:tc>
          <w:tcPr>
            <w:tcW w:w="1383" w:type="dxa"/>
          </w:tcPr>
          <w:p>
            <w:pPr>
              <w:pStyle w:val="14"/>
              <w:spacing w:before="1"/>
              <w:jc w:val="left"/>
              <w:rPr>
                <w:b/>
                <w:sz w:val="16"/>
              </w:rPr>
            </w:pPr>
          </w:p>
          <w:p>
            <w:pPr>
              <w:pStyle w:val="14"/>
              <w:ind w:left="306" w:right="297"/>
              <w:rPr>
                <w:rFonts w:ascii="Times New Roman" w:eastAsia="Times New Roman"/>
                <w:sz w:val="21"/>
              </w:rPr>
            </w:pPr>
            <w:r>
              <w:rPr>
                <w:rFonts w:ascii="Times New Roman" w:eastAsia="Times New Roman"/>
                <w:sz w:val="21"/>
              </w:rPr>
              <w:t>pH</w:t>
            </w:r>
            <w:r>
              <w:rPr>
                <w:sz w:val="21"/>
              </w:rPr>
              <w:t>＞</w:t>
            </w:r>
            <w:r>
              <w:rPr>
                <w:rFonts w:ascii="Times New Roman" w:eastAsia="Times New Roman"/>
                <w:sz w:val="21"/>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44" w:type="dxa"/>
            <w:vMerge w:val="restart"/>
          </w:tcPr>
          <w:p>
            <w:pPr>
              <w:pStyle w:val="14"/>
              <w:spacing w:before="7"/>
              <w:jc w:val="left"/>
              <w:rPr>
                <w:b/>
                <w:sz w:val="17"/>
              </w:rPr>
            </w:pPr>
          </w:p>
          <w:p>
            <w:pPr>
              <w:pStyle w:val="14"/>
              <w:ind w:left="6"/>
              <w:rPr>
                <w:rFonts w:ascii="Times New Roman"/>
                <w:sz w:val="21"/>
              </w:rPr>
            </w:pPr>
            <w:r>
              <w:rPr>
                <w:rFonts w:ascii="Times New Roman"/>
                <w:w w:val="99"/>
                <w:sz w:val="21"/>
              </w:rPr>
              <w:t>1</w:t>
            </w:r>
          </w:p>
        </w:tc>
        <w:tc>
          <w:tcPr>
            <w:tcW w:w="720" w:type="dxa"/>
            <w:vMerge w:val="restart"/>
          </w:tcPr>
          <w:p>
            <w:pPr>
              <w:pStyle w:val="14"/>
              <w:spacing w:before="6"/>
              <w:jc w:val="left"/>
              <w:rPr>
                <w:b/>
                <w:sz w:val="16"/>
              </w:rPr>
            </w:pPr>
          </w:p>
          <w:p>
            <w:pPr>
              <w:pStyle w:val="14"/>
              <w:ind w:left="10"/>
              <w:rPr>
                <w:sz w:val="21"/>
              </w:rPr>
            </w:pPr>
            <w:r>
              <w:rPr>
                <w:w w:val="99"/>
                <w:sz w:val="21"/>
              </w:rPr>
              <w:t>镉</w:t>
            </w:r>
          </w:p>
        </w:tc>
        <w:tc>
          <w:tcPr>
            <w:tcW w:w="810" w:type="dxa"/>
          </w:tcPr>
          <w:p>
            <w:pPr>
              <w:pStyle w:val="14"/>
              <w:spacing w:before="46" w:line="254" w:lineRule="exact"/>
              <w:ind w:left="174" w:right="166"/>
              <w:rPr>
                <w:sz w:val="21"/>
              </w:rPr>
            </w:pPr>
            <w:r>
              <w:rPr>
                <w:sz w:val="21"/>
              </w:rPr>
              <w:t>水田</w:t>
            </w:r>
          </w:p>
        </w:tc>
        <w:tc>
          <w:tcPr>
            <w:tcW w:w="1381" w:type="dxa"/>
          </w:tcPr>
          <w:p>
            <w:pPr>
              <w:pStyle w:val="14"/>
              <w:spacing w:before="60" w:line="240" w:lineRule="exact"/>
              <w:ind w:left="199" w:right="189"/>
              <w:rPr>
                <w:rFonts w:ascii="Times New Roman"/>
                <w:sz w:val="21"/>
              </w:rPr>
            </w:pPr>
            <w:r>
              <w:rPr>
                <w:rFonts w:ascii="Times New Roman"/>
                <w:sz w:val="21"/>
              </w:rPr>
              <w:t>0.3</w:t>
            </w:r>
          </w:p>
        </w:tc>
        <w:tc>
          <w:tcPr>
            <w:tcW w:w="1381" w:type="dxa"/>
          </w:tcPr>
          <w:p>
            <w:pPr>
              <w:pStyle w:val="14"/>
              <w:spacing w:before="60" w:line="240" w:lineRule="exact"/>
              <w:ind w:left="558"/>
              <w:jc w:val="left"/>
              <w:rPr>
                <w:rFonts w:ascii="Times New Roman"/>
                <w:sz w:val="21"/>
              </w:rPr>
            </w:pPr>
            <w:r>
              <w:rPr>
                <w:rFonts w:ascii="Times New Roman"/>
                <w:sz w:val="21"/>
              </w:rPr>
              <w:t>0.4</w:t>
            </w:r>
          </w:p>
        </w:tc>
        <w:tc>
          <w:tcPr>
            <w:tcW w:w="1381" w:type="dxa"/>
          </w:tcPr>
          <w:p>
            <w:pPr>
              <w:pStyle w:val="14"/>
              <w:spacing w:before="60" w:line="240" w:lineRule="exact"/>
              <w:ind w:left="559"/>
              <w:jc w:val="left"/>
              <w:rPr>
                <w:rFonts w:ascii="Times New Roman"/>
                <w:sz w:val="21"/>
              </w:rPr>
            </w:pPr>
            <w:r>
              <w:rPr>
                <w:rFonts w:ascii="Times New Roman"/>
                <w:sz w:val="21"/>
              </w:rPr>
              <w:t>0.6</w:t>
            </w:r>
          </w:p>
        </w:tc>
        <w:tc>
          <w:tcPr>
            <w:tcW w:w="1383" w:type="dxa"/>
          </w:tcPr>
          <w:p>
            <w:pPr>
              <w:pStyle w:val="14"/>
              <w:spacing w:before="60" w:line="240" w:lineRule="exact"/>
              <w:ind w:left="304" w:right="297"/>
              <w:rPr>
                <w:rFonts w:ascii="Times New Roman"/>
                <w:sz w:val="21"/>
              </w:rPr>
            </w:pPr>
            <w:r>
              <w:rPr>
                <w:rFonts w:ascii="Times New Roman"/>
                <w:sz w:val="21"/>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44" w:type="dxa"/>
            <w:vMerge w:val="continue"/>
            <w:tcBorders>
              <w:top w:val="nil"/>
            </w:tcBorders>
          </w:tcPr>
          <w:p>
            <w:pPr>
              <w:rPr>
                <w:sz w:val="2"/>
                <w:szCs w:val="2"/>
              </w:rPr>
            </w:pPr>
          </w:p>
        </w:tc>
        <w:tc>
          <w:tcPr>
            <w:tcW w:w="720" w:type="dxa"/>
            <w:vMerge w:val="continue"/>
            <w:tcBorders>
              <w:top w:val="nil"/>
            </w:tcBorders>
          </w:tcPr>
          <w:p>
            <w:pPr>
              <w:rPr>
                <w:sz w:val="2"/>
                <w:szCs w:val="2"/>
              </w:rPr>
            </w:pPr>
          </w:p>
        </w:tc>
        <w:tc>
          <w:tcPr>
            <w:tcW w:w="810" w:type="dxa"/>
          </w:tcPr>
          <w:p>
            <w:pPr>
              <w:pStyle w:val="14"/>
              <w:spacing w:before="47" w:line="253" w:lineRule="exact"/>
              <w:ind w:left="174" w:right="166"/>
              <w:rPr>
                <w:sz w:val="21"/>
              </w:rPr>
            </w:pPr>
            <w:r>
              <w:rPr>
                <w:sz w:val="21"/>
              </w:rPr>
              <w:t>其他</w:t>
            </w:r>
          </w:p>
        </w:tc>
        <w:tc>
          <w:tcPr>
            <w:tcW w:w="1381" w:type="dxa"/>
          </w:tcPr>
          <w:p>
            <w:pPr>
              <w:pStyle w:val="14"/>
              <w:spacing w:before="61" w:line="239" w:lineRule="exact"/>
              <w:ind w:left="199" w:right="189"/>
              <w:rPr>
                <w:rFonts w:ascii="Times New Roman"/>
                <w:sz w:val="21"/>
              </w:rPr>
            </w:pPr>
            <w:r>
              <w:rPr>
                <w:rFonts w:ascii="Times New Roman"/>
                <w:sz w:val="21"/>
              </w:rPr>
              <w:t>0.3</w:t>
            </w:r>
          </w:p>
        </w:tc>
        <w:tc>
          <w:tcPr>
            <w:tcW w:w="1381" w:type="dxa"/>
          </w:tcPr>
          <w:p>
            <w:pPr>
              <w:pStyle w:val="14"/>
              <w:spacing w:before="61" w:line="239" w:lineRule="exact"/>
              <w:ind w:left="558"/>
              <w:jc w:val="left"/>
              <w:rPr>
                <w:rFonts w:ascii="Times New Roman"/>
                <w:sz w:val="21"/>
              </w:rPr>
            </w:pPr>
            <w:r>
              <w:rPr>
                <w:rFonts w:ascii="Times New Roman"/>
                <w:sz w:val="21"/>
              </w:rPr>
              <w:t>0.3</w:t>
            </w:r>
          </w:p>
        </w:tc>
        <w:tc>
          <w:tcPr>
            <w:tcW w:w="1381" w:type="dxa"/>
          </w:tcPr>
          <w:p>
            <w:pPr>
              <w:pStyle w:val="14"/>
              <w:spacing w:before="61" w:line="239" w:lineRule="exact"/>
              <w:ind w:left="559"/>
              <w:jc w:val="left"/>
              <w:rPr>
                <w:rFonts w:ascii="Times New Roman"/>
                <w:sz w:val="21"/>
              </w:rPr>
            </w:pPr>
            <w:r>
              <w:rPr>
                <w:rFonts w:ascii="Times New Roman"/>
                <w:sz w:val="21"/>
              </w:rPr>
              <w:t>0.3</w:t>
            </w:r>
          </w:p>
        </w:tc>
        <w:tc>
          <w:tcPr>
            <w:tcW w:w="1383" w:type="dxa"/>
          </w:tcPr>
          <w:p>
            <w:pPr>
              <w:pStyle w:val="14"/>
              <w:spacing w:before="61" w:line="239" w:lineRule="exact"/>
              <w:ind w:left="304" w:right="297"/>
              <w:rPr>
                <w:rFonts w:ascii="Times New Roman"/>
                <w:sz w:val="21"/>
              </w:rPr>
            </w:pPr>
            <w:r>
              <w:rPr>
                <w:rFonts w:ascii="Times New Roman"/>
                <w:sz w:val="21"/>
              </w:rPr>
              <w:t>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44" w:type="dxa"/>
            <w:vMerge w:val="restart"/>
          </w:tcPr>
          <w:p>
            <w:pPr>
              <w:pStyle w:val="14"/>
              <w:spacing w:before="7"/>
              <w:jc w:val="left"/>
              <w:rPr>
                <w:b/>
                <w:sz w:val="17"/>
              </w:rPr>
            </w:pPr>
          </w:p>
          <w:p>
            <w:pPr>
              <w:pStyle w:val="14"/>
              <w:ind w:left="6"/>
              <w:rPr>
                <w:rFonts w:ascii="Times New Roman"/>
                <w:sz w:val="21"/>
              </w:rPr>
            </w:pPr>
            <w:r>
              <w:rPr>
                <w:rFonts w:ascii="Times New Roman"/>
                <w:w w:val="99"/>
                <w:sz w:val="21"/>
              </w:rPr>
              <w:t>2</w:t>
            </w:r>
          </w:p>
        </w:tc>
        <w:tc>
          <w:tcPr>
            <w:tcW w:w="720" w:type="dxa"/>
            <w:vMerge w:val="restart"/>
          </w:tcPr>
          <w:p>
            <w:pPr>
              <w:pStyle w:val="14"/>
              <w:spacing w:before="6"/>
              <w:jc w:val="left"/>
              <w:rPr>
                <w:b/>
                <w:sz w:val="16"/>
              </w:rPr>
            </w:pPr>
          </w:p>
          <w:p>
            <w:pPr>
              <w:pStyle w:val="14"/>
              <w:ind w:left="10"/>
              <w:rPr>
                <w:sz w:val="21"/>
              </w:rPr>
            </w:pPr>
            <w:r>
              <w:rPr>
                <w:w w:val="99"/>
                <w:sz w:val="21"/>
              </w:rPr>
              <w:t>汞</w:t>
            </w:r>
          </w:p>
        </w:tc>
        <w:tc>
          <w:tcPr>
            <w:tcW w:w="810" w:type="dxa"/>
          </w:tcPr>
          <w:p>
            <w:pPr>
              <w:pStyle w:val="14"/>
              <w:spacing w:before="46" w:line="254" w:lineRule="exact"/>
              <w:ind w:left="174" w:right="166"/>
              <w:rPr>
                <w:sz w:val="21"/>
              </w:rPr>
            </w:pPr>
            <w:r>
              <w:rPr>
                <w:sz w:val="21"/>
              </w:rPr>
              <w:t>水田</w:t>
            </w:r>
          </w:p>
        </w:tc>
        <w:tc>
          <w:tcPr>
            <w:tcW w:w="1381" w:type="dxa"/>
          </w:tcPr>
          <w:p>
            <w:pPr>
              <w:pStyle w:val="14"/>
              <w:spacing w:before="60" w:line="240" w:lineRule="exact"/>
              <w:ind w:left="199" w:right="189"/>
              <w:rPr>
                <w:rFonts w:ascii="Times New Roman"/>
                <w:sz w:val="21"/>
              </w:rPr>
            </w:pPr>
            <w:r>
              <w:rPr>
                <w:rFonts w:ascii="Times New Roman"/>
                <w:sz w:val="21"/>
              </w:rPr>
              <w:t>0.5</w:t>
            </w:r>
          </w:p>
        </w:tc>
        <w:tc>
          <w:tcPr>
            <w:tcW w:w="1381" w:type="dxa"/>
          </w:tcPr>
          <w:p>
            <w:pPr>
              <w:pStyle w:val="14"/>
              <w:spacing w:before="60" w:line="240" w:lineRule="exact"/>
              <w:ind w:left="558"/>
              <w:jc w:val="left"/>
              <w:rPr>
                <w:rFonts w:ascii="Times New Roman"/>
                <w:sz w:val="21"/>
              </w:rPr>
            </w:pPr>
            <w:r>
              <w:rPr>
                <w:rFonts w:ascii="Times New Roman"/>
                <w:sz w:val="21"/>
              </w:rPr>
              <w:t>0.5</w:t>
            </w:r>
          </w:p>
        </w:tc>
        <w:tc>
          <w:tcPr>
            <w:tcW w:w="1381" w:type="dxa"/>
          </w:tcPr>
          <w:p>
            <w:pPr>
              <w:pStyle w:val="14"/>
              <w:spacing w:before="60" w:line="240" w:lineRule="exact"/>
              <w:ind w:left="559"/>
              <w:jc w:val="left"/>
              <w:rPr>
                <w:rFonts w:ascii="Times New Roman"/>
                <w:sz w:val="21"/>
              </w:rPr>
            </w:pPr>
            <w:r>
              <w:rPr>
                <w:rFonts w:ascii="Times New Roman"/>
                <w:sz w:val="21"/>
              </w:rPr>
              <w:t>0.6</w:t>
            </w:r>
          </w:p>
        </w:tc>
        <w:tc>
          <w:tcPr>
            <w:tcW w:w="1383" w:type="dxa"/>
          </w:tcPr>
          <w:p>
            <w:pPr>
              <w:pStyle w:val="14"/>
              <w:spacing w:before="60" w:line="240" w:lineRule="exact"/>
              <w:ind w:left="304" w:right="297"/>
              <w:rPr>
                <w:rFonts w:ascii="Times New Roman"/>
                <w:sz w:val="21"/>
              </w:rPr>
            </w:pPr>
            <w:r>
              <w:rPr>
                <w:rFonts w:ascii="Times New Roman"/>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44" w:type="dxa"/>
            <w:vMerge w:val="continue"/>
            <w:tcBorders>
              <w:top w:val="nil"/>
            </w:tcBorders>
          </w:tcPr>
          <w:p>
            <w:pPr>
              <w:rPr>
                <w:sz w:val="2"/>
                <w:szCs w:val="2"/>
              </w:rPr>
            </w:pPr>
          </w:p>
        </w:tc>
        <w:tc>
          <w:tcPr>
            <w:tcW w:w="720" w:type="dxa"/>
            <w:vMerge w:val="continue"/>
            <w:tcBorders>
              <w:top w:val="nil"/>
            </w:tcBorders>
          </w:tcPr>
          <w:p>
            <w:pPr>
              <w:rPr>
                <w:sz w:val="2"/>
                <w:szCs w:val="2"/>
              </w:rPr>
            </w:pPr>
          </w:p>
        </w:tc>
        <w:tc>
          <w:tcPr>
            <w:tcW w:w="810" w:type="dxa"/>
          </w:tcPr>
          <w:p>
            <w:pPr>
              <w:pStyle w:val="14"/>
              <w:spacing w:before="47" w:line="253" w:lineRule="exact"/>
              <w:ind w:left="174" w:right="166"/>
              <w:rPr>
                <w:sz w:val="21"/>
              </w:rPr>
            </w:pPr>
            <w:r>
              <w:rPr>
                <w:sz w:val="21"/>
              </w:rPr>
              <w:t>其他</w:t>
            </w:r>
          </w:p>
        </w:tc>
        <w:tc>
          <w:tcPr>
            <w:tcW w:w="1381" w:type="dxa"/>
          </w:tcPr>
          <w:p>
            <w:pPr>
              <w:pStyle w:val="14"/>
              <w:spacing w:before="61" w:line="239" w:lineRule="exact"/>
              <w:ind w:left="199" w:right="189"/>
              <w:rPr>
                <w:rFonts w:ascii="Times New Roman"/>
                <w:sz w:val="21"/>
              </w:rPr>
            </w:pPr>
            <w:r>
              <w:rPr>
                <w:rFonts w:ascii="Times New Roman"/>
                <w:sz w:val="21"/>
              </w:rPr>
              <w:t>1.3</w:t>
            </w:r>
          </w:p>
        </w:tc>
        <w:tc>
          <w:tcPr>
            <w:tcW w:w="1381" w:type="dxa"/>
          </w:tcPr>
          <w:p>
            <w:pPr>
              <w:pStyle w:val="14"/>
              <w:spacing w:before="61" w:line="239" w:lineRule="exact"/>
              <w:ind w:left="558"/>
              <w:jc w:val="left"/>
              <w:rPr>
                <w:rFonts w:ascii="Times New Roman"/>
                <w:sz w:val="21"/>
              </w:rPr>
            </w:pPr>
            <w:r>
              <w:rPr>
                <w:rFonts w:ascii="Times New Roman"/>
                <w:sz w:val="21"/>
              </w:rPr>
              <w:t>1.8</w:t>
            </w:r>
          </w:p>
        </w:tc>
        <w:tc>
          <w:tcPr>
            <w:tcW w:w="1381" w:type="dxa"/>
          </w:tcPr>
          <w:p>
            <w:pPr>
              <w:pStyle w:val="14"/>
              <w:spacing w:before="61" w:line="239" w:lineRule="exact"/>
              <w:ind w:left="559"/>
              <w:jc w:val="left"/>
              <w:rPr>
                <w:rFonts w:ascii="Times New Roman"/>
                <w:sz w:val="21"/>
              </w:rPr>
            </w:pPr>
            <w:r>
              <w:rPr>
                <w:rFonts w:ascii="Times New Roman"/>
                <w:sz w:val="21"/>
              </w:rPr>
              <w:t>2.4</w:t>
            </w:r>
          </w:p>
        </w:tc>
        <w:tc>
          <w:tcPr>
            <w:tcW w:w="1383" w:type="dxa"/>
          </w:tcPr>
          <w:p>
            <w:pPr>
              <w:pStyle w:val="14"/>
              <w:spacing w:before="61" w:line="239" w:lineRule="exact"/>
              <w:ind w:left="304" w:right="297"/>
              <w:rPr>
                <w:rFonts w:ascii="Times New Roman"/>
                <w:sz w:val="21"/>
              </w:rPr>
            </w:pPr>
            <w:r>
              <w:rPr>
                <w:rFonts w:ascii="Times New Roman"/>
                <w:sz w:val="21"/>
              </w:rPr>
              <w:t>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44" w:type="dxa"/>
            <w:vMerge w:val="restart"/>
          </w:tcPr>
          <w:p>
            <w:pPr>
              <w:pStyle w:val="14"/>
              <w:spacing w:before="7"/>
              <w:jc w:val="left"/>
              <w:rPr>
                <w:b/>
                <w:sz w:val="17"/>
              </w:rPr>
            </w:pPr>
          </w:p>
          <w:p>
            <w:pPr>
              <w:pStyle w:val="14"/>
              <w:ind w:left="6"/>
              <w:rPr>
                <w:rFonts w:ascii="Times New Roman"/>
                <w:sz w:val="21"/>
              </w:rPr>
            </w:pPr>
            <w:r>
              <w:rPr>
                <w:rFonts w:ascii="Times New Roman"/>
                <w:w w:val="99"/>
                <w:sz w:val="21"/>
              </w:rPr>
              <w:t>3</w:t>
            </w:r>
          </w:p>
        </w:tc>
        <w:tc>
          <w:tcPr>
            <w:tcW w:w="720" w:type="dxa"/>
            <w:vMerge w:val="restart"/>
          </w:tcPr>
          <w:p>
            <w:pPr>
              <w:pStyle w:val="14"/>
              <w:spacing w:before="6"/>
              <w:jc w:val="left"/>
              <w:rPr>
                <w:b/>
                <w:sz w:val="16"/>
              </w:rPr>
            </w:pPr>
          </w:p>
          <w:p>
            <w:pPr>
              <w:pStyle w:val="14"/>
              <w:ind w:left="10"/>
              <w:rPr>
                <w:sz w:val="21"/>
              </w:rPr>
            </w:pPr>
            <w:r>
              <w:rPr>
                <w:w w:val="99"/>
                <w:sz w:val="21"/>
              </w:rPr>
              <w:t>砷</w:t>
            </w:r>
          </w:p>
        </w:tc>
        <w:tc>
          <w:tcPr>
            <w:tcW w:w="810" w:type="dxa"/>
          </w:tcPr>
          <w:p>
            <w:pPr>
              <w:pStyle w:val="14"/>
              <w:spacing w:before="46" w:line="254" w:lineRule="exact"/>
              <w:ind w:left="174" w:right="166"/>
              <w:rPr>
                <w:sz w:val="21"/>
              </w:rPr>
            </w:pPr>
            <w:r>
              <w:rPr>
                <w:sz w:val="21"/>
              </w:rPr>
              <w:t>水田</w:t>
            </w:r>
          </w:p>
        </w:tc>
        <w:tc>
          <w:tcPr>
            <w:tcW w:w="1381" w:type="dxa"/>
          </w:tcPr>
          <w:p>
            <w:pPr>
              <w:pStyle w:val="14"/>
              <w:spacing w:before="60" w:line="240" w:lineRule="exact"/>
              <w:ind w:left="199" w:right="189"/>
              <w:rPr>
                <w:rFonts w:ascii="Times New Roman"/>
                <w:sz w:val="21"/>
              </w:rPr>
            </w:pPr>
            <w:r>
              <w:rPr>
                <w:rFonts w:ascii="Times New Roman"/>
                <w:sz w:val="21"/>
              </w:rPr>
              <w:t>30</w:t>
            </w:r>
          </w:p>
        </w:tc>
        <w:tc>
          <w:tcPr>
            <w:tcW w:w="1381" w:type="dxa"/>
          </w:tcPr>
          <w:p>
            <w:pPr>
              <w:pStyle w:val="14"/>
              <w:spacing w:before="60" w:line="240" w:lineRule="exact"/>
              <w:ind w:left="584"/>
              <w:jc w:val="left"/>
              <w:rPr>
                <w:rFonts w:ascii="Times New Roman"/>
                <w:sz w:val="21"/>
              </w:rPr>
            </w:pPr>
            <w:r>
              <w:rPr>
                <w:rFonts w:ascii="Times New Roman"/>
                <w:sz w:val="21"/>
              </w:rPr>
              <w:t>30</w:t>
            </w:r>
          </w:p>
        </w:tc>
        <w:tc>
          <w:tcPr>
            <w:tcW w:w="1381" w:type="dxa"/>
          </w:tcPr>
          <w:p>
            <w:pPr>
              <w:pStyle w:val="14"/>
              <w:spacing w:before="60" w:line="240" w:lineRule="exact"/>
              <w:ind w:left="583"/>
              <w:jc w:val="left"/>
              <w:rPr>
                <w:rFonts w:ascii="Times New Roman"/>
                <w:sz w:val="21"/>
              </w:rPr>
            </w:pPr>
            <w:r>
              <w:rPr>
                <w:rFonts w:ascii="Times New Roman"/>
                <w:sz w:val="21"/>
              </w:rPr>
              <w:t>25</w:t>
            </w:r>
          </w:p>
        </w:tc>
        <w:tc>
          <w:tcPr>
            <w:tcW w:w="1383" w:type="dxa"/>
          </w:tcPr>
          <w:p>
            <w:pPr>
              <w:pStyle w:val="14"/>
              <w:spacing w:before="60" w:line="240" w:lineRule="exact"/>
              <w:ind w:left="304" w:right="297"/>
              <w:rPr>
                <w:rFonts w:ascii="Times New Roman"/>
                <w:sz w:val="21"/>
              </w:rPr>
            </w:pPr>
            <w:r>
              <w:rPr>
                <w:rFonts w:ascii="Times New Roman"/>
                <w:sz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44" w:type="dxa"/>
            <w:vMerge w:val="continue"/>
            <w:tcBorders>
              <w:top w:val="nil"/>
            </w:tcBorders>
          </w:tcPr>
          <w:p>
            <w:pPr>
              <w:rPr>
                <w:sz w:val="2"/>
                <w:szCs w:val="2"/>
              </w:rPr>
            </w:pPr>
          </w:p>
        </w:tc>
        <w:tc>
          <w:tcPr>
            <w:tcW w:w="720" w:type="dxa"/>
            <w:vMerge w:val="continue"/>
            <w:tcBorders>
              <w:top w:val="nil"/>
            </w:tcBorders>
          </w:tcPr>
          <w:p>
            <w:pPr>
              <w:rPr>
                <w:sz w:val="2"/>
                <w:szCs w:val="2"/>
              </w:rPr>
            </w:pPr>
          </w:p>
        </w:tc>
        <w:tc>
          <w:tcPr>
            <w:tcW w:w="810" w:type="dxa"/>
          </w:tcPr>
          <w:p>
            <w:pPr>
              <w:pStyle w:val="14"/>
              <w:spacing w:before="47" w:line="253" w:lineRule="exact"/>
              <w:ind w:left="174" w:right="166"/>
              <w:rPr>
                <w:sz w:val="21"/>
              </w:rPr>
            </w:pPr>
            <w:r>
              <w:rPr>
                <w:sz w:val="21"/>
              </w:rPr>
              <w:t>其他</w:t>
            </w:r>
          </w:p>
        </w:tc>
        <w:tc>
          <w:tcPr>
            <w:tcW w:w="1381" w:type="dxa"/>
          </w:tcPr>
          <w:p>
            <w:pPr>
              <w:pStyle w:val="14"/>
              <w:spacing w:before="61" w:line="239" w:lineRule="exact"/>
              <w:ind w:left="199" w:right="189"/>
              <w:rPr>
                <w:rFonts w:ascii="Times New Roman"/>
                <w:sz w:val="21"/>
              </w:rPr>
            </w:pPr>
            <w:r>
              <w:rPr>
                <w:rFonts w:ascii="Times New Roman"/>
                <w:sz w:val="21"/>
              </w:rPr>
              <w:t>40</w:t>
            </w:r>
          </w:p>
        </w:tc>
        <w:tc>
          <w:tcPr>
            <w:tcW w:w="1381" w:type="dxa"/>
          </w:tcPr>
          <w:p>
            <w:pPr>
              <w:pStyle w:val="14"/>
              <w:spacing w:before="61" w:line="239" w:lineRule="exact"/>
              <w:ind w:left="584"/>
              <w:jc w:val="left"/>
              <w:rPr>
                <w:rFonts w:ascii="Times New Roman"/>
                <w:sz w:val="21"/>
              </w:rPr>
            </w:pPr>
            <w:r>
              <w:rPr>
                <w:rFonts w:ascii="Times New Roman"/>
                <w:sz w:val="21"/>
              </w:rPr>
              <w:t>40</w:t>
            </w:r>
          </w:p>
        </w:tc>
        <w:tc>
          <w:tcPr>
            <w:tcW w:w="1381" w:type="dxa"/>
          </w:tcPr>
          <w:p>
            <w:pPr>
              <w:pStyle w:val="14"/>
              <w:spacing w:before="61" w:line="239" w:lineRule="exact"/>
              <w:ind w:left="583"/>
              <w:jc w:val="left"/>
              <w:rPr>
                <w:rFonts w:ascii="Times New Roman"/>
                <w:sz w:val="21"/>
              </w:rPr>
            </w:pPr>
            <w:r>
              <w:rPr>
                <w:rFonts w:ascii="Times New Roman"/>
                <w:sz w:val="21"/>
              </w:rPr>
              <w:t>30</w:t>
            </w:r>
          </w:p>
        </w:tc>
        <w:tc>
          <w:tcPr>
            <w:tcW w:w="1383" w:type="dxa"/>
          </w:tcPr>
          <w:p>
            <w:pPr>
              <w:pStyle w:val="14"/>
              <w:spacing w:before="61" w:line="239" w:lineRule="exact"/>
              <w:ind w:left="304" w:right="297"/>
              <w:rPr>
                <w:rFonts w:ascii="Times New Roman"/>
                <w:sz w:val="21"/>
              </w:rPr>
            </w:pPr>
            <w:r>
              <w:rPr>
                <w:rFonts w:ascii="Times New Roman"/>
                <w:sz w:val="21"/>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44" w:type="dxa"/>
            <w:vMerge w:val="restart"/>
          </w:tcPr>
          <w:p>
            <w:pPr>
              <w:pStyle w:val="14"/>
              <w:spacing w:before="7"/>
              <w:jc w:val="left"/>
              <w:rPr>
                <w:b/>
                <w:sz w:val="17"/>
              </w:rPr>
            </w:pPr>
          </w:p>
          <w:p>
            <w:pPr>
              <w:pStyle w:val="14"/>
              <w:ind w:left="6"/>
              <w:rPr>
                <w:rFonts w:ascii="Times New Roman"/>
                <w:sz w:val="21"/>
              </w:rPr>
            </w:pPr>
            <w:r>
              <w:rPr>
                <w:rFonts w:ascii="Times New Roman"/>
                <w:w w:val="99"/>
                <w:sz w:val="21"/>
              </w:rPr>
              <w:t>4</w:t>
            </w:r>
          </w:p>
        </w:tc>
        <w:tc>
          <w:tcPr>
            <w:tcW w:w="720" w:type="dxa"/>
            <w:vMerge w:val="restart"/>
          </w:tcPr>
          <w:p>
            <w:pPr>
              <w:pStyle w:val="14"/>
              <w:spacing w:before="6"/>
              <w:jc w:val="left"/>
              <w:rPr>
                <w:b/>
                <w:sz w:val="16"/>
              </w:rPr>
            </w:pPr>
          </w:p>
          <w:p>
            <w:pPr>
              <w:pStyle w:val="14"/>
              <w:ind w:left="10"/>
              <w:rPr>
                <w:sz w:val="21"/>
              </w:rPr>
            </w:pPr>
            <w:r>
              <w:rPr>
                <w:w w:val="99"/>
                <w:sz w:val="21"/>
              </w:rPr>
              <w:t>铅</w:t>
            </w:r>
          </w:p>
        </w:tc>
        <w:tc>
          <w:tcPr>
            <w:tcW w:w="810" w:type="dxa"/>
          </w:tcPr>
          <w:p>
            <w:pPr>
              <w:pStyle w:val="14"/>
              <w:spacing w:before="46" w:line="254" w:lineRule="exact"/>
              <w:ind w:left="174" w:right="166"/>
              <w:rPr>
                <w:sz w:val="21"/>
              </w:rPr>
            </w:pPr>
            <w:r>
              <w:rPr>
                <w:sz w:val="21"/>
              </w:rPr>
              <w:t>水田</w:t>
            </w:r>
          </w:p>
        </w:tc>
        <w:tc>
          <w:tcPr>
            <w:tcW w:w="1381" w:type="dxa"/>
          </w:tcPr>
          <w:p>
            <w:pPr>
              <w:pStyle w:val="14"/>
              <w:spacing w:before="60" w:line="240" w:lineRule="exact"/>
              <w:ind w:left="199" w:right="189"/>
              <w:rPr>
                <w:rFonts w:ascii="Times New Roman"/>
                <w:sz w:val="21"/>
              </w:rPr>
            </w:pPr>
            <w:r>
              <w:rPr>
                <w:rFonts w:ascii="Times New Roman"/>
                <w:sz w:val="21"/>
              </w:rPr>
              <w:t>80</w:t>
            </w:r>
          </w:p>
        </w:tc>
        <w:tc>
          <w:tcPr>
            <w:tcW w:w="1381" w:type="dxa"/>
          </w:tcPr>
          <w:p>
            <w:pPr>
              <w:pStyle w:val="14"/>
              <w:spacing w:before="60" w:line="240" w:lineRule="exact"/>
              <w:ind w:left="531"/>
              <w:jc w:val="left"/>
              <w:rPr>
                <w:rFonts w:ascii="Times New Roman"/>
                <w:sz w:val="21"/>
              </w:rPr>
            </w:pPr>
            <w:r>
              <w:rPr>
                <w:rFonts w:ascii="Times New Roman"/>
                <w:sz w:val="21"/>
              </w:rPr>
              <w:t>100</w:t>
            </w:r>
          </w:p>
        </w:tc>
        <w:tc>
          <w:tcPr>
            <w:tcW w:w="1381" w:type="dxa"/>
          </w:tcPr>
          <w:p>
            <w:pPr>
              <w:pStyle w:val="14"/>
              <w:spacing w:before="60" w:line="240" w:lineRule="exact"/>
              <w:ind w:left="533"/>
              <w:jc w:val="left"/>
              <w:rPr>
                <w:rFonts w:ascii="Times New Roman"/>
                <w:sz w:val="21"/>
              </w:rPr>
            </w:pPr>
            <w:r>
              <w:rPr>
                <w:rFonts w:ascii="Times New Roman"/>
                <w:sz w:val="21"/>
              </w:rPr>
              <w:t>140</w:t>
            </w:r>
          </w:p>
        </w:tc>
        <w:tc>
          <w:tcPr>
            <w:tcW w:w="1383" w:type="dxa"/>
          </w:tcPr>
          <w:p>
            <w:pPr>
              <w:pStyle w:val="14"/>
              <w:spacing w:before="60" w:line="240" w:lineRule="exact"/>
              <w:ind w:left="306" w:right="295"/>
              <w:rPr>
                <w:rFonts w:ascii="Times New Roman"/>
                <w:sz w:val="21"/>
              </w:rPr>
            </w:pPr>
            <w:r>
              <w:rPr>
                <w:rFonts w:ascii="Times New Roman"/>
                <w:sz w:val="21"/>
              </w:rPr>
              <w:t>240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44" w:type="dxa"/>
            <w:vMerge w:val="continue"/>
            <w:tcBorders>
              <w:top w:val="nil"/>
            </w:tcBorders>
          </w:tcPr>
          <w:p>
            <w:pPr>
              <w:rPr>
                <w:sz w:val="2"/>
                <w:szCs w:val="2"/>
              </w:rPr>
            </w:pPr>
          </w:p>
        </w:tc>
        <w:tc>
          <w:tcPr>
            <w:tcW w:w="720" w:type="dxa"/>
            <w:vMerge w:val="continue"/>
            <w:tcBorders>
              <w:top w:val="nil"/>
            </w:tcBorders>
          </w:tcPr>
          <w:p>
            <w:pPr>
              <w:rPr>
                <w:sz w:val="2"/>
                <w:szCs w:val="2"/>
              </w:rPr>
            </w:pPr>
          </w:p>
        </w:tc>
        <w:tc>
          <w:tcPr>
            <w:tcW w:w="810" w:type="dxa"/>
          </w:tcPr>
          <w:p>
            <w:pPr>
              <w:pStyle w:val="14"/>
              <w:spacing w:before="47" w:line="253" w:lineRule="exact"/>
              <w:ind w:left="174" w:right="166"/>
              <w:rPr>
                <w:sz w:val="21"/>
              </w:rPr>
            </w:pPr>
            <w:r>
              <w:rPr>
                <w:sz w:val="21"/>
              </w:rPr>
              <w:t>其他</w:t>
            </w:r>
          </w:p>
        </w:tc>
        <w:tc>
          <w:tcPr>
            <w:tcW w:w="1381" w:type="dxa"/>
          </w:tcPr>
          <w:p>
            <w:pPr>
              <w:pStyle w:val="14"/>
              <w:spacing w:before="61" w:line="239" w:lineRule="exact"/>
              <w:ind w:left="199" w:right="189"/>
              <w:rPr>
                <w:rFonts w:ascii="Times New Roman"/>
                <w:sz w:val="21"/>
              </w:rPr>
            </w:pPr>
            <w:r>
              <w:rPr>
                <w:rFonts w:ascii="Times New Roman"/>
                <w:sz w:val="21"/>
              </w:rPr>
              <w:t>70</w:t>
            </w:r>
          </w:p>
        </w:tc>
        <w:tc>
          <w:tcPr>
            <w:tcW w:w="1381" w:type="dxa"/>
          </w:tcPr>
          <w:p>
            <w:pPr>
              <w:pStyle w:val="14"/>
              <w:spacing w:before="61" w:line="239" w:lineRule="exact"/>
              <w:ind w:left="584"/>
              <w:jc w:val="left"/>
              <w:rPr>
                <w:rFonts w:ascii="Times New Roman"/>
                <w:sz w:val="21"/>
              </w:rPr>
            </w:pPr>
            <w:r>
              <w:rPr>
                <w:rFonts w:ascii="Times New Roman"/>
                <w:sz w:val="21"/>
              </w:rPr>
              <w:t>90</w:t>
            </w:r>
          </w:p>
        </w:tc>
        <w:tc>
          <w:tcPr>
            <w:tcW w:w="1381" w:type="dxa"/>
          </w:tcPr>
          <w:p>
            <w:pPr>
              <w:pStyle w:val="14"/>
              <w:spacing w:before="61" w:line="239" w:lineRule="exact"/>
              <w:ind w:left="533"/>
              <w:jc w:val="left"/>
              <w:rPr>
                <w:rFonts w:ascii="Times New Roman"/>
                <w:sz w:val="21"/>
              </w:rPr>
            </w:pPr>
            <w:r>
              <w:rPr>
                <w:rFonts w:ascii="Times New Roman"/>
                <w:sz w:val="21"/>
              </w:rPr>
              <w:t>120</w:t>
            </w:r>
          </w:p>
        </w:tc>
        <w:tc>
          <w:tcPr>
            <w:tcW w:w="1383" w:type="dxa"/>
          </w:tcPr>
          <w:p>
            <w:pPr>
              <w:pStyle w:val="14"/>
              <w:spacing w:before="61" w:line="239" w:lineRule="exact"/>
              <w:ind w:left="306" w:right="295"/>
              <w:rPr>
                <w:rFonts w:ascii="Times New Roman"/>
                <w:sz w:val="21"/>
              </w:rPr>
            </w:pPr>
            <w:r>
              <w:rPr>
                <w:rFonts w:ascii="Times New Roman"/>
                <w:sz w:val="21"/>
              </w:rPr>
              <w:t>170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44" w:type="dxa"/>
            <w:vMerge w:val="restart"/>
          </w:tcPr>
          <w:p>
            <w:pPr>
              <w:pStyle w:val="14"/>
              <w:spacing w:before="7"/>
              <w:jc w:val="left"/>
              <w:rPr>
                <w:b/>
                <w:sz w:val="17"/>
              </w:rPr>
            </w:pPr>
          </w:p>
          <w:p>
            <w:pPr>
              <w:pStyle w:val="14"/>
              <w:ind w:left="6"/>
              <w:rPr>
                <w:rFonts w:ascii="Times New Roman"/>
                <w:sz w:val="21"/>
              </w:rPr>
            </w:pPr>
            <w:r>
              <w:rPr>
                <w:rFonts w:ascii="Times New Roman"/>
                <w:w w:val="99"/>
                <w:sz w:val="21"/>
              </w:rPr>
              <w:t>5</w:t>
            </w:r>
          </w:p>
        </w:tc>
        <w:tc>
          <w:tcPr>
            <w:tcW w:w="720" w:type="dxa"/>
            <w:vMerge w:val="restart"/>
          </w:tcPr>
          <w:p>
            <w:pPr>
              <w:pStyle w:val="14"/>
              <w:spacing w:before="6"/>
              <w:jc w:val="left"/>
              <w:rPr>
                <w:b/>
                <w:sz w:val="16"/>
              </w:rPr>
            </w:pPr>
          </w:p>
          <w:p>
            <w:pPr>
              <w:pStyle w:val="14"/>
              <w:ind w:left="10"/>
              <w:rPr>
                <w:sz w:val="21"/>
              </w:rPr>
            </w:pPr>
            <w:r>
              <w:rPr>
                <w:w w:val="99"/>
                <w:sz w:val="21"/>
              </w:rPr>
              <w:t>铬</w:t>
            </w:r>
          </w:p>
        </w:tc>
        <w:tc>
          <w:tcPr>
            <w:tcW w:w="810" w:type="dxa"/>
          </w:tcPr>
          <w:p>
            <w:pPr>
              <w:pStyle w:val="14"/>
              <w:spacing w:before="46" w:line="254" w:lineRule="exact"/>
              <w:ind w:left="174" w:right="166"/>
              <w:rPr>
                <w:sz w:val="21"/>
              </w:rPr>
            </w:pPr>
            <w:r>
              <w:rPr>
                <w:sz w:val="21"/>
              </w:rPr>
              <w:t>水田</w:t>
            </w:r>
          </w:p>
        </w:tc>
        <w:tc>
          <w:tcPr>
            <w:tcW w:w="1381" w:type="dxa"/>
          </w:tcPr>
          <w:p>
            <w:pPr>
              <w:pStyle w:val="14"/>
              <w:spacing w:before="60" w:line="240" w:lineRule="exact"/>
              <w:ind w:left="199" w:right="189"/>
              <w:rPr>
                <w:rFonts w:ascii="Times New Roman"/>
                <w:sz w:val="21"/>
              </w:rPr>
            </w:pPr>
            <w:r>
              <w:rPr>
                <w:rFonts w:ascii="Times New Roman"/>
                <w:sz w:val="21"/>
              </w:rPr>
              <w:t>250</w:t>
            </w:r>
          </w:p>
        </w:tc>
        <w:tc>
          <w:tcPr>
            <w:tcW w:w="1381" w:type="dxa"/>
          </w:tcPr>
          <w:p>
            <w:pPr>
              <w:pStyle w:val="14"/>
              <w:spacing w:before="60" w:line="240" w:lineRule="exact"/>
              <w:ind w:left="531"/>
              <w:jc w:val="left"/>
              <w:rPr>
                <w:rFonts w:ascii="Times New Roman"/>
                <w:sz w:val="21"/>
              </w:rPr>
            </w:pPr>
            <w:r>
              <w:rPr>
                <w:rFonts w:ascii="Times New Roman"/>
                <w:sz w:val="21"/>
              </w:rPr>
              <w:t>250</w:t>
            </w:r>
          </w:p>
        </w:tc>
        <w:tc>
          <w:tcPr>
            <w:tcW w:w="1381" w:type="dxa"/>
          </w:tcPr>
          <w:p>
            <w:pPr>
              <w:pStyle w:val="14"/>
              <w:spacing w:before="60" w:line="240" w:lineRule="exact"/>
              <w:ind w:left="533"/>
              <w:jc w:val="left"/>
              <w:rPr>
                <w:rFonts w:ascii="Times New Roman"/>
                <w:sz w:val="21"/>
              </w:rPr>
            </w:pPr>
            <w:r>
              <w:rPr>
                <w:rFonts w:ascii="Times New Roman"/>
                <w:sz w:val="21"/>
              </w:rPr>
              <w:t>300</w:t>
            </w:r>
          </w:p>
        </w:tc>
        <w:tc>
          <w:tcPr>
            <w:tcW w:w="1383" w:type="dxa"/>
          </w:tcPr>
          <w:p>
            <w:pPr>
              <w:pStyle w:val="14"/>
              <w:spacing w:before="60" w:line="240" w:lineRule="exact"/>
              <w:ind w:left="306" w:right="295"/>
              <w:rPr>
                <w:rFonts w:ascii="Times New Roman"/>
                <w:sz w:val="21"/>
              </w:rPr>
            </w:pPr>
            <w:r>
              <w:rPr>
                <w:rFonts w:ascii="Times New Roman"/>
                <w:sz w:val="21"/>
              </w:rPr>
              <w:t>350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44" w:type="dxa"/>
            <w:vMerge w:val="continue"/>
            <w:tcBorders>
              <w:top w:val="nil"/>
            </w:tcBorders>
          </w:tcPr>
          <w:p>
            <w:pPr>
              <w:rPr>
                <w:sz w:val="2"/>
                <w:szCs w:val="2"/>
              </w:rPr>
            </w:pPr>
          </w:p>
        </w:tc>
        <w:tc>
          <w:tcPr>
            <w:tcW w:w="720" w:type="dxa"/>
            <w:vMerge w:val="continue"/>
            <w:tcBorders>
              <w:top w:val="nil"/>
            </w:tcBorders>
          </w:tcPr>
          <w:p>
            <w:pPr>
              <w:rPr>
                <w:sz w:val="2"/>
                <w:szCs w:val="2"/>
              </w:rPr>
            </w:pPr>
          </w:p>
        </w:tc>
        <w:tc>
          <w:tcPr>
            <w:tcW w:w="810" w:type="dxa"/>
          </w:tcPr>
          <w:p>
            <w:pPr>
              <w:pStyle w:val="14"/>
              <w:spacing w:before="47" w:line="253" w:lineRule="exact"/>
              <w:ind w:left="174" w:right="166"/>
              <w:rPr>
                <w:sz w:val="21"/>
              </w:rPr>
            </w:pPr>
            <w:r>
              <w:rPr>
                <w:sz w:val="21"/>
              </w:rPr>
              <w:t>其他</w:t>
            </w:r>
          </w:p>
        </w:tc>
        <w:tc>
          <w:tcPr>
            <w:tcW w:w="1381" w:type="dxa"/>
          </w:tcPr>
          <w:p>
            <w:pPr>
              <w:pStyle w:val="14"/>
              <w:spacing w:before="61" w:line="239" w:lineRule="exact"/>
              <w:ind w:left="199" w:right="189"/>
              <w:rPr>
                <w:rFonts w:ascii="Times New Roman"/>
                <w:sz w:val="21"/>
              </w:rPr>
            </w:pPr>
            <w:r>
              <w:rPr>
                <w:rFonts w:ascii="Times New Roman"/>
                <w:sz w:val="21"/>
              </w:rPr>
              <w:t>150</w:t>
            </w:r>
          </w:p>
        </w:tc>
        <w:tc>
          <w:tcPr>
            <w:tcW w:w="1381" w:type="dxa"/>
          </w:tcPr>
          <w:p>
            <w:pPr>
              <w:pStyle w:val="14"/>
              <w:spacing w:before="61" w:line="239" w:lineRule="exact"/>
              <w:ind w:left="531"/>
              <w:jc w:val="left"/>
              <w:rPr>
                <w:rFonts w:ascii="Times New Roman"/>
                <w:sz w:val="21"/>
              </w:rPr>
            </w:pPr>
            <w:r>
              <w:rPr>
                <w:rFonts w:ascii="Times New Roman"/>
                <w:sz w:val="21"/>
              </w:rPr>
              <w:t>150</w:t>
            </w:r>
          </w:p>
        </w:tc>
        <w:tc>
          <w:tcPr>
            <w:tcW w:w="1381" w:type="dxa"/>
          </w:tcPr>
          <w:p>
            <w:pPr>
              <w:pStyle w:val="14"/>
              <w:spacing w:before="61" w:line="239" w:lineRule="exact"/>
              <w:ind w:left="533"/>
              <w:jc w:val="left"/>
              <w:rPr>
                <w:rFonts w:ascii="Times New Roman"/>
                <w:sz w:val="21"/>
              </w:rPr>
            </w:pPr>
            <w:r>
              <w:rPr>
                <w:rFonts w:ascii="Times New Roman"/>
                <w:sz w:val="21"/>
              </w:rPr>
              <w:t>200</w:t>
            </w:r>
          </w:p>
        </w:tc>
        <w:tc>
          <w:tcPr>
            <w:tcW w:w="1383" w:type="dxa"/>
          </w:tcPr>
          <w:p>
            <w:pPr>
              <w:pStyle w:val="14"/>
              <w:spacing w:before="61" w:line="239" w:lineRule="exact"/>
              <w:ind w:left="306" w:right="295"/>
              <w:rPr>
                <w:rFonts w:ascii="Times New Roman"/>
                <w:sz w:val="21"/>
              </w:rPr>
            </w:pPr>
            <w:r>
              <w:rPr>
                <w:rFonts w:ascii="Times New Roman"/>
                <w:sz w:val="21"/>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44" w:type="dxa"/>
            <w:vMerge w:val="restart"/>
          </w:tcPr>
          <w:p>
            <w:pPr>
              <w:pStyle w:val="14"/>
              <w:spacing w:before="7"/>
              <w:jc w:val="left"/>
              <w:rPr>
                <w:b/>
                <w:sz w:val="17"/>
              </w:rPr>
            </w:pPr>
          </w:p>
          <w:p>
            <w:pPr>
              <w:pStyle w:val="14"/>
              <w:ind w:left="6"/>
              <w:rPr>
                <w:rFonts w:ascii="Times New Roman"/>
                <w:sz w:val="21"/>
              </w:rPr>
            </w:pPr>
            <w:r>
              <w:rPr>
                <w:rFonts w:ascii="Times New Roman"/>
                <w:w w:val="99"/>
                <w:sz w:val="21"/>
              </w:rPr>
              <w:t>6</w:t>
            </w:r>
          </w:p>
        </w:tc>
        <w:tc>
          <w:tcPr>
            <w:tcW w:w="720" w:type="dxa"/>
            <w:vMerge w:val="restart"/>
          </w:tcPr>
          <w:p>
            <w:pPr>
              <w:pStyle w:val="14"/>
              <w:spacing w:before="6"/>
              <w:jc w:val="left"/>
              <w:rPr>
                <w:b/>
                <w:sz w:val="16"/>
              </w:rPr>
            </w:pPr>
          </w:p>
          <w:p>
            <w:pPr>
              <w:pStyle w:val="14"/>
              <w:ind w:left="10"/>
              <w:rPr>
                <w:sz w:val="21"/>
              </w:rPr>
            </w:pPr>
            <w:r>
              <w:rPr>
                <w:w w:val="99"/>
                <w:sz w:val="21"/>
              </w:rPr>
              <w:t>铜</w:t>
            </w:r>
          </w:p>
        </w:tc>
        <w:tc>
          <w:tcPr>
            <w:tcW w:w="810" w:type="dxa"/>
          </w:tcPr>
          <w:p>
            <w:pPr>
              <w:pStyle w:val="14"/>
              <w:spacing w:before="46" w:line="254" w:lineRule="exact"/>
              <w:ind w:left="174" w:right="166"/>
              <w:rPr>
                <w:sz w:val="21"/>
              </w:rPr>
            </w:pPr>
            <w:r>
              <w:rPr>
                <w:sz w:val="21"/>
              </w:rPr>
              <w:t>水田</w:t>
            </w:r>
          </w:p>
        </w:tc>
        <w:tc>
          <w:tcPr>
            <w:tcW w:w="1381" w:type="dxa"/>
          </w:tcPr>
          <w:p>
            <w:pPr>
              <w:pStyle w:val="14"/>
              <w:spacing w:before="60" w:line="240" w:lineRule="exact"/>
              <w:ind w:left="199" w:right="189"/>
              <w:rPr>
                <w:rFonts w:ascii="Times New Roman"/>
                <w:sz w:val="21"/>
              </w:rPr>
            </w:pPr>
            <w:r>
              <w:rPr>
                <w:rFonts w:ascii="Times New Roman"/>
                <w:sz w:val="21"/>
              </w:rPr>
              <w:t>150</w:t>
            </w:r>
          </w:p>
        </w:tc>
        <w:tc>
          <w:tcPr>
            <w:tcW w:w="1381" w:type="dxa"/>
          </w:tcPr>
          <w:p>
            <w:pPr>
              <w:pStyle w:val="14"/>
              <w:spacing w:before="60" w:line="240" w:lineRule="exact"/>
              <w:ind w:left="531"/>
              <w:jc w:val="left"/>
              <w:rPr>
                <w:rFonts w:ascii="Times New Roman"/>
                <w:sz w:val="21"/>
              </w:rPr>
            </w:pPr>
            <w:r>
              <w:rPr>
                <w:rFonts w:ascii="Times New Roman"/>
                <w:sz w:val="21"/>
              </w:rPr>
              <w:t>150</w:t>
            </w:r>
          </w:p>
        </w:tc>
        <w:tc>
          <w:tcPr>
            <w:tcW w:w="1381" w:type="dxa"/>
          </w:tcPr>
          <w:p>
            <w:pPr>
              <w:pStyle w:val="14"/>
              <w:spacing w:before="60" w:line="240" w:lineRule="exact"/>
              <w:ind w:left="533"/>
              <w:jc w:val="left"/>
              <w:rPr>
                <w:rFonts w:ascii="Times New Roman"/>
                <w:sz w:val="21"/>
              </w:rPr>
            </w:pPr>
            <w:r>
              <w:rPr>
                <w:rFonts w:ascii="Times New Roman"/>
                <w:sz w:val="21"/>
              </w:rPr>
              <w:t>200</w:t>
            </w:r>
          </w:p>
        </w:tc>
        <w:tc>
          <w:tcPr>
            <w:tcW w:w="1383" w:type="dxa"/>
          </w:tcPr>
          <w:p>
            <w:pPr>
              <w:pStyle w:val="14"/>
              <w:spacing w:before="60" w:line="240" w:lineRule="exact"/>
              <w:ind w:left="306" w:right="295"/>
              <w:rPr>
                <w:rFonts w:ascii="Times New Roman"/>
                <w:sz w:val="21"/>
              </w:rPr>
            </w:pPr>
            <w:r>
              <w:rPr>
                <w:rFonts w:ascii="Times New Roman"/>
                <w:sz w:val="21"/>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44" w:type="dxa"/>
            <w:vMerge w:val="continue"/>
            <w:tcBorders>
              <w:top w:val="nil"/>
            </w:tcBorders>
          </w:tcPr>
          <w:p>
            <w:pPr>
              <w:rPr>
                <w:sz w:val="2"/>
                <w:szCs w:val="2"/>
              </w:rPr>
            </w:pPr>
          </w:p>
        </w:tc>
        <w:tc>
          <w:tcPr>
            <w:tcW w:w="720" w:type="dxa"/>
            <w:vMerge w:val="continue"/>
            <w:tcBorders>
              <w:top w:val="nil"/>
            </w:tcBorders>
          </w:tcPr>
          <w:p>
            <w:pPr>
              <w:rPr>
                <w:sz w:val="2"/>
                <w:szCs w:val="2"/>
              </w:rPr>
            </w:pPr>
          </w:p>
        </w:tc>
        <w:tc>
          <w:tcPr>
            <w:tcW w:w="810" w:type="dxa"/>
          </w:tcPr>
          <w:p>
            <w:pPr>
              <w:pStyle w:val="14"/>
              <w:spacing w:before="47" w:line="253" w:lineRule="exact"/>
              <w:ind w:left="174" w:right="166"/>
              <w:rPr>
                <w:sz w:val="21"/>
              </w:rPr>
            </w:pPr>
            <w:r>
              <w:rPr>
                <w:sz w:val="21"/>
              </w:rPr>
              <w:t>其他</w:t>
            </w:r>
          </w:p>
        </w:tc>
        <w:tc>
          <w:tcPr>
            <w:tcW w:w="1381" w:type="dxa"/>
          </w:tcPr>
          <w:p>
            <w:pPr>
              <w:pStyle w:val="14"/>
              <w:spacing w:before="61" w:line="239" w:lineRule="exact"/>
              <w:ind w:left="199" w:right="189"/>
              <w:rPr>
                <w:rFonts w:ascii="Times New Roman"/>
                <w:sz w:val="21"/>
              </w:rPr>
            </w:pPr>
            <w:r>
              <w:rPr>
                <w:rFonts w:ascii="Times New Roman"/>
                <w:sz w:val="21"/>
              </w:rPr>
              <w:t>50</w:t>
            </w:r>
          </w:p>
        </w:tc>
        <w:tc>
          <w:tcPr>
            <w:tcW w:w="1381" w:type="dxa"/>
          </w:tcPr>
          <w:p>
            <w:pPr>
              <w:pStyle w:val="14"/>
              <w:spacing w:before="61" w:line="239" w:lineRule="exact"/>
              <w:ind w:left="584"/>
              <w:jc w:val="left"/>
              <w:rPr>
                <w:rFonts w:ascii="Times New Roman"/>
                <w:sz w:val="21"/>
              </w:rPr>
            </w:pPr>
            <w:r>
              <w:rPr>
                <w:rFonts w:ascii="Times New Roman"/>
                <w:sz w:val="21"/>
              </w:rPr>
              <w:t>50</w:t>
            </w:r>
          </w:p>
        </w:tc>
        <w:tc>
          <w:tcPr>
            <w:tcW w:w="1381" w:type="dxa"/>
          </w:tcPr>
          <w:p>
            <w:pPr>
              <w:pStyle w:val="14"/>
              <w:spacing w:before="61" w:line="239" w:lineRule="exact"/>
              <w:ind w:left="533"/>
              <w:jc w:val="left"/>
              <w:rPr>
                <w:rFonts w:ascii="Times New Roman"/>
                <w:sz w:val="21"/>
              </w:rPr>
            </w:pPr>
            <w:r>
              <w:rPr>
                <w:rFonts w:ascii="Times New Roman"/>
                <w:sz w:val="21"/>
              </w:rPr>
              <w:t>100</w:t>
            </w:r>
          </w:p>
        </w:tc>
        <w:tc>
          <w:tcPr>
            <w:tcW w:w="1383" w:type="dxa"/>
          </w:tcPr>
          <w:p>
            <w:pPr>
              <w:pStyle w:val="14"/>
              <w:spacing w:before="61" w:line="239" w:lineRule="exact"/>
              <w:ind w:left="306" w:right="295"/>
              <w:rPr>
                <w:rFonts w:ascii="Times New Roman"/>
                <w:sz w:val="21"/>
              </w:rPr>
            </w:pPr>
            <w:r>
              <w:rPr>
                <w:rFonts w:ascii="Times New Roman"/>
                <w:sz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44" w:type="dxa"/>
          </w:tcPr>
          <w:p>
            <w:pPr>
              <w:pStyle w:val="14"/>
              <w:spacing w:before="60" w:line="240" w:lineRule="exact"/>
              <w:ind w:left="6"/>
              <w:rPr>
                <w:rFonts w:ascii="Times New Roman"/>
                <w:sz w:val="21"/>
              </w:rPr>
            </w:pPr>
            <w:r>
              <w:rPr>
                <w:rFonts w:ascii="Times New Roman"/>
                <w:w w:val="99"/>
                <w:sz w:val="21"/>
              </w:rPr>
              <w:t>7</w:t>
            </w:r>
          </w:p>
        </w:tc>
        <w:tc>
          <w:tcPr>
            <w:tcW w:w="1530" w:type="dxa"/>
            <w:gridSpan w:val="2"/>
          </w:tcPr>
          <w:p>
            <w:pPr>
              <w:pStyle w:val="14"/>
              <w:spacing w:before="46" w:line="254" w:lineRule="exact"/>
              <w:ind w:left="6"/>
              <w:rPr>
                <w:sz w:val="21"/>
              </w:rPr>
            </w:pPr>
            <w:r>
              <w:rPr>
                <w:w w:val="99"/>
                <w:sz w:val="21"/>
              </w:rPr>
              <w:t>镍</w:t>
            </w:r>
          </w:p>
        </w:tc>
        <w:tc>
          <w:tcPr>
            <w:tcW w:w="1381" w:type="dxa"/>
          </w:tcPr>
          <w:p>
            <w:pPr>
              <w:pStyle w:val="14"/>
              <w:spacing w:before="60" w:line="240" w:lineRule="exact"/>
              <w:ind w:left="199" w:right="189"/>
              <w:rPr>
                <w:rFonts w:ascii="Times New Roman"/>
                <w:sz w:val="21"/>
              </w:rPr>
            </w:pPr>
            <w:r>
              <w:rPr>
                <w:rFonts w:ascii="Times New Roman"/>
                <w:sz w:val="21"/>
              </w:rPr>
              <w:t>60</w:t>
            </w:r>
          </w:p>
        </w:tc>
        <w:tc>
          <w:tcPr>
            <w:tcW w:w="1381" w:type="dxa"/>
          </w:tcPr>
          <w:p>
            <w:pPr>
              <w:pStyle w:val="14"/>
              <w:spacing w:before="60" w:line="240" w:lineRule="exact"/>
              <w:ind w:left="584"/>
              <w:jc w:val="left"/>
              <w:rPr>
                <w:rFonts w:ascii="Times New Roman"/>
                <w:sz w:val="21"/>
              </w:rPr>
            </w:pPr>
            <w:r>
              <w:rPr>
                <w:rFonts w:ascii="Times New Roman"/>
                <w:sz w:val="21"/>
              </w:rPr>
              <w:t>70</w:t>
            </w:r>
          </w:p>
        </w:tc>
        <w:tc>
          <w:tcPr>
            <w:tcW w:w="1381" w:type="dxa"/>
          </w:tcPr>
          <w:p>
            <w:pPr>
              <w:pStyle w:val="14"/>
              <w:spacing w:before="60" w:line="240" w:lineRule="exact"/>
              <w:ind w:left="533"/>
              <w:jc w:val="left"/>
              <w:rPr>
                <w:rFonts w:ascii="Times New Roman"/>
                <w:sz w:val="21"/>
              </w:rPr>
            </w:pPr>
            <w:r>
              <w:rPr>
                <w:rFonts w:ascii="Times New Roman"/>
                <w:sz w:val="21"/>
              </w:rPr>
              <w:t>100</w:t>
            </w:r>
          </w:p>
        </w:tc>
        <w:tc>
          <w:tcPr>
            <w:tcW w:w="1383" w:type="dxa"/>
          </w:tcPr>
          <w:p>
            <w:pPr>
              <w:pStyle w:val="14"/>
              <w:spacing w:before="60" w:line="240" w:lineRule="exact"/>
              <w:ind w:left="306" w:right="295"/>
              <w:rPr>
                <w:rFonts w:ascii="Times New Roman"/>
                <w:sz w:val="21"/>
              </w:rPr>
            </w:pPr>
            <w:r>
              <w:rPr>
                <w:rFonts w:ascii="Times New Roman"/>
                <w:sz w:val="21"/>
              </w:rPr>
              <w:t>190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44" w:type="dxa"/>
          </w:tcPr>
          <w:p>
            <w:pPr>
              <w:pStyle w:val="14"/>
              <w:spacing w:before="61" w:line="239" w:lineRule="exact"/>
              <w:ind w:left="6"/>
              <w:rPr>
                <w:rFonts w:ascii="Times New Roman"/>
                <w:sz w:val="21"/>
              </w:rPr>
            </w:pPr>
            <w:r>
              <w:rPr>
                <w:rFonts w:ascii="Times New Roman"/>
                <w:w w:val="99"/>
                <w:sz w:val="21"/>
              </w:rPr>
              <w:t>8</w:t>
            </w:r>
          </w:p>
        </w:tc>
        <w:tc>
          <w:tcPr>
            <w:tcW w:w="1530" w:type="dxa"/>
            <w:gridSpan w:val="2"/>
          </w:tcPr>
          <w:p>
            <w:pPr>
              <w:pStyle w:val="14"/>
              <w:spacing w:before="47" w:line="253" w:lineRule="exact"/>
              <w:ind w:left="6"/>
              <w:rPr>
                <w:sz w:val="21"/>
              </w:rPr>
            </w:pPr>
            <w:r>
              <w:rPr>
                <w:w w:val="99"/>
                <w:sz w:val="21"/>
              </w:rPr>
              <w:t>锌</w:t>
            </w:r>
          </w:p>
        </w:tc>
        <w:tc>
          <w:tcPr>
            <w:tcW w:w="1381" w:type="dxa"/>
          </w:tcPr>
          <w:p>
            <w:pPr>
              <w:pStyle w:val="14"/>
              <w:spacing w:before="61" w:line="239" w:lineRule="exact"/>
              <w:ind w:left="199" w:right="189"/>
              <w:rPr>
                <w:rFonts w:ascii="Times New Roman"/>
                <w:sz w:val="21"/>
              </w:rPr>
            </w:pPr>
            <w:r>
              <w:rPr>
                <w:rFonts w:ascii="Times New Roman"/>
                <w:sz w:val="21"/>
              </w:rPr>
              <w:t>200</w:t>
            </w:r>
          </w:p>
        </w:tc>
        <w:tc>
          <w:tcPr>
            <w:tcW w:w="1381" w:type="dxa"/>
          </w:tcPr>
          <w:p>
            <w:pPr>
              <w:pStyle w:val="14"/>
              <w:spacing w:before="61" w:line="239" w:lineRule="exact"/>
              <w:ind w:left="531"/>
              <w:jc w:val="left"/>
              <w:rPr>
                <w:rFonts w:ascii="Times New Roman"/>
                <w:sz w:val="21"/>
              </w:rPr>
            </w:pPr>
            <w:r>
              <w:rPr>
                <w:rFonts w:ascii="Times New Roman"/>
                <w:sz w:val="21"/>
              </w:rPr>
              <w:t>200</w:t>
            </w:r>
          </w:p>
        </w:tc>
        <w:tc>
          <w:tcPr>
            <w:tcW w:w="1381" w:type="dxa"/>
          </w:tcPr>
          <w:p>
            <w:pPr>
              <w:pStyle w:val="14"/>
              <w:spacing w:before="61" w:line="239" w:lineRule="exact"/>
              <w:ind w:left="533"/>
              <w:jc w:val="left"/>
              <w:rPr>
                <w:rFonts w:ascii="Times New Roman"/>
                <w:sz w:val="21"/>
              </w:rPr>
            </w:pPr>
            <w:r>
              <w:rPr>
                <w:rFonts w:ascii="Times New Roman"/>
                <w:sz w:val="21"/>
              </w:rPr>
              <w:t>250</w:t>
            </w:r>
          </w:p>
        </w:tc>
        <w:tc>
          <w:tcPr>
            <w:tcW w:w="1383" w:type="dxa"/>
          </w:tcPr>
          <w:p>
            <w:pPr>
              <w:pStyle w:val="14"/>
              <w:spacing w:before="61" w:line="239" w:lineRule="exact"/>
              <w:ind w:left="306" w:right="295"/>
              <w:rPr>
                <w:rFonts w:ascii="Times New Roman"/>
                <w:sz w:val="21"/>
              </w:rPr>
            </w:pPr>
            <w:r>
              <w:rPr>
                <w:rFonts w:ascii="Times New Roman"/>
                <w:sz w:val="21"/>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7800" w:type="dxa"/>
            <w:gridSpan w:val="7"/>
          </w:tcPr>
          <w:p>
            <w:pPr>
              <w:pStyle w:val="14"/>
              <w:spacing w:before="46"/>
              <w:ind w:left="106"/>
              <w:jc w:val="left"/>
              <w:rPr>
                <w:sz w:val="21"/>
              </w:rPr>
            </w:pPr>
            <w:r>
              <w:rPr>
                <w:sz w:val="21"/>
              </w:rPr>
              <w:t>注：①重金属和类金属砷均按元素总量计。</w:t>
            </w:r>
          </w:p>
          <w:p>
            <w:pPr>
              <w:pStyle w:val="14"/>
              <w:spacing w:before="50" w:line="255" w:lineRule="exact"/>
              <w:ind w:left="526"/>
              <w:jc w:val="left"/>
              <w:rPr>
                <w:sz w:val="21"/>
              </w:rPr>
            </w:pPr>
            <w:r>
              <w:rPr>
                <w:sz w:val="21"/>
              </w:rPr>
              <w:t>②对于水旱轮作地，采用其中较严格的风险筛选值。</w:t>
            </w:r>
          </w:p>
        </w:tc>
      </w:tr>
    </w:tbl>
    <w:p>
      <w:pPr>
        <w:spacing w:before="122"/>
        <w:ind w:left="1553" w:right="1585" w:firstLine="0"/>
        <w:jc w:val="center"/>
        <w:rPr>
          <w:b/>
          <w:sz w:val="24"/>
        </w:rPr>
      </w:pPr>
      <w:r>
        <w:rPr>
          <w:b/>
          <w:sz w:val="24"/>
        </w:rPr>
        <w:t xml:space="preserve">表 </w:t>
      </w:r>
      <w:r>
        <w:rPr>
          <w:rFonts w:ascii="Times New Roman" w:eastAsia="Times New Roman"/>
          <w:b/>
          <w:sz w:val="24"/>
        </w:rPr>
        <w:t xml:space="preserve">2.3-3  </w:t>
      </w:r>
      <w:r>
        <w:rPr>
          <w:b/>
          <w:sz w:val="24"/>
        </w:rPr>
        <w:t>污染物排放标准</w:t>
      </w:r>
    </w:p>
    <w:tbl>
      <w:tblPr>
        <w:tblStyle w:val="10"/>
        <w:tblW w:w="0" w:type="auto"/>
        <w:tblInd w:w="9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6"/>
        <w:gridCol w:w="4238"/>
        <w:gridCol w:w="1209"/>
        <w:gridCol w:w="979"/>
        <w:gridCol w:w="521"/>
        <w:gridCol w:w="9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66" w:type="dxa"/>
            <w:vMerge w:val="restart"/>
          </w:tcPr>
          <w:p>
            <w:pPr>
              <w:pStyle w:val="14"/>
              <w:spacing w:before="140"/>
              <w:ind w:left="122"/>
              <w:jc w:val="left"/>
              <w:rPr>
                <w:sz w:val="21"/>
              </w:rPr>
            </w:pPr>
            <w:r>
              <w:rPr>
                <w:sz w:val="21"/>
              </w:rPr>
              <w:t>类别</w:t>
            </w:r>
          </w:p>
        </w:tc>
        <w:tc>
          <w:tcPr>
            <w:tcW w:w="4238" w:type="dxa"/>
            <w:vMerge w:val="restart"/>
          </w:tcPr>
          <w:p>
            <w:pPr>
              <w:pStyle w:val="14"/>
              <w:spacing w:before="140"/>
              <w:ind w:left="1068"/>
              <w:jc w:val="left"/>
              <w:rPr>
                <w:sz w:val="21"/>
              </w:rPr>
            </w:pPr>
            <w:r>
              <w:rPr>
                <w:sz w:val="21"/>
              </w:rPr>
              <w:t>标准名称及级（类）别</w:t>
            </w:r>
          </w:p>
        </w:tc>
        <w:tc>
          <w:tcPr>
            <w:tcW w:w="1209" w:type="dxa"/>
            <w:vMerge w:val="restart"/>
          </w:tcPr>
          <w:p>
            <w:pPr>
              <w:pStyle w:val="14"/>
              <w:spacing w:before="140"/>
              <w:ind w:left="183"/>
              <w:jc w:val="left"/>
              <w:rPr>
                <w:sz w:val="21"/>
              </w:rPr>
            </w:pPr>
            <w:r>
              <w:rPr>
                <w:sz w:val="21"/>
              </w:rPr>
              <w:t>污染因子</w:t>
            </w:r>
          </w:p>
        </w:tc>
        <w:tc>
          <w:tcPr>
            <w:tcW w:w="2409" w:type="dxa"/>
            <w:gridSpan w:val="3"/>
          </w:tcPr>
          <w:p>
            <w:pPr>
              <w:pStyle w:val="14"/>
              <w:spacing w:before="1" w:line="252" w:lineRule="exact"/>
              <w:ind w:left="867" w:right="862"/>
              <w:rPr>
                <w:sz w:val="21"/>
              </w:rPr>
            </w:pPr>
            <w:r>
              <w:rPr>
                <w:sz w:val="21"/>
              </w:rPr>
              <w:t>标准值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vMerge w:val="continue"/>
            <w:tcBorders>
              <w:top w:val="nil"/>
            </w:tcBorders>
          </w:tcPr>
          <w:p>
            <w:pPr>
              <w:rPr>
                <w:sz w:val="2"/>
                <w:szCs w:val="2"/>
              </w:rPr>
            </w:pPr>
          </w:p>
        </w:tc>
        <w:tc>
          <w:tcPr>
            <w:tcW w:w="979" w:type="dxa"/>
          </w:tcPr>
          <w:p>
            <w:pPr>
              <w:pStyle w:val="14"/>
              <w:spacing w:line="252" w:lineRule="exact"/>
              <w:ind w:left="154" w:right="145"/>
              <w:rPr>
                <w:sz w:val="21"/>
              </w:rPr>
            </w:pPr>
            <w:r>
              <w:rPr>
                <w:sz w:val="21"/>
              </w:rPr>
              <w:t>单 位</w:t>
            </w:r>
          </w:p>
        </w:tc>
        <w:tc>
          <w:tcPr>
            <w:tcW w:w="1430" w:type="dxa"/>
            <w:gridSpan w:val="2"/>
          </w:tcPr>
          <w:p>
            <w:pPr>
              <w:pStyle w:val="14"/>
              <w:spacing w:line="252" w:lineRule="exact"/>
              <w:ind w:left="308" w:right="303"/>
              <w:rPr>
                <w:sz w:val="21"/>
              </w:rPr>
            </w:pPr>
            <w:r>
              <w:rPr>
                <w:sz w:val="21"/>
              </w:rPr>
              <w:t>数值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666"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2"/>
              <w:jc w:val="left"/>
              <w:rPr>
                <w:b/>
                <w:sz w:val="17"/>
              </w:rPr>
            </w:pPr>
          </w:p>
          <w:p>
            <w:pPr>
              <w:pStyle w:val="14"/>
              <w:ind w:left="122"/>
              <w:jc w:val="left"/>
              <w:rPr>
                <w:sz w:val="21"/>
              </w:rPr>
            </w:pPr>
            <w:r>
              <w:rPr>
                <w:sz w:val="21"/>
              </w:rPr>
              <w:t>废气</w:t>
            </w:r>
          </w:p>
        </w:tc>
        <w:tc>
          <w:tcPr>
            <w:tcW w:w="4238" w:type="dxa"/>
            <w:vMerge w:val="restart"/>
          </w:tcPr>
          <w:p>
            <w:pPr>
              <w:pStyle w:val="14"/>
              <w:jc w:val="left"/>
              <w:rPr>
                <w:b/>
                <w:sz w:val="20"/>
              </w:rPr>
            </w:pPr>
          </w:p>
          <w:p>
            <w:pPr>
              <w:pStyle w:val="14"/>
              <w:spacing w:before="1"/>
              <w:ind w:left="102" w:right="95"/>
              <w:rPr>
                <w:sz w:val="21"/>
              </w:rPr>
            </w:pPr>
            <w:r>
              <w:rPr>
                <w:sz w:val="21"/>
              </w:rPr>
              <w:t>锅炉参照执行《锅炉大气污染物排放标准》</w:t>
            </w:r>
          </w:p>
          <w:p>
            <w:pPr>
              <w:pStyle w:val="14"/>
              <w:spacing w:before="2"/>
              <w:ind w:left="102" w:right="95"/>
              <w:rPr>
                <w:sz w:val="21"/>
              </w:rPr>
            </w:pPr>
            <w:r>
              <w:rPr>
                <w:sz w:val="21"/>
              </w:rPr>
              <w:t>（</w:t>
            </w:r>
            <w:r>
              <w:rPr>
                <w:rFonts w:ascii="Times New Roman" w:eastAsia="Times New Roman"/>
                <w:sz w:val="21"/>
              </w:rPr>
              <w:t>GB13271-2014</w:t>
            </w:r>
            <w:r>
              <w:rPr>
                <w:sz w:val="21"/>
              </w:rPr>
              <w:t xml:space="preserve">）表 </w:t>
            </w:r>
            <w:r>
              <w:rPr>
                <w:rFonts w:ascii="Times New Roman" w:eastAsia="Times New Roman"/>
                <w:sz w:val="21"/>
              </w:rPr>
              <w:t xml:space="preserve">2 </w:t>
            </w:r>
            <w:r>
              <w:rPr>
                <w:sz w:val="21"/>
              </w:rPr>
              <w:t>燃煤锅炉标准</w:t>
            </w:r>
          </w:p>
        </w:tc>
        <w:tc>
          <w:tcPr>
            <w:tcW w:w="1209" w:type="dxa"/>
          </w:tcPr>
          <w:p>
            <w:pPr>
              <w:pStyle w:val="14"/>
              <w:spacing w:before="29"/>
              <w:ind w:left="178" w:right="175"/>
              <w:rPr>
                <w:sz w:val="21"/>
              </w:rPr>
            </w:pPr>
            <w:r>
              <w:rPr>
                <w:sz w:val="21"/>
              </w:rPr>
              <w:t>烟尘</w:t>
            </w:r>
          </w:p>
        </w:tc>
        <w:tc>
          <w:tcPr>
            <w:tcW w:w="979" w:type="dxa"/>
            <w:vMerge w:val="restart"/>
          </w:tcPr>
          <w:p>
            <w:pPr>
              <w:pStyle w:val="14"/>
              <w:spacing w:before="10"/>
              <w:jc w:val="left"/>
              <w:rPr>
                <w:b/>
                <w:sz w:val="31"/>
              </w:rPr>
            </w:pPr>
          </w:p>
          <w:p>
            <w:pPr>
              <w:pStyle w:val="14"/>
              <w:ind w:left="210"/>
              <w:jc w:val="left"/>
              <w:rPr>
                <w:rFonts w:ascii="Times New Roman"/>
                <w:sz w:val="13"/>
              </w:rPr>
            </w:pPr>
            <w:r>
              <w:rPr>
                <w:rFonts w:ascii="Times New Roman"/>
                <w:sz w:val="21"/>
              </w:rPr>
              <w:t>mg/m</w:t>
            </w:r>
            <w:r>
              <w:rPr>
                <w:rFonts w:ascii="Times New Roman"/>
                <w:position w:val="7"/>
                <w:sz w:val="13"/>
              </w:rPr>
              <w:t>3</w:t>
            </w:r>
          </w:p>
        </w:tc>
        <w:tc>
          <w:tcPr>
            <w:tcW w:w="1430" w:type="dxa"/>
            <w:gridSpan w:val="2"/>
          </w:tcPr>
          <w:p>
            <w:pPr>
              <w:pStyle w:val="14"/>
              <w:spacing w:before="45"/>
              <w:ind w:left="311" w:right="303"/>
              <w:rPr>
                <w:rFonts w:ascii="Times New Roman"/>
                <w:sz w:val="21"/>
              </w:rPr>
            </w:pPr>
            <w:r>
              <w:rPr>
                <w:rFonts w:ascii="Times New Roman"/>
                <w:sz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before="51"/>
              <w:ind w:left="183" w:right="174"/>
              <w:rPr>
                <w:rFonts w:ascii="Times New Roman"/>
                <w:sz w:val="21"/>
              </w:rPr>
            </w:pPr>
            <w:r>
              <w:rPr>
                <w:rFonts w:ascii="Times New Roman"/>
                <w:position w:val="2"/>
                <w:sz w:val="21"/>
              </w:rPr>
              <w:t>SO</w:t>
            </w:r>
            <w:r>
              <w:rPr>
                <w:rFonts w:ascii="Times New Roman"/>
                <w:position w:val="2"/>
                <w:sz w:val="21"/>
                <w:vertAlign w:val="subscript"/>
              </w:rPr>
              <w:t>2</w:t>
            </w:r>
          </w:p>
        </w:tc>
        <w:tc>
          <w:tcPr>
            <w:tcW w:w="979" w:type="dxa"/>
            <w:vMerge w:val="continue"/>
            <w:tcBorders>
              <w:top w:val="nil"/>
            </w:tcBorders>
          </w:tcPr>
          <w:p>
            <w:pPr>
              <w:rPr>
                <w:sz w:val="2"/>
                <w:szCs w:val="2"/>
              </w:rPr>
            </w:pPr>
          </w:p>
        </w:tc>
        <w:tc>
          <w:tcPr>
            <w:tcW w:w="1430" w:type="dxa"/>
            <w:gridSpan w:val="2"/>
          </w:tcPr>
          <w:p>
            <w:pPr>
              <w:pStyle w:val="14"/>
              <w:spacing w:before="54"/>
              <w:ind w:left="311" w:right="303"/>
              <w:rPr>
                <w:rFonts w:ascii="Times New Roman"/>
                <w:sz w:val="21"/>
              </w:rPr>
            </w:pPr>
            <w:r>
              <w:rPr>
                <w:rFonts w:ascii="Times New Roman"/>
                <w:sz w:val="21"/>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before="53"/>
              <w:ind w:left="182" w:right="175"/>
              <w:rPr>
                <w:rFonts w:ascii="Times New Roman"/>
                <w:sz w:val="21"/>
              </w:rPr>
            </w:pPr>
            <w:r>
              <w:rPr>
                <w:rFonts w:ascii="Times New Roman"/>
                <w:sz w:val="21"/>
              </w:rPr>
              <w:t>NOx</w:t>
            </w:r>
          </w:p>
        </w:tc>
        <w:tc>
          <w:tcPr>
            <w:tcW w:w="979" w:type="dxa"/>
            <w:vMerge w:val="continue"/>
            <w:tcBorders>
              <w:top w:val="nil"/>
            </w:tcBorders>
          </w:tcPr>
          <w:p>
            <w:pPr>
              <w:rPr>
                <w:sz w:val="2"/>
                <w:szCs w:val="2"/>
              </w:rPr>
            </w:pPr>
          </w:p>
        </w:tc>
        <w:tc>
          <w:tcPr>
            <w:tcW w:w="1430" w:type="dxa"/>
            <w:gridSpan w:val="2"/>
          </w:tcPr>
          <w:p>
            <w:pPr>
              <w:pStyle w:val="14"/>
              <w:spacing w:before="53"/>
              <w:ind w:left="311" w:right="303"/>
              <w:rPr>
                <w:rFonts w:ascii="Times New Roman"/>
                <w:sz w:val="21"/>
              </w:rPr>
            </w:pPr>
            <w:r>
              <w:rPr>
                <w:rFonts w:ascii="Times New Roman"/>
                <w:sz w:val="21"/>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666" w:type="dxa"/>
            <w:vMerge w:val="continue"/>
            <w:tcBorders>
              <w:top w:val="nil"/>
            </w:tcBorders>
          </w:tcPr>
          <w:p>
            <w:pPr>
              <w:rPr>
                <w:sz w:val="2"/>
                <w:szCs w:val="2"/>
              </w:rPr>
            </w:pPr>
          </w:p>
        </w:tc>
        <w:tc>
          <w:tcPr>
            <w:tcW w:w="4238" w:type="dxa"/>
            <w:vMerge w:val="restart"/>
          </w:tcPr>
          <w:p>
            <w:pPr>
              <w:pStyle w:val="14"/>
              <w:spacing w:before="84"/>
              <w:ind w:left="102" w:right="95"/>
              <w:rPr>
                <w:sz w:val="21"/>
              </w:rPr>
            </w:pPr>
            <w:r>
              <w:rPr>
                <w:sz w:val="21"/>
              </w:rPr>
              <w:t>《工业炉窑大气污染物排放标准》</w:t>
            </w:r>
          </w:p>
          <w:p>
            <w:pPr>
              <w:pStyle w:val="14"/>
              <w:spacing w:before="3"/>
              <w:ind w:left="102" w:right="89"/>
              <w:rPr>
                <w:rFonts w:ascii="Times New Roman" w:eastAsia="Times New Roman"/>
                <w:sz w:val="21"/>
              </w:rPr>
            </w:pPr>
            <w:r>
              <w:rPr>
                <w:sz w:val="21"/>
              </w:rPr>
              <w:t>（</w:t>
            </w:r>
            <w:r>
              <w:rPr>
                <w:rFonts w:ascii="Times New Roman" w:eastAsia="Times New Roman"/>
                <w:sz w:val="21"/>
              </w:rPr>
              <w:t>GB9078-1996</w:t>
            </w:r>
            <w:r>
              <w:rPr>
                <w:sz w:val="21"/>
              </w:rPr>
              <w:t xml:space="preserve">）中表 </w:t>
            </w:r>
            <w:r>
              <w:rPr>
                <w:rFonts w:ascii="Times New Roman" w:eastAsia="Times New Roman"/>
                <w:sz w:val="21"/>
              </w:rPr>
              <w:t xml:space="preserve">2 </w:t>
            </w:r>
            <w:r>
              <w:rPr>
                <w:sz w:val="21"/>
              </w:rPr>
              <w:t xml:space="preserve">及表 </w:t>
            </w:r>
            <w:r>
              <w:rPr>
                <w:rFonts w:ascii="Times New Roman" w:eastAsia="Times New Roman"/>
                <w:sz w:val="21"/>
              </w:rPr>
              <w:t>4</w:t>
            </w:r>
          </w:p>
        </w:tc>
        <w:tc>
          <w:tcPr>
            <w:tcW w:w="1209" w:type="dxa"/>
          </w:tcPr>
          <w:p>
            <w:pPr>
              <w:pStyle w:val="14"/>
              <w:spacing w:before="39"/>
              <w:ind w:left="178" w:right="175"/>
              <w:rPr>
                <w:sz w:val="21"/>
              </w:rPr>
            </w:pPr>
            <w:r>
              <w:rPr>
                <w:sz w:val="21"/>
              </w:rPr>
              <w:t>烟尘</w:t>
            </w:r>
          </w:p>
        </w:tc>
        <w:tc>
          <w:tcPr>
            <w:tcW w:w="979" w:type="dxa"/>
            <w:vMerge w:val="restart"/>
          </w:tcPr>
          <w:p>
            <w:pPr>
              <w:pStyle w:val="14"/>
              <w:spacing w:before="4"/>
              <w:jc w:val="left"/>
              <w:rPr>
                <w:b/>
                <w:sz w:val="18"/>
              </w:rPr>
            </w:pPr>
          </w:p>
          <w:p>
            <w:pPr>
              <w:pStyle w:val="14"/>
              <w:spacing w:before="1"/>
              <w:ind w:left="210"/>
              <w:jc w:val="left"/>
              <w:rPr>
                <w:rFonts w:ascii="Times New Roman"/>
                <w:sz w:val="13"/>
              </w:rPr>
            </w:pPr>
            <w:r>
              <w:rPr>
                <w:rFonts w:ascii="Times New Roman"/>
                <w:sz w:val="21"/>
              </w:rPr>
              <w:t>mg/m</w:t>
            </w:r>
            <w:r>
              <w:rPr>
                <w:rFonts w:ascii="Times New Roman"/>
                <w:position w:val="7"/>
                <w:sz w:val="13"/>
              </w:rPr>
              <w:t>3</w:t>
            </w:r>
          </w:p>
        </w:tc>
        <w:tc>
          <w:tcPr>
            <w:tcW w:w="1430" w:type="dxa"/>
            <w:gridSpan w:val="2"/>
          </w:tcPr>
          <w:p>
            <w:pPr>
              <w:pStyle w:val="14"/>
              <w:spacing w:before="29"/>
              <w:ind w:left="311" w:right="303"/>
              <w:rPr>
                <w:rFonts w:ascii="Times New Roman"/>
                <w:sz w:val="21"/>
              </w:rPr>
            </w:pPr>
            <w:r>
              <w:rPr>
                <w:rFonts w:ascii="Times New Roman"/>
                <w:sz w:val="21"/>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before="51"/>
              <w:ind w:left="183" w:right="174"/>
              <w:rPr>
                <w:rFonts w:ascii="Times New Roman"/>
                <w:sz w:val="21"/>
              </w:rPr>
            </w:pPr>
            <w:r>
              <w:rPr>
                <w:rFonts w:ascii="Times New Roman"/>
                <w:position w:val="2"/>
                <w:sz w:val="21"/>
              </w:rPr>
              <w:t>SO</w:t>
            </w:r>
            <w:r>
              <w:rPr>
                <w:rFonts w:ascii="Times New Roman"/>
                <w:position w:val="2"/>
                <w:sz w:val="21"/>
                <w:vertAlign w:val="subscript"/>
              </w:rPr>
              <w:t>2</w:t>
            </w:r>
          </w:p>
        </w:tc>
        <w:tc>
          <w:tcPr>
            <w:tcW w:w="979" w:type="dxa"/>
            <w:vMerge w:val="continue"/>
            <w:tcBorders>
              <w:top w:val="nil"/>
            </w:tcBorders>
          </w:tcPr>
          <w:p>
            <w:pPr>
              <w:rPr>
                <w:sz w:val="2"/>
                <w:szCs w:val="2"/>
              </w:rPr>
            </w:pPr>
          </w:p>
        </w:tc>
        <w:tc>
          <w:tcPr>
            <w:tcW w:w="1430" w:type="dxa"/>
            <w:gridSpan w:val="2"/>
          </w:tcPr>
          <w:p>
            <w:pPr>
              <w:pStyle w:val="14"/>
              <w:spacing w:before="31"/>
              <w:ind w:left="311" w:right="303"/>
              <w:rPr>
                <w:rFonts w:ascii="Times New Roman"/>
                <w:sz w:val="21"/>
              </w:rPr>
            </w:pPr>
            <w:r>
              <w:rPr>
                <w:rFonts w:ascii="Times New Roman"/>
                <w:sz w:val="21"/>
              </w:rPr>
              <w:t>850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666" w:type="dxa"/>
            <w:vMerge w:val="continue"/>
            <w:tcBorders>
              <w:top w:val="nil"/>
            </w:tcBorders>
          </w:tcPr>
          <w:p>
            <w:pPr>
              <w:rPr>
                <w:sz w:val="2"/>
                <w:szCs w:val="2"/>
              </w:rPr>
            </w:pPr>
          </w:p>
        </w:tc>
        <w:tc>
          <w:tcPr>
            <w:tcW w:w="4238" w:type="dxa"/>
          </w:tcPr>
          <w:p>
            <w:pPr>
              <w:pStyle w:val="14"/>
              <w:spacing w:line="269" w:lineRule="exact"/>
              <w:ind w:left="102" w:right="92"/>
              <w:rPr>
                <w:sz w:val="21"/>
              </w:rPr>
            </w:pPr>
            <w:r>
              <w:rPr>
                <w:sz w:val="21"/>
              </w:rPr>
              <w:t>《煤炭工业污染物排放标准》</w:t>
            </w:r>
          </w:p>
          <w:p>
            <w:pPr>
              <w:pStyle w:val="14"/>
              <w:spacing w:before="4" w:line="252" w:lineRule="exact"/>
              <w:ind w:left="102" w:right="92"/>
              <w:rPr>
                <w:sz w:val="21"/>
              </w:rPr>
            </w:pPr>
            <w:r>
              <w:rPr>
                <w:sz w:val="21"/>
              </w:rPr>
              <w:t>（</w:t>
            </w:r>
            <w:r>
              <w:rPr>
                <w:rFonts w:ascii="Times New Roman" w:eastAsia="Times New Roman"/>
                <w:sz w:val="21"/>
              </w:rPr>
              <w:t>GB20426-2006</w:t>
            </w:r>
            <w:r>
              <w:rPr>
                <w:sz w:val="21"/>
              </w:rPr>
              <w:t xml:space="preserve">）表 </w:t>
            </w:r>
            <w:r>
              <w:rPr>
                <w:rFonts w:ascii="Times New Roman" w:eastAsia="Times New Roman"/>
                <w:sz w:val="21"/>
              </w:rPr>
              <w:t xml:space="preserve">4 </w:t>
            </w:r>
            <w:r>
              <w:rPr>
                <w:sz w:val="21"/>
              </w:rPr>
              <w:t>标准限值</w:t>
            </w:r>
          </w:p>
        </w:tc>
        <w:tc>
          <w:tcPr>
            <w:tcW w:w="1209" w:type="dxa"/>
          </w:tcPr>
          <w:p>
            <w:pPr>
              <w:pStyle w:val="14"/>
              <w:spacing w:before="134"/>
              <w:ind w:left="183" w:right="175"/>
              <w:rPr>
                <w:sz w:val="21"/>
              </w:rPr>
            </w:pPr>
            <w:r>
              <w:rPr>
                <w:sz w:val="21"/>
              </w:rPr>
              <w:t>颗粒物</w:t>
            </w:r>
          </w:p>
        </w:tc>
        <w:tc>
          <w:tcPr>
            <w:tcW w:w="979" w:type="dxa"/>
          </w:tcPr>
          <w:p>
            <w:pPr>
              <w:pStyle w:val="14"/>
              <w:spacing w:before="150"/>
              <w:ind w:left="154" w:right="144"/>
              <w:rPr>
                <w:rFonts w:ascii="Times New Roman"/>
                <w:sz w:val="13"/>
              </w:rPr>
            </w:pPr>
            <w:r>
              <w:rPr>
                <w:rFonts w:ascii="Times New Roman"/>
                <w:sz w:val="21"/>
              </w:rPr>
              <w:t>mg/m</w:t>
            </w:r>
            <w:r>
              <w:rPr>
                <w:rFonts w:ascii="Times New Roman"/>
                <w:position w:val="7"/>
                <w:sz w:val="13"/>
              </w:rPr>
              <w:t>3</w:t>
            </w:r>
          </w:p>
        </w:tc>
        <w:tc>
          <w:tcPr>
            <w:tcW w:w="1430" w:type="dxa"/>
            <w:gridSpan w:val="2"/>
          </w:tcPr>
          <w:p>
            <w:pPr>
              <w:pStyle w:val="14"/>
              <w:spacing w:before="150"/>
              <w:ind w:left="311" w:right="303"/>
              <w:rPr>
                <w:rFonts w:ascii="Times New Roman"/>
                <w:sz w:val="21"/>
              </w:rPr>
            </w:pPr>
            <w:r>
              <w:rPr>
                <w:rFonts w:ascii="Times New Roman"/>
                <w:sz w:val="21"/>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0" w:hRule="atLeast"/>
        </w:trPr>
        <w:tc>
          <w:tcPr>
            <w:tcW w:w="666" w:type="dxa"/>
            <w:vMerge w:val="continue"/>
            <w:tcBorders>
              <w:top w:val="nil"/>
            </w:tcBorders>
          </w:tcPr>
          <w:p>
            <w:pPr>
              <w:rPr>
                <w:sz w:val="2"/>
                <w:szCs w:val="2"/>
              </w:rPr>
            </w:pPr>
          </w:p>
        </w:tc>
        <w:tc>
          <w:tcPr>
            <w:tcW w:w="4238" w:type="dxa"/>
          </w:tcPr>
          <w:p>
            <w:pPr>
              <w:pStyle w:val="14"/>
              <w:jc w:val="left"/>
              <w:rPr>
                <w:b/>
                <w:sz w:val="20"/>
              </w:rPr>
            </w:pPr>
          </w:p>
          <w:p>
            <w:pPr>
              <w:pStyle w:val="14"/>
              <w:spacing w:before="136"/>
              <w:ind w:left="102" w:right="92"/>
              <w:rPr>
                <w:sz w:val="21"/>
              </w:rPr>
            </w:pPr>
            <w:r>
              <w:rPr>
                <w:sz w:val="21"/>
              </w:rPr>
              <w:t>《煤炭工业污染物排放标准》</w:t>
            </w:r>
          </w:p>
          <w:p>
            <w:pPr>
              <w:pStyle w:val="14"/>
              <w:spacing w:before="2"/>
              <w:ind w:left="102" w:right="92"/>
              <w:rPr>
                <w:sz w:val="21"/>
              </w:rPr>
            </w:pPr>
            <w:r>
              <w:rPr>
                <w:sz w:val="21"/>
              </w:rPr>
              <w:t>（</w:t>
            </w:r>
            <w:r>
              <w:rPr>
                <w:rFonts w:ascii="Times New Roman" w:eastAsia="Times New Roman"/>
                <w:sz w:val="21"/>
              </w:rPr>
              <w:t>GB20426-2006</w:t>
            </w:r>
            <w:r>
              <w:rPr>
                <w:sz w:val="21"/>
              </w:rPr>
              <w:t xml:space="preserve">）表 </w:t>
            </w:r>
            <w:r>
              <w:rPr>
                <w:rFonts w:ascii="Times New Roman" w:eastAsia="Times New Roman"/>
                <w:sz w:val="21"/>
              </w:rPr>
              <w:t xml:space="preserve">5 </w:t>
            </w:r>
            <w:r>
              <w:rPr>
                <w:sz w:val="21"/>
              </w:rPr>
              <w:t>标准限值</w:t>
            </w:r>
          </w:p>
        </w:tc>
        <w:tc>
          <w:tcPr>
            <w:tcW w:w="1209" w:type="dxa"/>
          </w:tcPr>
          <w:p>
            <w:pPr>
              <w:pStyle w:val="14"/>
              <w:jc w:val="left"/>
              <w:rPr>
                <w:b/>
                <w:sz w:val="20"/>
              </w:rPr>
            </w:pPr>
          </w:p>
          <w:p>
            <w:pPr>
              <w:pStyle w:val="14"/>
              <w:spacing w:before="1"/>
              <w:jc w:val="left"/>
              <w:rPr>
                <w:b/>
                <w:sz w:val="21"/>
              </w:rPr>
            </w:pPr>
          </w:p>
          <w:p>
            <w:pPr>
              <w:pStyle w:val="14"/>
              <w:ind w:left="183" w:right="175"/>
              <w:rPr>
                <w:sz w:val="21"/>
              </w:rPr>
            </w:pPr>
            <w:r>
              <w:rPr>
                <w:sz w:val="21"/>
              </w:rPr>
              <w:t>颗粒物</w:t>
            </w:r>
          </w:p>
        </w:tc>
        <w:tc>
          <w:tcPr>
            <w:tcW w:w="979" w:type="dxa"/>
          </w:tcPr>
          <w:p>
            <w:pPr>
              <w:pStyle w:val="14"/>
              <w:jc w:val="left"/>
              <w:rPr>
                <w:b/>
                <w:sz w:val="24"/>
              </w:rPr>
            </w:pPr>
          </w:p>
          <w:p>
            <w:pPr>
              <w:pStyle w:val="14"/>
              <w:spacing w:before="5"/>
              <w:jc w:val="left"/>
              <w:rPr>
                <w:b/>
                <w:sz w:val="18"/>
              </w:rPr>
            </w:pPr>
          </w:p>
          <w:p>
            <w:pPr>
              <w:pStyle w:val="14"/>
              <w:ind w:left="154" w:right="144"/>
              <w:rPr>
                <w:rFonts w:ascii="Times New Roman"/>
                <w:sz w:val="13"/>
              </w:rPr>
            </w:pPr>
            <w:r>
              <w:rPr>
                <w:rFonts w:ascii="Times New Roman"/>
                <w:sz w:val="21"/>
              </w:rPr>
              <w:t>mg/m</w:t>
            </w:r>
            <w:r>
              <w:rPr>
                <w:rFonts w:ascii="Times New Roman"/>
                <w:position w:val="7"/>
                <w:sz w:val="13"/>
              </w:rPr>
              <w:t>3</w:t>
            </w:r>
          </w:p>
        </w:tc>
        <w:tc>
          <w:tcPr>
            <w:tcW w:w="1430" w:type="dxa"/>
            <w:gridSpan w:val="2"/>
          </w:tcPr>
          <w:p>
            <w:pPr>
              <w:pStyle w:val="14"/>
              <w:spacing w:line="242" w:lineRule="auto"/>
              <w:ind w:left="107" w:right="98"/>
              <w:jc w:val="both"/>
              <w:rPr>
                <w:sz w:val="21"/>
              </w:rPr>
            </w:pPr>
            <w:r>
              <w:rPr>
                <w:spacing w:val="28"/>
                <w:sz w:val="21"/>
              </w:rPr>
              <w:t>煤炭储存场</w:t>
            </w:r>
            <w:r>
              <w:rPr>
                <w:spacing w:val="-11"/>
                <w:sz w:val="21"/>
              </w:rPr>
              <w:t>所、煤矸石堆</w:t>
            </w:r>
            <w:r>
              <w:rPr>
                <w:spacing w:val="28"/>
                <w:sz w:val="21"/>
              </w:rPr>
              <w:t>置场周界外浓度最高点</w:t>
            </w:r>
          </w:p>
          <w:p>
            <w:pPr>
              <w:pStyle w:val="14"/>
              <w:spacing w:before="1" w:line="222" w:lineRule="exact"/>
              <w:ind w:left="107"/>
              <w:jc w:val="left"/>
              <w:rPr>
                <w:rFonts w:ascii="Times New Roman"/>
                <w:sz w:val="21"/>
              </w:rPr>
            </w:pPr>
            <w:r>
              <w:rPr>
                <w:rFonts w:ascii="Times New Roman"/>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666" w:type="dxa"/>
            <w:vMerge w:val="continue"/>
            <w:tcBorders>
              <w:top w:val="nil"/>
            </w:tcBorders>
          </w:tcPr>
          <w:p>
            <w:pPr>
              <w:rPr>
                <w:sz w:val="2"/>
                <w:szCs w:val="2"/>
              </w:rPr>
            </w:pPr>
          </w:p>
        </w:tc>
        <w:tc>
          <w:tcPr>
            <w:tcW w:w="4238" w:type="dxa"/>
          </w:tcPr>
          <w:p>
            <w:pPr>
              <w:pStyle w:val="14"/>
              <w:ind w:left="102" w:right="95"/>
              <w:rPr>
                <w:sz w:val="21"/>
              </w:rPr>
            </w:pPr>
            <w:r>
              <w:rPr>
                <w:sz w:val="21"/>
              </w:rPr>
              <w:t>建设期执行《大气污染物综合排放标准》</w:t>
            </w:r>
          </w:p>
          <w:p>
            <w:pPr>
              <w:pStyle w:val="14"/>
              <w:spacing w:before="5" w:line="251" w:lineRule="exact"/>
              <w:ind w:left="102" w:right="95"/>
              <w:rPr>
                <w:sz w:val="21"/>
              </w:rPr>
            </w:pPr>
            <w:r>
              <w:rPr>
                <w:sz w:val="21"/>
              </w:rPr>
              <w:t>（</w:t>
            </w:r>
            <w:r>
              <w:rPr>
                <w:rFonts w:ascii="Times New Roman" w:eastAsia="Times New Roman"/>
                <w:sz w:val="21"/>
              </w:rPr>
              <w:t>GB16297-1996</w:t>
            </w:r>
            <w:r>
              <w:rPr>
                <w:sz w:val="21"/>
              </w:rPr>
              <w:t>）标准限值</w:t>
            </w:r>
          </w:p>
        </w:tc>
        <w:tc>
          <w:tcPr>
            <w:tcW w:w="1209" w:type="dxa"/>
          </w:tcPr>
          <w:p>
            <w:pPr>
              <w:pStyle w:val="14"/>
              <w:spacing w:before="135"/>
              <w:ind w:left="183" w:right="175"/>
              <w:rPr>
                <w:sz w:val="21"/>
              </w:rPr>
            </w:pPr>
            <w:r>
              <w:rPr>
                <w:sz w:val="21"/>
              </w:rPr>
              <w:t>颗粒物</w:t>
            </w:r>
          </w:p>
        </w:tc>
        <w:tc>
          <w:tcPr>
            <w:tcW w:w="979" w:type="dxa"/>
          </w:tcPr>
          <w:p>
            <w:pPr>
              <w:pStyle w:val="14"/>
              <w:spacing w:before="151"/>
              <w:ind w:left="154" w:right="144"/>
              <w:rPr>
                <w:rFonts w:ascii="Times New Roman"/>
                <w:sz w:val="13"/>
              </w:rPr>
            </w:pPr>
            <w:r>
              <w:rPr>
                <w:rFonts w:ascii="Times New Roman"/>
                <w:sz w:val="21"/>
              </w:rPr>
              <w:t>mg/m</w:t>
            </w:r>
            <w:r>
              <w:rPr>
                <w:rFonts w:ascii="Times New Roman"/>
                <w:position w:val="7"/>
                <w:sz w:val="13"/>
              </w:rPr>
              <w:t>3</w:t>
            </w:r>
          </w:p>
        </w:tc>
        <w:tc>
          <w:tcPr>
            <w:tcW w:w="1430" w:type="dxa"/>
            <w:gridSpan w:val="2"/>
          </w:tcPr>
          <w:p>
            <w:pPr>
              <w:pStyle w:val="14"/>
              <w:ind w:left="189"/>
              <w:jc w:val="left"/>
              <w:rPr>
                <w:sz w:val="21"/>
              </w:rPr>
            </w:pPr>
            <w:r>
              <w:rPr>
                <w:sz w:val="21"/>
              </w:rPr>
              <w:t>周界外浓度</w:t>
            </w:r>
          </w:p>
          <w:p>
            <w:pPr>
              <w:pStyle w:val="14"/>
              <w:spacing w:before="5" w:line="251" w:lineRule="exact"/>
              <w:ind w:left="242"/>
              <w:jc w:val="left"/>
              <w:rPr>
                <w:rFonts w:ascii="Times New Roman" w:eastAsia="Times New Roman"/>
                <w:sz w:val="21"/>
              </w:rPr>
            </w:pPr>
            <w:r>
              <w:rPr>
                <w:sz w:val="21"/>
              </w:rPr>
              <w:t xml:space="preserve">最高点 </w:t>
            </w:r>
            <w:r>
              <w:rPr>
                <w:rFonts w:ascii="Times New Roman" w:eastAsia="Times New Roman"/>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7" w:hRule="atLeast"/>
        </w:trPr>
        <w:tc>
          <w:tcPr>
            <w:tcW w:w="666" w:type="dxa"/>
            <w:vMerge w:val="continue"/>
            <w:tcBorders>
              <w:top w:val="nil"/>
            </w:tcBorders>
          </w:tcPr>
          <w:p>
            <w:pPr>
              <w:rPr>
                <w:sz w:val="2"/>
                <w:szCs w:val="2"/>
              </w:rPr>
            </w:pPr>
          </w:p>
        </w:tc>
        <w:tc>
          <w:tcPr>
            <w:tcW w:w="4238" w:type="dxa"/>
            <w:vMerge w:val="restart"/>
          </w:tcPr>
          <w:p>
            <w:pPr>
              <w:pStyle w:val="14"/>
              <w:jc w:val="left"/>
              <w:rPr>
                <w:b/>
                <w:sz w:val="20"/>
              </w:rPr>
            </w:pPr>
          </w:p>
          <w:p>
            <w:pPr>
              <w:pStyle w:val="14"/>
              <w:spacing w:before="10"/>
              <w:jc w:val="left"/>
              <w:rPr>
                <w:b/>
                <w:sz w:val="26"/>
              </w:rPr>
            </w:pPr>
          </w:p>
          <w:p>
            <w:pPr>
              <w:pStyle w:val="14"/>
              <w:ind w:left="102" w:right="95"/>
              <w:rPr>
                <w:sz w:val="21"/>
              </w:rPr>
            </w:pPr>
            <w:r>
              <w:rPr>
                <w:sz w:val="21"/>
              </w:rPr>
              <w:t>《煤层气（煤矿瓦斯）排放标准（暂行）》</w:t>
            </w:r>
          </w:p>
          <w:p>
            <w:pPr>
              <w:pStyle w:val="14"/>
              <w:spacing w:before="2"/>
              <w:ind w:left="102" w:right="95"/>
              <w:rPr>
                <w:sz w:val="21"/>
              </w:rPr>
            </w:pPr>
            <w:r>
              <w:rPr>
                <w:sz w:val="21"/>
              </w:rPr>
              <w:t>（</w:t>
            </w:r>
            <w:r>
              <w:rPr>
                <w:rFonts w:ascii="Times New Roman" w:eastAsia="Times New Roman"/>
                <w:sz w:val="21"/>
              </w:rPr>
              <w:t>GB21522-2008</w:t>
            </w:r>
            <w:r>
              <w:rPr>
                <w:sz w:val="21"/>
              </w:rPr>
              <w:t>）</w:t>
            </w:r>
          </w:p>
        </w:tc>
        <w:tc>
          <w:tcPr>
            <w:tcW w:w="1209" w:type="dxa"/>
          </w:tcPr>
          <w:p>
            <w:pPr>
              <w:pStyle w:val="14"/>
              <w:spacing w:line="290" w:lineRule="auto"/>
              <w:ind w:left="183" w:right="175"/>
              <w:rPr>
                <w:sz w:val="21"/>
              </w:rPr>
            </w:pPr>
            <w:r>
              <w:rPr>
                <w:sz w:val="21"/>
              </w:rPr>
              <w:t>低浓度瓦斯</w:t>
            </w:r>
          </w:p>
          <w:p>
            <w:pPr>
              <w:pStyle w:val="14"/>
              <w:spacing w:before="4"/>
              <w:ind w:left="128" w:right="120"/>
              <w:rPr>
                <w:sz w:val="21"/>
              </w:rPr>
            </w:pPr>
            <w:r>
              <w:rPr>
                <w:rFonts w:ascii="Times New Roman" w:eastAsia="Times New Roman"/>
                <w:sz w:val="21"/>
              </w:rPr>
              <w:t>(</w:t>
            </w:r>
            <w:r>
              <w:rPr>
                <w:sz w:val="21"/>
              </w:rPr>
              <w:t>甲烷浓度</w:t>
            </w:r>
          </w:p>
          <w:p>
            <w:pPr>
              <w:pStyle w:val="14"/>
              <w:spacing w:before="57"/>
              <w:ind w:left="183" w:right="173"/>
              <w:rPr>
                <w:rFonts w:ascii="Times New Roman" w:eastAsia="Times New Roman"/>
                <w:sz w:val="21"/>
              </w:rPr>
            </w:pPr>
            <w:r>
              <w:rPr>
                <w:sz w:val="21"/>
              </w:rPr>
              <w:t>＜</w:t>
            </w:r>
            <w:r>
              <w:rPr>
                <w:rFonts w:ascii="Times New Roman" w:eastAsia="Times New Roman"/>
                <w:sz w:val="21"/>
              </w:rPr>
              <w:t>30%)</w:t>
            </w:r>
          </w:p>
        </w:tc>
        <w:tc>
          <w:tcPr>
            <w:tcW w:w="979" w:type="dxa"/>
          </w:tcPr>
          <w:p>
            <w:pPr>
              <w:pStyle w:val="14"/>
              <w:jc w:val="left"/>
              <w:rPr>
                <w:b/>
                <w:sz w:val="22"/>
              </w:rPr>
            </w:pPr>
          </w:p>
          <w:p>
            <w:pPr>
              <w:pStyle w:val="14"/>
              <w:spacing w:before="8"/>
              <w:jc w:val="left"/>
              <w:rPr>
                <w:b/>
                <w:sz w:val="17"/>
              </w:rPr>
            </w:pPr>
          </w:p>
          <w:p>
            <w:pPr>
              <w:pStyle w:val="14"/>
              <w:ind w:left="9"/>
              <w:rPr>
                <w:rFonts w:ascii="Times New Roman"/>
                <w:sz w:val="21"/>
              </w:rPr>
            </w:pPr>
            <w:r>
              <w:rPr>
                <w:rFonts w:ascii="Times New Roman"/>
                <w:w w:val="99"/>
                <w:sz w:val="21"/>
              </w:rPr>
              <w:t>/</w:t>
            </w:r>
          </w:p>
        </w:tc>
        <w:tc>
          <w:tcPr>
            <w:tcW w:w="1430" w:type="dxa"/>
            <w:gridSpan w:val="2"/>
            <w:vMerge w:val="restart"/>
          </w:tcPr>
          <w:p>
            <w:pPr>
              <w:pStyle w:val="14"/>
              <w:jc w:val="left"/>
              <w:rPr>
                <w:b/>
                <w:sz w:val="20"/>
              </w:rPr>
            </w:pPr>
          </w:p>
          <w:p>
            <w:pPr>
              <w:pStyle w:val="14"/>
              <w:jc w:val="left"/>
              <w:rPr>
                <w:b/>
                <w:sz w:val="20"/>
              </w:rPr>
            </w:pPr>
          </w:p>
          <w:p>
            <w:pPr>
              <w:pStyle w:val="14"/>
              <w:spacing w:before="6"/>
              <w:jc w:val="left"/>
              <w:rPr>
                <w:b/>
                <w:sz w:val="17"/>
              </w:rPr>
            </w:pPr>
          </w:p>
          <w:p>
            <w:pPr>
              <w:pStyle w:val="14"/>
              <w:ind w:left="189"/>
              <w:jc w:val="left"/>
              <w:rPr>
                <w:sz w:val="21"/>
              </w:rPr>
            </w:pPr>
            <w:r>
              <w:rPr>
                <w:sz w:val="21"/>
              </w:rPr>
              <w:t>煤矿回风井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before="51"/>
              <w:ind w:left="126" w:right="120"/>
              <w:rPr>
                <w:sz w:val="21"/>
              </w:rPr>
            </w:pPr>
            <w:r>
              <w:rPr>
                <w:sz w:val="21"/>
              </w:rPr>
              <w:t>风排瓦斯</w:t>
            </w:r>
          </w:p>
        </w:tc>
        <w:tc>
          <w:tcPr>
            <w:tcW w:w="979" w:type="dxa"/>
          </w:tcPr>
          <w:p>
            <w:pPr>
              <w:pStyle w:val="14"/>
              <w:spacing w:before="67"/>
              <w:ind w:left="9"/>
              <w:rPr>
                <w:rFonts w:ascii="Times New Roman"/>
                <w:sz w:val="21"/>
              </w:rPr>
            </w:pPr>
            <w:r>
              <w:rPr>
                <w:rFonts w:ascii="Times New Roman"/>
                <w:w w:val="99"/>
                <w:sz w:val="21"/>
              </w:rPr>
              <w:t>/</w:t>
            </w:r>
          </w:p>
        </w:tc>
        <w:tc>
          <w:tcPr>
            <w:tcW w:w="1430" w:type="dxa"/>
            <w:gridSpan w:val="2"/>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666" w:type="dxa"/>
            <w:vMerge w:val="continue"/>
            <w:tcBorders>
              <w:top w:val="nil"/>
            </w:tcBorders>
          </w:tcPr>
          <w:p>
            <w:pPr>
              <w:rPr>
                <w:sz w:val="2"/>
                <w:szCs w:val="2"/>
              </w:rPr>
            </w:pPr>
          </w:p>
        </w:tc>
        <w:tc>
          <w:tcPr>
            <w:tcW w:w="4238" w:type="dxa"/>
            <w:vMerge w:val="restart"/>
          </w:tcPr>
          <w:p>
            <w:pPr>
              <w:pStyle w:val="14"/>
              <w:spacing w:before="161"/>
              <w:ind w:left="102" w:right="95"/>
              <w:rPr>
                <w:sz w:val="21"/>
              </w:rPr>
            </w:pPr>
            <w:r>
              <w:rPr>
                <w:sz w:val="21"/>
              </w:rPr>
              <w:t>《饮食业油烟排放标准（试行）》</w:t>
            </w:r>
          </w:p>
          <w:p>
            <w:pPr>
              <w:pStyle w:val="14"/>
              <w:spacing w:before="2"/>
              <w:ind w:left="102" w:right="95"/>
              <w:rPr>
                <w:sz w:val="21"/>
              </w:rPr>
            </w:pPr>
            <w:r>
              <w:rPr>
                <w:sz w:val="21"/>
              </w:rPr>
              <w:t>（</w:t>
            </w:r>
            <w:r>
              <w:rPr>
                <w:rFonts w:ascii="Times New Roman" w:eastAsia="Times New Roman"/>
                <w:sz w:val="21"/>
              </w:rPr>
              <w:t>GB18483-2001</w:t>
            </w:r>
            <w:r>
              <w:rPr>
                <w:sz w:val="21"/>
              </w:rPr>
              <w:t>）大型</w:t>
            </w:r>
          </w:p>
        </w:tc>
        <w:tc>
          <w:tcPr>
            <w:tcW w:w="2709" w:type="dxa"/>
            <w:gridSpan w:val="3"/>
          </w:tcPr>
          <w:p>
            <w:pPr>
              <w:pStyle w:val="14"/>
              <w:spacing w:before="77"/>
              <w:ind w:left="109" w:right="-15"/>
              <w:jc w:val="left"/>
              <w:rPr>
                <w:sz w:val="21"/>
              </w:rPr>
            </w:pPr>
            <w:r>
              <w:rPr>
                <w:spacing w:val="-8"/>
                <w:sz w:val="21"/>
              </w:rPr>
              <w:t>最高允许排放浓度</w:t>
            </w:r>
            <w:r>
              <w:rPr>
                <w:sz w:val="21"/>
              </w:rPr>
              <w:t>（</w:t>
            </w:r>
            <w:r>
              <w:rPr>
                <w:rFonts w:ascii="Times New Roman" w:eastAsia="Times New Roman"/>
                <w:sz w:val="21"/>
              </w:rPr>
              <w:t>mg/m</w:t>
            </w:r>
            <w:r>
              <w:rPr>
                <w:rFonts w:ascii="Times New Roman" w:eastAsia="Times New Roman"/>
                <w:position w:val="7"/>
                <w:sz w:val="13"/>
              </w:rPr>
              <w:t>3</w:t>
            </w:r>
            <w:r>
              <w:rPr>
                <w:sz w:val="21"/>
              </w:rPr>
              <w:t>）</w:t>
            </w:r>
          </w:p>
        </w:tc>
        <w:tc>
          <w:tcPr>
            <w:tcW w:w="909" w:type="dxa"/>
          </w:tcPr>
          <w:p>
            <w:pPr>
              <w:pStyle w:val="14"/>
              <w:spacing w:before="91"/>
              <w:ind w:left="11"/>
              <w:rPr>
                <w:rFonts w:ascii="Times New Roman"/>
                <w:sz w:val="21"/>
              </w:rPr>
            </w:pPr>
            <w:r>
              <w:rPr>
                <w:rFonts w:ascii="Times New Roman"/>
                <w:w w:val="99"/>
                <w:sz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2709" w:type="dxa"/>
            <w:gridSpan w:val="3"/>
          </w:tcPr>
          <w:p>
            <w:pPr>
              <w:pStyle w:val="14"/>
              <w:spacing w:before="77"/>
              <w:ind w:left="106" w:right="-15"/>
              <w:jc w:val="left"/>
              <w:rPr>
                <w:sz w:val="21"/>
              </w:rPr>
            </w:pPr>
            <w:r>
              <w:rPr>
                <w:spacing w:val="-10"/>
                <w:sz w:val="21"/>
              </w:rPr>
              <w:t>净化设施最低去除效率</w:t>
            </w:r>
            <w:r>
              <w:rPr>
                <w:sz w:val="21"/>
              </w:rPr>
              <w:t>（</w:t>
            </w:r>
            <w:r>
              <w:rPr>
                <w:rFonts w:ascii="Times New Roman" w:eastAsia="Times New Roman"/>
                <w:sz w:val="21"/>
              </w:rPr>
              <w:t>%</w:t>
            </w:r>
            <w:r>
              <w:rPr>
                <w:sz w:val="21"/>
              </w:rPr>
              <w:t>）</w:t>
            </w:r>
          </w:p>
        </w:tc>
        <w:tc>
          <w:tcPr>
            <w:tcW w:w="909" w:type="dxa"/>
          </w:tcPr>
          <w:p>
            <w:pPr>
              <w:pStyle w:val="14"/>
              <w:spacing w:before="91"/>
              <w:ind w:left="327" w:right="321"/>
              <w:rPr>
                <w:rFonts w:ascii="Times New Roman"/>
                <w:sz w:val="21"/>
              </w:rPr>
            </w:pPr>
            <w:r>
              <w:rPr>
                <w:rFonts w:ascii="Times New Roman"/>
                <w:sz w:val="21"/>
              </w:rPr>
              <w:t>85</w:t>
            </w:r>
          </w:p>
        </w:tc>
      </w:tr>
    </w:tbl>
    <w:p>
      <w:pPr>
        <w:spacing w:after="0"/>
        <w:rPr>
          <w:rFonts w:ascii="Times New Roman"/>
          <w:sz w:val="21"/>
        </w:rPr>
        <w:sectPr>
          <w:pgSz w:w="11910" w:h="16840"/>
          <w:pgMar w:top="1400" w:right="720" w:bottom="1160" w:left="760" w:header="0" w:footer="895" w:gutter="0"/>
        </w:sectPr>
      </w:pPr>
    </w:p>
    <w:tbl>
      <w:tblPr>
        <w:tblStyle w:val="10"/>
        <w:tblW w:w="0" w:type="auto"/>
        <w:tblInd w:w="9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6"/>
        <w:gridCol w:w="4238"/>
        <w:gridCol w:w="1209"/>
        <w:gridCol w:w="979"/>
        <w:gridCol w:w="14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666"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8"/>
              <w:jc w:val="left"/>
              <w:rPr>
                <w:b/>
                <w:sz w:val="18"/>
              </w:rPr>
            </w:pPr>
          </w:p>
          <w:p>
            <w:pPr>
              <w:pStyle w:val="14"/>
              <w:ind w:left="122"/>
              <w:jc w:val="left"/>
              <w:rPr>
                <w:sz w:val="21"/>
              </w:rPr>
            </w:pPr>
            <w:r>
              <w:rPr>
                <w:sz w:val="21"/>
              </w:rPr>
              <w:t>废水</w:t>
            </w:r>
          </w:p>
        </w:tc>
        <w:tc>
          <w:tcPr>
            <w:tcW w:w="4238" w:type="dxa"/>
            <w:vMerge w:val="restart"/>
          </w:tcPr>
          <w:p>
            <w:pPr>
              <w:pStyle w:val="14"/>
              <w:jc w:val="left"/>
              <w:rPr>
                <w:b/>
                <w:sz w:val="20"/>
              </w:rPr>
            </w:pPr>
          </w:p>
          <w:p>
            <w:pPr>
              <w:pStyle w:val="14"/>
              <w:jc w:val="left"/>
              <w:rPr>
                <w:b/>
                <w:sz w:val="20"/>
              </w:rPr>
            </w:pPr>
          </w:p>
          <w:p>
            <w:pPr>
              <w:pStyle w:val="14"/>
              <w:spacing w:before="3"/>
              <w:jc w:val="left"/>
              <w:rPr>
                <w:b/>
                <w:sz w:val="15"/>
              </w:rPr>
            </w:pPr>
          </w:p>
          <w:p>
            <w:pPr>
              <w:pStyle w:val="14"/>
              <w:ind w:left="102" w:right="92"/>
              <w:rPr>
                <w:sz w:val="21"/>
              </w:rPr>
            </w:pPr>
            <w:r>
              <w:rPr>
                <w:sz w:val="21"/>
              </w:rPr>
              <w:t>《煤炭工业污染物排放标准》</w:t>
            </w:r>
          </w:p>
          <w:p>
            <w:pPr>
              <w:pStyle w:val="14"/>
              <w:spacing w:before="5"/>
              <w:ind w:left="102" w:right="95"/>
              <w:rPr>
                <w:sz w:val="21"/>
              </w:rPr>
            </w:pPr>
            <w:r>
              <w:rPr>
                <w:sz w:val="21"/>
              </w:rPr>
              <w:t>（</w:t>
            </w:r>
            <w:r>
              <w:rPr>
                <w:rFonts w:ascii="Times New Roman" w:eastAsia="Times New Roman"/>
                <w:sz w:val="21"/>
              </w:rPr>
              <w:t>GB20426-2006</w:t>
            </w:r>
            <w:r>
              <w:rPr>
                <w:sz w:val="21"/>
              </w:rPr>
              <w:t xml:space="preserve">）表 </w:t>
            </w:r>
            <w:r>
              <w:rPr>
                <w:rFonts w:ascii="Times New Roman" w:eastAsia="Times New Roman"/>
                <w:sz w:val="21"/>
              </w:rPr>
              <w:t>1</w:t>
            </w:r>
            <w:r>
              <w:rPr>
                <w:sz w:val="21"/>
              </w:rPr>
              <w:t>、</w:t>
            </w:r>
            <w:r>
              <w:rPr>
                <w:rFonts w:ascii="Times New Roman" w:eastAsia="Times New Roman"/>
                <w:sz w:val="21"/>
              </w:rPr>
              <w:t xml:space="preserve">2 </w:t>
            </w:r>
            <w:r>
              <w:rPr>
                <w:sz w:val="21"/>
              </w:rPr>
              <w:t>标准限值</w:t>
            </w:r>
          </w:p>
        </w:tc>
        <w:tc>
          <w:tcPr>
            <w:tcW w:w="1209" w:type="dxa"/>
          </w:tcPr>
          <w:p>
            <w:pPr>
              <w:pStyle w:val="14"/>
              <w:spacing w:before="42"/>
              <w:ind w:left="183" w:right="175"/>
              <w:rPr>
                <w:rFonts w:ascii="Times New Roman"/>
                <w:sz w:val="21"/>
              </w:rPr>
            </w:pPr>
            <w:r>
              <w:rPr>
                <w:rFonts w:ascii="Times New Roman"/>
                <w:sz w:val="21"/>
              </w:rPr>
              <w:t>pH</w:t>
            </w:r>
          </w:p>
        </w:tc>
        <w:tc>
          <w:tcPr>
            <w:tcW w:w="979" w:type="dxa"/>
          </w:tcPr>
          <w:p>
            <w:pPr>
              <w:pStyle w:val="14"/>
              <w:spacing w:before="28"/>
              <w:ind w:left="154" w:right="145"/>
              <w:rPr>
                <w:sz w:val="21"/>
              </w:rPr>
            </w:pPr>
            <w:r>
              <w:rPr>
                <w:sz w:val="21"/>
              </w:rPr>
              <w:t>无量纲</w:t>
            </w:r>
          </w:p>
        </w:tc>
        <w:tc>
          <w:tcPr>
            <w:tcW w:w="1430" w:type="dxa"/>
          </w:tcPr>
          <w:p>
            <w:pPr>
              <w:pStyle w:val="14"/>
              <w:spacing w:before="42"/>
              <w:ind w:left="311" w:right="303"/>
              <w:rPr>
                <w:rFonts w:ascii="Times New Roman"/>
                <w:sz w:val="21"/>
              </w:rPr>
            </w:pPr>
            <w:r>
              <w:rPr>
                <w:rFonts w:ascii="Times New Roman"/>
                <w:sz w:val="21"/>
              </w:rPr>
              <w:t>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line="221" w:lineRule="exact"/>
              <w:ind w:left="183" w:right="174"/>
              <w:rPr>
                <w:rFonts w:ascii="Times New Roman"/>
                <w:sz w:val="21"/>
              </w:rPr>
            </w:pPr>
            <w:r>
              <w:rPr>
                <w:rFonts w:ascii="Times New Roman"/>
                <w:sz w:val="21"/>
              </w:rPr>
              <w:t>SS</w:t>
            </w:r>
          </w:p>
        </w:tc>
        <w:tc>
          <w:tcPr>
            <w:tcW w:w="979" w:type="dxa"/>
            <w:vMerge w:val="restart"/>
          </w:tcPr>
          <w:p>
            <w:pPr>
              <w:pStyle w:val="14"/>
              <w:jc w:val="left"/>
              <w:rPr>
                <w:b/>
                <w:sz w:val="22"/>
              </w:rPr>
            </w:pPr>
          </w:p>
          <w:p>
            <w:pPr>
              <w:pStyle w:val="14"/>
              <w:spacing w:before="11"/>
              <w:jc w:val="left"/>
              <w:rPr>
                <w:b/>
                <w:sz w:val="31"/>
              </w:rPr>
            </w:pPr>
          </w:p>
          <w:p>
            <w:pPr>
              <w:pStyle w:val="14"/>
              <w:ind w:left="261"/>
              <w:jc w:val="left"/>
              <w:rPr>
                <w:rFonts w:ascii="Times New Roman"/>
                <w:sz w:val="21"/>
              </w:rPr>
            </w:pPr>
            <w:r>
              <w:rPr>
                <w:rFonts w:ascii="Times New Roman"/>
                <w:sz w:val="21"/>
              </w:rPr>
              <w:t>mg/L</w:t>
            </w:r>
          </w:p>
        </w:tc>
        <w:tc>
          <w:tcPr>
            <w:tcW w:w="1430" w:type="dxa"/>
          </w:tcPr>
          <w:p>
            <w:pPr>
              <w:pStyle w:val="14"/>
              <w:spacing w:line="221" w:lineRule="exact"/>
              <w:ind w:left="311" w:right="303"/>
              <w:rPr>
                <w:rFonts w:ascii="Times New Roman"/>
                <w:sz w:val="21"/>
              </w:rPr>
            </w:pPr>
            <w:r>
              <w:rPr>
                <w:rFonts w:ascii="Times New Roman"/>
                <w:sz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line="222" w:lineRule="exact"/>
              <w:ind w:left="183" w:right="175"/>
              <w:rPr>
                <w:rFonts w:ascii="Times New Roman"/>
                <w:sz w:val="21"/>
              </w:rPr>
            </w:pPr>
            <w:r>
              <w:rPr>
                <w:rFonts w:ascii="Times New Roman"/>
                <w:sz w:val="21"/>
              </w:rPr>
              <w:t>COD</w:t>
            </w:r>
          </w:p>
        </w:tc>
        <w:tc>
          <w:tcPr>
            <w:tcW w:w="979" w:type="dxa"/>
            <w:vMerge w:val="continue"/>
            <w:tcBorders>
              <w:top w:val="nil"/>
            </w:tcBorders>
          </w:tcPr>
          <w:p>
            <w:pPr>
              <w:rPr>
                <w:sz w:val="2"/>
                <w:szCs w:val="2"/>
              </w:rPr>
            </w:pPr>
          </w:p>
        </w:tc>
        <w:tc>
          <w:tcPr>
            <w:tcW w:w="1430" w:type="dxa"/>
          </w:tcPr>
          <w:p>
            <w:pPr>
              <w:pStyle w:val="14"/>
              <w:spacing w:line="222" w:lineRule="exact"/>
              <w:ind w:left="311" w:right="303"/>
              <w:rPr>
                <w:rFonts w:ascii="Times New Roman"/>
                <w:sz w:val="21"/>
              </w:rPr>
            </w:pPr>
            <w:r>
              <w:rPr>
                <w:rFonts w:ascii="Times New Roman"/>
                <w:sz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line="252" w:lineRule="exact"/>
              <w:ind w:left="183" w:right="175"/>
              <w:rPr>
                <w:sz w:val="21"/>
              </w:rPr>
            </w:pPr>
            <w:r>
              <w:rPr>
                <w:sz w:val="21"/>
              </w:rPr>
              <w:t>石油类</w:t>
            </w:r>
          </w:p>
        </w:tc>
        <w:tc>
          <w:tcPr>
            <w:tcW w:w="979" w:type="dxa"/>
            <w:vMerge w:val="continue"/>
            <w:tcBorders>
              <w:top w:val="nil"/>
            </w:tcBorders>
          </w:tcPr>
          <w:p>
            <w:pPr>
              <w:rPr>
                <w:sz w:val="2"/>
                <w:szCs w:val="2"/>
              </w:rPr>
            </w:pPr>
          </w:p>
        </w:tc>
        <w:tc>
          <w:tcPr>
            <w:tcW w:w="1430" w:type="dxa"/>
          </w:tcPr>
          <w:p>
            <w:pPr>
              <w:pStyle w:val="14"/>
              <w:spacing w:before="14" w:line="238" w:lineRule="exact"/>
              <w:ind w:left="8"/>
              <w:rPr>
                <w:rFonts w:ascii="Times New Roman"/>
                <w:sz w:val="21"/>
              </w:rPr>
            </w:pPr>
            <w:r>
              <w:rPr>
                <w:rFonts w:ascii="Times New Roman"/>
                <w:w w:val="99"/>
                <w:sz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before="1" w:line="251" w:lineRule="exact"/>
              <w:ind w:left="178" w:right="175"/>
              <w:rPr>
                <w:sz w:val="21"/>
              </w:rPr>
            </w:pPr>
            <w:r>
              <w:rPr>
                <w:sz w:val="21"/>
              </w:rPr>
              <w:t>总铁</w:t>
            </w:r>
          </w:p>
        </w:tc>
        <w:tc>
          <w:tcPr>
            <w:tcW w:w="979" w:type="dxa"/>
            <w:vMerge w:val="continue"/>
            <w:tcBorders>
              <w:top w:val="nil"/>
            </w:tcBorders>
          </w:tcPr>
          <w:p>
            <w:pPr>
              <w:rPr>
                <w:sz w:val="2"/>
                <w:szCs w:val="2"/>
              </w:rPr>
            </w:pPr>
          </w:p>
        </w:tc>
        <w:tc>
          <w:tcPr>
            <w:tcW w:w="1430" w:type="dxa"/>
          </w:tcPr>
          <w:p>
            <w:pPr>
              <w:pStyle w:val="14"/>
              <w:spacing w:before="15" w:line="237" w:lineRule="exact"/>
              <w:ind w:left="8"/>
              <w:rPr>
                <w:rFonts w:ascii="Times New Roman"/>
                <w:sz w:val="21"/>
              </w:rPr>
            </w:pPr>
            <w:r>
              <w:rPr>
                <w:rFonts w:ascii="Times New Roman"/>
                <w:w w:val="99"/>
                <w:sz w:val="21"/>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line="252" w:lineRule="exact"/>
              <w:ind w:left="178" w:right="175"/>
              <w:rPr>
                <w:sz w:val="21"/>
              </w:rPr>
            </w:pPr>
            <w:r>
              <w:rPr>
                <w:sz w:val="21"/>
              </w:rPr>
              <w:t>总锰</w:t>
            </w:r>
          </w:p>
        </w:tc>
        <w:tc>
          <w:tcPr>
            <w:tcW w:w="979" w:type="dxa"/>
            <w:vMerge w:val="continue"/>
            <w:tcBorders>
              <w:top w:val="nil"/>
            </w:tcBorders>
          </w:tcPr>
          <w:p>
            <w:pPr>
              <w:rPr>
                <w:sz w:val="2"/>
                <w:szCs w:val="2"/>
              </w:rPr>
            </w:pPr>
          </w:p>
        </w:tc>
        <w:tc>
          <w:tcPr>
            <w:tcW w:w="1430" w:type="dxa"/>
          </w:tcPr>
          <w:p>
            <w:pPr>
              <w:pStyle w:val="14"/>
              <w:spacing w:before="13" w:line="239" w:lineRule="exact"/>
              <w:ind w:left="8"/>
              <w:rPr>
                <w:rFonts w:ascii="Times New Roman"/>
                <w:sz w:val="21"/>
              </w:rPr>
            </w:pPr>
            <w:r>
              <w:rPr>
                <w:rFonts w:ascii="Times New Roman"/>
                <w:w w:val="99"/>
                <w:sz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line="251" w:lineRule="exact"/>
              <w:ind w:left="183" w:right="175"/>
              <w:rPr>
                <w:sz w:val="21"/>
              </w:rPr>
            </w:pPr>
            <w:r>
              <w:rPr>
                <w:sz w:val="21"/>
              </w:rPr>
              <w:t>氟化物</w:t>
            </w:r>
          </w:p>
        </w:tc>
        <w:tc>
          <w:tcPr>
            <w:tcW w:w="979" w:type="dxa"/>
            <w:vMerge w:val="continue"/>
            <w:tcBorders>
              <w:top w:val="nil"/>
            </w:tcBorders>
          </w:tcPr>
          <w:p>
            <w:pPr>
              <w:rPr>
                <w:sz w:val="2"/>
                <w:szCs w:val="2"/>
              </w:rPr>
            </w:pPr>
          </w:p>
        </w:tc>
        <w:tc>
          <w:tcPr>
            <w:tcW w:w="1430" w:type="dxa"/>
          </w:tcPr>
          <w:p>
            <w:pPr>
              <w:pStyle w:val="14"/>
              <w:spacing w:before="14" w:line="237" w:lineRule="exact"/>
              <w:ind w:left="311" w:right="303"/>
              <w:rPr>
                <w:rFonts w:ascii="Times New Roman"/>
                <w:sz w:val="21"/>
              </w:rPr>
            </w:pPr>
            <w:r>
              <w:rPr>
                <w:rFonts w:ascii="Times New Roman"/>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666" w:type="dxa"/>
            <w:vMerge w:val="continue"/>
            <w:tcBorders>
              <w:top w:val="nil"/>
            </w:tcBorders>
          </w:tcPr>
          <w:p>
            <w:pPr>
              <w:rPr>
                <w:sz w:val="2"/>
                <w:szCs w:val="2"/>
              </w:rPr>
            </w:pPr>
          </w:p>
        </w:tc>
        <w:tc>
          <w:tcPr>
            <w:tcW w:w="4238" w:type="dxa"/>
            <w:vMerge w:val="restart"/>
          </w:tcPr>
          <w:p>
            <w:pPr>
              <w:pStyle w:val="14"/>
              <w:spacing w:before="162"/>
              <w:ind w:left="102" w:right="95"/>
              <w:rPr>
                <w:sz w:val="21"/>
              </w:rPr>
            </w:pPr>
            <w:r>
              <w:rPr>
                <w:sz w:val="21"/>
              </w:rPr>
              <w:t>《煤矿井下消防、洒水设计规范》</w:t>
            </w:r>
          </w:p>
          <w:p>
            <w:pPr>
              <w:pStyle w:val="14"/>
              <w:spacing w:before="2"/>
              <w:ind w:left="102" w:right="88"/>
              <w:rPr>
                <w:rFonts w:ascii="Times New Roman"/>
                <w:sz w:val="21"/>
              </w:rPr>
            </w:pPr>
            <w:r>
              <w:rPr>
                <w:rFonts w:ascii="Times New Roman"/>
                <w:sz w:val="21"/>
              </w:rPr>
              <w:t>(GB50383-2006)</w:t>
            </w:r>
          </w:p>
        </w:tc>
        <w:tc>
          <w:tcPr>
            <w:tcW w:w="1209" w:type="dxa"/>
          </w:tcPr>
          <w:p>
            <w:pPr>
              <w:pStyle w:val="14"/>
              <w:spacing w:before="15" w:line="237" w:lineRule="exact"/>
              <w:ind w:left="183" w:right="173"/>
              <w:rPr>
                <w:rFonts w:ascii="Times New Roman"/>
                <w:sz w:val="21"/>
              </w:rPr>
            </w:pPr>
            <w:r>
              <w:rPr>
                <w:rFonts w:ascii="Times New Roman"/>
                <w:sz w:val="21"/>
              </w:rPr>
              <w:t>pH</w:t>
            </w:r>
          </w:p>
        </w:tc>
        <w:tc>
          <w:tcPr>
            <w:tcW w:w="979" w:type="dxa"/>
          </w:tcPr>
          <w:p>
            <w:pPr>
              <w:pStyle w:val="14"/>
              <w:spacing w:before="2" w:line="251" w:lineRule="exact"/>
              <w:ind w:left="154" w:right="145"/>
              <w:rPr>
                <w:sz w:val="21"/>
              </w:rPr>
            </w:pPr>
            <w:r>
              <w:rPr>
                <w:sz w:val="21"/>
              </w:rPr>
              <w:t>无量纲</w:t>
            </w:r>
          </w:p>
        </w:tc>
        <w:tc>
          <w:tcPr>
            <w:tcW w:w="1430" w:type="dxa"/>
          </w:tcPr>
          <w:p>
            <w:pPr>
              <w:pStyle w:val="14"/>
              <w:spacing w:before="2" w:line="251" w:lineRule="exact"/>
              <w:ind w:left="311" w:right="303"/>
              <w:rPr>
                <w:rFonts w:ascii="Times New Roman" w:eastAsia="Times New Roman"/>
                <w:sz w:val="21"/>
              </w:rPr>
            </w:pPr>
            <w:r>
              <w:rPr>
                <w:rFonts w:ascii="Times New Roman" w:eastAsia="Times New Roman"/>
                <w:sz w:val="21"/>
              </w:rPr>
              <w:t>6</w:t>
            </w:r>
            <w:r>
              <w:rPr>
                <w:sz w:val="21"/>
              </w:rPr>
              <w:t>～</w:t>
            </w:r>
            <w:r>
              <w:rPr>
                <w:rFonts w:ascii="Times New Roman" w:eastAsia="Times New Roman"/>
                <w:sz w:val="21"/>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line="252" w:lineRule="exact"/>
              <w:ind w:left="183" w:right="175"/>
              <w:rPr>
                <w:sz w:val="21"/>
              </w:rPr>
            </w:pPr>
            <w:r>
              <w:rPr>
                <w:sz w:val="21"/>
              </w:rPr>
              <w:t>悬浮物</w:t>
            </w:r>
          </w:p>
        </w:tc>
        <w:tc>
          <w:tcPr>
            <w:tcW w:w="979" w:type="dxa"/>
            <w:vMerge w:val="restart"/>
          </w:tcPr>
          <w:p>
            <w:pPr>
              <w:pStyle w:val="14"/>
              <w:spacing w:before="155"/>
              <w:ind w:left="261"/>
              <w:jc w:val="left"/>
              <w:rPr>
                <w:rFonts w:ascii="Times New Roman"/>
                <w:sz w:val="21"/>
              </w:rPr>
            </w:pPr>
            <w:r>
              <w:rPr>
                <w:rFonts w:ascii="Times New Roman"/>
                <w:sz w:val="21"/>
              </w:rPr>
              <w:t>mg/L</w:t>
            </w:r>
          </w:p>
        </w:tc>
        <w:tc>
          <w:tcPr>
            <w:tcW w:w="1430" w:type="dxa"/>
          </w:tcPr>
          <w:p>
            <w:pPr>
              <w:pStyle w:val="14"/>
              <w:spacing w:before="13" w:line="238" w:lineRule="exact"/>
              <w:ind w:left="311" w:right="303"/>
              <w:rPr>
                <w:rFonts w:ascii="Times New Roman"/>
                <w:sz w:val="21"/>
              </w:rPr>
            </w:pPr>
            <w:r>
              <w:rPr>
                <w:rFonts w:ascii="Times New Roman"/>
                <w:sz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before="1" w:line="251" w:lineRule="exact"/>
              <w:ind w:left="126" w:right="120"/>
              <w:rPr>
                <w:sz w:val="21"/>
              </w:rPr>
            </w:pPr>
            <w:r>
              <w:rPr>
                <w:sz w:val="21"/>
              </w:rPr>
              <w:t>大肠菌群</w:t>
            </w:r>
          </w:p>
        </w:tc>
        <w:tc>
          <w:tcPr>
            <w:tcW w:w="979" w:type="dxa"/>
            <w:vMerge w:val="continue"/>
            <w:tcBorders>
              <w:top w:val="nil"/>
            </w:tcBorders>
          </w:tcPr>
          <w:p>
            <w:pPr>
              <w:rPr>
                <w:sz w:val="2"/>
                <w:szCs w:val="2"/>
              </w:rPr>
            </w:pPr>
          </w:p>
        </w:tc>
        <w:tc>
          <w:tcPr>
            <w:tcW w:w="1430" w:type="dxa"/>
          </w:tcPr>
          <w:p>
            <w:pPr>
              <w:pStyle w:val="14"/>
              <w:spacing w:before="1" w:line="251" w:lineRule="exact"/>
              <w:ind w:left="311" w:right="303"/>
              <w:rPr>
                <w:rFonts w:ascii="Times New Roman" w:hAnsi="Times New Roman" w:eastAsia="Times New Roman"/>
                <w:sz w:val="21"/>
              </w:rPr>
            </w:pPr>
            <w:r>
              <w:rPr>
                <w:sz w:val="21"/>
              </w:rPr>
              <w:t>≤</w:t>
            </w:r>
            <w:r>
              <w:rPr>
                <w:rFonts w:ascii="Times New Roman" w:hAnsi="Times New Roman" w:eastAsia="Times New Roman"/>
                <w:sz w:val="21"/>
              </w:rPr>
              <w:t xml:space="preserve">3 </w:t>
            </w:r>
            <w:r>
              <w:rPr>
                <w:sz w:val="21"/>
              </w:rPr>
              <w:t>个</w:t>
            </w:r>
            <w:r>
              <w:rPr>
                <w:rFonts w:ascii="Times New Roman" w:hAnsi="Times New Roman" w:eastAsia="Times New Roman"/>
                <w:sz w:val="21"/>
              </w:rPr>
              <w:t>/L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666" w:type="dxa"/>
            <w:vMerge w:val="continue"/>
            <w:tcBorders>
              <w:top w:val="nil"/>
            </w:tcBorders>
          </w:tcPr>
          <w:p>
            <w:pPr>
              <w:rPr>
                <w:sz w:val="2"/>
                <w:szCs w:val="2"/>
              </w:rPr>
            </w:pPr>
          </w:p>
        </w:tc>
        <w:tc>
          <w:tcPr>
            <w:tcW w:w="4238" w:type="dxa"/>
            <w:vMerge w:val="restart"/>
          </w:tcPr>
          <w:p>
            <w:pPr>
              <w:pStyle w:val="14"/>
              <w:spacing w:before="4"/>
              <w:jc w:val="left"/>
              <w:rPr>
                <w:b/>
                <w:sz w:val="17"/>
              </w:rPr>
            </w:pPr>
          </w:p>
          <w:p>
            <w:pPr>
              <w:pStyle w:val="14"/>
              <w:spacing w:before="1" w:line="242" w:lineRule="auto"/>
              <w:ind w:left="1383" w:right="142" w:hanging="1229"/>
              <w:jc w:val="left"/>
              <w:rPr>
                <w:sz w:val="21"/>
              </w:rPr>
            </w:pPr>
            <w:r>
              <w:rPr>
                <w:w w:val="95"/>
                <w:sz w:val="21"/>
              </w:rPr>
              <w:t>《地表水环境质量标准》（</w:t>
            </w:r>
            <w:r>
              <w:rPr>
                <w:rFonts w:ascii="Times New Roman" w:hAnsi="Times New Roman" w:eastAsia="Times New Roman"/>
                <w:w w:val="95"/>
                <w:sz w:val="21"/>
              </w:rPr>
              <w:t>GB3838-2002</w:t>
            </w:r>
            <w:r>
              <w:rPr>
                <w:w w:val="95"/>
                <w:sz w:val="21"/>
              </w:rPr>
              <w:t xml:space="preserve">） </w:t>
            </w:r>
            <w:r>
              <w:rPr>
                <w:sz w:val="21"/>
              </w:rPr>
              <w:t>中Ⅲ类标准限值</w:t>
            </w:r>
          </w:p>
        </w:tc>
        <w:tc>
          <w:tcPr>
            <w:tcW w:w="1209" w:type="dxa"/>
          </w:tcPr>
          <w:p>
            <w:pPr>
              <w:pStyle w:val="14"/>
              <w:spacing w:before="2"/>
              <w:ind w:left="126" w:right="120"/>
              <w:rPr>
                <w:sz w:val="21"/>
              </w:rPr>
            </w:pPr>
            <w:r>
              <w:rPr>
                <w:sz w:val="21"/>
              </w:rPr>
              <w:t>化学需氧</w:t>
            </w:r>
          </w:p>
          <w:p>
            <w:pPr>
              <w:pStyle w:val="14"/>
              <w:spacing w:before="55"/>
              <w:ind w:left="6"/>
              <w:rPr>
                <w:sz w:val="21"/>
              </w:rPr>
            </w:pPr>
            <w:r>
              <w:rPr>
                <w:w w:val="99"/>
                <w:sz w:val="21"/>
              </w:rPr>
              <w:t>量</w:t>
            </w:r>
          </w:p>
        </w:tc>
        <w:tc>
          <w:tcPr>
            <w:tcW w:w="979" w:type="dxa"/>
            <w:vMerge w:val="restart"/>
          </w:tcPr>
          <w:p>
            <w:pPr>
              <w:pStyle w:val="14"/>
              <w:spacing w:before="1"/>
              <w:jc w:val="left"/>
              <w:rPr>
                <w:b/>
                <w:sz w:val="29"/>
              </w:rPr>
            </w:pPr>
          </w:p>
          <w:p>
            <w:pPr>
              <w:pStyle w:val="14"/>
              <w:spacing w:before="1"/>
              <w:ind w:left="261"/>
              <w:jc w:val="left"/>
              <w:rPr>
                <w:rFonts w:ascii="Times New Roman"/>
                <w:sz w:val="21"/>
              </w:rPr>
            </w:pPr>
            <w:r>
              <w:rPr>
                <w:rFonts w:ascii="Times New Roman"/>
                <w:sz w:val="21"/>
              </w:rPr>
              <w:t>mg/L</w:t>
            </w:r>
          </w:p>
        </w:tc>
        <w:tc>
          <w:tcPr>
            <w:tcW w:w="1430" w:type="dxa"/>
          </w:tcPr>
          <w:p>
            <w:pPr>
              <w:pStyle w:val="14"/>
              <w:jc w:val="left"/>
              <w:rPr>
                <w:b/>
                <w:sz w:val="16"/>
              </w:rPr>
            </w:pPr>
          </w:p>
          <w:p>
            <w:pPr>
              <w:pStyle w:val="14"/>
              <w:ind w:left="311" w:right="303"/>
              <w:rPr>
                <w:rFonts w:ascii="Times New Roman"/>
                <w:sz w:val="21"/>
              </w:rPr>
            </w:pPr>
            <w:r>
              <w:rPr>
                <w:rFonts w:ascii="Times New Roman"/>
                <w:sz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ind w:left="183" w:right="175"/>
              <w:rPr>
                <w:sz w:val="21"/>
              </w:rPr>
            </w:pPr>
            <w:r>
              <w:rPr>
                <w:sz w:val="21"/>
              </w:rPr>
              <w:t>石油类</w:t>
            </w:r>
          </w:p>
        </w:tc>
        <w:tc>
          <w:tcPr>
            <w:tcW w:w="979" w:type="dxa"/>
            <w:vMerge w:val="continue"/>
            <w:tcBorders>
              <w:top w:val="nil"/>
            </w:tcBorders>
          </w:tcPr>
          <w:p>
            <w:pPr>
              <w:rPr>
                <w:sz w:val="2"/>
                <w:szCs w:val="2"/>
              </w:rPr>
            </w:pPr>
          </w:p>
        </w:tc>
        <w:tc>
          <w:tcPr>
            <w:tcW w:w="1430" w:type="dxa"/>
          </w:tcPr>
          <w:p>
            <w:pPr>
              <w:pStyle w:val="14"/>
              <w:spacing w:before="40"/>
              <w:ind w:left="311" w:right="303"/>
              <w:rPr>
                <w:rFonts w:ascii="Times New Roman"/>
                <w:sz w:val="21"/>
              </w:rPr>
            </w:pPr>
            <w:r>
              <w:rPr>
                <w:rFonts w:ascii="Times New Roman"/>
                <w:sz w:val="21"/>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66" w:type="dxa"/>
            <w:vMerge w:val="continue"/>
            <w:tcBorders>
              <w:top w:val="nil"/>
            </w:tcBorders>
          </w:tcPr>
          <w:p>
            <w:pPr>
              <w:rPr>
                <w:sz w:val="2"/>
                <w:szCs w:val="2"/>
              </w:rPr>
            </w:pPr>
          </w:p>
        </w:tc>
        <w:tc>
          <w:tcPr>
            <w:tcW w:w="4238"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4"/>
              <w:jc w:val="left"/>
              <w:rPr>
                <w:b/>
                <w:sz w:val="26"/>
              </w:rPr>
            </w:pPr>
          </w:p>
          <w:p>
            <w:pPr>
              <w:pStyle w:val="14"/>
              <w:ind w:left="102" w:right="95"/>
              <w:rPr>
                <w:sz w:val="21"/>
              </w:rPr>
            </w:pPr>
            <w:r>
              <w:rPr>
                <w:sz w:val="21"/>
              </w:rPr>
              <w:t>《城市污水再生利用 城市杂用水水质》</w:t>
            </w:r>
          </w:p>
          <w:p>
            <w:pPr>
              <w:pStyle w:val="14"/>
              <w:spacing w:before="2"/>
              <w:ind w:left="102" w:right="92"/>
              <w:rPr>
                <w:sz w:val="21"/>
              </w:rPr>
            </w:pPr>
            <w:r>
              <w:rPr>
                <w:sz w:val="21"/>
              </w:rPr>
              <w:t>（</w:t>
            </w:r>
            <w:r>
              <w:rPr>
                <w:rFonts w:ascii="Times New Roman" w:eastAsia="Times New Roman"/>
                <w:sz w:val="21"/>
              </w:rPr>
              <w:t>GB/T18920-2002</w:t>
            </w:r>
            <w:r>
              <w:rPr>
                <w:sz w:val="21"/>
              </w:rPr>
              <w:t>）城市绿化</w:t>
            </w:r>
          </w:p>
        </w:tc>
        <w:tc>
          <w:tcPr>
            <w:tcW w:w="1209" w:type="dxa"/>
          </w:tcPr>
          <w:p>
            <w:pPr>
              <w:pStyle w:val="14"/>
              <w:spacing w:before="18"/>
              <w:ind w:left="183" w:right="173"/>
              <w:rPr>
                <w:rFonts w:ascii="Times New Roman"/>
                <w:sz w:val="21"/>
              </w:rPr>
            </w:pPr>
            <w:r>
              <w:rPr>
                <w:rFonts w:ascii="Times New Roman"/>
                <w:sz w:val="21"/>
              </w:rPr>
              <w:t>pH</w:t>
            </w:r>
          </w:p>
        </w:tc>
        <w:tc>
          <w:tcPr>
            <w:tcW w:w="979" w:type="dxa"/>
          </w:tcPr>
          <w:p>
            <w:pPr>
              <w:pStyle w:val="14"/>
              <w:spacing w:line="268" w:lineRule="exact"/>
              <w:ind w:left="154" w:right="145"/>
              <w:rPr>
                <w:sz w:val="21"/>
              </w:rPr>
            </w:pPr>
            <w:r>
              <w:rPr>
                <w:sz w:val="21"/>
              </w:rPr>
              <w:t>无量纲</w:t>
            </w:r>
          </w:p>
        </w:tc>
        <w:tc>
          <w:tcPr>
            <w:tcW w:w="1430" w:type="dxa"/>
          </w:tcPr>
          <w:p>
            <w:pPr>
              <w:pStyle w:val="14"/>
              <w:spacing w:line="268" w:lineRule="exact"/>
              <w:ind w:left="311" w:right="303"/>
              <w:rPr>
                <w:rFonts w:ascii="Times New Roman" w:eastAsia="Times New Roman"/>
                <w:sz w:val="21"/>
              </w:rPr>
            </w:pPr>
            <w:r>
              <w:rPr>
                <w:rFonts w:ascii="Times New Roman" w:eastAsia="Times New Roman"/>
                <w:sz w:val="21"/>
              </w:rPr>
              <w:t>6</w:t>
            </w:r>
            <w:r>
              <w:rPr>
                <w:sz w:val="21"/>
              </w:rPr>
              <w:t>～</w:t>
            </w:r>
            <w:r>
              <w:rPr>
                <w:rFonts w:ascii="Times New Roman" w:eastAsia="Times New Roman"/>
                <w:sz w:val="21"/>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before="1"/>
              <w:ind w:left="178" w:right="175"/>
              <w:rPr>
                <w:sz w:val="21"/>
              </w:rPr>
            </w:pPr>
            <w:r>
              <w:rPr>
                <w:sz w:val="21"/>
              </w:rPr>
              <w:t>色度</w:t>
            </w:r>
          </w:p>
        </w:tc>
        <w:tc>
          <w:tcPr>
            <w:tcW w:w="979" w:type="dxa"/>
          </w:tcPr>
          <w:p>
            <w:pPr>
              <w:pStyle w:val="14"/>
              <w:spacing w:before="1"/>
              <w:ind w:left="7"/>
              <w:rPr>
                <w:sz w:val="21"/>
              </w:rPr>
            </w:pPr>
            <w:r>
              <w:rPr>
                <w:w w:val="99"/>
                <w:sz w:val="21"/>
              </w:rPr>
              <w:t>度</w:t>
            </w:r>
          </w:p>
        </w:tc>
        <w:tc>
          <w:tcPr>
            <w:tcW w:w="1430" w:type="dxa"/>
          </w:tcPr>
          <w:p>
            <w:pPr>
              <w:pStyle w:val="14"/>
              <w:spacing w:before="17"/>
              <w:ind w:left="311" w:right="303"/>
              <w:rPr>
                <w:rFonts w:ascii="Times New Roman"/>
                <w:sz w:val="21"/>
              </w:rPr>
            </w:pPr>
            <w:r>
              <w:rPr>
                <w:rFonts w:ascii="Times New Roman"/>
                <w:sz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before="1"/>
              <w:ind w:left="178" w:right="175"/>
              <w:rPr>
                <w:sz w:val="21"/>
              </w:rPr>
            </w:pPr>
            <w:r>
              <w:rPr>
                <w:sz w:val="21"/>
              </w:rPr>
              <w:t>浊度</w:t>
            </w:r>
          </w:p>
        </w:tc>
        <w:tc>
          <w:tcPr>
            <w:tcW w:w="979" w:type="dxa"/>
          </w:tcPr>
          <w:p>
            <w:pPr>
              <w:pStyle w:val="14"/>
              <w:spacing w:before="17"/>
              <w:ind w:left="151" w:right="145"/>
              <w:rPr>
                <w:rFonts w:ascii="Times New Roman"/>
                <w:sz w:val="21"/>
              </w:rPr>
            </w:pPr>
            <w:r>
              <w:rPr>
                <w:rFonts w:ascii="Times New Roman"/>
                <w:sz w:val="21"/>
              </w:rPr>
              <w:t>NTU</w:t>
            </w:r>
          </w:p>
        </w:tc>
        <w:tc>
          <w:tcPr>
            <w:tcW w:w="1430" w:type="dxa"/>
          </w:tcPr>
          <w:p>
            <w:pPr>
              <w:pStyle w:val="14"/>
              <w:spacing w:before="17"/>
              <w:ind w:left="311" w:right="303"/>
              <w:rPr>
                <w:rFonts w:ascii="Times New Roman"/>
                <w:sz w:val="21"/>
              </w:rPr>
            </w:pPr>
            <w:r>
              <w:rPr>
                <w:rFonts w:ascii="Times New Roman"/>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before="2"/>
              <w:ind w:left="126" w:right="120"/>
              <w:rPr>
                <w:sz w:val="21"/>
              </w:rPr>
            </w:pPr>
            <w:r>
              <w:rPr>
                <w:sz w:val="21"/>
              </w:rPr>
              <w:t>溶解性总</w:t>
            </w:r>
          </w:p>
          <w:p>
            <w:pPr>
              <w:pStyle w:val="14"/>
              <w:spacing w:before="55"/>
              <w:ind w:left="178" w:right="175"/>
              <w:rPr>
                <w:sz w:val="21"/>
              </w:rPr>
            </w:pPr>
            <w:r>
              <w:rPr>
                <w:sz w:val="21"/>
              </w:rPr>
              <w:t>固体</w:t>
            </w:r>
          </w:p>
        </w:tc>
        <w:tc>
          <w:tcPr>
            <w:tcW w:w="979" w:type="dxa"/>
            <w:vMerge w:val="restart"/>
          </w:tcPr>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spacing w:before="11"/>
              <w:jc w:val="left"/>
              <w:rPr>
                <w:b/>
                <w:sz w:val="20"/>
              </w:rPr>
            </w:pPr>
          </w:p>
          <w:p>
            <w:pPr>
              <w:pStyle w:val="14"/>
              <w:ind w:left="261"/>
              <w:jc w:val="left"/>
              <w:rPr>
                <w:rFonts w:ascii="Times New Roman"/>
                <w:sz w:val="21"/>
              </w:rPr>
            </w:pPr>
            <w:r>
              <w:rPr>
                <w:rFonts w:ascii="Times New Roman"/>
                <w:sz w:val="21"/>
              </w:rPr>
              <w:t>mg/L</w:t>
            </w:r>
          </w:p>
        </w:tc>
        <w:tc>
          <w:tcPr>
            <w:tcW w:w="1430" w:type="dxa"/>
          </w:tcPr>
          <w:p>
            <w:pPr>
              <w:pStyle w:val="14"/>
              <w:spacing w:before="181"/>
              <w:ind w:left="311" w:right="303"/>
              <w:rPr>
                <w:rFonts w:ascii="Times New Roman"/>
                <w:sz w:val="21"/>
              </w:rPr>
            </w:pPr>
            <w:r>
              <w:rPr>
                <w:rFonts w:ascii="Times New Roman"/>
                <w:sz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ind w:left="126" w:right="120"/>
              <w:rPr>
                <w:sz w:val="21"/>
              </w:rPr>
            </w:pPr>
            <w:r>
              <w:rPr>
                <w:sz w:val="21"/>
              </w:rPr>
              <w:t>五日生化</w:t>
            </w:r>
          </w:p>
          <w:p>
            <w:pPr>
              <w:pStyle w:val="14"/>
              <w:spacing w:before="58"/>
              <w:ind w:left="183" w:right="175"/>
              <w:rPr>
                <w:sz w:val="21"/>
              </w:rPr>
            </w:pPr>
            <w:r>
              <w:rPr>
                <w:sz w:val="21"/>
              </w:rPr>
              <w:t>需氧量</w:t>
            </w:r>
          </w:p>
        </w:tc>
        <w:tc>
          <w:tcPr>
            <w:tcW w:w="979" w:type="dxa"/>
            <w:vMerge w:val="continue"/>
            <w:tcBorders>
              <w:top w:val="nil"/>
            </w:tcBorders>
          </w:tcPr>
          <w:p>
            <w:pPr>
              <w:rPr>
                <w:sz w:val="2"/>
                <w:szCs w:val="2"/>
              </w:rPr>
            </w:pPr>
          </w:p>
        </w:tc>
        <w:tc>
          <w:tcPr>
            <w:tcW w:w="1430" w:type="dxa"/>
          </w:tcPr>
          <w:p>
            <w:pPr>
              <w:pStyle w:val="14"/>
              <w:spacing w:before="180"/>
              <w:ind w:left="311" w:right="303"/>
              <w:rPr>
                <w:rFonts w:ascii="Times New Roman"/>
                <w:sz w:val="21"/>
              </w:rPr>
            </w:pPr>
            <w:r>
              <w:rPr>
                <w:rFonts w:ascii="Times New Roman"/>
                <w:sz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ind w:left="178" w:right="175"/>
              <w:rPr>
                <w:sz w:val="21"/>
              </w:rPr>
            </w:pPr>
            <w:r>
              <w:rPr>
                <w:sz w:val="21"/>
              </w:rPr>
              <w:t>氨氮</w:t>
            </w:r>
          </w:p>
        </w:tc>
        <w:tc>
          <w:tcPr>
            <w:tcW w:w="979" w:type="dxa"/>
            <w:vMerge w:val="continue"/>
            <w:tcBorders>
              <w:top w:val="nil"/>
            </w:tcBorders>
          </w:tcPr>
          <w:p>
            <w:pPr>
              <w:rPr>
                <w:sz w:val="2"/>
                <w:szCs w:val="2"/>
              </w:rPr>
            </w:pPr>
          </w:p>
        </w:tc>
        <w:tc>
          <w:tcPr>
            <w:tcW w:w="1430" w:type="dxa"/>
          </w:tcPr>
          <w:p>
            <w:pPr>
              <w:pStyle w:val="14"/>
              <w:spacing w:before="18"/>
              <w:ind w:left="311" w:right="303"/>
              <w:rPr>
                <w:rFonts w:ascii="Times New Roman"/>
                <w:sz w:val="21"/>
              </w:rPr>
            </w:pPr>
            <w:r>
              <w:rPr>
                <w:rFonts w:ascii="Times New Roman"/>
                <w:sz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before="1"/>
              <w:ind w:left="183"/>
              <w:jc w:val="left"/>
              <w:rPr>
                <w:sz w:val="21"/>
              </w:rPr>
            </w:pPr>
            <w:r>
              <w:rPr>
                <w:w w:val="95"/>
                <w:sz w:val="21"/>
              </w:rPr>
              <w:t>阴离子表</w:t>
            </w:r>
          </w:p>
          <w:p>
            <w:pPr>
              <w:pStyle w:val="14"/>
              <w:spacing w:before="57"/>
              <w:ind w:left="183"/>
              <w:jc w:val="left"/>
              <w:rPr>
                <w:sz w:val="21"/>
              </w:rPr>
            </w:pPr>
            <w:r>
              <w:rPr>
                <w:w w:val="95"/>
                <w:sz w:val="21"/>
              </w:rPr>
              <w:t>面活性剂</w:t>
            </w:r>
          </w:p>
        </w:tc>
        <w:tc>
          <w:tcPr>
            <w:tcW w:w="979" w:type="dxa"/>
            <w:vMerge w:val="continue"/>
            <w:tcBorders>
              <w:top w:val="nil"/>
            </w:tcBorders>
          </w:tcPr>
          <w:p>
            <w:pPr>
              <w:rPr>
                <w:sz w:val="2"/>
                <w:szCs w:val="2"/>
              </w:rPr>
            </w:pPr>
          </w:p>
        </w:tc>
        <w:tc>
          <w:tcPr>
            <w:tcW w:w="1430" w:type="dxa"/>
          </w:tcPr>
          <w:p>
            <w:pPr>
              <w:pStyle w:val="14"/>
              <w:spacing w:before="181"/>
              <w:ind w:left="311" w:right="303"/>
              <w:rPr>
                <w:rFonts w:ascii="Times New Roman"/>
                <w:sz w:val="21"/>
              </w:rPr>
            </w:pPr>
            <w:r>
              <w:rPr>
                <w:rFonts w:ascii="Times New Roman"/>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line="269" w:lineRule="exact"/>
              <w:ind w:left="183" w:right="175"/>
              <w:rPr>
                <w:sz w:val="21"/>
              </w:rPr>
            </w:pPr>
            <w:r>
              <w:rPr>
                <w:sz w:val="21"/>
              </w:rPr>
              <w:t>溶解氧</w:t>
            </w:r>
          </w:p>
        </w:tc>
        <w:tc>
          <w:tcPr>
            <w:tcW w:w="979" w:type="dxa"/>
            <w:vMerge w:val="continue"/>
            <w:tcBorders>
              <w:top w:val="nil"/>
            </w:tcBorders>
          </w:tcPr>
          <w:p>
            <w:pPr>
              <w:rPr>
                <w:sz w:val="2"/>
                <w:szCs w:val="2"/>
              </w:rPr>
            </w:pPr>
          </w:p>
        </w:tc>
        <w:tc>
          <w:tcPr>
            <w:tcW w:w="1430" w:type="dxa"/>
          </w:tcPr>
          <w:p>
            <w:pPr>
              <w:pStyle w:val="14"/>
              <w:spacing w:before="16"/>
              <w:ind w:left="311" w:right="303"/>
              <w:rPr>
                <w:rFonts w:ascii="Times New Roman"/>
                <w:sz w:val="21"/>
              </w:rPr>
            </w:pPr>
            <w:r>
              <w:rPr>
                <w:rFonts w:ascii="Times New Roman"/>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0"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before="4"/>
              <w:jc w:val="left"/>
              <w:rPr>
                <w:b/>
                <w:sz w:val="25"/>
              </w:rPr>
            </w:pPr>
          </w:p>
          <w:p>
            <w:pPr>
              <w:pStyle w:val="14"/>
              <w:spacing w:before="1"/>
              <w:ind w:left="183" w:right="175"/>
              <w:rPr>
                <w:sz w:val="21"/>
              </w:rPr>
            </w:pPr>
            <w:r>
              <w:rPr>
                <w:sz w:val="21"/>
              </w:rPr>
              <w:t>总余氯</w:t>
            </w:r>
          </w:p>
        </w:tc>
        <w:tc>
          <w:tcPr>
            <w:tcW w:w="979" w:type="dxa"/>
            <w:vMerge w:val="continue"/>
            <w:tcBorders>
              <w:top w:val="nil"/>
            </w:tcBorders>
          </w:tcPr>
          <w:p>
            <w:pPr>
              <w:rPr>
                <w:sz w:val="2"/>
                <w:szCs w:val="2"/>
              </w:rPr>
            </w:pPr>
          </w:p>
        </w:tc>
        <w:tc>
          <w:tcPr>
            <w:tcW w:w="1430" w:type="dxa"/>
          </w:tcPr>
          <w:p>
            <w:pPr>
              <w:pStyle w:val="14"/>
              <w:spacing w:before="1"/>
              <w:ind w:left="210"/>
              <w:jc w:val="left"/>
              <w:rPr>
                <w:rFonts w:ascii="Times New Roman" w:eastAsia="Times New Roman"/>
                <w:sz w:val="21"/>
              </w:rPr>
            </w:pPr>
            <w:r>
              <w:rPr>
                <w:sz w:val="21"/>
              </w:rPr>
              <w:t xml:space="preserve">接触 </w:t>
            </w:r>
            <w:r>
              <w:rPr>
                <w:rFonts w:ascii="Times New Roman" w:eastAsia="Times New Roman"/>
                <w:sz w:val="21"/>
              </w:rPr>
              <w:t>30min</w:t>
            </w:r>
          </w:p>
          <w:p>
            <w:pPr>
              <w:pStyle w:val="14"/>
              <w:spacing w:before="2" w:line="328" w:lineRule="exact"/>
              <w:ind w:left="316" w:right="56" w:hanging="209"/>
              <w:jc w:val="left"/>
              <w:rPr>
                <w:rFonts w:ascii="Times New Roman" w:hAnsi="Times New Roman" w:eastAsia="Times New Roman"/>
                <w:sz w:val="21"/>
              </w:rPr>
            </w:pPr>
            <w:r>
              <w:rPr>
                <w:sz w:val="21"/>
              </w:rPr>
              <w:t>后</w:t>
            </w:r>
            <w:r>
              <w:rPr>
                <w:rFonts w:ascii="Times New Roman" w:hAnsi="Times New Roman" w:eastAsia="Times New Roman"/>
                <w:sz w:val="21"/>
              </w:rPr>
              <w:t>≥1.0</w:t>
            </w:r>
            <w:r>
              <w:rPr>
                <w:sz w:val="21"/>
              </w:rPr>
              <w:t>，管网末端</w:t>
            </w:r>
            <w:r>
              <w:rPr>
                <w:rFonts w:ascii="Times New Roman" w:hAnsi="Times New Roman" w:eastAsia="Times New Roman"/>
                <w:sz w:val="21"/>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ind w:left="126" w:right="120"/>
              <w:rPr>
                <w:sz w:val="21"/>
              </w:rPr>
            </w:pPr>
            <w:r>
              <w:rPr>
                <w:sz w:val="21"/>
              </w:rPr>
              <w:t>总大肠菌</w:t>
            </w:r>
          </w:p>
          <w:p>
            <w:pPr>
              <w:pStyle w:val="14"/>
              <w:spacing w:before="57"/>
              <w:ind w:left="6"/>
              <w:rPr>
                <w:sz w:val="21"/>
              </w:rPr>
            </w:pPr>
            <w:r>
              <w:rPr>
                <w:w w:val="99"/>
                <w:sz w:val="21"/>
              </w:rPr>
              <w:t>群</w:t>
            </w:r>
          </w:p>
        </w:tc>
        <w:tc>
          <w:tcPr>
            <w:tcW w:w="979" w:type="dxa"/>
          </w:tcPr>
          <w:p>
            <w:pPr>
              <w:pStyle w:val="14"/>
              <w:spacing w:before="163"/>
              <w:ind w:left="152" w:right="145"/>
              <w:rPr>
                <w:rFonts w:ascii="Times New Roman" w:eastAsia="Times New Roman"/>
                <w:sz w:val="21"/>
              </w:rPr>
            </w:pPr>
            <w:r>
              <w:rPr>
                <w:sz w:val="21"/>
              </w:rPr>
              <w:t>个</w:t>
            </w:r>
            <w:r>
              <w:rPr>
                <w:rFonts w:ascii="Times New Roman" w:eastAsia="Times New Roman"/>
                <w:sz w:val="21"/>
              </w:rPr>
              <w:t>/L</w:t>
            </w:r>
          </w:p>
        </w:tc>
        <w:tc>
          <w:tcPr>
            <w:tcW w:w="1430" w:type="dxa"/>
          </w:tcPr>
          <w:p>
            <w:pPr>
              <w:pStyle w:val="14"/>
              <w:spacing w:before="182"/>
              <w:ind w:left="8"/>
              <w:rPr>
                <w:rFonts w:ascii="Times New Roman"/>
                <w:sz w:val="21"/>
              </w:rPr>
            </w:pPr>
            <w:r>
              <w:rPr>
                <w:rFonts w:ascii="Times New Roman"/>
                <w:w w:val="99"/>
                <w:sz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66" w:type="dxa"/>
            <w:vMerge w:val="continue"/>
            <w:tcBorders>
              <w:top w:val="nil"/>
            </w:tcBorders>
          </w:tcPr>
          <w:p>
            <w:pPr>
              <w:rPr>
                <w:sz w:val="2"/>
                <w:szCs w:val="2"/>
              </w:rPr>
            </w:pPr>
          </w:p>
        </w:tc>
        <w:tc>
          <w:tcPr>
            <w:tcW w:w="4238"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5"/>
              <w:jc w:val="left"/>
              <w:rPr>
                <w:b/>
                <w:sz w:val="20"/>
              </w:rPr>
            </w:pPr>
          </w:p>
          <w:p>
            <w:pPr>
              <w:pStyle w:val="14"/>
              <w:ind w:left="102" w:right="95"/>
              <w:rPr>
                <w:sz w:val="21"/>
              </w:rPr>
            </w:pPr>
            <w:r>
              <w:rPr>
                <w:sz w:val="21"/>
              </w:rPr>
              <w:t>《城市污水再生利用 城市杂用水水质》</w:t>
            </w:r>
          </w:p>
          <w:p>
            <w:pPr>
              <w:pStyle w:val="14"/>
              <w:spacing w:before="2"/>
              <w:ind w:left="102" w:right="92"/>
              <w:rPr>
                <w:sz w:val="21"/>
              </w:rPr>
            </w:pPr>
            <w:r>
              <w:rPr>
                <w:sz w:val="21"/>
              </w:rPr>
              <w:t>（</w:t>
            </w:r>
            <w:r>
              <w:rPr>
                <w:rFonts w:ascii="Times New Roman" w:eastAsia="Times New Roman"/>
                <w:sz w:val="21"/>
              </w:rPr>
              <w:t>GB/T18920-2002</w:t>
            </w:r>
            <w:r>
              <w:rPr>
                <w:sz w:val="21"/>
              </w:rPr>
              <w:t>）道路清扫</w:t>
            </w:r>
          </w:p>
        </w:tc>
        <w:tc>
          <w:tcPr>
            <w:tcW w:w="1209" w:type="dxa"/>
          </w:tcPr>
          <w:p>
            <w:pPr>
              <w:pStyle w:val="14"/>
              <w:spacing w:before="17"/>
              <w:ind w:left="183" w:right="173"/>
              <w:rPr>
                <w:rFonts w:ascii="Times New Roman"/>
                <w:sz w:val="21"/>
              </w:rPr>
            </w:pPr>
            <w:r>
              <w:rPr>
                <w:rFonts w:ascii="Times New Roman"/>
                <w:sz w:val="21"/>
              </w:rPr>
              <w:t>pH</w:t>
            </w:r>
          </w:p>
        </w:tc>
        <w:tc>
          <w:tcPr>
            <w:tcW w:w="979" w:type="dxa"/>
          </w:tcPr>
          <w:p>
            <w:pPr>
              <w:pStyle w:val="14"/>
              <w:ind w:left="154" w:right="145"/>
              <w:rPr>
                <w:sz w:val="21"/>
              </w:rPr>
            </w:pPr>
            <w:r>
              <w:rPr>
                <w:sz w:val="21"/>
              </w:rPr>
              <w:t>无量纲</w:t>
            </w:r>
          </w:p>
        </w:tc>
        <w:tc>
          <w:tcPr>
            <w:tcW w:w="1430" w:type="dxa"/>
          </w:tcPr>
          <w:p>
            <w:pPr>
              <w:pStyle w:val="14"/>
              <w:ind w:left="311" w:right="303"/>
              <w:rPr>
                <w:rFonts w:ascii="Times New Roman" w:eastAsia="Times New Roman"/>
                <w:sz w:val="21"/>
              </w:rPr>
            </w:pPr>
            <w:r>
              <w:rPr>
                <w:rFonts w:ascii="Times New Roman" w:eastAsia="Times New Roman"/>
                <w:sz w:val="21"/>
              </w:rPr>
              <w:t>6</w:t>
            </w:r>
            <w:r>
              <w:rPr>
                <w:sz w:val="21"/>
              </w:rPr>
              <w:t>～</w:t>
            </w:r>
            <w:r>
              <w:rPr>
                <w:rFonts w:ascii="Times New Roman" w:eastAsia="Times New Roman"/>
                <w:sz w:val="21"/>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ind w:left="178" w:right="175"/>
              <w:rPr>
                <w:sz w:val="21"/>
              </w:rPr>
            </w:pPr>
            <w:r>
              <w:rPr>
                <w:sz w:val="21"/>
              </w:rPr>
              <w:t>色度</w:t>
            </w:r>
          </w:p>
        </w:tc>
        <w:tc>
          <w:tcPr>
            <w:tcW w:w="979" w:type="dxa"/>
          </w:tcPr>
          <w:p>
            <w:pPr>
              <w:pStyle w:val="14"/>
              <w:ind w:left="7"/>
              <w:rPr>
                <w:sz w:val="21"/>
              </w:rPr>
            </w:pPr>
            <w:r>
              <w:rPr>
                <w:w w:val="99"/>
                <w:sz w:val="21"/>
              </w:rPr>
              <w:t>度</w:t>
            </w:r>
          </w:p>
        </w:tc>
        <w:tc>
          <w:tcPr>
            <w:tcW w:w="1430" w:type="dxa"/>
          </w:tcPr>
          <w:p>
            <w:pPr>
              <w:pStyle w:val="14"/>
              <w:spacing w:before="16"/>
              <w:ind w:left="311" w:right="303"/>
              <w:rPr>
                <w:rFonts w:ascii="Times New Roman"/>
                <w:sz w:val="21"/>
              </w:rPr>
            </w:pPr>
            <w:r>
              <w:rPr>
                <w:rFonts w:ascii="Times New Roman"/>
                <w:sz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before="2"/>
              <w:ind w:left="178" w:right="175"/>
              <w:rPr>
                <w:sz w:val="21"/>
              </w:rPr>
            </w:pPr>
            <w:r>
              <w:rPr>
                <w:sz w:val="21"/>
              </w:rPr>
              <w:t>浊度</w:t>
            </w:r>
          </w:p>
        </w:tc>
        <w:tc>
          <w:tcPr>
            <w:tcW w:w="979" w:type="dxa"/>
          </w:tcPr>
          <w:p>
            <w:pPr>
              <w:pStyle w:val="14"/>
              <w:spacing w:before="18"/>
              <w:ind w:left="151" w:right="145"/>
              <w:rPr>
                <w:rFonts w:ascii="Times New Roman"/>
                <w:sz w:val="21"/>
              </w:rPr>
            </w:pPr>
            <w:r>
              <w:rPr>
                <w:rFonts w:ascii="Times New Roman"/>
                <w:sz w:val="21"/>
              </w:rPr>
              <w:t>NTU</w:t>
            </w:r>
          </w:p>
        </w:tc>
        <w:tc>
          <w:tcPr>
            <w:tcW w:w="1430" w:type="dxa"/>
          </w:tcPr>
          <w:p>
            <w:pPr>
              <w:pStyle w:val="14"/>
              <w:spacing w:before="18"/>
              <w:ind w:left="311" w:right="303"/>
              <w:rPr>
                <w:rFonts w:ascii="Times New Roman"/>
                <w:sz w:val="21"/>
              </w:rPr>
            </w:pPr>
            <w:r>
              <w:rPr>
                <w:rFonts w:ascii="Times New Roman"/>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before="1"/>
              <w:ind w:left="126" w:right="120"/>
              <w:rPr>
                <w:sz w:val="21"/>
              </w:rPr>
            </w:pPr>
            <w:r>
              <w:rPr>
                <w:sz w:val="21"/>
              </w:rPr>
              <w:t>溶解性总</w:t>
            </w:r>
          </w:p>
          <w:p>
            <w:pPr>
              <w:pStyle w:val="14"/>
              <w:spacing w:before="57"/>
              <w:ind w:left="178" w:right="175"/>
              <w:rPr>
                <w:sz w:val="21"/>
              </w:rPr>
            </w:pPr>
            <w:r>
              <w:rPr>
                <w:sz w:val="21"/>
              </w:rPr>
              <w:t>固体</w:t>
            </w:r>
          </w:p>
        </w:tc>
        <w:tc>
          <w:tcPr>
            <w:tcW w:w="979" w:type="dxa"/>
            <w:vMerge w:val="restart"/>
          </w:tcPr>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spacing w:before="10"/>
              <w:jc w:val="left"/>
              <w:rPr>
                <w:b/>
                <w:sz w:val="20"/>
              </w:rPr>
            </w:pPr>
          </w:p>
          <w:p>
            <w:pPr>
              <w:pStyle w:val="14"/>
              <w:ind w:left="261"/>
              <w:jc w:val="left"/>
              <w:rPr>
                <w:rFonts w:ascii="Times New Roman"/>
                <w:sz w:val="21"/>
              </w:rPr>
            </w:pPr>
            <w:r>
              <w:rPr>
                <w:rFonts w:ascii="Times New Roman"/>
                <w:sz w:val="21"/>
              </w:rPr>
              <w:t>mg/L</w:t>
            </w:r>
          </w:p>
        </w:tc>
        <w:tc>
          <w:tcPr>
            <w:tcW w:w="1430" w:type="dxa"/>
          </w:tcPr>
          <w:p>
            <w:pPr>
              <w:pStyle w:val="14"/>
              <w:spacing w:before="180"/>
              <w:ind w:left="311" w:right="303"/>
              <w:rPr>
                <w:rFonts w:ascii="Times New Roman"/>
                <w:sz w:val="21"/>
              </w:rPr>
            </w:pPr>
            <w:r>
              <w:rPr>
                <w:rFonts w:ascii="Times New Roman"/>
                <w:sz w:val="21"/>
              </w:rPr>
              <w:t>1500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line="269" w:lineRule="exact"/>
              <w:ind w:left="126" w:right="120"/>
              <w:rPr>
                <w:sz w:val="21"/>
              </w:rPr>
            </w:pPr>
            <w:r>
              <w:rPr>
                <w:sz w:val="21"/>
              </w:rPr>
              <w:t>五日生化</w:t>
            </w:r>
          </w:p>
          <w:p>
            <w:pPr>
              <w:pStyle w:val="14"/>
              <w:spacing w:before="57"/>
              <w:ind w:left="183" w:right="175"/>
              <w:rPr>
                <w:sz w:val="21"/>
              </w:rPr>
            </w:pPr>
            <w:r>
              <w:rPr>
                <w:sz w:val="21"/>
              </w:rPr>
              <w:t>需氧量</w:t>
            </w:r>
          </w:p>
        </w:tc>
        <w:tc>
          <w:tcPr>
            <w:tcW w:w="979" w:type="dxa"/>
            <w:vMerge w:val="continue"/>
            <w:tcBorders>
              <w:top w:val="nil"/>
            </w:tcBorders>
          </w:tcPr>
          <w:p>
            <w:pPr>
              <w:rPr>
                <w:sz w:val="2"/>
                <w:szCs w:val="2"/>
              </w:rPr>
            </w:pPr>
          </w:p>
        </w:tc>
        <w:tc>
          <w:tcPr>
            <w:tcW w:w="1430" w:type="dxa"/>
          </w:tcPr>
          <w:p>
            <w:pPr>
              <w:pStyle w:val="14"/>
              <w:spacing w:before="179"/>
              <w:ind w:left="311" w:right="303"/>
              <w:rPr>
                <w:rFonts w:ascii="Times New Roman"/>
                <w:sz w:val="21"/>
              </w:rPr>
            </w:pPr>
            <w:r>
              <w:rPr>
                <w:rFonts w:ascii="Times New Roman"/>
                <w:sz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before="1"/>
              <w:ind w:left="178" w:right="175"/>
              <w:rPr>
                <w:sz w:val="21"/>
              </w:rPr>
            </w:pPr>
            <w:r>
              <w:rPr>
                <w:sz w:val="21"/>
              </w:rPr>
              <w:t>氨氮</w:t>
            </w:r>
          </w:p>
        </w:tc>
        <w:tc>
          <w:tcPr>
            <w:tcW w:w="979" w:type="dxa"/>
            <w:vMerge w:val="continue"/>
            <w:tcBorders>
              <w:top w:val="nil"/>
            </w:tcBorders>
          </w:tcPr>
          <w:p>
            <w:pPr>
              <w:rPr>
                <w:sz w:val="2"/>
                <w:szCs w:val="2"/>
              </w:rPr>
            </w:pPr>
          </w:p>
        </w:tc>
        <w:tc>
          <w:tcPr>
            <w:tcW w:w="1430" w:type="dxa"/>
          </w:tcPr>
          <w:p>
            <w:pPr>
              <w:pStyle w:val="14"/>
              <w:spacing w:before="17"/>
              <w:ind w:left="311" w:right="303"/>
              <w:rPr>
                <w:rFonts w:ascii="Times New Roman"/>
                <w:sz w:val="21"/>
              </w:rPr>
            </w:pPr>
            <w:r>
              <w:rPr>
                <w:rFonts w:ascii="Times New Roman"/>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ind w:left="183"/>
              <w:jc w:val="left"/>
              <w:rPr>
                <w:sz w:val="21"/>
              </w:rPr>
            </w:pPr>
            <w:r>
              <w:rPr>
                <w:w w:val="95"/>
                <w:sz w:val="21"/>
              </w:rPr>
              <w:t>阴离子表</w:t>
            </w:r>
          </w:p>
          <w:p>
            <w:pPr>
              <w:pStyle w:val="14"/>
              <w:spacing w:before="57"/>
              <w:ind w:left="183"/>
              <w:jc w:val="left"/>
              <w:rPr>
                <w:sz w:val="21"/>
              </w:rPr>
            </w:pPr>
            <w:r>
              <w:rPr>
                <w:w w:val="95"/>
                <w:sz w:val="21"/>
              </w:rPr>
              <w:t>面活性剂</w:t>
            </w:r>
          </w:p>
        </w:tc>
        <w:tc>
          <w:tcPr>
            <w:tcW w:w="979" w:type="dxa"/>
            <w:vMerge w:val="continue"/>
            <w:tcBorders>
              <w:top w:val="nil"/>
            </w:tcBorders>
          </w:tcPr>
          <w:p>
            <w:pPr>
              <w:rPr>
                <w:sz w:val="2"/>
                <w:szCs w:val="2"/>
              </w:rPr>
            </w:pPr>
          </w:p>
        </w:tc>
        <w:tc>
          <w:tcPr>
            <w:tcW w:w="1430" w:type="dxa"/>
          </w:tcPr>
          <w:p>
            <w:pPr>
              <w:pStyle w:val="14"/>
              <w:spacing w:before="180"/>
              <w:ind w:left="311" w:right="303"/>
              <w:rPr>
                <w:rFonts w:ascii="Times New Roman"/>
                <w:sz w:val="21"/>
              </w:rPr>
            </w:pPr>
            <w:r>
              <w:rPr>
                <w:rFonts w:ascii="Times New Roman"/>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before="1"/>
              <w:ind w:left="183" w:right="175"/>
              <w:rPr>
                <w:sz w:val="21"/>
              </w:rPr>
            </w:pPr>
            <w:r>
              <w:rPr>
                <w:sz w:val="21"/>
              </w:rPr>
              <w:t>溶解氧</w:t>
            </w:r>
          </w:p>
        </w:tc>
        <w:tc>
          <w:tcPr>
            <w:tcW w:w="979" w:type="dxa"/>
            <w:vMerge w:val="continue"/>
            <w:tcBorders>
              <w:top w:val="nil"/>
            </w:tcBorders>
          </w:tcPr>
          <w:p>
            <w:pPr>
              <w:rPr>
                <w:sz w:val="2"/>
                <w:szCs w:val="2"/>
              </w:rPr>
            </w:pPr>
          </w:p>
        </w:tc>
        <w:tc>
          <w:tcPr>
            <w:tcW w:w="1430" w:type="dxa"/>
          </w:tcPr>
          <w:p>
            <w:pPr>
              <w:pStyle w:val="14"/>
              <w:spacing w:before="17"/>
              <w:ind w:left="311" w:right="303"/>
              <w:rPr>
                <w:rFonts w:ascii="Times New Roman"/>
                <w:sz w:val="21"/>
              </w:rPr>
            </w:pPr>
            <w:r>
              <w:rPr>
                <w:rFonts w:ascii="Times New Roman"/>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8"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1209" w:type="dxa"/>
          </w:tcPr>
          <w:p>
            <w:pPr>
              <w:pStyle w:val="14"/>
              <w:spacing w:before="6"/>
              <w:jc w:val="left"/>
              <w:rPr>
                <w:b/>
                <w:sz w:val="25"/>
              </w:rPr>
            </w:pPr>
          </w:p>
          <w:p>
            <w:pPr>
              <w:pStyle w:val="14"/>
              <w:ind w:left="183" w:right="175"/>
              <w:rPr>
                <w:sz w:val="21"/>
              </w:rPr>
            </w:pPr>
            <w:r>
              <w:rPr>
                <w:sz w:val="21"/>
              </w:rPr>
              <w:t>总余氯</w:t>
            </w:r>
          </w:p>
        </w:tc>
        <w:tc>
          <w:tcPr>
            <w:tcW w:w="979" w:type="dxa"/>
            <w:vMerge w:val="continue"/>
            <w:tcBorders>
              <w:top w:val="nil"/>
            </w:tcBorders>
          </w:tcPr>
          <w:p>
            <w:pPr>
              <w:rPr>
                <w:sz w:val="2"/>
                <w:szCs w:val="2"/>
              </w:rPr>
            </w:pPr>
          </w:p>
        </w:tc>
        <w:tc>
          <w:tcPr>
            <w:tcW w:w="1430" w:type="dxa"/>
          </w:tcPr>
          <w:p>
            <w:pPr>
              <w:pStyle w:val="14"/>
              <w:ind w:left="210"/>
              <w:jc w:val="left"/>
              <w:rPr>
                <w:rFonts w:ascii="Times New Roman" w:eastAsia="Times New Roman"/>
                <w:sz w:val="21"/>
              </w:rPr>
            </w:pPr>
            <w:r>
              <w:rPr>
                <w:sz w:val="21"/>
              </w:rPr>
              <w:t xml:space="preserve">接触 </w:t>
            </w:r>
            <w:r>
              <w:rPr>
                <w:rFonts w:ascii="Times New Roman" w:eastAsia="Times New Roman"/>
                <w:sz w:val="21"/>
              </w:rPr>
              <w:t>30min</w:t>
            </w:r>
          </w:p>
          <w:p>
            <w:pPr>
              <w:pStyle w:val="14"/>
              <w:spacing w:before="6" w:line="320" w:lineRule="atLeast"/>
              <w:ind w:left="316" w:right="56" w:hanging="209"/>
              <w:jc w:val="left"/>
              <w:rPr>
                <w:rFonts w:ascii="Times New Roman" w:hAnsi="Times New Roman" w:eastAsia="Times New Roman"/>
                <w:sz w:val="21"/>
              </w:rPr>
            </w:pPr>
            <w:r>
              <w:rPr>
                <w:sz w:val="21"/>
              </w:rPr>
              <w:t>后</w:t>
            </w:r>
            <w:r>
              <w:rPr>
                <w:rFonts w:ascii="Times New Roman" w:hAnsi="Times New Roman" w:eastAsia="Times New Roman"/>
                <w:sz w:val="21"/>
              </w:rPr>
              <w:t>≥1.0</w:t>
            </w:r>
            <w:r>
              <w:rPr>
                <w:sz w:val="21"/>
              </w:rPr>
              <w:t>，管网末端</w:t>
            </w:r>
            <w:r>
              <w:rPr>
                <w:rFonts w:ascii="Times New Roman" w:hAnsi="Times New Roman" w:eastAsia="Times New Roman"/>
                <w:sz w:val="21"/>
              </w:rPr>
              <w:t>≥0.2</w:t>
            </w:r>
          </w:p>
        </w:tc>
      </w:tr>
    </w:tbl>
    <w:p>
      <w:pPr>
        <w:spacing w:after="0" w:line="320" w:lineRule="atLeast"/>
        <w:jc w:val="left"/>
        <w:rPr>
          <w:rFonts w:ascii="Times New Roman" w:hAnsi="Times New Roman" w:eastAsia="Times New Roman"/>
          <w:sz w:val="21"/>
        </w:rPr>
        <w:sectPr>
          <w:pgSz w:w="11910" w:h="16840"/>
          <w:pgMar w:top="1400" w:right="720" w:bottom="1080" w:left="760" w:header="0" w:footer="895" w:gutter="0"/>
        </w:sectPr>
      </w:pPr>
    </w:p>
    <w:tbl>
      <w:tblPr>
        <w:tblStyle w:val="10"/>
        <w:tblW w:w="0" w:type="auto"/>
        <w:tblInd w:w="9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6"/>
        <w:gridCol w:w="4238"/>
        <w:gridCol w:w="673"/>
        <w:gridCol w:w="536"/>
        <w:gridCol w:w="979"/>
        <w:gridCol w:w="842"/>
        <w:gridCol w:w="5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666" w:type="dxa"/>
          </w:tcPr>
          <w:p>
            <w:pPr>
              <w:pStyle w:val="14"/>
              <w:jc w:val="left"/>
              <w:rPr>
                <w:rFonts w:ascii="Times New Roman"/>
                <w:sz w:val="22"/>
              </w:rPr>
            </w:pPr>
          </w:p>
        </w:tc>
        <w:tc>
          <w:tcPr>
            <w:tcW w:w="4238" w:type="dxa"/>
          </w:tcPr>
          <w:p>
            <w:pPr>
              <w:pStyle w:val="14"/>
              <w:jc w:val="left"/>
              <w:rPr>
                <w:rFonts w:ascii="Times New Roman"/>
                <w:sz w:val="22"/>
              </w:rPr>
            </w:pPr>
          </w:p>
        </w:tc>
        <w:tc>
          <w:tcPr>
            <w:tcW w:w="1209" w:type="dxa"/>
            <w:gridSpan w:val="2"/>
          </w:tcPr>
          <w:p>
            <w:pPr>
              <w:pStyle w:val="14"/>
              <w:ind w:left="126" w:right="120"/>
              <w:rPr>
                <w:sz w:val="21"/>
              </w:rPr>
            </w:pPr>
            <w:r>
              <w:rPr>
                <w:sz w:val="21"/>
              </w:rPr>
              <w:t>总大肠菌</w:t>
            </w:r>
          </w:p>
          <w:p>
            <w:pPr>
              <w:pStyle w:val="14"/>
              <w:spacing w:before="57"/>
              <w:ind w:left="6"/>
              <w:rPr>
                <w:sz w:val="21"/>
              </w:rPr>
            </w:pPr>
            <w:r>
              <w:rPr>
                <w:w w:val="99"/>
                <w:sz w:val="21"/>
              </w:rPr>
              <w:t>群</w:t>
            </w:r>
          </w:p>
        </w:tc>
        <w:tc>
          <w:tcPr>
            <w:tcW w:w="979" w:type="dxa"/>
          </w:tcPr>
          <w:p>
            <w:pPr>
              <w:pStyle w:val="14"/>
              <w:spacing w:before="163"/>
              <w:ind w:left="289"/>
              <w:jc w:val="left"/>
              <w:rPr>
                <w:rFonts w:ascii="Times New Roman" w:eastAsia="Times New Roman"/>
                <w:sz w:val="21"/>
              </w:rPr>
            </w:pPr>
            <w:r>
              <w:rPr>
                <w:sz w:val="21"/>
              </w:rPr>
              <w:t>个</w:t>
            </w:r>
            <w:r>
              <w:rPr>
                <w:rFonts w:ascii="Times New Roman" w:eastAsia="Times New Roman"/>
                <w:sz w:val="21"/>
              </w:rPr>
              <w:t>/L</w:t>
            </w:r>
          </w:p>
        </w:tc>
        <w:tc>
          <w:tcPr>
            <w:tcW w:w="1430" w:type="dxa"/>
            <w:gridSpan w:val="2"/>
          </w:tcPr>
          <w:p>
            <w:pPr>
              <w:pStyle w:val="14"/>
              <w:spacing w:before="182"/>
              <w:ind w:left="8"/>
              <w:rPr>
                <w:rFonts w:ascii="Times New Roman"/>
                <w:sz w:val="21"/>
              </w:rPr>
            </w:pPr>
            <w:r>
              <w:rPr>
                <w:rFonts w:ascii="Times New Roman"/>
                <w:w w:val="99"/>
                <w:sz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666" w:type="dxa"/>
            <w:vMerge w:val="restart"/>
          </w:tcPr>
          <w:p>
            <w:pPr>
              <w:pStyle w:val="14"/>
              <w:jc w:val="left"/>
              <w:rPr>
                <w:b/>
                <w:sz w:val="20"/>
              </w:rPr>
            </w:pPr>
          </w:p>
          <w:p>
            <w:pPr>
              <w:pStyle w:val="14"/>
              <w:jc w:val="left"/>
              <w:rPr>
                <w:b/>
                <w:sz w:val="20"/>
              </w:rPr>
            </w:pPr>
          </w:p>
          <w:p>
            <w:pPr>
              <w:pStyle w:val="14"/>
              <w:spacing w:before="11"/>
              <w:jc w:val="left"/>
              <w:rPr>
                <w:b/>
                <w:sz w:val="26"/>
              </w:rPr>
            </w:pPr>
          </w:p>
          <w:p>
            <w:pPr>
              <w:pStyle w:val="14"/>
              <w:spacing w:before="1"/>
              <w:ind w:left="122"/>
              <w:jc w:val="left"/>
              <w:rPr>
                <w:sz w:val="21"/>
              </w:rPr>
            </w:pPr>
            <w:r>
              <w:rPr>
                <w:sz w:val="21"/>
              </w:rPr>
              <w:t>噪声</w:t>
            </w:r>
          </w:p>
        </w:tc>
        <w:tc>
          <w:tcPr>
            <w:tcW w:w="4238" w:type="dxa"/>
            <w:vMerge w:val="restart"/>
          </w:tcPr>
          <w:p>
            <w:pPr>
              <w:pStyle w:val="14"/>
              <w:spacing w:before="2"/>
              <w:jc w:val="left"/>
              <w:rPr>
                <w:b/>
                <w:sz w:val="25"/>
              </w:rPr>
            </w:pPr>
          </w:p>
          <w:p>
            <w:pPr>
              <w:pStyle w:val="14"/>
              <w:ind w:left="100" w:right="95"/>
              <w:rPr>
                <w:sz w:val="21"/>
              </w:rPr>
            </w:pPr>
            <w:r>
              <w:rPr>
                <w:sz w:val="21"/>
              </w:rPr>
              <w:t>《工业企业厂界环境噪声排放标准》</w:t>
            </w:r>
          </w:p>
          <w:p>
            <w:pPr>
              <w:pStyle w:val="14"/>
              <w:spacing w:before="4"/>
              <w:ind w:left="102" w:right="92"/>
              <w:rPr>
                <w:sz w:val="21"/>
              </w:rPr>
            </w:pPr>
            <w:r>
              <w:rPr>
                <w:sz w:val="21"/>
              </w:rPr>
              <w:t>（</w:t>
            </w:r>
            <w:r>
              <w:rPr>
                <w:rFonts w:ascii="Times New Roman" w:eastAsia="Times New Roman"/>
                <w:sz w:val="21"/>
              </w:rPr>
              <w:t>GB12348-2008</w:t>
            </w:r>
            <w:r>
              <w:rPr>
                <w:sz w:val="21"/>
              </w:rPr>
              <w:t>）</w:t>
            </w:r>
            <w:r>
              <w:rPr>
                <w:rFonts w:ascii="Times New Roman" w:eastAsia="Times New Roman"/>
                <w:sz w:val="21"/>
              </w:rPr>
              <w:t xml:space="preserve">2 </w:t>
            </w:r>
            <w:r>
              <w:rPr>
                <w:sz w:val="21"/>
              </w:rPr>
              <w:t>类标准</w:t>
            </w:r>
          </w:p>
        </w:tc>
        <w:tc>
          <w:tcPr>
            <w:tcW w:w="673" w:type="dxa"/>
            <w:vMerge w:val="restart"/>
          </w:tcPr>
          <w:p>
            <w:pPr>
              <w:pStyle w:val="14"/>
              <w:spacing w:before="2"/>
              <w:jc w:val="left"/>
              <w:rPr>
                <w:b/>
                <w:sz w:val="25"/>
              </w:rPr>
            </w:pPr>
          </w:p>
          <w:p>
            <w:pPr>
              <w:pStyle w:val="14"/>
              <w:spacing w:line="244" w:lineRule="auto"/>
              <w:ind w:left="126" w:right="117"/>
              <w:jc w:val="left"/>
              <w:rPr>
                <w:sz w:val="21"/>
              </w:rPr>
            </w:pPr>
            <w:r>
              <w:rPr>
                <w:sz w:val="21"/>
              </w:rPr>
              <w:t>厂界噪声</w:t>
            </w:r>
          </w:p>
        </w:tc>
        <w:tc>
          <w:tcPr>
            <w:tcW w:w="536" w:type="dxa"/>
            <w:vMerge w:val="restart"/>
          </w:tcPr>
          <w:p>
            <w:pPr>
              <w:pStyle w:val="14"/>
              <w:spacing w:before="5"/>
              <w:jc w:val="left"/>
              <w:rPr>
                <w:b/>
                <w:sz w:val="26"/>
              </w:rPr>
            </w:pPr>
          </w:p>
          <w:p>
            <w:pPr>
              <w:pStyle w:val="14"/>
              <w:spacing w:line="241" w:lineRule="exact"/>
              <w:ind w:left="64"/>
              <w:rPr>
                <w:rFonts w:ascii="Times New Roman"/>
                <w:sz w:val="21"/>
              </w:rPr>
            </w:pPr>
            <w:r>
              <w:rPr>
                <w:rFonts w:ascii="Times New Roman"/>
                <w:w w:val="99"/>
                <w:sz w:val="21"/>
              </w:rPr>
              <w:t>2</w:t>
            </w:r>
          </w:p>
          <w:p>
            <w:pPr>
              <w:pStyle w:val="14"/>
              <w:spacing w:line="269" w:lineRule="exact"/>
              <w:ind w:left="10"/>
              <w:rPr>
                <w:sz w:val="21"/>
              </w:rPr>
            </w:pPr>
            <w:r>
              <w:rPr>
                <w:w w:val="99"/>
                <w:sz w:val="21"/>
              </w:rPr>
              <w:t>类</w:t>
            </w:r>
          </w:p>
        </w:tc>
        <w:tc>
          <w:tcPr>
            <w:tcW w:w="979" w:type="dxa"/>
            <w:vMerge w:val="restart"/>
          </w:tcPr>
          <w:p>
            <w:pPr>
              <w:pStyle w:val="14"/>
              <w:jc w:val="left"/>
              <w:rPr>
                <w:b/>
                <w:sz w:val="22"/>
              </w:rPr>
            </w:pPr>
          </w:p>
          <w:p>
            <w:pPr>
              <w:pStyle w:val="14"/>
              <w:spacing w:before="191"/>
              <w:ind w:left="222"/>
              <w:jc w:val="left"/>
              <w:rPr>
                <w:rFonts w:ascii="Times New Roman"/>
                <w:sz w:val="21"/>
              </w:rPr>
            </w:pPr>
            <w:r>
              <w:rPr>
                <w:rFonts w:ascii="Times New Roman"/>
                <w:sz w:val="21"/>
              </w:rPr>
              <w:t>dB(A)</w:t>
            </w:r>
          </w:p>
        </w:tc>
        <w:tc>
          <w:tcPr>
            <w:tcW w:w="842" w:type="dxa"/>
          </w:tcPr>
          <w:p>
            <w:pPr>
              <w:pStyle w:val="14"/>
              <w:spacing w:before="171"/>
              <w:ind w:left="189" w:right="182"/>
              <w:rPr>
                <w:sz w:val="21"/>
              </w:rPr>
            </w:pPr>
            <w:r>
              <w:rPr>
                <w:sz w:val="21"/>
              </w:rPr>
              <w:t>昼间</w:t>
            </w:r>
          </w:p>
        </w:tc>
        <w:tc>
          <w:tcPr>
            <w:tcW w:w="588" w:type="dxa"/>
          </w:tcPr>
          <w:p>
            <w:pPr>
              <w:pStyle w:val="14"/>
              <w:spacing w:before="185"/>
              <w:ind w:left="167" w:right="158"/>
              <w:rPr>
                <w:rFonts w:ascii="Times New Roman"/>
                <w:sz w:val="21"/>
              </w:rPr>
            </w:pPr>
            <w:r>
              <w:rPr>
                <w:rFonts w:ascii="Times New Roman"/>
                <w:sz w:val="21"/>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673" w:type="dxa"/>
            <w:vMerge w:val="continue"/>
            <w:tcBorders>
              <w:top w:val="nil"/>
            </w:tcBorders>
          </w:tcPr>
          <w:p>
            <w:pPr>
              <w:rPr>
                <w:sz w:val="2"/>
                <w:szCs w:val="2"/>
              </w:rPr>
            </w:pPr>
          </w:p>
        </w:tc>
        <w:tc>
          <w:tcPr>
            <w:tcW w:w="536" w:type="dxa"/>
            <w:vMerge w:val="continue"/>
            <w:tcBorders>
              <w:top w:val="nil"/>
            </w:tcBorders>
          </w:tcPr>
          <w:p>
            <w:pPr>
              <w:rPr>
                <w:sz w:val="2"/>
                <w:szCs w:val="2"/>
              </w:rPr>
            </w:pPr>
          </w:p>
        </w:tc>
        <w:tc>
          <w:tcPr>
            <w:tcW w:w="979" w:type="dxa"/>
            <w:vMerge w:val="continue"/>
            <w:tcBorders>
              <w:top w:val="nil"/>
            </w:tcBorders>
          </w:tcPr>
          <w:p>
            <w:pPr>
              <w:rPr>
                <w:sz w:val="2"/>
                <w:szCs w:val="2"/>
              </w:rPr>
            </w:pPr>
          </w:p>
        </w:tc>
        <w:tc>
          <w:tcPr>
            <w:tcW w:w="842" w:type="dxa"/>
          </w:tcPr>
          <w:p>
            <w:pPr>
              <w:pStyle w:val="14"/>
              <w:spacing w:before="146"/>
              <w:ind w:left="189" w:right="182"/>
              <w:rPr>
                <w:sz w:val="21"/>
              </w:rPr>
            </w:pPr>
            <w:r>
              <w:rPr>
                <w:sz w:val="21"/>
              </w:rPr>
              <w:t>夜间</w:t>
            </w:r>
          </w:p>
        </w:tc>
        <w:tc>
          <w:tcPr>
            <w:tcW w:w="588" w:type="dxa"/>
          </w:tcPr>
          <w:p>
            <w:pPr>
              <w:pStyle w:val="14"/>
              <w:spacing w:before="160"/>
              <w:ind w:left="167" w:right="158"/>
              <w:rPr>
                <w:rFonts w:ascii="Times New Roman"/>
                <w:sz w:val="21"/>
              </w:rPr>
            </w:pPr>
            <w:r>
              <w:rPr>
                <w:rFonts w:ascii="Times New Roman"/>
                <w:sz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666" w:type="dxa"/>
            <w:vMerge w:val="continue"/>
            <w:tcBorders>
              <w:top w:val="nil"/>
            </w:tcBorders>
          </w:tcPr>
          <w:p>
            <w:pPr>
              <w:rPr>
                <w:sz w:val="2"/>
                <w:szCs w:val="2"/>
              </w:rPr>
            </w:pPr>
          </w:p>
        </w:tc>
        <w:tc>
          <w:tcPr>
            <w:tcW w:w="4238" w:type="dxa"/>
            <w:vMerge w:val="restart"/>
          </w:tcPr>
          <w:p>
            <w:pPr>
              <w:pStyle w:val="14"/>
              <w:spacing w:before="121"/>
              <w:ind w:left="100" w:right="95"/>
              <w:rPr>
                <w:sz w:val="21"/>
              </w:rPr>
            </w:pPr>
            <w:r>
              <w:rPr>
                <w:sz w:val="21"/>
              </w:rPr>
              <w:t>《建筑施工场界环境噪声排放标准》</w:t>
            </w:r>
          </w:p>
          <w:p>
            <w:pPr>
              <w:pStyle w:val="14"/>
              <w:spacing w:before="2"/>
              <w:ind w:left="102" w:right="95"/>
              <w:rPr>
                <w:sz w:val="21"/>
              </w:rPr>
            </w:pPr>
            <w:r>
              <w:rPr>
                <w:sz w:val="21"/>
              </w:rPr>
              <w:t>（</w:t>
            </w:r>
            <w:r>
              <w:rPr>
                <w:rFonts w:ascii="Times New Roman" w:eastAsia="Times New Roman"/>
                <w:sz w:val="21"/>
              </w:rPr>
              <w:t>GB12523-2011</w:t>
            </w:r>
            <w:r>
              <w:rPr>
                <w:sz w:val="21"/>
              </w:rPr>
              <w:t>）</w:t>
            </w:r>
          </w:p>
        </w:tc>
        <w:tc>
          <w:tcPr>
            <w:tcW w:w="673" w:type="dxa"/>
            <w:vMerge w:val="restart"/>
          </w:tcPr>
          <w:p>
            <w:pPr>
              <w:pStyle w:val="14"/>
              <w:spacing w:before="121" w:line="242" w:lineRule="auto"/>
              <w:ind w:left="126" w:right="117"/>
              <w:jc w:val="left"/>
              <w:rPr>
                <w:sz w:val="21"/>
              </w:rPr>
            </w:pPr>
            <w:r>
              <w:rPr>
                <w:sz w:val="21"/>
              </w:rPr>
              <w:t>厂界噪声</w:t>
            </w:r>
          </w:p>
        </w:tc>
        <w:tc>
          <w:tcPr>
            <w:tcW w:w="1515" w:type="dxa"/>
            <w:gridSpan w:val="2"/>
            <w:vMerge w:val="restart"/>
          </w:tcPr>
          <w:p>
            <w:pPr>
              <w:pStyle w:val="14"/>
              <w:jc w:val="left"/>
              <w:rPr>
                <w:b/>
                <w:sz w:val="21"/>
              </w:rPr>
            </w:pPr>
          </w:p>
          <w:p>
            <w:pPr>
              <w:pStyle w:val="14"/>
              <w:ind w:left="489"/>
              <w:jc w:val="left"/>
              <w:rPr>
                <w:rFonts w:ascii="Times New Roman"/>
                <w:sz w:val="21"/>
              </w:rPr>
            </w:pPr>
            <w:r>
              <w:rPr>
                <w:rFonts w:ascii="Times New Roman"/>
                <w:sz w:val="21"/>
              </w:rPr>
              <w:t>dB(A)</w:t>
            </w:r>
          </w:p>
        </w:tc>
        <w:tc>
          <w:tcPr>
            <w:tcW w:w="842" w:type="dxa"/>
          </w:tcPr>
          <w:p>
            <w:pPr>
              <w:pStyle w:val="14"/>
              <w:spacing w:before="66"/>
              <w:ind w:left="189" w:right="182"/>
              <w:rPr>
                <w:sz w:val="21"/>
              </w:rPr>
            </w:pPr>
            <w:r>
              <w:rPr>
                <w:sz w:val="21"/>
              </w:rPr>
              <w:t>昼间</w:t>
            </w:r>
          </w:p>
        </w:tc>
        <w:tc>
          <w:tcPr>
            <w:tcW w:w="588" w:type="dxa"/>
          </w:tcPr>
          <w:p>
            <w:pPr>
              <w:pStyle w:val="14"/>
              <w:spacing w:before="80"/>
              <w:ind w:left="168" w:right="157"/>
              <w:rPr>
                <w:rFonts w:ascii="Times New Roman"/>
                <w:sz w:val="21"/>
              </w:rPr>
            </w:pPr>
            <w:r>
              <w:rPr>
                <w:rFonts w:ascii="Times New Roman"/>
                <w:sz w:val="21"/>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666" w:type="dxa"/>
            <w:vMerge w:val="continue"/>
            <w:tcBorders>
              <w:top w:val="nil"/>
            </w:tcBorders>
          </w:tcPr>
          <w:p>
            <w:pPr>
              <w:rPr>
                <w:sz w:val="2"/>
                <w:szCs w:val="2"/>
              </w:rPr>
            </w:pPr>
          </w:p>
        </w:tc>
        <w:tc>
          <w:tcPr>
            <w:tcW w:w="4238" w:type="dxa"/>
            <w:vMerge w:val="continue"/>
            <w:tcBorders>
              <w:top w:val="nil"/>
            </w:tcBorders>
          </w:tcPr>
          <w:p>
            <w:pPr>
              <w:rPr>
                <w:sz w:val="2"/>
                <w:szCs w:val="2"/>
              </w:rPr>
            </w:pPr>
          </w:p>
        </w:tc>
        <w:tc>
          <w:tcPr>
            <w:tcW w:w="673" w:type="dxa"/>
            <w:vMerge w:val="continue"/>
            <w:tcBorders>
              <w:top w:val="nil"/>
            </w:tcBorders>
          </w:tcPr>
          <w:p>
            <w:pPr>
              <w:rPr>
                <w:sz w:val="2"/>
                <w:szCs w:val="2"/>
              </w:rPr>
            </w:pPr>
          </w:p>
        </w:tc>
        <w:tc>
          <w:tcPr>
            <w:tcW w:w="1515" w:type="dxa"/>
            <w:gridSpan w:val="2"/>
            <w:vMerge w:val="continue"/>
            <w:tcBorders>
              <w:top w:val="nil"/>
            </w:tcBorders>
          </w:tcPr>
          <w:p>
            <w:pPr>
              <w:rPr>
                <w:sz w:val="2"/>
                <w:szCs w:val="2"/>
              </w:rPr>
            </w:pPr>
          </w:p>
        </w:tc>
        <w:tc>
          <w:tcPr>
            <w:tcW w:w="842" w:type="dxa"/>
          </w:tcPr>
          <w:p>
            <w:pPr>
              <w:pStyle w:val="14"/>
              <w:spacing w:before="47"/>
              <w:ind w:left="189" w:right="182"/>
              <w:rPr>
                <w:sz w:val="21"/>
              </w:rPr>
            </w:pPr>
            <w:r>
              <w:rPr>
                <w:sz w:val="21"/>
              </w:rPr>
              <w:t>夜间</w:t>
            </w:r>
          </w:p>
        </w:tc>
        <w:tc>
          <w:tcPr>
            <w:tcW w:w="588" w:type="dxa"/>
          </w:tcPr>
          <w:p>
            <w:pPr>
              <w:pStyle w:val="14"/>
              <w:spacing w:before="61"/>
              <w:ind w:left="168" w:right="157"/>
              <w:rPr>
                <w:rFonts w:ascii="Times New Roman"/>
                <w:sz w:val="21"/>
              </w:rPr>
            </w:pPr>
            <w:r>
              <w:rPr>
                <w:rFonts w:ascii="Times New Roman"/>
                <w:sz w:val="21"/>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9" w:hRule="atLeast"/>
        </w:trPr>
        <w:tc>
          <w:tcPr>
            <w:tcW w:w="666" w:type="dxa"/>
          </w:tcPr>
          <w:p>
            <w:pPr>
              <w:pStyle w:val="14"/>
              <w:spacing w:before="2"/>
              <w:jc w:val="left"/>
              <w:rPr>
                <w:b/>
                <w:sz w:val="21"/>
              </w:rPr>
            </w:pPr>
          </w:p>
          <w:p>
            <w:pPr>
              <w:pStyle w:val="14"/>
              <w:spacing w:line="242" w:lineRule="auto"/>
              <w:ind w:left="122" w:right="114"/>
              <w:jc w:val="left"/>
              <w:rPr>
                <w:sz w:val="21"/>
              </w:rPr>
            </w:pPr>
            <w:r>
              <w:rPr>
                <w:sz w:val="21"/>
              </w:rPr>
              <w:t>固体废物</w:t>
            </w:r>
          </w:p>
        </w:tc>
        <w:tc>
          <w:tcPr>
            <w:tcW w:w="7856" w:type="dxa"/>
            <w:gridSpan w:val="6"/>
          </w:tcPr>
          <w:p>
            <w:pPr>
              <w:pStyle w:val="14"/>
              <w:ind w:left="101" w:right="95"/>
              <w:rPr>
                <w:sz w:val="21"/>
              </w:rPr>
            </w:pPr>
            <w:r>
              <w:rPr>
                <w:sz w:val="21"/>
              </w:rPr>
              <w:t>一般工业固体废物执行《一般工业固体废物贮存、处置场污染控制标准》</w:t>
            </w:r>
          </w:p>
          <w:p>
            <w:pPr>
              <w:pStyle w:val="14"/>
              <w:spacing w:before="2" w:line="242" w:lineRule="auto"/>
              <w:ind w:left="108" w:right="95"/>
              <w:rPr>
                <w:sz w:val="21"/>
              </w:rPr>
            </w:pPr>
            <w:r>
              <w:rPr>
                <w:w w:val="95"/>
                <w:sz w:val="21"/>
              </w:rPr>
              <w:t>（</w:t>
            </w:r>
            <w:r>
              <w:rPr>
                <w:rFonts w:ascii="Times New Roman" w:eastAsia="Times New Roman"/>
                <w:w w:val="95"/>
                <w:sz w:val="21"/>
              </w:rPr>
              <w:t>GB18599-2001</w:t>
            </w:r>
            <w:r>
              <w:rPr>
                <w:w w:val="95"/>
                <w:sz w:val="21"/>
              </w:rPr>
              <w:t>）</w:t>
            </w:r>
            <w:r>
              <w:rPr>
                <w:spacing w:val="-1"/>
                <w:w w:val="95"/>
                <w:sz w:val="21"/>
              </w:rPr>
              <w:t>中有关规定及《煤炭工业污染物排放标准》</w:t>
            </w:r>
            <w:r>
              <w:rPr>
                <w:w w:val="95"/>
                <w:sz w:val="21"/>
              </w:rPr>
              <w:t>（</w:t>
            </w:r>
            <w:r>
              <w:rPr>
                <w:rFonts w:ascii="Times New Roman" w:eastAsia="Times New Roman"/>
                <w:w w:val="95"/>
                <w:sz w:val="21"/>
              </w:rPr>
              <w:t>GB20426-2006</w:t>
            </w:r>
            <w:r>
              <w:rPr>
                <w:w w:val="95"/>
                <w:sz w:val="21"/>
              </w:rPr>
              <w:t xml:space="preserve">）中  </w:t>
            </w:r>
            <w:r>
              <w:rPr>
                <w:spacing w:val="-2"/>
                <w:sz w:val="21"/>
              </w:rPr>
              <w:t>的有关标准；危险废物执行《危险废物贮存污染控制标准》</w:t>
            </w:r>
            <w:r>
              <w:rPr>
                <w:sz w:val="21"/>
              </w:rPr>
              <w:t>（</w:t>
            </w:r>
            <w:r>
              <w:rPr>
                <w:rFonts w:ascii="Times New Roman" w:eastAsia="Times New Roman"/>
                <w:sz w:val="21"/>
              </w:rPr>
              <w:t>GB</w:t>
            </w:r>
            <w:r>
              <w:rPr>
                <w:rFonts w:ascii="Times New Roman" w:eastAsia="Times New Roman"/>
                <w:spacing w:val="-27"/>
                <w:sz w:val="21"/>
              </w:rPr>
              <w:t xml:space="preserve"> </w:t>
            </w:r>
            <w:r>
              <w:rPr>
                <w:rFonts w:ascii="Times New Roman" w:eastAsia="Times New Roman"/>
                <w:sz w:val="21"/>
              </w:rPr>
              <w:t>18597-2001</w:t>
            </w:r>
            <w:r>
              <w:rPr>
                <w:sz w:val="21"/>
              </w:rPr>
              <w:t>）中相</w:t>
            </w:r>
          </w:p>
          <w:p>
            <w:pPr>
              <w:pStyle w:val="14"/>
              <w:spacing w:before="2" w:line="252" w:lineRule="exact"/>
              <w:ind w:left="103" w:right="95"/>
              <w:rPr>
                <w:sz w:val="21"/>
              </w:rPr>
            </w:pPr>
            <w:r>
              <w:rPr>
                <w:sz w:val="21"/>
              </w:rPr>
              <w:t>关标准</w:t>
            </w:r>
          </w:p>
        </w:tc>
      </w:tr>
    </w:tbl>
    <w:p>
      <w:pPr>
        <w:pStyle w:val="3"/>
        <w:numPr>
          <w:ilvl w:val="1"/>
          <w:numId w:val="7"/>
        </w:numPr>
        <w:tabs>
          <w:tab w:val="left" w:pos="1184"/>
        </w:tabs>
        <w:spacing w:before="2" w:after="0" w:line="240" w:lineRule="auto"/>
        <w:ind w:left="1184" w:right="0" w:hanging="526"/>
        <w:jc w:val="left"/>
      </w:pPr>
      <w:bookmarkStart w:id="36" w:name="2.4 评价工作等级"/>
      <w:bookmarkEnd w:id="36"/>
      <w:bookmarkStart w:id="37" w:name="_bookmark10"/>
      <w:bookmarkEnd w:id="37"/>
      <w:bookmarkStart w:id="38" w:name="_bookmark10"/>
      <w:bookmarkEnd w:id="38"/>
      <w:r>
        <w:t>评价工作等级</w:t>
      </w:r>
    </w:p>
    <w:p>
      <w:pPr>
        <w:pStyle w:val="13"/>
        <w:numPr>
          <w:ilvl w:val="2"/>
          <w:numId w:val="7"/>
        </w:numPr>
        <w:tabs>
          <w:tab w:val="left" w:pos="1288"/>
        </w:tabs>
        <w:spacing w:before="200" w:after="0" w:line="240" w:lineRule="auto"/>
        <w:ind w:left="1287" w:right="0" w:hanging="630"/>
        <w:jc w:val="left"/>
        <w:rPr>
          <w:b/>
          <w:sz w:val="28"/>
        </w:rPr>
      </w:pPr>
      <w:bookmarkStart w:id="39" w:name="2.4.1大气环境"/>
      <w:bookmarkEnd w:id="39"/>
      <w:bookmarkStart w:id="40" w:name="2.4.1大气环境"/>
      <w:bookmarkEnd w:id="40"/>
      <w:r>
        <w:rPr>
          <w:b/>
          <w:sz w:val="28"/>
        </w:rPr>
        <w:t>大气环境</w:t>
      </w:r>
    </w:p>
    <w:p>
      <w:pPr>
        <w:pStyle w:val="6"/>
        <w:spacing w:before="185" w:line="364" w:lineRule="auto"/>
        <w:ind w:left="658" w:right="691" w:firstLine="480"/>
        <w:jc w:val="both"/>
      </w:pPr>
      <w:r>
        <w:rPr>
          <w:spacing w:val="-4"/>
        </w:rPr>
        <w:t>《环境影响评价技术导则 大气环境》</w:t>
      </w:r>
      <w:r>
        <w:rPr>
          <w:spacing w:val="-3"/>
        </w:rPr>
        <w:t>（</w:t>
      </w:r>
      <w:r>
        <w:rPr>
          <w:rFonts w:ascii="Times New Roman" w:eastAsia="Times New Roman"/>
          <w:spacing w:val="-3"/>
        </w:rPr>
        <w:t>HJ2.2-2018</w:t>
      </w:r>
      <w:r>
        <w:rPr>
          <w:spacing w:val="-3"/>
        </w:rPr>
        <w:t>）</w:t>
      </w:r>
      <w:r>
        <w:rPr>
          <w:spacing w:val="-2"/>
        </w:rPr>
        <w:t>中评价工作等级的划分规定如</w:t>
      </w:r>
      <w:r>
        <w:t>下：</w:t>
      </w:r>
    </w:p>
    <w:p>
      <w:pPr>
        <w:pStyle w:val="6"/>
        <w:spacing w:line="362" w:lineRule="auto"/>
        <w:ind w:left="658" w:right="693" w:firstLine="480"/>
        <w:jc w:val="both"/>
      </w:pPr>
      <w:r>
        <w:rPr>
          <w:spacing w:val="-5"/>
        </w:rPr>
        <w:t>根据项目污染源初步调查结果，分别计算项目排放主要污染物的最大地面质量浓度</w:t>
      </w:r>
      <w:r>
        <w:t>占标率</w:t>
      </w:r>
      <w:r>
        <w:rPr>
          <w:rFonts w:ascii="Times New Roman" w:hAnsi="Times New Roman" w:eastAsia="Times New Roman"/>
        </w:rPr>
        <w:t>Pi</w:t>
      </w:r>
      <w:r>
        <w:t>（第</w:t>
      </w:r>
      <w:r>
        <w:rPr>
          <w:rFonts w:ascii="Times New Roman" w:hAnsi="Times New Roman" w:eastAsia="Times New Roman"/>
          <w:spacing w:val="5"/>
        </w:rPr>
        <w:t>i</w:t>
      </w:r>
      <w:r>
        <w:t>个污染物，简称“最大浓度占标率</w:t>
      </w:r>
      <w:r>
        <w:rPr>
          <w:spacing w:val="2"/>
        </w:rPr>
        <w:t>”），</w:t>
      </w:r>
      <w:r>
        <w:t>及第</w:t>
      </w:r>
      <w:r>
        <w:rPr>
          <w:rFonts w:ascii="Times New Roman" w:hAnsi="Times New Roman" w:eastAsia="Times New Roman"/>
        </w:rPr>
        <w:t>i</w:t>
      </w:r>
      <w:r>
        <w:t>个污染物的地面质量浓度</w:t>
      </w:r>
      <w:r>
        <w:rPr>
          <w:position w:val="2"/>
        </w:rPr>
        <w:t>达到标准限值</w:t>
      </w:r>
      <w:r>
        <w:rPr>
          <w:rFonts w:ascii="Times New Roman" w:hAnsi="Times New Roman" w:eastAsia="Times New Roman"/>
          <w:position w:val="2"/>
        </w:rPr>
        <w:t>10%</w:t>
      </w:r>
      <w:r>
        <w:rPr>
          <w:position w:val="2"/>
        </w:rPr>
        <w:t>时所对应的最远距离</w:t>
      </w:r>
      <w:r>
        <w:rPr>
          <w:rFonts w:ascii="Times New Roman" w:hAnsi="Times New Roman" w:eastAsia="Times New Roman"/>
          <w:position w:val="2"/>
        </w:rPr>
        <w:t>D</w:t>
      </w:r>
      <w:r>
        <w:rPr>
          <w:rFonts w:ascii="Times New Roman" w:hAnsi="Times New Roman" w:eastAsia="Times New Roman"/>
          <w:position w:val="2"/>
          <w:vertAlign w:val="subscript"/>
        </w:rPr>
        <w:t>10%</w:t>
      </w:r>
      <w:r>
        <w:rPr>
          <w:position w:val="2"/>
          <w:vertAlign w:val="baseline"/>
        </w:rPr>
        <w:t>。其中</w:t>
      </w:r>
      <w:r>
        <w:rPr>
          <w:rFonts w:ascii="Times New Roman" w:hAnsi="Times New Roman" w:eastAsia="Times New Roman"/>
          <w:position w:val="2"/>
          <w:vertAlign w:val="baseline"/>
        </w:rPr>
        <w:t>Pi</w:t>
      </w:r>
      <w:r>
        <w:rPr>
          <w:position w:val="2"/>
          <w:vertAlign w:val="baseline"/>
        </w:rPr>
        <w:t>定义为：</w:t>
      </w:r>
    </w:p>
    <w:p>
      <w:pPr>
        <w:pStyle w:val="6"/>
        <w:ind w:left="1138"/>
        <w:rPr>
          <w:rFonts w:ascii="Times New Roman" w:hAnsi="Times New Roman" w:eastAsia="Times New Roman"/>
        </w:rPr>
      </w:pPr>
      <w:r>
        <w:rPr>
          <w:rFonts w:ascii="Times New Roman" w:hAnsi="Times New Roman" w:eastAsia="Times New Roman"/>
          <w:position w:val="2"/>
        </w:rPr>
        <w:t>Pi</w:t>
      </w:r>
      <w:r>
        <w:rPr>
          <w:position w:val="2"/>
        </w:rPr>
        <w:t>＝</w:t>
      </w:r>
      <w:r>
        <w:rPr>
          <w:rFonts w:ascii="Times New Roman" w:hAnsi="Times New Roman" w:eastAsia="Times New Roman"/>
          <w:position w:val="2"/>
        </w:rPr>
        <w:t>(Ci/C</w:t>
      </w:r>
      <w:r>
        <w:rPr>
          <w:rFonts w:ascii="Times New Roman" w:hAnsi="Times New Roman" w:eastAsia="Times New Roman"/>
          <w:position w:val="2"/>
          <w:vertAlign w:val="subscript"/>
        </w:rPr>
        <w:t>0i</w:t>
      </w:r>
      <w:r>
        <w:rPr>
          <w:rFonts w:ascii="Times New Roman" w:hAnsi="Times New Roman" w:eastAsia="Times New Roman"/>
          <w:position w:val="2"/>
          <w:vertAlign w:val="baseline"/>
        </w:rPr>
        <w:t>)×100%</w:t>
      </w:r>
    </w:p>
    <w:p>
      <w:pPr>
        <w:pStyle w:val="6"/>
        <w:spacing w:before="153"/>
        <w:ind w:left="1138"/>
      </w:pPr>
      <w:r>
        <w:rPr>
          <w:position w:val="2"/>
        </w:rPr>
        <w:t>式中：</w:t>
      </w:r>
      <w:r>
        <w:rPr>
          <w:rFonts w:ascii="Times New Roman" w:hAnsi="Times New Roman" w:eastAsia="Times New Roman"/>
          <w:position w:val="2"/>
        </w:rPr>
        <w:t>P</w:t>
      </w:r>
      <w:r>
        <w:rPr>
          <w:rFonts w:ascii="Times New Roman" w:hAnsi="Times New Roman" w:eastAsia="Times New Roman"/>
          <w:position w:val="2"/>
          <w:vertAlign w:val="subscript"/>
        </w:rPr>
        <w:t>i</w:t>
      </w:r>
      <w:r>
        <w:rPr>
          <w:rFonts w:ascii="Times New Roman" w:hAnsi="Times New Roman" w:eastAsia="Times New Roman"/>
          <w:position w:val="2"/>
          <w:vertAlign w:val="baseline"/>
        </w:rPr>
        <w:t xml:space="preserve"> —</w:t>
      </w:r>
      <w:r>
        <w:rPr>
          <w:position w:val="2"/>
          <w:vertAlign w:val="baseline"/>
        </w:rPr>
        <w:t>第</w:t>
      </w:r>
      <w:r>
        <w:rPr>
          <w:rFonts w:ascii="Times New Roman" w:hAnsi="Times New Roman" w:eastAsia="Times New Roman"/>
          <w:position w:val="2"/>
          <w:vertAlign w:val="baseline"/>
        </w:rPr>
        <w:t>i</w:t>
      </w:r>
      <w:r>
        <w:rPr>
          <w:position w:val="2"/>
          <w:vertAlign w:val="baseline"/>
        </w:rPr>
        <w:t>个污染物的最大地面质量浓度占标率，</w:t>
      </w:r>
      <w:r>
        <w:rPr>
          <w:rFonts w:ascii="Times New Roman" w:hAnsi="Times New Roman" w:eastAsia="Times New Roman"/>
          <w:position w:val="2"/>
          <w:vertAlign w:val="baseline"/>
        </w:rPr>
        <w:t>%</w:t>
      </w:r>
      <w:r>
        <w:rPr>
          <w:position w:val="2"/>
          <w:vertAlign w:val="baseline"/>
        </w:rPr>
        <w:t>；</w:t>
      </w:r>
    </w:p>
    <w:p>
      <w:pPr>
        <w:pStyle w:val="6"/>
        <w:spacing w:before="156" w:line="360" w:lineRule="auto"/>
        <w:ind w:left="1138" w:right="1178"/>
      </w:pPr>
      <w:r>
        <w:rPr>
          <w:rFonts w:ascii="Times New Roman" w:hAnsi="Times New Roman" w:eastAsia="Times New Roman"/>
          <w:position w:val="2"/>
        </w:rPr>
        <w:t>C</w:t>
      </w:r>
      <w:r>
        <w:rPr>
          <w:rFonts w:ascii="Times New Roman" w:hAnsi="Times New Roman" w:eastAsia="Times New Roman"/>
          <w:position w:val="2"/>
          <w:vertAlign w:val="subscript"/>
        </w:rPr>
        <w:t>i</w:t>
      </w:r>
      <w:r>
        <w:rPr>
          <w:rFonts w:ascii="Times New Roman" w:hAnsi="Times New Roman" w:eastAsia="Times New Roman"/>
          <w:position w:val="2"/>
          <w:vertAlign w:val="baseline"/>
        </w:rPr>
        <w:t>—</w:t>
      </w:r>
      <w:r>
        <w:rPr>
          <w:position w:val="2"/>
          <w:vertAlign w:val="baseline"/>
        </w:rPr>
        <w:t>采用估算模式计算出的第</w:t>
      </w:r>
      <w:r>
        <w:rPr>
          <w:rFonts w:ascii="Times New Roman" w:hAnsi="Times New Roman" w:eastAsia="Times New Roman"/>
          <w:position w:val="2"/>
          <w:vertAlign w:val="baseline"/>
        </w:rPr>
        <w:t>i</w:t>
      </w:r>
      <w:r>
        <w:rPr>
          <w:position w:val="2"/>
          <w:vertAlign w:val="baseline"/>
        </w:rPr>
        <w:t>个污染物的最大</w:t>
      </w:r>
      <w:r>
        <w:rPr>
          <w:rFonts w:ascii="Times New Roman" w:hAnsi="Times New Roman" w:eastAsia="Times New Roman"/>
          <w:position w:val="2"/>
          <w:vertAlign w:val="baseline"/>
        </w:rPr>
        <w:t>1h</w:t>
      </w:r>
      <w:r>
        <w:rPr>
          <w:position w:val="2"/>
          <w:vertAlign w:val="baseline"/>
        </w:rPr>
        <w:t>地面空气质量浓度，</w:t>
      </w:r>
      <w:r>
        <w:rPr>
          <w:rFonts w:ascii="Times New Roman" w:hAnsi="Times New Roman" w:eastAsia="Times New Roman"/>
          <w:position w:val="2"/>
          <w:vertAlign w:val="baseline"/>
        </w:rPr>
        <w:t>mg/m</w:t>
      </w:r>
      <w:r>
        <w:rPr>
          <w:rFonts w:ascii="Times New Roman" w:hAnsi="Times New Roman" w:eastAsia="Times New Roman"/>
          <w:position w:val="2"/>
          <w:vertAlign w:val="superscript"/>
        </w:rPr>
        <w:t>3</w:t>
      </w:r>
      <w:r>
        <w:rPr>
          <w:position w:val="2"/>
          <w:vertAlign w:val="baseline"/>
        </w:rPr>
        <w:t xml:space="preserve">； </w:t>
      </w:r>
      <w:r>
        <w:rPr>
          <w:rFonts w:ascii="Times New Roman" w:hAnsi="Times New Roman" w:eastAsia="Times New Roman"/>
          <w:position w:val="2"/>
          <w:vertAlign w:val="baseline"/>
        </w:rPr>
        <w:t>C</w:t>
      </w:r>
      <w:r>
        <w:rPr>
          <w:rFonts w:ascii="Times New Roman" w:hAnsi="Times New Roman" w:eastAsia="Times New Roman"/>
          <w:position w:val="2"/>
          <w:vertAlign w:val="subscript"/>
        </w:rPr>
        <w:t>0i</w:t>
      </w:r>
      <w:r>
        <w:rPr>
          <w:rFonts w:ascii="Times New Roman" w:hAnsi="Times New Roman" w:eastAsia="Times New Roman"/>
          <w:position w:val="2"/>
          <w:vertAlign w:val="baseline"/>
        </w:rPr>
        <w:t>—</w:t>
      </w:r>
      <w:r>
        <w:rPr>
          <w:position w:val="2"/>
          <w:vertAlign w:val="baseline"/>
        </w:rPr>
        <w:t>第</w:t>
      </w:r>
      <w:r>
        <w:rPr>
          <w:rFonts w:ascii="Times New Roman" w:hAnsi="Times New Roman" w:eastAsia="Times New Roman"/>
          <w:position w:val="2"/>
          <w:vertAlign w:val="baseline"/>
        </w:rPr>
        <w:t>i</w:t>
      </w:r>
      <w:r>
        <w:rPr>
          <w:position w:val="2"/>
          <w:vertAlign w:val="baseline"/>
        </w:rPr>
        <w:t>个污染物的环境空气质量浓度标准，</w:t>
      </w:r>
      <w:r>
        <w:rPr>
          <w:rFonts w:ascii="Times New Roman" w:hAnsi="Times New Roman" w:eastAsia="Times New Roman"/>
          <w:position w:val="2"/>
          <w:vertAlign w:val="baseline"/>
        </w:rPr>
        <w:t>mg/m</w:t>
      </w:r>
      <w:r>
        <w:rPr>
          <w:rFonts w:ascii="Times New Roman" w:hAnsi="Times New Roman" w:eastAsia="Times New Roman"/>
          <w:position w:val="2"/>
          <w:vertAlign w:val="superscript"/>
        </w:rPr>
        <w:t>3</w:t>
      </w:r>
      <w:r>
        <w:rPr>
          <w:position w:val="2"/>
          <w:vertAlign w:val="baseline"/>
        </w:rPr>
        <w:t>。</w:t>
      </w:r>
    </w:p>
    <w:p>
      <w:pPr>
        <w:pStyle w:val="6"/>
        <w:spacing w:before="3" w:line="364" w:lineRule="auto"/>
        <w:ind w:left="658" w:right="573" w:firstLine="480"/>
      </w:pPr>
      <w:r>
        <w:rPr>
          <w:rFonts w:ascii="Times New Roman" w:eastAsia="Times New Roman"/>
          <w:position w:val="2"/>
        </w:rPr>
        <w:t>C</w:t>
      </w:r>
      <w:r>
        <w:rPr>
          <w:rFonts w:ascii="Times New Roman" w:eastAsia="Times New Roman"/>
          <w:position w:val="2"/>
          <w:vertAlign w:val="subscript"/>
        </w:rPr>
        <w:t>0i</w:t>
      </w:r>
      <w:r>
        <w:rPr>
          <w:position w:val="2"/>
          <w:vertAlign w:val="baseline"/>
        </w:rPr>
        <w:t>一般选用</w:t>
      </w:r>
      <w:r>
        <w:rPr>
          <w:rFonts w:ascii="Times New Roman" w:eastAsia="Times New Roman"/>
          <w:position w:val="2"/>
          <w:vertAlign w:val="baseline"/>
        </w:rPr>
        <w:t>GB3095</w:t>
      </w:r>
      <w:r>
        <w:rPr>
          <w:position w:val="2"/>
          <w:vertAlign w:val="baseline"/>
        </w:rPr>
        <w:t>中</w:t>
      </w:r>
      <w:r>
        <w:rPr>
          <w:rFonts w:ascii="Times New Roman" w:eastAsia="Times New Roman"/>
          <w:position w:val="2"/>
          <w:vertAlign w:val="baseline"/>
        </w:rPr>
        <w:t>1h</w:t>
      </w:r>
      <w:r>
        <w:rPr>
          <w:position w:val="2"/>
          <w:vertAlign w:val="baseline"/>
        </w:rPr>
        <w:t>平均质量浓度的二级标准限值；对于没有小时浓度限值的</w:t>
      </w:r>
      <w:r>
        <w:rPr>
          <w:spacing w:val="-7"/>
          <w:vertAlign w:val="baseline"/>
        </w:rPr>
        <w:t>污染物，可取日平均浓度限值的三倍值；对该标准中未包含的污染物，使用《环境影响</w:t>
      </w:r>
      <w:r>
        <w:rPr>
          <w:spacing w:val="-9"/>
          <w:vertAlign w:val="baseline"/>
        </w:rPr>
        <w:t>评价技术导则 大气环境》</w:t>
      </w:r>
      <w:r>
        <w:rPr>
          <w:vertAlign w:val="baseline"/>
        </w:rPr>
        <w:t>（</w:t>
      </w:r>
      <w:r>
        <w:rPr>
          <w:rFonts w:ascii="Times New Roman" w:eastAsia="Times New Roman"/>
          <w:vertAlign w:val="baseline"/>
        </w:rPr>
        <w:t>HJ2.2-2018</w:t>
      </w:r>
      <w:r>
        <w:rPr>
          <w:vertAlign w:val="baseline"/>
        </w:rPr>
        <w:t>）中</w:t>
      </w:r>
      <w:r>
        <w:rPr>
          <w:rFonts w:ascii="Times New Roman" w:eastAsia="Times New Roman"/>
          <w:vertAlign w:val="baseline"/>
        </w:rPr>
        <w:t>5.2</w:t>
      </w:r>
      <w:r>
        <w:rPr>
          <w:vertAlign w:val="baseline"/>
        </w:rPr>
        <w:t>确定的各评价因子</w:t>
      </w:r>
      <w:r>
        <w:rPr>
          <w:rFonts w:ascii="Times New Roman" w:eastAsia="Times New Roman"/>
          <w:vertAlign w:val="baseline"/>
        </w:rPr>
        <w:t>1h</w:t>
      </w:r>
      <w:r>
        <w:rPr>
          <w:spacing w:val="-2"/>
          <w:vertAlign w:val="baseline"/>
        </w:rPr>
        <w:t>平均质量浓度限值。</w:t>
      </w:r>
      <w:r>
        <w:rPr>
          <w:vertAlign w:val="baseline"/>
        </w:rPr>
        <w:t>对仅有</w:t>
      </w:r>
      <w:r>
        <w:rPr>
          <w:rFonts w:ascii="Times New Roman" w:eastAsia="Times New Roman"/>
          <w:vertAlign w:val="baseline"/>
        </w:rPr>
        <w:t>8h</w:t>
      </w:r>
      <w:r>
        <w:rPr>
          <w:spacing w:val="-5"/>
          <w:vertAlign w:val="baseline"/>
        </w:rPr>
        <w:t xml:space="preserve">平均质量浓度限值、日平均质量浓度限值或年平均质量浓度限值的，可分别按 </w:t>
      </w:r>
      <w:r>
        <w:rPr>
          <w:rFonts w:ascii="Times New Roman" w:eastAsia="Times New Roman"/>
          <w:spacing w:val="-5"/>
          <w:vertAlign w:val="baseline"/>
        </w:rPr>
        <w:t>2</w:t>
      </w:r>
      <w:r>
        <w:rPr>
          <w:spacing w:val="-5"/>
          <w:vertAlign w:val="baseline"/>
        </w:rPr>
        <w:t>倍、</w:t>
      </w:r>
      <w:r>
        <w:rPr>
          <w:rFonts w:ascii="Times New Roman" w:eastAsia="Times New Roman"/>
          <w:spacing w:val="-5"/>
          <w:vertAlign w:val="baseline"/>
        </w:rPr>
        <w:t>3</w:t>
      </w:r>
      <w:r>
        <w:rPr>
          <w:spacing w:val="-5"/>
          <w:vertAlign w:val="baseline"/>
        </w:rPr>
        <w:t>倍、</w:t>
      </w:r>
      <w:r>
        <w:rPr>
          <w:rFonts w:ascii="Times New Roman" w:eastAsia="Times New Roman"/>
          <w:spacing w:val="-5"/>
          <w:vertAlign w:val="baseline"/>
        </w:rPr>
        <w:t>6</w:t>
      </w:r>
      <w:r>
        <w:rPr>
          <w:spacing w:val="-5"/>
          <w:vertAlign w:val="baseline"/>
        </w:rPr>
        <w:t>倍折算为</w:t>
      </w:r>
      <w:r>
        <w:rPr>
          <w:rFonts w:ascii="Times New Roman" w:eastAsia="Times New Roman"/>
          <w:spacing w:val="-5"/>
          <w:vertAlign w:val="baseline"/>
        </w:rPr>
        <w:t>1h</w:t>
      </w:r>
      <w:r>
        <w:rPr>
          <w:spacing w:val="-5"/>
          <w:vertAlign w:val="baseline"/>
        </w:rPr>
        <w:t>平均质量浓度限值。</w:t>
      </w:r>
    </w:p>
    <w:p>
      <w:pPr>
        <w:pStyle w:val="6"/>
        <w:spacing w:line="362" w:lineRule="auto"/>
        <w:ind w:left="658" w:right="656" w:firstLine="480"/>
      </w:pPr>
      <w:r>
        <w:rPr>
          <w:position w:val="2"/>
        </w:rPr>
        <w:t>评价工作等级按表</w:t>
      </w:r>
      <w:r>
        <w:rPr>
          <w:rFonts w:ascii="Times New Roman" w:eastAsia="Times New Roman"/>
          <w:position w:val="2"/>
        </w:rPr>
        <w:t>2.4-1</w:t>
      </w:r>
      <w:r>
        <w:rPr>
          <w:position w:val="2"/>
        </w:rPr>
        <w:t>的分级判据进行划分。最大地面质量浓度占标率</w:t>
      </w:r>
      <w:r>
        <w:rPr>
          <w:rFonts w:ascii="Times New Roman" w:eastAsia="Times New Roman"/>
          <w:position w:val="2"/>
        </w:rPr>
        <w:t>P</w:t>
      </w:r>
      <w:r>
        <w:rPr>
          <w:rFonts w:ascii="Times New Roman" w:eastAsia="Times New Roman"/>
          <w:position w:val="2"/>
          <w:vertAlign w:val="subscript"/>
        </w:rPr>
        <w:t>i</w:t>
      </w:r>
      <w:r>
        <w:rPr>
          <w:position w:val="2"/>
          <w:vertAlign w:val="baseline"/>
        </w:rPr>
        <w:t>按公式计算，如污染物数</w:t>
      </w:r>
      <w:r>
        <w:rPr>
          <w:rFonts w:ascii="Times New Roman" w:eastAsia="Times New Roman"/>
          <w:position w:val="2"/>
          <w:vertAlign w:val="baseline"/>
        </w:rPr>
        <w:t>i</w:t>
      </w:r>
      <w:r>
        <w:rPr>
          <w:position w:val="2"/>
          <w:vertAlign w:val="baseline"/>
        </w:rPr>
        <w:t>大于</w:t>
      </w:r>
      <w:r>
        <w:rPr>
          <w:rFonts w:ascii="Times New Roman" w:eastAsia="Times New Roman"/>
          <w:position w:val="2"/>
          <w:vertAlign w:val="baseline"/>
        </w:rPr>
        <w:t>1</w:t>
      </w:r>
      <w:r>
        <w:rPr>
          <w:position w:val="2"/>
          <w:vertAlign w:val="baseline"/>
        </w:rPr>
        <w:t>，取</w:t>
      </w:r>
      <w:r>
        <w:rPr>
          <w:rFonts w:ascii="Times New Roman" w:eastAsia="Times New Roman"/>
          <w:position w:val="2"/>
          <w:vertAlign w:val="baseline"/>
        </w:rPr>
        <w:t>P</w:t>
      </w:r>
      <w:r>
        <w:rPr>
          <w:position w:val="2"/>
          <w:vertAlign w:val="baseline"/>
        </w:rPr>
        <w:t>值中最大者</w:t>
      </w:r>
      <w:r>
        <w:rPr>
          <w:rFonts w:ascii="Times New Roman" w:eastAsia="Times New Roman"/>
          <w:position w:val="2"/>
          <w:vertAlign w:val="baseline"/>
        </w:rPr>
        <w:t>(P</w:t>
      </w:r>
      <w:r>
        <w:rPr>
          <w:rFonts w:ascii="Times New Roman" w:eastAsia="Times New Roman"/>
          <w:position w:val="2"/>
          <w:vertAlign w:val="subscript"/>
        </w:rPr>
        <w:t>max</w:t>
      </w:r>
      <w:r>
        <w:rPr>
          <w:rFonts w:ascii="Times New Roman" w:eastAsia="Times New Roman"/>
          <w:position w:val="2"/>
          <w:vertAlign w:val="baseline"/>
        </w:rPr>
        <w:t>)</w:t>
      </w:r>
      <w:r>
        <w:rPr>
          <w:position w:val="2"/>
          <w:vertAlign w:val="baseline"/>
        </w:rPr>
        <w:t>。</w:t>
      </w:r>
    </w:p>
    <w:p>
      <w:pPr>
        <w:pStyle w:val="5"/>
        <w:ind w:left="4013"/>
      </w:pPr>
      <w:r>
        <w:t xml:space="preserve">表 </w:t>
      </w:r>
      <w:r>
        <w:rPr>
          <w:rFonts w:ascii="Times New Roman" w:eastAsia="Times New Roman"/>
        </w:rPr>
        <w:t xml:space="preserve">2.4-1  </w:t>
      </w:r>
      <w:r>
        <w:t>评价工作等级</w:t>
      </w:r>
    </w:p>
    <w:tbl>
      <w:tblPr>
        <w:tblStyle w:val="10"/>
        <w:tblW w:w="0" w:type="auto"/>
        <w:tblInd w:w="9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48"/>
        <w:gridCol w:w="51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3348" w:type="dxa"/>
          </w:tcPr>
          <w:p>
            <w:pPr>
              <w:pStyle w:val="14"/>
              <w:spacing w:line="252" w:lineRule="exact"/>
              <w:ind w:left="1471" w:right="567"/>
              <w:rPr>
                <w:sz w:val="21"/>
              </w:rPr>
            </w:pPr>
            <w:r>
              <w:rPr>
                <w:sz w:val="21"/>
              </w:rPr>
              <w:t>评价工作等级</w:t>
            </w:r>
          </w:p>
        </w:tc>
        <w:tc>
          <w:tcPr>
            <w:tcW w:w="5174" w:type="dxa"/>
          </w:tcPr>
          <w:p>
            <w:pPr>
              <w:pStyle w:val="14"/>
              <w:spacing w:line="252" w:lineRule="exact"/>
              <w:ind w:left="2174" w:right="1269"/>
              <w:rPr>
                <w:sz w:val="21"/>
              </w:rPr>
            </w:pPr>
            <w:r>
              <w:rPr>
                <w:sz w:val="21"/>
              </w:rPr>
              <w:t>评价工作分级判据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3348" w:type="dxa"/>
          </w:tcPr>
          <w:p>
            <w:pPr>
              <w:pStyle w:val="14"/>
              <w:spacing w:line="252" w:lineRule="exact"/>
              <w:ind w:left="1471" w:right="567"/>
              <w:rPr>
                <w:sz w:val="21"/>
              </w:rPr>
            </w:pPr>
            <w:r>
              <w:rPr>
                <w:sz w:val="21"/>
              </w:rPr>
              <w:t>一级</w:t>
            </w:r>
          </w:p>
        </w:tc>
        <w:tc>
          <w:tcPr>
            <w:tcW w:w="5174" w:type="dxa"/>
          </w:tcPr>
          <w:p>
            <w:pPr>
              <w:pStyle w:val="14"/>
              <w:spacing w:before="5" w:line="246" w:lineRule="exact"/>
              <w:ind w:left="2174" w:right="1261"/>
              <w:rPr>
                <w:rFonts w:ascii="Times New Roman" w:hAnsi="Times New Roman"/>
                <w:sz w:val="21"/>
              </w:rPr>
            </w:pPr>
            <w:r>
              <w:rPr>
                <w:rFonts w:ascii="Times New Roman" w:hAnsi="Times New Roman"/>
                <w:position w:val="2"/>
                <w:sz w:val="21"/>
              </w:rPr>
              <w:t>P</w:t>
            </w:r>
            <w:r>
              <w:rPr>
                <w:rFonts w:ascii="Times New Roman" w:hAnsi="Times New Roman"/>
                <w:position w:val="2"/>
                <w:sz w:val="21"/>
                <w:vertAlign w:val="subscript"/>
              </w:rPr>
              <w:t>max</w:t>
            </w:r>
            <w:r>
              <w:rPr>
                <w:rFonts w:ascii="Times New Roman" w:hAnsi="Times New Roman"/>
                <w:position w:val="2"/>
                <w:sz w:val="21"/>
                <w:vertAlign w:val="baseline"/>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3348" w:type="dxa"/>
          </w:tcPr>
          <w:p>
            <w:pPr>
              <w:pStyle w:val="14"/>
              <w:spacing w:line="253" w:lineRule="exact"/>
              <w:ind w:left="1471" w:right="567"/>
              <w:rPr>
                <w:sz w:val="21"/>
              </w:rPr>
            </w:pPr>
            <w:r>
              <w:rPr>
                <w:sz w:val="21"/>
              </w:rPr>
              <w:t>二级</w:t>
            </w:r>
          </w:p>
        </w:tc>
        <w:tc>
          <w:tcPr>
            <w:tcW w:w="5174" w:type="dxa"/>
          </w:tcPr>
          <w:p>
            <w:pPr>
              <w:pStyle w:val="14"/>
              <w:spacing w:line="253" w:lineRule="exact"/>
              <w:ind w:left="2174" w:right="1261"/>
              <w:rPr>
                <w:rFonts w:ascii="Times New Roman" w:hAnsi="Times New Roman" w:eastAsia="Times New Roman"/>
                <w:sz w:val="21"/>
              </w:rPr>
            </w:pPr>
            <w:r>
              <w:rPr>
                <w:rFonts w:ascii="Times New Roman" w:hAnsi="Times New Roman" w:eastAsia="Times New Roman"/>
                <w:position w:val="2"/>
                <w:sz w:val="21"/>
              </w:rPr>
              <w:t>1%≤P</w:t>
            </w:r>
            <w:r>
              <w:rPr>
                <w:rFonts w:ascii="Times New Roman" w:hAnsi="Times New Roman" w:eastAsia="Times New Roman"/>
                <w:position w:val="2"/>
                <w:sz w:val="21"/>
                <w:vertAlign w:val="subscript"/>
              </w:rPr>
              <w:t>max</w:t>
            </w:r>
            <w:r>
              <w:rPr>
                <w:position w:val="2"/>
                <w:sz w:val="21"/>
                <w:vertAlign w:val="baseline"/>
              </w:rPr>
              <w:t>＜</w:t>
            </w:r>
            <w:r>
              <w:rPr>
                <w:rFonts w:ascii="Times New Roman" w:hAnsi="Times New Roman" w:eastAsia="Times New Roman"/>
                <w:position w:val="2"/>
                <w:sz w:val="21"/>
                <w:vertAlign w:val="baseline"/>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3348" w:type="dxa"/>
          </w:tcPr>
          <w:p>
            <w:pPr>
              <w:pStyle w:val="14"/>
              <w:spacing w:line="252" w:lineRule="exact"/>
              <w:ind w:left="1471" w:right="567"/>
              <w:rPr>
                <w:sz w:val="21"/>
              </w:rPr>
            </w:pPr>
            <w:r>
              <w:rPr>
                <w:sz w:val="21"/>
              </w:rPr>
              <w:t>三级</w:t>
            </w:r>
          </w:p>
        </w:tc>
        <w:tc>
          <w:tcPr>
            <w:tcW w:w="5174" w:type="dxa"/>
          </w:tcPr>
          <w:p>
            <w:pPr>
              <w:pStyle w:val="14"/>
              <w:spacing w:before="4" w:line="247" w:lineRule="exact"/>
              <w:ind w:left="2174" w:right="1263"/>
              <w:rPr>
                <w:rFonts w:ascii="Times New Roman"/>
                <w:sz w:val="21"/>
              </w:rPr>
            </w:pPr>
            <w:r>
              <w:rPr>
                <w:rFonts w:ascii="Times New Roman"/>
                <w:position w:val="2"/>
                <w:sz w:val="21"/>
              </w:rPr>
              <w:t>P</w:t>
            </w:r>
            <w:r>
              <w:rPr>
                <w:rFonts w:ascii="Times New Roman"/>
                <w:position w:val="2"/>
                <w:sz w:val="21"/>
                <w:vertAlign w:val="subscript"/>
              </w:rPr>
              <w:t>max</w:t>
            </w:r>
            <w:r>
              <w:rPr>
                <w:rFonts w:ascii="Times New Roman"/>
                <w:position w:val="2"/>
                <w:sz w:val="21"/>
                <w:vertAlign w:val="baseline"/>
              </w:rPr>
              <w:t>&lt;1%</w:t>
            </w:r>
          </w:p>
        </w:tc>
      </w:tr>
    </w:tbl>
    <w:p>
      <w:pPr>
        <w:spacing w:after="0" w:line="247" w:lineRule="exact"/>
        <w:rPr>
          <w:rFonts w:ascii="Times New Roman"/>
          <w:sz w:val="21"/>
        </w:rPr>
        <w:sectPr>
          <w:pgSz w:w="11910" w:h="16840"/>
          <w:pgMar w:top="1400" w:right="720" w:bottom="1080" w:left="760" w:header="0" w:footer="895" w:gutter="0"/>
        </w:sectPr>
      </w:pPr>
    </w:p>
    <w:p>
      <w:pPr>
        <w:pStyle w:val="6"/>
        <w:spacing w:before="61" w:line="364" w:lineRule="auto"/>
        <w:ind w:left="658" w:right="697" w:firstLine="480"/>
      </w:pPr>
      <w:r>
        <w:rPr>
          <w:spacing w:val="-4"/>
        </w:rPr>
        <w:t xml:space="preserve">本项目评价因子和评价标准表见表 </w:t>
      </w:r>
      <w:r>
        <w:rPr>
          <w:rFonts w:ascii="Times New Roman" w:eastAsia="Times New Roman"/>
        </w:rPr>
        <w:t>2.4-2</w:t>
      </w:r>
      <w:r>
        <w:t>，大气环境评价工作等级估算模式参数见</w:t>
      </w:r>
      <w:r>
        <w:rPr>
          <w:spacing w:val="-30"/>
        </w:rPr>
        <w:t xml:space="preserve">表 </w:t>
      </w:r>
      <w:r>
        <w:rPr>
          <w:rFonts w:ascii="Times New Roman" w:eastAsia="Times New Roman"/>
          <w:spacing w:val="-3"/>
        </w:rPr>
        <w:t>2.4-3</w:t>
      </w:r>
      <w:r>
        <w:rPr>
          <w:spacing w:val="-8"/>
        </w:rPr>
        <w:t xml:space="preserve">，点源参数参数见表 </w:t>
      </w:r>
      <w:r>
        <w:rPr>
          <w:rFonts w:ascii="Times New Roman" w:eastAsia="Times New Roman"/>
          <w:spacing w:val="-3"/>
        </w:rPr>
        <w:t>2.4-4</w:t>
      </w:r>
      <w:r>
        <w:rPr>
          <w:spacing w:val="-9"/>
        </w:rPr>
        <w:t xml:space="preserve">，面源参数表见表 </w:t>
      </w:r>
      <w:r>
        <w:rPr>
          <w:rFonts w:ascii="Times New Roman" w:eastAsia="Times New Roman"/>
          <w:spacing w:val="-3"/>
        </w:rPr>
        <w:t>2.4-5</w:t>
      </w:r>
      <w:r>
        <w:rPr>
          <w:spacing w:val="-4"/>
        </w:rPr>
        <w:t>，主要污染因子估算模式的计</w:t>
      </w:r>
      <w:r>
        <w:rPr>
          <w:spacing w:val="-10"/>
        </w:rPr>
        <w:t xml:space="preserve">算结果见表 </w:t>
      </w:r>
      <w:r>
        <w:rPr>
          <w:rFonts w:ascii="Times New Roman" w:eastAsia="Times New Roman"/>
        </w:rPr>
        <w:t>2.4-6</w:t>
      </w:r>
      <w:r>
        <w:t>。</w:t>
      </w:r>
    </w:p>
    <w:p>
      <w:pPr>
        <w:pStyle w:val="5"/>
        <w:ind w:left="1553" w:right="1581"/>
        <w:jc w:val="center"/>
      </w:pPr>
      <w:r>
        <w:t xml:space="preserve">表 </w:t>
      </w:r>
      <w:r>
        <w:rPr>
          <w:rFonts w:ascii="Times New Roman" w:eastAsia="Times New Roman"/>
        </w:rPr>
        <w:t xml:space="preserve">2.4-2  </w:t>
      </w:r>
      <w:r>
        <w:t>评价因子和评价标准表</w:t>
      </w:r>
    </w:p>
    <w:tbl>
      <w:tblPr>
        <w:tblStyle w:val="10"/>
        <w:tblW w:w="0" w:type="auto"/>
        <w:tblInd w:w="9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30"/>
        <w:gridCol w:w="2131"/>
        <w:gridCol w:w="2130"/>
        <w:gridCol w:w="2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2130" w:type="dxa"/>
          </w:tcPr>
          <w:p>
            <w:pPr>
              <w:pStyle w:val="14"/>
              <w:spacing w:before="83"/>
              <w:ind w:left="237" w:right="229"/>
              <w:rPr>
                <w:sz w:val="21"/>
              </w:rPr>
            </w:pPr>
            <w:r>
              <w:rPr>
                <w:sz w:val="21"/>
              </w:rPr>
              <w:t>评价因子</w:t>
            </w:r>
          </w:p>
        </w:tc>
        <w:tc>
          <w:tcPr>
            <w:tcW w:w="2131" w:type="dxa"/>
          </w:tcPr>
          <w:p>
            <w:pPr>
              <w:pStyle w:val="14"/>
              <w:spacing w:before="83"/>
              <w:ind w:left="623" w:right="618"/>
              <w:rPr>
                <w:sz w:val="21"/>
              </w:rPr>
            </w:pPr>
            <w:r>
              <w:rPr>
                <w:sz w:val="21"/>
              </w:rPr>
              <w:t>平均时段</w:t>
            </w:r>
          </w:p>
        </w:tc>
        <w:tc>
          <w:tcPr>
            <w:tcW w:w="2130" w:type="dxa"/>
          </w:tcPr>
          <w:p>
            <w:pPr>
              <w:pStyle w:val="14"/>
              <w:spacing w:before="83"/>
              <w:ind w:left="237" w:right="229"/>
              <w:rPr>
                <w:sz w:val="21"/>
              </w:rPr>
            </w:pPr>
            <w:r>
              <w:rPr>
                <w:sz w:val="21"/>
              </w:rPr>
              <w:t>标准值</w:t>
            </w:r>
            <w:r>
              <w:rPr>
                <w:rFonts w:ascii="Times New Roman" w:hAnsi="Times New Roman" w:eastAsia="Times New Roman"/>
                <w:sz w:val="21"/>
              </w:rPr>
              <w:t>/</w:t>
            </w:r>
            <w:r>
              <w:rPr>
                <w:sz w:val="21"/>
              </w:rPr>
              <w:t>（</w:t>
            </w:r>
            <w:r>
              <w:rPr>
                <w:rFonts w:ascii="Times New Roman" w:hAnsi="Times New Roman" w:eastAsia="Times New Roman"/>
                <w:sz w:val="21"/>
              </w:rPr>
              <w:t>μg/m</w:t>
            </w:r>
            <w:r>
              <w:rPr>
                <w:rFonts w:ascii="Times New Roman" w:hAnsi="Times New Roman" w:eastAsia="Times New Roman"/>
                <w:position w:val="7"/>
                <w:sz w:val="13"/>
              </w:rPr>
              <w:t>3</w:t>
            </w:r>
            <w:r>
              <w:rPr>
                <w:sz w:val="21"/>
              </w:rPr>
              <w:t>）</w:t>
            </w:r>
          </w:p>
        </w:tc>
        <w:tc>
          <w:tcPr>
            <w:tcW w:w="2131" w:type="dxa"/>
          </w:tcPr>
          <w:p>
            <w:pPr>
              <w:pStyle w:val="14"/>
              <w:spacing w:before="83"/>
              <w:ind w:left="645"/>
              <w:jc w:val="left"/>
              <w:rPr>
                <w:sz w:val="21"/>
              </w:rPr>
            </w:pPr>
            <w:r>
              <w:rPr>
                <w:sz w:val="21"/>
              </w:rPr>
              <w:t>标准来源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2130" w:type="dxa"/>
          </w:tcPr>
          <w:p>
            <w:pPr>
              <w:pStyle w:val="14"/>
              <w:spacing w:before="76"/>
              <w:ind w:left="237" w:right="228"/>
              <w:rPr>
                <w:rFonts w:ascii="Times New Roman"/>
                <w:sz w:val="21"/>
              </w:rPr>
            </w:pPr>
            <w:r>
              <w:rPr>
                <w:rFonts w:ascii="Times New Roman"/>
                <w:position w:val="2"/>
                <w:sz w:val="21"/>
              </w:rPr>
              <w:t>SO</w:t>
            </w:r>
            <w:r>
              <w:rPr>
                <w:rFonts w:ascii="Times New Roman"/>
                <w:position w:val="2"/>
                <w:sz w:val="21"/>
                <w:vertAlign w:val="subscript"/>
              </w:rPr>
              <w:t>2</w:t>
            </w:r>
          </w:p>
        </w:tc>
        <w:tc>
          <w:tcPr>
            <w:tcW w:w="2131" w:type="dxa"/>
          </w:tcPr>
          <w:p>
            <w:pPr>
              <w:pStyle w:val="14"/>
              <w:spacing w:before="65"/>
              <w:ind w:left="623" w:right="618"/>
              <w:rPr>
                <w:sz w:val="21"/>
              </w:rPr>
            </w:pPr>
            <w:r>
              <w:rPr>
                <w:rFonts w:ascii="Times New Roman" w:eastAsia="Times New Roman"/>
                <w:sz w:val="21"/>
              </w:rPr>
              <w:t xml:space="preserve">1h </w:t>
            </w:r>
            <w:r>
              <w:rPr>
                <w:sz w:val="21"/>
              </w:rPr>
              <w:t>平均</w:t>
            </w:r>
          </w:p>
        </w:tc>
        <w:tc>
          <w:tcPr>
            <w:tcW w:w="2130" w:type="dxa"/>
          </w:tcPr>
          <w:p>
            <w:pPr>
              <w:pStyle w:val="14"/>
              <w:spacing w:before="79"/>
              <w:ind w:left="236" w:right="229"/>
              <w:rPr>
                <w:rFonts w:ascii="Times New Roman"/>
                <w:sz w:val="21"/>
              </w:rPr>
            </w:pPr>
            <w:r>
              <w:rPr>
                <w:rFonts w:ascii="Times New Roman"/>
                <w:sz w:val="21"/>
              </w:rPr>
              <w:t>500</w:t>
            </w:r>
          </w:p>
        </w:tc>
        <w:tc>
          <w:tcPr>
            <w:tcW w:w="2131" w:type="dxa"/>
            <w:vMerge w:val="restart"/>
          </w:tcPr>
          <w:p>
            <w:pPr>
              <w:pStyle w:val="14"/>
              <w:jc w:val="left"/>
              <w:rPr>
                <w:b/>
                <w:sz w:val="16"/>
              </w:rPr>
            </w:pPr>
          </w:p>
          <w:p>
            <w:pPr>
              <w:pStyle w:val="14"/>
              <w:spacing w:line="244" w:lineRule="auto"/>
              <w:ind w:left="107" w:right="-15" w:firstLine="117"/>
              <w:jc w:val="left"/>
              <w:rPr>
                <w:sz w:val="21"/>
              </w:rPr>
            </w:pPr>
            <w:r>
              <w:rPr>
                <w:sz w:val="21"/>
              </w:rPr>
              <w:t xml:space="preserve">《环境空气质量标 </w:t>
            </w:r>
            <w:r>
              <w:rPr>
                <w:spacing w:val="-10"/>
                <w:sz w:val="21"/>
              </w:rPr>
              <w:t>准》</w:t>
            </w:r>
            <w:r>
              <w:rPr>
                <w:sz w:val="21"/>
              </w:rPr>
              <w:t>（</w:t>
            </w:r>
            <w:r>
              <w:rPr>
                <w:rFonts w:ascii="Times New Roman" w:eastAsia="Times New Roman"/>
                <w:sz w:val="21"/>
              </w:rPr>
              <w:t>GB3095-2012</w:t>
            </w:r>
            <w:r>
              <w:rPr>
                <w:sz w:val="21"/>
              </w:rPr>
              <w:t>）</w:t>
            </w:r>
          </w:p>
          <w:p>
            <w:pPr>
              <w:pStyle w:val="14"/>
              <w:spacing w:line="265" w:lineRule="exact"/>
              <w:ind w:left="645"/>
              <w:jc w:val="left"/>
              <w:rPr>
                <w:sz w:val="21"/>
              </w:rPr>
            </w:pPr>
            <w:r>
              <w:rPr>
                <w:sz w:val="21"/>
              </w:rPr>
              <w:t>二级标准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2130" w:type="dxa"/>
          </w:tcPr>
          <w:p>
            <w:pPr>
              <w:pStyle w:val="14"/>
              <w:spacing w:before="76"/>
              <w:ind w:left="237" w:right="225"/>
              <w:rPr>
                <w:rFonts w:ascii="Times New Roman"/>
                <w:sz w:val="21"/>
              </w:rPr>
            </w:pPr>
            <w:r>
              <w:rPr>
                <w:rFonts w:ascii="Times New Roman"/>
                <w:position w:val="2"/>
                <w:sz w:val="21"/>
              </w:rPr>
              <w:t>NO</w:t>
            </w:r>
            <w:r>
              <w:rPr>
                <w:rFonts w:ascii="Times New Roman"/>
                <w:position w:val="2"/>
                <w:sz w:val="21"/>
                <w:vertAlign w:val="subscript"/>
              </w:rPr>
              <w:t>2</w:t>
            </w:r>
          </w:p>
        </w:tc>
        <w:tc>
          <w:tcPr>
            <w:tcW w:w="2131" w:type="dxa"/>
          </w:tcPr>
          <w:p>
            <w:pPr>
              <w:pStyle w:val="14"/>
              <w:spacing w:before="65"/>
              <w:ind w:left="623" w:right="618"/>
              <w:rPr>
                <w:sz w:val="21"/>
              </w:rPr>
            </w:pPr>
            <w:r>
              <w:rPr>
                <w:rFonts w:ascii="Times New Roman" w:eastAsia="Times New Roman"/>
                <w:sz w:val="21"/>
              </w:rPr>
              <w:t xml:space="preserve">1h </w:t>
            </w:r>
            <w:r>
              <w:rPr>
                <w:sz w:val="21"/>
              </w:rPr>
              <w:t>平均</w:t>
            </w:r>
          </w:p>
        </w:tc>
        <w:tc>
          <w:tcPr>
            <w:tcW w:w="2130" w:type="dxa"/>
          </w:tcPr>
          <w:p>
            <w:pPr>
              <w:pStyle w:val="14"/>
              <w:spacing w:before="79"/>
              <w:ind w:left="236" w:right="229"/>
              <w:rPr>
                <w:rFonts w:ascii="Times New Roman"/>
                <w:sz w:val="21"/>
              </w:rPr>
            </w:pPr>
            <w:r>
              <w:rPr>
                <w:rFonts w:ascii="Times New Roman"/>
                <w:sz w:val="21"/>
              </w:rPr>
              <w:t>200</w:t>
            </w:r>
          </w:p>
        </w:tc>
        <w:tc>
          <w:tcPr>
            <w:tcW w:w="213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2130" w:type="dxa"/>
          </w:tcPr>
          <w:p>
            <w:pPr>
              <w:pStyle w:val="14"/>
              <w:spacing w:before="77"/>
              <w:ind w:left="237" w:right="225"/>
              <w:rPr>
                <w:rFonts w:ascii="Times New Roman"/>
                <w:sz w:val="21"/>
              </w:rPr>
            </w:pPr>
            <w:r>
              <w:rPr>
                <w:rFonts w:ascii="Times New Roman"/>
                <w:position w:val="2"/>
                <w:sz w:val="21"/>
              </w:rPr>
              <w:t>PM</w:t>
            </w:r>
            <w:r>
              <w:rPr>
                <w:rFonts w:ascii="Times New Roman"/>
                <w:position w:val="2"/>
                <w:sz w:val="21"/>
                <w:vertAlign w:val="subscript"/>
              </w:rPr>
              <w:t>10</w:t>
            </w:r>
          </w:p>
        </w:tc>
        <w:tc>
          <w:tcPr>
            <w:tcW w:w="2131" w:type="dxa"/>
          </w:tcPr>
          <w:p>
            <w:pPr>
              <w:pStyle w:val="14"/>
              <w:spacing w:before="64"/>
              <w:ind w:left="623" w:right="616"/>
              <w:rPr>
                <w:sz w:val="21"/>
              </w:rPr>
            </w:pPr>
            <w:r>
              <w:rPr>
                <w:sz w:val="21"/>
              </w:rPr>
              <w:t>日平均</w:t>
            </w:r>
          </w:p>
        </w:tc>
        <w:tc>
          <w:tcPr>
            <w:tcW w:w="2130" w:type="dxa"/>
          </w:tcPr>
          <w:p>
            <w:pPr>
              <w:pStyle w:val="14"/>
              <w:spacing w:before="80"/>
              <w:ind w:left="236" w:right="229"/>
              <w:rPr>
                <w:rFonts w:ascii="Times New Roman"/>
                <w:sz w:val="21"/>
              </w:rPr>
            </w:pPr>
            <w:r>
              <w:rPr>
                <w:rFonts w:ascii="Times New Roman"/>
                <w:sz w:val="21"/>
              </w:rPr>
              <w:t>150</w:t>
            </w:r>
          </w:p>
        </w:tc>
        <w:tc>
          <w:tcPr>
            <w:tcW w:w="2131" w:type="dxa"/>
            <w:vMerge w:val="continue"/>
            <w:tcBorders>
              <w:top w:val="nil"/>
            </w:tcBorders>
          </w:tcPr>
          <w:p>
            <w:pPr>
              <w:rPr>
                <w:sz w:val="2"/>
                <w:szCs w:val="2"/>
              </w:rPr>
            </w:pPr>
          </w:p>
        </w:tc>
      </w:tr>
    </w:tbl>
    <w:p>
      <w:pPr>
        <w:spacing w:before="2"/>
        <w:ind w:left="1553" w:right="1583" w:firstLine="0"/>
        <w:jc w:val="center"/>
        <w:rPr>
          <w:b/>
          <w:sz w:val="24"/>
        </w:rPr>
      </w:pPr>
      <w:r>
        <w:rPr>
          <w:b/>
          <w:sz w:val="24"/>
        </w:rPr>
        <w:t xml:space="preserve">表 </w:t>
      </w:r>
      <w:r>
        <w:rPr>
          <w:rFonts w:ascii="Times New Roman" w:eastAsia="Times New Roman"/>
          <w:b/>
          <w:sz w:val="24"/>
        </w:rPr>
        <w:t xml:space="preserve">2.4-3  </w:t>
      </w:r>
      <w:r>
        <w:rPr>
          <w:b/>
          <w:sz w:val="24"/>
        </w:rPr>
        <w:t>估算模式参数选取</w:t>
      </w:r>
    </w:p>
    <w:tbl>
      <w:tblPr>
        <w:tblStyle w:val="10"/>
        <w:tblW w:w="0" w:type="auto"/>
        <w:tblInd w:w="9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40"/>
        <w:gridCol w:w="2841"/>
        <w:gridCol w:w="28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5681" w:type="dxa"/>
            <w:gridSpan w:val="2"/>
          </w:tcPr>
          <w:p>
            <w:pPr>
              <w:pStyle w:val="14"/>
              <w:spacing w:before="1" w:line="251" w:lineRule="exact"/>
              <w:ind w:left="2054" w:right="2047"/>
              <w:rPr>
                <w:sz w:val="21"/>
              </w:rPr>
            </w:pPr>
            <w:r>
              <w:rPr>
                <w:sz w:val="21"/>
              </w:rPr>
              <w:t>参数</w:t>
            </w:r>
          </w:p>
        </w:tc>
        <w:tc>
          <w:tcPr>
            <w:tcW w:w="2841" w:type="dxa"/>
          </w:tcPr>
          <w:p>
            <w:pPr>
              <w:pStyle w:val="14"/>
              <w:spacing w:before="1" w:line="251" w:lineRule="exact"/>
              <w:ind w:left="347" w:right="342"/>
              <w:rPr>
                <w:sz w:val="21"/>
              </w:rPr>
            </w:pPr>
            <w:r>
              <w:rPr>
                <w:sz w:val="21"/>
              </w:rPr>
              <w:t>取值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840" w:type="dxa"/>
            <w:vMerge w:val="restart"/>
          </w:tcPr>
          <w:p>
            <w:pPr>
              <w:pStyle w:val="14"/>
              <w:spacing w:before="141"/>
              <w:ind w:left="760"/>
              <w:jc w:val="left"/>
              <w:rPr>
                <w:sz w:val="21"/>
              </w:rPr>
            </w:pPr>
            <w:r>
              <w:rPr>
                <w:sz w:val="21"/>
              </w:rPr>
              <w:t>城市</w:t>
            </w:r>
            <w:r>
              <w:rPr>
                <w:rFonts w:ascii="Times New Roman" w:eastAsia="Times New Roman"/>
                <w:sz w:val="21"/>
              </w:rPr>
              <w:t>/</w:t>
            </w:r>
            <w:r>
              <w:rPr>
                <w:sz w:val="21"/>
              </w:rPr>
              <w:t>农村选项</w:t>
            </w:r>
          </w:p>
        </w:tc>
        <w:tc>
          <w:tcPr>
            <w:tcW w:w="2841" w:type="dxa"/>
          </w:tcPr>
          <w:p>
            <w:pPr>
              <w:pStyle w:val="14"/>
              <w:spacing w:line="253" w:lineRule="exact"/>
              <w:ind w:left="347" w:right="341"/>
              <w:rPr>
                <w:sz w:val="21"/>
              </w:rPr>
            </w:pPr>
            <w:r>
              <w:rPr>
                <w:sz w:val="21"/>
              </w:rPr>
              <w:t>城市</w:t>
            </w:r>
            <w:r>
              <w:rPr>
                <w:rFonts w:ascii="Times New Roman" w:eastAsia="Times New Roman"/>
                <w:sz w:val="21"/>
              </w:rPr>
              <w:t>/</w:t>
            </w:r>
            <w:r>
              <w:rPr>
                <w:sz w:val="21"/>
              </w:rPr>
              <w:t>农村</w:t>
            </w:r>
          </w:p>
        </w:tc>
        <w:tc>
          <w:tcPr>
            <w:tcW w:w="2841" w:type="dxa"/>
          </w:tcPr>
          <w:p>
            <w:pPr>
              <w:pStyle w:val="14"/>
              <w:spacing w:line="253" w:lineRule="exact"/>
              <w:ind w:left="347" w:right="342"/>
              <w:rPr>
                <w:sz w:val="21"/>
              </w:rPr>
            </w:pPr>
            <w:r>
              <w:rPr>
                <w:sz w:val="21"/>
              </w:rPr>
              <w:t>农村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840" w:type="dxa"/>
            <w:vMerge w:val="continue"/>
            <w:tcBorders>
              <w:top w:val="nil"/>
            </w:tcBorders>
          </w:tcPr>
          <w:p>
            <w:pPr>
              <w:rPr>
                <w:sz w:val="2"/>
                <w:szCs w:val="2"/>
              </w:rPr>
            </w:pPr>
          </w:p>
        </w:tc>
        <w:tc>
          <w:tcPr>
            <w:tcW w:w="2841" w:type="dxa"/>
          </w:tcPr>
          <w:p>
            <w:pPr>
              <w:pStyle w:val="14"/>
              <w:spacing w:line="252" w:lineRule="exact"/>
              <w:ind w:left="347" w:right="344"/>
              <w:rPr>
                <w:sz w:val="21"/>
              </w:rPr>
            </w:pPr>
            <w:r>
              <w:rPr>
                <w:sz w:val="21"/>
              </w:rPr>
              <w:t>人口数（城市选项时）</w:t>
            </w:r>
          </w:p>
        </w:tc>
        <w:tc>
          <w:tcPr>
            <w:tcW w:w="2841" w:type="dxa"/>
          </w:tcPr>
          <w:p>
            <w:pPr>
              <w:pStyle w:val="14"/>
              <w:spacing w:before="14" w:line="238" w:lineRule="exact"/>
              <w:ind w:left="10"/>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5681" w:type="dxa"/>
            <w:gridSpan w:val="2"/>
          </w:tcPr>
          <w:p>
            <w:pPr>
              <w:pStyle w:val="14"/>
              <w:spacing w:before="1" w:line="251" w:lineRule="exact"/>
              <w:ind w:left="2054" w:right="2047"/>
              <w:rPr>
                <w:sz w:val="21"/>
              </w:rPr>
            </w:pPr>
            <w:r>
              <w:rPr>
                <w:sz w:val="21"/>
              </w:rPr>
              <w:t>最高环境温度</w:t>
            </w:r>
            <w:r>
              <w:rPr>
                <w:rFonts w:ascii="Times New Roman" w:hAnsi="Times New Roman" w:eastAsia="Times New Roman"/>
                <w:sz w:val="21"/>
              </w:rPr>
              <w:t>/</w:t>
            </w:r>
            <w:r>
              <w:rPr>
                <w:sz w:val="21"/>
              </w:rPr>
              <w:t>℃</w:t>
            </w:r>
          </w:p>
        </w:tc>
        <w:tc>
          <w:tcPr>
            <w:tcW w:w="2841" w:type="dxa"/>
          </w:tcPr>
          <w:p>
            <w:pPr>
              <w:pStyle w:val="14"/>
              <w:spacing w:before="15" w:line="237" w:lineRule="exact"/>
              <w:ind w:left="347" w:right="339"/>
              <w:rPr>
                <w:rFonts w:ascii="Times New Roman"/>
                <w:sz w:val="21"/>
              </w:rPr>
            </w:pPr>
            <w:r>
              <w:rPr>
                <w:rFonts w:ascii="Times New Roman"/>
                <w:sz w:val="21"/>
              </w:rPr>
              <w:t>35.4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5681" w:type="dxa"/>
            <w:gridSpan w:val="2"/>
          </w:tcPr>
          <w:p>
            <w:pPr>
              <w:pStyle w:val="14"/>
              <w:spacing w:line="252" w:lineRule="exact"/>
              <w:ind w:left="2054" w:right="2047"/>
              <w:rPr>
                <w:sz w:val="21"/>
              </w:rPr>
            </w:pPr>
            <w:r>
              <w:rPr>
                <w:sz w:val="21"/>
              </w:rPr>
              <w:t>最低环境温度</w:t>
            </w:r>
            <w:r>
              <w:rPr>
                <w:rFonts w:ascii="Times New Roman" w:hAnsi="Times New Roman" w:eastAsia="Times New Roman"/>
                <w:sz w:val="21"/>
              </w:rPr>
              <w:t>/</w:t>
            </w:r>
            <w:r>
              <w:rPr>
                <w:sz w:val="21"/>
              </w:rPr>
              <w:t>℃</w:t>
            </w:r>
          </w:p>
        </w:tc>
        <w:tc>
          <w:tcPr>
            <w:tcW w:w="2841" w:type="dxa"/>
          </w:tcPr>
          <w:p>
            <w:pPr>
              <w:pStyle w:val="14"/>
              <w:spacing w:before="13" w:line="239" w:lineRule="exact"/>
              <w:ind w:left="347" w:right="339"/>
              <w:rPr>
                <w:rFonts w:ascii="Times New Roman"/>
                <w:sz w:val="21"/>
              </w:rPr>
            </w:pPr>
            <w:r>
              <w:rPr>
                <w:rFonts w:ascii="Times New Roman"/>
                <w:sz w:val="21"/>
              </w:rPr>
              <w:t>-35.6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5681" w:type="dxa"/>
            <w:gridSpan w:val="2"/>
          </w:tcPr>
          <w:p>
            <w:pPr>
              <w:pStyle w:val="14"/>
              <w:spacing w:line="251" w:lineRule="exact"/>
              <w:ind w:left="2054" w:right="2047"/>
              <w:rPr>
                <w:sz w:val="21"/>
              </w:rPr>
            </w:pPr>
            <w:r>
              <w:rPr>
                <w:sz w:val="21"/>
              </w:rPr>
              <w:t>土地利用类型</w:t>
            </w:r>
          </w:p>
        </w:tc>
        <w:tc>
          <w:tcPr>
            <w:tcW w:w="2841" w:type="dxa"/>
          </w:tcPr>
          <w:p>
            <w:pPr>
              <w:pStyle w:val="14"/>
              <w:spacing w:line="251" w:lineRule="exact"/>
              <w:ind w:left="347" w:right="342"/>
              <w:rPr>
                <w:sz w:val="21"/>
              </w:rPr>
            </w:pPr>
            <w:r>
              <w:rPr>
                <w:sz w:val="21"/>
              </w:rPr>
              <w:t>落叶林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5681" w:type="dxa"/>
            <w:gridSpan w:val="2"/>
          </w:tcPr>
          <w:p>
            <w:pPr>
              <w:pStyle w:val="14"/>
              <w:spacing w:before="1" w:line="251" w:lineRule="exact"/>
              <w:ind w:left="2054" w:right="2047"/>
              <w:rPr>
                <w:sz w:val="21"/>
              </w:rPr>
            </w:pPr>
            <w:r>
              <w:rPr>
                <w:sz w:val="21"/>
              </w:rPr>
              <w:t>区域湿度条件</w:t>
            </w:r>
          </w:p>
        </w:tc>
        <w:tc>
          <w:tcPr>
            <w:tcW w:w="2841" w:type="dxa"/>
          </w:tcPr>
          <w:p>
            <w:pPr>
              <w:pStyle w:val="14"/>
              <w:spacing w:before="1" w:line="251" w:lineRule="exact"/>
              <w:ind w:left="347" w:right="342"/>
              <w:rPr>
                <w:sz w:val="21"/>
              </w:rPr>
            </w:pPr>
            <w:r>
              <w:rPr>
                <w:sz w:val="21"/>
              </w:rPr>
              <w:t>潮湿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2840" w:type="dxa"/>
            <w:vMerge w:val="restart"/>
          </w:tcPr>
          <w:p>
            <w:pPr>
              <w:pStyle w:val="14"/>
              <w:spacing w:before="141"/>
              <w:ind w:left="789"/>
              <w:jc w:val="left"/>
              <w:rPr>
                <w:sz w:val="21"/>
              </w:rPr>
            </w:pPr>
            <w:r>
              <w:rPr>
                <w:sz w:val="21"/>
              </w:rPr>
              <w:t>是否考虑地形</w:t>
            </w:r>
          </w:p>
        </w:tc>
        <w:tc>
          <w:tcPr>
            <w:tcW w:w="2841" w:type="dxa"/>
          </w:tcPr>
          <w:p>
            <w:pPr>
              <w:pStyle w:val="14"/>
              <w:spacing w:line="252" w:lineRule="exact"/>
              <w:ind w:left="347" w:right="341"/>
              <w:rPr>
                <w:sz w:val="21"/>
              </w:rPr>
            </w:pPr>
            <w:r>
              <w:rPr>
                <w:sz w:val="21"/>
              </w:rPr>
              <w:t>考虑地形</w:t>
            </w:r>
          </w:p>
        </w:tc>
        <w:tc>
          <w:tcPr>
            <w:tcW w:w="2841" w:type="dxa"/>
          </w:tcPr>
          <w:p>
            <w:pPr>
              <w:pStyle w:val="14"/>
              <w:spacing w:line="252" w:lineRule="exact"/>
              <w:ind w:left="7"/>
              <w:rPr>
                <w:sz w:val="21"/>
              </w:rPr>
            </w:pPr>
            <w:r>
              <w:rPr>
                <w:w w:val="99"/>
                <w:sz w:val="21"/>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840" w:type="dxa"/>
            <w:vMerge w:val="continue"/>
            <w:tcBorders>
              <w:top w:val="nil"/>
            </w:tcBorders>
          </w:tcPr>
          <w:p>
            <w:pPr>
              <w:rPr>
                <w:sz w:val="2"/>
                <w:szCs w:val="2"/>
              </w:rPr>
            </w:pPr>
          </w:p>
        </w:tc>
        <w:tc>
          <w:tcPr>
            <w:tcW w:w="2841" w:type="dxa"/>
          </w:tcPr>
          <w:p>
            <w:pPr>
              <w:pStyle w:val="14"/>
              <w:spacing w:line="251" w:lineRule="exact"/>
              <w:ind w:left="347" w:right="340"/>
              <w:rPr>
                <w:rFonts w:ascii="Times New Roman" w:eastAsia="Times New Roman"/>
                <w:sz w:val="21"/>
              </w:rPr>
            </w:pPr>
            <w:r>
              <w:rPr>
                <w:sz w:val="21"/>
              </w:rPr>
              <w:t>地形数据分辨率</w:t>
            </w:r>
            <w:r>
              <w:rPr>
                <w:rFonts w:ascii="Times New Roman" w:eastAsia="Times New Roman"/>
                <w:sz w:val="21"/>
              </w:rPr>
              <w:t>/m</w:t>
            </w:r>
          </w:p>
        </w:tc>
        <w:tc>
          <w:tcPr>
            <w:tcW w:w="2841" w:type="dxa"/>
          </w:tcPr>
          <w:p>
            <w:pPr>
              <w:pStyle w:val="14"/>
              <w:spacing w:before="14" w:line="237" w:lineRule="exact"/>
              <w:ind w:left="347" w:right="339"/>
              <w:rPr>
                <w:rFonts w:ascii="Times New Roman"/>
                <w:sz w:val="21"/>
              </w:rPr>
            </w:pPr>
            <w:r>
              <w:rPr>
                <w:rFonts w:ascii="Times New Roman"/>
                <w:sz w:val="21"/>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840" w:type="dxa"/>
            <w:vMerge w:val="restart"/>
          </w:tcPr>
          <w:p>
            <w:pPr>
              <w:pStyle w:val="14"/>
              <w:jc w:val="left"/>
              <w:rPr>
                <w:b/>
                <w:sz w:val="22"/>
              </w:rPr>
            </w:pPr>
          </w:p>
          <w:p>
            <w:pPr>
              <w:pStyle w:val="14"/>
              <w:spacing w:before="1"/>
              <w:ind w:left="580"/>
              <w:jc w:val="left"/>
              <w:rPr>
                <w:sz w:val="21"/>
              </w:rPr>
            </w:pPr>
            <w:r>
              <w:rPr>
                <w:sz w:val="21"/>
              </w:rPr>
              <w:t>是否考虑岸线熏烟</w:t>
            </w:r>
          </w:p>
        </w:tc>
        <w:tc>
          <w:tcPr>
            <w:tcW w:w="2841" w:type="dxa"/>
          </w:tcPr>
          <w:p>
            <w:pPr>
              <w:pStyle w:val="14"/>
              <w:spacing w:before="2" w:line="251" w:lineRule="exact"/>
              <w:ind w:left="347" w:right="344"/>
              <w:rPr>
                <w:sz w:val="21"/>
              </w:rPr>
            </w:pPr>
            <w:r>
              <w:rPr>
                <w:sz w:val="21"/>
              </w:rPr>
              <w:t>考虑岸线熏烟</w:t>
            </w:r>
          </w:p>
        </w:tc>
        <w:tc>
          <w:tcPr>
            <w:tcW w:w="2841" w:type="dxa"/>
          </w:tcPr>
          <w:p>
            <w:pPr>
              <w:pStyle w:val="14"/>
              <w:spacing w:before="2" w:line="251" w:lineRule="exact"/>
              <w:ind w:left="7"/>
              <w:rPr>
                <w:sz w:val="21"/>
              </w:rPr>
            </w:pPr>
            <w:r>
              <w:rPr>
                <w:w w:val="99"/>
                <w:sz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840" w:type="dxa"/>
            <w:vMerge w:val="continue"/>
            <w:tcBorders>
              <w:top w:val="nil"/>
            </w:tcBorders>
          </w:tcPr>
          <w:p>
            <w:pPr>
              <w:rPr>
                <w:sz w:val="2"/>
                <w:szCs w:val="2"/>
              </w:rPr>
            </w:pPr>
          </w:p>
        </w:tc>
        <w:tc>
          <w:tcPr>
            <w:tcW w:w="2841" w:type="dxa"/>
          </w:tcPr>
          <w:p>
            <w:pPr>
              <w:pStyle w:val="14"/>
              <w:spacing w:line="252" w:lineRule="exact"/>
              <w:ind w:left="347" w:right="340"/>
              <w:rPr>
                <w:rFonts w:ascii="Times New Roman" w:eastAsia="Times New Roman"/>
                <w:sz w:val="21"/>
              </w:rPr>
            </w:pPr>
            <w:r>
              <w:rPr>
                <w:sz w:val="21"/>
              </w:rPr>
              <w:t>岸线距离</w:t>
            </w:r>
            <w:r>
              <w:rPr>
                <w:rFonts w:ascii="Times New Roman" w:eastAsia="Times New Roman"/>
                <w:sz w:val="21"/>
              </w:rPr>
              <w:t>/km</w:t>
            </w:r>
          </w:p>
        </w:tc>
        <w:tc>
          <w:tcPr>
            <w:tcW w:w="2841" w:type="dxa"/>
          </w:tcPr>
          <w:p>
            <w:pPr>
              <w:pStyle w:val="14"/>
              <w:spacing w:before="13" w:line="238" w:lineRule="exact"/>
              <w:ind w:left="10"/>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2840" w:type="dxa"/>
            <w:vMerge w:val="continue"/>
            <w:tcBorders>
              <w:top w:val="nil"/>
            </w:tcBorders>
          </w:tcPr>
          <w:p>
            <w:pPr>
              <w:rPr>
                <w:sz w:val="2"/>
                <w:szCs w:val="2"/>
              </w:rPr>
            </w:pPr>
          </w:p>
        </w:tc>
        <w:tc>
          <w:tcPr>
            <w:tcW w:w="2841" w:type="dxa"/>
          </w:tcPr>
          <w:p>
            <w:pPr>
              <w:pStyle w:val="14"/>
              <w:spacing w:before="1" w:line="251" w:lineRule="exact"/>
              <w:ind w:left="347" w:right="337"/>
              <w:rPr>
                <w:rFonts w:ascii="Times New Roman" w:hAnsi="Times New Roman" w:eastAsia="Times New Roman"/>
                <w:sz w:val="21"/>
              </w:rPr>
            </w:pPr>
            <w:r>
              <w:rPr>
                <w:sz w:val="21"/>
              </w:rPr>
              <w:t>岸线方向</w:t>
            </w:r>
            <w:r>
              <w:rPr>
                <w:rFonts w:ascii="Times New Roman" w:hAnsi="Times New Roman" w:eastAsia="Times New Roman"/>
                <w:sz w:val="21"/>
              </w:rPr>
              <w:t>/°</w:t>
            </w:r>
          </w:p>
        </w:tc>
        <w:tc>
          <w:tcPr>
            <w:tcW w:w="2841" w:type="dxa"/>
          </w:tcPr>
          <w:p>
            <w:pPr>
              <w:pStyle w:val="14"/>
              <w:spacing w:before="15" w:line="237" w:lineRule="exact"/>
              <w:ind w:left="10"/>
              <w:rPr>
                <w:rFonts w:ascii="Times New Roman"/>
                <w:sz w:val="21"/>
              </w:rPr>
            </w:pPr>
            <w:r>
              <w:rPr>
                <w:rFonts w:ascii="Times New Roman"/>
                <w:w w:val="99"/>
                <w:sz w:val="21"/>
              </w:rPr>
              <w:t>/</w:t>
            </w:r>
          </w:p>
        </w:tc>
      </w:tr>
    </w:tbl>
    <w:p>
      <w:pPr>
        <w:spacing w:before="1" w:after="4"/>
        <w:ind w:left="1553" w:right="1585" w:firstLine="0"/>
        <w:jc w:val="center"/>
        <w:rPr>
          <w:b/>
          <w:sz w:val="24"/>
        </w:rPr>
      </w:pPr>
      <w:r>
        <w:rPr>
          <w:b/>
          <w:spacing w:val="-32"/>
          <w:sz w:val="24"/>
        </w:rPr>
        <w:t xml:space="preserve">表 </w:t>
      </w:r>
      <w:r>
        <w:rPr>
          <w:rFonts w:ascii="Times New Roman" w:eastAsia="Times New Roman"/>
          <w:b/>
          <w:sz w:val="24"/>
        </w:rPr>
        <w:t>2.4-4</w:t>
      </w:r>
      <w:r>
        <w:rPr>
          <w:rFonts w:ascii="Times New Roman" w:eastAsia="Times New Roman"/>
          <w:b/>
          <w:spacing w:val="1"/>
          <w:sz w:val="24"/>
        </w:rPr>
        <w:t xml:space="preserve"> </w:t>
      </w:r>
      <w:r>
        <w:rPr>
          <w:b/>
          <w:sz w:val="24"/>
        </w:rPr>
        <w:t>点源参数表</w:t>
      </w:r>
    </w:p>
    <w:tbl>
      <w:tblPr>
        <w:tblStyle w:val="10"/>
        <w:tblW w:w="0" w:type="auto"/>
        <w:tblInd w:w="3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5"/>
        <w:gridCol w:w="1243"/>
        <w:gridCol w:w="1029"/>
        <w:gridCol w:w="1007"/>
        <w:gridCol w:w="728"/>
        <w:gridCol w:w="697"/>
        <w:gridCol w:w="728"/>
        <w:gridCol w:w="600"/>
        <w:gridCol w:w="714"/>
        <w:gridCol w:w="697"/>
        <w:gridCol w:w="621"/>
        <w:gridCol w:w="643"/>
        <w:gridCol w:w="6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05" w:type="dxa"/>
            <w:vMerge w:val="restart"/>
          </w:tcPr>
          <w:p>
            <w:pPr>
              <w:pStyle w:val="14"/>
              <w:spacing w:before="136" w:line="242" w:lineRule="auto"/>
              <w:ind w:left="97" w:right="86"/>
              <w:jc w:val="left"/>
              <w:rPr>
                <w:sz w:val="21"/>
              </w:rPr>
            </w:pPr>
            <w:r>
              <w:rPr>
                <w:sz w:val="21"/>
              </w:rPr>
              <w:t>编号</w:t>
            </w:r>
          </w:p>
        </w:tc>
        <w:tc>
          <w:tcPr>
            <w:tcW w:w="1243" w:type="dxa"/>
            <w:vMerge w:val="restart"/>
          </w:tcPr>
          <w:p>
            <w:pPr>
              <w:pStyle w:val="14"/>
              <w:spacing w:before="3"/>
              <w:jc w:val="left"/>
              <w:rPr>
                <w:b/>
                <w:sz w:val="21"/>
              </w:rPr>
            </w:pPr>
          </w:p>
          <w:p>
            <w:pPr>
              <w:pStyle w:val="14"/>
              <w:spacing w:before="1"/>
              <w:ind w:left="201"/>
              <w:jc w:val="left"/>
              <w:rPr>
                <w:sz w:val="21"/>
              </w:rPr>
            </w:pPr>
            <w:r>
              <w:rPr>
                <w:sz w:val="21"/>
              </w:rPr>
              <w:t>点源名称</w:t>
            </w:r>
          </w:p>
        </w:tc>
        <w:tc>
          <w:tcPr>
            <w:tcW w:w="1029" w:type="dxa"/>
            <w:vMerge w:val="restart"/>
          </w:tcPr>
          <w:p>
            <w:pPr>
              <w:pStyle w:val="14"/>
              <w:spacing w:before="136" w:line="242" w:lineRule="auto"/>
              <w:ind w:left="198" w:right="83" w:hanging="106"/>
              <w:jc w:val="left"/>
              <w:rPr>
                <w:sz w:val="21"/>
              </w:rPr>
            </w:pPr>
            <w:r>
              <w:rPr>
                <w:sz w:val="21"/>
              </w:rPr>
              <w:t>排气筒底部坐标</w:t>
            </w:r>
          </w:p>
        </w:tc>
        <w:tc>
          <w:tcPr>
            <w:tcW w:w="1007" w:type="dxa"/>
            <w:vMerge w:val="restart"/>
          </w:tcPr>
          <w:p>
            <w:pPr>
              <w:pStyle w:val="14"/>
              <w:spacing w:line="268" w:lineRule="exact"/>
              <w:ind w:left="81"/>
              <w:jc w:val="left"/>
              <w:rPr>
                <w:sz w:val="21"/>
              </w:rPr>
            </w:pPr>
            <w:r>
              <w:rPr>
                <w:sz w:val="21"/>
              </w:rPr>
              <w:t>排气筒底</w:t>
            </w:r>
          </w:p>
          <w:p>
            <w:pPr>
              <w:pStyle w:val="14"/>
              <w:spacing w:before="3" w:line="270" w:lineRule="atLeast"/>
              <w:ind w:left="288" w:right="72" w:hanging="207"/>
              <w:jc w:val="left"/>
              <w:rPr>
                <w:rFonts w:ascii="Times New Roman" w:eastAsia="Times New Roman"/>
                <w:sz w:val="21"/>
              </w:rPr>
            </w:pPr>
            <w:r>
              <w:rPr>
                <w:sz w:val="21"/>
              </w:rPr>
              <w:t>部海拔高度</w:t>
            </w:r>
            <w:r>
              <w:rPr>
                <w:rFonts w:ascii="Times New Roman" w:eastAsia="Times New Roman"/>
                <w:sz w:val="21"/>
              </w:rPr>
              <w:t>/m</w:t>
            </w:r>
          </w:p>
        </w:tc>
        <w:tc>
          <w:tcPr>
            <w:tcW w:w="728" w:type="dxa"/>
            <w:vMerge w:val="restart"/>
          </w:tcPr>
          <w:p>
            <w:pPr>
              <w:pStyle w:val="14"/>
              <w:spacing w:line="268" w:lineRule="exact"/>
              <w:ind w:left="152"/>
              <w:jc w:val="left"/>
              <w:rPr>
                <w:sz w:val="21"/>
              </w:rPr>
            </w:pPr>
            <w:r>
              <w:rPr>
                <w:spacing w:val="-1"/>
                <w:w w:val="95"/>
                <w:sz w:val="21"/>
              </w:rPr>
              <w:t>排气</w:t>
            </w:r>
          </w:p>
          <w:p>
            <w:pPr>
              <w:pStyle w:val="14"/>
              <w:spacing w:before="3" w:line="270" w:lineRule="atLeast"/>
              <w:ind w:left="147" w:right="139" w:firstLine="4"/>
              <w:jc w:val="left"/>
              <w:rPr>
                <w:rFonts w:ascii="Times New Roman" w:eastAsia="Times New Roman"/>
                <w:sz w:val="21"/>
              </w:rPr>
            </w:pPr>
            <w:r>
              <w:rPr>
                <w:sz w:val="21"/>
              </w:rPr>
              <w:t>筒高</w:t>
            </w:r>
            <w:r>
              <w:rPr>
                <w:w w:val="95"/>
                <w:sz w:val="21"/>
              </w:rPr>
              <w:t>度</w:t>
            </w:r>
            <w:r>
              <w:rPr>
                <w:rFonts w:ascii="Times New Roman" w:eastAsia="Times New Roman"/>
                <w:spacing w:val="-9"/>
                <w:w w:val="95"/>
                <w:sz w:val="21"/>
              </w:rPr>
              <w:t>/m</w:t>
            </w:r>
          </w:p>
        </w:tc>
        <w:tc>
          <w:tcPr>
            <w:tcW w:w="697" w:type="dxa"/>
            <w:vMerge w:val="restart"/>
          </w:tcPr>
          <w:p>
            <w:pPr>
              <w:pStyle w:val="14"/>
              <w:spacing w:line="268" w:lineRule="exact"/>
              <w:ind w:left="137"/>
              <w:jc w:val="left"/>
              <w:rPr>
                <w:sz w:val="21"/>
              </w:rPr>
            </w:pPr>
            <w:r>
              <w:rPr>
                <w:spacing w:val="-1"/>
                <w:w w:val="95"/>
                <w:sz w:val="21"/>
              </w:rPr>
              <w:t>排气</w:t>
            </w:r>
          </w:p>
          <w:p>
            <w:pPr>
              <w:pStyle w:val="14"/>
              <w:spacing w:before="3" w:line="270" w:lineRule="atLeast"/>
              <w:ind w:left="132" w:right="121" w:firstLine="4"/>
              <w:jc w:val="left"/>
              <w:rPr>
                <w:rFonts w:ascii="Times New Roman" w:eastAsia="Times New Roman"/>
                <w:sz w:val="21"/>
              </w:rPr>
            </w:pPr>
            <w:r>
              <w:rPr>
                <w:sz w:val="21"/>
              </w:rPr>
              <w:t>筒内径</w:t>
            </w:r>
            <w:r>
              <w:rPr>
                <w:rFonts w:ascii="Times New Roman" w:eastAsia="Times New Roman"/>
                <w:spacing w:val="-10"/>
                <w:sz w:val="21"/>
              </w:rPr>
              <w:t>/m</w:t>
            </w:r>
          </w:p>
        </w:tc>
        <w:tc>
          <w:tcPr>
            <w:tcW w:w="728" w:type="dxa"/>
            <w:vMerge w:val="restart"/>
          </w:tcPr>
          <w:p>
            <w:pPr>
              <w:pStyle w:val="14"/>
              <w:spacing w:line="244" w:lineRule="auto"/>
              <w:ind w:left="153" w:right="145"/>
              <w:jc w:val="left"/>
              <w:rPr>
                <w:sz w:val="21"/>
              </w:rPr>
            </w:pPr>
            <w:r>
              <w:rPr>
                <w:spacing w:val="-9"/>
                <w:sz w:val="21"/>
              </w:rPr>
              <w:t>烟气</w:t>
            </w:r>
            <w:r>
              <w:rPr>
                <w:spacing w:val="-9"/>
                <w:w w:val="95"/>
                <w:sz w:val="21"/>
              </w:rPr>
              <w:t>流速</w:t>
            </w:r>
          </w:p>
          <w:p>
            <w:pPr>
              <w:pStyle w:val="14"/>
              <w:spacing w:line="249" w:lineRule="exact"/>
              <w:ind w:left="54"/>
              <w:jc w:val="left"/>
              <w:rPr>
                <w:rFonts w:ascii="Times New Roman" w:eastAsia="Times New Roman"/>
                <w:sz w:val="21"/>
              </w:rPr>
            </w:pPr>
            <w:r>
              <w:rPr>
                <w:spacing w:val="-207"/>
                <w:w w:val="99"/>
                <w:sz w:val="21"/>
              </w:rPr>
              <w:t>（</w:t>
            </w:r>
            <w:r>
              <w:rPr>
                <w:rFonts w:ascii="Times New Roman" w:eastAsia="Times New Roman"/>
                <w:w w:val="99"/>
                <w:sz w:val="21"/>
              </w:rPr>
              <w:t>/</w:t>
            </w:r>
            <w:r>
              <w:rPr>
                <w:rFonts w:ascii="Times New Roman" w:eastAsia="Times New Roman"/>
                <w:sz w:val="21"/>
              </w:rPr>
              <w:t xml:space="preserve">  </w:t>
            </w:r>
            <w:r>
              <w:rPr>
                <w:rFonts w:ascii="Times New Roman" w:eastAsia="Times New Roman"/>
                <w:spacing w:val="-10"/>
                <w:sz w:val="21"/>
              </w:rPr>
              <w:t xml:space="preserve"> </w:t>
            </w:r>
            <w:r>
              <w:rPr>
                <w:rFonts w:ascii="Times New Roman" w:eastAsia="Times New Roman"/>
                <w:spacing w:val="-2"/>
                <w:w w:val="99"/>
                <w:sz w:val="21"/>
              </w:rPr>
              <w:t>m</w:t>
            </w:r>
            <w:r>
              <w:rPr>
                <w:rFonts w:ascii="Times New Roman" w:eastAsia="Times New Roman"/>
                <w:spacing w:val="1"/>
                <w:w w:val="99"/>
                <w:sz w:val="21"/>
              </w:rPr>
              <w:t>/</w:t>
            </w:r>
            <w:r>
              <w:rPr>
                <w:rFonts w:ascii="Times New Roman" w:eastAsia="Times New Roman"/>
                <w:w w:val="99"/>
                <w:sz w:val="21"/>
              </w:rPr>
              <w:t>s</w:t>
            </w:r>
          </w:p>
        </w:tc>
        <w:tc>
          <w:tcPr>
            <w:tcW w:w="600" w:type="dxa"/>
            <w:vMerge w:val="restart"/>
          </w:tcPr>
          <w:p>
            <w:pPr>
              <w:pStyle w:val="14"/>
              <w:spacing w:line="244" w:lineRule="auto"/>
              <w:ind w:left="89" w:right="80"/>
              <w:jc w:val="right"/>
              <w:rPr>
                <w:sz w:val="21"/>
              </w:rPr>
            </w:pPr>
            <w:r>
              <w:rPr>
                <w:spacing w:val="-9"/>
                <w:w w:val="95"/>
                <w:sz w:val="21"/>
              </w:rPr>
              <w:t>烟气温度</w:t>
            </w:r>
          </w:p>
          <w:p>
            <w:pPr>
              <w:pStyle w:val="14"/>
              <w:spacing w:line="249" w:lineRule="exact"/>
              <w:ind w:left="-163" w:right="154"/>
              <w:jc w:val="right"/>
              <w:rPr>
                <w:sz w:val="21"/>
              </w:rPr>
            </w:pPr>
            <w:r>
              <w:rPr>
                <w:sz w:val="21"/>
              </w:rPr>
              <w:t>）</w:t>
            </w:r>
            <w:r>
              <w:rPr>
                <w:spacing w:val="13"/>
                <w:sz w:val="21"/>
              </w:rPr>
              <w:t xml:space="preserve"> </w:t>
            </w:r>
            <w:r>
              <w:rPr>
                <w:rFonts w:ascii="Times New Roman" w:hAnsi="Times New Roman" w:eastAsia="Times New Roman"/>
                <w:spacing w:val="-9"/>
                <w:sz w:val="21"/>
              </w:rPr>
              <w:t>/</w:t>
            </w:r>
            <w:r>
              <w:rPr>
                <w:spacing w:val="-9"/>
                <w:sz w:val="21"/>
              </w:rPr>
              <w:t>℃</w:t>
            </w:r>
          </w:p>
        </w:tc>
        <w:tc>
          <w:tcPr>
            <w:tcW w:w="714" w:type="dxa"/>
            <w:vMerge w:val="restart"/>
          </w:tcPr>
          <w:p>
            <w:pPr>
              <w:pStyle w:val="14"/>
              <w:spacing w:line="268" w:lineRule="exact"/>
              <w:ind w:left="147"/>
              <w:jc w:val="left"/>
              <w:rPr>
                <w:sz w:val="21"/>
              </w:rPr>
            </w:pPr>
            <w:r>
              <w:rPr>
                <w:sz w:val="21"/>
              </w:rPr>
              <w:t>年排</w:t>
            </w:r>
          </w:p>
          <w:p>
            <w:pPr>
              <w:pStyle w:val="14"/>
              <w:spacing w:before="3" w:line="270" w:lineRule="atLeast"/>
              <w:ind w:left="63" w:right="56" w:firstLine="84"/>
              <w:jc w:val="left"/>
              <w:rPr>
                <w:rFonts w:ascii="Times New Roman" w:eastAsia="Times New Roman"/>
                <w:sz w:val="21"/>
              </w:rPr>
            </w:pPr>
            <w:r>
              <w:rPr>
                <w:sz w:val="21"/>
              </w:rPr>
              <w:t>放小时数</w:t>
            </w:r>
            <w:r>
              <w:rPr>
                <w:rFonts w:ascii="Times New Roman" w:eastAsia="Times New Roman"/>
                <w:sz w:val="21"/>
              </w:rPr>
              <w:t>/h</w:t>
            </w:r>
          </w:p>
        </w:tc>
        <w:tc>
          <w:tcPr>
            <w:tcW w:w="697" w:type="dxa"/>
            <w:vMerge w:val="restart"/>
          </w:tcPr>
          <w:p>
            <w:pPr>
              <w:pStyle w:val="14"/>
              <w:spacing w:before="136" w:line="242" w:lineRule="auto"/>
              <w:ind w:left="136" w:right="130"/>
              <w:jc w:val="left"/>
              <w:rPr>
                <w:sz w:val="21"/>
              </w:rPr>
            </w:pPr>
            <w:r>
              <w:rPr>
                <w:sz w:val="21"/>
              </w:rPr>
              <w:t>排放工况</w:t>
            </w:r>
          </w:p>
        </w:tc>
        <w:tc>
          <w:tcPr>
            <w:tcW w:w="1930" w:type="dxa"/>
            <w:gridSpan w:val="3"/>
          </w:tcPr>
          <w:p>
            <w:pPr>
              <w:pStyle w:val="14"/>
              <w:spacing w:line="252" w:lineRule="exact"/>
              <w:ind w:left="229"/>
              <w:jc w:val="left"/>
              <w:rPr>
                <w:sz w:val="21"/>
              </w:rPr>
            </w:pPr>
            <w:r>
              <w:rPr>
                <w:sz w:val="21"/>
              </w:rPr>
              <w:t>污染物排放速率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405" w:type="dxa"/>
            <w:vMerge w:val="continue"/>
            <w:tcBorders>
              <w:top w:val="nil"/>
            </w:tcBorders>
          </w:tcPr>
          <w:p>
            <w:pPr>
              <w:rPr>
                <w:sz w:val="2"/>
                <w:szCs w:val="2"/>
              </w:rPr>
            </w:pPr>
          </w:p>
        </w:tc>
        <w:tc>
          <w:tcPr>
            <w:tcW w:w="1243" w:type="dxa"/>
            <w:vMerge w:val="continue"/>
            <w:tcBorders>
              <w:top w:val="nil"/>
            </w:tcBorders>
          </w:tcPr>
          <w:p>
            <w:pPr>
              <w:rPr>
                <w:sz w:val="2"/>
                <w:szCs w:val="2"/>
              </w:rPr>
            </w:pPr>
          </w:p>
        </w:tc>
        <w:tc>
          <w:tcPr>
            <w:tcW w:w="1029" w:type="dxa"/>
            <w:vMerge w:val="continue"/>
            <w:tcBorders>
              <w:top w:val="nil"/>
            </w:tcBorders>
          </w:tcPr>
          <w:p>
            <w:pPr>
              <w:rPr>
                <w:sz w:val="2"/>
                <w:szCs w:val="2"/>
              </w:rPr>
            </w:pPr>
          </w:p>
        </w:tc>
        <w:tc>
          <w:tcPr>
            <w:tcW w:w="1007" w:type="dxa"/>
            <w:vMerge w:val="continue"/>
            <w:tcBorders>
              <w:top w:val="nil"/>
            </w:tcBorders>
          </w:tcPr>
          <w:p>
            <w:pPr>
              <w:rPr>
                <w:sz w:val="2"/>
                <w:szCs w:val="2"/>
              </w:rPr>
            </w:pPr>
          </w:p>
        </w:tc>
        <w:tc>
          <w:tcPr>
            <w:tcW w:w="728" w:type="dxa"/>
            <w:vMerge w:val="continue"/>
            <w:tcBorders>
              <w:top w:val="nil"/>
            </w:tcBorders>
          </w:tcPr>
          <w:p>
            <w:pPr>
              <w:rPr>
                <w:sz w:val="2"/>
                <w:szCs w:val="2"/>
              </w:rPr>
            </w:pPr>
          </w:p>
        </w:tc>
        <w:tc>
          <w:tcPr>
            <w:tcW w:w="697" w:type="dxa"/>
            <w:vMerge w:val="continue"/>
            <w:tcBorders>
              <w:top w:val="nil"/>
            </w:tcBorders>
          </w:tcPr>
          <w:p>
            <w:pPr>
              <w:rPr>
                <w:sz w:val="2"/>
                <w:szCs w:val="2"/>
              </w:rPr>
            </w:pPr>
          </w:p>
        </w:tc>
        <w:tc>
          <w:tcPr>
            <w:tcW w:w="728" w:type="dxa"/>
            <w:vMerge w:val="continue"/>
            <w:tcBorders>
              <w:top w:val="nil"/>
            </w:tcBorders>
          </w:tcPr>
          <w:p>
            <w:pPr>
              <w:rPr>
                <w:sz w:val="2"/>
                <w:szCs w:val="2"/>
              </w:rPr>
            </w:pPr>
          </w:p>
        </w:tc>
        <w:tc>
          <w:tcPr>
            <w:tcW w:w="600" w:type="dxa"/>
            <w:vMerge w:val="continue"/>
            <w:tcBorders>
              <w:top w:val="nil"/>
            </w:tcBorders>
          </w:tcPr>
          <w:p>
            <w:pPr>
              <w:rPr>
                <w:sz w:val="2"/>
                <w:szCs w:val="2"/>
              </w:rPr>
            </w:pPr>
          </w:p>
        </w:tc>
        <w:tc>
          <w:tcPr>
            <w:tcW w:w="714" w:type="dxa"/>
            <w:vMerge w:val="continue"/>
            <w:tcBorders>
              <w:top w:val="nil"/>
            </w:tcBorders>
          </w:tcPr>
          <w:p>
            <w:pPr>
              <w:rPr>
                <w:sz w:val="2"/>
                <w:szCs w:val="2"/>
              </w:rPr>
            </w:pPr>
          </w:p>
        </w:tc>
        <w:tc>
          <w:tcPr>
            <w:tcW w:w="697" w:type="dxa"/>
            <w:vMerge w:val="continue"/>
            <w:tcBorders>
              <w:top w:val="nil"/>
            </w:tcBorders>
          </w:tcPr>
          <w:p>
            <w:pPr>
              <w:rPr>
                <w:sz w:val="2"/>
                <w:szCs w:val="2"/>
              </w:rPr>
            </w:pPr>
          </w:p>
        </w:tc>
        <w:tc>
          <w:tcPr>
            <w:tcW w:w="1930" w:type="dxa"/>
            <w:gridSpan w:val="3"/>
          </w:tcPr>
          <w:p>
            <w:pPr>
              <w:pStyle w:val="14"/>
              <w:spacing w:line="221" w:lineRule="exact"/>
              <w:ind w:left="755" w:right="751"/>
              <w:rPr>
                <w:rFonts w:ascii="Times New Roman"/>
                <w:sz w:val="21"/>
              </w:rPr>
            </w:pPr>
            <w:r>
              <w:rPr>
                <w:rFonts w:ascii="Times New Roman"/>
                <w:sz w:val="21"/>
              </w:rPr>
              <w:t>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405" w:type="dxa"/>
            <w:vMerge w:val="continue"/>
            <w:tcBorders>
              <w:top w:val="nil"/>
            </w:tcBorders>
          </w:tcPr>
          <w:p>
            <w:pPr>
              <w:rPr>
                <w:sz w:val="2"/>
                <w:szCs w:val="2"/>
              </w:rPr>
            </w:pPr>
          </w:p>
        </w:tc>
        <w:tc>
          <w:tcPr>
            <w:tcW w:w="1243" w:type="dxa"/>
            <w:vMerge w:val="continue"/>
            <w:tcBorders>
              <w:top w:val="nil"/>
            </w:tcBorders>
          </w:tcPr>
          <w:p>
            <w:pPr>
              <w:rPr>
                <w:sz w:val="2"/>
                <w:szCs w:val="2"/>
              </w:rPr>
            </w:pPr>
          </w:p>
        </w:tc>
        <w:tc>
          <w:tcPr>
            <w:tcW w:w="1029" w:type="dxa"/>
            <w:vMerge w:val="continue"/>
            <w:tcBorders>
              <w:top w:val="nil"/>
            </w:tcBorders>
          </w:tcPr>
          <w:p>
            <w:pPr>
              <w:rPr>
                <w:sz w:val="2"/>
                <w:szCs w:val="2"/>
              </w:rPr>
            </w:pPr>
          </w:p>
        </w:tc>
        <w:tc>
          <w:tcPr>
            <w:tcW w:w="1007" w:type="dxa"/>
            <w:vMerge w:val="continue"/>
            <w:tcBorders>
              <w:top w:val="nil"/>
            </w:tcBorders>
          </w:tcPr>
          <w:p>
            <w:pPr>
              <w:rPr>
                <w:sz w:val="2"/>
                <w:szCs w:val="2"/>
              </w:rPr>
            </w:pPr>
          </w:p>
        </w:tc>
        <w:tc>
          <w:tcPr>
            <w:tcW w:w="728" w:type="dxa"/>
            <w:vMerge w:val="continue"/>
            <w:tcBorders>
              <w:top w:val="nil"/>
            </w:tcBorders>
          </w:tcPr>
          <w:p>
            <w:pPr>
              <w:rPr>
                <w:sz w:val="2"/>
                <w:szCs w:val="2"/>
              </w:rPr>
            </w:pPr>
          </w:p>
        </w:tc>
        <w:tc>
          <w:tcPr>
            <w:tcW w:w="697" w:type="dxa"/>
            <w:vMerge w:val="continue"/>
            <w:tcBorders>
              <w:top w:val="nil"/>
            </w:tcBorders>
          </w:tcPr>
          <w:p>
            <w:pPr>
              <w:rPr>
                <w:sz w:val="2"/>
                <w:szCs w:val="2"/>
              </w:rPr>
            </w:pPr>
          </w:p>
        </w:tc>
        <w:tc>
          <w:tcPr>
            <w:tcW w:w="728" w:type="dxa"/>
            <w:vMerge w:val="continue"/>
            <w:tcBorders>
              <w:top w:val="nil"/>
            </w:tcBorders>
          </w:tcPr>
          <w:p>
            <w:pPr>
              <w:rPr>
                <w:sz w:val="2"/>
                <w:szCs w:val="2"/>
              </w:rPr>
            </w:pPr>
          </w:p>
        </w:tc>
        <w:tc>
          <w:tcPr>
            <w:tcW w:w="600" w:type="dxa"/>
            <w:vMerge w:val="continue"/>
            <w:tcBorders>
              <w:top w:val="nil"/>
            </w:tcBorders>
          </w:tcPr>
          <w:p>
            <w:pPr>
              <w:rPr>
                <w:sz w:val="2"/>
                <w:szCs w:val="2"/>
              </w:rPr>
            </w:pPr>
          </w:p>
        </w:tc>
        <w:tc>
          <w:tcPr>
            <w:tcW w:w="714" w:type="dxa"/>
            <w:vMerge w:val="continue"/>
            <w:tcBorders>
              <w:top w:val="nil"/>
            </w:tcBorders>
          </w:tcPr>
          <w:p>
            <w:pPr>
              <w:rPr>
                <w:sz w:val="2"/>
                <w:szCs w:val="2"/>
              </w:rPr>
            </w:pPr>
          </w:p>
        </w:tc>
        <w:tc>
          <w:tcPr>
            <w:tcW w:w="697" w:type="dxa"/>
            <w:vMerge w:val="continue"/>
            <w:tcBorders>
              <w:top w:val="nil"/>
            </w:tcBorders>
          </w:tcPr>
          <w:p>
            <w:pPr>
              <w:rPr>
                <w:sz w:val="2"/>
                <w:szCs w:val="2"/>
              </w:rPr>
            </w:pPr>
          </w:p>
        </w:tc>
        <w:tc>
          <w:tcPr>
            <w:tcW w:w="621" w:type="dxa"/>
          </w:tcPr>
          <w:p>
            <w:pPr>
              <w:pStyle w:val="14"/>
              <w:spacing w:before="6" w:line="258" w:lineRule="exact"/>
              <w:ind w:left="50" w:right="44"/>
              <w:rPr>
                <w:sz w:val="21"/>
              </w:rPr>
            </w:pPr>
            <w:r>
              <w:rPr>
                <w:sz w:val="21"/>
              </w:rPr>
              <w:t>烟尘</w:t>
            </w:r>
          </w:p>
        </w:tc>
        <w:tc>
          <w:tcPr>
            <w:tcW w:w="643" w:type="dxa"/>
          </w:tcPr>
          <w:p>
            <w:pPr>
              <w:pStyle w:val="14"/>
              <w:spacing w:before="20"/>
              <w:ind w:left="64" w:right="56"/>
              <w:rPr>
                <w:rFonts w:ascii="Times New Roman"/>
                <w:sz w:val="21"/>
              </w:rPr>
            </w:pPr>
            <w:r>
              <w:rPr>
                <w:rFonts w:ascii="Times New Roman"/>
                <w:sz w:val="21"/>
              </w:rPr>
              <w:t>NOx</w:t>
            </w:r>
          </w:p>
        </w:tc>
        <w:tc>
          <w:tcPr>
            <w:tcW w:w="666" w:type="dxa"/>
          </w:tcPr>
          <w:p>
            <w:pPr>
              <w:pStyle w:val="14"/>
              <w:spacing w:before="17" w:line="247" w:lineRule="exact"/>
              <w:ind w:left="76" w:right="67"/>
              <w:rPr>
                <w:rFonts w:ascii="Times New Roman"/>
                <w:sz w:val="21"/>
              </w:rPr>
            </w:pPr>
            <w:r>
              <w:rPr>
                <w:rFonts w:ascii="Times New Roman"/>
                <w:position w:val="2"/>
                <w:sz w:val="21"/>
              </w:rPr>
              <w:t>SO</w:t>
            </w:r>
            <w:r>
              <w:rPr>
                <w:rFonts w:ascii="Times New Roman"/>
                <w:position w:val="2"/>
                <w:sz w:val="21"/>
                <w:vertAlign w:val="sub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405" w:type="dxa"/>
          </w:tcPr>
          <w:p>
            <w:pPr>
              <w:pStyle w:val="14"/>
              <w:spacing w:before="9"/>
              <w:jc w:val="left"/>
              <w:rPr>
                <w:b/>
                <w:sz w:val="18"/>
              </w:rPr>
            </w:pPr>
          </w:p>
          <w:p>
            <w:pPr>
              <w:pStyle w:val="14"/>
              <w:ind w:left="9"/>
              <w:rPr>
                <w:rFonts w:ascii="Times New Roman"/>
                <w:sz w:val="21"/>
              </w:rPr>
            </w:pPr>
            <w:r>
              <w:rPr>
                <w:rFonts w:ascii="Times New Roman"/>
                <w:w w:val="99"/>
                <w:sz w:val="21"/>
              </w:rPr>
              <w:t>1</w:t>
            </w:r>
          </w:p>
        </w:tc>
        <w:tc>
          <w:tcPr>
            <w:tcW w:w="1243" w:type="dxa"/>
          </w:tcPr>
          <w:p>
            <w:pPr>
              <w:pStyle w:val="14"/>
              <w:spacing w:before="8"/>
              <w:jc w:val="left"/>
              <w:rPr>
                <w:b/>
                <w:sz w:val="17"/>
              </w:rPr>
            </w:pPr>
          </w:p>
          <w:p>
            <w:pPr>
              <w:pStyle w:val="14"/>
              <w:ind w:left="180" w:right="173"/>
              <w:rPr>
                <w:sz w:val="21"/>
              </w:rPr>
            </w:pPr>
            <w:r>
              <w:rPr>
                <w:sz w:val="21"/>
              </w:rPr>
              <w:t>热风炉房</w:t>
            </w:r>
          </w:p>
        </w:tc>
        <w:tc>
          <w:tcPr>
            <w:tcW w:w="1029" w:type="dxa"/>
          </w:tcPr>
          <w:p>
            <w:pPr>
              <w:pStyle w:val="14"/>
              <w:spacing w:line="241" w:lineRule="exact"/>
              <w:ind w:left="69" w:right="60"/>
              <w:rPr>
                <w:rFonts w:ascii="Times New Roman" w:hAnsi="Times New Roman"/>
                <w:sz w:val="21"/>
              </w:rPr>
            </w:pPr>
            <w:r>
              <w:rPr>
                <w:rFonts w:ascii="Times New Roman" w:hAnsi="Times New Roman"/>
                <w:sz w:val="21"/>
              </w:rPr>
              <w:t>46°30′2.3</w:t>
            </w:r>
          </w:p>
          <w:p>
            <w:pPr>
              <w:pStyle w:val="14"/>
              <w:spacing w:line="240" w:lineRule="exact"/>
              <w:ind w:left="70" w:right="60"/>
              <w:rPr>
                <w:rFonts w:ascii="Times New Roman" w:hAnsi="Times New Roman"/>
                <w:sz w:val="21"/>
              </w:rPr>
            </w:pPr>
            <w:r>
              <w:rPr>
                <w:rFonts w:ascii="Times New Roman" w:hAnsi="Times New Roman"/>
                <w:sz w:val="21"/>
              </w:rPr>
              <w:t>0″131°10′</w:t>
            </w:r>
          </w:p>
          <w:p>
            <w:pPr>
              <w:pStyle w:val="14"/>
              <w:spacing w:line="223" w:lineRule="exact"/>
              <w:ind w:left="70" w:right="60"/>
              <w:rPr>
                <w:rFonts w:ascii="Times New Roman" w:hAnsi="Times New Roman"/>
                <w:sz w:val="21"/>
              </w:rPr>
            </w:pPr>
            <w:r>
              <w:rPr>
                <w:rFonts w:ascii="Times New Roman" w:hAnsi="Times New Roman"/>
                <w:sz w:val="21"/>
              </w:rPr>
              <w:t>23.10″</w:t>
            </w:r>
          </w:p>
        </w:tc>
        <w:tc>
          <w:tcPr>
            <w:tcW w:w="1007" w:type="dxa"/>
          </w:tcPr>
          <w:p>
            <w:pPr>
              <w:pStyle w:val="14"/>
              <w:spacing w:before="9"/>
              <w:jc w:val="left"/>
              <w:rPr>
                <w:b/>
                <w:sz w:val="18"/>
              </w:rPr>
            </w:pPr>
          </w:p>
          <w:p>
            <w:pPr>
              <w:pStyle w:val="14"/>
              <w:ind w:left="326" w:right="316"/>
              <w:rPr>
                <w:rFonts w:ascii="Times New Roman"/>
                <w:sz w:val="21"/>
              </w:rPr>
            </w:pPr>
            <w:r>
              <w:rPr>
                <w:rFonts w:ascii="Times New Roman"/>
                <w:sz w:val="21"/>
              </w:rPr>
              <w:t>326</w:t>
            </w:r>
          </w:p>
        </w:tc>
        <w:tc>
          <w:tcPr>
            <w:tcW w:w="728" w:type="dxa"/>
          </w:tcPr>
          <w:p>
            <w:pPr>
              <w:pStyle w:val="14"/>
              <w:spacing w:before="9"/>
              <w:jc w:val="left"/>
              <w:rPr>
                <w:b/>
                <w:sz w:val="18"/>
              </w:rPr>
            </w:pPr>
          </w:p>
          <w:p>
            <w:pPr>
              <w:pStyle w:val="14"/>
              <w:ind w:right="247"/>
              <w:jc w:val="right"/>
              <w:rPr>
                <w:rFonts w:ascii="Times New Roman"/>
                <w:sz w:val="21"/>
              </w:rPr>
            </w:pPr>
            <w:r>
              <w:rPr>
                <w:rFonts w:ascii="Times New Roman"/>
                <w:sz w:val="21"/>
              </w:rPr>
              <w:t>35</w:t>
            </w:r>
          </w:p>
        </w:tc>
        <w:tc>
          <w:tcPr>
            <w:tcW w:w="697" w:type="dxa"/>
          </w:tcPr>
          <w:p>
            <w:pPr>
              <w:pStyle w:val="14"/>
              <w:spacing w:before="9"/>
              <w:jc w:val="left"/>
              <w:rPr>
                <w:b/>
                <w:sz w:val="18"/>
              </w:rPr>
            </w:pPr>
          </w:p>
          <w:p>
            <w:pPr>
              <w:pStyle w:val="14"/>
              <w:ind w:left="196" w:right="187"/>
              <w:rPr>
                <w:rFonts w:ascii="Times New Roman"/>
                <w:sz w:val="21"/>
              </w:rPr>
            </w:pPr>
            <w:r>
              <w:rPr>
                <w:rFonts w:ascii="Times New Roman"/>
                <w:sz w:val="21"/>
              </w:rPr>
              <w:t>0.8</w:t>
            </w:r>
          </w:p>
        </w:tc>
        <w:tc>
          <w:tcPr>
            <w:tcW w:w="728" w:type="dxa"/>
          </w:tcPr>
          <w:p>
            <w:pPr>
              <w:pStyle w:val="14"/>
              <w:spacing w:before="9"/>
              <w:jc w:val="left"/>
              <w:rPr>
                <w:b/>
                <w:sz w:val="18"/>
              </w:rPr>
            </w:pPr>
          </w:p>
          <w:p>
            <w:pPr>
              <w:pStyle w:val="14"/>
              <w:ind w:left="133" w:right="124"/>
              <w:rPr>
                <w:rFonts w:ascii="Times New Roman"/>
                <w:sz w:val="21"/>
              </w:rPr>
            </w:pPr>
            <w:r>
              <w:rPr>
                <w:rFonts w:ascii="Times New Roman"/>
                <w:sz w:val="21"/>
              </w:rPr>
              <w:t>2.41</w:t>
            </w:r>
          </w:p>
        </w:tc>
        <w:tc>
          <w:tcPr>
            <w:tcW w:w="600" w:type="dxa"/>
          </w:tcPr>
          <w:p>
            <w:pPr>
              <w:pStyle w:val="14"/>
              <w:spacing w:before="9"/>
              <w:jc w:val="left"/>
              <w:rPr>
                <w:b/>
                <w:sz w:val="18"/>
              </w:rPr>
            </w:pPr>
          </w:p>
          <w:p>
            <w:pPr>
              <w:pStyle w:val="14"/>
              <w:ind w:left="142"/>
              <w:jc w:val="left"/>
              <w:rPr>
                <w:rFonts w:ascii="Times New Roman"/>
                <w:sz w:val="21"/>
              </w:rPr>
            </w:pPr>
            <w:r>
              <w:rPr>
                <w:rFonts w:ascii="Times New Roman"/>
                <w:sz w:val="21"/>
              </w:rPr>
              <w:t>120</w:t>
            </w:r>
          </w:p>
        </w:tc>
        <w:tc>
          <w:tcPr>
            <w:tcW w:w="714" w:type="dxa"/>
          </w:tcPr>
          <w:p>
            <w:pPr>
              <w:pStyle w:val="14"/>
              <w:spacing w:before="9"/>
              <w:jc w:val="left"/>
              <w:rPr>
                <w:b/>
                <w:sz w:val="18"/>
              </w:rPr>
            </w:pPr>
          </w:p>
          <w:p>
            <w:pPr>
              <w:pStyle w:val="14"/>
              <w:ind w:left="127" w:right="117"/>
              <w:rPr>
                <w:rFonts w:ascii="Times New Roman"/>
                <w:sz w:val="21"/>
              </w:rPr>
            </w:pPr>
            <w:r>
              <w:rPr>
                <w:rFonts w:ascii="Times New Roman"/>
                <w:sz w:val="21"/>
              </w:rPr>
              <w:t>3240</w:t>
            </w:r>
          </w:p>
        </w:tc>
        <w:tc>
          <w:tcPr>
            <w:tcW w:w="697" w:type="dxa"/>
            <w:vMerge w:val="restart"/>
          </w:tcPr>
          <w:p>
            <w:pPr>
              <w:pStyle w:val="14"/>
              <w:jc w:val="left"/>
              <w:rPr>
                <w:b/>
                <w:sz w:val="20"/>
              </w:rPr>
            </w:pPr>
          </w:p>
          <w:p>
            <w:pPr>
              <w:pStyle w:val="14"/>
              <w:jc w:val="left"/>
              <w:rPr>
                <w:b/>
                <w:sz w:val="20"/>
              </w:rPr>
            </w:pPr>
          </w:p>
          <w:p>
            <w:pPr>
              <w:pStyle w:val="14"/>
              <w:jc w:val="left"/>
              <w:rPr>
                <w:b/>
                <w:sz w:val="20"/>
              </w:rPr>
            </w:pPr>
          </w:p>
          <w:p>
            <w:pPr>
              <w:pStyle w:val="14"/>
              <w:spacing w:before="12"/>
              <w:jc w:val="left"/>
              <w:rPr>
                <w:b/>
                <w:sz w:val="14"/>
              </w:rPr>
            </w:pPr>
          </w:p>
          <w:p>
            <w:pPr>
              <w:pStyle w:val="14"/>
              <w:ind w:left="136"/>
              <w:jc w:val="left"/>
              <w:rPr>
                <w:sz w:val="21"/>
              </w:rPr>
            </w:pPr>
            <w:r>
              <w:rPr>
                <w:sz w:val="21"/>
              </w:rPr>
              <w:t>连续</w:t>
            </w:r>
          </w:p>
        </w:tc>
        <w:tc>
          <w:tcPr>
            <w:tcW w:w="621" w:type="dxa"/>
          </w:tcPr>
          <w:p>
            <w:pPr>
              <w:pStyle w:val="14"/>
              <w:spacing w:before="9"/>
              <w:jc w:val="left"/>
              <w:rPr>
                <w:b/>
                <w:sz w:val="18"/>
              </w:rPr>
            </w:pPr>
          </w:p>
          <w:p>
            <w:pPr>
              <w:pStyle w:val="14"/>
              <w:ind w:left="53" w:right="44"/>
              <w:rPr>
                <w:rFonts w:ascii="Times New Roman"/>
                <w:sz w:val="21"/>
              </w:rPr>
            </w:pPr>
            <w:r>
              <w:rPr>
                <w:rFonts w:ascii="Times New Roman"/>
                <w:sz w:val="21"/>
              </w:rPr>
              <w:t>0.062</w:t>
            </w:r>
          </w:p>
        </w:tc>
        <w:tc>
          <w:tcPr>
            <w:tcW w:w="643" w:type="dxa"/>
          </w:tcPr>
          <w:p>
            <w:pPr>
              <w:pStyle w:val="14"/>
              <w:spacing w:before="9"/>
              <w:jc w:val="left"/>
              <w:rPr>
                <w:b/>
                <w:sz w:val="18"/>
              </w:rPr>
            </w:pPr>
          </w:p>
          <w:p>
            <w:pPr>
              <w:pStyle w:val="14"/>
              <w:ind w:left="64" w:right="56"/>
              <w:rPr>
                <w:rFonts w:ascii="Times New Roman"/>
                <w:sz w:val="21"/>
              </w:rPr>
            </w:pPr>
            <w:r>
              <w:rPr>
                <w:rFonts w:ascii="Times New Roman"/>
                <w:sz w:val="21"/>
              </w:rPr>
              <w:t>0.872</w:t>
            </w:r>
          </w:p>
        </w:tc>
        <w:tc>
          <w:tcPr>
            <w:tcW w:w="666" w:type="dxa"/>
          </w:tcPr>
          <w:p>
            <w:pPr>
              <w:pStyle w:val="14"/>
              <w:spacing w:before="9"/>
              <w:jc w:val="left"/>
              <w:rPr>
                <w:b/>
                <w:sz w:val="18"/>
              </w:rPr>
            </w:pPr>
          </w:p>
          <w:p>
            <w:pPr>
              <w:pStyle w:val="14"/>
              <w:ind w:left="76" w:right="67"/>
              <w:rPr>
                <w:rFonts w:ascii="Times New Roman"/>
                <w:sz w:val="21"/>
              </w:rPr>
            </w:pPr>
            <w:r>
              <w:rPr>
                <w:rFonts w:ascii="Times New Roman"/>
                <w:sz w:val="21"/>
              </w:rPr>
              <w:t>0.099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405" w:type="dxa"/>
          </w:tcPr>
          <w:p>
            <w:pPr>
              <w:pStyle w:val="14"/>
              <w:spacing w:before="9"/>
              <w:jc w:val="left"/>
              <w:rPr>
                <w:b/>
                <w:sz w:val="18"/>
              </w:rPr>
            </w:pPr>
          </w:p>
          <w:p>
            <w:pPr>
              <w:pStyle w:val="14"/>
              <w:ind w:left="9"/>
              <w:rPr>
                <w:rFonts w:ascii="Times New Roman"/>
                <w:sz w:val="21"/>
              </w:rPr>
            </w:pPr>
            <w:r>
              <w:rPr>
                <w:rFonts w:ascii="Times New Roman"/>
                <w:w w:val="99"/>
                <w:sz w:val="21"/>
              </w:rPr>
              <w:t>2</w:t>
            </w:r>
          </w:p>
        </w:tc>
        <w:tc>
          <w:tcPr>
            <w:tcW w:w="1243" w:type="dxa"/>
          </w:tcPr>
          <w:p>
            <w:pPr>
              <w:pStyle w:val="14"/>
              <w:spacing w:before="6"/>
              <w:jc w:val="left"/>
              <w:rPr>
                <w:b/>
                <w:sz w:val="17"/>
              </w:rPr>
            </w:pPr>
          </w:p>
          <w:p>
            <w:pPr>
              <w:pStyle w:val="14"/>
              <w:ind w:left="180" w:right="171"/>
              <w:rPr>
                <w:sz w:val="21"/>
              </w:rPr>
            </w:pPr>
            <w:r>
              <w:rPr>
                <w:sz w:val="21"/>
              </w:rPr>
              <w:t>锅炉房</w:t>
            </w:r>
          </w:p>
        </w:tc>
        <w:tc>
          <w:tcPr>
            <w:tcW w:w="1029" w:type="dxa"/>
          </w:tcPr>
          <w:p>
            <w:pPr>
              <w:pStyle w:val="14"/>
              <w:spacing w:line="239" w:lineRule="exact"/>
              <w:ind w:left="107"/>
              <w:jc w:val="left"/>
              <w:rPr>
                <w:rFonts w:ascii="Times New Roman" w:hAnsi="Times New Roman"/>
                <w:sz w:val="21"/>
              </w:rPr>
            </w:pPr>
            <w:r>
              <w:rPr>
                <w:rFonts w:ascii="Times New Roman" w:hAnsi="Times New Roman"/>
                <w:sz w:val="21"/>
              </w:rPr>
              <w:t>46°30′09.</w:t>
            </w:r>
          </w:p>
          <w:p>
            <w:pPr>
              <w:pStyle w:val="14"/>
              <w:spacing w:before="1" w:line="241" w:lineRule="exact"/>
              <w:ind w:left="62"/>
              <w:jc w:val="left"/>
              <w:rPr>
                <w:rFonts w:ascii="Times New Roman" w:hAnsi="Times New Roman"/>
                <w:sz w:val="21"/>
              </w:rPr>
            </w:pPr>
            <w:r>
              <w:rPr>
                <w:rFonts w:ascii="Times New Roman" w:hAnsi="Times New Roman"/>
                <w:sz w:val="21"/>
              </w:rPr>
              <w:t>73″131°10</w:t>
            </w:r>
          </w:p>
          <w:p>
            <w:pPr>
              <w:pStyle w:val="14"/>
              <w:spacing w:line="223" w:lineRule="exact"/>
              <w:ind w:left="210"/>
              <w:jc w:val="left"/>
              <w:rPr>
                <w:rFonts w:ascii="Times New Roman" w:hAnsi="Times New Roman"/>
                <w:sz w:val="21"/>
              </w:rPr>
            </w:pPr>
            <w:r>
              <w:rPr>
                <w:rFonts w:ascii="Times New Roman" w:hAnsi="Times New Roman"/>
                <w:sz w:val="21"/>
              </w:rPr>
              <w:t>′24.05″</w:t>
            </w:r>
          </w:p>
        </w:tc>
        <w:tc>
          <w:tcPr>
            <w:tcW w:w="1007" w:type="dxa"/>
          </w:tcPr>
          <w:p>
            <w:pPr>
              <w:pStyle w:val="14"/>
              <w:spacing w:before="9"/>
              <w:jc w:val="left"/>
              <w:rPr>
                <w:b/>
                <w:sz w:val="18"/>
              </w:rPr>
            </w:pPr>
          </w:p>
          <w:p>
            <w:pPr>
              <w:pStyle w:val="14"/>
              <w:ind w:left="326" w:right="316"/>
              <w:rPr>
                <w:rFonts w:ascii="Times New Roman"/>
                <w:sz w:val="21"/>
              </w:rPr>
            </w:pPr>
            <w:r>
              <w:rPr>
                <w:rFonts w:ascii="Times New Roman"/>
                <w:sz w:val="21"/>
              </w:rPr>
              <w:t>328</w:t>
            </w:r>
          </w:p>
        </w:tc>
        <w:tc>
          <w:tcPr>
            <w:tcW w:w="728" w:type="dxa"/>
          </w:tcPr>
          <w:p>
            <w:pPr>
              <w:pStyle w:val="14"/>
              <w:spacing w:before="9"/>
              <w:jc w:val="left"/>
              <w:rPr>
                <w:b/>
                <w:sz w:val="18"/>
              </w:rPr>
            </w:pPr>
          </w:p>
          <w:p>
            <w:pPr>
              <w:pStyle w:val="14"/>
              <w:ind w:right="247"/>
              <w:jc w:val="right"/>
              <w:rPr>
                <w:rFonts w:ascii="Times New Roman"/>
                <w:sz w:val="21"/>
              </w:rPr>
            </w:pPr>
            <w:r>
              <w:rPr>
                <w:rFonts w:ascii="Times New Roman"/>
                <w:sz w:val="21"/>
              </w:rPr>
              <w:t>35</w:t>
            </w:r>
          </w:p>
        </w:tc>
        <w:tc>
          <w:tcPr>
            <w:tcW w:w="697" w:type="dxa"/>
          </w:tcPr>
          <w:p>
            <w:pPr>
              <w:pStyle w:val="14"/>
              <w:spacing w:before="9"/>
              <w:jc w:val="left"/>
              <w:rPr>
                <w:b/>
                <w:sz w:val="18"/>
              </w:rPr>
            </w:pPr>
          </w:p>
          <w:p>
            <w:pPr>
              <w:pStyle w:val="14"/>
              <w:ind w:left="196" w:right="187"/>
              <w:rPr>
                <w:rFonts w:ascii="Times New Roman"/>
                <w:sz w:val="21"/>
              </w:rPr>
            </w:pPr>
            <w:r>
              <w:rPr>
                <w:rFonts w:ascii="Times New Roman"/>
                <w:sz w:val="21"/>
              </w:rPr>
              <w:t>0.8</w:t>
            </w:r>
          </w:p>
        </w:tc>
        <w:tc>
          <w:tcPr>
            <w:tcW w:w="728" w:type="dxa"/>
          </w:tcPr>
          <w:p>
            <w:pPr>
              <w:pStyle w:val="14"/>
              <w:spacing w:before="9"/>
              <w:jc w:val="left"/>
              <w:rPr>
                <w:b/>
                <w:sz w:val="18"/>
              </w:rPr>
            </w:pPr>
          </w:p>
          <w:p>
            <w:pPr>
              <w:pStyle w:val="14"/>
              <w:ind w:left="133" w:right="124"/>
              <w:rPr>
                <w:rFonts w:ascii="Times New Roman"/>
                <w:sz w:val="21"/>
              </w:rPr>
            </w:pPr>
            <w:r>
              <w:rPr>
                <w:rFonts w:ascii="Times New Roman"/>
                <w:sz w:val="21"/>
              </w:rPr>
              <w:t>0.83</w:t>
            </w:r>
          </w:p>
        </w:tc>
        <w:tc>
          <w:tcPr>
            <w:tcW w:w="600" w:type="dxa"/>
          </w:tcPr>
          <w:p>
            <w:pPr>
              <w:pStyle w:val="14"/>
              <w:spacing w:before="9"/>
              <w:jc w:val="left"/>
              <w:rPr>
                <w:b/>
                <w:sz w:val="18"/>
              </w:rPr>
            </w:pPr>
          </w:p>
          <w:p>
            <w:pPr>
              <w:pStyle w:val="14"/>
              <w:ind w:left="142"/>
              <w:jc w:val="left"/>
              <w:rPr>
                <w:rFonts w:ascii="Times New Roman"/>
                <w:sz w:val="21"/>
              </w:rPr>
            </w:pPr>
            <w:r>
              <w:rPr>
                <w:rFonts w:ascii="Times New Roman"/>
                <w:sz w:val="21"/>
              </w:rPr>
              <w:t>120</w:t>
            </w:r>
          </w:p>
        </w:tc>
        <w:tc>
          <w:tcPr>
            <w:tcW w:w="714" w:type="dxa"/>
          </w:tcPr>
          <w:p>
            <w:pPr>
              <w:pStyle w:val="14"/>
              <w:spacing w:before="9"/>
              <w:jc w:val="left"/>
              <w:rPr>
                <w:b/>
                <w:sz w:val="18"/>
              </w:rPr>
            </w:pPr>
          </w:p>
          <w:p>
            <w:pPr>
              <w:pStyle w:val="14"/>
              <w:ind w:left="127" w:right="117"/>
              <w:rPr>
                <w:rFonts w:ascii="Times New Roman"/>
                <w:sz w:val="21"/>
              </w:rPr>
            </w:pPr>
            <w:r>
              <w:rPr>
                <w:rFonts w:ascii="Times New Roman"/>
                <w:sz w:val="21"/>
              </w:rPr>
              <w:t>5040</w:t>
            </w:r>
          </w:p>
        </w:tc>
        <w:tc>
          <w:tcPr>
            <w:tcW w:w="697" w:type="dxa"/>
            <w:vMerge w:val="continue"/>
            <w:tcBorders>
              <w:top w:val="nil"/>
            </w:tcBorders>
          </w:tcPr>
          <w:p>
            <w:pPr>
              <w:rPr>
                <w:sz w:val="2"/>
                <w:szCs w:val="2"/>
              </w:rPr>
            </w:pPr>
          </w:p>
        </w:tc>
        <w:tc>
          <w:tcPr>
            <w:tcW w:w="621" w:type="dxa"/>
          </w:tcPr>
          <w:p>
            <w:pPr>
              <w:pStyle w:val="14"/>
              <w:spacing w:before="9"/>
              <w:jc w:val="left"/>
              <w:rPr>
                <w:b/>
                <w:sz w:val="18"/>
              </w:rPr>
            </w:pPr>
          </w:p>
          <w:p>
            <w:pPr>
              <w:pStyle w:val="14"/>
              <w:ind w:left="53" w:right="44"/>
              <w:rPr>
                <w:rFonts w:ascii="Times New Roman"/>
                <w:sz w:val="21"/>
              </w:rPr>
            </w:pPr>
            <w:r>
              <w:rPr>
                <w:rFonts w:ascii="Times New Roman"/>
                <w:sz w:val="21"/>
              </w:rPr>
              <w:t>0.035</w:t>
            </w:r>
          </w:p>
        </w:tc>
        <w:tc>
          <w:tcPr>
            <w:tcW w:w="643" w:type="dxa"/>
          </w:tcPr>
          <w:p>
            <w:pPr>
              <w:pStyle w:val="14"/>
              <w:spacing w:before="9"/>
              <w:jc w:val="left"/>
              <w:rPr>
                <w:b/>
                <w:sz w:val="18"/>
              </w:rPr>
            </w:pPr>
          </w:p>
          <w:p>
            <w:pPr>
              <w:pStyle w:val="14"/>
              <w:ind w:left="64" w:right="56"/>
              <w:rPr>
                <w:rFonts w:ascii="Times New Roman"/>
                <w:sz w:val="21"/>
              </w:rPr>
            </w:pPr>
            <w:r>
              <w:rPr>
                <w:rFonts w:ascii="Times New Roman"/>
                <w:sz w:val="21"/>
              </w:rPr>
              <w:t>0.302</w:t>
            </w:r>
          </w:p>
        </w:tc>
        <w:tc>
          <w:tcPr>
            <w:tcW w:w="666" w:type="dxa"/>
          </w:tcPr>
          <w:p>
            <w:pPr>
              <w:pStyle w:val="14"/>
              <w:spacing w:before="9"/>
              <w:jc w:val="left"/>
              <w:rPr>
                <w:b/>
                <w:sz w:val="18"/>
              </w:rPr>
            </w:pPr>
          </w:p>
          <w:p>
            <w:pPr>
              <w:pStyle w:val="14"/>
              <w:ind w:left="76" w:right="67"/>
              <w:rPr>
                <w:rFonts w:ascii="Times New Roman"/>
                <w:sz w:val="21"/>
              </w:rPr>
            </w:pPr>
            <w:r>
              <w:rPr>
                <w:rFonts w:ascii="Times New Roman"/>
                <w:sz w:val="21"/>
              </w:rPr>
              <w:t>0.021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trPr>
        <w:tc>
          <w:tcPr>
            <w:tcW w:w="405" w:type="dxa"/>
          </w:tcPr>
          <w:p>
            <w:pPr>
              <w:pStyle w:val="14"/>
              <w:spacing w:before="10"/>
              <w:jc w:val="left"/>
              <w:rPr>
                <w:b/>
                <w:sz w:val="18"/>
              </w:rPr>
            </w:pPr>
          </w:p>
          <w:p>
            <w:pPr>
              <w:pStyle w:val="14"/>
              <w:ind w:left="9"/>
              <w:rPr>
                <w:rFonts w:ascii="Times New Roman"/>
                <w:sz w:val="21"/>
              </w:rPr>
            </w:pPr>
            <w:r>
              <w:rPr>
                <w:rFonts w:ascii="Times New Roman"/>
                <w:w w:val="99"/>
                <w:sz w:val="21"/>
              </w:rPr>
              <w:t>3</w:t>
            </w:r>
          </w:p>
        </w:tc>
        <w:tc>
          <w:tcPr>
            <w:tcW w:w="1243" w:type="dxa"/>
          </w:tcPr>
          <w:p>
            <w:pPr>
              <w:pStyle w:val="14"/>
              <w:spacing w:before="8"/>
              <w:jc w:val="left"/>
              <w:rPr>
                <w:b/>
                <w:sz w:val="17"/>
              </w:rPr>
            </w:pPr>
          </w:p>
          <w:p>
            <w:pPr>
              <w:pStyle w:val="14"/>
              <w:spacing w:before="1"/>
              <w:ind w:left="180" w:right="173"/>
              <w:rPr>
                <w:sz w:val="21"/>
              </w:rPr>
            </w:pPr>
            <w:r>
              <w:rPr>
                <w:sz w:val="21"/>
              </w:rPr>
              <w:t>筛分车间</w:t>
            </w:r>
          </w:p>
        </w:tc>
        <w:tc>
          <w:tcPr>
            <w:tcW w:w="1029" w:type="dxa"/>
          </w:tcPr>
          <w:p>
            <w:pPr>
              <w:pStyle w:val="14"/>
              <w:spacing w:line="241" w:lineRule="exact"/>
              <w:ind w:left="107"/>
              <w:jc w:val="left"/>
              <w:rPr>
                <w:rFonts w:ascii="Times New Roman" w:hAnsi="Times New Roman"/>
                <w:sz w:val="21"/>
              </w:rPr>
            </w:pPr>
            <w:r>
              <w:rPr>
                <w:rFonts w:ascii="Times New Roman" w:hAnsi="Times New Roman"/>
                <w:sz w:val="21"/>
              </w:rPr>
              <w:t>46°30′04.</w:t>
            </w:r>
          </w:p>
          <w:p>
            <w:pPr>
              <w:pStyle w:val="14"/>
              <w:spacing w:line="241" w:lineRule="exact"/>
              <w:ind w:left="62"/>
              <w:jc w:val="left"/>
              <w:rPr>
                <w:rFonts w:ascii="Times New Roman" w:hAnsi="Times New Roman"/>
                <w:sz w:val="21"/>
              </w:rPr>
            </w:pPr>
            <w:r>
              <w:rPr>
                <w:rFonts w:ascii="Times New Roman" w:hAnsi="Times New Roman"/>
                <w:sz w:val="21"/>
              </w:rPr>
              <w:t>46″131°10</w:t>
            </w:r>
          </w:p>
          <w:p>
            <w:pPr>
              <w:pStyle w:val="14"/>
              <w:spacing w:before="1" w:line="222" w:lineRule="exact"/>
              <w:ind w:left="210"/>
              <w:jc w:val="left"/>
              <w:rPr>
                <w:rFonts w:ascii="Times New Roman" w:hAnsi="Times New Roman"/>
                <w:sz w:val="21"/>
              </w:rPr>
            </w:pPr>
            <w:r>
              <w:rPr>
                <w:rFonts w:ascii="Times New Roman" w:hAnsi="Times New Roman"/>
                <w:sz w:val="21"/>
              </w:rPr>
              <w:t>′20.99″</w:t>
            </w:r>
          </w:p>
        </w:tc>
        <w:tc>
          <w:tcPr>
            <w:tcW w:w="1007" w:type="dxa"/>
          </w:tcPr>
          <w:p>
            <w:pPr>
              <w:pStyle w:val="14"/>
              <w:spacing w:before="10"/>
              <w:jc w:val="left"/>
              <w:rPr>
                <w:b/>
                <w:sz w:val="18"/>
              </w:rPr>
            </w:pPr>
          </w:p>
          <w:p>
            <w:pPr>
              <w:pStyle w:val="14"/>
              <w:ind w:left="326" w:right="316"/>
              <w:rPr>
                <w:rFonts w:ascii="Times New Roman"/>
                <w:sz w:val="21"/>
              </w:rPr>
            </w:pPr>
            <w:r>
              <w:rPr>
                <w:rFonts w:ascii="Times New Roman"/>
                <w:sz w:val="21"/>
              </w:rPr>
              <w:t>332</w:t>
            </w:r>
          </w:p>
        </w:tc>
        <w:tc>
          <w:tcPr>
            <w:tcW w:w="728" w:type="dxa"/>
          </w:tcPr>
          <w:p>
            <w:pPr>
              <w:pStyle w:val="14"/>
              <w:spacing w:before="10"/>
              <w:jc w:val="left"/>
              <w:rPr>
                <w:b/>
                <w:sz w:val="18"/>
              </w:rPr>
            </w:pPr>
          </w:p>
          <w:p>
            <w:pPr>
              <w:pStyle w:val="14"/>
              <w:ind w:right="247"/>
              <w:jc w:val="right"/>
              <w:rPr>
                <w:rFonts w:ascii="Times New Roman"/>
                <w:sz w:val="21"/>
              </w:rPr>
            </w:pPr>
            <w:r>
              <w:rPr>
                <w:rFonts w:ascii="Times New Roman"/>
                <w:sz w:val="21"/>
              </w:rPr>
              <w:t>15</w:t>
            </w:r>
          </w:p>
        </w:tc>
        <w:tc>
          <w:tcPr>
            <w:tcW w:w="697" w:type="dxa"/>
          </w:tcPr>
          <w:p>
            <w:pPr>
              <w:pStyle w:val="14"/>
              <w:spacing w:before="10"/>
              <w:jc w:val="left"/>
              <w:rPr>
                <w:b/>
                <w:sz w:val="18"/>
              </w:rPr>
            </w:pPr>
          </w:p>
          <w:p>
            <w:pPr>
              <w:pStyle w:val="14"/>
              <w:ind w:left="196" w:right="187"/>
              <w:rPr>
                <w:rFonts w:ascii="Times New Roman"/>
                <w:sz w:val="21"/>
              </w:rPr>
            </w:pPr>
            <w:r>
              <w:rPr>
                <w:rFonts w:ascii="Times New Roman"/>
                <w:sz w:val="21"/>
              </w:rPr>
              <w:t>0.3</w:t>
            </w:r>
          </w:p>
        </w:tc>
        <w:tc>
          <w:tcPr>
            <w:tcW w:w="728" w:type="dxa"/>
          </w:tcPr>
          <w:p>
            <w:pPr>
              <w:pStyle w:val="14"/>
              <w:spacing w:before="10"/>
              <w:jc w:val="left"/>
              <w:rPr>
                <w:b/>
                <w:sz w:val="18"/>
              </w:rPr>
            </w:pPr>
          </w:p>
          <w:p>
            <w:pPr>
              <w:pStyle w:val="14"/>
              <w:ind w:left="133" w:right="124"/>
              <w:rPr>
                <w:rFonts w:ascii="Times New Roman"/>
                <w:sz w:val="21"/>
              </w:rPr>
            </w:pPr>
            <w:r>
              <w:rPr>
                <w:rFonts w:ascii="Times New Roman"/>
                <w:sz w:val="21"/>
              </w:rPr>
              <w:t>5.93</w:t>
            </w:r>
          </w:p>
        </w:tc>
        <w:tc>
          <w:tcPr>
            <w:tcW w:w="600" w:type="dxa"/>
          </w:tcPr>
          <w:p>
            <w:pPr>
              <w:pStyle w:val="14"/>
              <w:spacing w:before="10"/>
              <w:jc w:val="left"/>
              <w:rPr>
                <w:b/>
                <w:sz w:val="18"/>
              </w:rPr>
            </w:pPr>
          </w:p>
          <w:p>
            <w:pPr>
              <w:pStyle w:val="14"/>
              <w:ind w:left="195"/>
              <w:jc w:val="left"/>
              <w:rPr>
                <w:rFonts w:ascii="Times New Roman"/>
                <w:sz w:val="21"/>
              </w:rPr>
            </w:pPr>
            <w:r>
              <w:rPr>
                <w:rFonts w:ascii="Times New Roman"/>
                <w:sz w:val="21"/>
              </w:rPr>
              <w:t>25</w:t>
            </w:r>
          </w:p>
        </w:tc>
        <w:tc>
          <w:tcPr>
            <w:tcW w:w="714" w:type="dxa"/>
          </w:tcPr>
          <w:p>
            <w:pPr>
              <w:pStyle w:val="14"/>
              <w:spacing w:before="10"/>
              <w:jc w:val="left"/>
              <w:rPr>
                <w:b/>
                <w:sz w:val="18"/>
              </w:rPr>
            </w:pPr>
          </w:p>
          <w:p>
            <w:pPr>
              <w:pStyle w:val="14"/>
              <w:ind w:left="127" w:right="117"/>
              <w:rPr>
                <w:rFonts w:ascii="Times New Roman"/>
                <w:sz w:val="21"/>
              </w:rPr>
            </w:pPr>
            <w:r>
              <w:rPr>
                <w:rFonts w:ascii="Times New Roman"/>
                <w:sz w:val="21"/>
              </w:rPr>
              <w:t>5940</w:t>
            </w:r>
          </w:p>
        </w:tc>
        <w:tc>
          <w:tcPr>
            <w:tcW w:w="697" w:type="dxa"/>
            <w:vMerge w:val="continue"/>
            <w:tcBorders>
              <w:top w:val="nil"/>
            </w:tcBorders>
          </w:tcPr>
          <w:p>
            <w:pPr>
              <w:rPr>
                <w:sz w:val="2"/>
                <w:szCs w:val="2"/>
              </w:rPr>
            </w:pPr>
          </w:p>
        </w:tc>
        <w:tc>
          <w:tcPr>
            <w:tcW w:w="621" w:type="dxa"/>
          </w:tcPr>
          <w:p>
            <w:pPr>
              <w:pStyle w:val="14"/>
              <w:spacing w:before="10"/>
              <w:jc w:val="left"/>
              <w:rPr>
                <w:b/>
                <w:sz w:val="18"/>
              </w:rPr>
            </w:pPr>
          </w:p>
          <w:p>
            <w:pPr>
              <w:pStyle w:val="14"/>
              <w:ind w:left="53" w:right="44"/>
              <w:rPr>
                <w:rFonts w:ascii="Times New Roman"/>
                <w:sz w:val="21"/>
              </w:rPr>
            </w:pPr>
            <w:r>
              <w:rPr>
                <w:rFonts w:ascii="Times New Roman"/>
                <w:sz w:val="21"/>
              </w:rPr>
              <w:t>0.02</w:t>
            </w:r>
          </w:p>
        </w:tc>
        <w:tc>
          <w:tcPr>
            <w:tcW w:w="643" w:type="dxa"/>
          </w:tcPr>
          <w:p>
            <w:pPr>
              <w:pStyle w:val="14"/>
              <w:spacing w:before="10"/>
              <w:jc w:val="left"/>
              <w:rPr>
                <w:b/>
                <w:sz w:val="18"/>
              </w:rPr>
            </w:pPr>
          </w:p>
          <w:p>
            <w:pPr>
              <w:pStyle w:val="14"/>
              <w:ind w:left="9"/>
              <w:rPr>
                <w:rFonts w:ascii="Times New Roman"/>
                <w:sz w:val="21"/>
              </w:rPr>
            </w:pPr>
            <w:r>
              <w:rPr>
                <w:rFonts w:ascii="Times New Roman"/>
                <w:w w:val="99"/>
                <w:sz w:val="21"/>
              </w:rPr>
              <w:t>/</w:t>
            </w:r>
          </w:p>
        </w:tc>
        <w:tc>
          <w:tcPr>
            <w:tcW w:w="666" w:type="dxa"/>
          </w:tcPr>
          <w:p>
            <w:pPr>
              <w:pStyle w:val="14"/>
              <w:spacing w:before="10"/>
              <w:jc w:val="left"/>
              <w:rPr>
                <w:b/>
                <w:sz w:val="18"/>
              </w:rPr>
            </w:pPr>
          </w:p>
          <w:p>
            <w:pPr>
              <w:pStyle w:val="14"/>
              <w:ind w:left="11"/>
              <w:rPr>
                <w:rFonts w:ascii="Times New Roman"/>
                <w:sz w:val="21"/>
              </w:rPr>
            </w:pPr>
            <w:r>
              <w:rPr>
                <w:rFonts w:ascii="Times New Roman"/>
                <w:w w:val="99"/>
                <w:sz w:val="21"/>
              </w:rPr>
              <w:t>/</w:t>
            </w:r>
          </w:p>
        </w:tc>
      </w:tr>
    </w:tbl>
    <w:p>
      <w:pPr>
        <w:spacing w:before="2"/>
        <w:ind w:left="1553" w:right="1588" w:firstLine="0"/>
        <w:jc w:val="center"/>
        <w:rPr>
          <w:b/>
          <w:sz w:val="24"/>
        </w:rPr>
      </w:pPr>
      <w:r>
        <w:rPr>
          <w:b/>
          <w:spacing w:val="-32"/>
          <w:sz w:val="24"/>
        </w:rPr>
        <w:t xml:space="preserve">表 </w:t>
      </w:r>
      <w:r>
        <w:rPr>
          <w:rFonts w:ascii="Times New Roman" w:eastAsia="Times New Roman"/>
          <w:b/>
          <w:sz w:val="24"/>
        </w:rPr>
        <w:t>2.4-5</w:t>
      </w:r>
      <w:r>
        <w:rPr>
          <w:rFonts w:ascii="Times New Roman" w:eastAsia="Times New Roman"/>
          <w:b/>
          <w:spacing w:val="-1"/>
          <w:sz w:val="24"/>
        </w:rPr>
        <w:t xml:space="preserve"> </w:t>
      </w:r>
      <w:r>
        <w:rPr>
          <w:b/>
          <w:sz w:val="24"/>
        </w:rPr>
        <w:t>面源参数表</w:t>
      </w:r>
    </w:p>
    <w:tbl>
      <w:tblPr>
        <w:tblStyle w:val="10"/>
        <w:tblW w:w="0" w:type="auto"/>
        <w:tblInd w:w="5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9"/>
        <w:gridCol w:w="1159"/>
        <w:gridCol w:w="1161"/>
        <w:gridCol w:w="1159"/>
        <w:gridCol w:w="1159"/>
        <w:gridCol w:w="1159"/>
        <w:gridCol w:w="1165"/>
        <w:gridCol w:w="11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2" w:hRule="atLeast"/>
        </w:trPr>
        <w:tc>
          <w:tcPr>
            <w:tcW w:w="1159" w:type="dxa"/>
            <w:vMerge w:val="restart"/>
          </w:tcPr>
          <w:p>
            <w:pPr>
              <w:pStyle w:val="14"/>
              <w:jc w:val="left"/>
              <w:rPr>
                <w:b/>
                <w:sz w:val="20"/>
              </w:rPr>
            </w:pPr>
          </w:p>
          <w:p>
            <w:pPr>
              <w:pStyle w:val="14"/>
              <w:spacing w:before="8"/>
              <w:jc w:val="left"/>
              <w:rPr>
                <w:b/>
                <w:sz w:val="15"/>
              </w:rPr>
            </w:pPr>
          </w:p>
          <w:p>
            <w:pPr>
              <w:pStyle w:val="14"/>
              <w:spacing w:line="290" w:lineRule="auto"/>
              <w:ind w:left="369" w:right="253" w:hanging="106"/>
              <w:jc w:val="left"/>
              <w:rPr>
                <w:sz w:val="21"/>
              </w:rPr>
            </w:pPr>
            <w:r>
              <w:rPr>
                <w:sz w:val="21"/>
              </w:rPr>
              <w:t>污染源名称</w:t>
            </w:r>
          </w:p>
        </w:tc>
        <w:tc>
          <w:tcPr>
            <w:tcW w:w="2320" w:type="dxa"/>
            <w:gridSpan w:val="2"/>
          </w:tcPr>
          <w:p>
            <w:pPr>
              <w:pStyle w:val="14"/>
              <w:jc w:val="left"/>
              <w:rPr>
                <w:b/>
                <w:sz w:val="24"/>
              </w:rPr>
            </w:pPr>
          </w:p>
          <w:p>
            <w:pPr>
              <w:pStyle w:val="14"/>
              <w:spacing w:before="1"/>
              <w:ind w:left="614" w:right="605"/>
              <w:rPr>
                <w:sz w:val="21"/>
              </w:rPr>
            </w:pPr>
            <w:r>
              <w:rPr>
                <w:sz w:val="21"/>
              </w:rPr>
              <w:t>坐标</w:t>
            </w:r>
          </w:p>
        </w:tc>
        <w:tc>
          <w:tcPr>
            <w:tcW w:w="1159" w:type="dxa"/>
            <w:vMerge w:val="restart"/>
          </w:tcPr>
          <w:p>
            <w:pPr>
              <w:pStyle w:val="14"/>
              <w:jc w:val="left"/>
              <w:rPr>
                <w:b/>
                <w:sz w:val="20"/>
              </w:rPr>
            </w:pPr>
          </w:p>
          <w:p>
            <w:pPr>
              <w:pStyle w:val="14"/>
              <w:spacing w:before="2"/>
              <w:jc w:val="left"/>
              <w:rPr>
                <w:b/>
                <w:sz w:val="17"/>
              </w:rPr>
            </w:pPr>
          </w:p>
          <w:p>
            <w:pPr>
              <w:pStyle w:val="14"/>
              <w:ind w:left="106"/>
              <w:jc w:val="left"/>
              <w:rPr>
                <w:sz w:val="21"/>
              </w:rPr>
            </w:pPr>
            <w:r>
              <w:rPr>
                <w:sz w:val="21"/>
              </w:rPr>
              <w:t>海拔高度</w:t>
            </w:r>
          </w:p>
          <w:p>
            <w:pPr>
              <w:pStyle w:val="14"/>
              <w:spacing w:before="57"/>
              <w:ind w:left="106"/>
              <w:jc w:val="left"/>
              <w:rPr>
                <w:rFonts w:ascii="Times New Roman"/>
                <w:sz w:val="21"/>
              </w:rPr>
            </w:pPr>
            <w:r>
              <w:rPr>
                <w:rFonts w:ascii="Times New Roman"/>
                <w:sz w:val="21"/>
              </w:rPr>
              <w:t>(m)</w:t>
            </w:r>
          </w:p>
        </w:tc>
        <w:tc>
          <w:tcPr>
            <w:tcW w:w="3483" w:type="dxa"/>
            <w:gridSpan w:val="3"/>
          </w:tcPr>
          <w:p>
            <w:pPr>
              <w:pStyle w:val="14"/>
              <w:jc w:val="left"/>
              <w:rPr>
                <w:b/>
                <w:sz w:val="24"/>
              </w:rPr>
            </w:pPr>
          </w:p>
          <w:p>
            <w:pPr>
              <w:pStyle w:val="14"/>
              <w:spacing w:before="1"/>
              <w:ind w:left="1300" w:right="1293"/>
              <w:rPr>
                <w:sz w:val="21"/>
              </w:rPr>
            </w:pPr>
            <w:r>
              <w:rPr>
                <w:sz w:val="21"/>
              </w:rPr>
              <w:t>矩形面源</w:t>
            </w:r>
          </w:p>
        </w:tc>
        <w:tc>
          <w:tcPr>
            <w:tcW w:w="1161" w:type="dxa"/>
          </w:tcPr>
          <w:p>
            <w:pPr>
              <w:pStyle w:val="14"/>
              <w:spacing w:before="1" w:line="290" w:lineRule="auto"/>
              <w:ind w:left="108" w:right="96"/>
              <w:jc w:val="left"/>
              <w:rPr>
                <w:sz w:val="21"/>
              </w:rPr>
            </w:pPr>
            <w:r>
              <w:rPr>
                <w:sz w:val="21"/>
              </w:rPr>
              <w:t>污染物排放 速 率</w:t>
            </w:r>
          </w:p>
          <w:p>
            <w:pPr>
              <w:pStyle w:val="14"/>
              <w:spacing w:before="1"/>
              <w:ind w:left="108"/>
              <w:jc w:val="left"/>
              <w:rPr>
                <w:rFonts w:ascii="Times New Roman"/>
                <w:sz w:val="21"/>
              </w:rPr>
            </w:pPr>
            <w:r>
              <w:rPr>
                <w:rFonts w:ascii="Times New Roman"/>
                <w:sz w:val="21"/>
              </w:rPr>
              <w:t>(kg/h)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1159" w:type="dxa"/>
            <w:vMerge w:val="continue"/>
            <w:tcBorders>
              <w:top w:val="nil"/>
            </w:tcBorders>
          </w:tcPr>
          <w:p>
            <w:pPr>
              <w:rPr>
                <w:sz w:val="2"/>
                <w:szCs w:val="2"/>
              </w:rPr>
            </w:pPr>
          </w:p>
        </w:tc>
        <w:tc>
          <w:tcPr>
            <w:tcW w:w="1159" w:type="dxa"/>
          </w:tcPr>
          <w:p>
            <w:pPr>
              <w:pStyle w:val="14"/>
              <w:spacing w:before="145"/>
              <w:ind w:left="367"/>
              <w:jc w:val="left"/>
              <w:rPr>
                <w:sz w:val="21"/>
              </w:rPr>
            </w:pPr>
            <w:r>
              <w:rPr>
                <w:sz w:val="21"/>
              </w:rPr>
              <w:t>经度</w:t>
            </w:r>
          </w:p>
        </w:tc>
        <w:tc>
          <w:tcPr>
            <w:tcW w:w="1161" w:type="dxa"/>
          </w:tcPr>
          <w:p>
            <w:pPr>
              <w:pStyle w:val="14"/>
              <w:spacing w:before="145"/>
              <w:ind w:left="370"/>
              <w:jc w:val="left"/>
              <w:rPr>
                <w:sz w:val="21"/>
              </w:rPr>
            </w:pPr>
            <w:r>
              <w:rPr>
                <w:sz w:val="21"/>
              </w:rPr>
              <w:t>纬度</w:t>
            </w:r>
          </w:p>
        </w:tc>
        <w:tc>
          <w:tcPr>
            <w:tcW w:w="1159" w:type="dxa"/>
            <w:vMerge w:val="continue"/>
            <w:tcBorders>
              <w:top w:val="nil"/>
            </w:tcBorders>
          </w:tcPr>
          <w:p>
            <w:pPr>
              <w:rPr>
                <w:sz w:val="2"/>
                <w:szCs w:val="2"/>
              </w:rPr>
            </w:pPr>
          </w:p>
        </w:tc>
        <w:tc>
          <w:tcPr>
            <w:tcW w:w="1159" w:type="dxa"/>
          </w:tcPr>
          <w:p>
            <w:pPr>
              <w:pStyle w:val="14"/>
              <w:spacing w:before="145"/>
              <w:ind w:left="99" w:right="89"/>
              <w:rPr>
                <w:rFonts w:ascii="Times New Roman" w:eastAsia="Times New Roman"/>
                <w:sz w:val="21"/>
              </w:rPr>
            </w:pPr>
            <w:r>
              <w:rPr>
                <w:sz w:val="21"/>
              </w:rPr>
              <w:t>长度</w:t>
            </w:r>
            <w:r>
              <w:rPr>
                <w:rFonts w:ascii="Times New Roman" w:eastAsia="Times New Roman"/>
                <w:sz w:val="21"/>
              </w:rPr>
              <w:t>(m)</w:t>
            </w:r>
          </w:p>
        </w:tc>
        <w:tc>
          <w:tcPr>
            <w:tcW w:w="1159" w:type="dxa"/>
          </w:tcPr>
          <w:p>
            <w:pPr>
              <w:pStyle w:val="14"/>
              <w:spacing w:before="145"/>
              <w:ind w:left="97" w:right="89"/>
              <w:rPr>
                <w:rFonts w:ascii="Times New Roman" w:eastAsia="Times New Roman"/>
                <w:sz w:val="21"/>
              </w:rPr>
            </w:pPr>
            <w:r>
              <w:rPr>
                <w:sz w:val="21"/>
              </w:rPr>
              <w:t>宽度</w:t>
            </w:r>
            <w:r>
              <w:rPr>
                <w:rFonts w:ascii="Times New Roman" w:eastAsia="Times New Roman"/>
                <w:sz w:val="21"/>
              </w:rPr>
              <w:t>(m)</w:t>
            </w:r>
          </w:p>
        </w:tc>
        <w:tc>
          <w:tcPr>
            <w:tcW w:w="1165" w:type="dxa"/>
          </w:tcPr>
          <w:p>
            <w:pPr>
              <w:pStyle w:val="14"/>
              <w:spacing w:before="1"/>
              <w:ind w:left="141" w:right="134"/>
              <w:rPr>
                <w:sz w:val="21"/>
              </w:rPr>
            </w:pPr>
            <w:r>
              <w:rPr>
                <w:sz w:val="21"/>
              </w:rPr>
              <w:t>有效高度</w:t>
            </w:r>
          </w:p>
          <w:p>
            <w:pPr>
              <w:pStyle w:val="14"/>
              <w:spacing w:before="57"/>
              <w:ind w:left="141" w:right="131"/>
              <w:rPr>
                <w:rFonts w:ascii="Times New Roman"/>
                <w:sz w:val="21"/>
              </w:rPr>
            </w:pPr>
            <w:r>
              <w:rPr>
                <w:rFonts w:ascii="Times New Roman"/>
                <w:sz w:val="21"/>
              </w:rPr>
              <w:t>(m)</w:t>
            </w:r>
          </w:p>
        </w:tc>
        <w:tc>
          <w:tcPr>
            <w:tcW w:w="1161" w:type="dxa"/>
          </w:tcPr>
          <w:p>
            <w:pPr>
              <w:pStyle w:val="14"/>
              <w:spacing w:before="163"/>
              <w:ind w:left="98" w:right="90"/>
              <w:rPr>
                <w:rFonts w:ascii="Times New Roman"/>
                <w:sz w:val="21"/>
              </w:rPr>
            </w:pPr>
            <w:r>
              <w:rPr>
                <w:rFonts w:ascii="Times New Roman"/>
                <w:sz w:val="21"/>
              </w:rPr>
              <w:t>TSP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1159" w:type="dxa"/>
          </w:tcPr>
          <w:p>
            <w:pPr>
              <w:pStyle w:val="14"/>
              <w:ind w:left="94" w:right="89"/>
              <w:rPr>
                <w:sz w:val="21"/>
              </w:rPr>
            </w:pPr>
            <w:r>
              <w:rPr>
                <w:sz w:val="21"/>
              </w:rPr>
              <w:t>矸石暂存</w:t>
            </w:r>
          </w:p>
          <w:p>
            <w:pPr>
              <w:pStyle w:val="14"/>
              <w:spacing w:before="57"/>
              <w:ind w:left="5"/>
              <w:rPr>
                <w:sz w:val="21"/>
              </w:rPr>
            </w:pPr>
            <w:r>
              <w:rPr>
                <w:w w:val="99"/>
                <w:sz w:val="21"/>
              </w:rPr>
              <w:t>场</w:t>
            </w:r>
          </w:p>
        </w:tc>
        <w:tc>
          <w:tcPr>
            <w:tcW w:w="1159" w:type="dxa"/>
          </w:tcPr>
          <w:p>
            <w:pPr>
              <w:pStyle w:val="14"/>
              <w:spacing w:before="36"/>
              <w:ind w:left="101" w:right="89"/>
              <w:rPr>
                <w:rFonts w:ascii="Times New Roman" w:hAnsi="Times New Roman"/>
                <w:sz w:val="21"/>
              </w:rPr>
            </w:pPr>
            <w:r>
              <w:rPr>
                <w:rFonts w:ascii="Times New Roman" w:hAnsi="Times New Roman"/>
                <w:sz w:val="21"/>
              </w:rPr>
              <w:t>131°10′22.</w:t>
            </w:r>
          </w:p>
          <w:p>
            <w:pPr>
              <w:pStyle w:val="14"/>
              <w:spacing w:before="46"/>
              <w:ind w:left="98" w:right="89"/>
              <w:rPr>
                <w:rFonts w:ascii="Times New Roman" w:hAnsi="Times New Roman"/>
                <w:sz w:val="21"/>
              </w:rPr>
            </w:pPr>
            <w:r>
              <w:rPr>
                <w:rFonts w:ascii="Times New Roman" w:hAnsi="Times New Roman"/>
                <w:sz w:val="21"/>
              </w:rPr>
              <w:t>57″</w:t>
            </w:r>
          </w:p>
        </w:tc>
        <w:tc>
          <w:tcPr>
            <w:tcW w:w="1161" w:type="dxa"/>
          </w:tcPr>
          <w:p>
            <w:pPr>
              <w:pStyle w:val="14"/>
              <w:spacing w:before="36"/>
              <w:ind w:left="103" w:right="90"/>
              <w:rPr>
                <w:rFonts w:ascii="Times New Roman" w:hAnsi="Times New Roman"/>
                <w:sz w:val="21"/>
              </w:rPr>
            </w:pPr>
            <w:r>
              <w:rPr>
                <w:rFonts w:ascii="Times New Roman" w:hAnsi="Times New Roman"/>
                <w:sz w:val="21"/>
              </w:rPr>
              <w:t>46°29′58.9</w:t>
            </w:r>
          </w:p>
          <w:p>
            <w:pPr>
              <w:pStyle w:val="14"/>
              <w:spacing w:before="46"/>
              <w:ind w:left="97" w:right="90"/>
              <w:rPr>
                <w:rFonts w:ascii="Times New Roman" w:hAnsi="Times New Roman"/>
                <w:sz w:val="21"/>
              </w:rPr>
            </w:pPr>
            <w:r>
              <w:rPr>
                <w:rFonts w:ascii="Times New Roman" w:hAnsi="Times New Roman"/>
                <w:sz w:val="21"/>
              </w:rPr>
              <w:t>8″</w:t>
            </w:r>
          </w:p>
        </w:tc>
        <w:tc>
          <w:tcPr>
            <w:tcW w:w="1159" w:type="dxa"/>
          </w:tcPr>
          <w:p>
            <w:pPr>
              <w:pStyle w:val="14"/>
              <w:spacing w:before="180"/>
              <w:ind w:left="98" w:right="89"/>
              <w:rPr>
                <w:rFonts w:ascii="Times New Roman"/>
                <w:sz w:val="21"/>
              </w:rPr>
            </w:pPr>
            <w:r>
              <w:rPr>
                <w:rFonts w:ascii="Times New Roman"/>
                <w:sz w:val="21"/>
              </w:rPr>
              <w:t>322</w:t>
            </w:r>
          </w:p>
        </w:tc>
        <w:tc>
          <w:tcPr>
            <w:tcW w:w="1159" w:type="dxa"/>
          </w:tcPr>
          <w:p>
            <w:pPr>
              <w:pStyle w:val="14"/>
              <w:spacing w:before="180"/>
              <w:ind w:left="98" w:right="89"/>
              <w:rPr>
                <w:rFonts w:ascii="Times New Roman"/>
                <w:sz w:val="21"/>
              </w:rPr>
            </w:pPr>
            <w:r>
              <w:rPr>
                <w:rFonts w:ascii="Times New Roman"/>
                <w:sz w:val="21"/>
              </w:rPr>
              <w:t>120</w:t>
            </w:r>
          </w:p>
        </w:tc>
        <w:tc>
          <w:tcPr>
            <w:tcW w:w="1159" w:type="dxa"/>
          </w:tcPr>
          <w:p>
            <w:pPr>
              <w:pStyle w:val="14"/>
              <w:spacing w:before="180"/>
              <w:ind w:left="98" w:right="89"/>
              <w:rPr>
                <w:rFonts w:ascii="Times New Roman"/>
                <w:sz w:val="21"/>
              </w:rPr>
            </w:pPr>
            <w:r>
              <w:rPr>
                <w:rFonts w:ascii="Times New Roman"/>
                <w:sz w:val="21"/>
              </w:rPr>
              <w:t>71</w:t>
            </w:r>
          </w:p>
        </w:tc>
        <w:tc>
          <w:tcPr>
            <w:tcW w:w="1165" w:type="dxa"/>
          </w:tcPr>
          <w:p>
            <w:pPr>
              <w:pStyle w:val="14"/>
              <w:spacing w:before="180"/>
              <w:ind w:left="141" w:right="132"/>
              <w:rPr>
                <w:rFonts w:ascii="Times New Roman"/>
                <w:sz w:val="21"/>
              </w:rPr>
            </w:pPr>
            <w:r>
              <w:rPr>
                <w:rFonts w:ascii="Times New Roman"/>
                <w:sz w:val="21"/>
              </w:rPr>
              <w:t>10</w:t>
            </w:r>
          </w:p>
        </w:tc>
        <w:tc>
          <w:tcPr>
            <w:tcW w:w="1161" w:type="dxa"/>
          </w:tcPr>
          <w:p>
            <w:pPr>
              <w:pStyle w:val="14"/>
              <w:spacing w:before="180"/>
              <w:ind w:left="101" w:right="90"/>
              <w:rPr>
                <w:rFonts w:ascii="Times New Roman"/>
                <w:sz w:val="21"/>
              </w:rPr>
            </w:pPr>
            <w:r>
              <w:rPr>
                <w:rFonts w:ascii="Times New Roman"/>
                <w:sz w:val="21"/>
              </w:rPr>
              <w:t>0.003</w:t>
            </w:r>
          </w:p>
        </w:tc>
      </w:tr>
    </w:tbl>
    <w:p>
      <w:pPr>
        <w:spacing w:before="161" w:after="32"/>
        <w:ind w:left="1553" w:right="1578" w:firstLine="0"/>
        <w:jc w:val="center"/>
        <w:rPr>
          <w:b/>
          <w:sz w:val="24"/>
        </w:rPr>
      </w:pPr>
      <w:r>
        <w:rPr>
          <w:b/>
          <w:sz w:val="24"/>
        </w:rPr>
        <w:t xml:space="preserve">表 </w:t>
      </w:r>
      <w:r>
        <w:rPr>
          <w:rFonts w:ascii="Times New Roman" w:eastAsia="Times New Roman"/>
          <w:b/>
          <w:sz w:val="24"/>
        </w:rPr>
        <w:t xml:space="preserve">2.4-6 </w:t>
      </w:r>
      <w:r>
        <w:rPr>
          <w:b/>
          <w:sz w:val="24"/>
        </w:rPr>
        <w:t>主要污染因子估算模式的计算结果</w:t>
      </w:r>
    </w:p>
    <w:tbl>
      <w:tblPr>
        <w:tblStyle w:val="10"/>
        <w:tblW w:w="0" w:type="auto"/>
        <w:tblInd w:w="5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4"/>
        <w:gridCol w:w="1704"/>
        <w:gridCol w:w="1705"/>
        <w:gridCol w:w="1704"/>
        <w:gridCol w:w="1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704" w:type="dxa"/>
          </w:tcPr>
          <w:p>
            <w:pPr>
              <w:pStyle w:val="14"/>
              <w:spacing w:line="250" w:lineRule="exact"/>
              <w:ind w:left="326"/>
              <w:jc w:val="left"/>
              <w:rPr>
                <w:sz w:val="21"/>
              </w:rPr>
            </w:pPr>
            <w:r>
              <w:rPr>
                <w:sz w:val="21"/>
              </w:rPr>
              <w:t>污染源名称</w:t>
            </w:r>
          </w:p>
        </w:tc>
        <w:tc>
          <w:tcPr>
            <w:tcW w:w="1704" w:type="dxa"/>
          </w:tcPr>
          <w:p>
            <w:pPr>
              <w:pStyle w:val="14"/>
              <w:spacing w:line="250" w:lineRule="exact"/>
              <w:ind w:left="432"/>
              <w:jc w:val="left"/>
              <w:rPr>
                <w:sz w:val="21"/>
              </w:rPr>
            </w:pPr>
            <w:r>
              <w:rPr>
                <w:sz w:val="21"/>
              </w:rPr>
              <w:t>评价因子</w:t>
            </w:r>
          </w:p>
        </w:tc>
        <w:tc>
          <w:tcPr>
            <w:tcW w:w="1705" w:type="dxa"/>
          </w:tcPr>
          <w:p>
            <w:pPr>
              <w:pStyle w:val="14"/>
              <w:spacing w:line="250" w:lineRule="exact"/>
              <w:ind w:left="117"/>
              <w:jc w:val="left"/>
              <w:rPr>
                <w:sz w:val="21"/>
              </w:rPr>
            </w:pPr>
            <w:r>
              <w:rPr>
                <w:sz w:val="21"/>
              </w:rPr>
              <w:t>下风向最大浓度</w:t>
            </w:r>
          </w:p>
        </w:tc>
        <w:tc>
          <w:tcPr>
            <w:tcW w:w="1704" w:type="dxa"/>
          </w:tcPr>
          <w:p>
            <w:pPr>
              <w:pStyle w:val="14"/>
              <w:spacing w:line="250" w:lineRule="exact"/>
              <w:ind w:left="536"/>
              <w:jc w:val="left"/>
              <w:rPr>
                <w:sz w:val="21"/>
              </w:rPr>
            </w:pPr>
            <w:r>
              <w:rPr>
                <w:sz w:val="21"/>
              </w:rPr>
              <w:t>占标率</w:t>
            </w:r>
          </w:p>
        </w:tc>
        <w:tc>
          <w:tcPr>
            <w:tcW w:w="1705" w:type="dxa"/>
          </w:tcPr>
          <w:p>
            <w:pPr>
              <w:pStyle w:val="14"/>
              <w:spacing w:line="250" w:lineRule="exact"/>
              <w:ind w:left="164"/>
              <w:jc w:val="left"/>
              <w:rPr>
                <w:sz w:val="21"/>
              </w:rPr>
            </w:pPr>
            <w:r>
              <w:rPr>
                <w:rFonts w:ascii="Times New Roman" w:eastAsia="Times New Roman"/>
                <w:sz w:val="21"/>
              </w:rPr>
              <w:t>D10%</w:t>
            </w:r>
            <w:r>
              <w:rPr>
                <w:sz w:val="21"/>
              </w:rPr>
              <w:t>最远距离</w:t>
            </w:r>
          </w:p>
        </w:tc>
      </w:tr>
    </w:tbl>
    <w:p>
      <w:pPr>
        <w:spacing w:after="0" w:line="250" w:lineRule="exact"/>
        <w:jc w:val="left"/>
        <w:rPr>
          <w:sz w:val="21"/>
        </w:rPr>
        <w:sectPr>
          <w:pgSz w:w="11910" w:h="16840"/>
          <w:pgMar w:top="1340" w:right="720" w:bottom="1160" w:left="760" w:header="0" w:footer="895" w:gutter="0"/>
        </w:sectPr>
      </w:pPr>
    </w:p>
    <w:tbl>
      <w:tblPr>
        <w:tblStyle w:val="10"/>
        <w:tblW w:w="0" w:type="auto"/>
        <w:tblInd w:w="5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4"/>
        <w:gridCol w:w="1704"/>
        <w:gridCol w:w="1705"/>
        <w:gridCol w:w="1704"/>
        <w:gridCol w:w="1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704" w:type="dxa"/>
          </w:tcPr>
          <w:p>
            <w:pPr>
              <w:pStyle w:val="14"/>
              <w:jc w:val="left"/>
              <w:rPr>
                <w:rFonts w:ascii="Times New Roman"/>
                <w:sz w:val="20"/>
              </w:rPr>
            </w:pPr>
          </w:p>
        </w:tc>
        <w:tc>
          <w:tcPr>
            <w:tcW w:w="1704" w:type="dxa"/>
          </w:tcPr>
          <w:p>
            <w:pPr>
              <w:pStyle w:val="14"/>
              <w:jc w:val="left"/>
              <w:rPr>
                <w:rFonts w:ascii="Times New Roman"/>
                <w:sz w:val="20"/>
              </w:rPr>
            </w:pPr>
          </w:p>
        </w:tc>
        <w:tc>
          <w:tcPr>
            <w:tcW w:w="1705" w:type="dxa"/>
          </w:tcPr>
          <w:p>
            <w:pPr>
              <w:pStyle w:val="14"/>
              <w:spacing w:line="252" w:lineRule="exact"/>
              <w:ind w:left="406" w:right="397"/>
              <w:rPr>
                <w:sz w:val="21"/>
              </w:rPr>
            </w:pPr>
            <w:r>
              <w:rPr>
                <w:sz w:val="21"/>
              </w:rPr>
              <w:t>（</w:t>
            </w:r>
            <w:r>
              <w:rPr>
                <w:rFonts w:ascii="Times New Roman" w:hAnsi="Times New Roman" w:eastAsia="Times New Roman"/>
                <w:sz w:val="18"/>
              </w:rPr>
              <w:t>μg/m³</w:t>
            </w:r>
            <w:r>
              <w:rPr>
                <w:sz w:val="21"/>
              </w:rPr>
              <w:t>）</w:t>
            </w:r>
          </w:p>
        </w:tc>
        <w:tc>
          <w:tcPr>
            <w:tcW w:w="1704" w:type="dxa"/>
          </w:tcPr>
          <w:p>
            <w:pPr>
              <w:pStyle w:val="14"/>
              <w:spacing w:line="252" w:lineRule="exact"/>
              <w:ind w:left="199" w:right="193"/>
              <w:rPr>
                <w:sz w:val="21"/>
              </w:rPr>
            </w:pPr>
            <w:r>
              <w:rPr>
                <w:sz w:val="21"/>
              </w:rPr>
              <w:t>（</w:t>
            </w:r>
            <w:r>
              <w:rPr>
                <w:rFonts w:ascii="Times New Roman" w:eastAsia="Times New Roman"/>
                <w:sz w:val="21"/>
              </w:rPr>
              <w:t>%</w:t>
            </w:r>
            <w:r>
              <w:rPr>
                <w:sz w:val="21"/>
              </w:rPr>
              <w:t>）</w:t>
            </w:r>
          </w:p>
        </w:tc>
        <w:tc>
          <w:tcPr>
            <w:tcW w:w="1705" w:type="dxa"/>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1704" w:type="dxa"/>
            <w:vMerge w:val="restart"/>
          </w:tcPr>
          <w:p>
            <w:pPr>
              <w:pStyle w:val="14"/>
              <w:spacing w:before="9"/>
              <w:jc w:val="left"/>
              <w:rPr>
                <w:b/>
                <w:sz w:val="19"/>
              </w:rPr>
            </w:pPr>
          </w:p>
          <w:p>
            <w:pPr>
              <w:pStyle w:val="14"/>
              <w:ind w:left="220"/>
              <w:jc w:val="left"/>
              <w:rPr>
                <w:sz w:val="21"/>
              </w:rPr>
            </w:pPr>
            <w:r>
              <w:rPr>
                <w:sz w:val="21"/>
              </w:rPr>
              <w:t>热风炉房烟囱</w:t>
            </w:r>
          </w:p>
        </w:tc>
        <w:tc>
          <w:tcPr>
            <w:tcW w:w="1704" w:type="dxa"/>
          </w:tcPr>
          <w:p>
            <w:pPr>
              <w:pStyle w:val="14"/>
              <w:spacing w:before="21" w:line="201" w:lineRule="exact"/>
              <w:ind w:left="199" w:right="189"/>
              <w:rPr>
                <w:rFonts w:ascii="Times New Roman"/>
                <w:sz w:val="18"/>
              </w:rPr>
            </w:pPr>
            <w:r>
              <w:rPr>
                <w:rFonts w:ascii="Times New Roman"/>
                <w:position w:val="1"/>
                <w:sz w:val="18"/>
              </w:rPr>
              <w:t>SO</w:t>
            </w:r>
            <w:r>
              <w:rPr>
                <w:rFonts w:ascii="Times New Roman"/>
                <w:position w:val="1"/>
                <w:sz w:val="18"/>
                <w:vertAlign w:val="subscript"/>
              </w:rPr>
              <w:t>2</w:t>
            </w:r>
          </w:p>
        </w:tc>
        <w:tc>
          <w:tcPr>
            <w:tcW w:w="1705" w:type="dxa"/>
          </w:tcPr>
          <w:p>
            <w:pPr>
              <w:pStyle w:val="14"/>
              <w:spacing w:before="16" w:line="205" w:lineRule="exact"/>
              <w:ind w:left="405" w:right="397"/>
              <w:rPr>
                <w:rFonts w:ascii="Times New Roman"/>
                <w:sz w:val="18"/>
              </w:rPr>
            </w:pPr>
            <w:r>
              <w:rPr>
                <w:rFonts w:ascii="Times New Roman"/>
                <w:sz w:val="18"/>
              </w:rPr>
              <w:t>1.18</w:t>
            </w:r>
          </w:p>
        </w:tc>
        <w:tc>
          <w:tcPr>
            <w:tcW w:w="1704" w:type="dxa"/>
          </w:tcPr>
          <w:p>
            <w:pPr>
              <w:pStyle w:val="14"/>
              <w:spacing w:before="16" w:line="205" w:lineRule="exact"/>
              <w:ind w:left="199" w:right="192"/>
              <w:rPr>
                <w:rFonts w:ascii="Times New Roman"/>
                <w:sz w:val="18"/>
              </w:rPr>
            </w:pPr>
            <w:r>
              <w:rPr>
                <w:rFonts w:ascii="Times New Roman"/>
                <w:sz w:val="18"/>
              </w:rPr>
              <w:t>0.24</w:t>
            </w:r>
          </w:p>
        </w:tc>
        <w:tc>
          <w:tcPr>
            <w:tcW w:w="1705" w:type="dxa"/>
          </w:tcPr>
          <w:p>
            <w:pPr>
              <w:pStyle w:val="14"/>
              <w:spacing w:line="221" w:lineRule="exact"/>
              <w:ind w:left="7"/>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704" w:type="dxa"/>
            <w:vMerge w:val="continue"/>
            <w:tcBorders>
              <w:top w:val="nil"/>
            </w:tcBorders>
          </w:tcPr>
          <w:p>
            <w:pPr>
              <w:rPr>
                <w:sz w:val="2"/>
                <w:szCs w:val="2"/>
              </w:rPr>
            </w:pPr>
          </w:p>
        </w:tc>
        <w:tc>
          <w:tcPr>
            <w:tcW w:w="1704" w:type="dxa"/>
          </w:tcPr>
          <w:p>
            <w:pPr>
              <w:pStyle w:val="14"/>
              <w:spacing w:before="16" w:line="204" w:lineRule="exact"/>
              <w:ind w:left="199" w:right="190"/>
              <w:rPr>
                <w:rFonts w:ascii="Times New Roman"/>
                <w:sz w:val="18"/>
              </w:rPr>
            </w:pPr>
            <w:r>
              <w:rPr>
                <w:rFonts w:ascii="Times New Roman"/>
                <w:sz w:val="18"/>
              </w:rPr>
              <w:t>NOx</w:t>
            </w:r>
          </w:p>
        </w:tc>
        <w:tc>
          <w:tcPr>
            <w:tcW w:w="1705" w:type="dxa"/>
          </w:tcPr>
          <w:p>
            <w:pPr>
              <w:pStyle w:val="14"/>
              <w:spacing w:before="16" w:line="204" w:lineRule="exact"/>
              <w:ind w:left="406" w:right="396"/>
              <w:rPr>
                <w:rFonts w:ascii="Times New Roman"/>
                <w:sz w:val="18"/>
              </w:rPr>
            </w:pPr>
            <w:r>
              <w:rPr>
                <w:rFonts w:ascii="Times New Roman"/>
                <w:sz w:val="18"/>
              </w:rPr>
              <w:t>10.36</w:t>
            </w:r>
          </w:p>
        </w:tc>
        <w:tc>
          <w:tcPr>
            <w:tcW w:w="1704" w:type="dxa"/>
          </w:tcPr>
          <w:p>
            <w:pPr>
              <w:pStyle w:val="14"/>
              <w:spacing w:before="16" w:line="204" w:lineRule="exact"/>
              <w:ind w:left="199" w:right="192"/>
              <w:rPr>
                <w:rFonts w:ascii="Times New Roman"/>
                <w:sz w:val="18"/>
              </w:rPr>
            </w:pPr>
            <w:r>
              <w:rPr>
                <w:rFonts w:ascii="Times New Roman"/>
                <w:sz w:val="18"/>
              </w:rPr>
              <w:t>4.15</w:t>
            </w:r>
          </w:p>
        </w:tc>
        <w:tc>
          <w:tcPr>
            <w:tcW w:w="1705" w:type="dxa"/>
          </w:tcPr>
          <w:p>
            <w:pPr>
              <w:pStyle w:val="14"/>
              <w:spacing w:line="221" w:lineRule="exact"/>
              <w:ind w:left="7"/>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704" w:type="dxa"/>
            <w:vMerge w:val="continue"/>
            <w:tcBorders>
              <w:top w:val="nil"/>
            </w:tcBorders>
          </w:tcPr>
          <w:p>
            <w:pPr>
              <w:rPr>
                <w:sz w:val="2"/>
                <w:szCs w:val="2"/>
              </w:rPr>
            </w:pPr>
          </w:p>
        </w:tc>
        <w:tc>
          <w:tcPr>
            <w:tcW w:w="1704" w:type="dxa"/>
          </w:tcPr>
          <w:p>
            <w:pPr>
              <w:pStyle w:val="14"/>
              <w:spacing w:before="2" w:line="251" w:lineRule="exact"/>
              <w:ind w:left="199" w:right="194"/>
              <w:rPr>
                <w:sz w:val="21"/>
              </w:rPr>
            </w:pPr>
            <w:r>
              <w:rPr>
                <w:sz w:val="21"/>
              </w:rPr>
              <w:t>烟尘</w:t>
            </w:r>
          </w:p>
        </w:tc>
        <w:tc>
          <w:tcPr>
            <w:tcW w:w="1705" w:type="dxa"/>
          </w:tcPr>
          <w:p>
            <w:pPr>
              <w:pStyle w:val="14"/>
              <w:spacing w:before="32"/>
              <w:ind w:left="405" w:right="397"/>
              <w:rPr>
                <w:rFonts w:ascii="Times New Roman"/>
                <w:sz w:val="18"/>
              </w:rPr>
            </w:pPr>
            <w:r>
              <w:rPr>
                <w:rFonts w:ascii="Times New Roman"/>
                <w:sz w:val="18"/>
              </w:rPr>
              <w:t>0.74</w:t>
            </w:r>
          </w:p>
        </w:tc>
        <w:tc>
          <w:tcPr>
            <w:tcW w:w="1704" w:type="dxa"/>
          </w:tcPr>
          <w:p>
            <w:pPr>
              <w:pStyle w:val="14"/>
              <w:spacing w:before="32"/>
              <w:ind w:left="199" w:right="192"/>
              <w:rPr>
                <w:rFonts w:ascii="Times New Roman"/>
                <w:sz w:val="18"/>
              </w:rPr>
            </w:pPr>
            <w:r>
              <w:rPr>
                <w:rFonts w:ascii="Times New Roman"/>
                <w:sz w:val="18"/>
              </w:rPr>
              <w:t>0.16</w:t>
            </w:r>
          </w:p>
        </w:tc>
        <w:tc>
          <w:tcPr>
            <w:tcW w:w="1705" w:type="dxa"/>
          </w:tcPr>
          <w:p>
            <w:pPr>
              <w:pStyle w:val="14"/>
              <w:spacing w:before="16" w:line="237" w:lineRule="exact"/>
              <w:ind w:left="7"/>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1704" w:type="dxa"/>
            <w:vMerge w:val="restart"/>
          </w:tcPr>
          <w:p>
            <w:pPr>
              <w:pStyle w:val="14"/>
              <w:spacing w:before="8"/>
              <w:jc w:val="left"/>
              <w:rPr>
                <w:b/>
                <w:sz w:val="19"/>
              </w:rPr>
            </w:pPr>
          </w:p>
          <w:p>
            <w:pPr>
              <w:pStyle w:val="14"/>
              <w:ind w:left="326"/>
              <w:jc w:val="left"/>
              <w:rPr>
                <w:sz w:val="21"/>
              </w:rPr>
            </w:pPr>
            <w:r>
              <w:rPr>
                <w:sz w:val="21"/>
              </w:rPr>
              <w:t>锅炉房烟囱</w:t>
            </w:r>
          </w:p>
        </w:tc>
        <w:tc>
          <w:tcPr>
            <w:tcW w:w="1704" w:type="dxa"/>
          </w:tcPr>
          <w:p>
            <w:pPr>
              <w:pStyle w:val="14"/>
              <w:spacing w:before="20" w:line="201" w:lineRule="exact"/>
              <w:ind w:left="199" w:right="189"/>
              <w:rPr>
                <w:rFonts w:ascii="Times New Roman"/>
                <w:sz w:val="18"/>
              </w:rPr>
            </w:pPr>
            <w:r>
              <w:rPr>
                <w:rFonts w:ascii="Times New Roman"/>
                <w:position w:val="1"/>
                <w:sz w:val="18"/>
              </w:rPr>
              <w:t>SO</w:t>
            </w:r>
            <w:r>
              <w:rPr>
                <w:rFonts w:ascii="Times New Roman"/>
                <w:position w:val="1"/>
                <w:sz w:val="18"/>
                <w:vertAlign w:val="subscript"/>
              </w:rPr>
              <w:t>2</w:t>
            </w:r>
          </w:p>
        </w:tc>
        <w:tc>
          <w:tcPr>
            <w:tcW w:w="1705" w:type="dxa"/>
          </w:tcPr>
          <w:p>
            <w:pPr>
              <w:pStyle w:val="14"/>
              <w:spacing w:before="15" w:line="205" w:lineRule="exact"/>
              <w:ind w:left="405" w:right="397"/>
              <w:rPr>
                <w:rFonts w:ascii="Times New Roman"/>
                <w:sz w:val="18"/>
              </w:rPr>
            </w:pPr>
            <w:r>
              <w:rPr>
                <w:rFonts w:ascii="Times New Roman"/>
                <w:sz w:val="18"/>
              </w:rPr>
              <w:t>0.26</w:t>
            </w:r>
          </w:p>
        </w:tc>
        <w:tc>
          <w:tcPr>
            <w:tcW w:w="1704" w:type="dxa"/>
          </w:tcPr>
          <w:p>
            <w:pPr>
              <w:pStyle w:val="14"/>
              <w:spacing w:before="15" w:line="205" w:lineRule="exact"/>
              <w:ind w:left="199" w:right="192"/>
              <w:rPr>
                <w:rFonts w:ascii="Times New Roman"/>
                <w:sz w:val="18"/>
              </w:rPr>
            </w:pPr>
            <w:r>
              <w:rPr>
                <w:rFonts w:ascii="Times New Roman"/>
                <w:sz w:val="18"/>
              </w:rPr>
              <w:t>0.05</w:t>
            </w:r>
          </w:p>
        </w:tc>
        <w:tc>
          <w:tcPr>
            <w:tcW w:w="1705" w:type="dxa"/>
          </w:tcPr>
          <w:p>
            <w:pPr>
              <w:pStyle w:val="14"/>
              <w:spacing w:line="221" w:lineRule="exact"/>
              <w:ind w:left="7"/>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1704" w:type="dxa"/>
            <w:vMerge w:val="continue"/>
            <w:tcBorders>
              <w:top w:val="nil"/>
            </w:tcBorders>
          </w:tcPr>
          <w:p>
            <w:pPr>
              <w:rPr>
                <w:sz w:val="2"/>
                <w:szCs w:val="2"/>
              </w:rPr>
            </w:pPr>
          </w:p>
        </w:tc>
        <w:tc>
          <w:tcPr>
            <w:tcW w:w="1704" w:type="dxa"/>
          </w:tcPr>
          <w:p>
            <w:pPr>
              <w:pStyle w:val="14"/>
              <w:spacing w:before="16" w:line="205" w:lineRule="exact"/>
              <w:ind w:left="199" w:right="190"/>
              <w:rPr>
                <w:rFonts w:ascii="Times New Roman"/>
                <w:sz w:val="18"/>
              </w:rPr>
            </w:pPr>
            <w:r>
              <w:rPr>
                <w:rFonts w:ascii="Times New Roman"/>
                <w:sz w:val="18"/>
              </w:rPr>
              <w:t>NOx</w:t>
            </w:r>
          </w:p>
        </w:tc>
        <w:tc>
          <w:tcPr>
            <w:tcW w:w="1705" w:type="dxa"/>
          </w:tcPr>
          <w:p>
            <w:pPr>
              <w:pStyle w:val="14"/>
              <w:spacing w:before="16" w:line="205" w:lineRule="exact"/>
              <w:ind w:left="405" w:right="397"/>
              <w:rPr>
                <w:rFonts w:ascii="Times New Roman"/>
                <w:sz w:val="18"/>
              </w:rPr>
            </w:pPr>
            <w:r>
              <w:rPr>
                <w:rFonts w:ascii="Times New Roman"/>
                <w:sz w:val="18"/>
              </w:rPr>
              <w:t>2.21</w:t>
            </w:r>
          </w:p>
        </w:tc>
        <w:tc>
          <w:tcPr>
            <w:tcW w:w="1704" w:type="dxa"/>
          </w:tcPr>
          <w:p>
            <w:pPr>
              <w:pStyle w:val="14"/>
              <w:spacing w:before="16" w:line="205" w:lineRule="exact"/>
              <w:ind w:left="199" w:right="192"/>
              <w:rPr>
                <w:rFonts w:ascii="Times New Roman"/>
                <w:sz w:val="18"/>
              </w:rPr>
            </w:pPr>
            <w:r>
              <w:rPr>
                <w:rFonts w:ascii="Times New Roman"/>
                <w:sz w:val="18"/>
              </w:rPr>
              <w:t>0.88</w:t>
            </w:r>
          </w:p>
        </w:tc>
        <w:tc>
          <w:tcPr>
            <w:tcW w:w="1705" w:type="dxa"/>
          </w:tcPr>
          <w:p>
            <w:pPr>
              <w:pStyle w:val="14"/>
              <w:spacing w:line="221" w:lineRule="exact"/>
              <w:ind w:left="7"/>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704" w:type="dxa"/>
            <w:vMerge w:val="continue"/>
            <w:tcBorders>
              <w:top w:val="nil"/>
            </w:tcBorders>
          </w:tcPr>
          <w:p>
            <w:pPr>
              <w:rPr>
                <w:sz w:val="2"/>
                <w:szCs w:val="2"/>
              </w:rPr>
            </w:pPr>
          </w:p>
        </w:tc>
        <w:tc>
          <w:tcPr>
            <w:tcW w:w="1704" w:type="dxa"/>
          </w:tcPr>
          <w:p>
            <w:pPr>
              <w:pStyle w:val="14"/>
              <w:spacing w:before="1" w:line="251" w:lineRule="exact"/>
              <w:ind w:left="199" w:right="194"/>
              <w:rPr>
                <w:sz w:val="21"/>
              </w:rPr>
            </w:pPr>
            <w:r>
              <w:rPr>
                <w:sz w:val="21"/>
              </w:rPr>
              <w:t>烟尘</w:t>
            </w:r>
          </w:p>
        </w:tc>
        <w:tc>
          <w:tcPr>
            <w:tcW w:w="1705" w:type="dxa"/>
          </w:tcPr>
          <w:p>
            <w:pPr>
              <w:pStyle w:val="14"/>
              <w:spacing w:before="31"/>
              <w:ind w:left="405" w:right="397"/>
              <w:rPr>
                <w:rFonts w:ascii="Times New Roman"/>
                <w:sz w:val="18"/>
              </w:rPr>
            </w:pPr>
            <w:r>
              <w:rPr>
                <w:rFonts w:ascii="Times New Roman"/>
                <w:sz w:val="18"/>
              </w:rPr>
              <w:t>0.15</w:t>
            </w:r>
          </w:p>
        </w:tc>
        <w:tc>
          <w:tcPr>
            <w:tcW w:w="1704" w:type="dxa"/>
          </w:tcPr>
          <w:p>
            <w:pPr>
              <w:pStyle w:val="14"/>
              <w:spacing w:before="31"/>
              <w:ind w:left="199" w:right="192"/>
              <w:rPr>
                <w:rFonts w:ascii="Times New Roman"/>
                <w:sz w:val="18"/>
              </w:rPr>
            </w:pPr>
            <w:r>
              <w:rPr>
                <w:rFonts w:ascii="Times New Roman"/>
                <w:sz w:val="18"/>
              </w:rPr>
              <w:t>0.03</w:t>
            </w:r>
          </w:p>
        </w:tc>
        <w:tc>
          <w:tcPr>
            <w:tcW w:w="1705" w:type="dxa"/>
          </w:tcPr>
          <w:p>
            <w:pPr>
              <w:pStyle w:val="14"/>
              <w:spacing w:before="15" w:line="237" w:lineRule="exact"/>
              <w:ind w:left="7"/>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704" w:type="dxa"/>
          </w:tcPr>
          <w:p>
            <w:pPr>
              <w:pStyle w:val="14"/>
              <w:spacing w:line="252" w:lineRule="exact"/>
              <w:ind w:left="199" w:right="194"/>
              <w:rPr>
                <w:sz w:val="21"/>
              </w:rPr>
            </w:pPr>
            <w:r>
              <w:rPr>
                <w:sz w:val="21"/>
              </w:rPr>
              <w:t>筛分车间烟囱</w:t>
            </w:r>
          </w:p>
        </w:tc>
        <w:tc>
          <w:tcPr>
            <w:tcW w:w="1704" w:type="dxa"/>
          </w:tcPr>
          <w:p>
            <w:pPr>
              <w:pStyle w:val="14"/>
              <w:spacing w:before="13" w:line="238" w:lineRule="exact"/>
              <w:ind w:left="199" w:right="190"/>
              <w:rPr>
                <w:rFonts w:ascii="Times New Roman"/>
                <w:sz w:val="21"/>
              </w:rPr>
            </w:pPr>
            <w:r>
              <w:rPr>
                <w:rFonts w:ascii="Times New Roman"/>
                <w:sz w:val="21"/>
              </w:rPr>
              <w:t>PM10</w:t>
            </w:r>
          </w:p>
        </w:tc>
        <w:tc>
          <w:tcPr>
            <w:tcW w:w="1705" w:type="dxa"/>
          </w:tcPr>
          <w:p>
            <w:pPr>
              <w:pStyle w:val="14"/>
              <w:spacing w:before="32"/>
              <w:ind w:left="405" w:right="397"/>
              <w:rPr>
                <w:rFonts w:ascii="Times New Roman"/>
                <w:sz w:val="18"/>
              </w:rPr>
            </w:pPr>
            <w:r>
              <w:rPr>
                <w:rFonts w:ascii="Times New Roman"/>
                <w:sz w:val="18"/>
              </w:rPr>
              <w:t>2.02</w:t>
            </w:r>
          </w:p>
        </w:tc>
        <w:tc>
          <w:tcPr>
            <w:tcW w:w="1704" w:type="dxa"/>
          </w:tcPr>
          <w:p>
            <w:pPr>
              <w:pStyle w:val="14"/>
              <w:spacing w:before="32"/>
              <w:ind w:left="199" w:right="192"/>
              <w:rPr>
                <w:rFonts w:ascii="Times New Roman"/>
                <w:sz w:val="18"/>
              </w:rPr>
            </w:pPr>
            <w:r>
              <w:rPr>
                <w:rFonts w:ascii="Times New Roman"/>
                <w:sz w:val="18"/>
              </w:rPr>
              <w:t>0.45</w:t>
            </w:r>
          </w:p>
        </w:tc>
        <w:tc>
          <w:tcPr>
            <w:tcW w:w="1705" w:type="dxa"/>
          </w:tcPr>
          <w:p>
            <w:pPr>
              <w:pStyle w:val="14"/>
              <w:spacing w:before="13" w:line="238" w:lineRule="exact"/>
              <w:ind w:left="7"/>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704" w:type="dxa"/>
          </w:tcPr>
          <w:p>
            <w:pPr>
              <w:pStyle w:val="14"/>
              <w:spacing w:before="1" w:line="252" w:lineRule="exact"/>
              <w:ind w:left="199" w:right="191"/>
              <w:rPr>
                <w:sz w:val="21"/>
              </w:rPr>
            </w:pPr>
            <w:r>
              <w:rPr>
                <w:sz w:val="21"/>
              </w:rPr>
              <w:t>矸石暂存场</w:t>
            </w:r>
          </w:p>
        </w:tc>
        <w:tc>
          <w:tcPr>
            <w:tcW w:w="1704" w:type="dxa"/>
          </w:tcPr>
          <w:p>
            <w:pPr>
              <w:pStyle w:val="14"/>
              <w:spacing w:before="15" w:line="238" w:lineRule="exact"/>
              <w:ind w:left="199" w:right="190"/>
              <w:rPr>
                <w:rFonts w:ascii="Times New Roman"/>
                <w:sz w:val="21"/>
              </w:rPr>
            </w:pPr>
            <w:r>
              <w:rPr>
                <w:rFonts w:ascii="Times New Roman"/>
                <w:sz w:val="21"/>
              </w:rPr>
              <w:t>TSP</w:t>
            </w:r>
          </w:p>
        </w:tc>
        <w:tc>
          <w:tcPr>
            <w:tcW w:w="1705" w:type="dxa"/>
          </w:tcPr>
          <w:p>
            <w:pPr>
              <w:pStyle w:val="14"/>
              <w:spacing w:before="31"/>
              <w:ind w:left="405" w:right="397"/>
              <w:rPr>
                <w:rFonts w:ascii="Times New Roman"/>
                <w:sz w:val="18"/>
              </w:rPr>
            </w:pPr>
            <w:r>
              <w:rPr>
                <w:rFonts w:ascii="Times New Roman"/>
                <w:sz w:val="18"/>
              </w:rPr>
              <w:t>21.1</w:t>
            </w:r>
          </w:p>
        </w:tc>
        <w:tc>
          <w:tcPr>
            <w:tcW w:w="1704" w:type="dxa"/>
          </w:tcPr>
          <w:p>
            <w:pPr>
              <w:pStyle w:val="14"/>
              <w:spacing w:before="31"/>
              <w:ind w:left="199" w:right="192"/>
              <w:rPr>
                <w:rFonts w:ascii="Times New Roman"/>
                <w:sz w:val="18"/>
              </w:rPr>
            </w:pPr>
            <w:r>
              <w:rPr>
                <w:rFonts w:ascii="Times New Roman"/>
                <w:sz w:val="18"/>
              </w:rPr>
              <w:t>2.34</w:t>
            </w:r>
          </w:p>
        </w:tc>
        <w:tc>
          <w:tcPr>
            <w:tcW w:w="1705" w:type="dxa"/>
          </w:tcPr>
          <w:p>
            <w:pPr>
              <w:pStyle w:val="14"/>
              <w:spacing w:before="15" w:line="238" w:lineRule="exact"/>
              <w:ind w:left="7"/>
              <w:rPr>
                <w:rFonts w:ascii="Times New Roman"/>
                <w:sz w:val="21"/>
              </w:rPr>
            </w:pPr>
            <w:r>
              <w:rPr>
                <w:rFonts w:ascii="Times New Roman"/>
                <w:w w:val="99"/>
                <w:sz w:val="21"/>
              </w:rPr>
              <w:t>/</w:t>
            </w:r>
          </w:p>
        </w:tc>
      </w:tr>
    </w:tbl>
    <w:p>
      <w:pPr>
        <w:pStyle w:val="6"/>
        <w:spacing w:line="362" w:lineRule="auto"/>
        <w:ind w:left="658" w:right="649" w:firstLine="480"/>
        <w:jc w:val="both"/>
      </w:pPr>
      <w:r>
        <w:rPr>
          <w:spacing w:val="-8"/>
          <w:position w:val="2"/>
        </w:rPr>
        <w:t xml:space="preserve">根据估算结果及评价等级判别表，本项目 </w:t>
      </w:r>
      <w:r>
        <w:rPr>
          <w:rFonts w:ascii="Times New Roman" w:hAnsi="Times New Roman" w:eastAsia="Times New Roman"/>
          <w:position w:val="2"/>
        </w:rPr>
        <w:t>P</w:t>
      </w:r>
      <w:r>
        <w:rPr>
          <w:rFonts w:ascii="Times New Roman" w:hAnsi="Times New Roman" w:eastAsia="Times New Roman"/>
          <w:position w:val="2"/>
          <w:vertAlign w:val="subscript"/>
        </w:rPr>
        <w:t>max</w:t>
      </w:r>
      <w:r>
        <w:rPr>
          <w:rFonts w:ascii="Times New Roman" w:hAnsi="Times New Roman" w:eastAsia="Times New Roman"/>
          <w:position w:val="2"/>
          <w:vertAlign w:val="baseline"/>
        </w:rPr>
        <w:t xml:space="preserve"> </w:t>
      </w:r>
      <w:r>
        <w:rPr>
          <w:position w:val="2"/>
          <w:vertAlign w:val="baseline"/>
        </w:rPr>
        <w:t>最大值出现为热风炉房排气筒排放的</w:t>
      </w:r>
      <w:r>
        <w:rPr>
          <w:rFonts w:ascii="Times New Roman" w:hAnsi="Times New Roman" w:eastAsia="Times New Roman"/>
          <w:position w:val="2"/>
          <w:vertAlign w:val="baseline"/>
        </w:rPr>
        <w:t>NOx</w:t>
      </w:r>
      <w:r>
        <w:rPr>
          <w:position w:val="2"/>
          <w:vertAlign w:val="baseline"/>
        </w:rPr>
        <w:t>，</w:t>
      </w:r>
      <w:r>
        <w:rPr>
          <w:rFonts w:ascii="Times New Roman" w:hAnsi="Times New Roman" w:eastAsia="Times New Roman"/>
          <w:position w:val="2"/>
          <w:vertAlign w:val="baseline"/>
        </w:rPr>
        <w:t>P</w:t>
      </w:r>
      <w:r>
        <w:rPr>
          <w:rFonts w:ascii="Times New Roman" w:hAnsi="Times New Roman" w:eastAsia="Times New Roman"/>
          <w:position w:val="2"/>
          <w:vertAlign w:val="subscript"/>
        </w:rPr>
        <w:t>max</w:t>
      </w:r>
      <w:r>
        <w:rPr>
          <w:rFonts w:ascii="Times New Roman" w:hAnsi="Times New Roman" w:eastAsia="Times New Roman"/>
          <w:position w:val="2"/>
          <w:vertAlign w:val="baseline"/>
        </w:rPr>
        <w:t xml:space="preserve"> </w:t>
      </w:r>
      <w:r>
        <w:rPr>
          <w:spacing w:val="-19"/>
          <w:position w:val="2"/>
          <w:vertAlign w:val="baseline"/>
        </w:rPr>
        <w:t xml:space="preserve">值为 </w:t>
      </w:r>
      <w:r>
        <w:rPr>
          <w:rFonts w:ascii="Times New Roman" w:hAnsi="Times New Roman" w:eastAsia="Times New Roman"/>
          <w:position w:val="2"/>
          <w:vertAlign w:val="baseline"/>
        </w:rPr>
        <w:t>4.15%</w:t>
      </w:r>
      <w:r>
        <w:rPr>
          <w:position w:val="2"/>
          <w:vertAlign w:val="baseline"/>
        </w:rPr>
        <w:t>，</w:t>
      </w:r>
      <w:r>
        <w:rPr>
          <w:rFonts w:ascii="Times New Roman" w:hAnsi="Times New Roman" w:eastAsia="Times New Roman"/>
          <w:position w:val="2"/>
          <w:vertAlign w:val="baseline"/>
        </w:rPr>
        <w:t>C</w:t>
      </w:r>
      <w:r>
        <w:rPr>
          <w:rFonts w:ascii="Times New Roman" w:hAnsi="Times New Roman" w:eastAsia="Times New Roman"/>
          <w:position w:val="2"/>
          <w:vertAlign w:val="subscript"/>
        </w:rPr>
        <w:t>max</w:t>
      </w:r>
      <w:r>
        <w:rPr>
          <w:rFonts w:ascii="Times New Roman" w:hAnsi="Times New Roman" w:eastAsia="Times New Roman"/>
          <w:position w:val="2"/>
          <w:vertAlign w:val="baseline"/>
        </w:rPr>
        <w:t xml:space="preserve"> </w:t>
      </w:r>
      <w:r>
        <w:rPr>
          <w:spacing w:val="-29"/>
          <w:position w:val="2"/>
          <w:vertAlign w:val="baseline"/>
        </w:rPr>
        <w:t xml:space="preserve">为 </w:t>
      </w:r>
      <w:r>
        <w:rPr>
          <w:rFonts w:ascii="Times New Roman" w:hAnsi="Times New Roman" w:eastAsia="Times New Roman"/>
          <w:position w:val="2"/>
          <w:vertAlign w:val="baseline"/>
        </w:rPr>
        <w:t>10.36μg/m</w:t>
      </w:r>
      <w:r>
        <w:rPr>
          <w:rFonts w:ascii="Times New Roman" w:hAnsi="Times New Roman" w:eastAsia="Times New Roman"/>
          <w:position w:val="2"/>
          <w:vertAlign w:val="superscript"/>
        </w:rPr>
        <w:t>3</w:t>
      </w:r>
      <w:r>
        <w:rPr>
          <w:spacing w:val="-2"/>
          <w:position w:val="2"/>
          <w:vertAlign w:val="baseline"/>
        </w:rPr>
        <w:t>，根据《环境影响评价技术导则 大气环境》</w:t>
      </w:r>
      <w:r>
        <w:rPr>
          <w:rFonts w:ascii="Times New Roman" w:hAnsi="Times New Roman" w:eastAsia="Times New Roman"/>
          <w:vertAlign w:val="baseline"/>
        </w:rPr>
        <w:t>(HJ2.2-2018)</w:t>
      </w:r>
      <w:r>
        <w:rPr>
          <w:vertAlign w:val="baseline"/>
        </w:rPr>
        <w:t>分级判据，确定本项目大气环境影响评价工作等级为二级，总体上对环境</w:t>
      </w:r>
      <w:r>
        <w:rPr>
          <w:spacing w:val="-6"/>
          <w:vertAlign w:val="baseline"/>
        </w:rPr>
        <w:t>空气影响不大，在可控制范围内，不会改变现有空气质量类别。根据《环境影响评价技术导则 大气环境》</w:t>
      </w:r>
      <w:r>
        <w:rPr>
          <w:rFonts w:ascii="Times New Roman" w:hAnsi="Times New Roman" w:eastAsia="Times New Roman"/>
          <w:vertAlign w:val="baseline"/>
        </w:rPr>
        <w:t>(HJ2.2-2018)</w:t>
      </w:r>
      <w:r>
        <w:rPr>
          <w:spacing w:val="-3"/>
          <w:vertAlign w:val="baseline"/>
        </w:rPr>
        <w:t>规定，二级评价不需要进行进一步预测和评价，只需要对污染物进行总量核算。</w:t>
      </w:r>
    </w:p>
    <w:p>
      <w:pPr>
        <w:pStyle w:val="13"/>
        <w:numPr>
          <w:ilvl w:val="2"/>
          <w:numId w:val="7"/>
        </w:numPr>
        <w:tabs>
          <w:tab w:val="left" w:pos="1288"/>
        </w:tabs>
        <w:spacing w:before="9" w:after="0" w:line="240" w:lineRule="auto"/>
        <w:ind w:left="1287" w:right="0" w:hanging="630"/>
        <w:jc w:val="left"/>
        <w:rPr>
          <w:b/>
          <w:sz w:val="28"/>
        </w:rPr>
      </w:pPr>
      <w:bookmarkStart w:id="41" w:name="2.4.2地表水环境"/>
      <w:bookmarkEnd w:id="41"/>
      <w:bookmarkStart w:id="42" w:name="2.4.2地表水环境"/>
      <w:bookmarkEnd w:id="42"/>
      <w:r>
        <w:rPr>
          <w:b/>
          <w:sz w:val="28"/>
        </w:rPr>
        <w:t>地表水环境</w:t>
      </w:r>
    </w:p>
    <w:p>
      <w:pPr>
        <w:pStyle w:val="6"/>
        <w:spacing w:before="185" w:line="364" w:lineRule="auto"/>
        <w:ind w:left="658" w:right="573" w:firstLine="480"/>
      </w:pPr>
      <w:r>
        <w:rPr>
          <w:spacing w:val="-8"/>
        </w:rPr>
        <w:t>依据《环境影响评价导则 地表水环境》</w:t>
      </w:r>
      <w:r>
        <w:rPr>
          <w:rFonts w:ascii="Times New Roman" w:eastAsia="Times New Roman"/>
        </w:rPr>
        <w:t>(HJ 2.3-2018)</w:t>
      </w:r>
      <w:r>
        <w:rPr>
          <w:spacing w:val="-4"/>
        </w:rPr>
        <w:t>对评价级别进行判定。本项目</w:t>
      </w:r>
      <w:r>
        <w:rPr>
          <w:spacing w:val="-7"/>
        </w:rPr>
        <w:t>矿井涌水处理后部分回用，剩余部分外排至扁石河，生活污水处理后作为矿井工业场地</w:t>
      </w:r>
      <w:r>
        <w:rPr>
          <w:spacing w:val="-20"/>
        </w:rPr>
        <w:t xml:space="preserve">绿化洒水用水。外排废水属直接排放，主要污染物为 </w:t>
      </w:r>
      <w:r>
        <w:rPr>
          <w:rFonts w:ascii="Times New Roman" w:eastAsia="Times New Roman"/>
        </w:rPr>
        <w:t>C</w:t>
      </w:r>
      <w:r>
        <w:rPr>
          <w:rFonts w:ascii="Times New Roman" w:eastAsia="Times New Roman"/>
          <w:spacing w:val="-1"/>
        </w:rPr>
        <w:t>O</w:t>
      </w:r>
      <w:r>
        <w:rPr>
          <w:rFonts w:ascii="Times New Roman" w:eastAsia="Times New Roman"/>
          <w:spacing w:val="1"/>
        </w:rPr>
        <w:t>D</w:t>
      </w:r>
      <w:r>
        <w:rPr>
          <w:spacing w:val="-108"/>
        </w:rPr>
        <w:t>、</w:t>
      </w:r>
      <w:r>
        <w:rPr>
          <w:rFonts w:ascii="Times New Roman" w:eastAsia="Times New Roman"/>
        </w:rPr>
        <w:t>S</w:t>
      </w:r>
      <w:r>
        <w:rPr>
          <w:rFonts w:ascii="Times New Roman" w:eastAsia="Times New Roman"/>
          <w:spacing w:val="-2"/>
        </w:rPr>
        <w:t>S</w:t>
      </w:r>
      <w:r>
        <w:rPr>
          <w:spacing w:val="-34"/>
        </w:rPr>
        <w:t xml:space="preserve">，排放量 </w:t>
      </w:r>
      <w:r>
        <w:rPr>
          <w:rFonts w:ascii="Times New Roman" w:eastAsia="Times New Roman"/>
        </w:rPr>
        <w:t xml:space="preserve">Q </w:t>
      </w:r>
      <w:r>
        <w:rPr>
          <w:spacing w:val="-29"/>
        </w:rPr>
        <w:t xml:space="preserve">为 </w:t>
      </w:r>
      <w:r>
        <w:rPr>
          <w:rFonts w:ascii="Times New Roman" w:eastAsia="Times New Roman"/>
          <w:spacing w:val="-1"/>
        </w:rPr>
        <w:t>1435.68</w:t>
      </w:r>
      <w:r>
        <w:rPr>
          <w:rFonts w:ascii="Times New Roman" w:eastAsia="Times New Roman"/>
          <w:spacing w:val="-3"/>
        </w:rPr>
        <w:t>m</w:t>
      </w:r>
      <w:r>
        <w:rPr>
          <w:rFonts w:ascii="Times New Roman" w:eastAsia="Times New Roman"/>
          <w:spacing w:val="0"/>
          <w:w w:val="104"/>
          <w:position w:val="8"/>
          <w:sz w:val="15"/>
        </w:rPr>
        <w:t>3</w:t>
      </w:r>
      <w:r>
        <w:rPr>
          <w:rFonts w:ascii="Times New Roman" w:eastAsia="Times New Roman"/>
          <w:spacing w:val="-1"/>
        </w:rPr>
        <w:t>/</w:t>
      </w:r>
      <w:r>
        <w:rPr>
          <w:rFonts w:ascii="Times New Roman" w:eastAsia="Times New Roman"/>
          <w:spacing w:val="-4"/>
        </w:rPr>
        <w:t>d</w:t>
      </w:r>
      <w:r>
        <w:rPr>
          <w:spacing w:val="-1"/>
        </w:rPr>
        <w:t>，</w:t>
      </w:r>
      <w:r>
        <w:rPr>
          <w:spacing w:val="-9"/>
        </w:rPr>
        <w:t xml:space="preserve">水污染当量数 </w:t>
      </w:r>
      <w:r>
        <w:rPr>
          <w:rFonts w:ascii="Times New Roman" w:eastAsia="Times New Roman"/>
        </w:rPr>
        <w:t xml:space="preserve">W </w:t>
      </w:r>
      <w:r>
        <w:rPr>
          <w:spacing w:val="-30"/>
        </w:rPr>
        <w:t xml:space="preserve">为 </w:t>
      </w:r>
      <w:r>
        <w:rPr>
          <w:rFonts w:ascii="Times New Roman" w:eastAsia="Times New Roman"/>
        </w:rPr>
        <w:t>7106</w:t>
      </w:r>
      <w:r>
        <w:rPr>
          <w:spacing w:val="-4"/>
        </w:rPr>
        <w:t xml:space="preserve">，判定地表水评价等级为二级。详见表 </w:t>
      </w:r>
      <w:r>
        <w:rPr>
          <w:rFonts w:ascii="Times New Roman" w:eastAsia="Times New Roman"/>
        </w:rPr>
        <w:t>2.4-7</w:t>
      </w:r>
      <w:r>
        <w:t>。</w:t>
      </w:r>
    </w:p>
    <w:p>
      <w:pPr>
        <w:pStyle w:val="5"/>
        <w:tabs>
          <w:tab w:val="left" w:pos="4332"/>
        </w:tabs>
        <w:spacing w:after="2" w:line="305" w:lineRule="exact"/>
        <w:ind w:left="3173"/>
      </w:pPr>
      <w:r>
        <w:t>表</w:t>
      </w:r>
      <w:r>
        <w:rPr>
          <w:spacing w:val="-62"/>
        </w:rPr>
        <w:t xml:space="preserve"> </w:t>
      </w:r>
      <w:r>
        <w:rPr>
          <w:rFonts w:ascii="Times New Roman" w:eastAsia="Times New Roman"/>
        </w:rPr>
        <w:t>2.4-7</w:t>
      </w:r>
      <w:r>
        <w:rPr>
          <w:rFonts w:ascii="Times New Roman" w:eastAsia="Times New Roman"/>
        </w:rPr>
        <w:tab/>
      </w:r>
      <w:r>
        <w:t>地表水评价等级判定依据表</w:t>
      </w:r>
    </w:p>
    <w:tbl>
      <w:tblPr>
        <w:tblStyle w:val="10"/>
        <w:tblW w:w="0" w:type="auto"/>
        <w:tblInd w:w="9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3"/>
        <w:gridCol w:w="1918"/>
        <w:gridCol w:w="2277"/>
        <w:gridCol w:w="31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213" w:type="dxa"/>
            <w:vMerge w:val="restart"/>
          </w:tcPr>
          <w:p>
            <w:pPr>
              <w:pStyle w:val="14"/>
              <w:spacing w:before="141"/>
              <w:ind w:left="184"/>
              <w:jc w:val="left"/>
              <w:rPr>
                <w:sz w:val="21"/>
              </w:rPr>
            </w:pPr>
            <w:r>
              <w:rPr>
                <w:sz w:val="21"/>
              </w:rPr>
              <w:t>评价等级</w:t>
            </w:r>
          </w:p>
        </w:tc>
        <w:tc>
          <w:tcPr>
            <w:tcW w:w="7309" w:type="dxa"/>
            <w:gridSpan w:val="3"/>
          </w:tcPr>
          <w:p>
            <w:pPr>
              <w:pStyle w:val="14"/>
              <w:spacing w:before="1" w:line="251" w:lineRule="exact"/>
              <w:ind w:left="3212" w:right="3206"/>
              <w:rPr>
                <w:sz w:val="21"/>
              </w:rPr>
            </w:pPr>
            <w:r>
              <w:rPr>
                <w:sz w:val="21"/>
              </w:rPr>
              <w:t>判定依据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213" w:type="dxa"/>
            <w:vMerge w:val="continue"/>
            <w:tcBorders>
              <w:top w:val="nil"/>
            </w:tcBorders>
          </w:tcPr>
          <w:p>
            <w:pPr>
              <w:rPr>
                <w:sz w:val="2"/>
                <w:szCs w:val="2"/>
              </w:rPr>
            </w:pPr>
          </w:p>
        </w:tc>
        <w:tc>
          <w:tcPr>
            <w:tcW w:w="1918" w:type="dxa"/>
          </w:tcPr>
          <w:p>
            <w:pPr>
              <w:pStyle w:val="14"/>
              <w:spacing w:line="252" w:lineRule="exact"/>
              <w:ind w:left="97" w:right="90"/>
              <w:rPr>
                <w:sz w:val="21"/>
              </w:rPr>
            </w:pPr>
            <w:r>
              <w:rPr>
                <w:sz w:val="21"/>
              </w:rPr>
              <w:t>排放方式</w:t>
            </w:r>
          </w:p>
        </w:tc>
        <w:tc>
          <w:tcPr>
            <w:tcW w:w="2277" w:type="dxa"/>
          </w:tcPr>
          <w:p>
            <w:pPr>
              <w:pStyle w:val="14"/>
              <w:spacing w:line="252" w:lineRule="exact"/>
              <w:ind w:left="61" w:right="49"/>
              <w:rPr>
                <w:sz w:val="21"/>
              </w:rPr>
            </w:pPr>
            <w:r>
              <w:rPr>
                <w:sz w:val="21"/>
              </w:rPr>
              <w:t xml:space="preserve">废水排放量 </w:t>
            </w:r>
            <w:r>
              <w:rPr>
                <w:rFonts w:ascii="Times New Roman" w:hAnsi="Times New Roman" w:eastAsia="Times New Roman"/>
                <w:sz w:val="21"/>
              </w:rPr>
              <w:t>Q</w:t>
            </w:r>
            <w:r>
              <w:rPr>
                <w:sz w:val="21"/>
              </w:rPr>
              <w:t>（</w:t>
            </w:r>
            <w:r>
              <w:rPr>
                <w:rFonts w:ascii="Times New Roman" w:hAnsi="Times New Roman" w:eastAsia="Times New Roman"/>
                <w:sz w:val="21"/>
              </w:rPr>
              <w:t>m³/d</w:t>
            </w:r>
            <w:r>
              <w:rPr>
                <w:sz w:val="21"/>
              </w:rPr>
              <w:t>）</w:t>
            </w:r>
          </w:p>
        </w:tc>
        <w:tc>
          <w:tcPr>
            <w:tcW w:w="3114" w:type="dxa"/>
          </w:tcPr>
          <w:p>
            <w:pPr>
              <w:pStyle w:val="14"/>
              <w:spacing w:line="252" w:lineRule="exact"/>
              <w:ind w:left="229" w:right="220"/>
              <w:rPr>
                <w:sz w:val="21"/>
              </w:rPr>
            </w:pPr>
            <w:r>
              <w:rPr>
                <w:sz w:val="21"/>
              </w:rPr>
              <w:t xml:space="preserve">水污染当量数 </w:t>
            </w:r>
            <w:r>
              <w:rPr>
                <w:rFonts w:ascii="Times New Roman" w:eastAsia="Times New Roman"/>
                <w:sz w:val="21"/>
              </w:rPr>
              <w:t>W</w:t>
            </w:r>
            <w:r>
              <w:rPr>
                <w:sz w:val="21"/>
              </w:rPr>
              <w:t>（无量纲）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213" w:type="dxa"/>
          </w:tcPr>
          <w:p>
            <w:pPr>
              <w:pStyle w:val="14"/>
              <w:spacing w:line="251" w:lineRule="exact"/>
              <w:ind w:left="244" w:right="238"/>
              <w:rPr>
                <w:sz w:val="21"/>
              </w:rPr>
            </w:pPr>
            <w:r>
              <w:rPr>
                <w:sz w:val="21"/>
              </w:rPr>
              <w:t>一级</w:t>
            </w:r>
          </w:p>
        </w:tc>
        <w:tc>
          <w:tcPr>
            <w:tcW w:w="1918" w:type="dxa"/>
          </w:tcPr>
          <w:p>
            <w:pPr>
              <w:pStyle w:val="14"/>
              <w:spacing w:line="251" w:lineRule="exact"/>
              <w:ind w:left="97" w:right="90"/>
              <w:rPr>
                <w:sz w:val="21"/>
              </w:rPr>
            </w:pPr>
            <w:r>
              <w:rPr>
                <w:sz w:val="21"/>
              </w:rPr>
              <w:t>直接排放</w:t>
            </w:r>
          </w:p>
        </w:tc>
        <w:tc>
          <w:tcPr>
            <w:tcW w:w="2277" w:type="dxa"/>
          </w:tcPr>
          <w:p>
            <w:pPr>
              <w:pStyle w:val="14"/>
              <w:spacing w:before="14" w:line="237" w:lineRule="exact"/>
              <w:ind w:left="57" w:right="49"/>
              <w:rPr>
                <w:rFonts w:ascii="Times New Roman" w:hAnsi="Times New Roman"/>
                <w:sz w:val="21"/>
              </w:rPr>
            </w:pPr>
            <w:r>
              <w:rPr>
                <w:rFonts w:ascii="Times New Roman" w:hAnsi="Times New Roman"/>
                <w:sz w:val="21"/>
              </w:rPr>
              <w:t>Q≥20000</w:t>
            </w:r>
          </w:p>
        </w:tc>
        <w:tc>
          <w:tcPr>
            <w:tcW w:w="3114" w:type="dxa"/>
          </w:tcPr>
          <w:p>
            <w:pPr>
              <w:pStyle w:val="14"/>
              <w:spacing w:before="14" w:line="237" w:lineRule="exact"/>
              <w:ind w:left="228" w:right="220"/>
              <w:rPr>
                <w:rFonts w:ascii="Times New Roman" w:hAnsi="Times New Roman"/>
                <w:sz w:val="21"/>
              </w:rPr>
            </w:pPr>
            <w:r>
              <w:rPr>
                <w:rFonts w:ascii="Times New Roman" w:hAnsi="Times New Roman"/>
                <w:sz w:val="21"/>
              </w:rPr>
              <w:t>W≥600000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213" w:type="dxa"/>
          </w:tcPr>
          <w:p>
            <w:pPr>
              <w:pStyle w:val="14"/>
              <w:spacing w:before="1" w:line="251" w:lineRule="exact"/>
              <w:ind w:left="244" w:right="238"/>
              <w:rPr>
                <w:sz w:val="21"/>
              </w:rPr>
            </w:pPr>
            <w:r>
              <w:rPr>
                <w:sz w:val="21"/>
              </w:rPr>
              <w:t>二级</w:t>
            </w:r>
          </w:p>
        </w:tc>
        <w:tc>
          <w:tcPr>
            <w:tcW w:w="1918" w:type="dxa"/>
          </w:tcPr>
          <w:p>
            <w:pPr>
              <w:pStyle w:val="14"/>
              <w:spacing w:before="1" w:line="251" w:lineRule="exact"/>
              <w:ind w:left="97" w:right="90"/>
              <w:rPr>
                <w:sz w:val="21"/>
              </w:rPr>
            </w:pPr>
            <w:r>
              <w:rPr>
                <w:sz w:val="21"/>
              </w:rPr>
              <w:t>直接排放</w:t>
            </w:r>
          </w:p>
        </w:tc>
        <w:tc>
          <w:tcPr>
            <w:tcW w:w="5391" w:type="dxa"/>
            <w:gridSpan w:val="2"/>
          </w:tcPr>
          <w:p>
            <w:pPr>
              <w:pStyle w:val="14"/>
              <w:spacing w:before="1" w:line="251" w:lineRule="exact"/>
              <w:ind w:left="2463" w:right="2457"/>
              <w:rPr>
                <w:sz w:val="21"/>
              </w:rPr>
            </w:pPr>
            <w:r>
              <w:rPr>
                <w:sz w:val="21"/>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213" w:type="dxa"/>
          </w:tcPr>
          <w:p>
            <w:pPr>
              <w:pStyle w:val="14"/>
              <w:spacing w:line="252" w:lineRule="exact"/>
              <w:ind w:left="248" w:right="238"/>
              <w:rPr>
                <w:rFonts w:ascii="Times New Roman" w:eastAsia="Times New Roman"/>
                <w:sz w:val="21"/>
              </w:rPr>
            </w:pPr>
            <w:r>
              <w:rPr>
                <w:sz w:val="21"/>
              </w:rPr>
              <w:t xml:space="preserve">三级 </w:t>
            </w:r>
            <w:r>
              <w:rPr>
                <w:rFonts w:ascii="Times New Roman" w:eastAsia="Times New Roman"/>
                <w:sz w:val="21"/>
              </w:rPr>
              <w:t>A</w:t>
            </w:r>
          </w:p>
        </w:tc>
        <w:tc>
          <w:tcPr>
            <w:tcW w:w="1918" w:type="dxa"/>
          </w:tcPr>
          <w:p>
            <w:pPr>
              <w:pStyle w:val="14"/>
              <w:spacing w:line="252" w:lineRule="exact"/>
              <w:ind w:left="97" w:right="90"/>
              <w:rPr>
                <w:sz w:val="21"/>
              </w:rPr>
            </w:pPr>
            <w:r>
              <w:rPr>
                <w:sz w:val="21"/>
              </w:rPr>
              <w:t>直接排放</w:t>
            </w:r>
          </w:p>
        </w:tc>
        <w:tc>
          <w:tcPr>
            <w:tcW w:w="2277" w:type="dxa"/>
          </w:tcPr>
          <w:p>
            <w:pPr>
              <w:pStyle w:val="14"/>
              <w:spacing w:line="252" w:lineRule="exact"/>
              <w:ind w:left="57" w:right="49"/>
              <w:rPr>
                <w:rFonts w:ascii="Times New Roman" w:eastAsia="Times New Roman"/>
                <w:sz w:val="21"/>
              </w:rPr>
            </w:pPr>
            <w:r>
              <w:rPr>
                <w:rFonts w:ascii="Times New Roman" w:eastAsia="Times New Roman"/>
                <w:sz w:val="21"/>
              </w:rPr>
              <w:t>Q</w:t>
            </w:r>
            <w:r>
              <w:rPr>
                <w:sz w:val="21"/>
              </w:rPr>
              <w:t>＜</w:t>
            </w:r>
            <w:r>
              <w:rPr>
                <w:rFonts w:ascii="Times New Roman" w:eastAsia="Times New Roman"/>
                <w:sz w:val="21"/>
              </w:rPr>
              <w:t>200</w:t>
            </w:r>
          </w:p>
        </w:tc>
        <w:tc>
          <w:tcPr>
            <w:tcW w:w="3114" w:type="dxa"/>
          </w:tcPr>
          <w:p>
            <w:pPr>
              <w:pStyle w:val="14"/>
              <w:spacing w:line="252" w:lineRule="exact"/>
              <w:ind w:left="229" w:right="219"/>
              <w:rPr>
                <w:rFonts w:ascii="Times New Roman" w:eastAsia="Times New Roman"/>
                <w:sz w:val="21"/>
              </w:rPr>
            </w:pPr>
            <w:r>
              <w:rPr>
                <w:rFonts w:ascii="Times New Roman" w:eastAsia="Times New Roman"/>
                <w:sz w:val="21"/>
              </w:rPr>
              <w:t>W</w:t>
            </w:r>
            <w:r>
              <w:rPr>
                <w:sz w:val="21"/>
              </w:rPr>
              <w:t>＜</w:t>
            </w:r>
            <w:r>
              <w:rPr>
                <w:rFonts w:ascii="Times New Roman" w:eastAsia="Times New Roman"/>
                <w:sz w:val="21"/>
              </w:rPr>
              <w:t>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213" w:type="dxa"/>
          </w:tcPr>
          <w:p>
            <w:pPr>
              <w:pStyle w:val="14"/>
              <w:spacing w:before="1" w:line="251" w:lineRule="exact"/>
              <w:ind w:left="246" w:right="238"/>
              <w:rPr>
                <w:rFonts w:ascii="Times New Roman" w:eastAsia="Times New Roman"/>
                <w:sz w:val="21"/>
              </w:rPr>
            </w:pPr>
            <w:r>
              <w:rPr>
                <w:sz w:val="21"/>
              </w:rPr>
              <w:t xml:space="preserve">三级 </w:t>
            </w:r>
            <w:r>
              <w:rPr>
                <w:rFonts w:ascii="Times New Roman" w:eastAsia="Times New Roman"/>
                <w:sz w:val="21"/>
              </w:rPr>
              <w:t>B</w:t>
            </w:r>
          </w:p>
        </w:tc>
        <w:tc>
          <w:tcPr>
            <w:tcW w:w="1918" w:type="dxa"/>
          </w:tcPr>
          <w:p>
            <w:pPr>
              <w:pStyle w:val="14"/>
              <w:spacing w:before="1" w:line="251" w:lineRule="exact"/>
              <w:ind w:left="97" w:right="90"/>
              <w:rPr>
                <w:sz w:val="21"/>
              </w:rPr>
            </w:pPr>
            <w:r>
              <w:rPr>
                <w:sz w:val="21"/>
              </w:rPr>
              <w:t>间接排放</w:t>
            </w:r>
          </w:p>
        </w:tc>
        <w:tc>
          <w:tcPr>
            <w:tcW w:w="2277" w:type="dxa"/>
          </w:tcPr>
          <w:p>
            <w:pPr>
              <w:pStyle w:val="14"/>
              <w:spacing w:before="14" w:line="237" w:lineRule="exact"/>
              <w:ind w:left="12"/>
              <w:rPr>
                <w:rFonts w:ascii="Times New Roman"/>
                <w:sz w:val="21"/>
              </w:rPr>
            </w:pPr>
            <w:r>
              <w:rPr>
                <w:rFonts w:ascii="Times New Roman"/>
                <w:w w:val="99"/>
                <w:sz w:val="21"/>
              </w:rPr>
              <w:t>-</w:t>
            </w:r>
          </w:p>
        </w:tc>
        <w:tc>
          <w:tcPr>
            <w:tcW w:w="3114" w:type="dxa"/>
          </w:tcPr>
          <w:p>
            <w:pPr>
              <w:pStyle w:val="14"/>
              <w:spacing w:before="14" w:line="237" w:lineRule="exact"/>
              <w:ind w:left="6"/>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213" w:type="dxa"/>
          </w:tcPr>
          <w:p>
            <w:pPr>
              <w:pStyle w:val="14"/>
              <w:spacing w:before="1" w:line="270" w:lineRule="atLeast"/>
              <w:ind w:left="501" w:right="178" w:hanging="317"/>
              <w:jc w:val="left"/>
              <w:rPr>
                <w:sz w:val="21"/>
              </w:rPr>
            </w:pPr>
            <w:r>
              <w:rPr>
                <w:sz w:val="21"/>
              </w:rPr>
              <w:t>本项目情况</w:t>
            </w:r>
          </w:p>
        </w:tc>
        <w:tc>
          <w:tcPr>
            <w:tcW w:w="1918" w:type="dxa"/>
          </w:tcPr>
          <w:p>
            <w:pPr>
              <w:pStyle w:val="14"/>
              <w:spacing w:before="136"/>
              <w:ind w:left="97" w:right="90"/>
              <w:rPr>
                <w:sz w:val="21"/>
              </w:rPr>
            </w:pPr>
            <w:r>
              <w:rPr>
                <w:sz w:val="21"/>
              </w:rPr>
              <w:t>处理后排入扁石河</w:t>
            </w:r>
          </w:p>
        </w:tc>
        <w:tc>
          <w:tcPr>
            <w:tcW w:w="2277" w:type="dxa"/>
          </w:tcPr>
          <w:p>
            <w:pPr>
              <w:pStyle w:val="14"/>
              <w:spacing w:before="150"/>
              <w:ind w:left="60" w:right="49"/>
              <w:rPr>
                <w:rFonts w:ascii="Times New Roman"/>
                <w:sz w:val="21"/>
              </w:rPr>
            </w:pPr>
            <w:r>
              <w:rPr>
                <w:rFonts w:ascii="Times New Roman"/>
                <w:sz w:val="21"/>
              </w:rPr>
              <w:t>1435.68</w:t>
            </w:r>
          </w:p>
        </w:tc>
        <w:tc>
          <w:tcPr>
            <w:tcW w:w="3114" w:type="dxa"/>
          </w:tcPr>
          <w:p>
            <w:pPr>
              <w:pStyle w:val="14"/>
              <w:spacing w:before="2"/>
              <w:ind w:left="228" w:right="220"/>
              <w:rPr>
                <w:rFonts w:ascii="Times New Roman" w:eastAsia="Times New Roman"/>
                <w:sz w:val="21"/>
              </w:rPr>
            </w:pPr>
            <w:r>
              <w:rPr>
                <w:sz w:val="21"/>
              </w:rPr>
              <w:t>一类污染物总和：</w:t>
            </w:r>
            <w:r>
              <w:rPr>
                <w:rFonts w:ascii="Times New Roman" w:eastAsia="Times New Roman"/>
                <w:sz w:val="21"/>
              </w:rPr>
              <w:t>0</w:t>
            </w:r>
          </w:p>
          <w:p>
            <w:pPr>
              <w:pStyle w:val="14"/>
              <w:spacing w:before="2" w:line="252" w:lineRule="exact"/>
              <w:ind w:left="229" w:right="219"/>
              <w:rPr>
                <w:rFonts w:ascii="Times New Roman" w:eastAsia="Times New Roman"/>
                <w:sz w:val="21"/>
              </w:rPr>
            </w:pPr>
            <w:r>
              <w:rPr>
                <w:sz w:val="21"/>
              </w:rPr>
              <w:t>二类污染物当量值：</w:t>
            </w:r>
            <w:r>
              <w:rPr>
                <w:rFonts w:ascii="Times New Roman" w:eastAsia="Times New Roman"/>
                <w:sz w:val="21"/>
              </w:rPr>
              <w:t>7106</w:t>
            </w:r>
          </w:p>
        </w:tc>
      </w:tr>
    </w:tbl>
    <w:p>
      <w:pPr>
        <w:pStyle w:val="13"/>
        <w:numPr>
          <w:ilvl w:val="2"/>
          <w:numId w:val="7"/>
        </w:numPr>
        <w:tabs>
          <w:tab w:val="left" w:pos="1288"/>
        </w:tabs>
        <w:spacing w:before="3" w:after="0" w:line="240" w:lineRule="auto"/>
        <w:ind w:left="1287" w:right="0" w:hanging="630"/>
        <w:jc w:val="left"/>
        <w:rPr>
          <w:b/>
          <w:sz w:val="28"/>
        </w:rPr>
      </w:pPr>
      <w:bookmarkStart w:id="43" w:name="2.4.3声环境"/>
      <w:bookmarkEnd w:id="43"/>
      <w:bookmarkStart w:id="44" w:name="2.4.3声环境"/>
      <w:bookmarkEnd w:id="44"/>
      <w:r>
        <w:rPr>
          <w:b/>
          <w:sz w:val="28"/>
        </w:rPr>
        <w:t>声环境</w:t>
      </w:r>
    </w:p>
    <w:p>
      <w:pPr>
        <w:pStyle w:val="6"/>
        <w:spacing w:before="183" w:line="364" w:lineRule="auto"/>
        <w:ind w:left="658" w:right="691" w:firstLine="480"/>
        <w:jc w:val="both"/>
      </w:pPr>
      <w:r>
        <w:rPr>
          <w:spacing w:val="-7"/>
        </w:rPr>
        <w:t>根据《环境影响评价技术导则 声环境》</w:t>
      </w:r>
      <w:r>
        <w:t>（</w:t>
      </w:r>
      <w:r>
        <w:rPr>
          <w:rFonts w:ascii="Times New Roman" w:eastAsia="Times New Roman"/>
        </w:rPr>
        <w:t>HJ/T2.4-2009</w:t>
      </w:r>
      <w:r>
        <w:t>）</w:t>
      </w:r>
      <w:r>
        <w:rPr>
          <w:spacing w:val="-2"/>
        </w:rPr>
        <w:t>中噪声环境影响评价等级</w:t>
      </w:r>
      <w:r>
        <w:t>划分的基本原则确定。</w:t>
      </w:r>
    </w:p>
    <w:p>
      <w:pPr>
        <w:pStyle w:val="6"/>
        <w:spacing w:before="1" w:line="364" w:lineRule="auto"/>
        <w:ind w:left="658" w:right="697" w:firstLine="480"/>
        <w:jc w:val="both"/>
      </w:pPr>
      <w:r>
        <w:rPr>
          <w:spacing w:val="-4"/>
        </w:rPr>
        <w:t xml:space="preserve">本项目所在功能区属于噪声功能区划的 </w:t>
      </w:r>
      <w:r>
        <w:rPr>
          <w:rFonts w:ascii="Times New Roman" w:eastAsia="Times New Roman"/>
        </w:rPr>
        <w:t xml:space="preserve">2 </w:t>
      </w:r>
      <w:r>
        <w:rPr>
          <w:spacing w:val="-8"/>
        </w:rPr>
        <w:t>类标准地区，项目建设前后受噪声影响的</w:t>
      </w:r>
      <w:r>
        <w:rPr>
          <w:spacing w:val="-5"/>
        </w:rPr>
        <w:t>人口没有明显增加，项目建成后工业广场噪声值基本无变化，因此，声环境评价确定为</w:t>
      </w:r>
      <w:r>
        <w:t>二级。</w:t>
      </w:r>
    </w:p>
    <w:p>
      <w:pPr>
        <w:pStyle w:val="4"/>
        <w:numPr>
          <w:ilvl w:val="2"/>
          <w:numId w:val="7"/>
        </w:numPr>
        <w:tabs>
          <w:tab w:val="left" w:pos="1288"/>
        </w:tabs>
        <w:spacing w:before="0" w:after="0" w:line="357" w:lineRule="exact"/>
        <w:ind w:left="1287" w:right="0" w:hanging="630"/>
        <w:jc w:val="left"/>
      </w:pPr>
      <w:bookmarkStart w:id="45" w:name="2.4.4生态环境"/>
      <w:bookmarkEnd w:id="45"/>
      <w:bookmarkStart w:id="46" w:name="2.4.4生态环境"/>
      <w:bookmarkEnd w:id="46"/>
      <w:r>
        <w:t>生态环境</w:t>
      </w:r>
    </w:p>
    <w:p>
      <w:pPr>
        <w:pStyle w:val="6"/>
        <w:spacing w:before="186"/>
        <w:ind w:left="1138"/>
      </w:pPr>
      <w:r>
        <w:t>按照《环境影响评价技术导则 生态影响》（</w:t>
      </w:r>
      <w:r>
        <w:rPr>
          <w:rFonts w:ascii="Times New Roman" w:eastAsia="Times New Roman"/>
        </w:rPr>
        <w:t>HJ19-2011</w:t>
      </w:r>
      <w:r>
        <w:t>）对生态影响评价工作等级</w:t>
      </w:r>
    </w:p>
    <w:p>
      <w:pPr>
        <w:spacing w:after="0"/>
        <w:sectPr>
          <w:pgSz w:w="11910" w:h="16840"/>
          <w:pgMar w:top="1400" w:right="720" w:bottom="1160" w:left="760" w:header="0" w:footer="895" w:gutter="0"/>
        </w:sectPr>
      </w:pPr>
    </w:p>
    <w:p>
      <w:pPr>
        <w:tabs>
          <w:tab w:val="left" w:pos="4253"/>
        </w:tabs>
        <w:spacing w:before="61" w:line="362" w:lineRule="auto"/>
        <w:ind w:left="3094" w:right="1526" w:hanging="2436"/>
        <w:jc w:val="left"/>
        <w:rPr>
          <w:rFonts w:ascii="Times New Roman" w:eastAsia="Times New Roman"/>
          <w:b/>
          <w:sz w:val="24"/>
        </w:rPr>
      </w:pPr>
      <w:r>
        <mc:AlternateContent>
          <mc:Choice Requires="wps">
            <w:drawing>
              <wp:anchor distT="0" distB="0" distL="114300" distR="114300" simplePos="0" relativeHeight="251659264" behindDoc="0" locked="0" layoutInCell="1" allowOverlap="1">
                <wp:simplePos x="0" y="0"/>
                <wp:positionH relativeFrom="page">
                  <wp:posOffset>963295</wp:posOffset>
                </wp:positionH>
                <wp:positionV relativeFrom="paragraph">
                  <wp:posOffset>531495</wp:posOffset>
                </wp:positionV>
                <wp:extent cx="5636260" cy="1353820"/>
                <wp:effectExtent l="0" t="0" r="0" b="0"/>
                <wp:wrapNone/>
                <wp:docPr id="243" name="文本框 2"/>
                <wp:cNvGraphicFramePr/>
                <a:graphic xmlns:a="http://schemas.openxmlformats.org/drawingml/2006/main">
                  <a:graphicData uri="http://schemas.microsoft.com/office/word/2010/wordprocessingShape">
                    <wps:wsp>
                      <wps:cNvSpPr txBox="1"/>
                      <wps:spPr>
                        <a:xfrm>
                          <a:off x="0" y="0"/>
                          <a:ext cx="5636260" cy="1353820"/>
                        </a:xfrm>
                        <a:prstGeom prst="rect">
                          <a:avLst/>
                        </a:prstGeom>
                        <a:noFill/>
                        <a:ln>
                          <a:noFill/>
                        </a:ln>
                      </wps:spPr>
                      <wps:txbx>
                        <w:txbxContent>
                          <w:tbl>
                            <w:tblPr>
                              <w:tblStyle w:val="10"/>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98"/>
                              <w:gridCol w:w="2220"/>
                              <w:gridCol w:w="2229"/>
                              <w:gridCol w:w="22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2198" w:type="dxa"/>
                                  <w:vMerge w:val="restart"/>
                                </w:tcPr>
                                <w:p>
                                  <w:pPr>
                                    <w:pStyle w:val="14"/>
                                    <w:jc w:val="left"/>
                                    <w:rPr>
                                      <w:b/>
                                      <w:sz w:val="26"/>
                                    </w:rPr>
                                  </w:pPr>
                                </w:p>
                                <w:p>
                                  <w:pPr>
                                    <w:pStyle w:val="14"/>
                                    <w:ind w:left="152"/>
                                    <w:jc w:val="left"/>
                                    <w:rPr>
                                      <w:sz w:val="21"/>
                                    </w:rPr>
                                  </w:pPr>
                                  <w:r>
                                    <w:rPr>
                                      <w:sz w:val="21"/>
                                    </w:rPr>
                                    <w:t>影响区域生态敏感性</w:t>
                                  </w:r>
                                </w:p>
                              </w:tc>
                              <w:tc>
                                <w:tcPr>
                                  <w:tcW w:w="6663" w:type="dxa"/>
                                  <w:gridSpan w:val="3"/>
                                </w:tcPr>
                                <w:p>
                                  <w:pPr>
                                    <w:pStyle w:val="14"/>
                                    <w:spacing w:before="57"/>
                                    <w:ind w:left="2258" w:right="2254"/>
                                    <w:rPr>
                                      <w:sz w:val="21"/>
                                    </w:rPr>
                                  </w:pPr>
                                  <w:r>
                                    <w:rPr>
                                      <w:sz w:val="21"/>
                                    </w:rPr>
                                    <w:t>工程占地（水域）范围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198" w:type="dxa"/>
                                  <w:vMerge w:val="continue"/>
                                  <w:tcBorders>
                                    <w:top w:val="nil"/>
                                  </w:tcBorders>
                                </w:tcPr>
                                <w:p>
                                  <w:pPr>
                                    <w:rPr>
                                      <w:sz w:val="2"/>
                                      <w:szCs w:val="2"/>
                                    </w:rPr>
                                  </w:pPr>
                                </w:p>
                              </w:tc>
                              <w:tc>
                                <w:tcPr>
                                  <w:tcW w:w="2220" w:type="dxa"/>
                                </w:tcPr>
                                <w:p>
                                  <w:pPr>
                                    <w:pStyle w:val="14"/>
                                    <w:spacing w:before="1" w:line="270" w:lineRule="atLeast"/>
                                    <w:ind w:left="446" w:right="435" w:firstLine="122"/>
                                    <w:jc w:val="left"/>
                                    <w:rPr>
                                      <w:rFonts w:ascii="Times New Roman" w:hAnsi="Times New Roman" w:eastAsia="Times New Roman"/>
                                      <w:sz w:val="21"/>
                                    </w:rPr>
                                  </w:pPr>
                                  <w:r>
                                    <w:rPr>
                                      <w:sz w:val="21"/>
                                    </w:rPr>
                                    <w:t>面积</w:t>
                                  </w:r>
                                  <w:r>
                                    <w:rPr>
                                      <w:rFonts w:ascii="Times New Roman" w:hAnsi="Times New Roman" w:eastAsia="Times New Roman"/>
                                      <w:sz w:val="21"/>
                                    </w:rPr>
                                    <w:t>≥20km</w:t>
                                  </w:r>
                                  <w:r>
                                    <w:rPr>
                                      <w:rFonts w:ascii="Times New Roman" w:hAnsi="Times New Roman" w:eastAsia="Times New Roman"/>
                                      <w:position w:val="7"/>
                                      <w:sz w:val="13"/>
                                    </w:rPr>
                                    <w:t xml:space="preserve">2 </w:t>
                                  </w:r>
                                  <w:r>
                                    <w:rPr>
                                      <w:sz w:val="21"/>
                                    </w:rPr>
                                    <w:t>或长度</w:t>
                                  </w:r>
                                  <w:r>
                                    <w:rPr>
                                      <w:rFonts w:ascii="Times New Roman" w:hAnsi="Times New Roman" w:eastAsia="Times New Roman"/>
                                      <w:sz w:val="21"/>
                                    </w:rPr>
                                    <w:t>≥100km</w:t>
                                  </w:r>
                                </w:p>
                              </w:tc>
                              <w:tc>
                                <w:tcPr>
                                  <w:tcW w:w="2229" w:type="dxa"/>
                                </w:tcPr>
                                <w:p>
                                  <w:pPr>
                                    <w:pStyle w:val="14"/>
                                    <w:spacing w:before="2"/>
                                    <w:ind w:left="89" w:right="78"/>
                                    <w:rPr>
                                      <w:rFonts w:ascii="Times New Roman" w:eastAsia="Times New Roman"/>
                                      <w:sz w:val="13"/>
                                    </w:rPr>
                                  </w:pPr>
                                  <w:r>
                                    <w:rPr>
                                      <w:sz w:val="21"/>
                                    </w:rPr>
                                    <w:t xml:space="preserve">面积 </w:t>
                                  </w:r>
                                  <w:r>
                                    <w:rPr>
                                      <w:rFonts w:ascii="Times New Roman" w:eastAsia="Times New Roman"/>
                                      <w:sz w:val="21"/>
                                    </w:rPr>
                                    <w:t>2km</w:t>
                                  </w:r>
                                  <w:r>
                                    <w:rPr>
                                      <w:rFonts w:ascii="Times New Roman" w:eastAsia="Times New Roman"/>
                                      <w:position w:val="7"/>
                                      <w:sz w:val="13"/>
                                    </w:rPr>
                                    <w:t>2</w:t>
                                  </w:r>
                                  <w:r>
                                    <w:rPr>
                                      <w:sz w:val="21"/>
                                    </w:rPr>
                                    <w:t>～</w:t>
                                  </w:r>
                                  <w:r>
                                    <w:rPr>
                                      <w:rFonts w:ascii="Times New Roman" w:eastAsia="Times New Roman"/>
                                      <w:sz w:val="21"/>
                                    </w:rPr>
                                    <w:t>20km</w:t>
                                  </w:r>
                                  <w:r>
                                    <w:rPr>
                                      <w:rFonts w:ascii="Times New Roman" w:eastAsia="Times New Roman"/>
                                      <w:position w:val="7"/>
                                      <w:sz w:val="13"/>
                                    </w:rPr>
                                    <w:t>2</w:t>
                                  </w:r>
                                </w:p>
                                <w:p>
                                  <w:pPr>
                                    <w:pStyle w:val="14"/>
                                    <w:spacing w:before="2" w:line="252" w:lineRule="exact"/>
                                    <w:ind w:left="89" w:right="82"/>
                                    <w:rPr>
                                      <w:rFonts w:ascii="Times New Roman" w:eastAsia="Times New Roman"/>
                                      <w:sz w:val="21"/>
                                    </w:rPr>
                                  </w:pPr>
                                  <w:r>
                                    <w:rPr>
                                      <w:sz w:val="21"/>
                                    </w:rPr>
                                    <w:t xml:space="preserve">或长度 </w:t>
                                  </w:r>
                                  <w:r>
                                    <w:rPr>
                                      <w:rFonts w:ascii="Times New Roman" w:eastAsia="Times New Roman"/>
                                      <w:sz w:val="21"/>
                                    </w:rPr>
                                    <w:t>50km</w:t>
                                  </w:r>
                                  <w:r>
                                    <w:rPr>
                                      <w:sz w:val="21"/>
                                    </w:rPr>
                                    <w:t>～</w:t>
                                  </w:r>
                                  <w:r>
                                    <w:rPr>
                                      <w:rFonts w:ascii="Times New Roman" w:eastAsia="Times New Roman"/>
                                      <w:sz w:val="21"/>
                                    </w:rPr>
                                    <w:t>100km</w:t>
                                  </w:r>
                                </w:p>
                              </w:tc>
                              <w:tc>
                                <w:tcPr>
                                  <w:tcW w:w="2214" w:type="dxa"/>
                                </w:tcPr>
                                <w:p>
                                  <w:pPr>
                                    <w:pStyle w:val="14"/>
                                    <w:spacing w:before="1" w:line="270" w:lineRule="atLeast"/>
                                    <w:ind w:left="494" w:right="486" w:firstLine="124"/>
                                    <w:jc w:val="left"/>
                                    <w:rPr>
                                      <w:rFonts w:ascii="Times New Roman" w:hAnsi="Times New Roman" w:eastAsia="Times New Roman"/>
                                      <w:sz w:val="21"/>
                                    </w:rPr>
                                  </w:pPr>
                                  <w:r>
                                    <w:rPr>
                                      <w:sz w:val="21"/>
                                    </w:rPr>
                                    <w:t>面积</w:t>
                                  </w:r>
                                  <w:r>
                                    <w:rPr>
                                      <w:rFonts w:ascii="Times New Roman" w:hAnsi="Times New Roman" w:eastAsia="Times New Roman"/>
                                      <w:sz w:val="21"/>
                                    </w:rPr>
                                    <w:t>≤2km</w:t>
                                  </w:r>
                                  <w:r>
                                    <w:rPr>
                                      <w:rFonts w:ascii="Times New Roman" w:hAnsi="Times New Roman" w:eastAsia="Times New Roman"/>
                                      <w:position w:val="7"/>
                                      <w:sz w:val="13"/>
                                    </w:rPr>
                                    <w:t xml:space="preserve">2 </w:t>
                                  </w:r>
                                  <w:r>
                                    <w:rPr>
                                      <w:sz w:val="21"/>
                                    </w:rPr>
                                    <w:t>或长度</w:t>
                                  </w:r>
                                  <w:r>
                                    <w:rPr>
                                      <w:rFonts w:ascii="Times New Roman" w:hAnsi="Times New Roman" w:eastAsia="Times New Roman"/>
                                      <w:sz w:val="21"/>
                                    </w:rPr>
                                    <w:t>≤50km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2198" w:type="dxa"/>
                                </w:tcPr>
                                <w:p>
                                  <w:pPr>
                                    <w:pStyle w:val="14"/>
                                    <w:spacing w:before="47"/>
                                    <w:ind w:left="343" w:right="334"/>
                                    <w:rPr>
                                      <w:sz w:val="21"/>
                                    </w:rPr>
                                  </w:pPr>
                                  <w:r>
                                    <w:rPr>
                                      <w:sz w:val="21"/>
                                    </w:rPr>
                                    <w:t>特殊生态敏感区</w:t>
                                  </w:r>
                                </w:p>
                              </w:tc>
                              <w:tc>
                                <w:tcPr>
                                  <w:tcW w:w="2220" w:type="dxa"/>
                                </w:tcPr>
                                <w:p>
                                  <w:pPr>
                                    <w:pStyle w:val="14"/>
                                    <w:spacing w:before="47"/>
                                    <w:ind w:left="878" w:right="871"/>
                                    <w:rPr>
                                      <w:sz w:val="21"/>
                                    </w:rPr>
                                  </w:pPr>
                                  <w:r>
                                    <w:rPr>
                                      <w:sz w:val="21"/>
                                    </w:rPr>
                                    <w:t>一级</w:t>
                                  </w:r>
                                </w:p>
                              </w:tc>
                              <w:tc>
                                <w:tcPr>
                                  <w:tcW w:w="2229" w:type="dxa"/>
                                </w:tcPr>
                                <w:p>
                                  <w:pPr>
                                    <w:pStyle w:val="14"/>
                                    <w:spacing w:before="47"/>
                                    <w:ind w:right="894"/>
                                    <w:jc w:val="right"/>
                                    <w:rPr>
                                      <w:sz w:val="21"/>
                                    </w:rPr>
                                  </w:pPr>
                                  <w:r>
                                    <w:rPr>
                                      <w:w w:val="95"/>
                                      <w:sz w:val="21"/>
                                    </w:rPr>
                                    <w:t>一级</w:t>
                                  </w:r>
                                </w:p>
                              </w:tc>
                              <w:tc>
                                <w:tcPr>
                                  <w:tcW w:w="2214" w:type="dxa"/>
                                </w:tcPr>
                                <w:p>
                                  <w:pPr>
                                    <w:pStyle w:val="14"/>
                                    <w:spacing w:before="47"/>
                                    <w:ind w:left="874" w:right="870"/>
                                    <w:rPr>
                                      <w:sz w:val="21"/>
                                    </w:rPr>
                                  </w:pPr>
                                  <w:r>
                                    <w:rPr>
                                      <w:sz w:val="21"/>
                                    </w:rPr>
                                    <w:t>一级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2198" w:type="dxa"/>
                                </w:tcPr>
                                <w:p>
                                  <w:pPr>
                                    <w:pStyle w:val="14"/>
                                    <w:spacing w:before="56"/>
                                    <w:ind w:left="343" w:right="334"/>
                                    <w:rPr>
                                      <w:sz w:val="21"/>
                                    </w:rPr>
                                  </w:pPr>
                                  <w:r>
                                    <w:rPr>
                                      <w:sz w:val="21"/>
                                    </w:rPr>
                                    <w:t>重要生态敏感区</w:t>
                                  </w:r>
                                </w:p>
                              </w:tc>
                              <w:tc>
                                <w:tcPr>
                                  <w:tcW w:w="2220" w:type="dxa"/>
                                </w:tcPr>
                                <w:p>
                                  <w:pPr>
                                    <w:pStyle w:val="14"/>
                                    <w:spacing w:before="56"/>
                                    <w:ind w:left="878" w:right="871"/>
                                    <w:rPr>
                                      <w:sz w:val="21"/>
                                    </w:rPr>
                                  </w:pPr>
                                  <w:r>
                                    <w:rPr>
                                      <w:sz w:val="21"/>
                                    </w:rPr>
                                    <w:t>一级</w:t>
                                  </w:r>
                                </w:p>
                              </w:tc>
                              <w:tc>
                                <w:tcPr>
                                  <w:tcW w:w="2229" w:type="dxa"/>
                                </w:tcPr>
                                <w:p>
                                  <w:pPr>
                                    <w:pStyle w:val="14"/>
                                    <w:spacing w:before="56"/>
                                    <w:ind w:right="894"/>
                                    <w:jc w:val="right"/>
                                    <w:rPr>
                                      <w:sz w:val="21"/>
                                    </w:rPr>
                                  </w:pPr>
                                  <w:r>
                                    <w:rPr>
                                      <w:w w:val="95"/>
                                      <w:sz w:val="21"/>
                                    </w:rPr>
                                    <w:t>二级</w:t>
                                  </w:r>
                                </w:p>
                              </w:tc>
                              <w:tc>
                                <w:tcPr>
                                  <w:tcW w:w="2214" w:type="dxa"/>
                                </w:tcPr>
                                <w:p>
                                  <w:pPr>
                                    <w:pStyle w:val="14"/>
                                    <w:spacing w:before="56"/>
                                    <w:ind w:left="874" w:right="870"/>
                                    <w:rPr>
                                      <w:sz w:val="21"/>
                                    </w:rPr>
                                  </w:pPr>
                                  <w:r>
                                    <w:rPr>
                                      <w:sz w:val="21"/>
                                    </w:rPr>
                                    <w:t>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2198" w:type="dxa"/>
                                </w:tcPr>
                                <w:p>
                                  <w:pPr>
                                    <w:pStyle w:val="14"/>
                                    <w:spacing w:before="57"/>
                                    <w:ind w:left="340" w:right="334"/>
                                    <w:rPr>
                                      <w:sz w:val="21"/>
                                    </w:rPr>
                                  </w:pPr>
                                  <w:r>
                                    <w:rPr>
                                      <w:sz w:val="21"/>
                                    </w:rPr>
                                    <w:t>一般区域</w:t>
                                  </w:r>
                                </w:p>
                              </w:tc>
                              <w:tc>
                                <w:tcPr>
                                  <w:tcW w:w="2220" w:type="dxa"/>
                                </w:tcPr>
                                <w:p>
                                  <w:pPr>
                                    <w:pStyle w:val="14"/>
                                    <w:spacing w:before="57"/>
                                    <w:ind w:left="878" w:right="871"/>
                                    <w:rPr>
                                      <w:sz w:val="21"/>
                                    </w:rPr>
                                  </w:pPr>
                                  <w:r>
                                    <w:rPr>
                                      <w:sz w:val="21"/>
                                    </w:rPr>
                                    <w:t>二级</w:t>
                                  </w:r>
                                </w:p>
                              </w:tc>
                              <w:tc>
                                <w:tcPr>
                                  <w:tcW w:w="2229" w:type="dxa"/>
                                </w:tcPr>
                                <w:p>
                                  <w:pPr>
                                    <w:pStyle w:val="14"/>
                                    <w:spacing w:before="57"/>
                                    <w:ind w:right="894"/>
                                    <w:jc w:val="right"/>
                                    <w:rPr>
                                      <w:sz w:val="21"/>
                                    </w:rPr>
                                  </w:pPr>
                                  <w:r>
                                    <w:rPr>
                                      <w:w w:val="95"/>
                                      <w:sz w:val="21"/>
                                    </w:rPr>
                                    <w:t>三级</w:t>
                                  </w:r>
                                </w:p>
                              </w:tc>
                              <w:tc>
                                <w:tcPr>
                                  <w:tcW w:w="2214" w:type="dxa"/>
                                </w:tcPr>
                                <w:p>
                                  <w:pPr>
                                    <w:pStyle w:val="14"/>
                                    <w:spacing w:before="57"/>
                                    <w:ind w:left="874" w:right="870"/>
                                    <w:rPr>
                                      <w:sz w:val="21"/>
                                    </w:rPr>
                                  </w:pPr>
                                  <w:r>
                                    <w:rPr>
                                      <w:sz w:val="21"/>
                                    </w:rPr>
                                    <w:t>三级</w:t>
                                  </w:r>
                                </w:p>
                              </w:tc>
                            </w:tr>
                          </w:tbl>
                          <w:p>
                            <w:pPr>
                              <w:pStyle w:val="6"/>
                            </w:pPr>
                          </w:p>
                        </w:txbxContent>
                      </wps:txbx>
                      <wps:bodyPr lIns="0" tIns="0" rIns="0" bIns="0" upright="1"/>
                    </wps:wsp>
                  </a:graphicData>
                </a:graphic>
              </wp:anchor>
            </w:drawing>
          </mc:Choice>
          <mc:Fallback>
            <w:pict>
              <v:shape id="文本框 2" o:spid="_x0000_s1026" o:spt="202" type="#_x0000_t202" style="position:absolute;left:0pt;margin-left:75.85pt;margin-top:41.85pt;height:106.6pt;width:443.8pt;mso-position-horizontal-relative:page;z-index:251659264;mso-width-relative:page;mso-height-relative:page;" filled="f" stroked="f" coordsize="21600,21600" o:gfxdata="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jnjzt9oAAAALAQAADwAA&#10;AAAAAAABACAAAAAiAAAAZHJzL2Rvd25yZXYueG1sUEsBAhQAFAAAAAgAh07iQJJYo5OiAQAAJwMA&#10;AA4AAAAAAAAAAQAgAAAAKQEAAGRycy9lMm9Eb2MueG1sUEsFBgAAAAAGAAYAWQEAAD0FAAAAAA==&#10;">
                <v:fill on="f" focussize="0,0"/>
                <v:stroke on="f"/>
                <v:imagedata o:title=""/>
                <o:lock v:ext="edit" aspectratio="f"/>
                <v:textbox inset="0mm,0mm,0mm,0mm">
                  <w:txbxContent>
                    <w:tbl>
                      <w:tblPr>
                        <w:tblStyle w:val="10"/>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98"/>
                        <w:gridCol w:w="2220"/>
                        <w:gridCol w:w="2229"/>
                        <w:gridCol w:w="22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2198" w:type="dxa"/>
                            <w:vMerge w:val="restart"/>
                          </w:tcPr>
                          <w:p>
                            <w:pPr>
                              <w:pStyle w:val="14"/>
                              <w:jc w:val="left"/>
                              <w:rPr>
                                <w:b/>
                                <w:sz w:val="26"/>
                              </w:rPr>
                            </w:pPr>
                          </w:p>
                          <w:p>
                            <w:pPr>
                              <w:pStyle w:val="14"/>
                              <w:ind w:left="152"/>
                              <w:jc w:val="left"/>
                              <w:rPr>
                                <w:sz w:val="21"/>
                              </w:rPr>
                            </w:pPr>
                            <w:r>
                              <w:rPr>
                                <w:sz w:val="21"/>
                              </w:rPr>
                              <w:t>影响区域生态敏感性</w:t>
                            </w:r>
                          </w:p>
                        </w:tc>
                        <w:tc>
                          <w:tcPr>
                            <w:tcW w:w="6663" w:type="dxa"/>
                            <w:gridSpan w:val="3"/>
                          </w:tcPr>
                          <w:p>
                            <w:pPr>
                              <w:pStyle w:val="14"/>
                              <w:spacing w:before="57"/>
                              <w:ind w:left="2258" w:right="2254"/>
                              <w:rPr>
                                <w:sz w:val="21"/>
                              </w:rPr>
                            </w:pPr>
                            <w:r>
                              <w:rPr>
                                <w:sz w:val="21"/>
                              </w:rPr>
                              <w:t>工程占地（水域）范围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198" w:type="dxa"/>
                            <w:vMerge w:val="continue"/>
                            <w:tcBorders>
                              <w:top w:val="nil"/>
                            </w:tcBorders>
                          </w:tcPr>
                          <w:p>
                            <w:pPr>
                              <w:rPr>
                                <w:sz w:val="2"/>
                                <w:szCs w:val="2"/>
                              </w:rPr>
                            </w:pPr>
                          </w:p>
                        </w:tc>
                        <w:tc>
                          <w:tcPr>
                            <w:tcW w:w="2220" w:type="dxa"/>
                          </w:tcPr>
                          <w:p>
                            <w:pPr>
                              <w:pStyle w:val="14"/>
                              <w:spacing w:before="1" w:line="270" w:lineRule="atLeast"/>
                              <w:ind w:left="446" w:right="435" w:firstLine="122"/>
                              <w:jc w:val="left"/>
                              <w:rPr>
                                <w:rFonts w:ascii="Times New Roman" w:hAnsi="Times New Roman" w:eastAsia="Times New Roman"/>
                                <w:sz w:val="21"/>
                              </w:rPr>
                            </w:pPr>
                            <w:r>
                              <w:rPr>
                                <w:sz w:val="21"/>
                              </w:rPr>
                              <w:t>面积</w:t>
                            </w:r>
                            <w:r>
                              <w:rPr>
                                <w:rFonts w:ascii="Times New Roman" w:hAnsi="Times New Roman" w:eastAsia="Times New Roman"/>
                                <w:sz w:val="21"/>
                              </w:rPr>
                              <w:t>≥20km</w:t>
                            </w:r>
                            <w:r>
                              <w:rPr>
                                <w:rFonts w:ascii="Times New Roman" w:hAnsi="Times New Roman" w:eastAsia="Times New Roman"/>
                                <w:position w:val="7"/>
                                <w:sz w:val="13"/>
                              </w:rPr>
                              <w:t xml:space="preserve">2 </w:t>
                            </w:r>
                            <w:r>
                              <w:rPr>
                                <w:sz w:val="21"/>
                              </w:rPr>
                              <w:t>或长度</w:t>
                            </w:r>
                            <w:r>
                              <w:rPr>
                                <w:rFonts w:ascii="Times New Roman" w:hAnsi="Times New Roman" w:eastAsia="Times New Roman"/>
                                <w:sz w:val="21"/>
                              </w:rPr>
                              <w:t>≥100km</w:t>
                            </w:r>
                          </w:p>
                        </w:tc>
                        <w:tc>
                          <w:tcPr>
                            <w:tcW w:w="2229" w:type="dxa"/>
                          </w:tcPr>
                          <w:p>
                            <w:pPr>
                              <w:pStyle w:val="14"/>
                              <w:spacing w:before="2"/>
                              <w:ind w:left="89" w:right="78"/>
                              <w:rPr>
                                <w:rFonts w:ascii="Times New Roman" w:eastAsia="Times New Roman"/>
                                <w:sz w:val="13"/>
                              </w:rPr>
                            </w:pPr>
                            <w:r>
                              <w:rPr>
                                <w:sz w:val="21"/>
                              </w:rPr>
                              <w:t xml:space="preserve">面积 </w:t>
                            </w:r>
                            <w:r>
                              <w:rPr>
                                <w:rFonts w:ascii="Times New Roman" w:eastAsia="Times New Roman"/>
                                <w:sz w:val="21"/>
                              </w:rPr>
                              <w:t>2km</w:t>
                            </w:r>
                            <w:r>
                              <w:rPr>
                                <w:rFonts w:ascii="Times New Roman" w:eastAsia="Times New Roman"/>
                                <w:position w:val="7"/>
                                <w:sz w:val="13"/>
                              </w:rPr>
                              <w:t>2</w:t>
                            </w:r>
                            <w:r>
                              <w:rPr>
                                <w:sz w:val="21"/>
                              </w:rPr>
                              <w:t>～</w:t>
                            </w:r>
                            <w:r>
                              <w:rPr>
                                <w:rFonts w:ascii="Times New Roman" w:eastAsia="Times New Roman"/>
                                <w:sz w:val="21"/>
                              </w:rPr>
                              <w:t>20km</w:t>
                            </w:r>
                            <w:r>
                              <w:rPr>
                                <w:rFonts w:ascii="Times New Roman" w:eastAsia="Times New Roman"/>
                                <w:position w:val="7"/>
                                <w:sz w:val="13"/>
                              </w:rPr>
                              <w:t>2</w:t>
                            </w:r>
                          </w:p>
                          <w:p>
                            <w:pPr>
                              <w:pStyle w:val="14"/>
                              <w:spacing w:before="2" w:line="252" w:lineRule="exact"/>
                              <w:ind w:left="89" w:right="82"/>
                              <w:rPr>
                                <w:rFonts w:ascii="Times New Roman" w:eastAsia="Times New Roman"/>
                                <w:sz w:val="21"/>
                              </w:rPr>
                            </w:pPr>
                            <w:r>
                              <w:rPr>
                                <w:sz w:val="21"/>
                              </w:rPr>
                              <w:t xml:space="preserve">或长度 </w:t>
                            </w:r>
                            <w:r>
                              <w:rPr>
                                <w:rFonts w:ascii="Times New Roman" w:eastAsia="Times New Roman"/>
                                <w:sz w:val="21"/>
                              </w:rPr>
                              <w:t>50km</w:t>
                            </w:r>
                            <w:r>
                              <w:rPr>
                                <w:sz w:val="21"/>
                              </w:rPr>
                              <w:t>～</w:t>
                            </w:r>
                            <w:r>
                              <w:rPr>
                                <w:rFonts w:ascii="Times New Roman" w:eastAsia="Times New Roman"/>
                                <w:sz w:val="21"/>
                              </w:rPr>
                              <w:t>100km</w:t>
                            </w:r>
                          </w:p>
                        </w:tc>
                        <w:tc>
                          <w:tcPr>
                            <w:tcW w:w="2214" w:type="dxa"/>
                          </w:tcPr>
                          <w:p>
                            <w:pPr>
                              <w:pStyle w:val="14"/>
                              <w:spacing w:before="1" w:line="270" w:lineRule="atLeast"/>
                              <w:ind w:left="494" w:right="486" w:firstLine="124"/>
                              <w:jc w:val="left"/>
                              <w:rPr>
                                <w:rFonts w:ascii="Times New Roman" w:hAnsi="Times New Roman" w:eastAsia="Times New Roman"/>
                                <w:sz w:val="21"/>
                              </w:rPr>
                            </w:pPr>
                            <w:r>
                              <w:rPr>
                                <w:sz w:val="21"/>
                              </w:rPr>
                              <w:t>面积</w:t>
                            </w:r>
                            <w:r>
                              <w:rPr>
                                <w:rFonts w:ascii="Times New Roman" w:hAnsi="Times New Roman" w:eastAsia="Times New Roman"/>
                                <w:sz w:val="21"/>
                              </w:rPr>
                              <w:t>≤2km</w:t>
                            </w:r>
                            <w:r>
                              <w:rPr>
                                <w:rFonts w:ascii="Times New Roman" w:hAnsi="Times New Roman" w:eastAsia="Times New Roman"/>
                                <w:position w:val="7"/>
                                <w:sz w:val="13"/>
                              </w:rPr>
                              <w:t xml:space="preserve">2 </w:t>
                            </w:r>
                            <w:r>
                              <w:rPr>
                                <w:sz w:val="21"/>
                              </w:rPr>
                              <w:t>或长度</w:t>
                            </w:r>
                            <w:r>
                              <w:rPr>
                                <w:rFonts w:ascii="Times New Roman" w:hAnsi="Times New Roman" w:eastAsia="Times New Roman"/>
                                <w:sz w:val="21"/>
                              </w:rPr>
                              <w:t>≤50km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2198" w:type="dxa"/>
                          </w:tcPr>
                          <w:p>
                            <w:pPr>
                              <w:pStyle w:val="14"/>
                              <w:spacing w:before="47"/>
                              <w:ind w:left="343" w:right="334"/>
                              <w:rPr>
                                <w:sz w:val="21"/>
                              </w:rPr>
                            </w:pPr>
                            <w:r>
                              <w:rPr>
                                <w:sz w:val="21"/>
                              </w:rPr>
                              <w:t>特殊生态敏感区</w:t>
                            </w:r>
                          </w:p>
                        </w:tc>
                        <w:tc>
                          <w:tcPr>
                            <w:tcW w:w="2220" w:type="dxa"/>
                          </w:tcPr>
                          <w:p>
                            <w:pPr>
                              <w:pStyle w:val="14"/>
                              <w:spacing w:before="47"/>
                              <w:ind w:left="878" w:right="871"/>
                              <w:rPr>
                                <w:sz w:val="21"/>
                              </w:rPr>
                            </w:pPr>
                            <w:r>
                              <w:rPr>
                                <w:sz w:val="21"/>
                              </w:rPr>
                              <w:t>一级</w:t>
                            </w:r>
                          </w:p>
                        </w:tc>
                        <w:tc>
                          <w:tcPr>
                            <w:tcW w:w="2229" w:type="dxa"/>
                          </w:tcPr>
                          <w:p>
                            <w:pPr>
                              <w:pStyle w:val="14"/>
                              <w:spacing w:before="47"/>
                              <w:ind w:right="894"/>
                              <w:jc w:val="right"/>
                              <w:rPr>
                                <w:sz w:val="21"/>
                              </w:rPr>
                            </w:pPr>
                            <w:r>
                              <w:rPr>
                                <w:w w:val="95"/>
                                <w:sz w:val="21"/>
                              </w:rPr>
                              <w:t>一级</w:t>
                            </w:r>
                          </w:p>
                        </w:tc>
                        <w:tc>
                          <w:tcPr>
                            <w:tcW w:w="2214" w:type="dxa"/>
                          </w:tcPr>
                          <w:p>
                            <w:pPr>
                              <w:pStyle w:val="14"/>
                              <w:spacing w:before="47"/>
                              <w:ind w:left="874" w:right="870"/>
                              <w:rPr>
                                <w:sz w:val="21"/>
                              </w:rPr>
                            </w:pPr>
                            <w:r>
                              <w:rPr>
                                <w:sz w:val="21"/>
                              </w:rPr>
                              <w:t>一级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2198" w:type="dxa"/>
                          </w:tcPr>
                          <w:p>
                            <w:pPr>
                              <w:pStyle w:val="14"/>
                              <w:spacing w:before="56"/>
                              <w:ind w:left="343" w:right="334"/>
                              <w:rPr>
                                <w:sz w:val="21"/>
                              </w:rPr>
                            </w:pPr>
                            <w:r>
                              <w:rPr>
                                <w:sz w:val="21"/>
                              </w:rPr>
                              <w:t>重要生态敏感区</w:t>
                            </w:r>
                          </w:p>
                        </w:tc>
                        <w:tc>
                          <w:tcPr>
                            <w:tcW w:w="2220" w:type="dxa"/>
                          </w:tcPr>
                          <w:p>
                            <w:pPr>
                              <w:pStyle w:val="14"/>
                              <w:spacing w:before="56"/>
                              <w:ind w:left="878" w:right="871"/>
                              <w:rPr>
                                <w:sz w:val="21"/>
                              </w:rPr>
                            </w:pPr>
                            <w:r>
                              <w:rPr>
                                <w:sz w:val="21"/>
                              </w:rPr>
                              <w:t>一级</w:t>
                            </w:r>
                          </w:p>
                        </w:tc>
                        <w:tc>
                          <w:tcPr>
                            <w:tcW w:w="2229" w:type="dxa"/>
                          </w:tcPr>
                          <w:p>
                            <w:pPr>
                              <w:pStyle w:val="14"/>
                              <w:spacing w:before="56"/>
                              <w:ind w:right="894"/>
                              <w:jc w:val="right"/>
                              <w:rPr>
                                <w:sz w:val="21"/>
                              </w:rPr>
                            </w:pPr>
                            <w:r>
                              <w:rPr>
                                <w:w w:val="95"/>
                                <w:sz w:val="21"/>
                              </w:rPr>
                              <w:t>二级</w:t>
                            </w:r>
                          </w:p>
                        </w:tc>
                        <w:tc>
                          <w:tcPr>
                            <w:tcW w:w="2214" w:type="dxa"/>
                          </w:tcPr>
                          <w:p>
                            <w:pPr>
                              <w:pStyle w:val="14"/>
                              <w:spacing w:before="56"/>
                              <w:ind w:left="874" w:right="870"/>
                              <w:rPr>
                                <w:sz w:val="21"/>
                              </w:rPr>
                            </w:pPr>
                            <w:r>
                              <w:rPr>
                                <w:sz w:val="21"/>
                              </w:rPr>
                              <w:t>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2198" w:type="dxa"/>
                          </w:tcPr>
                          <w:p>
                            <w:pPr>
                              <w:pStyle w:val="14"/>
                              <w:spacing w:before="57"/>
                              <w:ind w:left="340" w:right="334"/>
                              <w:rPr>
                                <w:sz w:val="21"/>
                              </w:rPr>
                            </w:pPr>
                            <w:r>
                              <w:rPr>
                                <w:sz w:val="21"/>
                              </w:rPr>
                              <w:t>一般区域</w:t>
                            </w:r>
                          </w:p>
                        </w:tc>
                        <w:tc>
                          <w:tcPr>
                            <w:tcW w:w="2220" w:type="dxa"/>
                          </w:tcPr>
                          <w:p>
                            <w:pPr>
                              <w:pStyle w:val="14"/>
                              <w:spacing w:before="57"/>
                              <w:ind w:left="878" w:right="871"/>
                              <w:rPr>
                                <w:sz w:val="21"/>
                              </w:rPr>
                            </w:pPr>
                            <w:r>
                              <w:rPr>
                                <w:sz w:val="21"/>
                              </w:rPr>
                              <w:t>二级</w:t>
                            </w:r>
                          </w:p>
                        </w:tc>
                        <w:tc>
                          <w:tcPr>
                            <w:tcW w:w="2229" w:type="dxa"/>
                          </w:tcPr>
                          <w:p>
                            <w:pPr>
                              <w:pStyle w:val="14"/>
                              <w:spacing w:before="57"/>
                              <w:ind w:right="894"/>
                              <w:jc w:val="right"/>
                              <w:rPr>
                                <w:sz w:val="21"/>
                              </w:rPr>
                            </w:pPr>
                            <w:r>
                              <w:rPr>
                                <w:w w:val="95"/>
                                <w:sz w:val="21"/>
                              </w:rPr>
                              <w:t>三级</w:t>
                            </w:r>
                          </w:p>
                        </w:tc>
                        <w:tc>
                          <w:tcPr>
                            <w:tcW w:w="2214" w:type="dxa"/>
                          </w:tcPr>
                          <w:p>
                            <w:pPr>
                              <w:pStyle w:val="14"/>
                              <w:spacing w:before="57"/>
                              <w:ind w:left="874" w:right="870"/>
                              <w:rPr>
                                <w:sz w:val="21"/>
                              </w:rPr>
                            </w:pPr>
                            <w:r>
                              <w:rPr>
                                <w:sz w:val="21"/>
                              </w:rPr>
                              <w:t>三级</w:t>
                            </w:r>
                          </w:p>
                        </w:tc>
                      </w:tr>
                    </w:tbl>
                    <w:p>
                      <w:pPr>
                        <w:pStyle w:val="6"/>
                      </w:pPr>
                    </w:p>
                  </w:txbxContent>
                </v:textbox>
              </v:shape>
            </w:pict>
          </mc:Fallback>
        </mc:AlternateContent>
      </w:r>
      <w:r>
        <w:rPr>
          <w:sz w:val="24"/>
        </w:rPr>
        <w:t>的划分依据，将生态影响评价工作划分为一、二、三级。划分依据见表</w:t>
      </w:r>
      <w:r>
        <w:rPr>
          <w:spacing w:val="-62"/>
          <w:sz w:val="24"/>
        </w:rPr>
        <w:t xml:space="preserve"> </w:t>
      </w:r>
      <w:r>
        <w:rPr>
          <w:rFonts w:ascii="Times New Roman" w:eastAsia="Times New Roman"/>
          <w:sz w:val="24"/>
        </w:rPr>
        <w:t>2.4-8</w:t>
      </w:r>
      <w:r>
        <w:rPr>
          <w:spacing w:val="-16"/>
          <w:sz w:val="24"/>
        </w:rPr>
        <w:t>。</w:t>
      </w:r>
      <w:r>
        <w:rPr>
          <w:b/>
          <w:sz w:val="24"/>
        </w:rPr>
        <w:t>表</w:t>
      </w:r>
      <w:r>
        <w:rPr>
          <w:b/>
          <w:spacing w:val="-62"/>
          <w:sz w:val="24"/>
        </w:rPr>
        <w:t xml:space="preserve"> </w:t>
      </w:r>
      <w:r>
        <w:rPr>
          <w:rFonts w:ascii="Times New Roman" w:eastAsia="Times New Roman"/>
          <w:b/>
          <w:sz w:val="24"/>
        </w:rPr>
        <w:t>2.4-8</w:t>
      </w:r>
      <w:r>
        <w:rPr>
          <w:rFonts w:ascii="Times New Roman" w:eastAsia="Times New Roman"/>
          <w:b/>
          <w:sz w:val="24"/>
        </w:rPr>
        <w:tab/>
      </w:r>
      <w:r>
        <w:rPr>
          <w:b/>
          <w:sz w:val="24"/>
        </w:rPr>
        <w:t>评价工作级别</w:t>
      </w:r>
      <w:r>
        <w:rPr>
          <w:rFonts w:ascii="Times New Roman" w:eastAsia="Times New Roman"/>
          <w:b/>
          <w:sz w:val="24"/>
        </w:rPr>
        <w:t>(</w:t>
      </w:r>
      <w:r>
        <w:rPr>
          <w:b/>
          <w:sz w:val="24"/>
        </w:rPr>
        <w:t>一、二、三级</w:t>
      </w:r>
      <w:r>
        <w:rPr>
          <w:rFonts w:ascii="Times New Roman" w:eastAsia="Times New Roman"/>
          <w:b/>
          <w:sz w:val="24"/>
        </w:rPr>
        <w:t>)</w:t>
      </w:r>
    </w:p>
    <w:p>
      <w:pPr>
        <w:pStyle w:val="6"/>
        <w:rPr>
          <w:rFonts w:ascii="Times New Roman"/>
          <w:b/>
          <w:sz w:val="26"/>
        </w:rPr>
      </w:pPr>
    </w:p>
    <w:p>
      <w:pPr>
        <w:pStyle w:val="6"/>
        <w:rPr>
          <w:rFonts w:ascii="Times New Roman"/>
          <w:b/>
          <w:sz w:val="26"/>
        </w:rPr>
      </w:pPr>
    </w:p>
    <w:p>
      <w:pPr>
        <w:pStyle w:val="6"/>
        <w:rPr>
          <w:rFonts w:ascii="Times New Roman"/>
          <w:b/>
          <w:sz w:val="26"/>
        </w:rPr>
      </w:pPr>
    </w:p>
    <w:p>
      <w:pPr>
        <w:pStyle w:val="6"/>
        <w:rPr>
          <w:rFonts w:ascii="Times New Roman"/>
          <w:b/>
          <w:sz w:val="26"/>
        </w:rPr>
      </w:pPr>
    </w:p>
    <w:p>
      <w:pPr>
        <w:pStyle w:val="6"/>
        <w:rPr>
          <w:rFonts w:ascii="Times New Roman"/>
          <w:b/>
          <w:sz w:val="26"/>
        </w:rPr>
      </w:pPr>
    </w:p>
    <w:p>
      <w:pPr>
        <w:pStyle w:val="6"/>
        <w:rPr>
          <w:rFonts w:ascii="Times New Roman"/>
          <w:b/>
          <w:sz w:val="26"/>
        </w:rPr>
      </w:pPr>
    </w:p>
    <w:p>
      <w:pPr>
        <w:pStyle w:val="6"/>
        <w:spacing w:before="186" w:line="364" w:lineRule="auto"/>
        <w:ind w:left="658" w:right="693" w:firstLine="480"/>
        <w:jc w:val="both"/>
      </w:pPr>
      <w:r>
        <w:rPr>
          <w:spacing w:val="-1"/>
        </w:rPr>
        <w:t>据影响区域的生态敏感性和评价项目的工程占地</w:t>
      </w:r>
      <w:r>
        <w:t>（含水域</w:t>
      </w:r>
      <w:r>
        <w:rPr>
          <w:spacing w:val="-17"/>
        </w:rPr>
        <w:t>）</w:t>
      </w:r>
      <w:r>
        <w:rPr>
          <w:spacing w:val="-5"/>
        </w:rPr>
        <w:t>范围，包括永久占地和</w:t>
      </w:r>
      <w:r>
        <w:rPr>
          <w:spacing w:val="11"/>
        </w:rPr>
        <w:t>临时占地，划分生态影响评价等级。本项目所在地属于一般区域，项目用地总面积</w:t>
      </w:r>
      <w:r>
        <w:rPr>
          <w:rFonts w:ascii="Times New Roman" w:eastAsia="Times New Roman"/>
        </w:rPr>
        <w:t>3.308978km</w:t>
      </w:r>
      <w:r>
        <w:rPr>
          <w:rFonts w:ascii="Times New Roman" w:eastAsia="Times New Roman"/>
          <w:position w:val="8"/>
          <w:sz w:val="15"/>
        </w:rPr>
        <w:t>2</w:t>
      </w:r>
      <w:r>
        <w:rPr>
          <w:spacing w:val="-7"/>
        </w:rPr>
        <w:t xml:space="preserve">，面积在 </w:t>
      </w:r>
      <w:r>
        <w:rPr>
          <w:rFonts w:ascii="Times New Roman" w:eastAsia="Times New Roman"/>
        </w:rPr>
        <w:t>2km</w:t>
      </w:r>
      <w:r>
        <w:rPr>
          <w:rFonts w:ascii="Times New Roman" w:eastAsia="Times New Roman"/>
          <w:position w:val="8"/>
          <w:sz w:val="15"/>
        </w:rPr>
        <w:t>2</w:t>
      </w:r>
      <w:r>
        <w:t>～</w:t>
      </w:r>
      <w:r>
        <w:rPr>
          <w:rFonts w:ascii="Times New Roman" w:eastAsia="Times New Roman"/>
        </w:rPr>
        <w:t>20km</w:t>
      </w:r>
      <w:r>
        <w:rPr>
          <w:rFonts w:ascii="Times New Roman" w:eastAsia="Times New Roman"/>
          <w:position w:val="8"/>
          <w:sz w:val="15"/>
        </w:rPr>
        <w:t xml:space="preserve">2 </w:t>
      </w:r>
      <w:r>
        <w:t>之间，故生态影响评价等级为三级。根据《环境影响评价技术导则生态影响》（</w:t>
      </w:r>
      <w:r>
        <w:rPr>
          <w:rFonts w:ascii="Times New Roman" w:eastAsia="Times New Roman"/>
        </w:rPr>
        <w:t>HJ19-2011</w:t>
      </w:r>
      <w:r>
        <w:t>）及《双鸭山大顺矿业有限责任公司矿山地质</w:t>
      </w:r>
      <w:r>
        <w:rPr>
          <w:spacing w:val="-6"/>
        </w:rPr>
        <w:t>环境保护与土地复垦方案》，本项目矿区及沉陷范围内大部分为有林地和少量旱地，现</w:t>
      </w:r>
      <w:r>
        <w:rPr>
          <w:spacing w:val="-5"/>
        </w:rPr>
        <w:t>有沉陷范围区域处于丘陵区域，地表有起伏，沉陷程度较小，不影响树木的生长和农作</w:t>
      </w:r>
      <w:r>
        <w:rPr>
          <w:spacing w:val="-8"/>
        </w:rPr>
        <w:t>物耕种，土地利用类型未明显改变，所以生态影响评价等级无需上调。综上，本项目生</w:t>
      </w:r>
      <w:r>
        <w:t>态影响评价等级为三级。</w:t>
      </w:r>
    </w:p>
    <w:p>
      <w:pPr>
        <w:pStyle w:val="4"/>
        <w:numPr>
          <w:ilvl w:val="2"/>
          <w:numId w:val="7"/>
        </w:numPr>
        <w:tabs>
          <w:tab w:val="left" w:pos="1288"/>
        </w:tabs>
        <w:spacing w:before="0" w:after="0" w:line="357" w:lineRule="exact"/>
        <w:ind w:left="1287" w:right="0" w:hanging="630"/>
        <w:jc w:val="left"/>
      </w:pPr>
      <w:bookmarkStart w:id="47" w:name="2.4.5地下水环境"/>
      <w:bookmarkEnd w:id="47"/>
      <w:bookmarkStart w:id="48" w:name="2.4.5地下水环境"/>
      <w:bookmarkEnd w:id="48"/>
      <w:r>
        <w:t>地下水环境</w:t>
      </w:r>
    </w:p>
    <w:p>
      <w:pPr>
        <w:pStyle w:val="6"/>
        <w:spacing w:before="186" w:line="364" w:lineRule="auto"/>
        <w:ind w:left="658" w:right="697" w:firstLine="480"/>
        <w:jc w:val="both"/>
      </w:pPr>
      <w:r>
        <w:t>根据《环境影响评价技术导则 地下水环境》（</w:t>
      </w:r>
      <w:r>
        <w:rPr>
          <w:rFonts w:ascii="Times New Roman" w:eastAsia="Times New Roman"/>
        </w:rPr>
        <w:t>HJ 610-2016</w:t>
      </w:r>
      <w:r>
        <w:t>）</w:t>
      </w:r>
      <w:r>
        <w:rPr>
          <w:spacing w:val="-2"/>
        </w:rPr>
        <w:t>对建设项目地下水评</w:t>
      </w:r>
      <w:r>
        <w:rPr>
          <w:spacing w:val="-7"/>
        </w:rPr>
        <w:t>价的要求，根据建设项目行业分类和地下水环境敏感程度分级进行判定，确定该项目地</w:t>
      </w:r>
      <w:r>
        <w:t>下水环境影响评价工作等级。</w:t>
      </w:r>
    </w:p>
    <w:p>
      <w:pPr>
        <w:pStyle w:val="4"/>
        <w:numPr>
          <w:ilvl w:val="3"/>
          <w:numId w:val="14"/>
        </w:numPr>
        <w:tabs>
          <w:tab w:val="left" w:pos="1499"/>
        </w:tabs>
        <w:spacing w:before="0" w:after="0" w:line="357" w:lineRule="exact"/>
        <w:ind w:left="1498" w:right="0" w:hanging="841"/>
        <w:jc w:val="left"/>
      </w:pPr>
      <w:r>
        <w:t>建设项目分类</w:t>
      </w:r>
    </w:p>
    <w:p>
      <w:pPr>
        <w:pStyle w:val="6"/>
        <w:spacing w:before="185" w:line="364" w:lineRule="auto"/>
        <w:ind w:left="658" w:right="697" w:firstLine="480"/>
        <w:jc w:val="both"/>
      </w:pPr>
      <w:r>
        <w:t>根据《环境影响评价技术导则 地下水》（</w:t>
      </w:r>
      <w:r>
        <w:rPr>
          <w:rFonts w:ascii="Times New Roman" w:hAnsi="Times New Roman" w:eastAsia="Times New Roman"/>
        </w:rPr>
        <w:t>HJ 610-2016</w:t>
      </w:r>
      <w:r>
        <w:t>）</w:t>
      </w:r>
      <w:r>
        <w:rPr>
          <w:spacing w:val="-19"/>
        </w:rPr>
        <w:t xml:space="preserve">附录 </w:t>
      </w:r>
      <w:r>
        <w:rPr>
          <w:rFonts w:ascii="Times New Roman" w:hAnsi="Times New Roman" w:eastAsia="Times New Roman"/>
        </w:rPr>
        <w:t>A</w:t>
      </w:r>
      <w:r>
        <w:rPr>
          <w:spacing w:val="-2"/>
        </w:rPr>
        <w:t>：地下水环境影响</w:t>
      </w:r>
      <w:r>
        <w:rPr>
          <w:spacing w:val="-6"/>
        </w:rPr>
        <w:t>评价行业分类表，本项目为煤炭开采，煤炭开采过程中设置煤矸石暂存场，煤矸石暂存</w:t>
      </w:r>
      <w:r>
        <w:t>场为Ⅱ类项目。</w:t>
      </w:r>
      <w:r>
        <w:rPr>
          <w:rFonts w:ascii="Times New Roman" w:hAnsi="Times New Roman" w:eastAsia="Times New Roman"/>
        </w:rPr>
        <w:t>(</w:t>
      </w:r>
      <w:r>
        <w:rPr>
          <w:spacing w:val="-21"/>
        </w:rPr>
        <w:t xml:space="preserve">见表 </w:t>
      </w:r>
      <w:r>
        <w:rPr>
          <w:rFonts w:ascii="Times New Roman" w:hAnsi="Times New Roman" w:eastAsia="Times New Roman"/>
        </w:rPr>
        <w:t>2.4-9)</w:t>
      </w:r>
      <w:r>
        <w:t>。</w:t>
      </w:r>
    </w:p>
    <w:p>
      <w:pPr>
        <w:pStyle w:val="5"/>
        <w:spacing w:after="2" w:line="307" w:lineRule="exact"/>
        <w:ind w:left="3053"/>
        <w:jc w:val="both"/>
      </w:pPr>
      <w:r>
        <mc:AlternateContent>
          <mc:Choice Requires="wps">
            <w:drawing>
              <wp:anchor distT="0" distB="0" distL="114300" distR="114300" simplePos="0" relativeHeight="214098944" behindDoc="1" locked="0" layoutInCell="1" allowOverlap="1">
                <wp:simplePos x="0" y="0"/>
                <wp:positionH relativeFrom="page">
                  <wp:posOffset>902335</wp:posOffset>
                </wp:positionH>
                <wp:positionV relativeFrom="paragraph">
                  <wp:posOffset>200025</wp:posOffset>
                </wp:positionV>
                <wp:extent cx="2452370" cy="720725"/>
                <wp:effectExtent l="1270" t="4445" r="3810" b="17780"/>
                <wp:wrapNone/>
                <wp:docPr id="2" name="直线 3"/>
                <wp:cNvGraphicFramePr/>
                <a:graphic xmlns:a="http://schemas.openxmlformats.org/drawingml/2006/main">
                  <a:graphicData uri="http://schemas.microsoft.com/office/word/2010/wordprocessingShape">
                    <wps:wsp>
                      <wps:cNvSpPr/>
                      <wps:spPr>
                        <a:xfrm>
                          <a:off x="0" y="0"/>
                          <a:ext cx="2452370" cy="720725"/>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margin-left:71.05pt;margin-top:15.75pt;height:56.75pt;width:193.1pt;mso-position-horizontal-relative:page;z-index:-289217536;mso-width-relative:page;mso-height-relative:page;" filled="f" stroked="t" coordsize="21600,21600" o:gfxdata="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8E0pd1QAAAAoBAAAPAAAAAAAAAAEAIAAAACIAAABk&#10;cnMvZG93bnJldi54bWxQSwECFAAUAAAACACHTuJA1pc4hNABAACSAwAADgAAAAAAAAABACAAAAAk&#10;AQAAZHJzL2Uyb0RvYy54bWxQSwUGAAAAAAYABgBZAQAAZgUAAAAA&#10;">
                <v:fill on="f" focussize="0,0"/>
                <v:stroke weight="0.5pt" color="#000000" joinstyle="round"/>
                <v:imagedata o:title=""/>
                <o:lock v:ext="edit" aspectratio="f"/>
              </v:line>
            </w:pict>
          </mc:Fallback>
        </mc:AlternateContent>
      </w:r>
      <w:r>
        <w:t xml:space="preserve">表 </w:t>
      </w:r>
      <w:r>
        <w:rPr>
          <w:rFonts w:ascii="Times New Roman" w:eastAsia="Times New Roman"/>
        </w:rPr>
        <w:t xml:space="preserve">2.4-9  </w:t>
      </w:r>
      <w:r>
        <w:t>地下水环境影响评价行业分类表</w:t>
      </w:r>
    </w:p>
    <w:tbl>
      <w:tblPr>
        <w:tblStyle w:val="10"/>
        <w:tblW w:w="0" w:type="auto"/>
        <w:tblInd w:w="66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67"/>
        <w:gridCol w:w="1294"/>
        <w:gridCol w:w="984"/>
        <w:gridCol w:w="1678"/>
        <w:gridCol w:w="9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3867" w:type="dxa"/>
            <w:vMerge w:val="restart"/>
          </w:tcPr>
          <w:p>
            <w:pPr>
              <w:pStyle w:val="14"/>
              <w:spacing w:before="9"/>
              <w:jc w:val="left"/>
              <w:rPr>
                <w:b/>
                <w:sz w:val="22"/>
              </w:rPr>
            </w:pPr>
          </w:p>
          <w:p>
            <w:pPr>
              <w:pStyle w:val="14"/>
              <w:ind w:left="2628"/>
              <w:jc w:val="left"/>
              <w:rPr>
                <w:sz w:val="21"/>
              </w:rPr>
            </w:pPr>
            <w:r>
              <w:rPr>
                <w:sz w:val="21"/>
              </w:rPr>
              <w:t>环评类别</w:t>
            </w:r>
          </w:p>
          <w:p>
            <w:pPr>
              <w:pStyle w:val="14"/>
              <w:spacing w:before="5"/>
              <w:ind w:left="108"/>
              <w:jc w:val="left"/>
              <w:rPr>
                <w:sz w:val="21"/>
              </w:rPr>
            </w:pPr>
            <w:r>
              <w:rPr>
                <w:sz w:val="21"/>
              </w:rPr>
              <w:t>行业类别</w:t>
            </w:r>
          </w:p>
        </w:tc>
        <w:tc>
          <w:tcPr>
            <w:tcW w:w="1294" w:type="dxa"/>
            <w:vMerge w:val="restart"/>
          </w:tcPr>
          <w:p>
            <w:pPr>
              <w:pStyle w:val="14"/>
              <w:jc w:val="left"/>
              <w:rPr>
                <w:b/>
                <w:sz w:val="20"/>
              </w:rPr>
            </w:pPr>
          </w:p>
          <w:p>
            <w:pPr>
              <w:pStyle w:val="14"/>
              <w:spacing w:before="172"/>
              <w:ind w:left="330"/>
              <w:jc w:val="left"/>
              <w:rPr>
                <w:sz w:val="21"/>
              </w:rPr>
            </w:pPr>
            <w:r>
              <w:rPr>
                <w:sz w:val="21"/>
              </w:rPr>
              <w:t>报告书</w:t>
            </w:r>
          </w:p>
        </w:tc>
        <w:tc>
          <w:tcPr>
            <w:tcW w:w="984" w:type="dxa"/>
            <w:vMerge w:val="restart"/>
          </w:tcPr>
          <w:p>
            <w:pPr>
              <w:pStyle w:val="14"/>
              <w:jc w:val="left"/>
              <w:rPr>
                <w:b/>
                <w:sz w:val="20"/>
              </w:rPr>
            </w:pPr>
          </w:p>
          <w:p>
            <w:pPr>
              <w:pStyle w:val="14"/>
              <w:spacing w:before="172"/>
              <w:ind w:left="176"/>
              <w:jc w:val="left"/>
              <w:rPr>
                <w:sz w:val="21"/>
              </w:rPr>
            </w:pPr>
            <w:r>
              <w:rPr>
                <w:sz w:val="21"/>
              </w:rPr>
              <w:t>报告表</w:t>
            </w:r>
          </w:p>
        </w:tc>
        <w:tc>
          <w:tcPr>
            <w:tcW w:w="2616" w:type="dxa"/>
            <w:gridSpan w:val="2"/>
          </w:tcPr>
          <w:p>
            <w:pPr>
              <w:pStyle w:val="14"/>
              <w:spacing w:before="94" w:line="242" w:lineRule="auto"/>
              <w:ind w:left="1098" w:right="142" w:hanging="946"/>
              <w:jc w:val="left"/>
              <w:rPr>
                <w:sz w:val="21"/>
              </w:rPr>
            </w:pPr>
            <w:r>
              <w:rPr>
                <w:sz w:val="21"/>
              </w:rPr>
              <w:t>地下水环境影响评价项目类别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3867" w:type="dxa"/>
            <w:vMerge w:val="continue"/>
            <w:tcBorders>
              <w:top w:val="nil"/>
            </w:tcBorders>
          </w:tcPr>
          <w:p>
            <w:pPr>
              <w:rPr>
                <w:sz w:val="2"/>
                <w:szCs w:val="2"/>
              </w:rPr>
            </w:pPr>
          </w:p>
        </w:tc>
        <w:tc>
          <w:tcPr>
            <w:tcW w:w="1294" w:type="dxa"/>
            <w:vMerge w:val="continue"/>
            <w:tcBorders>
              <w:top w:val="nil"/>
            </w:tcBorders>
          </w:tcPr>
          <w:p>
            <w:pPr>
              <w:rPr>
                <w:sz w:val="2"/>
                <w:szCs w:val="2"/>
              </w:rPr>
            </w:pPr>
          </w:p>
        </w:tc>
        <w:tc>
          <w:tcPr>
            <w:tcW w:w="984" w:type="dxa"/>
            <w:vMerge w:val="continue"/>
            <w:tcBorders>
              <w:top w:val="nil"/>
            </w:tcBorders>
          </w:tcPr>
          <w:p>
            <w:pPr>
              <w:rPr>
                <w:sz w:val="2"/>
                <w:szCs w:val="2"/>
              </w:rPr>
            </w:pPr>
          </w:p>
        </w:tc>
        <w:tc>
          <w:tcPr>
            <w:tcW w:w="1678" w:type="dxa"/>
          </w:tcPr>
          <w:p>
            <w:pPr>
              <w:pStyle w:val="14"/>
              <w:spacing w:before="57"/>
              <w:ind w:left="524"/>
              <w:jc w:val="left"/>
              <w:rPr>
                <w:sz w:val="21"/>
              </w:rPr>
            </w:pPr>
            <w:r>
              <w:rPr>
                <w:sz w:val="21"/>
              </w:rPr>
              <w:t>报告书</w:t>
            </w:r>
          </w:p>
        </w:tc>
        <w:tc>
          <w:tcPr>
            <w:tcW w:w="938" w:type="dxa"/>
          </w:tcPr>
          <w:p>
            <w:pPr>
              <w:pStyle w:val="14"/>
              <w:spacing w:before="57"/>
              <w:ind w:left="134" w:right="124"/>
              <w:rPr>
                <w:sz w:val="21"/>
              </w:rPr>
            </w:pPr>
            <w:r>
              <w:rPr>
                <w:sz w:val="21"/>
              </w:rPr>
              <w:t>报告表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8761" w:type="dxa"/>
            <w:gridSpan w:val="5"/>
          </w:tcPr>
          <w:p>
            <w:pPr>
              <w:pStyle w:val="14"/>
              <w:spacing w:before="56"/>
              <w:ind w:left="108"/>
              <w:jc w:val="left"/>
              <w:rPr>
                <w:sz w:val="21"/>
              </w:rPr>
            </w:pPr>
            <w:r>
              <w:rPr>
                <w:rFonts w:ascii="Times New Roman" w:eastAsia="Times New Roman"/>
                <w:sz w:val="21"/>
              </w:rPr>
              <w:t xml:space="preserve">D </w:t>
            </w:r>
            <w:r>
              <w:rPr>
                <w:sz w:val="21"/>
              </w:rPr>
              <w:t>煤炭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7" w:hRule="atLeast"/>
        </w:trPr>
        <w:tc>
          <w:tcPr>
            <w:tcW w:w="3867" w:type="dxa"/>
            <w:tcBorders>
              <w:bottom w:val="nil"/>
            </w:tcBorders>
          </w:tcPr>
          <w:p>
            <w:pPr>
              <w:pStyle w:val="14"/>
              <w:jc w:val="left"/>
              <w:rPr>
                <w:b/>
                <w:sz w:val="22"/>
              </w:rPr>
            </w:pPr>
          </w:p>
          <w:p>
            <w:pPr>
              <w:pStyle w:val="14"/>
              <w:jc w:val="left"/>
              <w:rPr>
                <w:b/>
                <w:sz w:val="19"/>
              </w:rPr>
            </w:pPr>
          </w:p>
          <w:p>
            <w:pPr>
              <w:pStyle w:val="14"/>
              <w:ind w:left="108"/>
              <w:jc w:val="left"/>
              <w:rPr>
                <w:sz w:val="21"/>
              </w:rPr>
            </w:pPr>
            <w:r>
              <w:rPr>
                <w:rFonts w:ascii="Times New Roman" w:eastAsia="Times New Roman"/>
                <w:sz w:val="21"/>
              </w:rPr>
              <w:t xml:space="preserve">25 </w:t>
            </w:r>
            <w:r>
              <w:rPr>
                <w:sz w:val="21"/>
              </w:rPr>
              <w:t>煤层气开采</w:t>
            </w:r>
          </w:p>
        </w:tc>
        <w:tc>
          <w:tcPr>
            <w:tcW w:w="1294" w:type="dxa"/>
            <w:tcBorders>
              <w:bottom w:val="nil"/>
            </w:tcBorders>
          </w:tcPr>
          <w:p>
            <w:pPr>
              <w:pStyle w:val="14"/>
              <w:spacing w:line="242" w:lineRule="auto"/>
              <w:ind w:left="121" w:right="111" w:hanging="15"/>
              <w:jc w:val="both"/>
              <w:rPr>
                <w:sz w:val="21"/>
              </w:rPr>
            </w:pPr>
            <w:r>
              <w:rPr>
                <w:sz w:val="21"/>
              </w:rPr>
              <w:t>年生产能力</w:t>
            </w:r>
            <w:r>
              <w:rPr>
                <w:rFonts w:ascii="Times New Roman" w:eastAsia="Times New Roman"/>
                <w:sz w:val="21"/>
              </w:rPr>
              <w:t>1</w:t>
            </w:r>
            <w:r>
              <w:rPr>
                <w:rFonts w:ascii="Times New Roman" w:eastAsia="Times New Roman"/>
                <w:spacing w:val="-4"/>
                <w:sz w:val="21"/>
              </w:rPr>
              <w:t xml:space="preserve"> </w:t>
            </w:r>
            <w:r>
              <w:rPr>
                <w:sz w:val="21"/>
              </w:rPr>
              <w:t>亿立方米</w:t>
            </w:r>
            <w:r>
              <w:rPr>
                <w:spacing w:val="-3"/>
                <w:w w:val="95"/>
                <w:sz w:val="21"/>
              </w:rPr>
              <w:t>及以上；涉</w:t>
            </w:r>
          </w:p>
          <w:p>
            <w:pPr>
              <w:pStyle w:val="14"/>
              <w:spacing w:line="252" w:lineRule="exact"/>
              <w:ind w:left="121"/>
              <w:jc w:val="left"/>
              <w:rPr>
                <w:sz w:val="21"/>
              </w:rPr>
            </w:pPr>
            <w:r>
              <w:rPr>
                <w:w w:val="95"/>
                <w:sz w:val="21"/>
              </w:rPr>
              <w:t>及环境敏感</w:t>
            </w:r>
          </w:p>
        </w:tc>
        <w:tc>
          <w:tcPr>
            <w:tcW w:w="984" w:type="dxa"/>
            <w:tcBorders>
              <w:bottom w:val="nil"/>
            </w:tcBorders>
          </w:tcPr>
          <w:p>
            <w:pPr>
              <w:pStyle w:val="14"/>
              <w:jc w:val="left"/>
              <w:rPr>
                <w:b/>
                <w:sz w:val="20"/>
              </w:rPr>
            </w:pPr>
          </w:p>
          <w:p>
            <w:pPr>
              <w:pStyle w:val="14"/>
              <w:jc w:val="left"/>
              <w:rPr>
                <w:b/>
                <w:sz w:val="21"/>
              </w:rPr>
            </w:pPr>
          </w:p>
          <w:p>
            <w:pPr>
              <w:pStyle w:val="14"/>
              <w:ind w:left="282"/>
              <w:jc w:val="left"/>
              <w:rPr>
                <w:sz w:val="21"/>
              </w:rPr>
            </w:pPr>
            <w:r>
              <w:rPr>
                <w:sz w:val="21"/>
              </w:rPr>
              <w:t>其他</w:t>
            </w:r>
          </w:p>
        </w:tc>
        <w:tc>
          <w:tcPr>
            <w:tcW w:w="1678" w:type="dxa"/>
            <w:tcBorders>
              <w:bottom w:val="nil"/>
            </w:tcBorders>
          </w:tcPr>
          <w:p>
            <w:pPr>
              <w:pStyle w:val="14"/>
              <w:jc w:val="left"/>
              <w:rPr>
                <w:b/>
                <w:sz w:val="20"/>
              </w:rPr>
            </w:pPr>
          </w:p>
          <w:p>
            <w:pPr>
              <w:pStyle w:val="14"/>
              <w:spacing w:before="135" w:line="242" w:lineRule="auto"/>
              <w:ind w:left="107" w:right="54" w:firstLine="100"/>
              <w:jc w:val="left"/>
              <w:rPr>
                <w:sz w:val="21"/>
              </w:rPr>
            </w:pPr>
            <w:r>
              <w:rPr>
                <w:sz w:val="21"/>
              </w:rPr>
              <w:t>水力压裂工艺Ⅱ类；其余Ⅲ类</w:t>
            </w:r>
          </w:p>
        </w:tc>
        <w:tc>
          <w:tcPr>
            <w:tcW w:w="938" w:type="dxa"/>
            <w:tcBorders>
              <w:bottom w:val="nil"/>
            </w:tcBorders>
          </w:tcPr>
          <w:p>
            <w:pPr>
              <w:pStyle w:val="14"/>
              <w:jc w:val="left"/>
              <w:rPr>
                <w:b/>
                <w:sz w:val="20"/>
              </w:rPr>
            </w:pPr>
          </w:p>
          <w:p>
            <w:pPr>
              <w:pStyle w:val="14"/>
              <w:jc w:val="left"/>
              <w:rPr>
                <w:b/>
                <w:sz w:val="21"/>
              </w:rPr>
            </w:pPr>
          </w:p>
          <w:p>
            <w:pPr>
              <w:pStyle w:val="14"/>
              <w:ind w:left="132" w:right="124"/>
              <w:rPr>
                <w:sz w:val="21"/>
              </w:rPr>
            </w:pPr>
            <w:r>
              <w:rPr>
                <w:sz w:val="21"/>
              </w:rPr>
              <w:t>Ⅳ类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 w:hRule="atLeast"/>
        </w:trPr>
        <w:tc>
          <w:tcPr>
            <w:tcW w:w="3867" w:type="dxa"/>
            <w:tcBorders>
              <w:top w:val="nil"/>
            </w:tcBorders>
          </w:tcPr>
          <w:p>
            <w:pPr>
              <w:pStyle w:val="14"/>
              <w:jc w:val="left"/>
              <w:rPr>
                <w:rFonts w:ascii="Times New Roman"/>
                <w:sz w:val="16"/>
              </w:rPr>
            </w:pPr>
          </w:p>
        </w:tc>
        <w:tc>
          <w:tcPr>
            <w:tcW w:w="1294" w:type="dxa"/>
            <w:tcBorders>
              <w:top w:val="nil"/>
            </w:tcBorders>
          </w:tcPr>
          <w:p>
            <w:pPr>
              <w:pStyle w:val="14"/>
              <w:spacing w:before="2" w:line="214" w:lineRule="exact"/>
              <w:ind w:left="308" w:right="302"/>
              <w:rPr>
                <w:sz w:val="21"/>
              </w:rPr>
            </w:pPr>
            <w:r>
              <w:rPr>
                <w:sz w:val="21"/>
              </w:rPr>
              <w:t>区的</w:t>
            </w:r>
          </w:p>
        </w:tc>
        <w:tc>
          <w:tcPr>
            <w:tcW w:w="984" w:type="dxa"/>
            <w:tcBorders>
              <w:top w:val="nil"/>
            </w:tcBorders>
          </w:tcPr>
          <w:p>
            <w:pPr>
              <w:pStyle w:val="14"/>
              <w:jc w:val="left"/>
              <w:rPr>
                <w:rFonts w:ascii="Times New Roman"/>
                <w:sz w:val="16"/>
              </w:rPr>
            </w:pPr>
          </w:p>
        </w:tc>
        <w:tc>
          <w:tcPr>
            <w:tcW w:w="1678" w:type="dxa"/>
            <w:tcBorders>
              <w:top w:val="nil"/>
            </w:tcBorders>
          </w:tcPr>
          <w:p>
            <w:pPr>
              <w:pStyle w:val="14"/>
              <w:jc w:val="left"/>
              <w:rPr>
                <w:rFonts w:ascii="Times New Roman"/>
                <w:sz w:val="16"/>
              </w:rPr>
            </w:pPr>
          </w:p>
        </w:tc>
        <w:tc>
          <w:tcPr>
            <w:tcW w:w="938" w:type="dxa"/>
            <w:tcBorders>
              <w:top w:val="nil"/>
            </w:tcBorders>
          </w:tcPr>
          <w:p>
            <w:pPr>
              <w:pStyle w:val="14"/>
              <w:jc w:val="left"/>
              <w:rPr>
                <w:rFonts w:ascii="Times New Roman"/>
                <w:sz w:val="16"/>
              </w:rPr>
            </w:pPr>
          </w:p>
        </w:tc>
      </w:tr>
    </w:tbl>
    <w:p>
      <w:pPr>
        <w:spacing w:after="0"/>
        <w:jc w:val="left"/>
        <w:rPr>
          <w:rFonts w:ascii="Times New Roman"/>
          <w:sz w:val="16"/>
        </w:rPr>
        <w:sectPr>
          <w:pgSz w:w="11910" w:h="16840"/>
          <w:pgMar w:top="1340" w:right="720" w:bottom="1160" w:left="760" w:header="0" w:footer="895" w:gutter="0"/>
        </w:sectPr>
      </w:pPr>
    </w:p>
    <w:tbl>
      <w:tblPr>
        <w:tblStyle w:val="10"/>
        <w:tblW w:w="0" w:type="auto"/>
        <w:tblInd w:w="66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67"/>
        <w:gridCol w:w="1294"/>
        <w:gridCol w:w="984"/>
        <w:gridCol w:w="1678"/>
        <w:gridCol w:w="9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7" w:hRule="atLeast"/>
        </w:trPr>
        <w:tc>
          <w:tcPr>
            <w:tcW w:w="3867" w:type="dxa"/>
          </w:tcPr>
          <w:p>
            <w:pPr>
              <w:pStyle w:val="14"/>
              <w:spacing w:before="1"/>
              <w:jc w:val="left"/>
              <w:rPr>
                <w:b/>
                <w:sz w:val="22"/>
              </w:rPr>
            </w:pPr>
          </w:p>
          <w:p>
            <w:pPr>
              <w:pStyle w:val="14"/>
              <w:ind w:left="108"/>
              <w:jc w:val="left"/>
              <w:rPr>
                <w:b/>
                <w:sz w:val="21"/>
              </w:rPr>
            </w:pPr>
            <w:r>
              <w:rPr>
                <w:rFonts w:ascii="Times New Roman" w:eastAsia="Times New Roman"/>
                <w:b/>
                <w:sz w:val="21"/>
              </w:rPr>
              <w:t>26</w:t>
            </w:r>
            <w:r>
              <w:rPr>
                <w:b/>
                <w:sz w:val="21"/>
              </w:rPr>
              <w:t>、煤炭开采</w:t>
            </w:r>
          </w:p>
        </w:tc>
        <w:tc>
          <w:tcPr>
            <w:tcW w:w="1294" w:type="dxa"/>
          </w:tcPr>
          <w:p>
            <w:pPr>
              <w:pStyle w:val="14"/>
              <w:spacing w:before="1"/>
              <w:jc w:val="left"/>
              <w:rPr>
                <w:b/>
                <w:sz w:val="22"/>
              </w:rPr>
            </w:pPr>
          </w:p>
          <w:p>
            <w:pPr>
              <w:pStyle w:val="14"/>
              <w:ind w:left="310" w:right="302"/>
              <w:rPr>
                <w:b/>
                <w:sz w:val="21"/>
              </w:rPr>
            </w:pPr>
            <w:r>
              <w:rPr>
                <w:b/>
                <w:sz w:val="21"/>
              </w:rPr>
              <w:t>全部</w:t>
            </w:r>
          </w:p>
        </w:tc>
        <w:tc>
          <w:tcPr>
            <w:tcW w:w="984" w:type="dxa"/>
          </w:tcPr>
          <w:p>
            <w:pPr>
              <w:pStyle w:val="14"/>
              <w:spacing w:before="2"/>
              <w:jc w:val="left"/>
              <w:rPr>
                <w:b/>
                <w:sz w:val="23"/>
              </w:rPr>
            </w:pPr>
          </w:p>
          <w:p>
            <w:pPr>
              <w:pStyle w:val="14"/>
              <w:ind w:left="8"/>
              <w:rPr>
                <w:rFonts w:ascii="Times New Roman"/>
                <w:b/>
                <w:sz w:val="21"/>
              </w:rPr>
            </w:pPr>
            <w:r>
              <w:rPr>
                <w:rFonts w:ascii="Times New Roman"/>
                <w:b/>
                <w:w w:val="99"/>
                <w:sz w:val="21"/>
              </w:rPr>
              <w:t>/</w:t>
            </w:r>
          </w:p>
        </w:tc>
        <w:tc>
          <w:tcPr>
            <w:tcW w:w="1678" w:type="dxa"/>
          </w:tcPr>
          <w:p>
            <w:pPr>
              <w:pStyle w:val="14"/>
              <w:spacing w:before="146" w:line="244" w:lineRule="auto"/>
              <w:ind w:left="109" w:right="52" w:firstLine="98"/>
              <w:jc w:val="left"/>
              <w:rPr>
                <w:sz w:val="21"/>
              </w:rPr>
            </w:pPr>
            <w:r>
              <w:rPr>
                <w:b/>
                <w:sz w:val="21"/>
              </w:rPr>
              <w:t>煤矸石转运场Ⅱ类</w:t>
            </w:r>
            <w:r>
              <w:rPr>
                <w:sz w:val="21"/>
              </w:rPr>
              <w:t>；其余Ⅲ类</w:t>
            </w:r>
          </w:p>
        </w:tc>
        <w:tc>
          <w:tcPr>
            <w:tcW w:w="938" w:type="dxa"/>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3867" w:type="dxa"/>
          </w:tcPr>
          <w:p>
            <w:pPr>
              <w:pStyle w:val="14"/>
              <w:spacing w:before="59"/>
              <w:ind w:left="108"/>
              <w:jc w:val="left"/>
              <w:rPr>
                <w:sz w:val="21"/>
              </w:rPr>
            </w:pPr>
            <w:r>
              <w:rPr>
                <w:rFonts w:ascii="Times New Roman" w:eastAsia="Times New Roman"/>
                <w:sz w:val="21"/>
              </w:rPr>
              <w:t>27</w:t>
            </w:r>
            <w:r>
              <w:rPr>
                <w:sz w:val="21"/>
              </w:rPr>
              <w:t>、洗选、配煤</w:t>
            </w:r>
          </w:p>
        </w:tc>
        <w:tc>
          <w:tcPr>
            <w:tcW w:w="1294" w:type="dxa"/>
          </w:tcPr>
          <w:p>
            <w:pPr>
              <w:pStyle w:val="14"/>
              <w:spacing w:before="73"/>
              <w:ind w:left="11"/>
              <w:rPr>
                <w:rFonts w:ascii="Times New Roman"/>
                <w:sz w:val="21"/>
              </w:rPr>
            </w:pPr>
            <w:r>
              <w:rPr>
                <w:rFonts w:ascii="Times New Roman"/>
                <w:w w:val="99"/>
                <w:sz w:val="21"/>
              </w:rPr>
              <w:t>/</w:t>
            </w:r>
          </w:p>
        </w:tc>
        <w:tc>
          <w:tcPr>
            <w:tcW w:w="984" w:type="dxa"/>
          </w:tcPr>
          <w:p>
            <w:pPr>
              <w:pStyle w:val="14"/>
              <w:spacing w:before="59"/>
              <w:ind w:left="261" w:right="253"/>
              <w:rPr>
                <w:sz w:val="21"/>
              </w:rPr>
            </w:pPr>
            <w:r>
              <w:rPr>
                <w:sz w:val="21"/>
              </w:rPr>
              <w:t>其他</w:t>
            </w:r>
          </w:p>
        </w:tc>
        <w:tc>
          <w:tcPr>
            <w:tcW w:w="1678" w:type="dxa"/>
          </w:tcPr>
          <w:p>
            <w:pPr>
              <w:pStyle w:val="14"/>
              <w:jc w:val="left"/>
              <w:rPr>
                <w:rFonts w:ascii="Times New Roman"/>
                <w:sz w:val="22"/>
              </w:rPr>
            </w:pPr>
          </w:p>
        </w:tc>
        <w:tc>
          <w:tcPr>
            <w:tcW w:w="938" w:type="dxa"/>
          </w:tcPr>
          <w:p>
            <w:pPr>
              <w:pStyle w:val="14"/>
              <w:spacing w:before="59"/>
              <w:ind w:left="132" w:right="124"/>
              <w:rPr>
                <w:sz w:val="21"/>
              </w:rPr>
            </w:pPr>
            <w:r>
              <w:rPr>
                <w:sz w:val="21"/>
              </w:rPr>
              <w:t>Ⅲ类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3867" w:type="dxa"/>
          </w:tcPr>
          <w:p>
            <w:pPr>
              <w:pStyle w:val="14"/>
              <w:spacing w:before="51"/>
              <w:ind w:left="108"/>
              <w:jc w:val="left"/>
              <w:rPr>
                <w:sz w:val="21"/>
              </w:rPr>
            </w:pPr>
            <w:r>
              <w:rPr>
                <w:rFonts w:ascii="Times New Roman" w:eastAsia="Times New Roman"/>
                <w:sz w:val="21"/>
              </w:rPr>
              <w:t>28</w:t>
            </w:r>
            <w:r>
              <w:rPr>
                <w:sz w:val="21"/>
              </w:rPr>
              <w:t>、煤炭储存、集运</w:t>
            </w:r>
          </w:p>
        </w:tc>
        <w:tc>
          <w:tcPr>
            <w:tcW w:w="1294" w:type="dxa"/>
          </w:tcPr>
          <w:p>
            <w:pPr>
              <w:pStyle w:val="14"/>
              <w:spacing w:before="65"/>
              <w:ind w:left="11"/>
              <w:rPr>
                <w:rFonts w:ascii="Times New Roman"/>
                <w:sz w:val="21"/>
              </w:rPr>
            </w:pPr>
            <w:r>
              <w:rPr>
                <w:rFonts w:ascii="Times New Roman"/>
                <w:w w:val="99"/>
                <w:sz w:val="21"/>
              </w:rPr>
              <w:t>/</w:t>
            </w:r>
          </w:p>
        </w:tc>
        <w:tc>
          <w:tcPr>
            <w:tcW w:w="984" w:type="dxa"/>
          </w:tcPr>
          <w:p>
            <w:pPr>
              <w:pStyle w:val="14"/>
              <w:spacing w:before="51"/>
              <w:ind w:left="261" w:right="253"/>
              <w:rPr>
                <w:sz w:val="21"/>
              </w:rPr>
            </w:pPr>
            <w:r>
              <w:rPr>
                <w:sz w:val="21"/>
              </w:rPr>
              <w:t>其他</w:t>
            </w:r>
          </w:p>
        </w:tc>
        <w:tc>
          <w:tcPr>
            <w:tcW w:w="1678" w:type="dxa"/>
          </w:tcPr>
          <w:p>
            <w:pPr>
              <w:pStyle w:val="14"/>
              <w:jc w:val="left"/>
              <w:rPr>
                <w:rFonts w:ascii="Times New Roman"/>
                <w:sz w:val="22"/>
              </w:rPr>
            </w:pPr>
          </w:p>
        </w:tc>
        <w:tc>
          <w:tcPr>
            <w:tcW w:w="938" w:type="dxa"/>
          </w:tcPr>
          <w:p>
            <w:pPr>
              <w:pStyle w:val="14"/>
              <w:spacing w:before="51"/>
              <w:ind w:left="132" w:right="124"/>
              <w:rPr>
                <w:sz w:val="21"/>
              </w:rPr>
            </w:pPr>
            <w:r>
              <w:rPr>
                <w:sz w:val="21"/>
              </w:rPr>
              <w:t>Ⅳ类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867" w:type="dxa"/>
          </w:tcPr>
          <w:p>
            <w:pPr>
              <w:pStyle w:val="14"/>
              <w:spacing w:before="35"/>
              <w:ind w:left="108"/>
              <w:jc w:val="left"/>
              <w:rPr>
                <w:sz w:val="21"/>
              </w:rPr>
            </w:pPr>
            <w:r>
              <w:rPr>
                <w:rFonts w:ascii="Times New Roman" w:eastAsia="Times New Roman"/>
                <w:sz w:val="21"/>
              </w:rPr>
              <w:t>29</w:t>
            </w:r>
            <w:r>
              <w:rPr>
                <w:sz w:val="21"/>
              </w:rPr>
              <w:t>、型煤、水煤浆生产</w:t>
            </w:r>
          </w:p>
        </w:tc>
        <w:tc>
          <w:tcPr>
            <w:tcW w:w="1294" w:type="dxa"/>
          </w:tcPr>
          <w:p>
            <w:pPr>
              <w:pStyle w:val="14"/>
              <w:spacing w:before="49"/>
              <w:ind w:left="11"/>
              <w:rPr>
                <w:rFonts w:ascii="Times New Roman"/>
                <w:sz w:val="21"/>
              </w:rPr>
            </w:pPr>
            <w:r>
              <w:rPr>
                <w:rFonts w:ascii="Times New Roman"/>
                <w:w w:val="99"/>
                <w:sz w:val="21"/>
              </w:rPr>
              <w:t>/</w:t>
            </w:r>
          </w:p>
        </w:tc>
        <w:tc>
          <w:tcPr>
            <w:tcW w:w="984" w:type="dxa"/>
          </w:tcPr>
          <w:p>
            <w:pPr>
              <w:pStyle w:val="14"/>
              <w:spacing w:before="35"/>
              <w:ind w:left="261" w:right="253"/>
              <w:rPr>
                <w:sz w:val="21"/>
              </w:rPr>
            </w:pPr>
            <w:r>
              <w:rPr>
                <w:sz w:val="21"/>
              </w:rPr>
              <w:t>其他</w:t>
            </w:r>
          </w:p>
        </w:tc>
        <w:tc>
          <w:tcPr>
            <w:tcW w:w="1678" w:type="dxa"/>
          </w:tcPr>
          <w:p>
            <w:pPr>
              <w:pStyle w:val="14"/>
              <w:jc w:val="left"/>
              <w:rPr>
                <w:rFonts w:ascii="Times New Roman"/>
                <w:sz w:val="22"/>
              </w:rPr>
            </w:pPr>
          </w:p>
        </w:tc>
        <w:tc>
          <w:tcPr>
            <w:tcW w:w="938" w:type="dxa"/>
          </w:tcPr>
          <w:p>
            <w:pPr>
              <w:pStyle w:val="14"/>
              <w:spacing w:before="35"/>
              <w:ind w:left="132" w:right="124"/>
              <w:rPr>
                <w:sz w:val="21"/>
              </w:rPr>
            </w:pPr>
            <w:r>
              <w:rPr>
                <w:sz w:val="21"/>
              </w:rPr>
              <w:t>Ⅲ类</w:t>
            </w:r>
          </w:p>
        </w:tc>
      </w:tr>
    </w:tbl>
    <w:p>
      <w:pPr>
        <w:pStyle w:val="13"/>
        <w:numPr>
          <w:ilvl w:val="3"/>
          <w:numId w:val="14"/>
        </w:numPr>
        <w:tabs>
          <w:tab w:val="left" w:pos="1499"/>
        </w:tabs>
        <w:spacing w:before="4" w:after="0" w:line="240" w:lineRule="auto"/>
        <w:ind w:left="1498" w:right="0" w:hanging="841"/>
        <w:jc w:val="left"/>
        <w:rPr>
          <w:b/>
          <w:sz w:val="28"/>
        </w:rPr>
      </w:pPr>
      <w:r>
        <w:rPr>
          <w:b/>
          <w:sz w:val="28"/>
        </w:rPr>
        <w:t>地下水环境敏感程度</w:t>
      </w:r>
    </w:p>
    <w:p>
      <w:pPr>
        <w:tabs>
          <w:tab w:val="left" w:pos="4452"/>
        </w:tabs>
        <w:spacing w:before="183" w:after="3"/>
        <w:ind w:left="3293" w:right="0" w:firstLine="0"/>
        <w:jc w:val="left"/>
        <w:rPr>
          <w:b/>
          <w:sz w:val="24"/>
        </w:rPr>
      </w:pPr>
      <w:r>
        <w:rPr>
          <w:b/>
          <w:sz w:val="24"/>
        </w:rPr>
        <w:t>表</w:t>
      </w:r>
      <w:r>
        <w:rPr>
          <w:b/>
          <w:spacing w:val="-62"/>
          <w:sz w:val="24"/>
        </w:rPr>
        <w:t xml:space="preserve"> </w:t>
      </w:r>
      <w:r>
        <w:rPr>
          <w:rFonts w:ascii="Times New Roman" w:eastAsia="Times New Roman"/>
          <w:b/>
          <w:sz w:val="24"/>
        </w:rPr>
        <w:t>2.4-10</w:t>
      </w:r>
      <w:r>
        <w:rPr>
          <w:rFonts w:ascii="Times New Roman" w:eastAsia="Times New Roman"/>
          <w:b/>
          <w:sz w:val="24"/>
        </w:rPr>
        <w:tab/>
      </w:r>
      <w:r>
        <w:rPr>
          <w:b/>
          <w:sz w:val="24"/>
        </w:rPr>
        <w:t>地下水环境敏感程度分级</w:t>
      </w:r>
    </w:p>
    <w:tbl>
      <w:tblPr>
        <w:tblStyle w:val="10"/>
        <w:tblW w:w="0" w:type="auto"/>
        <w:tblInd w:w="5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97"/>
        <w:gridCol w:w="67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2497" w:type="dxa"/>
          </w:tcPr>
          <w:p>
            <w:pPr>
              <w:pStyle w:val="14"/>
              <w:spacing w:before="45"/>
              <w:ind w:left="908" w:right="904"/>
              <w:rPr>
                <w:sz w:val="21"/>
              </w:rPr>
            </w:pPr>
            <w:r>
              <w:rPr>
                <w:sz w:val="21"/>
              </w:rPr>
              <w:t>分级</w:t>
            </w:r>
          </w:p>
        </w:tc>
        <w:tc>
          <w:tcPr>
            <w:tcW w:w="6789" w:type="dxa"/>
          </w:tcPr>
          <w:p>
            <w:pPr>
              <w:pStyle w:val="14"/>
              <w:spacing w:before="45"/>
              <w:ind w:left="2429" w:right="2420"/>
              <w:rPr>
                <w:sz w:val="21"/>
              </w:rPr>
            </w:pPr>
            <w:r>
              <w:rPr>
                <w:sz w:val="21"/>
              </w:rPr>
              <w:t>地下水环境敏感特征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2" w:hRule="atLeast"/>
        </w:trPr>
        <w:tc>
          <w:tcPr>
            <w:tcW w:w="2497" w:type="dxa"/>
          </w:tcPr>
          <w:p>
            <w:pPr>
              <w:pStyle w:val="14"/>
              <w:jc w:val="left"/>
              <w:rPr>
                <w:b/>
                <w:sz w:val="20"/>
              </w:rPr>
            </w:pPr>
          </w:p>
          <w:p>
            <w:pPr>
              <w:pStyle w:val="14"/>
              <w:jc w:val="left"/>
              <w:rPr>
                <w:b/>
                <w:sz w:val="20"/>
              </w:rPr>
            </w:pPr>
          </w:p>
          <w:p>
            <w:pPr>
              <w:pStyle w:val="14"/>
              <w:spacing w:before="141"/>
              <w:ind w:left="908" w:right="904"/>
              <w:rPr>
                <w:sz w:val="21"/>
              </w:rPr>
            </w:pPr>
            <w:r>
              <w:rPr>
                <w:sz w:val="21"/>
              </w:rPr>
              <w:t>敏感</w:t>
            </w:r>
          </w:p>
        </w:tc>
        <w:tc>
          <w:tcPr>
            <w:tcW w:w="6789" w:type="dxa"/>
          </w:tcPr>
          <w:p>
            <w:pPr>
              <w:pStyle w:val="14"/>
              <w:spacing w:before="174" w:line="285" w:lineRule="auto"/>
              <w:ind w:left="107" w:right="161"/>
              <w:jc w:val="both"/>
              <w:rPr>
                <w:sz w:val="21"/>
              </w:rPr>
            </w:pPr>
            <w:r>
              <w:rPr>
                <w:w w:val="95"/>
                <w:sz w:val="21"/>
              </w:rPr>
              <w:t xml:space="preserve">集中式饮用水水源（包括已建成的在用、备用、应急水源，在建和规划  的饮用水水源）准保护区；除集中式饮用水水源以外的国家或地方政府  设定的与地下水环境相关的其它保护区，如热水、矿泉水、温泉等特殊  </w:t>
            </w:r>
            <w:r>
              <w:rPr>
                <w:sz w:val="21"/>
              </w:rPr>
              <w:t>地下水资源保护区。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8" w:hRule="atLeast"/>
        </w:trPr>
        <w:tc>
          <w:tcPr>
            <w:tcW w:w="2497" w:type="dxa"/>
          </w:tcPr>
          <w:p>
            <w:pPr>
              <w:pStyle w:val="14"/>
              <w:jc w:val="left"/>
              <w:rPr>
                <w:b/>
                <w:sz w:val="20"/>
              </w:rPr>
            </w:pPr>
          </w:p>
          <w:p>
            <w:pPr>
              <w:pStyle w:val="14"/>
              <w:jc w:val="left"/>
              <w:rPr>
                <w:b/>
                <w:sz w:val="20"/>
              </w:rPr>
            </w:pPr>
          </w:p>
          <w:p>
            <w:pPr>
              <w:pStyle w:val="14"/>
              <w:spacing w:before="8"/>
              <w:jc w:val="left"/>
              <w:rPr>
                <w:b/>
                <w:sz w:val="27"/>
              </w:rPr>
            </w:pPr>
          </w:p>
          <w:p>
            <w:pPr>
              <w:pStyle w:val="14"/>
              <w:ind w:left="913" w:right="904"/>
              <w:rPr>
                <w:sz w:val="21"/>
              </w:rPr>
            </w:pPr>
            <w:r>
              <w:rPr>
                <w:sz w:val="21"/>
              </w:rPr>
              <w:t>较敏感</w:t>
            </w:r>
          </w:p>
        </w:tc>
        <w:tc>
          <w:tcPr>
            <w:tcW w:w="6789" w:type="dxa"/>
          </w:tcPr>
          <w:p>
            <w:pPr>
              <w:pStyle w:val="14"/>
              <w:spacing w:before="10"/>
              <w:jc w:val="left"/>
              <w:rPr>
                <w:b/>
                <w:sz w:val="17"/>
              </w:rPr>
            </w:pPr>
          </w:p>
          <w:p>
            <w:pPr>
              <w:pStyle w:val="14"/>
              <w:spacing w:line="285" w:lineRule="auto"/>
              <w:ind w:left="107" w:right="98"/>
              <w:jc w:val="both"/>
              <w:rPr>
                <w:sz w:val="21"/>
              </w:rPr>
            </w:pPr>
            <w:r>
              <w:rPr>
                <w:sz w:val="21"/>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2497" w:type="dxa"/>
          </w:tcPr>
          <w:p>
            <w:pPr>
              <w:pStyle w:val="14"/>
              <w:spacing w:before="159"/>
              <w:ind w:left="913" w:right="904"/>
              <w:rPr>
                <w:sz w:val="21"/>
              </w:rPr>
            </w:pPr>
            <w:r>
              <w:rPr>
                <w:sz w:val="21"/>
              </w:rPr>
              <w:t>不敏感</w:t>
            </w:r>
          </w:p>
        </w:tc>
        <w:tc>
          <w:tcPr>
            <w:tcW w:w="6789" w:type="dxa"/>
          </w:tcPr>
          <w:p>
            <w:pPr>
              <w:pStyle w:val="14"/>
              <w:spacing w:before="159"/>
              <w:ind w:left="107"/>
              <w:jc w:val="left"/>
              <w:rPr>
                <w:sz w:val="21"/>
              </w:rPr>
            </w:pPr>
            <w:r>
              <w:rPr>
                <w:sz w:val="21"/>
              </w:rPr>
              <w:t>上述地区之外的其它地区</w:t>
            </w:r>
          </w:p>
        </w:tc>
      </w:tr>
    </w:tbl>
    <w:p>
      <w:pPr>
        <w:pStyle w:val="6"/>
        <w:spacing w:before="2" w:line="364" w:lineRule="auto"/>
        <w:ind w:left="658" w:right="573" w:firstLine="480"/>
      </w:pPr>
      <w:r>
        <w:t>实地调查表明，项目评价范围内无集中式饮用水水源（包括已建成的在用、备用、</w:t>
      </w:r>
      <w:r>
        <w:rPr>
          <w:spacing w:val="-4"/>
        </w:rPr>
        <w:t>应急水源，在建和规划的饮用水水源</w:t>
      </w:r>
      <w:r>
        <w:rPr>
          <w:spacing w:val="-17"/>
        </w:rPr>
        <w:t>）</w:t>
      </w:r>
      <w:r>
        <w:rPr>
          <w:spacing w:val="-4"/>
        </w:rPr>
        <w:t>准保护区；除集中式饮用水水源以外的国家或地</w:t>
      </w:r>
      <w:r>
        <w:rPr>
          <w:spacing w:val="-7"/>
        </w:rPr>
        <w:t>方政府设定的与地下水环境相关的其它保护区，如热水、矿泉水、温泉等特殊地下水资源保护区。无集中式饮用水水源</w:t>
      </w:r>
      <w:r>
        <w:t>（</w:t>
      </w:r>
      <w:r>
        <w:rPr>
          <w:spacing w:val="-4"/>
        </w:rPr>
        <w:t>包括已建成的在用、备用、应急水源，在建和规划的饮用水水源</w:t>
      </w:r>
      <w:r>
        <w:rPr>
          <w:spacing w:val="-17"/>
        </w:rPr>
        <w:t>）</w:t>
      </w:r>
      <w:r>
        <w:rPr>
          <w:spacing w:val="-3"/>
        </w:rPr>
        <w:t>准保护区以外的补给径流区；未划定准保护区的集中水式饮用水水源，其</w:t>
      </w:r>
      <w:r>
        <w:rPr>
          <w:spacing w:val="-11"/>
        </w:rPr>
        <w:t>保护区以外的补给径流区；分散式饮用水水源地；特殊地下水资源</w:t>
      </w:r>
      <w:r>
        <w:t>（</w:t>
      </w:r>
      <w:r>
        <w:rPr>
          <w:spacing w:val="-7"/>
        </w:rPr>
        <w:t>如矿泉水、温泉等</w:t>
      </w:r>
      <w:r>
        <w:rPr>
          <w:spacing w:val="-14"/>
        </w:rPr>
        <w:t xml:space="preserve">） </w:t>
      </w:r>
      <w:r>
        <w:rPr>
          <w:spacing w:val="-2"/>
        </w:rPr>
        <w:t>保护区以外的分布区等其他未列入上述敏感分级的环境敏感区。距双鸭山大顺矿业有限</w:t>
      </w:r>
      <w:r>
        <w:rPr>
          <w:spacing w:val="11"/>
        </w:rPr>
        <w:t>公司项目区较近居民区为青山林场，其供水方式为分散式饮用水水源供水，根据表</w:t>
      </w:r>
      <w:r>
        <w:rPr>
          <w:rFonts w:ascii="Times New Roman" w:eastAsia="Times New Roman"/>
          <w:spacing w:val="11"/>
        </w:rPr>
        <w:t>2.4-10</w:t>
      </w:r>
      <w:r>
        <w:rPr>
          <w:spacing w:val="11"/>
        </w:rPr>
        <w:t>，确定双鸭山大顺矿业有限公司饮用水水源敏感程度为较敏感。</w:t>
      </w:r>
    </w:p>
    <w:p>
      <w:pPr>
        <w:pStyle w:val="4"/>
        <w:numPr>
          <w:ilvl w:val="3"/>
          <w:numId w:val="14"/>
        </w:numPr>
        <w:tabs>
          <w:tab w:val="left" w:pos="1499"/>
        </w:tabs>
        <w:spacing w:before="0" w:after="0" w:line="355" w:lineRule="exact"/>
        <w:ind w:left="1498" w:right="0" w:hanging="841"/>
        <w:jc w:val="left"/>
      </w:pPr>
      <w:r>
        <w:t>建设项目评价工作等级</w:t>
      </w:r>
    </w:p>
    <w:p>
      <w:pPr>
        <w:pStyle w:val="6"/>
        <w:spacing w:before="185" w:line="362" w:lineRule="auto"/>
        <w:ind w:left="658" w:right="518" w:firstLine="480"/>
      </w:pPr>
      <w:r>
        <w:t>根据《环境影响评价技术导则 地下水环境》（</w:t>
      </w:r>
      <w:r>
        <w:rPr>
          <w:rFonts w:ascii="Times New Roman" w:hAnsi="Times New Roman" w:eastAsia="Times New Roman"/>
        </w:rPr>
        <w:t>HJ610-2016</w:t>
      </w:r>
      <w:r>
        <w:t xml:space="preserve">），本项目为Ⅱ类项目， 地下水敏感程度为较敏感，地下水环境影评价等级为二级，见表 </w:t>
      </w:r>
      <w:r>
        <w:rPr>
          <w:rFonts w:ascii="Times New Roman" w:hAnsi="Times New Roman" w:eastAsia="Times New Roman"/>
        </w:rPr>
        <w:t>2.4-11</w:t>
      </w:r>
      <w:r>
        <w:t>。</w:t>
      </w:r>
    </w:p>
    <w:p>
      <w:pPr>
        <w:pStyle w:val="5"/>
        <w:tabs>
          <w:tab w:val="left" w:pos="4327"/>
        </w:tabs>
        <w:spacing w:before="5"/>
        <w:ind w:left="3180"/>
      </w:pPr>
      <w:r>
        <w:t>表</w:t>
      </w:r>
      <w:r>
        <w:rPr>
          <w:spacing w:val="-60"/>
        </w:rPr>
        <w:t xml:space="preserve"> </w:t>
      </w:r>
      <w:r>
        <w:rPr>
          <w:rFonts w:ascii="Times New Roman" w:eastAsia="Times New Roman"/>
          <w:spacing w:val="-3"/>
        </w:rPr>
        <w:t>2.4-11</w:t>
      </w:r>
      <w:r>
        <w:rPr>
          <w:rFonts w:ascii="Times New Roman" w:eastAsia="Times New Roman"/>
          <w:spacing w:val="-3"/>
        </w:rPr>
        <w:tab/>
      </w:r>
      <w:r>
        <w:t>建设项目评价工作等级分级</w:t>
      </w:r>
    </w:p>
    <w:p>
      <w:pPr>
        <w:spacing w:after="0"/>
        <w:sectPr>
          <w:pgSz w:w="11910" w:h="16840"/>
          <w:pgMar w:top="1400" w:right="720" w:bottom="1160" w:left="760" w:header="0" w:footer="895" w:gutter="0"/>
        </w:sectPr>
      </w:pPr>
    </w:p>
    <w:tbl>
      <w:tblPr>
        <w:tblStyle w:val="10"/>
        <w:tblW w:w="0" w:type="auto"/>
        <w:tblInd w:w="6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88"/>
        <w:gridCol w:w="2126"/>
        <w:gridCol w:w="2142"/>
        <w:gridCol w:w="20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4" w:hRule="atLeast"/>
        </w:trPr>
        <w:tc>
          <w:tcPr>
            <w:tcW w:w="2788" w:type="dxa"/>
          </w:tcPr>
          <w:p>
            <w:pPr>
              <w:pStyle w:val="14"/>
              <w:ind w:left="1530"/>
              <w:jc w:val="left"/>
              <w:rPr>
                <w:sz w:val="21"/>
              </w:rPr>
            </w:pPr>
            <w:r>
              <w:rPr>
                <w:sz w:val="21"/>
              </w:rPr>
              <w:t>项目类别</w:t>
            </w:r>
          </w:p>
          <w:p>
            <w:pPr>
              <w:pStyle w:val="14"/>
              <w:jc w:val="left"/>
              <w:rPr>
                <w:b/>
                <w:sz w:val="20"/>
              </w:rPr>
            </w:pPr>
          </w:p>
          <w:p>
            <w:pPr>
              <w:pStyle w:val="14"/>
              <w:spacing w:before="8"/>
              <w:jc w:val="left"/>
              <w:rPr>
                <w:b/>
                <w:sz w:val="16"/>
              </w:rPr>
            </w:pPr>
          </w:p>
          <w:p>
            <w:pPr>
              <w:pStyle w:val="14"/>
              <w:spacing w:before="1"/>
              <w:ind w:left="28"/>
              <w:jc w:val="left"/>
              <w:rPr>
                <w:sz w:val="21"/>
              </w:rPr>
            </w:pPr>
            <w:r>
              <w:rPr>
                <w:sz w:val="21"/>
              </w:rPr>
              <w:t>环境敏感程度</w:t>
            </w:r>
          </w:p>
        </w:tc>
        <w:tc>
          <w:tcPr>
            <w:tcW w:w="2126" w:type="dxa"/>
          </w:tcPr>
          <w:p>
            <w:pPr>
              <w:pStyle w:val="14"/>
              <w:jc w:val="left"/>
              <w:rPr>
                <w:b/>
                <w:sz w:val="20"/>
              </w:rPr>
            </w:pPr>
          </w:p>
          <w:p>
            <w:pPr>
              <w:pStyle w:val="14"/>
              <w:spacing w:before="175"/>
              <w:ind w:left="622" w:right="614"/>
              <w:rPr>
                <w:sz w:val="21"/>
              </w:rPr>
            </w:pPr>
            <w:r>
              <w:rPr>
                <w:sz w:val="21"/>
              </w:rPr>
              <w:t>Ⅰ类项目</w:t>
            </w:r>
          </w:p>
        </w:tc>
        <w:tc>
          <w:tcPr>
            <w:tcW w:w="2142" w:type="dxa"/>
          </w:tcPr>
          <w:p>
            <w:pPr>
              <w:pStyle w:val="14"/>
              <w:jc w:val="left"/>
              <w:rPr>
                <w:b/>
                <w:sz w:val="22"/>
              </w:rPr>
            </w:pPr>
          </w:p>
          <w:p>
            <w:pPr>
              <w:pStyle w:val="14"/>
              <w:spacing w:before="150"/>
              <w:ind w:left="360" w:right="350"/>
              <w:rPr>
                <w:b/>
                <w:sz w:val="21"/>
              </w:rPr>
            </w:pPr>
            <w:r>
              <w:rPr>
                <w:b/>
                <w:sz w:val="21"/>
              </w:rPr>
              <w:t>Ⅱ类项目（</w:t>
            </w:r>
            <w:r>
              <w:rPr>
                <w:rFonts w:ascii="Times New Roman" w:hAnsi="Times New Roman" w:eastAsia="Times New Roman"/>
                <w:b/>
                <w:sz w:val="21"/>
              </w:rPr>
              <w:t>√</w:t>
            </w:r>
            <w:r>
              <w:rPr>
                <w:b/>
                <w:sz w:val="21"/>
              </w:rPr>
              <w:t>）</w:t>
            </w:r>
          </w:p>
        </w:tc>
        <w:tc>
          <w:tcPr>
            <w:tcW w:w="2070" w:type="dxa"/>
          </w:tcPr>
          <w:p>
            <w:pPr>
              <w:pStyle w:val="14"/>
              <w:jc w:val="left"/>
              <w:rPr>
                <w:b/>
                <w:sz w:val="20"/>
              </w:rPr>
            </w:pPr>
          </w:p>
          <w:p>
            <w:pPr>
              <w:pStyle w:val="14"/>
              <w:spacing w:before="175"/>
              <w:ind w:left="593" w:right="586"/>
              <w:rPr>
                <w:sz w:val="21"/>
              </w:rPr>
            </w:pPr>
            <w:r>
              <w:rPr>
                <w:sz w:val="21"/>
              </w:rPr>
              <w:t>Ⅲ类项目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2788" w:type="dxa"/>
          </w:tcPr>
          <w:p>
            <w:pPr>
              <w:pStyle w:val="14"/>
              <w:spacing w:before="82"/>
              <w:ind w:left="1050" w:right="1046"/>
              <w:rPr>
                <w:sz w:val="21"/>
              </w:rPr>
            </w:pPr>
            <w:r>
              <w:rPr>
                <w:sz w:val="21"/>
              </w:rPr>
              <w:t>敏感</w:t>
            </w:r>
          </w:p>
        </w:tc>
        <w:tc>
          <w:tcPr>
            <w:tcW w:w="2126" w:type="dxa"/>
          </w:tcPr>
          <w:p>
            <w:pPr>
              <w:pStyle w:val="14"/>
              <w:spacing w:before="82"/>
              <w:ind w:left="8"/>
              <w:rPr>
                <w:sz w:val="21"/>
              </w:rPr>
            </w:pPr>
            <w:r>
              <w:rPr>
                <w:w w:val="99"/>
                <w:sz w:val="21"/>
              </w:rPr>
              <w:t>一</w:t>
            </w:r>
          </w:p>
        </w:tc>
        <w:tc>
          <w:tcPr>
            <w:tcW w:w="2142" w:type="dxa"/>
          </w:tcPr>
          <w:p>
            <w:pPr>
              <w:pStyle w:val="14"/>
              <w:spacing w:before="82"/>
              <w:ind w:left="7"/>
              <w:rPr>
                <w:sz w:val="21"/>
              </w:rPr>
            </w:pPr>
            <w:r>
              <w:rPr>
                <w:w w:val="99"/>
                <w:sz w:val="21"/>
              </w:rPr>
              <w:t>一</w:t>
            </w:r>
          </w:p>
        </w:tc>
        <w:tc>
          <w:tcPr>
            <w:tcW w:w="2070" w:type="dxa"/>
          </w:tcPr>
          <w:p>
            <w:pPr>
              <w:pStyle w:val="14"/>
              <w:spacing w:before="82"/>
              <w:ind w:left="10"/>
              <w:rPr>
                <w:sz w:val="21"/>
              </w:rPr>
            </w:pPr>
            <w:r>
              <w:rPr>
                <w:w w:val="99"/>
                <w:sz w:val="21"/>
              </w:rPr>
              <w:t>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2788" w:type="dxa"/>
          </w:tcPr>
          <w:p>
            <w:pPr>
              <w:pStyle w:val="14"/>
              <w:spacing w:before="65"/>
              <w:ind w:left="1058" w:right="1046"/>
              <w:rPr>
                <w:b/>
                <w:sz w:val="21"/>
              </w:rPr>
            </w:pPr>
            <w:r>
              <w:rPr>
                <w:b/>
                <w:sz w:val="21"/>
              </w:rPr>
              <w:t>较敏感</w:t>
            </w:r>
          </w:p>
        </w:tc>
        <w:tc>
          <w:tcPr>
            <w:tcW w:w="2126" w:type="dxa"/>
          </w:tcPr>
          <w:p>
            <w:pPr>
              <w:pStyle w:val="14"/>
              <w:spacing w:before="65"/>
              <w:ind w:left="8"/>
              <w:rPr>
                <w:sz w:val="21"/>
              </w:rPr>
            </w:pPr>
            <w:r>
              <w:rPr>
                <w:w w:val="99"/>
                <w:sz w:val="21"/>
              </w:rPr>
              <w:t>一</w:t>
            </w:r>
          </w:p>
        </w:tc>
        <w:tc>
          <w:tcPr>
            <w:tcW w:w="2142" w:type="dxa"/>
          </w:tcPr>
          <w:p>
            <w:pPr>
              <w:pStyle w:val="14"/>
              <w:spacing w:before="65"/>
              <w:ind w:left="357" w:right="350"/>
              <w:rPr>
                <w:b/>
                <w:sz w:val="21"/>
              </w:rPr>
            </w:pPr>
            <w:r>
              <w:rPr>
                <w:b/>
                <w:sz w:val="21"/>
              </w:rPr>
              <w:t>二（</w:t>
            </w:r>
            <w:r>
              <w:rPr>
                <w:rFonts w:ascii="Times New Roman" w:hAnsi="Times New Roman" w:eastAsia="Times New Roman"/>
                <w:b/>
                <w:sz w:val="21"/>
              </w:rPr>
              <w:t>√</w:t>
            </w:r>
            <w:r>
              <w:rPr>
                <w:b/>
                <w:sz w:val="21"/>
              </w:rPr>
              <w:t>）</w:t>
            </w:r>
          </w:p>
        </w:tc>
        <w:tc>
          <w:tcPr>
            <w:tcW w:w="2070" w:type="dxa"/>
          </w:tcPr>
          <w:p>
            <w:pPr>
              <w:pStyle w:val="14"/>
              <w:spacing w:before="65"/>
              <w:ind w:left="10"/>
              <w:rPr>
                <w:sz w:val="21"/>
              </w:rPr>
            </w:pPr>
            <w:r>
              <w:rPr>
                <w:w w:val="99"/>
                <w:sz w:val="21"/>
              </w:rPr>
              <w:t>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2788" w:type="dxa"/>
          </w:tcPr>
          <w:p>
            <w:pPr>
              <w:pStyle w:val="14"/>
              <w:spacing w:before="116"/>
              <w:ind w:left="1055" w:right="1046"/>
              <w:rPr>
                <w:sz w:val="21"/>
              </w:rPr>
            </w:pPr>
            <w:r>
              <w:rPr>
                <w:sz w:val="21"/>
              </w:rPr>
              <w:t>不敏感</w:t>
            </w:r>
          </w:p>
        </w:tc>
        <w:tc>
          <w:tcPr>
            <w:tcW w:w="2126" w:type="dxa"/>
          </w:tcPr>
          <w:p>
            <w:pPr>
              <w:pStyle w:val="14"/>
              <w:spacing w:before="116"/>
              <w:ind w:left="8"/>
              <w:rPr>
                <w:sz w:val="21"/>
              </w:rPr>
            </w:pPr>
            <w:r>
              <w:rPr>
                <w:w w:val="99"/>
                <w:sz w:val="21"/>
              </w:rPr>
              <w:t>二</w:t>
            </w:r>
          </w:p>
        </w:tc>
        <w:tc>
          <w:tcPr>
            <w:tcW w:w="2142" w:type="dxa"/>
          </w:tcPr>
          <w:p>
            <w:pPr>
              <w:pStyle w:val="14"/>
              <w:spacing w:before="116"/>
              <w:ind w:left="7"/>
              <w:rPr>
                <w:sz w:val="21"/>
              </w:rPr>
            </w:pPr>
            <w:r>
              <w:rPr>
                <w:w w:val="99"/>
                <w:sz w:val="21"/>
              </w:rPr>
              <w:t>三</w:t>
            </w:r>
          </w:p>
        </w:tc>
        <w:tc>
          <w:tcPr>
            <w:tcW w:w="2070" w:type="dxa"/>
          </w:tcPr>
          <w:p>
            <w:pPr>
              <w:pStyle w:val="14"/>
              <w:spacing w:before="116"/>
              <w:ind w:left="10"/>
              <w:rPr>
                <w:sz w:val="21"/>
              </w:rPr>
            </w:pPr>
            <w:r>
              <w:rPr>
                <w:w w:val="99"/>
                <w:sz w:val="21"/>
              </w:rPr>
              <w:t>三</w:t>
            </w:r>
          </w:p>
        </w:tc>
      </w:tr>
    </w:tbl>
    <w:p>
      <w:pPr>
        <w:pStyle w:val="13"/>
        <w:numPr>
          <w:ilvl w:val="2"/>
          <w:numId w:val="7"/>
        </w:numPr>
        <w:tabs>
          <w:tab w:val="left" w:pos="1288"/>
        </w:tabs>
        <w:spacing w:before="4" w:after="0" w:line="240" w:lineRule="auto"/>
        <w:ind w:left="1287" w:right="0" w:hanging="630"/>
        <w:jc w:val="left"/>
        <w:rPr>
          <w:b/>
          <w:sz w:val="28"/>
        </w:rPr>
      </w:pPr>
      <w:r>
        <mc:AlternateContent>
          <mc:Choice Requires="wps">
            <w:drawing>
              <wp:anchor distT="0" distB="0" distL="114300" distR="114300" simplePos="0" relativeHeight="214100992" behindDoc="1" locked="0" layoutInCell="1" allowOverlap="1">
                <wp:simplePos x="0" y="0"/>
                <wp:positionH relativeFrom="page">
                  <wp:posOffset>885825</wp:posOffset>
                </wp:positionH>
                <wp:positionV relativeFrom="paragraph">
                  <wp:posOffset>-1595120</wp:posOffset>
                </wp:positionV>
                <wp:extent cx="1764030" cy="720090"/>
                <wp:effectExtent l="1905" t="4445" r="5715" b="18415"/>
                <wp:wrapNone/>
                <wp:docPr id="4" name="直线 4"/>
                <wp:cNvGraphicFramePr/>
                <a:graphic xmlns:a="http://schemas.openxmlformats.org/drawingml/2006/main">
                  <a:graphicData uri="http://schemas.microsoft.com/office/word/2010/wordprocessingShape">
                    <wps:wsp>
                      <wps:cNvSpPr/>
                      <wps:spPr>
                        <a:xfrm>
                          <a:off x="0" y="0"/>
                          <a:ext cx="1764030" cy="72009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4" o:spid="_x0000_s1026" o:spt="20" style="position:absolute;left:0pt;margin-left:69.75pt;margin-top:-125.6pt;height:56.7pt;width:138.9pt;mso-position-horizontal-relative:page;z-index:-289215488;mso-width-relative:page;mso-height-relative:page;" filled="f" stroked="t" coordsize="21600,21600" o:gfxdata="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8TBX22QAAAA0BAAAPAAAAAAAAAAEAIAAA&#10;ACIAAABkcnMvZG93bnJldi54bWxQSwECFAAUAAAACACHTuJA3EnpGNIBAACSAwAADgAAAAAAAAAB&#10;ACAAAAAoAQAAZHJzL2Uyb0RvYy54bWxQSwUGAAAAAAYABgBZAQAAbAUAAAAA&#10;">
                <v:fill on="f" focussize="0,0"/>
                <v:stroke weight="0.5pt" color="#000000" joinstyle="round"/>
                <v:imagedata o:title=""/>
                <o:lock v:ext="edit" aspectratio="f"/>
              </v:line>
            </w:pict>
          </mc:Fallback>
        </mc:AlternateContent>
      </w:r>
      <w:bookmarkStart w:id="49" w:name="2.4.6土壤环境"/>
      <w:bookmarkEnd w:id="49"/>
      <w:bookmarkStart w:id="50" w:name="2.4.6土壤环境"/>
      <w:bookmarkEnd w:id="50"/>
      <w:r>
        <w:rPr>
          <w:b/>
          <w:sz w:val="28"/>
        </w:rPr>
        <w:t>土壤环境</w:t>
      </w:r>
    </w:p>
    <w:p>
      <w:pPr>
        <w:pStyle w:val="6"/>
        <w:spacing w:before="183" w:line="364" w:lineRule="auto"/>
        <w:ind w:left="658" w:right="693" w:firstLine="480"/>
        <w:jc w:val="both"/>
      </w:pPr>
      <w:r>
        <w:t>根据《环境影响评价技术导则 土壤环境（试行）》（</w:t>
      </w:r>
      <w:r>
        <w:rPr>
          <w:rFonts w:ascii="Times New Roman" w:hAnsi="Times New Roman" w:eastAsia="Times New Roman"/>
        </w:rPr>
        <w:t>HJ964-2018</w:t>
      </w:r>
      <w:r>
        <w:t xml:space="preserve">）附录 </w:t>
      </w:r>
      <w:r>
        <w:rPr>
          <w:rFonts w:ascii="Times New Roman" w:hAnsi="Times New Roman" w:eastAsia="Times New Roman"/>
        </w:rPr>
        <w:t>A</w:t>
      </w:r>
      <w:r>
        <w:t xml:space="preserve">，本项目为煤矿采选项目，属Ⅱ类建设项目，详见表 </w:t>
      </w:r>
      <w:r>
        <w:rPr>
          <w:rFonts w:ascii="Times New Roman" w:hAnsi="Times New Roman" w:eastAsia="Times New Roman"/>
        </w:rPr>
        <w:t>2.4-12</w:t>
      </w:r>
      <w:r>
        <w:t>。</w:t>
      </w:r>
    </w:p>
    <w:p>
      <w:pPr>
        <w:pStyle w:val="6"/>
        <w:spacing w:line="364" w:lineRule="auto"/>
        <w:ind w:left="658" w:right="693" w:firstLine="480"/>
        <w:jc w:val="both"/>
      </w:pPr>
      <w:r>
        <w:rPr>
          <w:spacing w:val="-5"/>
        </w:rPr>
        <w:t>井田开采区属于生态影响型，工业场地属于污染影响型。按照导则要求，分别判定</w:t>
      </w:r>
      <w:r>
        <w:rPr>
          <w:spacing w:val="-9"/>
        </w:rPr>
        <w:t xml:space="preserve">评价工作等级。井田开采区为Ⅱ类项目，土壤 </w:t>
      </w:r>
      <w:r>
        <w:rPr>
          <w:rFonts w:ascii="Times New Roman" w:hAnsi="Times New Roman" w:eastAsia="Times New Roman"/>
          <w:spacing w:val="-3"/>
        </w:rPr>
        <w:t>5.5</w:t>
      </w:r>
      <w:r>
        <w:rPr>
          <w:spacing w:val="-3"/>
        </w:rPr>
        <w:t>＜</w:t>
      </w:r>
      <w:r>
        <w:rPr>
          <w:rFonts w:ascii="Times New Roman" w:hAnsi="Times New Roman" w:eastAsia="Times New Roman"/>
          <w:spacing w:val="-3"/>
        </w:rPr>
        <w:t>pH</w:t>
      </w:r>
      <w:r>
        <w:rPr>
          <w:spacing w:val="-3"/>
        </w:rPr>
        <w:t>＜</w:t>
      </w:r>
      <w:r>
        <w:rPr>
          <w:rFonts w:ascii="Times New Roman" w:hAnsi="Times New Roman" w:eastAsia="Times New Roman"/>
          <w:spacing w:val="-3"/>
        </w:rPr>
        <w:t>8.5</w:t>
      </w:r>
      <w:r>
        <w:rPr>
          <w:spacing w:val="-3"/>
        </w:rPr>
        <w:t>，含盐量＜</w:t>
      </w:r>
      <w:r>
        <w:rPr>
          <w:rFonts w:ascii="Times New Roman" w:hAnsi="Times New Roman" w:eastAsia="Times New Roman"/>
          <w:spacing w:val="-5"/>
        </w:rPr>
        <w:t>2g/kg</w:t>
      </w:r>
      <w:r>
        <w:rPr>
          <w:spacing w:val="-4"/>
        </w:rPr>
        <w:t>，属于不敏</w:t>
      </w:r>
      <w:r>
        <w:rPr>
          <w:spacing w:val="-5"/>
        </w:rPr>
        <w:t xml:space="preserve">感区，评价等级为三级。见表 </w:t>
      </w:r>
      <w:r>
        <w:rPr>
          <w:rFonts w:ascii="Times New Roman" w:hAnsi="Times New Roman" w:eastAsia="Times New Roman"/>
        </w:rPr>
        <w:t>2.4-13</w:t>
      </w:r>
      <w:r>
        <w:t>。</w:t>
      </w:r>
    </w:p>
    <w:p>
      <w:pPr>
        <w:pStyle w:val="5"/>
        <w:spacing w:line="307" w:lineRule="exact"/>
        <w:ind w:left="3233"/>
        <w:jc w:val="both"/>
      </w:pPr>
      <w:r>
        <w:t xml:space="preserve">表 </w:t>
      </w:r>
      <w:r>
        <w:rPr>
          <w:rFonts w:ascii="Times New Roman" w:eastAsia="Times New Roman"/>
        </w:rPr>
        <w:t xml:space="preserve">2.4-12  </w:t>
      </w:r>
      <w:r>
        <w:t>土壤环境影响评价项目类别</w:t>
      </w:r>
    </w:p>
    <w:tbl>
      <w:tblPr>
        <w:tblStyle w:val="10"/>
        <w:tblW w:w="0" w:type="auto"/>
        <w:tblInd w:w="5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3"/>
        <w:gridCol w:w="1667"/>
        <w:gridCol w:w="3973"/>
        <w:gridCol w:w="1520"/>
        <w:gridCol w:w="8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233" w:type="dxa"/>
            <w:vMerge w:val="restart"/>
          </w:tcPr>
          <w:p>
            <w:pPr>
              <w:pStyle w:val="14"/>
              <w:spacing w:before="20"/>
              <w:ind w:left="194"/>
              <w:jc w:val="left"/>
              <w:rPr>
                <w:b/>
                <w:sz w:val="21"/>
              </w:rPr>
            </w:pPr>
            <w:r>
              <w:rPr>
                <w:b/>
                <w:sz w:val="21"/>
              </w:rPr>
              <w:t>行业类别</w:t>
            </w:r>
          </w:p>
        </w:tc>
        <w:tc>
          <w:tcPr>
            <w:tcW w:w="8053" w:type="dxa"/>
            <w:gridSpan w:val="4"/>
          </w:tcPr>
          <w:p>
            <w:pPr>
              <w:pStyle w:val="14"/>
              <w:spacing w:before="1" w:line="252" w:lineRule="exact"/>
              <w:ind w:left="3584" w:right="3574"/>
              <w:rPr>
                <w:b/>
                <w:sz w:val="21"/>
              </w:rPr>
            </w:pPr>
            <w:r>
              <w:rPr>
                <w:b/>
                <w:sz w:val="21"/>
              </w:rPr>
              <w:t>项目类别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233" w:type="dxa"/>
            <w:vMerge w:val="continue"/>
            <w:tcBorders>
              <w:top w:val="nil"/>
            </w:tcBorders>
          </w:tcPr>
          <w:p>
            <w:pPr>
              <w:rPr>
                <w:sz w:val="2"/>
                <w:szCs w:val="2"/>
              </w:rPr>
            </w:pPr>
          </w:p>
        </w:tc>
        <w:tc>
          <w:tcPr>
            <w:tcW w:w="1667" w:type="dxa"/>
          </w:tcPr>
          <w:p>
            <w:pPr>
              <w:pStyle w:val="14"/>
              <w:spacing w:line="252" w:lineRule="exact"/>
              <w:ind w:left="7"/>
              <w:rPr>
                <w:b/>
                <w:sz w:val="21"/>
              </w:rPr>
            </w:pPr>
            <w:r>
              <w:rPr>
                <w:b/>
                <w:w w:val="99"/>
                <w:sz w:val="21"/>
              </w:rPr>
              <w:t>Ⅰ</w:t>
            </w:r>
          </w:p>
        </w:tc>
        <w:tc>
          <w:tcPr>
            <w:tcW w:w="3973" w:type="dxa"/>
          </w:tcPr>
          <w:p>
            <w:pPr>
              <w:pStyle w:val="14"/>
              <w:spacing w:line="252" w:lineRule="exact"/>
              <w:ind w:left="7"/>
              <w:rPr>
                <w:b/>
                <w:sz w:val="21"/>
              </w:rPr>
            </w:pPr>
            <w:r>
              <w:rPr>
                <w:b/>
                <w:w w:val="99"/>
                <w:sz w:val="21"/>
              </w:rPr>
              <w:t>Ⅱ</w:t>
            </w:r>
          </w:p>
        </w:tc>
        <w:tc>
          <w:tcPr>
            <w:tcW w:w="1520" w:type="dxa"/>
          </w:tcPr>
          <w:p>
            <w:pPr>
              <w:pStyle w:val="14"/>
              <w:spacing w:line="252" w:lineRule="exact"/>
              <w:ind w:left="6"/>
              <w:rPr>
                <w:b/>
                <w:sz w:val="21"/>
              </w:rPr>
            </w:pPr>
            <w:r>
              <w:rPr>
                <w:b/>
                <w:w w:val="99"/>
                <w:sz w:val="21"/>
              </w:rPr>
              <w:t>Ⅲ</w:t>
            </w:r>
          </w:p>
        </w:tc>
        <w:tc>
          <w:tcPr>
            <w:tcW w:w="893" w:type="dxa"/>
          </w:tcPr>
          <w:p>
            <w:pPr>
              <w:pStyle w:val="14"/>
              <w:spacing w:line="252" w:lineRule="exact"/>
              <w:ind w:left="7"/>
              <w:rPr>
                <w:b/>
                <w:sz w:val="21"/>
              </w:rPr>
            </w:pPr>
            <w:r>
              <w:rPr>
                <w:b/>
                <w:w w:val="99"/>
                <w:sz w:val="21"/>
              </w:rPr>
              <w:t>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 w:hRule="atLeast"/>
        </w:trPr>
        <w:tc>
          <w:tcPr>
            <w:tcW w:w="1233" w:type="dxa"/>
          </w:tcPr>
          <w:p>
            <w:pPr>
              <w:pStyle w:val="14"/>
              <w:spacing w:before="4"/>
              <w:jc w:val="left"/>
              <w:rPr>
                <w:b/>
                <w:sz w:val="21"/>
              </w:rPr>
            </w:pPr>
          </w:p>
          <w:p>
            <w:pPr>
              <w:pStyle w:val="14"/>
              <w:spacing w:before="1"/>
              <w:ind w:left="300"/>
              <w:jc w:val="left"/>
              <w:rPr>
                <w:sz w:val="21"/>
              </w:rPr>
            </w:pPr>
            <w:r>
              <w:rPr>
                <w:sz w:val="21"/>
              </w:rPr>
              <w:t>采矿业</w:t>
            </w:r>
          </w:p>
        </w:tc>
        <w:tc>
          <w:tcPr>
            <w:tcW w:w="1667" w:type="dxa"/>
          </w:tcPr>
          <w:p>
            <w:pPr>
              <w:pStyle w:val="14"/>
              <w:spacing w:before="137" w:line="242" w:lineRule="auto"/>
              <w:ind w:left="307" w:right="77" w:hanging="200"/>
              <w:jc w:val="left"/>
              <w:rPr>
                <w:sz w:val="21"/>
              </w:rPr>
            </w:pPr>
            <w:r>
              <w:rPr>
                <w:sz w:val="21"/>
              </w:rPr>
              <w:t>金属矿、石油、页岩油开采</w:t>
            </w:r>
          </w:p>
        </w:tc>
        <w:tc>
          <w:tcPr>
            <w:tcW w:w="3973" w:type="dxa"/>
          </w:tcPr>
          <w:p>
            <w:pPr>
              <w:pStyle w:val="14"/>
              <w:ind w:left="107"/>
              <w:jc w:val="left"/>
              <w:rPr>
                <w:sz w:val="21"/>
              </w:rPr>
            </w:pPr>
            <w:r>
              <w:rPr>
                <w:sz w:val="21"/>
              </w:rPr>
              <w:t>化学矿采选；石棉矿采选；煤矿采选、天</w:t>
            </w:r>
          </w:p>
          <w:p>
            <w:pPr>
              <w:pStyle w:val="14"/>
              <w:spacing w:before="4" w:line="270" w:lineRule="atLeast"/>
              <w:ind w:left="726" w:right="36" w:hanging="620"/>
              <w:jc w:val="left"/>
              <w:rPr>
                <w:sz w:val="21"/>
              </w:rPr>
            </w:pPr>
            <w:r>
              <w:rPr>
                <w:w w:val="95"/>
                <w:sz w:val="21"/>
              </w:rPr>
              <w:t>然气开采、页岩气开采、砂岩气开采、煤</w:t>
            </w:r>
            <w:r>
              <w:rPr>
                <w:sz w:val="21"/>
              </w:rPr>
              <w:t>层气开采（含净化、液化）</w:t>
            </w:r>
          </w:p>
        </w:tc>
        <w:tc>
          <w:tcPr>
            <w:tcW w:w="1520" w:type="dxa"/>
          </w:tcPr>
          <w:p>
            <w:pPr>
              <w:pStyle w:val="14"/>
              <w:spacing w:before="4"/>
              <w:jc w:val="left"/>
              <w:rPr>
                <w:b/>
                <w:sz w:val="21"/>
              </w:rPr>
            </w:pPr>
          </w:p>
          <w:p>
            <w:pPr>
              <w:pStyle w:val="14"/>
              <w:spacing w:before="1"/>
              <w:ind w:left="529" w:right="521"/>
              <w:rPr>
                <w:sz w:val="21"/>
              </w:rPr>
            </w:pPr>
            <w:r>
              <w:rPr>
                <w:sz w:val="21"/>
              </w:rPr>
              <w:t>其他</w:t>
            </w:r>
          </w:p>
        </w:tc>
        <w:tc>
          <w:tcPr>
            <w:tcW w:w="893" w:type="dxa"/>
          </w:tcPr>
          <w:p>
            <w:pPr>
              <w:pStyle w:val="14"/>
              <w:jc w:val="left"/>
              <w:rPr>
                <w:rFonts w:ascii="Times New Roman"/>
                <w:sz w:val="22"/>
              </w:rPr>
            </w:pPr>
          </w:p>
        </w:tc>
      </w:tr>
    </w:tbl>
    <w:p>
      <w:pPr>
        <w:tabs>
          <w:tab w:val="left" w:pos="1159"/>
        </w:tabs>
        <w:spacing w:before="2"/>
        <w:ind w:left="0" w:right="25" w:firstLine="0"/>
        <w:jc w:val="center"/>
        <w:rPr>
          <w:b/>
          <w:sz w:val="24"/>
        </w:rPr>
      </w:pPr>
      <w:r>
        <mc:AlternateContent>
          <mc:Choice Requires="wps">
            <w:drawing>
              <wp:anchor distT="0" distB="0" distL="114300" distR="114300" simplePos="0" relativeHeight="214103040" behindDoc="1" locked="0" layoutInCell="1" allowOverlap="1">
                <wp:simplePos x="0" y="0"/>
                <wp:positionH relativeFrom="page">
                  <wp:posOffset>850900</wp:posOffset>
                </wp:positionH>
                <wp:positionV relativeFrom="paragraph">
                  <wp:posOffset>293370</wp:posOffset>
                </wp:positionV>
                <wp:extent cx="1451610" cy="718185"/>
                <wp:effectExtent l="0" t="0" r="15240" b="5715"/>
                <wp:wrapNone/>
                <wp:docPr id="8" name="任意多边形 5"/>
                <wp:cNvGraphicFramePr/>
                <a:graphic xmlns:a="http://schemas.openxmlformats.org/drawingml/2006/main">
                  <a:graphicData uri="http://schemas.microsoft.com/office/word/2010/wordprocessingShape">
                    <wps:wsp>
                      <wps:cNvSpPr/>
                      <wps:spPr>
                        <a:xfrm>
                          <a:off x="0" y="0"/>
                          <a:ext cx="1451610" cy="718185"/>
                        </a:xfrm>
                        <a:custGeom>
                          <a:avLst/>
                          <a:gdLst/>
                          <a:ahLst/>
                          <a:cxnLst/>
                          <a:pathLst>
                            <a:path w="2286" h="1131">
                              <a:moveTo>
                                <a:pt x="2280" y="1131"/>
                              </a:moveTo>
                              <a:lnTo>
                                <a:pt x="0" y="11"/>
                              </a:lnTo>
                              <a:lnTo>
                                <a:pt x="6" y="0"/>
                              </a:lnTo>
                              <a:lnTo>
                                <a:pt x="2286" y="1120"/>
                              </a:lnTo>
                              <a:lnTo>
                                <a:pt x="2280" y="1131"/>
                              </a:lnTo>
                              <a:close/>
                            </a:path>
                          </a:pathLst>
                        </a:custGeom>
                        <a:solidFill>
                          <a:srgbClr val="000000"/>
                        </a:solidFill>
                        <a:ln>
                          <a:noFill/>
                        </a:ln>
                      </wps:spPr>
                      <wps:bodyPr upright="1"/>
                    </wps:wsp>
                  </a:graphicData>
                </a:graphic>
              </wp:anchor>
            </w:drawing>
          </mc:Choice>
          <mc:Fallback>
            <w:pict>
              <v:shape id="任意多边形 5" o:spid="_x0000_s1026" o:spt="100" style="position:absolute;left:0pt;margin-left:67pt;margin-top:23.1pt;height:56.55pt;width:114.3pt;mso-position-horizontal-relative:page;z-index:-289213440;mso-width-relative:page;mso-height-relative:page;" fillcolor="#000000" filled="t" stroked="f" coordsize="2286,1131" o:gfxdata="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IO5EXXAAAACgEAAA8AAAAAAAAAAQAgAAAAIgAAAGRycy9kb3du&#10;cmV2LnhtbFBLAQIUABQAAAAIAIdO4kD2ATyoAAIAADwEAAAOAAAAAAAAAAEAIAAAACYBAABkcnMv&#10;ZTJvRG9jLnhtbFBLBQYAAAAABgAGAFkBAACYBQAAAAA=&#10;" path="m2280,1131l0,11,6,0,2286,1120,2280,1131xe">
                <v:fill on="t" focussize="0,0"/>
                <v:stroke on="f"/>
                <v:imagedata o:title=""/>
                <o:lock v:ext="edit" aspectratio="f"/>
              </v:shape>
            </w:pict>
          </mc:Fallback>
        </mc:AlternateContent>
      </w:r>
      <w:r>
        <w:rPr>
          <w:b/>
          <w:sz w:val="24"/>
        </w:rPr>
        <w:t>表</w:t>
      </w:r>
      <w:r>
        <w:rPr>
          <w:b/>
          <w:spacing w:val="-62"/>
          <w:sz w:val="24"/>
        </w:rPr>
        <w:t xml:space="preserve"> </w:t>
      </w:r>
      <w:r>
        <w:rPr>
          <w:rFonts w:ascii="Times New Roman" w:eastAsia="Times New Roman"/>
          <w:b/>
          <w:sz w:val="24"/>
        </w:rPr>
        <w:t>2.4-13</w:t>
      </w:r>
      <w:r>
        <w:rPr>
          <w:rFonts w:ascii="Times New Roman" w:eastAsia="Times New Roman"/>
          <w:b/>
          <w:sz w:val="24"/>
        </w:rPr>
        <w:tab/>
      </w:r>
      <w:r>
        <w:rPr>
          <w:b/>
          <w:sz w:val="24"/>
        </w:rPr>
        <w:t>井田开采区评价工作等级分级表</w:t>
      </w:r>
    </w:p>
    <w:p>
      <w:pPr>
        <w:pStyle w:val="6"/>
        <w:spacing w:before="4"/>
        <w:rPr>
          <w:b/>
          <w:sz w:val="12"/>
        </w:rPr>
      </w:pPr>
    </w:p>
    <w:tbl>
      <w:tblPr>
        <w:tblStyle w:val="10"/>
        <w:tblW w:w="0" w:type="auto"/>
        <w:tblInd w:w="5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21"/>
        <w:gridCol w:w="1691"/>
        <w:gridCol w:w="1825"/>
        <w:gridCol w:w="1780"/>
        <w:gridCol w:w="16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8" w:hRule="atLeast"/>
        </w:trPr>
        <w:tc>
          <w:tcPr>
            <w:tcW w:w="2321" w:type="dxa"/>
          </w:tcPr>
          <w:p>
            <w:pPr>
              <w:pStyle w:val="14"/>
              <w:spacing w:line="269" w:lineRule="exact"/>
              <w:ind w:left="1053"/>
              <w:jc w:val="left"/>
              <w:rPr>
                <w:sz w:val="21"/>
              </w:rPr>
            </w:pPr>
            <w:r>
              <w:rPr>
                <w:sz w:val="21"/>
              </w:rPr>
              <w:t>项目类别</w:t>
            </w:r>
          </w:p>
          <w:p>
            <w:pPr>
              <w:pStyle w:val="14"/>
              <w:jc w:val="left"/>
              <w:rPr>
                <w:b/>
                <w:sz w:val="20"/>
              </w:rPr>
            </w:pPr>
          </w:p>
          <w:p>
            <w:pPr>
              <w:pStyle w:val="14"/>
              <w:spacing w:before="1"/>
              <w:jc w:val="left"/>
              <w:rPr>
                <w:b/>
                <w:sz w:val="19"/>
              </w:rPr>
            </w:pPr>
          </w:p>
          <w:p>
            <w:pPr>
              <w:pStyle w:val="14"/>
              <w:ind w:left="108"/>
              <w:jc w:val="left"/>
              <w:rPr>
                <w:sz w:val="21"/>
              </w:rPr>
            </w:pPr>
            <w:r>
              <w:rPr>
                <w:sz w:val="21"/>
              </w:rPr>
              <w:t>环境敏感程度</w:t>
            </w:r>
          </w:p>
        </w:tc>
        <w:tc>
          <w:tcPr>
            <w:tcW w:w="1691" w:type="dxa"/>
          </w:tcPr>
          <w:p>
            <w:pPr>
              <w:pStyle w:val="14"/>
              <w:jc w:val="left"/>
              <w:rPr>
                <w:b/>
                <w:sz w:val="20"/>
              </w:rPr>
            </w:pPr>
          </w:p>
          <w:p>
            <w:pPr>
              <w:pStyle w:val="14"/>
              <w:spacing w:before="4"/>
              <w:jc w:val="left"/>
              <w:rPr>
                <w:b/>
                <w:sz w:val="15"/>
              </w:rPr>
            </w:pPr>
          </w:p>
          <w:p>
            <w:pPr>
              <w:pStyle w:val="14"/>
              <w:ind w:left="403" w:right="397"/>
              <w:rPr>
                <w:sz w:val="21"/>
              </w:rPr>
            </w:pPr>
            <w:r>
              <w:rPr>
                <w:sz w:val="21"/>
              </w:rPr>
              <w:t>Ⅰ类项目</w:t>
            </w:r>
          </w:p>
        </w:tc>
        <w:tc>
          <w:tcPr>
            <w:tcW w:w="1825" w:type="dxa"/>
          </w:tcPr>
          <w:p>
            <w:pPr>
              <w:pStyle w:val="14"/>
              <w:jc w:val="left"/>
              <w:rPr>
                <w:b/>
                <w:sz w:val="20"/>
              </w:rPr>
            </w:pPr>
          </w:p>
          <w:p>
            <w:pPr>
              <w:pStyle w:val="14"/>
              <w:spacing w:before="4"/>
              <w:jc w:val="left"/>
              <w:rPr>
                <w:b/>
                <w:sz w:val="15"/>
              </w:rPr>
            </w:pPr>
          </w:p>
          <w:p>
            <w:pPr>
              <w:pStyle w:val="14"/>
              <w:ind w:left="470" w:right="464"/>
              <w:rPr>
                <w:sz w:val="21"/>
              </w:rPr>
            </w:pPr>
            <w:r>
              <w:rPr>
                <w:sz w:val="21"/>
              </w:rPr>
              <w:t>Ⅱ类项目</w:t>
            </w:r>
          </w:p>
        </w:tc>
        <w:tc>
          <w:tcPr>
            <w:tcW w:w="1780" w:type="dxa"/>
          </w:tcPr>
          <w:p>
            <w:pPr>
              <w:pStyle w:val="14"/>
              <w:jc w:val="left"/>
              <w:rPr>
                <w:b/>
                <w:sz w:val="20"/>
              </w:rPr>
            </w:pPr>
          </w:p>
          <w:p>
            <w:pPr>
              <w:pStyle w:val="14"/>
              <w:spacing w:before="4"/>
              <w:jc w:val="left"/>
              <w:rPr>
                <w:b/>
                <w:sz w:val="15"/>
              </w:rPr>
            </w:pPr>
          </w:p>
          <w:p>
            <w:pPr>
              <w:pStyle w:val="14"/>
              <w:ind w:left="449" w:right="441"/>
              <w:rPr>
                <w:sz w:val="21"/>
              </w:rPr>
            </w:pPr>
            <w:r>
              <w:rPr>
                <w:sz w:val="21"/>
              </w:rPr>
              <w:t>Ⅲ类项目</w:t>
            </w:r>
          </w:p>
        </w:tc>
        <w:tc>
          <w:tcPr>
            <w:tcW w:w="1669" w:type="dxa"/>
          </w:tcPr>
          <w:p>
            <w:pPr>
              <w:pStyle w:val="14"/>
              <w:jc w:val="left"/>
              <w:rPr>
                <w:b/>
                <w:sz w:val="20"/>
              </w:rPr>
            </w:pPr>
          </w:p>
          <w:p>
            <w:pPr>
              <w:pStyle w:val="14"/>
              <w:spacing w:before="4"/>
              <w:jc w:val="left"/>
              <w:rPr>
                <w:b/>
                <w:sz w:val="15"/>
              </w:rPr>
            </w:pPr>
          </w:p>
          <w:p>
            <w:pPr>
              <w:pStyle w:val="14"/>
              <w:ind w:left="204"/>
              <w:jc w:val="left"/>
              <w:rPr>
                <w:sz w:val="21"/>
              </w:rPr>
            </w:pPr>
            <w:r>
              <w:rPr>
                <w:sz w:val="21"/>
              </w:rPr>
              <w:t>评价工作等级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2321" w:type="dxa"/>
          </w:tcPr>
          <w:p>
            <w:pPr>
              <w:pStyle w:val="14"/>
              <w:spacing w:before="87"/>
              <w:ind w:left="807" w:right="800"/>
              <w:rPr>
                <w:sz w:val="21"/>
              </w:rPr>
            </w:pPr>
            <w:r>
              <w:rPr>
                <w:sz w:val="21"/>
              </w:rPr>
              <w:t>敏感</w:t>
            </w:r>
          </w:p>
        </w:tc>
        <w:tc>
          <w:tcPr>
            <w:tcW w:w="1691" w:type="dxa"/>
          </w:tcPr>
          <w:p>
            <w:pPr>
              <w:pStyle w:val="14"/>
              <w:spacing w:before="87"/>
              <w:ind w:left="400" w:right="397"/>
              <w:rPr>
                <w:sz w:val="21"/>
              </w:rPr>
            </w:pPr>
            <w:r>
              <w:rPr>
                <w:sz w:val="21"/>
              </w:rPr>
              <w:t>一级</w:t>
            </w:r>
          </w:p>
        </w:tc>
        <w:tc>
          <w:tcPr>
            <w:tcW w:w="1825" w:type="dxa"/>
          </w:tcPr>
          <w:p>
            <w:pPr>
              <w:pStyle w:val="14"/>
              <w:spacing w:before="87"/>
              <w:ind w:left="470" w:right="464"/>
              <w:rPr>
                <w:sz w:val="21"/>
              </w:rPr>
            </w:pPr>
            <w:r>
              <w:rPr>
                <w:sz w:val="21"/>
              </w:rPr>
              <w:t>二级</w:t>
            </w:r>
          </w:p>
        </w:tc>
        <w:tc>
          <w:tcPr>
            <w:tcW w:w="1780" w:type="dxa"/>
          </w:tcPr>
          <w:p>
            <w:pPr>
              <w:pStyle w:val="14"/>
              <w:spacing w:before="87"/>
              <w:ind w:left="447" w:right="441"/>
              <w:rPr>
                <w:sz w:val="21"/>
              </w:rPr>
            </w:pPr>
            <w:r>
              <w:rPr>
                <w:sz w:val="21"/>
              </w:rPr>
              <w:t>三级</w:t>
            </w:r>
          </w:p>
        </w:tc>
        <w:tc>
          <w:tcPr>
            <w:tcW w:w="1669" w:type="dxa"/>
            <w:vMerge w:val="restart"/>
          </w:tcPr>
          <w:p>
            <w:pPr>
              <w:pStyle w:val="14"/>
              <w:jc w:val="left"/>
              <w:rPr>
                <w:b/>
                <w:sz w:val="20"/>
              </w:rPr>
            </w:pPr>
          </w:p>
          <w:p>
            <w:pPr>
              <w:pStyle w:val="14"/>
              <w:spacing w:before="5"/>
              <w:jc w:val="left"/>
              <w:rPr>
                <w:b/>
                <w:sz w:val="22"/>
              </w:rPr>
            </w:pPr>
          </w:p>
          <w:p>
            <w:pPr>
              <w:pStyle w:val="14"/>
              <w:ind w:left="603" w:right="595"/>
              <w:rPr>
                <w:sz w:val="21"/>
              </w:rPr>
            </w:pPr>
            <w:r>
              <w:rPr>
                <w:sz w:val="21"/>
              </w:rPr>
              <w:t>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2321" w:type="dxa"/>
          </w:tcPr>
          <w:p>
            <w:pPr>
              <w:pStyle w:val="14"/>
              <w:spacing w:before="87"/>
              <w:ind w:left="807" w:right="800"/>
              <w:rPr>
                <w:sz w:val="21"/>
              </w:rPr>
            </w:pPr>
            <w:r>
              <w:rPr>
                <w:sz w:val="21"/>
              </w:rPr>
              <w:t>较敏感</w:t>
            </w:r>
          </w:p>
        </w:tc>
        <w:tc>
          <w:tcPr>
            <w:tcW w:w="1691" w:type="dxa"/>
          </w:tcPr>
          <w:p>
            <w:pPr>
              <w:pStyle w:val="14"/>
              <w:spacing w:before="87"/>
              <w:ind w:left="400" w:right="397"/>
              <w:rPr>
                <w:sz w:val="21"/>
              </w:rPr>
            </w:pPr>
            <w:r>
              <w:rPr>
                <w:sz w:val="21"/>
              </w:rPr>
              <w:t>二级</w:t>
            </w:r>
          </w:p>
        </w:tc>
        <w:tc>
          <w:tcPr>
            <w:tcW w:w="1825" w:type="dxa"/>
          </w:tcPr>
          <w:p>
            <w:pPr>
              <w:pStyle w:val="14"/>
              <w:spacing w:before="87"/>
              <w:ind w:left="470" w:right="464"/>
              <w:rPr>
                <w:sz w:val="21"/>
              </w:rPr>
            </w:pPr>
            <w:r>
              <w:rPr>
                <w:sz w:val="21"/>
              </w:rPr>
              <w:t>二级</w:t>
            </w:r>
          </w:p>
        </w:tc>
        <w:tc>
          <w:tcPr>
            <w:tcW w:w="1780" w:type="dxa"/>
          </w:tcPr>
          <w:p>
            <w:pPr>
              <w:pStyle w:val="14"/>
              <w:spacing w:before="87"/>
              <w:ind w:left="447" w:right="441"/>
              <w:rPr>
                <w:sz w:val="21"/>
              </w:rPr>
            </w:pPr>
            <w:r>
              <w:rPr>
                <w:sz w:val="21"/>
              </w:rPr>
              <w:t>三级</w:t>
            </w:r>
          </w:p>
        </w:tc>
        <w:tc>
          <w:tcPr>
            <w:tcW w:w="166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2321" w:type="dxa"/>
          </w:tcPr>
          <w:p>
            <w:pPr>
              <w:pStyle w:val="14"/>
              <w:spacing w:before="87"/>
              <w:ind w:left="807" w:right="800"/>
              <w:rPr>
                <w:sz w:val="21"/>
              </w:rPr>
            </w:pPr>
            <w:r>
              <w:rPr>
                <w:sz w:val="21"/>
              </w:rPr>
              <w:t>不敏感</w:t>
            </w:r>
          </w:p>
        </w:tc>
        <w:tc>
          <w:tcPr>
            <w:tcW w:w="1691" w:type="dxa"/>
          </w:tcPr>
          <w:p>
            <w:pPr>
              <w:pStyle w:val="14"/>
              <w:spacing w:before="87"/>
              <w:ind w:left="400" w:right="397"/>
              <w:rPr>
                <w:sz w:val="21"/>
              </w:rPr>
            </w:pPr>
            <w:r>
              <w:rPr>
                <w:sz w:val="21"/>
              </w:rPr>
              <w:t>二级</w:t>
            </w:r>
          </w:p>
        </w:tc>
        <w:tc>
          <w:tcPr>
            <w:tcW w:w="1825" w:type="dxa"/>
          </w:tcPr>
          <w:p>
            <w:pPr>
              <w:pStyle w:val="14"/>
              <w:spacing w:before="87"/>
              <w:ind w:left="470" w:right="464"/>
              <w:rPr>
                <w:sz w:val="21"/>
              </w:rPr>
            </w:pPr>
            <w:r>
              <w:rPr>
                <w:sz w:val="21"/>
              </w:rPr>
              <w:t>三级√</w:t>
            </w:r>
          </w:p>
        </w:tc>
        <w:tc>
          <w:tcPr>
            <w:tcW w:w="1780" w:type="dxa"/>
          </w:tcPr>
          <w:p>
            <w:pPr>
              <w:pStyle w:val="14"/>
              <w:spacing w:before="101"/>
              <w:ind w:left="8"/>
              <w:rPr>
                <w:rFonts w:ascii="Times New Roman" w:hAnsi="Times New Roman"/>
                <w:sz w:val="21"/>
              </w:rPr>
            </w:pPr>
            <w:r>
              <w:rPr>
                <w:rFonts w:ascii="Times New Roman" w:hAnsi="Times New Roman"/>
                <w:w w:val="99"/>
                <w:sz w:val="21"/>
              </w:rPr>
              <w:t>—</w:t>
            </w:r>
          </w:p>
        </w:tc>
        <w:tc>
          <w:tcPr>
            <w:tcW w:w="166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9286" w:type="dxa"/>
            <w:gridSpan w:val="5"/>
          </w:tcPr>
          <w:p>
            <w:pPr>
              <w:pStyle w:val="14"/>
              <w:spacing w:before="87"/>
              <w:ind w:left="108"/>
              <w:jc w:val="left"/>
              <w:rPr>
                <w:sz w:val="21"/>
              </w:rPr>
            </w:pPr>
            <w:r>
              <w:rPr>
                <w:sz w:val="21"/>
              </w:rPr>
              <w:t>注：</w:t>
            </w:r>
            <w:r>
              <w:rPr>
                <w:rFonts w:ascii="Times New Roman" w:hAnsi="Times New Roman" w:eastAsia="Times New Roman"/>
                <w:sz w:val="21"/>
              </w:rPr>
              <w:t>“—”</w:t>
            </w:r>
            <w:r>
              <w:rPr>
                <w:sz w:val="21"/>
              </w:rPr>
              <w:t>表示可不开展土壤环境影响评价工作</w:t>
            </w:r>
          </w:p>
        </w:tc>
      </w:tr>
    </w:tbl>
    <w:p>
      <w:pPr>
        <w:pStyle w:val="6"/>
        <w:spacing w:before="2" w:line="364" w:lineRule="auto"/>
        <w:ind w:left="658" w:right="696" w:firstLine="480"/>
        <w:jc w:val="both"/>
      </w:pPr>
      <w:r>
        <w:rPr>
          <w:spacing w:val="-2"/>
        </w:rPr>
        <w:t xml:space="preserve">本项目工业广场永久占地面积 </w:t>
      </w:r>
      <w:r>
        <w:rPr>
          <w:rFonts w:ascii="Times New Roman" w:eastAsia="Times New Roman"/>
        </w:rPr>
        <w:t>2.9767hm</w:t>
      </w:r>
      <w:r>
        <w:rPr>
          <w:rFonts w:ascii="Times New Roman" w:eastAsia="Times New Roman"/>
          <w:position w:val="8"/>
          <w:sz w:val="15"/>
        </w:rPr>
        <w:t>2</w:t>
      </w:r>
      <w:r>
        <w:t>，工业广场占地规模为小型。污染影响型</w:t>
      </w:r>
      <w:r>
        <w:rPr>
          <w:spacing w:val="-6"/>
        </w:rPr>
        <w:t xml:space="preserve">建设项目占地规模见表 </w:t>
      </w:r>
      <w:r>
        <w:rPr>
          <w:rFonts w:ascii="Times New Roman" w:eastAsia="Times New Roman"/>
        </w:rPr>
        <w:t>2.4-14</w:t>
      </w:r>
      <w:r>
        <w:t>。</w:t>
      </w:r>
    </w:p>
    <w:p>
      <w:pPr>
        <w:pStyle w:val="5"/>
        <w:spacing w:line="306" w:lineRule="exact"/>
        <w:ind w:left="3293"/>
        <w:jc w:val="both"/>
      </w:pPr>
      <w:r>
        <mc:AlternateContent>
          <mc:Choice Requires="wps">
            <w:drawing>
              <wp:anchor distT="0" distB="0" distL="114300" distR="114300" simplePos="0" relativeHeight="214102016" behindDoc="1" locked="0" layoutInCell="1" allowOverlap="1">
                <wp:simplePos x="0" y="0"/>
                <wp:positionH relativeFrom="page">
                  <wp:posOffset>850900</wp:posOffset>
                </wp:positionH>
                <wp:positionV relativeFrom="paragraph">
                  <wp:posOffset>291465</wp:posOffset>
                </wp:positionV>
                <wp:extent cx="1451610" cy="718185"/>
                <wp:effectExtent l="0" t="0" r="15240" b="5715"/>
                <wp:wrapNone/>
                <wp:docPr id="6" name="任意多边形 6"/>
                <wp:cNvGraphicFramePr/>
                <a:graphic xmlns:a="http://schemas.openxmlformats.org/drawingml/2006/main">
                  <a:graphicData uri="http://schemas.microsoft.com/office/word/2010/wordprocessingShape">
                    <wps:wsp>
                      <wps:cNvSpPr/>
                      <wps:spPr>
                        <a:xfrm>
                          <a:off x="0" y="0"/>
                          <a:ext cx="1451610" cy="718185"/>
                        </a:xfrm>
                        <a:custGeom>
                          <a:avLst/>
                          <a:gdLst/>
                          <a:ahLst/>
                          <a:cxnLst/>
                          <a:pathLst>
                            <a:path w="2286" h="1131">
                              <a:moveTo>
                                <a:pt x="2280" y="1131"/>
                              </a:moveTo>
                              <a:lnTo>
                                <a:pt x="0" y="11"/>
                              </a:lnTo>
                              <a:lnTo>
                                <a:pt x="6" y="0"/>
                              </a:lnTo>
                              <a:lnTo>
                                <a:pt x="2286" y="1120"/>
                              </a:lnTo>
                              <a:lnTo>
                                <a:pt x="2280" y="1131"/>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67pt;margin-top:22.95pt;height:56.55pt;width:114.3pt;mso-position-horizontal-relative:page;z-index:-289214464;mso-width-relative:page;mso-height-relative:page;" fillcolor="#000000" filled="t" stroked="f" coordsize="2286,1131" o:gfxdata="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hqdLdcAAAAKAQAADwAAAAAAAAABACAAAAAiAAAAZHJzL2Rv&#10;d25yZXYueG1sUEsBAhQAFAAAAAgAh07iQGV3vUgCAgAAPAQAAA4AAAAAAAAAAQAgAAAAJgEAAGRy&#10;cy9lMm9Eb2MueG1sUEsFBgAAAAAGAAYAWQEAAJoFAAAAAA==&#10;" path="m2280,1131l0,11,6,0,2286,1120,2280,1131xe">
                <v:fill on="t" focussize="0,0"/>
                <v:stroke on="f"/>
                <v:imagedata o:title=""/>
                <o:lock v:ext="edit" aspectratio="f"/>
              </v:shape>
            </w:pict>
          </mc:Fallback>
        </mc:AlternateContent>
      </w:r>
      <w:r>
        <w:t xml:space="preserve">表 </w:t>
      </w:r>
      <w:r>
        <w:rPr>
          <w:rFonts w:ascii="Times New Roman" w:eastAsia="Times New Roman"/>
        </w:rPr>
        <w:t xml:space="preserve">2.4-14  </w:t>
      </w:r>
      <w:r>
        <w:t>污染影响型建设项目占地</w:t>
      </w:r>
    </w:p>
    <w:p>
      <w:pPr>
        <w:pStyle w:val="6"/>
        <w:spacing w:before="4"/>
        <w:rPr>
          <w:b/>
          <w:sz w:val="12"/>
        </w:rPr>
      </w:pPr>
    </w:p>
    <w:tbl>
      <w:tblPr>
        <w:tblStyle w:val="10"/>
        <w:tblW w:w="0" w:type="auto"/>
        <w:tblInd w:w="5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21"/>
        <w:gridCol w:w="2321"/>
        <w:gridCol w:w="2322"/>
        <w:gridCol w:w="23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8" w:hRule="atLeast"/>
        </w:trPr>
        <w:tc>
          <w:tcPr>
            <w:tcW w:w="2321" w:type="dxa"/>
          </w:tcPr>
          <w:p>
            <w:pPr>
              <w:pStyle w:val="14"/>
              <w:spacing w:before="1"/>
              <w:ind w:left="811" w:right="597"/>
              <w:rPr>
                <w:sz w:val="21"/>
              </w:rPr>
            </w:pPr>
            <w:r>
              <w:rPr>
                <w:sz w:val="21"/>
              </w:rPr>
              <w:t>类型</w:t>
            </w:r>
          </w:p>
          <w:p>
            <w:pPr>
              <w:pStyle w:val="14"/>
              <w:jc w:val="left"/>
              <w:rPr>
                <w:b/>
                <w:sz w:val="20"/>
              </w:rPr>
            </w:pPr>
          </w:p>
          <w:p>
            <w:pPr>
              <w:pStyle w:val="14"/>
              <w:spacing w:before="12"/>
              <w:jc w:val="left"/>
              <w:rPr>
                <w:b/>
                <w:sz w:val="18"/>
              </w:rPr>
            </w:pPr>
          </w:p>
          <w:p>
            <w:pPr>
              <w:pStyle w:val="14"/>
              <w:ind w:left="108"/>
              <w:jc w:val="left"/>
              <w:rPr>
                <w:sz w:val="21"/>
              </w:rPr>
            </w:pPr>
            <w:r>
              <w:rPr>
                <w:sz w:val="21"/>
              </w:rPr>
              <w:t>占地类型</w:t>
            </w:r>
          </w:p>
        </w:tc>
        <w:tc>
          <w:tcPr>
            <w:tcW w:w="2321" w:type="dxa"/>
          </w:tcPr>
          <w:p>
            <w:pPr>
              <w:pStyle w:val="14"/>
              <w:jc w:val="left"/>
              <w:rPr>
                <w:b/>
                <w:sz w:val="20"/>
              </w:rPr>
            </w:pPr>
          </w:p>
          <w:p>
            <w:pPr>
              <w:pStyle w:val="14"/>
              <w:spacing w:before="129"/>
              <w:ind w:left="807" w:right="800"/>
              <w:rPr>
                <w:sz w:val="21"/>
              </w:rPr>
            </w:pPr>
            <w:r>
              <w:rPr>
                <w:sz w:val="21"/>
              </w:rPr>
              <w:t>大型</w:t>
            </w:r>
          </w:p>
        </w:tc>
        <w:tc>
          <w:tcPr>
            <w:tcW w:w="2322" w:type="dxa"/>
          </w:tcPr>
          <w:p>
            <w:pPr>
              <w:pStyle w:val="14"/>
              <w:jc w:val="left"/>
              <w:rPr>
                <w:b/>
                <w:sz w:val="20"/>
              </w:rPr>
            </w:pPr>
          </w:p>
          <w:p>
            <w:pPr>
              <w:pStyle w:val="14"/>
              <w:spacing w:before="129"/>
              <w:ind w:left="715" w:right="709"/>
              <w:rPr>
                <w:sz w:val="21"/>
              </w:rPr>
            </w:pPr>
            <w:r>
              <w:rPr>
                <w:sz w:val="21"/>
              </w:rPr>
              <w:t>中型</w:t>
            </w:r>
          </w:p>
        </w:tc>
        <w:tc>
          <w:tcPr>
            <w:tcW w:w="2322" w:type="dxa"/>
          </w:tcPr>
          <w:p>
            <w:pPr>
              <w:pStyle w:val="14"/>
              <w:jc w:val="left"/>
              <w:rPr>
                <w:b/>
                <w:sz w:val="20"/>
              </w:rPr>
            </w:pPr>
          </w:p>
          <w:p>
            <w:pPr>
              <w:pStyle w:val="14"/>
              <w:spacing w:before="129"/>
              <w:ind w:left="717" w:right="709"/>
              <w:rPr>
                <w:sz w:val="21"/>
              </w:rPr>
            </w:pPr>
            <w:r>
              <w:rPr>
                <w:sz w:val="21"/>
              </w:rPr>
              <w:t>小型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2321" w:type="dxa"/>
          </w:tcPr>
          <w:p>
            <w:pPr>
              <w:pStyle w:val="14"/>
              <w:spacing w:before="86"/>
              <w:ind w:left="633"/>
              <w:jc w:val="left"/>
              <w:rPr>
                <w:sz w:val="21"/>
              </w:rPr>
            </w:pPr>
            <w:r>
              <w:rPr>
                <w:sz w:val="21"/>
              </w:rPr>
              <w:t>永久占地面</w:t>
            </w:r>
          </w:p>
        </w:tc>
        <w:tc>
          <w:tcPr>
            <w:tcW w:w="2321" w:type="dxa"/>
          </w:tcPr>
          <w:p>
            <w:pPr>
              <w:pStyle w:val="14"/>
              <w:spacing w:before="103"/>
              <w:ind w:left="811" w:right="800"/>
              <w:rPr>
                <w:rFonts w:ascii="Times New Roman" w:hAnsi="Times New Roman"/>
                <w:sz w:val="13"/>
              </w:rPr>
            </w:pPr>
            <w:r>
              <w:rPr>
                <w:rFonts w:ascii="Times New Roman" w:hAnsi="Times New Roman"/>
                <w:sz w:val="21"/>
              </w:rPr>
              <w:t>≥50hm</w:t>
            </w:r>
            <w:r>
              <w:rPr>
                <w:rFonts w:ascii="Times New Roman" w:hAnsi="Times New Roman"/>
                <w:position w:val="7"/>
                <w:sz w:val="13"/>
              </w:rPr>
              <w:t>2</w:t>
            </w:r>
          </w:p>
        </w:tc>
        <w:tc>
          <w:tcPr>
            <w:tcW w:w="2322" w:type="dxa"/>
          </w:tcPr>
          <w:p>
            <w:pPr>
              <w:pStyle w:val="14"/>
              <w:spacing w:before="103"/>
              <w:ind w:left="719" w:right="707"/>
              <w:rPr>
                <w:rFonts w:ascii="Times New Roman"/>
                <w:sz w:val="13"/>
              </w:rPr>
            </w:pPr>
            <w:r>
              <w:rPr>
                <w:rFonts w:ascii="Times New Roman"/>
                <w:sz w:val="21"/>
              </w:rPr>
              <w:t>5~50hm</w:t>
            </w:r>
            <w:r>
              <w:rPr>
                <w:rFonts w:ascii="Times New Roman"/>
                <w:position w:val="7"/>
                <w:sz w:val="13"/>
              </w:rPr>
              <w:t>2</w:t>
            </w:r>
          </w:p>
        </w:tc>
        <w:tc>
          <w:tcPr>
            <w:tcW w:w="2322" w:type="dxa"/>
          </w:tcPr>
          <w:p>
            <w:pPr>
              <w:pStyle w:val="14"/>
              <w:spacing w:before="103"/>
              <w:ind w:left="718" w:right="709"/>
              <w:rPr>
                <w:rFonts w:ascii="Times New Roman" w:hAnsi="Times New Roman"/>
                <w:sz w:val="13"/>
              </w:rPr>
            </w:pPr>
            <w:r>
              <w:rPr>
                <w:rFonts w:ascii="Times New Roman" w:hAnsi="Times New Roman"/>
                <w:sz w:val="21"/>
              </w:rPr>
              <w:t>≤5hm</w:t>
            </w:r>
            <w:r>
              <w:rPr>
                <w:rFonts w:ascii="Times New Roman" w:hAnsi="Times New Roman"/>
                <w:position w:val="7"/>
                <w:sz w:val="13"/>
              </w:rPr>
              <w:t>2</w:t>
            </w:r>
          </w:p>
        </w:tc>
      </w:tr>
    </w:tbl>
    <w:p>
      <w:pPr>
        <w:pStyle w:val="6"/>
        <w:spacing w:before="1"/>
        <w:ind w:left="1138"/>
      </w:pPr>
      <w:r>
        <w:t>本项目用地性质为建设用地，属其他情况，项目周围为次生林地，敏感程度为较敏</w:t>
      </w:r>
    </w:p>
    <w:p>
      <w:pPr>
        <w:spacing w:after="0"/>
        <w:sectPr>
          <w:pgSz w:w="11910" w:h="16840"/>
          <w:pgMar w:top="1400" w:right="720" w:bottom="1160" w:left="760" w:header="0" w:footer="895" w:gutter="0"/>
        </w:sectPr>
      </w:pPr>
    </w:p>
    <w:p>
      <w:pPr>
        <w:pStyle w:val="6"/>
        <w:spacing w:before="61"/>
        <w:ind w:left="658"/>
      </w:pPr>
      <w:r>
        <w:t xml:space="preserve">感，污染影响型敏感程度分级表见表 </w:t>
      </w:r>
      <w:r>
        <w:rPr>
          <w:rFonts w:ascii="Times New Roman" w:eastAsia="Times New Roman"/>
        </w:rPr>
        <w:t>2.4-15</w:t>
      </w:r>
      <w:r>
        <w:t>。</w:t>
      </w:r>
    </w:p>
    <w:p>
      <w:pPr>
        <w:pStyle w:val="5"/>
        <w:tabs>
          <w:tab w:val="left" w:pos="1159"/>
        </w:tabs>
        <w:spacing w:before="158" w:after="4"/>
        <w:ind w:right="28"/>
        <w:jc w:val="center"/>
      </w:pPr>
      <w:r>
        <w:t>表</w:t>
      </w:r>
      <w:r>
        <w:rPr>
          <w:spacing w:val="-62"/>
        </w:rPr>
        <w:t xml:space="preserve"> </w:t>
      </w:r>
      <w:r>
        <w:rPr>
          <w:rFonts w:ascii="Times New Roman" w:eastAsia="Times New Roman"/>
        </w:rPr>
        <w:t>2.4-15</w:t>
      </w:r>
      <w:r>
        <w:rPr>
          <w:rFonts w:ascii="Times New Roman" w:eastAsia="Times New Roman"/>
        </w:rPr>
        <w:tab/>
      </w:r>
      <w:r>
        <w:t>污染影响型敏感程度分级表</w:t>
      </w:r>
    </w:p>
    <w:tbl>
      <w:tblPr>
        <w:tblStyle w:val="10"/>
        <w:tblW w:w="0" w:type="auto"/>
        <w:tblInd w:w="5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53"/>
        <w:gridCol w:w="71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153" w:type="dxa"/>
          </w:tcPr>
          <w:p>
            <w:pPr>
              <w:pStyle w:val="14"/>
              <w:spacing w:before="2" w:line="250" w:lineRule="exact"/>
              <w:ind w:left="634" w:right="624"/>
              <w:rPr>
                <w:b/>
                <w:sz w:val="21"/>
              </w:rPr>
            </w:pPr>
            <w:r>
              <w:rPr>
                <w:b/>
                <w:sz w:val="21"/>
              </w:rPr>
              <w:t>敏感程度</w:t>
            </w:r>
          </w:p>
        </w:tc>
        <w:tc>
          <w:tcPr>
            <w:tcW w:w="7133" w:type="dxa"/>
          </w:tcPr>
          <w:p>
            <w:pPr>
              <w:pStyle w:val="14"/>
              <w:spacing w:before="2" w:line="250" w:lineRule="exact"/>
              <w:ind w:left="500" w:right="488"/>
              <w:rPr>
                <w:b/>
                <w:sz w:val="21"/>
              </w:rPr>
            </w:pPr>
            <w:r>
              <w:rPr>
                <w:b/>
                <w:sz w:val="21"/>
              </w:rPr>
              <w:t>判别依据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153" w:type="dxa"/>
          </w:tcPr>
          <w:p>
            <w:pPr>
              <w:pStyle w:val="14"/>
              <w:spacing w:before="135"/>
              <w:ind w:left="631" w:right="624"/>
              <w:rPr>
                <w:sz w:val="21"/>
              </w:rPr>
            </w:pPr>
            <w:r>
              <w:rPr>
                <w:sz w:val="21"/>
              </w:rPr>
              <w:t>敏感</w:t>
            </w:r>
          </w:p>
        </w:tc>
        <w:tc>
          <w:tcPr>
            <w:tcW w:w="7133" w:type="dxa"/>
          </w:tcPr>
          <w:p>
            <w:pPr>
              <w:pStyle w:val="14"/>
              <w:spacing w:before="1"/>
              <w:ind w:left="500" w:right="493"/>
              <w:rPr>
                <w:sz w:val="21"/>
              </w:rPr>
            </w:pPr>
            <w:r>
              <w:rPr>
                <w:sz w:val="21"/>
              </w:rPr>
              <w:t>建设项目周边存在耕地、园地、牧草地、饮用水水源地或居民区、</w:t>
            </w:r>
          </w:p>
          <w:p>
            <w:pPr>
              <w:pStyle w:val="14"/>
              <w:spacing w:before="2" w:line="253" w:lineRule="exact"/>
              <w:ind w:left="498" w:right="493"/>
              <w:rPr>
                <w:sz w:val="21"/>
              </w:rPr>
            </w:pPr>
            <w:r>
              <w:rPr>
                <w:sz w:val="21"/>
              </w:rPr>
              <w:t>学校、医院、疗养院、养老院等土壤环境敏感目标的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153" w:type="dxa"/>
          </w:tcPr>
          <w:p>
            <w:pPr>
              <w:pStyle w:val="14"/>
              <w:spacing w:line="253" w:lineRule="exact"/>
              <w:ind w:left="631" w:right="624"/>
              <w:rPr>
                <w:sz w:val="21"/>
              </w:rPr>
            </w:pPr>
            <w:r>
              <w:rPr>
                <w:sz w:val="21"/>
              </w:rPr>
              <w:t>较敏感</w:t>
            </w:r>
          </w:p>
        </w:tc>
        <w:tc>
          <w:tcPr>
            <w:tcW w:w="7133" w:type="dxa"/>
          </w:tcPr>
          <w:p>
            <w:pPr>
              <w:pStyle w:val="14"/>
              <w:spacing w:line="253" w:lineRule="exact"/>
              <w:ind w:left="498" w:right="493"/>
              <w:rPr>
                <w:sz w:val="21"/>
              </w:rPr>
            </w:pPr>
            <w:r>
              <w:rPr>
                <w:sz w:val="21"/>
              </w:rPr>
              <w:t>建设项目周边存在其他土壤环境敏感目标的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153" w:type="dxa"/>
          </w:tcPr>
          <w:p>
            <w:pPr>
              <w:pStyle w:val="14"/>
              <w:spacing w:line="252" w:lineRule="exact"/>
              <w:ind w:left="631" w:right="624"/>
              <w:rPr>
                <w:sz w:val="21"/>
              </w:rPr>
            </w:pPr>
            <w:r>
              <w:rPr>
                <w:sz w:val="21"/>
              </w:rPr>
              <w:t>不敏感</w:t>
            </w:r>
          </w:p>
        </w:tc>
        <w:tc>
          <w:tcPr>
            <w:tcW w:w="7133" w:type="dxa"/>
          </w:tcPr>
          <w:p>
            <w:pPr>
              <w:pStyle w:val="14"/>
              <w:spacing w:line="252" w:lineRule="exact"/>
              <w:ind w:left="500" w:right="493"/>
              <w:rPr>
                <w:sz w:val="21"/>
              </w:rPr>
            </w:pPr>
            <w:r>
              <w:rPr>
                <w:sz w:val="21"/>
              </w:rPr>
              <w:t>其他情况</w:t>
            </w:r>
          </w:p>
        </w:tc>
      </w:tr>
    </w:tbl>
    <w:p>
      <w:pPr>
        <w:pStyle w:val="6"/>
        <w:ind w:left="1138"/>
        <w:jc w:val="both"/>
      </w:pPr>
      <w:r>
        <w:t xml:space="preserve">根据表 </w:t>
      </w:r>
      <w:r>
        <w:rPr>
          <w:rFonts w:ascii="Times New Roman" w:eastAsia="Times New Roman"/>
        </w:rPr>
        <w:t>2.4-12~2.4-15</w:t>
      </w:r>
      <w:r>
        <w:t>，判断本项目工业广场土壤环境评价工作等级。</w:t>
      </w:r>
    </w:p>
    <w:p>
      <w:pPr>
        <w:pStyle w:val="6"/>
        <w:spacing w:before="161" w:line="364" w:lineRule="auto"/>
        <w:ind w:left="658" w:right="693" w:firstLine="480"/>
        <w:jc w:val="both"/>
      </w:pPr>
      <w:r>
        <w:t>根据《环境影响评价技术导则 土壤环境（试行）》（</w:t>
      </w:r>
      <w:r>
        <w:rPr>
          <w:rFonts w:ascii="Times New Roman" w:hAnsi="Times New Roman" w:eastAsia="Times New Roman"/>
        </w:rPr>
        <w:t>HJ964-2018</w:t>
      </w:r>
      <w:r>
        <w:t>），煤矿开采为</w:t>
      </w:r>
      <w:r>
        <w:rPr>
          <w:rFonts w:ascii="Times New Roman" w:hAnsi="Times New Roman" w:eastAsia="Times New Roman"/>
        </w:rPr>
        <w:t xml:space="preserve">II </w:t>
      </w:r>
      <w:r>
        <w:rPr>
          <w:spacing w:val="-4"/>
        </w:rPr>
        <w:t xml:space="preserve">类项目；工业广场占地面积为 </w:t>
      </w:r>
      <w:r>
        <w:rPr>
          <w:rFonts w:ascii="Times New Roman" w:hAnsi="Times New Roman" w:eastAsia="Times New Roman"/>
        </w:rPr>
        <w:t>2.9767hm</w:t>
      </w:r>
      <w:r>
        <w:rPr>
          <w:rFonts w:ascii="Times New Roman" w:hAnsi="Times New Roman" w:eastAsia="Times New Roman"/>
          <w:position w:val="8"/>
          <w:sz w:val="15"/>
        </w:rPr>
        <w:t>2</w:t>
      </w:r>
      <w:r>
        <w:t>，工业广场占地面积在≤</w:t>
      </w:r>
      <w:r>
        <w:rPr>
          <w:rFonts w:ascii="Times New Roman" w:hAnsi="Times New Roman" w:eastAsia="Times New Roman"/>
        </w:rPr>
        <w:t>5hm</w:t>
      </w:r>
      <w:r>
        <w:rPr>
          <w:rFonts w:ascii="Times New Roman" w:hAnsi="Times New Roman" w:eastAsia="Times New Roman"/>
          <w:position w:val="8"/>
          <w:sz w:val="15"/>
        </w:rPr>
        <w:t>2</w:t>
      </w:r>
      <w:r>
        <w:t>，占地类型为</w:t>
      </w:r>
      <w:r>
        <w:rPr>
          <w:spacing w:val="-8"/>
        </w:rPr>
        <w:t>小型；项目工业广场占地为建设用地，周围为次生林地，环境较敏感，污染影响型评价</w:t>
      </w:r>
      <w:r>
        <w:rPr>
          <w:spacing w:val="-6"/>
        </w:rPr>
        <w:t xml:space="preserve">工作等级划分表见表 </w:t>
      </w:r>
      <w:r>
        <w:rPr>
          <w:rFonts w:ascii="Times New Roman" w:hAnsi="Times New Roman" w:eastAsia="Times New Roman"/>
        </w:rPr>
        <w:t>2.4-16</w:t>
      </w:r>
      <w:r>
        <w:t>。</w:t>
      </w:r>
    </w:p>
    <w:p>
      <w:pPr>
        <w:pStyle w:val="5"/>
        <w:spacing w:after="2" w:line="305" w:lineRule="exact"/>
        <w:ind w:left="2993"/>
        <w:jc w:val="both"/>
      </w:pPr>
      <w:r>
        <mc:AlternateContent>
          <mc:Choice Requires="wps">
            <w:drawing>
              <wp:anchor distT="0" distB="0" distL="114300" distR="114300" simplePos="0" relativeHeight="214107136" behindDoc="1" locked="0" layoutInCell="1" allowOverlap="1">
                <wp:simplePos x="0" y="0"/>
                <wp:positionH relativeFrom="page">
                  <wp:posOffset>855980</wp:posOffset>
                </wp:positionH>
                <wp:positionV relativeFrom="paragraph">
                  <wp:posOffset>188595</wp:posOffset>
                </wp:positionV>
                <wp:extent cx="1576070" cy="581660"/>
                <wp:effectExtent l="0" t="0" r="5080" b="8890"/>
                <wp:wrapNone/>
                <wp:docPr id="16" name="任意多边形 7"/>
                <wp:cNvGraphicFramePr/>
                <a:graphic xmlns:a="http://schemas.openxmlformats.org/drawingml/2006/main">
                  <a:graphicData uri="http://schemas.microsoft.com/office/word/2010/wordprocessingShape">
                    <wps:wsp>
                      <wps:cNvSpPr/>
                      <wps:spPr>
                        <a:xfrm>
                          <a:off x="0" y="0"/>
                          <a:ext cx="1576070" cy="581660"/>
                        </a:xfrm>
                        <a:custGeom>
                          <a:avLst/>
                          <a:gdLst/>
                          <a:ahLst/>
                          <a:cxnLst/>
                          <a:pathLst>
                            <a:path w="2482" h="916">
                              <a:moveTo>
                                <a:pt x="2481" y="896"/>
                              </a:moveTo>
                              <a:lnTo>
                                <a:pt x="2458" y="891"/>
                              </a:lnTo>
                              <a:lnTo>
                                <a:pt x="795" y="0"/>
                              </a:lnTo>
                              <a:lnTo>
                                <a:pt x="787" y="13"/>
                              </a:lnTo>
                              <a:lnTo>
                                <a:pt x="2408" y="882"/>
                              </a:lnTo>
                              <a:lnTo>
                                <a:pt x="2" y="411"/>
                              </a:lnTo>
                              <a:lnTo>
                                <a:pt x="0" y="426"/>
                              </a:lnTo>
                              <a:lnTo>
                                <a:pt x="2453" y="906"/>
                              </a:lnTo>
                              <a:lnTo>
                                <a:pt x="2470" y="915"/>
                              </a:lnTo>
                              <a:lnTo>
                                <a:pt x="2473" y="910"/>
                              </a:lnTo>
                              <a:lnTo>
                                <a:pt x="2479" y="911"/>
                              </a:lnTo>
                              <a:lnTo>
                                <a:pt x="2481" y="896"/>
                              </a:lnTo>
                            </a:path>
                          </a:pathLst>
                        </a:custGeom>
                        <a:solidFill>
                          <a:srgbClr val="000000"/>
                        </a:solidFill>
                        <a:ln>
                          <a:noFill/>
                        </a:ln>
                      </wps:spPr>
                      <wps:bodyPr upright="1"/>
                    </wps:wsp>
                  </a:graphicData>
                </a:graphic>
              </wp:anchor>
            </w:drawing>
          </mc:Choice>
          <mc:Fallback>
            <w:pict>
              <v:shape id="任意多边形 7" o:spid="_x0000_s1026" o:spt="100" style="position:absolute;left:0pt;margin-left:67.4pt;margin-top:14.85pt;height:45.8pt;width:124.1pt;mso-position-horizontal-relative:page;z-index:-289209344;mso-width-relative:page;mso-height-relative:page;" fillcolor="#000000" filled="t" stroked="f" coordsize="2482,916" o:gfxdata="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zmy89gAAAAKAQAADwAAAAAAAAABACAA&#10;AAAiAAAAZHJzL2Rvd25yZXYueG1sUEsBAhQAFAAAAAgAh07iQKyYgVxGAgAATAUAAA4AAAAAAAAA&#10;AQAgAAAAJwEAAGRycy9lMm9Eb2MueG1sUEsFBgAAAAAGAAYAWQEAAN8FAAAAAA==&#10;" path="m2481,896l2458,891,795,0,787,13,2408,882,2,411,0,426,2453,906,2470,915,2473,910,2479,911,2481,896e">
                <v:fill on="t" focussize="0,0"/>
                <v:stroke on="f"/>
                <v:imagedata o:title=""/>
                <o:lock v:ext="edit" aspectratio="f"/>
              </v:shape>
            </w:pict>
          </mc:Fallback>
        </mc:AlternateContent>
      </w:r>
      <w:r>
        <w:t xml:space="preserve">表 </w:t>
      </w:r>
      <w:r>
        <w:rPr>
          <w:rFonts w:ascii="Times New Roman" w:eastAsia="Times New Roman"/>
        </w:rPr>
        <w:t xml:space="preserve">2.4-16  </w:t>
      </w:r>
      <w:r>
        <w:t>污染影响型评价工作等级划分表</w:t>
      </w:r>
    </w:p>
    <w:tbl>
      <w:tblPr>
        <w:tblStyle w:val="10"/>
        <w:tblW w:w="0" w:type="auto"/>
        <w:tblInd w:w="5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30"/>
        <w:gridCol w:w="741"/>
        <w:gridCol w:w="740"/>
        <w:gridCol w:w="740"/>
        <w:gridCol w:w="741"/>
        <w:gridCol w:w="740"/>
        <w:gridCol w:w="741"/>
        <w:gridCol w:w="740"/>
        <w:gridCol w:w="734"/>
        <w:gridCol w:w="7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2630" w:type="dxa"/>
            <w:vMerge w:val="restart"/>
          </w:tcPr>
          <w:p>
            <w:pPr>
              <w:pStyle w:val="14"/>
              <w:tabs>
                <w:tab w:val="left" w:pos="1576"/>
              </w:tabs>
              <w:spacing w:line="440" w:lineRule="exact"/>
              <w:ind w:left="108" w:right="203" w:firstLine="103"/>
              <w:jc w:val="left"/>
              <w:rPr>
                <w:sz w:val="21"/>
              </w:rPr>
            </w:pPr>
            <w:r>
              <w:rPr>
                <w:sz w:val="21"/>
              </w:rPr>
              <w:t>评价等级</w:t>
            </w:r>
            <w:r>
              <w:rPr>
                <w:sz w:val="21"/>
              </w:rPr>
              <w:tab/>
            </w:r>
            <w:r>
              <w:rPr>
                <w:sz w:val="21"/>
              </w:rPr>
              <w:t>占地规</w:t>
            </w:r>
            <w:r>
              <w:rPr>
                <w:spacing w:val="-15"/>
                <w:sz w:val="21"/>
              </w:rPr>
              <w:t>模</w:t>
            </w:r>
            <w:r>
              <w:rPr>
                <w:sz w:val="21"/>
              </w:rPr>
              <w:t>敏感程度</w:t>
            </w:r>
          </w:p>
        </w:tc>
        <w:tc>
          <w:tcPr>
            <w:tcW w:w="2221" w:type="dxa"/>
            <w:gridSpan w:val="3"/>
          </w:tcPr>
          <w:p>
            <w:pPr>
              <w:pStyle w:val="14"/>
              <w:spacing w:before="142"/>
              <w:ind w:left="879" w:right="871"/>
              <w:rPr>
                <w:sz w:val="21"/>
              </w:rPr>
            </w:pPr>
            <w:r>
              <w:rPr>
                <w:sz w:val="21"/>
              </w:rPr>
              <w:t>Ⅰ类</w:t>
            </w:r>
          </w:p>
        </w:tc>
        <w:tc>
          <w:tcPr>
            <w:tcW w:w="2222" w:type="dxa"/>
            <w:gridSpan w:val="3"/>
          </w:tcPr>
          <w:p>
            <w:pPr>
              <w:pStyle w:val="14"/>
              <w:spacing w:before="142"/>
              <w:ind w:left="879" w:right="872"/>
              <w:rPr>
                <w:sz w:val="21"/>
              </w:rPr>
            </w:pPr>
            <w:r>
              <w:rPr>
                <w:sz w:val="21"/>
              </w:rPr>
              <w:t>Ⅱ类</w:t>
            </w:r>
          </w:p>
        </w:tc>
        <w:tc>
          <w:tcPr>
            <w:tcW w:w="2213" w:type="dxa"/>
            <w:gridSpan w:val="3"/>
          </w:tcPr>
          <w:p>
            <w:pPr>
              <w:pStyle w:val="14"/>
              <w:spacing w:before="142"/>
              <w:ind w:left="875" w:right="868"/>
              <w:rPr>
                <w:sz w:val="21"/>
              </w:rPr>
            </w:pPr>
            <w:r>
              <w:rPr>
                <w:sz w:val="21"/>
              </w:rPr>
              <w:t>Ⅲ类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2630" w:type="dxa"/>
            <w:vMerge w:val="continue"/>
            <w:tcBorders>
              <w:top w:val="nil"/>
            </w:tcBorders>
          </w:tcPr>
          <w:p>
            <w:pPr>
              <w:rPr>
                <w:sz w:val="2"/>
                <w:szCs w:val="2"/>
              </w:rPr>
            </w:pPr>
          </w:p>
        </w:tc>
        <w:tc>
          <w:tcPr>
            <w:tcW w:w="741" w:type="dxa"/>
          </w:tcPr>
          <w:p>
            <w:pPr>
              <w:pStyle w:val="14"/>
              <w:spacing w:before="141"/>
              <w:ind w:left="7"/>
              <w:rPr>
                <w:sz w:val="21"/>
              </w:rPr>
            </w:pPr>
            <w:r>
              <w:rPr>
                <w:w w:val="99"/>
                <w:sz w:val="21"/>
              </w:rPr>
              <w:t>大</w:t>
            </w:r>
          </w:p>
        </w:tc>
        <w:tc>
          <w:tcPr>
            <w:tcW w:w="740" w:type="dxa"/>
          </w:tcPr>
          <w:p>
            <w:pPr>
              <w:pStyle w:val="14"/>
              <w:spacing w:before="141"/>
              <w:ind w:left="9"/>
              <w:rPr>
                <w:sz w:val="21"/>
              </w:rPr>
            </w:pPr>
            <w:r>
              <w:rPr>
                <w:w w:val="99"/>
                <w:sz w:val="21"/>
              </w:rPr>
              <w:t>中</w:t>
            </w:r>
          </w:p>
        </w:tc>
        <w:tc>
          <w:tcPr>
            <w:tcW w:w="740" w:type="dxa"/>
          </w:tcPr>
          <w:p>
            <w:pPr>
              <w:pStyle w:val="14"/>
              <w:spacing w:before="141"/>
              <w:ind w:left="7"/>
              <w:rPr>
                <w:sz w:val="21"/>
              </w:rPr>
            </w:pPr>
            <w:r>
              <w:rPr>
                <w:w w:val="99"/>
                <w:sz w:val="21"/>
              </w:rPr>
              <w:t>小</w:t>
            </w:r>
          </w:p>
        </w:tc>
        <w:tc>
          <w:tcPr>
            <w:tcW w:w="741" w:type="dxa"/>
          </w:tcPr>
          <w:p>
            <w:pPr>
              <w:pStyle w:val="14"/>
              <w:spacing w:before="141"/>
              <w:ind w:left="5"/>
              <w:rPr>
                <w:sz w:val="21"/>
              </w:rPr>
            </w:pPr>
            <w:r>
              <w:rPr>
                <w:w w:val="99"/>
                <w:sz w:val="21"/>
              </w:rPr>
              <w:t>大</w:t>
            </w:r>
          </w:p>
        </w:tc>
        <w:tc>
          <w:tcPr>
            <w:tcW w:w="740" w:type="dxa"/>
          </w:tcPr>
          <w:p>
            <w:pPr>
              <w:pStyle w:val="14"/>
              <w:spacing w:before="141"/>
              <w:ind w:left="7"/>
              <w:rPr>
                <w:sz w:val="21"/>
              </w:rPr>
            </w:pPr>
            <w:r>
              <w:rPr>
                <w:w w:val="99"/>
                <w:sz w:val="21"/>
              </w:rPr>
              <w:t>中</w:t>
            </w:r>
          </w:p>
        </w:tc>
        <w:tc>
          <w:tcPr>
            <w:tcW w:w="741" w:type="dxa"/>
          </w:tcPr>
          <w:p>
            <w:pPr>
              <w:pStyle w:val="14"/>
              <w:spacing w:before="141"/>
              <w:ind w:left="9"/>
              <w:rPr>
                <w:sz w:val="21"/>
              </w:rPr>
            </w:pPr>
            <w:r>
              <w:rPr>
                <w:w w:val="99"/>
                <w:sz w:val="21"/>
              </w:rPr>
              <w:t>小</w:t>
            </w:r>
          </w:p>
        </w:tc>
        <w:tc>
          <w:tcPr>
            <w:tcW w:w="740" w:type="dxa"/>
          </w:tcPr>
          <w:p>
            <w:pPr>
              <w:pStyle w:val="14"/>
              <w:spacing w:before="141"/>
              <w:ind w:left="6"/>
              <w:rPr>
                <w:sz w:val="21"/>
              </w:rPr>
            </w:pPr>
            <w:r>
              <w:rPr>
                <w:w w:val="99"/>
                <w:sz w:val="21"/>
              </w:rPr>
              <w:t>大</w:t>
            </w:r>
          </w:p>
        </w:tc>
        <w:tc>
          <w:tcPr>
            <w:tcW w:w="734" w:type="dxa"/>
          </w:tcPr>
          <w:p>
            <w:pPr>
              <w:pStyle w:val="14"/>
              <w:spacing w:before="141"/>
              <w:ind w:left="6"/>
              <w:rPr>
                <w:sz w:val="21"/>
              </w:rPr>
            </w:pPr>
            <w:r>
              <w:rPr>
                <w:w w:val="99"/>
                <w:sz w:val="21"/>
              </w:rPr>
              <w:t>中</w:t>
            </w:r>
          </w:p>
        </w:tc>
        <w:tc>
          <w:tcPr>
            <w:tcW w:w="739" w:type="dxa"/>
          </w:tcPr>
          <w:p>
            <w:pPr>
              <w:pStyle w:val="14"/>
              <w:spacing w:before="141"/>
              <w:ind w:left="7"/>
              <w:rPr>
                <w:sz w:val="21"/>
              </w:rPr>
            </w:pPr>
            <w:r>
              <w:rPr>
                <w:w w:val="99"/>
                <w:sz w:val="21"/>
              </w:rPr>
              <w:t>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2630" w:type="dxa"/>
          </w:tcPr>
          <w:p>
            <w:pPr>
              <w:pStyle w:val="14"/>
              <w:spacing w:before="142"/>
              <w:ind w:left="978" w:right="972"/>
              <w:rPr>
                <w:sz w:val="21"/>
              </w:rPr>
            </w:pPr>
            <w:r>
              <w:rPr>
                <w:sz w:val="21"/>
              </w:rPr>
              <w:t>敏感</w:t>
            </w:r>
          </w:p>
        </w:tc>
        <w:tc>
          <w:tcPr>
            <w:tcW w:w="741" w:type="dxa"/>
          </w:tcPr>
          <w:p>
            <w:pPr>
              <w:pStyle w:val="14"/>
              <w:spacing w:before="142"/>
              <w:ind w:left="136" w:right="132"/>
              <w:rPr>
                <w:sz w:val="21"/>
              </w:rPr>
            </w:pPr>
            <w:r>
              <w:rPr>
                <w:sz w:val="21"/>
              </w:rPr>
              <w:t>一级</w:t>
            </w:r>
          </w:p>
        </w:tc>
        <w:tc>
          <w:tcPr>
            <w:tcW w:w="740" w:type="dxa"/>
          </w:tcPr>
          <w:p>
            <w:pPr>
              <w:pStyle w:val="14"/>
              <w:spacing w:before="142"/>
              <w:ind w:left="136" w:right="130"/>
              <w:rPr>
                <w:sz w:val="21"/>
              </w:rPr>
            </w:pPr>
            <w:r>
              <w:rPr>
                <w:sz w:val="21"/>
              </w:rPr>
              <w:t>一级</w:t>
            </w:r>
          </w:p>
        </w:tc>
        <w:tc>
          <w:tcPr>
            <w:tcW w:w="740" w:type="dxa"/>
          </w:tcPr>
          <w:p>
            <w:pPr>
              <w:pStyle w:val="14"/>
              <w:spacing w:before="142"/>
              <w:ind w:left="135" w:right="130"/>
              <w:rPr>
                <w:sz w:val="21"/>
              </w:rPr>
            </w:pPr>
            <w:r>
              <w:rPr>
                <w:sz w:val="21"/>
              </w:rPr>
              <w:t>一级</w:t>
            </w:r>
          </w:p>
        </w:tc>
        <w:tc>
          <w:tcPr>
            <w:tcW w:w="741" w:type="dxa"/>
          </w:tcPr>
          <w:p>
            <w:pPr>
              <w:pStyle w:val="14"/>
              <w:spacing w:before="142"/>
              <w:ind w:left="137" w:right="130"/>
              <w:rPr>
                <w:sz w:val="21"/>
              </w:rPr>
            </w:pPr>
            <w:r>
              <w:rPr>
                <w:sz w:val="21"/>
              </w:rPr>
              <w:t>二级</w:t>
            </w:r>
          </w:p>
        </w:tc>
        <w:tc>
          <w:tcPr>
            <w:tcW w:w="740" w:type="dxa"/>
          </w:tcPr>
          <w:p>
            <w:pPr>
              <w:pStyle w:val="14"/>
              <w:spacing w:before="142"/>
              <w:ind w:left="134" w:right="130"/>
              <w:rPr>
                <w:sz w:val="21"/>
              </w:rPr>
            </w:pPr>
            <w:r>
              <w:rPr>
                <w:sz w:val="21"/>
              </w:rPr>
              <w:t>二级</w:t>
            </w:r>
          </w:p>
        </w:tc>
        <w:tc>
          <w:tcPr>
            <w:tcW w:w="741" w:type="dxa"/>
          </w:tcPr>
          <w:p>
            <w:pPr>
              <w:pStyle w:val="14"/>
              <w:spacing w:before="142"/>
              <w:ind w:left="137" w:right="130"/>
              <w:rPr>
                <w:sz w:val="21"/>
              </w:rPr>
            </w:pPr>
            <w:r>
              <w:rPr>
                <w:sz w:val="21"/>
              </w:rPr>
              <w:t>二级</w:t>
            </w:r>
          </w:p>
        </w:tc>
        <w:tc>
          <w:tcPr>
            <w:tcW w:w="740" w:type="dxa"/>
          </w:tcPr>
          <w:p>
            <w:pPr>
              <w:pStyle w:val="14"/>
              <w:spacing w:before="142"/>
              <w:ind w:left="137" w:right="128"/>
              <w:rPr>
                <w:sz w:val="21"/>
              </w:rPr>
            </w:pPr>
            <w:r>
              <w:rPr>
                <w:sz w:val="21"/>
              </w:rPr>
              <w:t>三级</w:t>
            </w:r>
          </w:p>
        </w:tc>
        <w:tc>
          <w:tcPr>
            <w:tcW w:w="734" w:type="dxa"/>
          </w:tcPr>
          <w:p>
            <w:pPr>
              <w:pStyle w:val="14"/>
              <w:spacing w:before="142"/>
              <w:ind w:left="136" w:right="128"/>
              <w:rPr>
                <w:sz w:val="21"/>
              </w:rPr>
            </w:pPr>
            <w:r>
              <w:rPr>
                <w:sz w:val="21"/>
              </w:rPr>
              <w:t>三级</w:t>
            </w:r>
          </w:p>
        </w:tc>
        <w:tc>
          <w:tcPr>
            <w:tcW w:w="739" w:type="dxa"/>
          </w:tcPr>
          <w:p>
            <w:pPr>
              <w:pStyle w:val="14"/>
              <w:spacing w:before="142"/>
              <w:ind w:left="136" w:right="132"/>
              <w:rPr>
                <w:sz w:val="21"/>
              </w:rPr>
            </w:pPr>
            <w:r>
              <w:rPr>
                <w:sz w:val="21"/>
              </w:rPr>
              <w:t>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2630" w:type="dxa"/>
          </w:tcPr>
          <w:p>
            <w:pPr>
              <w:pStyle w:val="14"/>
              <w:spacing w:before="141"/>
              <w:ind w:left="978" w:right="972"/>
              <w:rPr>
                <w:sz w:val="21"/>
              </w:rPr>
            </w:pPr>
            <w:r>
              <w:rPr>
                <w:sz w:val="21"/>
              </w:rPr>
              <w:t>较敏感</w:t>
            </w:r>
          </w:p>
        </w:tc>
        <w:tc>
          <w:tcPr>
            <w:tcW w:w="741" w:type="dxa"/>
          </w:tcPr>
          <w:p>
            <w:pPr>
              <w:pStyle w:val="14"/>
              <w:spacing w:before="141"/>
              <w:ind w:left="136" w:right="132"/>
              <w:rPr>
                <w:sz w:val="21"/>
              </w:rPr>
            </w:pPr>
            <w:r>
              <w:rPr>
                <w:sz w:val="21"/>
              </w:rPr>
              <w:t>一级</w:t>
            </w:r>
          </w:p>
        </w:tc>
        <w:tc>
          <w:tcPr>
            <w:tcW w:w="740" w:type="dxa"/>
          </w:tcPr>
          <w:p>
            <w:pPr>
              <w:pStyle w:val="14"/>
              <w:spacing w:before="141"/>
              <w:ind w:left="136" w:right="130"/>
              <w:rPr>
                <w:sz w:val="21"/>
              </w:rPr>
            </w:pPr>
            <w:r>
              <w:rPr>
                <w:sz w:val="21"/>
              </w:rPr>
              <w:t>一级</w:t>
            </w:r>
          </w:p>
        </w:tc>
        <w:tc>
          <w:tcPr>
            <w:tcW w:w="740" w:type="dxa"/>
          </w:tcPr>
          <w:p>
            <w:pPr>
              <w:pStyle w:val="14"/>
              <w:spacing w:before="141"/>
              <w:ind w:left="135" w:right="130"/>
              <w:rPr>
                <w:sz w:val="21"/>
              </w:rPr>
            </w:pPr>
            <w:r>
              <w:rPr>
                <w:sz w:val="21"/>
              </w:rPr>
              <w:t>二级</w:t>
            </w:r>
          </w:p>
        </w:tc>
        <w:tc>
          <w:tcPr>
            <w:tcW w:w="741" w:type="dxa"/>
          </w:tcPr>
          <w:p>
            <w:pPr>
              <w:pStyle w:val="14"/>
              <w:spacing w:before="141"/>
              <w:ind w:left="137" w:right="130"/>
              <w:rPr>
                <w:sz w:val="21"/>
              </w:rPr>
            </w:pPr>
            <w:r>
              <w:rPr>
                <w:sz w:val="21"/>
              </w:rPr>
              <w:t>二级</w:t>
            </w:r>
          </w:p>
        </w:tc>
        <w:tc>
          <w:tcPr>
            <w:tcW w:w="740" w:type="dxa"/>
          </w:tcPr>
          <w:p>
            <w:pPr>
              <w:pStyle w:val="14"/>
              <w:spacing w:before="141"/>
              <w:ind w:left="134" w:right="130"/>
              <w:rPr>
                <w:sz w:val="21"/>
              </w:rPr>
            </w:pPr>
            <w:r>
              <w:rPr>
                <w:sz w:val="21"/>
              </w:rPr>
              <w:t>二级</w:t>
            </w:r>
          </w:p>
        </w:tc>
        <w:tc>
          <w:tcPr>
            <w:tcW w:w="741" w:type="dxa"/>
          </w:tcPr>
          <w:p>
            <w:pPr>
              <w:pStyle w:val="14"/>
              <w:spacing w:before="141"/>
              <w:ind w:left="137" w:right="130"/>
              <w:rPr>
                <w:sz w:val="21"/>
              </w:rPr>
            </w:pPr>
            <w:r>
              <w:rPr>
                <w:sz w:val="21"/>
              </w:rPr>
              <w:t>三级</w:t>
            </w:r>
          </w:p>
        </w:tc>
        <w:tc>
          <w:tcPr>
            <w:tcW w:w="740" w:type="dxa"/>
          </w:tcPr>
          <w:p>
            <w:pPr>
              <w:pStyle w:val="14"/>
              <w:spacing w:before="141"/>
              <w:ind w:left="137" w:right="128"/>
              <w:rPr>
                <w:sz w:val="21"/>
              </w:rPr>
            </w:pPr>
            <w:r>
              <w:rPr>
                <w:sz w:val="21"/>
              </w:rPr>
              <w:t>三级</w:t>
            </w:r>
          </w:p>
        </w:tc>
        <w:tc>
          <w:tcPr>
            <w:tcW w:w="734" w:type="dxa"/>
          </w:tcPr>
          <w:p>
            <w:pPr>
              <w:pStyle w:val="14"/>
              <w:spacing w:before="141"/>
              <w:ind w:left="136" w:right="128"/>
              <w:rPr>
                <w:sz w:val="21"/>
              </w:rPr>
            </w:pPr>
            <w:r>
              <w:rPr>
                <w:sz w:val="21"/>
              </w:rPr>
              <w:t>三级</w:t>
            </w:r>
          </w:p>
        </w:tc>
        <w:tc>
          <w:tcPr>
            <w:tcW w:w="739" w:type="dxa"/>
          </w:tcPr>
          <w:p>
            <w:pPr>
              <w:pStyle w:val="14"/>
              <w:spacing w:before="155"/>
              <w:ind w:left="11"/>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2630" w:type="dxa"/>
          </w:tcPr>
          <w:p>
            <w:pPr>
              <w:pStyle w:val="14"/>
              <w:spacing w:before="142"/>
              <w:ind w:left="978" w:right="972"/>
              <w:rPr>
                <w:sz w:val="21"/>
              </w:rPr>
            </w:pPr>
            <w:r>
              <w:rPr>
                <w:sz w:val="21"/>
              </w:rPr>
              <w:t>不敏感</w:t>
            </w:r>
          </w:p>
        </w:tc>
        <w:tc>
          <w:tcPr>
            <w:tcW w:w="741" w:type="dxa"/>
          </w:tcPr>
          <w:p>
            <w:pPr>
              <w:pStyle w:val="14"/>
              <w:spacing w:before="142"/>
              <w:ind w:left="136" w:right="132"/>
              <w:rPr>
                <w:sz w:val="21"/>
              </w:rPr>
            </w:pPr>
            <w:r>
              <w:rPr>
                <w:sz w:val="21"/>
              </w:rPr>
              <w:t>一级</w:t>
            </w:r>
          </w:p>
        </w:tc>
        <w:tc>
          <w:tcPr>
            <w:tcW w:w="740" w:type="dxa"/>
          </w:tcPr>
          <w:p>
            <w:pPr>
              <w:pStyle w:val="14"/>
              <w:spacing w:before="142"/>
              <w:ind w:left="136" w:right="130"/>
              <w:rPr>
                <w:sz w:val="21"/>
              </w:rPr>
            </w:pPr>
            <w:r>
              <w:rPr>
                <w:sz w:val="21"/>
              </w:rPr>
              <w:t>二级</w:t>
            </w:r>
          </w:p>
        </w:tc>
        <w:tc>
          <w:tcPr>
            <w:tcW w:w="740" w:type="dxa"/>
          </w:tcPr>
          <w:p>
            <w:pPr>
              <w:pStyle w:val="14"/>
              <w:spacing w:before="142"/>
              <w:ind w:left="135" w:right="130"/>
              <w:rPr>
                <w:sz w:val="21"/>
              </w:rPr>
            </w:pPr>
            <w:r>
              <w:rPr>
                <w:sz w:val="21"/>
              </w:rPr>
              <w:t>二级</w:t>
            </w:r>
          </w:p>
        </w:tc>
        <w:tc>
          <w:tcPr>
            <w:tcW w:w="741" w:type="dxa"/>
          </w:tcPr>
          <w:p>
            <w:pPr>
              <w:pStyle w:val="14"/>
              <w:spacing w:before="142"/>
              <w:ind w:left="137" w:right="130"/>
              <w:rPr>
                <w:sz w:val="21"/>
              </w:rPr>
            </w:pPr>
            <w:r>
              <w:rPr>
                <w:sz w:val="21"/>
              </w:rPr>
              <w:t>二级</w:t>
            </w:r>
          </w:p>
        </w:tc>
        <w:tc>
          <w:tcPr>
            <w:tcW w:w="740" w:type="dxa"/>
          </w:tcPr>
          <w:p>
            <w:pPr>
              <w:pStyle w:val="14"/>
              <w:spacing w:before="142"/>
              <w:ind w:left="134" w:right="130"/>
              <w:rPr>
                <w:sz w:val="21"/>
              </w:rPr>
            </w:pPr>
            <w:r>
              <w:rPr>
                <w:sz w:val="21"/>
              </w:rPr>
              <w:t>三级</w:t>
            </w:r>
          </w:p>
        </w:tc>
        <w:tc>
          <w:tcPr>
            <w:tcW w:w="741" w:type="dxa"/>
          </w:tcPr>
          <w:p>
            <w:pPr>
              <w:pStyle w:val="14"/>
              <w:spacing w:before="142"/>
              <w:ind w:left="137" w:right="130"/>
              <w:rPr>
                <w:sz w:val="21"/>
              </w:rPr>
            </w:pPr>
            <w:r>
              <w:rPr>
                <w:sz w:val="21"/>
              </w:rPr>
              <w:t>三级</w:t>
            </w:r>
          </w:p>
        </w:tc>
        <w:tc>
          <w:tcPr>
            <w:tcW w:w="740" w:type="dxa"/>
          </w:tcPr>
          <w:p>
            <w:pPr>
              <w:pStyle w:val="14"/>
              <w:spacing w:before="142"/>
              <w:ind w:left="137" w:right="128"/>
              <w:rPr>
                <w:sz w:val="21"/>
              </w:rPr>
            </w:pPr>
            <w:r>
              <w:rPr>
                <w:sz w:val="21"/>
              </w:rPr>
              <w:t>三级</w:t>
            </w:r>
          </w:p>
        </w:tc>
        <w:tc>
          <w:tcPr>
            <w:tcW w:w="734" w:type="dxa"/>
          </w:tcPr>
          <w:p>
            <w:pPr>
              <w:pStyle w:val="14"/>
              <w:spacing w:before="156"/>
              <w:ind w:left="11"/>
              <w:rPr>
                <w:rFonts w:ascii="Times New Roman"/>
                <w:sz w:val="21"/>
              </w:rPr>
            </w:pPr>
            <w:r>
              <w:rPr>
                <w:rFonts w:ascii="Times New Roman"/>
                <w:w w:val="99"/>
                <w:sz w:val="21"/>
              </w:rPr>
              <w:t>-</w:t>
            </w:r>
          </w:p>
        </w:tc>
        <w:tc>
          <w:tcPr>
            <w:tcW w:w="739" w:type="dxa"/>
          </w:tcPr>
          <w:p>
            <w:pPr>
              <w:pStyle w:val="14"/>
              <w:spacing w:before="156"/>
              <w:ind w:left="11"/>
              <w:rPr>
                <w:rFonts w:ascii="Times New Roman"/>
                <w:sz w:val="21"/>
              </w:rPr>
            </w:pPr>
            <w:r>
              <w:rPr>
                <w:rFonts w:ascii="Times New Roman"/>
                <w:w w:val="99"/>
                <w:sz w:val="21"/>
              </w:rPr>
              <w:t>-</w:t>
            </w:r>
          </w:p>
        </w:tc>
      </w:tr>
    </w:tbl>
    <w:p>
      <w:pPr>
        <w:pStyle w:val="6"/>
        <w:spacing w:before="1"/>
        <w:ind w:left="1138"/>
        <w:jc w:val="both"/>
      </w:pPr>
      <w:r>
        <w:t xml:space="preserve">由表 </w:t>
      </w:r>
      <w:r>
        <w:rPr>
          <w:rFonts w:ascii="Times New Roman" w:eastAsia="Times New Roman"/>
        </w:rPr>
        <w:t xml:space="preserve">2.4-16 </w:t>
      </w:r>
      <w:r>
        <w:t>中可以看出，本项目工业广场土壤环境评价工作等级为三级。</w:t>
      </w:r>
    </w:p>
    <w:p>
      <w:pPr>
        <w:pStyle w:val="4"/>
        <w:numPr>
          <w:ilvl w:val="1"/>
          <w:numId w:val="15"/>
        </w:numPr>
        <w:tabs>
          <w:tab w:val="left" w:pos="1079"/>
        </w:tabs>
        <w:spacing w:before="161" w:after="0" w:line="240" w:lineRule="auto"/>
        <w:ind w:left="1078" w:right="0" w:hanging="421"/>
        <w:jc w:val="left"/>
        <w:rPr>
          <w:rFonts w:ascii="Times New Roman" w:eastAsia="Times New Roman"/>
        </w:rPr>
      </w:pPr>
      <w:bookmarkStart w:id="51" w:name="_bookmark11"/>
      <w:bookmarkEnd w:id="51"/>
      <w:bookmarkStart w:id="52" w:name="2.5环境风险"/>
      <w:bookmarkEnd w:id="52"/>
      <w:bookmarkStart w:id="53" w:name="_bookmark11"/>
      <w:bookmarkEnd w:id="53"/>
      <w:r>
        <w:t>环境风险</w:t>
      </w:r>
    </w:p>
    <w:p>
      <w:pPr>
        <w:pStyle w:val="6"/>
        <w:spacing w:before="185"/>
        <w:ind w:left="1138"/>
      </w:pPr>
      <w:r>
        <w:t>本项目危险物质主要为油类物质。</w:t>
      </w:r>
    </w:p>
    <w:p>
      <w:pPr>
        <w:pStyle w:val="6"/>
        <w:spacing w:before="159" w:line="364" w:lineRule="auto"/>
        <w:ind w:left="658" w:right="638" w:firstLine="480"/>
      </w:pPr>
      <w:r>
        <w:t>根据《建设项目环境风险评价技术导则》（</w:t>
      </w:r>
      <w:r>
        <w:rPr>
          <w:rFonts w:ascii="Times New Roman" w:eastAsia="Times New Roman"/>
        </w:rPr>
        <w:t>HJ169-2018</w:t>
      </w:r>
      <w:r>
        <w:t>）中关于环境风险潜势初判方式首先按式计算物质总量与临界量比值（</w:t>
      </w:r>
      <w:r>
        <w:rPr>
          <w:rFonts w:ascii="Times New Roman" w:eastAsia="Times New Roman"/>
        </w:rPr>
        <w:t>Q</w:t>
      </w:r>
      <w:r>
        <w:t>）</w:t>
      </w:r>
    </w:p>
    <w:p>
      <w:pPr>
        <w:spacing w:after="0" w:line="364" w:lineRule="auto"/>
        <w:sectPr>
          <w:footerReference r:id="rId7" w:type="default"/>
          <w:pgSz w:w="11910" w:h="16840"/>
          <w:pgMar w:top="1340" w:right="720" w:bottom="1080" w:left="760" w:header="0" w:footer="891" w:gutter="0"/>
          <w:pgNumType w:start="20"/>
        </w:sectPr>
      </w:pPr>
    </w:p>
    <w:p>
      <w:pPr>
        <w:spacing w:before="38" w:line="187" w:lineRule="auto"/>
        <w:ind w:left="3462" w:right="0" w:firstLine="0"/>
        <w:jc w:val="left"/>
        <w:rPr>
          <w:rFonts w:ascii="Times New Roman" w:hAnsi="Times New Roman"/>
          <w:sz w:val="22"/>
        </w:rPr>
      </w:pPr>
      <w:r>
        <mc:AlternateContent>
          <mc:Choice Requires="wps">
            <w:drawing>
              <wp:anchor distT="0" distB="0" distL="114300" distR="114300" simplePos="0" relativeHeight="214104064" behindDoc="1" locked="0" layoutInCell="1" allowOverlap="1">
                <wp:simplePos x="0" y="0"/>
                <wp:positionH relativeFrom="page">
                  <wp:posOffset>3105150</wp:posOffset>
                </wp:positionH>
                <wp:positionV relativeFrom="paragraph">
                  <wp:posOffset>321945</wp:posOffset>
                </wp:positionV>
                <wp:extent cx="280035" cy="0"/>
                <wp:effectExtent l="0" t="0" r="0" b="0"/>
                <wp:wrapNone/>
                <wp:docPr id="10" name="直线 8"/>
                <wp:cNvGraphicFramePr/>
                <a:graphic xmlns:a="http://schemas.openxmlformats.org/drawingml/2006/main">
                  <a:graphicData uri="http://schemas.microsoft.com/office/word/2010/wordprocessingShape">
                    <wps:wsp>
                      <wps:cNvSpPr/>
                      <wps:spPr>
                        <a:xfrm>
                          <a:off x="0" y="0"/>
                          <a:ext cx="280035" cy="0"/>
                        </a:xfrm>
                        <a:prstGeom prst="line">
                          <a:avLst/>
                        </a:prstGeom>
                        <a:ln w="10109" cap="flat" cmpd="sng">
                          <a:solidFill>
                            <a:srgbClr val="000000"/>
                          </a:solidFill>
                          <a:prstDash val="solid"/>
                          <a:headEnd type="none" w="med" len="med"/>
                          <a:tailEnd type="none" w="med" len="med"/>
                        </a:ln>
                      </wps:spPr>
                      <wps:bodyPr upright="1"/>
                    </wps:wsp>
                  </a:graphicData>
                </a:graphic>
              </wp:anchor>
            </w:drawing>
          </mc:Choice>
          <mc:Fallback>
            <w:pict>
              <v:line id="直线 8" o:spid="_x0000_s1026" o:spt="20" style="position:absolute;left:0pt;margin-left:244.5pt;margin-top:25.35pt;height:0pt;width:22.05pt;mso-position-horizontal-relative:page;z-index:-289212416;mso-width-relative:page;mso-height-relative:page;" filled="f" stroked="t" coordsize="21600,21600" o:gfxdata="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&#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s5buS2QAAAAkBAAAPAAAAAAAAAAEAIAAAACIAAABk&#10;cnMvZG93bnJldi54bWxQSwECFAAUAAAACACHTuJAFqukwswBAACOAwAADgAAAAAAAAABACAAAAAo&#10;AQAAZHJzL2Uyb0RvYy54bWxQSwUGAAAAAAYABgBZAQAAZgUAAAAA&#10;">
                <v:fill on="f" focussize="0,0"/>
                <v:stroke weight="0.795984251968504pt" color="#000000" joinstyle="round"/>
                <v:imagedata o:title=""/>
                <o:lock v:ext="edit" aspectratio="f"/>
              </v:line>
            </w:pict>
          </mc:Fallback>
        </mc:AlternateContent>
      </w:r>
      <w:r>
        <mc:AlternateContent>
          <mc:Choice Requires="wps">
            <w:drawing>
              <wp:anchor distT="0" distB="0" distL="114300" distR="114300" simplePos="0" relativeHeight="214105088" behindDoc="1" locked="0" layoutInCell="1" allowOverlap="1">
                <wp:simplePos x="0" y="0"/>
                <wp:positionH relativeFrom="page">
                  <wp:posOffset>3616325</wp:posOffset>
                </wp:positionH>
                <wp:positionV relativeFrom="paragraph">
                  <wp:posOffset>321945</wp:posOffset>
                </wp:positionV>
                <wp:extent cx="306705" cy="0"/>
                <wp:effectExtent l="0" t="0" r="0" b="0"/>
                <wp:wrapNone/>
                <wp:docPr id="12" name="直线 9"/>
                <wp:cNvGraphicFramePr/>
                <a:graphic xmlns:a="http://schemas.openxmlformats.org/drawingml/2006/main">
                  <a:graphicData uri="http://schemas.microsoft.com/office/word/2010/wordprocessingShape">
                    <wps:wsp>
                      <wps:cNvSpPr/>
                      <wps:spPr>
                        <a:xfrm>
                          <a:off x="0" y="0"/>
                          <a:ext cx="306705" cy="0"/>
                        </a:xfrm>
                        <a:prstGeom prst="line">
                          <a:avLst/>
                        </a:prstGeom>
                        <a:ln w="10109" cap="flat" cmpd="sng">
                          <a:solidFill>
                            <a:srgbClr val="000000"/>
                          </a:solidFill>
                          <a:prstDash val="solid"/>
                          <a:headEnd type="none" w="med" len="med"/>
                          <a:tailEnd type="none" w="med" len="med"/>
                        </a:ln>
                      </wps:spPr>
                      <wps:bodyPr upright="1"/>
                    </wps:wsp>
                  </a:graphicData>
                </a:graphic>
              </wp:anchor>
            </w:drawing>
          </mc:Choice>
          <mc:Fallback>
            <w:pict>
              <v:line id="直线 9" o:spid="_x0000_s1026" o:spt="20" style="position:absolute;left:0pt;margin-left:284.75pt;margin-top:25.35pt;height:0pt;width:24.15pt;mso-position-horizontal-relative:page;z-index:-289211392;mso-width-relative:page;mso-height-relative:page;" filled="f" stroked="t" coordsize="21600,21600" o:gfxdata="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&#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D0WV8LYAAAACQEAAA8AAAAAAAAAAQAgAAAAIgAAAGRy&#10;cy9kb3ducmV2LnhtbFBLAQIUABQAAAAIAIdO4kDpCkxEzAEAAI4DAAAOAAAAAAAAAAEAIAAAACcB&#10;AABkcnMvZTJvRG9jLnhtbFBLBQYAAAAABgAGAFkBAABlBQAAAAA=&#10;">
                <v:fill on="f" focussize="0,0"/>
                <v:stroke weight="0.795984251968504pt" color="#000000" joinstyle="round"/>
                <v:imagedata o:title=""/>
                <o:lock v:ext="edit" aspectratio="f"/>
              </v:line>
            </w:pict>
          </mc:Fallback>
        </mc:AlternateContent>
      </w:r>
      <w:r>
        <w:rPr>
          <w:rFonts w:ascii="Times New Roman" w:hAnsi="Times New Roman"/>
          <w:position w:val="-23"/>
          <w:sz w:val="38"/>
        </w:rPr>
        <w:t xml:space="preserve">Q </w:t>
      </w:r>
      <w:r>
        <w:rPr>
          <w:rFonts w:ascii="Symbol" w:hAnsi="Symbol"/>
          <w:position w:val="-23"/>
          <w:sz w:val="38"/>
        </w:rPr>
        <w:t></w:t>
      </w:r>
      <w:r>
        <w:rPr>
          <w:rFonts w:ascii="Times New Roman" w:hAnsi="Times New Roman"/>
          <w:position w:val="-23"/>
          <w:sz w:val="38"/>
        </w:rPr>
        <w:t xml:space="preserve"> </w:t>
      </w:r>
      <w:r>
        <w:rPr>
          <w:rFonts w:ascii="Times New Roman" w:hAnsi="Times New Roman"/>
          <w:sz w:val="38"/>
        </w:rPr>
        <w:t xml:space="preserve">q </w:t>
      </w:r>
      <w:r>
        <w:rPr>
          <w:rFonts w:ascii="Times New Roman" w:hAnsi="Times New Roman"/>
          <w:sz w:val="22"/>
        </w:rPr>
        <w:t xml:space="preserve">1  </w:t>
      </w:r>
      <w:r>
        <w:rPr>
          <w:rFonts w:ascii="Symbol" w:hAnsi="Symbol"/>
          <w:position w:val="-23"/>
          <w:sz w:val="38"/>
        </w:rPr>
        <w:t></w:t>
      </w:r>
      <w:r>
        <w:rPr>
          <w:rFonts w:ascii="Times New Roman" w:hAnsi="Times New Roman"/>
          <w:position w:val="-23"/>
          <w:sz w:val="38"/>
        </w:rPr>
        <w:t xml:space="preserve"> </w:t>
      </w:r>
      <w:r>
        <w:rPr>
          <w:rFonts w:ascii="Times New Roman" w:hAnsi="Times New Roman"/>
          <w:sz w:val="38"/>
        </w:rPr>
        <w:t>q</w:t>
      </w:r>
      <w:r>
        <w:rPr>
          <w:rFonts w:ascii="Times New Roman" w:hAnsi="Times New Roman"/>
          <w:spacing w:val="18"/>
          <w:sz w:val="38"/>
        </w:rPr>
        <w:t xml:space="preserve"> </w:t>
      </w:r>
      <w:r>
        <w:rPr>
          <w:rFonts w:ascii="Times New Roman" w:hAnsi="Times New Roman"/>
          <w:sz w:val="22"/>
        </w:rPr>
        <w:t>2</w:t>
      </w:r>
    </w:p>
    <w:p>
      <w:pPr>
        <w:tabs>
          <w:tab w:val="left" w:pos="804"/>
        </w:tabs>
        <w:spacing w:before="0" w:line="366" w:lineRule="exact"/>
        <w:ind w:left="0" w:right="0" w:firstLine="0"/>
        <w:jc w:val="right"/>
        <w:rPr>
          <w:rFonts w:ascii="Times New Roman"/>
          <w:sz w:val="22"/>
        </w:rPr>
      </w:pPr>
      <w:r>
        <w:rPr>
          <w:rFonts w:ascii="Times New Roman"/>
          <w:spacing w:val="14"/>
          <w:sz w:val="38"/>
        </w:rPr>
        <w:t>Q</w:t>
      </w:r>
      <w:r>
        <w:rPr>
          <w:rFonts w:ascii="Times New Roman"/>
          <w:spacing w:val="14"/>
          <w:sz w:val="22"/>
        </w:rPr>
        <w:t>1</w:t>
      </w:r>
      <w:r>
        <w:rPr>
          <w:rFonts w:ascii="Times New Roman"/>
          <w:spacing w:val="14"/>
          <w:sz w:val="22"/>
        </w:rPr>
        <w:tab/>
      </w:r>
      <w:r>
        <w:rPr>
          <w:rFonts w:ascii="Times New Roman"/>
          <w:sz w:val="38"/>
        </w:rPr>
        <w:t>Q</w:t>
      </w:r>
      <w:r>
        <w:rPr>
          <w:rFonts w:ascii="Times New Roman"/>
          <w:spacing w:val="-38"/>
          <w:sz w:val="38"/>
        </w:rPr>
        <w:t xml:space="preserve"> </w:t>
      </w:r>
      <w:r>
        <w:rPr>
          <w:rFonts w:ascii="Times New Roman"/>
          <w:sz w:val="22"/>
        </w:rPr>
        <w:t>2</w:t>
      </w:r>
    </w:p>
    <w:p>
      <w:pPr>
        <w:spacing w:before="9" w:line="675" w:lineRule="exact"/>
        <w:ind w:left="57" w:right="0" w:firstLine="0"/>
        <w:jc w:val="left"/>
        <w:rPr>
          <w:rFonts w:ascii="Times New Roman" w:hAnsi="Times New Roman"/>
          <w:sz w:val="22"/>
        </w:rPr>
      </w:pPr>
      <w:r>
        <w:br w:type="column"/>
      </w:r>
      <w:r>
        <w:rPr>
          <w:rFonts w:ascii="Symbol" w:hAnsi="Symbol"/>
          <w:spacing w:val="22"/>
          <w:sz w:val="38"/>
        </w:rPr>
        <w:t></w:t>
      </w:r>
      <w:r>
        <w:rPr>
          <w:rFonts w:ascii="MT Extra" w:hAnsi="MT Extra"/>
          <w:spacing w:val="22"/>
          <w:sz w:val="38"/>
        </w:rPr>
        <w:t></w:t>
      </w:r>
      <w:r>
        <w:rPr>
          <w:rFonts w:ascii="Symbol" w:hAnsi="Symbol"/>
          <w:spacing w:val="22"/>
          <w:sz w:val="38"/>
        </w:rPr>
        <w:t></w:t>
      </w:r>
      <w:r>
        <w:rPr>
          <w:rFonts w:ascii="Times New Roman" w:hAnsi="Times New Roman"/>
          <w:spacing w:val="52"/>
          <w:sz w:val="38"/>
        </w:rPr>
        <w:t xml:space="preserve"> </w:t>
      </w:r>
      <w:r>
        <w:rPr>
          <w:rFonts w:ascii="Times New Roman" w:hAnsi="Times New Roman"/>
          <w:position w:val="24"/>
          <w:sz w:val="38"/>
        </w:rPr>
        <w:t>q</w:t>
      </w:r>
      <w:r>
        <w:rPr>
          <w:rFonts w:ascii="Times New Roman" w:hAnsi="Times New Roman"/>
          <w:position w:val="24"/>
          <w:sz w:val="22"/>
        </w:rPr>
        <w:t>n</w:t>
      </w:r>
    </w:p>
    <w:p>
      <w:pPr>
        <w:spacing w:before="0" w:line="301" w:lineRule="exact"/>
        <w:ind w:left="1025" w:right="0" w:firstLine="0"/>
        <w:jc w:val="left"/>
        <w:rPr>
          <w:rFonts w:ascii="Times New Roman"/>
          <w:sz w:val="22"/>
        </w:rPr>
      </w:pPr>
      <w:r>
        <mc:AlternateContent>
          <mc:Choice Requires="wps">
            <w:drawing>
              <wp:anchor distT="0" distB="0" distL="114300" distR="114300" simplePos="0" relativeHeight="214106112" behindDoc="1" locked="0" layoutInCell="1" allowOverlap="1">
                <wp:simplePos x="0" y="0"/>
                <wp:positionH relativeFrom="page">
                  <wp:posOffset>4574540</wp:posOffset>
                </wp:positionH>
                <wp:positionV relativeFrom="paragraph">
                  <wp:posOffset>-111760</wp:posOffset>
                </wp:positionV>
                <wp:extent cx="277495" cy="0"/>
                <wp:effectExtent l="0" t="0" r="0" b="0"/>
                <wp:wrapNone/>
                <wp:docPr id="14" name="直线 10"/>
                <wp:cNvGraphicFramePr/>
                <a:graphic xmlns:a="http://schemas.openxmlformats.org/drawingml/2006/main">
                  <a:graphicData uri="http://schemas.microsoft.com/office/word/2010/wordprocessingShape">
                    <wps:wsp>
                      <wps:cNvSpPr/>
                      <wps:spPr>
                        <a:xfrm>
                          <a:off x="0" y="0"/>
                          <a:ext cx="277495" cy="0"/>
                        </a:xfrm>
                        <a:prstGeom prst="line">
                          <a:avLst/>
                        </a:prstGeom>
                        <a:ln w="10109" cap="flat" cmpd="sng">
                          <a:solidFill>
                            <a:srgbClr val="000000"/>
                          </a:solidFill>
                          <a:prstDash val="solid"/>
                          <a:headEnd type="none" w="med" len="med"/>
                          <a:tailEnd type="none" w="med" len="med"/>
                        </a:ln>
                      </wps:spPr>
                      <wps:bodyPr upright="1"/>
                    </wps:wsp>
                  </a:graphicData>
                </a:graphic>
              </wp:anchor>
            </w:drawing>
          </mc:Choice>
          <mc:Fallback>
            <w:pict>
              <v:line id="直线 10" o:spid="_x0000_s1026" o:spt="20" style="position:absolute;left:0pt;margin-left:360.2pt;margin-top:-8.8pt;height:0pt;width:21.85pt;mso-position-horizontal-relative:page;z-index:-289210368;mso-width-relative:page;mso-height-relative:page;" filled="f" stroked="t" coordsize="21600,21600" o:gfxdata="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KIE+N2QAAAAsBAAAPAAAAAAAAAAEAIAAAACIAAABk&#10;cnMvZG93bnJldi54bWxQSwECFAAUAAAACACHTuJAwvFA58wBAACPAwAADgAAAAAAAAABACAAAAAo&#10;AQAAZHJzL2Uyb0RvYy54bWxQSwUGAAAAAAYABgBZAQAAZgUAAAAA&#10;">
                <v:fill on="f" focussize="0,0"/>
                <v:stroke weight="0.795984251968504pt" color="#000000" joinstyle="round"/>
                <v:imagedata o:title=""/>
                <o:lock v:ext="edit" aspectratio="f"/>
              </v:line>
            </w:pict>
          </mc:Fallback>
        </mc:AlternateContent>
      </w:r>
      <w:r>
        <w:rPr>
          <w:rFonts w:ascii="Times New Roman"/>
          <w:sz w:val="38"/>
        </w:rPr>
        <w:t>Q</w:t>
      </w:r>
      <w:r>
        <w:rPr>
          <w:rFonts w:ascii="Times New Roman"/>
          <w:sz w:val="22"/>
        </w:rPr>
        <w:t>n</w:t>
      </w:r>
    </w:p>
    <w:p>
      <w:pPr>
        <w:spacing w:after="0" w:line="301" w:lineRule="exact"/>
        <w:jc w:val="left"/>
        <w:rPr>
          <w:rFonts w:ascii="Times New Roman"/>
          <w:sz w:val="22"/>
        </w:rPr>
        <w:sectPr>
          <w:type w:val="continuous"/>
          <w:pgSz w:w="11910" w:h="16840"/>
          <w:pgMar w:top="1580" w:right="720" w:bottom="280" w:left="760" w:header="720" w:footer="720" w:gutter="0"/>
          <w:cols w:equalWidth="0" w:num="2">
            <w:col w:w="5399" w:space="40"/>
            <w:col w:w="4991"/>
          </w:cols>
        </w:sectPr>
      </w:pPr>
    </w:p>
    <w:p>
      <w:pPr>
        <w:pStyle w:val="6"/>
        <w:spacing w:before="1"/>
        <w:rPr>
          <w:rFonts w:ascii="Times New Roman"/>
          <w:sz w:val="11"/>
        </w:rPr>
      </w:pPr>
    </w:p>
    <w:p>
      <w:pPr>
        <w:pStyle w:val="6"/>
        <w:spacing w:before="73"/>
        <w:ind w:left="1138"/>
      </w:pPr>
      <w:r>
        <w:rPr>
          <w:position w:val="2"/>
        </w:rPr>
        <w:t>式中：</w:t>
      </w:r>
      <w:r>
        <w:rPr>
          <w:rFonts w:ascii="Times New Roman" w:hAnsi="Times New Roman" w:eastAsia="Times New Roman"/>
          <w:position w:val="2"/>
        </w:rPr>
        <w:t>q</w:t>
      </w:r>
      <w:r>
        <w:rPr>
          <w:rFonts w:ascii="Times New Roman" w:hAnsi="Times New Roman" w:eastAsia="Times New Roman"/>
          <w:position w:val="2"/>
          <w:vertAlign w:val="subscript"/>
        </w:rPr>
        <w:t>1</w:t>
      </w:r>
      <w:r>
        <w:rPr>
          <w:rFonts w:ascii="Times New Roman" w:hAnsi="Times New Roman" w:eastAsia="Times New Roman"/>
          <w:position w:val="2"/>
          <w:vertAlign w:val="baseline"/>
        </w:rPr>
        <w:t>,q</w:t>
      </w:r>
      <w:r>
        <w:rPr>
          <w:rFonts w:ascii="Times New Roman" w:hAnsi="Times New Roman" w:eastAsia="Times New Roman"/>
          <w:position w:val="2"/>
          <w:vertAlign w:val="subscript"/>
        </w:rPr>
        <w:t>2</w:t>
      </w:r>
      <w:r>
        <w:rPr>
          <w:rFonts w:ascii="Times New Roman" w:hAnsi="Times New Roman" w:eastAsia="Times New Roman"/>
          <w:position w:val="2"/>
          <w:vertAlign w:val="baseline"/>
        </w:rPr>
        <w:t>,…,q</w:t>
      </w:r>
      <w:r>
        <w:rPr>
          <w:rFonts w:ascii="Times New Roman" w:hAnsi="Times New Roman" w:eastAsia="Times New Roman"/>
          <w:position w:val="2"/>
          <w:vertAlign w:val="subscript"/>
        </w:rPr>
        <w:t>n</w:t>
      </w:r>
      <w:r>
        <w:rPr>
          <w:rFonts w:ascii="Times New Roman" w:hAnsi="Times New Roman" w:eastAsia="Times New Roman"/>
          <w:position w:val="2"/>
          <w:vertAlign w:val="baseline"/>
        </w:rPr>
        <w:t>——</w:t>
      </w:r>
      <w:r>
        <w:rPr>
          <w:position w:val="2"/>
          <w:vertAlign w:val="baseline"/>
        </w:rPr>
        <w:t>每种危险物质的最大存在总量，</w:t>
      </w:r>
      <w:r>
        <w:rPr>
          <w:rFonts w:ascii="Times New Roman" w:hAnsi="Times New Roman" w:eastAsia="Times New Roman"/>
          <w:position w:val="2"/>
          <w:vertAlign w:val="baseline"/>
        </w:rPr>
        <w:t>t</w:t>
      </w:r>
      <w:r>
        <w:rPr>
          <w:position w:val="2"/>
          <w:vertAlign w:val="baseline"/>
        </w:rPr>
        <w:t>；</w:t>
      </w:r>
    </w:p>
    <w:p>
      <w:pPr>
        <w:pStyle w:val="6"/>
        <w:spacing w:before="154" w:line="364" w:lineRule="auto"/>
        <w:ind w:left="1138" w:right="4687"/>
      </w:pPr>
      <w:r>
        <w:rPr>
          <w:rFonts w:ascii="Times New Roman" w:hAnsi="Times New Roman" w:eastAsia="Times New Roman"/>
          <w:position w:val="2"/>
        </w:rPr>
        <w:t>Q</w:t>
      </w:r>
      <w:r>
        <w:rPr>
          <w:rFonts w:ascii="Times New Roman" w:hAnsi="Times New Roman" w:eastAsia="Times New Roman"/>
          <w:position w:val="2"/>
          <w:vertAlign w:val="subscript"/>
        </w:rPr>
        <w:t>1</w:t>
      </w:r>
      <w:r>
        <w:rPr>
          <w:rFonts w:ascii="Times New Roman" w:hAnsi="Times New Roman" w:eastAsia="Times New Roman"/>
          <w:position w:val="2"/>
          <w:vertAlign w:val="baseline"/>
        </w:rPr>
        <w:t>,Q</w:t>
      </w:r>
      <w:r>
        <w:rPr>
          <w:rFonts w:ascii="Times New Roman" w:hAnsi="Times New Roman" w:eastAsia="Times New Roman"/>
          <w:position w:val="2"/>
          <w:vertAlign w:val="subscript"/>
        </w:rPr>
        <w:t>2</w:t>
      </w:r>
      <w:r>
        <w:rPr>
          <w:rFonts w:ascii="Times New Roman" w:hAnsi="Times New Roman" w:eastAsia="Times New Roman"/>
          <w:position w:val="2"/>
          <w:vertAlign w:val="baseline"/>
        </w:rPr>
        <w:t>,…,Q</w:t>
      </w:r>
      <w:r>
        <w:rPr>
          <w:rFonts w:ascii="Times New Roman" w:hAnsi="Times New Roman" w:eastAsia="Times New Roman"/>
          <w:position w:val="2"/>
          <w:vertAlign w:val="subscript"/>
        </w:rPr>
        <w:t>n</w:t>
      </w:r>
      <w:r>
        <w:rPr>
          <w:rFonts w:ascii="Times New Roman" w:hAnsi="Times New Roman" w:eastAsia="Times New Roman"/>
          <w:position w:val="2"/>
          <w:vertAlign w:val="baseline"/>
        </w:rPr>
        <w:t>——</w:t>
      </w:r>
      <w:r>
        <w:rPr>
          <w:position w:val="2"/>
          <w:vertAlign w:val="baseline"/>
        </w:rPr>
        <w:t>每种危险物质的临界量，</w:t>
      </w:r>
      <w:r>
        <w:rPr>
          <w:rFonts w:ascii="Times New Roman" w:hAnsi="Times New Roman" w:eastAsia="Times New Roman"/>
          <w:position w:val="2"/>
          <w:vertAlign w:val="baseline"/>
        </w:rPr>
        <w:t>t</w:t>
      </w:r>
      <w:r>
        <w:rPr>
          <w:position w:val="2"/>
          <w:vertAlign w:val="baseline"/>
        </w:rPr>
        <w:t>。</w:t>
      </w:r>
      <w:r>
        <w:rPr>
          <w:vertAlign w:val="baseline"/>
        </w:rPr>
        <w:t xml:space="preserve">当 </w:t>
      </w:r>
      <w:r>
        <w:rPr>
          <w:rFonts w:ascii="Times New Roman" w:hAnsi="Times New Roman" w:eastAsia="Times New Roman"/>
          <w:vertAlign w:val="baseline"/>
        </w:rPr>
        <w:t xml:space="preserve">Q&lt;1 </w:t>
      </w:r>
      <w:r>
        <w:rPr>
          <w:vertAlign w:val="baseline"/>
        </w:rPr>
        <w:t>时，该项目环境风险潜势为Ⅰ</w:t>
      </w:r>
    </w:p>
    <w:p>
      <w:pPr>
        <w:pStyle w:val="6"/>
        <w:spacing w:line="305" w:lineRule="exact"/>
        <w:ind w:left="1138"/>
      </w:pPr>
      <w:r>
        <w:t xml:space="preserve">当 </w:t>
      </w:r>
      <w:r>
        <w:rPr>
          <w:rFonts w:ascii="Times New Roman" w:hAnsi="Times New Roman" w:eastAsia="Times New Roman"/>
        </w:rPr>
        <w:t xml:space="preserve">Q≥1 </w:t>
      </w:r>
      <w:r>
        <w:t xml:space="preserve">时，将 </w:t>
      </w:r>
      <w:r>
        <w:rPr>
          <w:rFonts w:ascii="Times New Roman" w:hAnsi="Times New Roman" w:eastAsia="Times New Roman"/>
        </w:rPr>
        <w:t xml:space="preserve">Q </w:t>
      </w:r>
      <w:r>
        <w:t>值划分为：（</w:t>
      </w:r>
      <w:r>
        <w:rPr>
          <w:rFonts w:ascii="Times New Roman" w:hAnsi="Times New Roman" w:eastAsia="Times New Roman"/>
        </w:rPr>
        <w:t>1</w:t>
      </w:r>
      <w:r>
        <w:t>）</w:t>
      </w:r>
      <w:r>
        <w:rPr>
          <w:rFonts w:ascii="Times New Roman" w:hAnsi="Times New Roman" w:eastAsia="Times New Roman"/>
        </w:rPr>
        <w:t>1≤Q&lt;10</w:t>
      </w:r>
      <w:r>
        <w:t>；（</w:t>
      </w:r>
      <w:r>
        <w:rPr>
          <w:rFonts w:ascii="Times New Roman" w:hAnsi="Times New Roman" w:eastAsia="Times New Roman"/>
        </w:rPr>
        <w:t>2</w:t>
      </w:r>
      <w:r>
        <w:t>）</w:t>
      </w:r>
      <w:r>
        <w:rPr>
          <w:rFonts w:ascii="Times New Roman" w:hAnsi="Times New Roman" w:eastAsia="Times New Roman"/>
        </w:rPr>
        <w:t>10≤Q&lt;100</w:t>
      </w:r>
      <w:r>
        <w:t>；（</w:t>
      </w:r>
      <w:r>
        <w:rPr>
          <w:rFonts w:ascii="Times New Roman" w:hAnsi="Times New Roman" w:eastAsia="Times New Roman"/>
        </w:rPr>
        <w:t>3</w:t>
      </w:r>
      <w:r>
        <w:t>）</w:t>
      </w:r>
      <w:r>
        <w:rPr>
          <w:rFonts w:ascii="Times New Roman" w:hAnsi="Times New Roman" w:eastAsia="Times New Roman"/>
        </w:rPr>
        <w:t>Q≥100</w:t>
      </w:r>
      <w:r>
        <w:t>。</w:t>
      </w:r>
    </w:p>
    <w:p>
      <w:pPr>
        <w:spacing w:before="159"/>
        <w:ind w:left="1553" w:right="1583" w:firstLine="0"/>
        <w:jc w:val="center"/>
        <w:rPr>
          <w:b/>
          <w:sz w:val="21"/>
        </w:rPr>
      </w:pPr>
      <w:r>
        <w:rPr>
          <w:b/>
          <w:sz w:val="21"/>
        </w:rPr>
        <w:t xml:space="preserve">表 </w:t>
      </w:r>
      <w:r>
        <w:rPr>
          <w:rFonts w:ascii="Times New Roman" w:eastAsia="Times New Roman"/>
          <w:b/>
          <w:sz w:val="21"/>
        </w:rPr>
        <w:t xml:space="preserve">2.5-1 </w:t>
      </w:r>
      <w:r>
        <w:rPr>
          <w:b/>
          <w:sz w:val="21"/>
        </w:rPr>
        <w:t xml:space="preserve">建设项目 </w:t>
      </w:r>
      <w:r>
        <w:rPr>
          <w:rFonts w:ascii="Times New Roman" w:eastAsia="Times New Roman"/>
          <w:b/>
          <w:sz w:val="21"/>
        </w:rPr>
        <w:t xml:space="preserve">Q </w:t>
      </w:r>
      <w:r>
        <w:rPr>
          <w:b/>
          <w:sz w:val="21"/>
        </w:rPr>
        <w:t>值确定表</w:t>
      </w:r>
    </w:p>
    <w:p>
      <w:pPr>
        <w:pStyle w:val="6"/>
        <w:spacing w:before="11"/>
        <w:rPr>
          <w:b/>
          <w:sz w:val="10"/>
        </w:rPr>
      </w:pPr>
    </w:p>
    <w:tbl>
      <w:tblPr>
        <w:tblStyle w:val="10"/>
        <w:tblW w:w="0" w:type="auto"/>
        <w:tblInd w:w="5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6"/>
        <w:gridCol w:w="1614"/>
        <w:gridCol w:w="1285"/>
        <w:gridCol w:w="1957"/>
        <w:gridCol w:w="1555"/>
        <w:gridCol w:w="18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66" w:type="dxa"/>
          </w:tcPr>
          <w:p>
            <w:pPr>
              <w:pStyle w:val="14"/>
              <w:spacing w:before="91"/>
              <w:ind w:left="138" w:right="134"/>
              <w:rPr>
                <w:sz w:val="21"/>
              </w:rPr>
            </w:pPr>
            <w:r>
              <w:rPr>
                <w:sz w:val="21"/>
              </w:rPr>
              <w:t>序号</w:t>
            </w:r>
          </w:p>
        </w:tc>
        <w:tc>
          <w:tcPr>
            <w:tcW w:w="1614" w:type="dxa"/>
          </w:tcPr>
          <w:p>
            <w:pPr>
              <w:pStyle w:val="14"/>
              <w:spacing w:before="91"/>
              <w:ind w:left="151" w:right="144"/>
              <w:rPr>
                <w:sz w:val="21"/>
              </w:rPr>
            </w:pPr>
            <w:r>
              <w:rPr>
                <w:sz w:val="21"/>
              </w:rPr>
              <w:t>危险物质名称</w:t>
            </w:r>
          </w:p>
        </w:tc>
        <w:tc>
          <w:tcPr>
            <w:tcW w:w="1285" w:type="dxa"/>
          </w:tcPr>
          <w:p>
            <w:pPr>
              <w:pStyle w:val="14"/>
              <w:spacing w:before="91"/>
              <w:ind w:left="282" w:right="272"/>
              <w:rPr>
                <w:sz w:val="21"/>
              </w:rPr>
            </w:pPr>
            <w:r>
              <w:rPr>
                <w:rFonts w:ascii="Times New Roman" w:eastAsia="Times New Roman"/>
                <w:sz w:val="21"/>
              </w:rPr>
              <w:t xml:space="preserve">CAS </w:t>
            </w:r>
            <w:r>
              <w:rPr>
                <w:sz w:val="21"/>
              </w:rPr>
              <w:t>号</w:t>
            </w:r>
          </w:p>
        </w:tc>
        <w:tc>
          <w:tcPr>
            <w:tcW w:w="1957" w:type="dxa"/>
          </w:tcPr>
          <w:p>
            <w:pPr>
              <w:pStyle w:val="14"/>
              <w:spacing w:before="91"/>
              <w:ind w:left="83" w:right="75"/>
              <w:rPr>
                <w:sz w:val="21"/>
              </w:rPr>
            </w:pPr>
            <w:r>
              <w:rPr>
                <w:sz w:val="21"/>
              </w:rPr>
              <w:t>最大存在总量（</w:t>
            </w:r>
            <w:r>
              <w:rPr>
                <w:rFonts w:ascii="Times New Roman" w:eastAsia="Times New Roman"/>
                <w:sz w:val="21"/>
              </w:rPr>
              <w:t>t</w:t>
            </w:r>
            <w:r>
              <w:rPr>
                <w:sz w:val="21"/>
              </w:rPr>
              <w:t>）</w:t>
            </w:r>
          </w:p>
        </w:tc>
        <w:tc>
          <w:tcPr>
            <w:tcW w:w="1555" w:type="dxa"/>
          </w:tcPr>
          <w:p>
            <w:pPr>
              <w:pStyle w:val="14"/>
              <w:spacing w:before="91"/>
              <w:ind w:left="125" w:right="118"/>
              <w:rPr>
                <w:sz w:val="21"/>
              </w:rPr>
            </w:pPr>
            <w:r>
              <w:rPr>
                <w:sz w:val="21"/>
              </w:rPr>
              <w:t>临界量（</w:t>
            </w:r>
            <w:r>
              <w:rPr>
                <w:rFonts w:ascii="Times New Roman" w:eastAsia="Times New Roman"/>
                <w:sz w:val="21"/>
              </w:rPr>
              <w:t>t</w:t>
            </w:r>
            <w:r>
              <w:rPr>
                <w:sz w:val="21"/>
              </w:rPr>
              <w:t>）</w:t>
            </w:r>
          </w:p>
        </w:tc>
        <w:tc>
          <w:tcPr>
            <w:tcW w:w="1871" w:type="dxa"/>
          </w:tcPr>
          <w:p>
            <w:pPr>
              <w:pStyle w:val="14"/>
              <w:spacing w:before="91"/>
              <w:ind w:left="129" w:right="121"/>
              <w:rPr>
                <w:sz w:val="21"/>
              </w:rPr>
            </w:pPr>
            <w:r>
              <w:rPr>
                <w:sz w:val="21"/>
              </w:rPr>
              <w:t xml:space="preserve">该种危险物 </w:t>
            </w:r>
            <w:r>
              <w:rPr>
                <w:rFonts w:ascii="Times New Roman" w:eastAsia="Times New Roman"/>
                <w:sz w:val="21"/>
              </w:rPr>
              <w:t xml:space="preserve">Q </w:t>
            </w:r>
            <w:r>
              <w:rPr>
                <w:sz w:val="21"/>
              </w:rPr>
              <w:t>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66" w:type="dxa"/>
          </w:tcPr>
          <w:p>
            <w:pPr>
              <w:pStyle w:val="14"/>
              <w:spacing w:before="104"/>
              <w:ind w:left="8"/>
              <w:rPr>
                <w:rFonts w:ascii="Times New Roman"/>
                <w:sz w:val="21"/>
              </w:rPr>
            </w:pPr>
            <w:r>
              <w:rPr>
                <w:rFonts w:ascii="Times New Roman"/>
                <w:w w:val="99"/>
                <w:sz w:val="21"/>
              </w:rPr>
              <w:t>1</w:t>
            </w:r>
          </w:p>
        </w:tc>
        <w:tc>
          <w:tcPr>
            <w:tcW w:w="1614" w:type="dxa"/>
          </w:tcPr>
          <w:p>
            <w:pPr>
              <w:pStyle w:val="14"/>
              <w:spacing w:before="90"/>
              <w:ind w:left="148" w:right="144"/>
              <w:rPr>
                <w:sz w:val="21"/>
              </w:rPr>
            </w:pPr>
            <w:r>
              <w:rPr>
                <w:sz w:val="21"/>
              </w:rPr>
              <w:t>油类物质</w:t>
            </w:r>
          </w:p>
        </w:tc>
        <w:tc>
          <w:tcPr>
            <w:tcW w:w="1285" w:type="dxa"/>
          </w:tcPr>
          <w:p>
            <w:pPr>
              <w:pStyle w:val="14"/>
              <w:spacing w:before="104"/>
              <w:ind w:left="7"/>
              <w:rPr>
                <w:rFonts w:ascii="Times New Roman"/>
                <w:sz w:val="21"/>
              </w:rPr>
            </w:pPr>
            <w:r>
              <w:rPr>
                <w:rFonts w:ascii="Times New Roman"/>
                <w:w w:val="99"/>
                <w:sz w:val="21"/>
              </w:rPr>
              <w:t>/</w:t>
            </w:r>
          </w:p>
        </w:tc>
        <w:tc>
          <w:tcPr>
            <w:tcW w:w="1957" w:type="dxa"/>
          </w:tcPr>
          <w:p>
            <w:pPr>
              <w:pStyle w:val="14"/>
              <w:spacing w:before="104"/>
              <w:ind w:left="84" w:right="75"/>
              <w:rPr>
                <w:rFonts w:ascii="Times New Roman"/>
                <w:sz w:val="21"/>
              </w:rPr>
            </w:pPr>
            <w:r>
              <w:rPr>
                <w:rFonts w:ascii="Times New Roman"/>
                <w:sz w:val="21"/>
              </w:rPr>
              <w:t>20</w:t>
            </w:r>
          </w:p>
        </w:tc>
        <w:tc>
          <w:tcPr>
            <w:tcW w:w="1555" w:type="dxa"/>
          </w:tcPr>
          <w:p>
            <w:pPr>
              <w:pStyle w:val="14"/>
              <w:spacing w:before="104"/>
              <w:ind w:left="125" w:right="115"/>
              <w:rPr>
                <w:rFonts w:ascii="Times New Roman"/>
                <w:sz w:val="21"/>
              </w:rPr>
            </w:pPr>
            <w:r>
              <w:rPr>
                <w:rFonts w:ascii="Times New Roman"/>
                <w:sz w:val="21"/>
              </w:rPr>
              <w:t>2500</w:t>
            </w:r>
          </w:p>
        </w:tc>
        <w:tc>
          <w:tcPr>
            <w:tcW w:w="1871" w:type="dxa"/>
          </w:tcPr>
          <w:p>
            <w:pPr>
              <w:pStyle w:val="14"/>
              <w:spacing w:before="104"/>
              <w:ind w:left="129" w:right="120"/>
              <w:rPr>
                <w:rFonts w:ascii="Times New Roman"/>
                <w:sz w:val="21"/>
              </w:rPr>
            </w:pPr>
            <w:r>
              <w:rPr>
                <w:rFonts w:ascii="Times New Roman"/>
                <w:sz w:val="21"/>
              </w:rPr>
              <w:t>0.008</w:t>
            </w:r>
          </w:p>
        </w:tc>
      </w:tr>
    </w:tbl>
    <w:p>
      <w:pPr>
        <w:spacing w:after="0"/>
        <w:rPr>
          <w:rFonts w:ascii="Times New Roman"/>
          <w:sz w:val="21"/>
        </w:rPr>
        <w:sectPr>
          <w:type w:val="continuous"/>
          <w:pgSz w:w="11910" w:h="16840"/>
          <w:pgMar w:top="1580" w:right="720" w:bottom="280" w:left="760" w:header="720" w:footer="720" w:gutter="0"/>
        </w:sectPr>
      </w:pPr>
    </w:p>
    <w:p>
      <w:pPr>
        <w:pStyle w:val="6"/>
        <w:spacing w:before="61"/>
        <w:ind w:left="1138"/>
      </w:pPr>
      <w:r>
        <w:rPr>
          <w:rFonts w:ascii="Times New Roman" w:hAnsi="Times New Roman" w:eastAsia="Times New Roman"/>
        </w:rPr>
        <w:t>Q&lt;1</w:t>
      </w:r>
      <w:r>
        <w:t>，因此本项目环境风险潜势为Ⅰ。</w:t>
      </w:r>
    </w:p>
    <w:p>
      <w:pPr>
        <w:spacing w:before="157"/>
        <w:ind w:left="1553" w:right="1585" w:firstLine="0"/>
        <w:jc w:val="center"/>
        <w:rPr>
          <w:b/>
          <w:sz w:val="21"/>
        </w:rPr>
      </w:pPr>
      <w:r>
        <w:rPr>
          <w:b/>
          <w:sz w:val="21"/>
        </w:rPr>
        <w:t xml:space="preserve">表 </w:t>
      </w:r>
      <w:r>
        <w:rPr>
          <w:rFonts w:ascii="Times New Roman" w:eastAsia="Times New Roman"/>
          <w:b/>
          <w:sz w:val="21"/>
        </w:rPr>
        <w:t xml:space="preserve">2.5-2 </w:t>
      </w:r>
      <w:r>
        <w:rPr>
          <w:b/>
          <w:sz w:val="21"/>
        </w:rPr>
        <w:t>评价工作等级划分</w:t>
      </w:r>
    </w:p>
    <w:p>
      <w:pPr>
        <w:pStyle w:val="6"/>
        <w:spacing w:before="12"/>
        <w:rPr>
          <w:b/>
          <w:sz w:val="10"/>
        </w:rPr>
      </w:pPr>
    </w:p>
    <w:tbl>
      <w:tblPr>
        <w:tblStyle w:val="10"/>
        <w:tblW w:w="0" w:type="auto"/>
        <w:tblInd w:w="66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73"/>
        <w:gridCol w:w="1864"/>
        <w:gridCol w:w="1472"/>
        <w:gridCol w:w="1472"/>
        <w:gridCol w:w="20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273" w:type="dxa"/>
          </w:tcPr>
          <w:p>
            <w:pPr>
              <w:pStyle w:val="14"/>
              <w:spacing w:before="92"/>
              <w:ind w:left="485" w:right="478"/>
              <w:rPr>
                <w:sz w:val="21"/>
              </w:rPr>
            </w:pPr>
            <w:r>
              <w:rPr>
                <w:sz w:val="21"/>
              </w:rPr>
              <w:t>环境风险潜势</w:t>
            </w:r>
          </w:p>
        </w:tc>
        <w:tc>
          <w:tcPr>
            <w:tcW w:w="1864" w:type="dxa"/>
          </w:tcPr>
          <w:p>
            <w:pPr>
              <w:pStyle w:val="14"/>
              <w:spacing w:before="92"/>
              <w:ind w:left="227" w:right="219"/>
              <w:rPr>
                <w:rFonts w:ascii="Times New Roman" w:hAnsi="Times New Roman" w:eastAsia="Times New Roman"/>
                <w:sz w:val="21"/>
              </w:rPr>
            </w:pPr>
            <w:r>
              <w:rPr>
                <w:sz w:val="21"/>
              </w:rPr>
              <w:t>Ⅳ，Ⅳ</w:t>
            </w:r>
            <w:r>
              <w:rPr>
                <w:rFonts w:ascii="Times New Roman" w:hAnsi="Times New Roman" w:eastAsia="Times New Roman"/>
                <w:sz w:val="21"/>
              </w:rPr>
              <w:t>+</w:t>
            </w:r>
          </w:p>
        </w:tc>
        <w:tc>
          <w:tcPr>
            <w:tcW w:w="1472" w:type="dxa"/>
          </w:tcPr>
          <w:p>
            <w:pPr>
              <w:pStyle w:val="14"/>
              <w:spacing w:before="92"/>
              <w:ind w:left="6"/>
              <w:rPr>
                <w:sz w:val="21"/>
              </w:rPr>
            </w:pPr>
            <w:r>
              <w:rPr>
                <w:w w:val="99"/>
                <w:sz w:val="21"/>
              </w:rPr>
              <w:t>Ⅲ</w:t>
            </w:r>
          </w:p>
        </w:tc>
        <w:tc>
          <w:tcPr>
            <w:tcW w:w="1472" w:type="dxa"/>
          </w:tcPr>
          <w:p>
            <w:pPr>
              <w:pStyle w:val="14"/>
              <w:spacing w:before="92"/>
              <w:ind w:left="9"/>
              <w:rPr>
                <w:sz w:val="21"/>
              </w:rPr>
            </w:pPr>
            <w:r>
              <w:rPr>
                <w:w w:val="99"/>
                <w:sz w:val="21"/>
              </w:rPr>
              <w:t>Ⅱ</w:t>
            </w:r>
          </w:p>
        </w:tc>
        <w:tc>
          <w:tcPr>
            <w:tcW w:w="2005" w:type="dxa"/>
          </w:tcPr>
          <w:p>
            <w:pPr>
              <w:pStyle w:val="14"/>
              <w:spacing w:before="92"/>
              <w:ind w:left="7"/>
              <w:rPr>
                <w:sz w:val="21"/>
              </w:rPr>
            </w:pPr>
            <w:r>
              <w:rPr>
                <w:w w:val="99"/>
                <w:sz w:val="21"/>
              </w:rPr>
              <w:t>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2273" w:type="dxa"/>
          </w:tcPr>
          <w:p>
            <w:pPr>
              <w:pStyle w:val="14"/>
              <w:spacing w:before="91"/>
              <w:ind w:left="485" w:right="478"/>
              <w:rPr>
                <w:sz w:val="21"/>
              </w:rPr>
            </w:pPr>
            <w:r>
              <w:rPr>
                <w:sz w:val="21"/>
              </w:rPr>
              <w:t>评价工作等级</w:t>
            </w:r>
          </w:p>
        </w:tc>
        <w:tc>
          <w:tcPr>
            <w:tcW w:w="1864" w:type="dxa"/>
          </w:tcPr>
          <w:p>
            <w:pPr>
              <w:pStyle w:val="14"/>
              <w:spacing w:before="91"/>
              <w:ind w:left="6"/>
              <w:rPr>
                <w:sz w:val="21"/>
              </w:rPr>
            </w:pPr>
            <w:r>
              <w:rPr>
                <w:w w:val="99"/>
                <w:sz w:val="21"/>
              </w:rPr>
              <w:t>一</w:t>
            </w:r>
          </w:p>
        </w:tc>
        <w:tc>
          <w:tcPr>
            <w:tcW w:w="1472" w:type="dxa"/>
          </w:tcPr>
          <w:p>
            <w:pPr>
              <w:pStyle w:val="14"/>
              <w:spacing w:before="91"/>
              <w:ind w:left="6"/>
              <w:rPr>
                <w:sz w:val="21"/>
              </w:rPr>
            </w:pPr>
            <w:r>
              <w:rPr>
                <w:w w:val="99"/>
                <w:sz w:val="21"/>
              </w:rPr>
              <w:t>二</w:t>
            </w:r>
          </w:p>
        </w:tc>
        <w:tc>
          <w:tcPr>
            <w:tcW w:w="1472" w:type="dxa"/>
          </w:tcPr>
          <w:p>
            <w:pPr>
              <w:pStyle w:val="14"/>
              <w:spacing w:before="91"/>
              <w:ind w:left="9"/>
              <w:rPr>
                <w:sz w:val="21"/>
              </w:rPr>
            </w:pPr>
            <w:r>
              <w:rPr>
                <w:w w:val="99"/>
                <w:sz w:val="21"/>
              </w:rPr>
              <w:t>三</w:t>
            </w:r>
          </w:p>
        </w:tc>
        <w:tc>
          <w:tcPr>
            <w:tcW w:w="2005" w:type="dxa"/>
          </w:tcPr>
          <w:p>
            <w:pPr>
              <w:pStyle w:val="14"/>
              <w:spacing w:before="91"/>
              <w:ind w:left="480" w:right="472"/>
              <w:rPr>
                <w:rFonts w:ascii="Times New Roman" w:eastAsia="Times New Roman"/>
                <w:sz w:val="13"/>
              </w:rPr>
            </w:pPr>
            <w:r>
              <w:rPr>
                <w:sz w:val="21"/>
              </w:rPr>
              <w:t xml:space="preserve">简单分析 </w:t>
            </w:r>
            <w:r>
              <w:rPr>
                <w:rFonts w:ascii="Times New Roman" w:eastAsia="Times New Roman"/>
                <w:position w:val="7"/>
                <w:sz w:val="13"/>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9086" w:type="dxa"/>
            <w:gridSpan w:val="5"/>
          </w:tcPr>
          <w:p>
            <w:pPr>
              <w:pStyle w:val="14"/>
              <w:spacing w:before="1"/>
              <w:ind w:left="4" w:right="-15"/>
              <w:jc w:val="left"/>
              <w:rPr>
                <w:sz w:val="21"/>
              </w:rPr>
            </w:pPr>
            <w:r>
              <w:rPr>
                <w:rFonts w:ascii="Times New Roman" w:eastAsia="Times New Roman"/>
                <w:position w:val="7"/>
                <w:sz w:val="13"/>
              </w:rPr>
              <w:t>a</w:t>
            </w:r>
            <w:r>
              <w:rPr>
                <w:rFonts w:ascii="Times New Roman" w:eastAsia="Times New Roman"/>
                <w:spacing w:val="-12"/>
                <w:position w:val="7"/>
                <w:sz w:val="13"/>
              </w:rPr>
              <w:t xml:space="preserve"> </w:t>
            </w:r>
            <w:r>
              <w:rPr>
                <w:spacing w:val="-4"/>
                <w:sz w:val="21"/>
              </w:rPr>
              <w:t>是相对于详细评价工作内容而言，在描述危险物质、环境影响途径、环境危害后果、风险防范措施</w:t>
            </w:r>
          </w:p>
          <w:p>
            <w:pPr>
              <w:pStyle w:val="14"/>
              <w:spacing w:before="3" w:line="252" w:lineRule="exact"/>
              <w:ind w:left="4"/>
              <w:jc w:val="left"/>
              <w:rPr>
                <w:sz w:val="21"/>
              </w:rPr>
            </w:pPr>
            <w:r>
              <w:rPr>
                <w:sz w:val="21"/>
              </w:rPr>
              <w:t>等方面给出定性的说明。</w:t>
            </w:r>
          </w:p>
        </w:tc>
      </w:tr>
    </w:tbl>
    <w:p>
      <w:pPr>
        <w:pStyle w:val="6"/>
        <w:spacing w:before="11"/>
        <w:rPr>
          <w:b/>
          <w:sz w:val="18"/>
        </w:rPr>
      </w:pPr>
    </w:p>
    <w:p>
      <w:pPr>
        <w:pStyle w:val="6"/>
        <w:spacing w:before="1" w:line="364" w:lineRule="auto"/>
        <w:ind w:left="658" w:right="638" w:firstLine="480"/>
      </w:pPr>
      <w:r>
        <w:t>根据《建设项目环境风险评价技术导则》（</w:t>
      </w:r>
      <w:r>
        <w:rPr>
          <w:rFonts w:ascii="Times New Roman" w:eastAsia="Times New Roman"/>
        </w:rPr>
        <w:t>HJ169-2018</w:t>
      </w:r>
      <w:r>
        <w:t>）中评价等级划分表，见上表及本项目风险潜势判断结果，本项目环境风险评价简单分析即可。</w:t>
      </w:r>
    </w:p>
    <w:p>
      <w:pPr>
        <w:pStyle w:val="3"/>
        <w:numPr>
          <w:ilvl w:val="1"/>
          <w:numId w:val="15"/>
        </w:numPr>
        <w:tabs>
          <w:tab w:val="left" w:pos="1184"/>
        </w:tabs>
        <w:spacing w:before="1" w:after="0" w:line="240" w:lineRule="auto"/>
        <w:ind w:left="1184" w:right="0" w:hanging="526"/>
        <w:jc w:val="left"/>
        <w:rPr>
          <w:rFonts w:ascii="Times New Roman" w:eastAsia="Times New Roman"/>
        </w:rPr>
      </w:pPr>
      <w:bookmarkStart w:id="54" w:name="_bookmark12"/>
      <w:bookmarkEnd w:id="54"/>
      <w:bookmarkStart w:id="55" w:name="2.6 评价范围"/>
      <w:bookmarkEnd w:id="55"/>
      <w:bookmarkStart w:id="56" w:name="_bookmark12"/>
      <w:bookmarkEnd w:id="56"/>
      <w:r>
        <w:t>评价范围</w:t>
      </w:r>
    </w:p>
    <w:p>
      <w:pPr>
        <w:pStyle w:val="4"/>
        <w:numPr>
          <w:ilvl w:val="2"/>
          <w:numId w:val="15"/>
        </w:numPr>
        <w:tabs>
          <w:tab w:val="left" w:pos="1357"/>
        </w:tabs>
        <w:spacing w:before="197" w:after="0" w:line="240" w:lineRule="auto"/>
        <w:ind w:left="1356" w:right="0" w:hanging="699"/>
        <w:jc w:val="left"/>
        <w:rPr>
          <w:rFonts w:ascii="Times New Roman" w:eastAsia="Times New Roman"/>
        </w:rPr>
      </w:pPr>
      <w:bookmarkStart w:id="57" w:name="2.6.1 环境空气"/>
      <w:bookmarkEnd w:id="57"/>
      <w:bookmarkStart w:id="58" w:name="2.6.1 环境空气"/>
      <w:bookmarkEnd w:id="58"/>
      <w:r>
        <w:t>环境空气</w:t>
      </w:r>
    </w:p>
    <w:p>
      <w:pPr>
        <w:pStyle w:val="6"/>
        <w:spacing w:before="185"/>
        <w:ind w:left="80" w:right="41"/>
        <w:jc w:val="center"/>
      </w:pPr>
      <w:r>
        <w:t xml:space="preserve">以工业场地中心为中心，边长约为 </w:t>
      </w:r>
      <w:r>
        <w:rPr>
          <w:rFonts w:ascii="Times New Roman" w:eastAsia="Times New Roman"/>
        </w:rPr>
        <w:t xml:space="preserve">5km </w:t>
      </w:r>
      <w:r>
        <w:t xml:space="preserve">的矩形范围，总评价面积约为 </w:t>
      </w:r>
      <w:r>
        <w:rPr>
          <w:rFonts w:ascii="Times New Roman" w:eastAsia="Times New Roman"/>
        </w:rPr>
        <w:t>25km</w:t>
      </w:r>
      <w:r>
        <w:rPr>
          <w:rFonts w:ascii="Times New Roman" w:eastAsia="Times New Roman"/>
          <w:position w:val="8"/>
          <w:sz w:val="15"/>
        </w:rPr>
        <w:t>2</w:t>
      </w:r>
      <w:r>
        <w:t>。</w:t>
      </w:r>
    </w:p>
    <w:p>
      <w:pPr>
        <w:pStyle w:val="4"/>
        <w:numPr>
          <w:ilvl w:val="2"/>
          <w:numId w:val="15"/>
        </w:numPr>
        <w:tabs>
          <w:tab w:val="left" w:pos="1357"/>
        </w:tabs>
        <w:spacing w:before="162" w:after="0" w:line="240" w:lineRule="auto"/>
        <w:ind w:left="1356" w:right="0" w:hanging="699"/>
        <w:jc w:val="left"/>
        <w:rPr>
          <w:rFonts w:ascii="Times New Roman" w:eastAsia="Times New Roman"/>
        </w:rPr>
      </w:pPr>
      <w:bookmarkStart w:id="59" w:name="2.6.2 地表水环境"/>
      <w:bookmarkEnd w:id="59"/>
      <w:bookmarkStart w:id="60" w:name="2.6.2 地表水环境"/>
      <w:bookmarkEnd w:id="60"/>
      <w:r>
        <w:t>地表水环境</w:t>
      </w:r>
    </w:p>
    <w:p>
      <w:pPr>
        <w:pStyle w:val="6"/>
        <w:spacing w:before="185" w:line="364" w:lineRule="auto"/>
        <w:ind w:left="658" w:right="693" w:firstLine="480"/>
      </w:pPr>
      <w:r>
        <w:t xml:space="preserve">从纳污水体扁石河汇入口上游 </w:t>
      </w:r>
      <w:r>
        <w:rPr>
          <w:rFonts w:ascii="Times New Roman" w:eastAsia="Times New Roman"/>
        </w:rPr>
        <w:t>500m</w:t>
      </w:r>
      <w:r>
        <w:t xml:space="preserve">，下游 </w:t>
      </w:r>
      <w:r>
        <w:rPr>
          <w:rFonts w:ascii="Times New Roman" w:eastAsia="Times New Roman"/>
        </w:rPr>
        <w:t>1000m</w:t>
      </w:r>
      <w:r>
        <w:t xml:space="preserve">，下游 </w:t>
      </w:r>
      <w:r>
        <w:rPr>
          <w:rFonts w:ascii="Times New Roman" w:eastAsia="Times New Roman"/>
        </w:rPr>
        <w:t>5000m</w:t>
      </w:r>
      <w:r>
        <w:t>，总控制长度约</w:t>
      </w:r>
      <w:r>
        <w:rPr>
          <w:rFonts w:ascii="Times New Roman" w:eastAsia="Times New Roman"/>
        </w:rPr>
        <w:t>5500m</w:t>
      </w:r>
      <w:r>
        <w:t>。</w:t>
      </w:r>
    </w:p>
    <w:p>
      <w:pPr>
        <w:pStyle w:val="4"/>
        <w:numPr>
          <w:ilvl w:val="2"/>
          <w:numId w:val="15"/>
        </w:numPr>
        <w:tabs>
          <w:tab w:val="left" w:pos="1288"/>
        </w:tabs>
        <w:spacing w:before="0" w:after="0" w:line="358" w:lineRule="exact"/>
        <w:ind w:left="1287" w:right="0" w:hanging="630"/>
        <w:jc w:val="left"/>
        <w:rPr>
          <w:rFonts w:ascii="Times New Roman" w:eastAsia="Times New Roman"/>
        </w:rPr>
      </w:pPr>
      <w:bookmarkStart w:id="61" w:name="2.6.3地下水环境"/>
      <w:bookmarkEnd w:id="61"/>
      <w:bookmarkStart w:id="62" w:name="2.6.3地下水环境"/>
      <w:bookmarkEnd w:id="62"/>
      <w:r>
        <w:t>地下水环境</w:t>
      </w:r>
    </w:p>
    <w:p>
      <w:pPr>
        <w:pStyle w:val="6"/>
        <w:spacing w:before="185" w:line="364" w:lineRule="auto"/>
        <w:ind w:left="658" w:right="577" w:firstLine="480"/>
        <w:jc w:val="both"/>
      </w:pPr>
      <w:r>
        <w:t>参照项目的评价等级，为了说明地下水环境的基本状况，依据项目区周边的地质、</w:t>
      </w:r>
      <w:r>
        <w:rPr>
          <w:spacing w:val="-4"/>
        </w:rPr>
        <w:t>水文地质条件和地形、地貌特征，确定项目地下水评价范围，双鸭山大顺矿业有限公司</w:t>
      </w:r>
      <w:r>
        <w:rPr>
          <w:spacing w:val="-8"/>
        </w:rPr>
        <w:t xml:space="preserve">位于丘陵地区，地表自然坡度 </w:t>
      </w:r>
      <w:r>
        <w:rPr>
          <w:rFonts w:ascii="Times New Roman" w:hAnsi="Times New Roman" w:eastAsia="Times New Roman"/>
        </w:rPr>
        <w:t>3‰-7‰</w:t>
      </w:r>
      <w:r>
        <w:t>之间，因而本次地下水环境影响评价工作的调查</w:t>
      </w:r>
      <w:r>
        <w:rPr>
          <w:spacing w:val="-8"/>
        </w:rPr>
        <w:t xml:space="preserve">评价范围是以本项目区范围为核心，东西长约 </w:t>
      </w:r>
      <w:r>
        <w:rPr>
          <w:rFonts w:ascii="Times New Roman" w:hAnsi="Times New Roman" w:eastAsia="Times New Roman"/>
          <w:spacing w:val="-12"/>
        </w:rPr>
        <w:t>6.5km</w:t>
      </w:r>
      <w:r>
        <w:rPr>
          <w:spacing w:val="-13"/>
        </w:rPr>
        <w:t xml:space="preserve">，南北宽约 </w:t>
      </w:r>
      <w:r>
        <w:rPr>
          <w:rFonts w:ascii="Times New Roman" w:hAnsi="Times New Roman" w:eastAsia="Times New Roman"/>
          <w:spacing w:val="-12"/>
        </w:rPr>
        <w:t>5.3km</w:t>
      </w:r>
      <w:r>
        <w:rPr>
          <w:spacing w:val="-14"/>
        </w:rPr>
        <w:t xml:space="preserve">，面积为 </w:t>
      </w:r>
      <w:r>
        <w:rPr>
          <w:rFonts w:ascii="Times New Roman" w:hAnsi="Times New Roman" w:eastAsia="Times New Roman"/>
        </w:rPr>
        <w:t>34.5km</w:t>
      </w:r>
      <w:r>
        <w:rPr>
          <w:rFonts w:ascii="Times New Roman" w:hAnsi="Times New Roman" w:eastAsia="Times New Roman"/>
          <w:position w:val="8"/>
          <w:sz w:val="15"/>
        </w:rPr>
        <w:t>2</w:t>
      </w:r>
      <w:r>
        <w:rPr>
          <w:spacing w:val="-17"/>
        </w:rPr>
        <w:t>。</w:t>
      </w:r>
    </w:p>
    <w:p>
      <w:pPr>
        <w:pStyle w:val="4"/>
        <w:numPr>
          <w:ilvl w:val="2"/>
          <w:numId w:val="15"/>
        </w:numPr>
        <w:tabs>
          <w:tab w:val="left" w:pos="1357"/>
        </w:tabs>
        <w:spacing w:before="0" w:after="0" w:line="357" w:lineRule="exact"/>
        <w:ind w:left="1356" w:right="0" w:hanging="699"/>
        <w:jc w:val="left"/>
        <w:rPr>
          <w:rFonts w:ascii="Times New Roman" w:eastAsia="Times New Roman"/>
        </w:rPr>
      </w:pPr>
      <w:bookmarkStart w:id="63" w:name="2.6.4 声环境"/>
      <w:bookmarkEnd w:id="63"/>
      <w:bookmarkStart w:id="64" w:name="2.6.4 声环境"/>
      <w:bookmarkEnd w:id="64"/>
      <w:r>
        <w:t>声环境</w:t>
      </w:r>
    </w:p>
    <w:p>
      <w:pPr>
        <w:pStyle w:val="6"/>
        <w:spacing w:before="185"/>
        <w:ind w:left="1138"/>
      </w:pPr>
      <w:r>
        <w:t xml:space="preserve">本工程工业场区边界外 </w:t>
      </w:r>
      <w:r>
        <w:rPr>
          <w:rFonts w:ascii="Times New Roman" w:eastAsia="Times New Roman"/>
        </w:rPr>
        <w:t>200m</w:t>
      </w:r>
      <w:r>
        <w:t>，评价范围图见附图。</w:t>
      </w:r>
    </w:p>
    <w:p>
      <w:pPr>
        <w:pStyle w:val="4"/>
        <w:numPr>
          <w:ilvl w:val="2"/>
          <w:numId w:val="15"/>
        </w:numPr>
        <w:tabs>
          <w:tab w:val="left" w:pos="1288"/>
        </w:tabs>
        <w:spacing w:before="162" w:after="0" w:line="240" w:lineRule="auto"/>
        <w:ind w:left="1287" w:right="0" w:hanging="630"/>
        <w:jc w:val="left"/>
        <w:rPr>
          <w:rFonts w:ascii="Times New Roman" w:eastAsia="Times New Roman"/>
        </w:rPr>
      </w:pPr>
      <w:bookmarkStart w:id="65" w:name="2.6.5生态环境"/>
      <w:bookmarkEnd w:id="65"/>
      <w:bookmarkStart w:id="66" w:name="2.6.5生态环境"/>
      <w:bookmarkEnd w:id="66"/>
      <w:r>
        <w:t>生态环境</w:t>
      </w:r>
    </w:p>
    <w:p>
      <w:pPr>
        <w:pStyle w:val="6"/>
        <w:spacing w:before="185"/>
        <w:ind w:left="1138"/>
      </w:pPr>
      <w:r>
        <w:t xml:space="preserve">井田境界及其周边 </w:t>
      </w:r>
      <w:r>
        <w:rPr>
          <w:rFonts w:ascii="Times New Roman" w:eastAsia="Times New Roman"/>
        </w:rPr>
        <w:t xml:space="preserve">500m </w:t>
      </w:r>
      <w:r>
        <w:t>范围内，评价范围图见附图。</w:t>
      </w:r>
    </w:p>
    <w:p>
      <w:pPr>
        <w:pStyle w:val="4"/>
        <w:numPr>
          <w:ilvl w:val="2"/>
          <w:numId w:val="15"/>
        </w:numPr>
        <w:tabs>
          <w:tab w:val="left" w:pos="1288"/>
        </w:tabs>
        <w:spacing w:before="159" w:after="0" w:line="240" w:lineRule="auto"/>
        <w:ind w:left="1287" w:right="0" w:hanging="630"/>
        <w:jc w:val="left"/>
        <w:rPr>
          <w:rFonts w:ascii="Times New Roman" w:eastAsia="Times New Roman"/>
        </w:rPr>
      </w:pPr>
      <w:bookmarkStart w:id="67" w:name="2.6.6土壤环境"/>
      <w:bookmarkEnd w:id="67"/>
      <w:bookmarkStart w:id="68" w:name="2.6.6土壤环境"/>
      <w:bookmarkEnd w:id="68"/>
      <w:r>
        <w:t>土壤环境</w:t>
      </w:r>
    </w:p>
    <w:p>
      <w:pPr>
        <w:pStyle w:val="6"/>
        <w:spacing w:before="185"/>
        <w:ind w:left="1138"/>
        <w:rPr>
          <w:rFonts w:ascii="Times New Roman" w:eastAsia="Times New Roman"/>
        </w:rPr>
      </w:pPr>
      <w:r>
        <w:t>井田开采区以井田范围外扩</w:t>
      </w:r>
      <w:r>
        <w:rPr>
          <w:rFonts w:ascii="Times New Roman" w:eastAsia="Times New Roman"/>
        </w:rPr>
        <w:t xml:space="preserve">1km </w:t>
      </w:r>
      <w:r>
        <w:t>为评价范围；工业场地评价范围以场地外扩</w:t>
      </w:r>
      <w:r>
        <w:rPr>
          <w:rFonts w:ascii="Times New Roman" w:eastAsia="Times New Roman"/>
        </w:rPr>
        <w:t>0.05km</w:t>
      </w:r>
    </w:p>
    <w:p>
      <w:pPr>
        <w:pStyle w:val="6"/>
        <w:spacing w:before="158"/>
        <w:ind w:left="658"/>
      </w:pPr>
      <w:r>
        <w:t>为评价范围。评价范围图见附图。</w:t>
      </w:r>
    </w:p>
    <w:p>
      <w:pPr>
        <w:pStyle w:val="3"/>
        <w:numPr>
          <w:ilvl w:val="1"/>
          <w:numId w:val="15"/>
        </w:numPr>
        <w:tabs>
          <w:tab w:val="left" w:pos="1184"/>
        </w:tabs>
        <w:spacing w:before="161" w:after="0" w:line="240" w:lineRule="auto"/>
        <w:ind w:left="1184" w:right="0" w:hanging="526"/>
        <w:jc w:val="left"/>
        <w:rPr>
          <w:rFonts w:ascii="Times New Roman" w:eastAsia="Times New Roman"/>
        </w:rPr>
      </w:pPr>
      <w:bookmarkStart w:id="69" w:name="2.7 控制污染与环境保护目标"/>
      <w:bookmarkEnd w:id="69"/>
      <w:bookmarkStart w:id="70" w:name="_bookmark13"/>
      <w:bookmarkEnd w:id="70"/>
      <w:bookmarkStart w:id="71" w:name="_bookmark13"/>
      <w:bookmarkEnd w:id="71"/>
      <w:r>
        <w:t>控制污染与环境保护目标</w:t>
      </w:r>
    </w:p>
    <w:p>
      <w:pPr>
        <w:pStyle w:val="6"/>
        <w:spacing w:before="199" w:line="364" w:lineRule="auto"/>
        <w:ind w:left="656" w:right="635" w:firstLine="480"/>
      </w:pPr>
      <w:r>
        <w:t>为了保护本项目所在区域环境空气、生态、地下水质量及受纳水体扁石河，应贯彻污染源治理“以新带老”、“达标排放”、“总量控制”、“清洁生产”的原则，提出</w:t>
      </w:r>
    </w:p>
    <w:p>
      <w:pPr>
        <w:spacing w:after="0" w:line="364" w:lineRule="auto"/>
        <w:sectPr>
          <w:pgSz w:w="11910" w:h="16840"/>
          <w:pgMar w:top="1340" w:right="720" w:bottom="1160" w:left="760" w:header="0" w:footer="891" w:gutter="0"/>
        </w:sectPr>
      </w:pPr>
    </w:p>
    <w:p>
      <w:pPr>
        <w:pStyle w:val="6"/>
        <w:spacing w:before="41" w:line="362" w:lineRule="auto"/>
        <w:ind w:left="656" w:right="635"/>
      </w:pPr>
      <w:r>
        <w:t>切实可行的污染防治方案，使本工程投产后所排烟尘及污水能达到浓度控制标准与污染物总量控制要求，以减少对纳污环境的污染负荷。</w:t>
      </w:r>
    </w:p>
    <w:p>
      <w:pPr>
        <w:pStyle w:val="6"/>
        <w:spacing w:before="5"/>
        <w:ind w:left="1078"/>
      </w:pPr>
      <w:r>
        <w:t xml:space="preserve">本工程主要的环境保护目标见表 </w:t>
      </w:r>
      <w:r>
        <w:rPr>
          <w:rFonts w:ascii="Times New Roman" w:eastAsia="Times New Roman"/>
        </w:rPr>
        <w:t>2.7-1</w:t>
      </w:r>
      <w:r>
        <w:t>。</w:t>
      </w:r>
    </w:p>
    <w:p>
      <w:pPr>
        <w:pStyle w:val="5"/>
        <w:spacing w:before="161"/>
        <w:ind w:left="1553" w:right="1583"/>
        <w:jc w:val="center"/>
      </w:pPr>
      <w:r>
        <w:t xml:space="preserve">表 </w:t>
      </w:r>
      <w:r>
        <w:rPr>
          <w:rFonts w:ascii="Times New Roman" w:eastAsia="Times New Roman"/>
        </w:rPr>
        <w:t xml:space="preserve">2.7-1  </w:t>
      </w:r>
      <w:r>
        <w:t>环境保护目标一览表</w:t>
      </w:r>
    </w:p>
    <w:tbl>
      <w:tblPr>
        <w:tblStyle w:val="10"/>
        <w:tblW w:w="0" w:type="auto"/>
        <w:tblInd w:w="5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9"/>
        <w:gridCol w:w="1663"/>
        <w:gridCol w:w="2091"/>
        <w:gridCol w:w="1200"/>
        <w:gridCol w:w="28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289" w:type="dxa"/>
          </w:tcPr>
          <w:p>
            <w:pPr>
              <w:pStyle w:val="14"/>
              <w:spacing w:before="136"/>
              <w:ind w:left="97" w:right="92"/>
              <w:rPr>
                <w:sz w:val="21"/>
              </w:rPr>
            </w:pPr>
            <w:r>
              <w:rPr>
                <w:sz w:val="21"/>
              </w:rPr>
              <w:t>影响因素</w:t>
            </w:r>
          </w:p>
        </w:tc>
        <w:tc>
          <w:tcPr>
            <w:tcW w:w="1663" w:type="dxa"/>
          </w:tcPr>
          <w:p>
            <w:pPr>
              <w:pStyle w:val="14"/>
              <w:spacing w:before="136"/>
              <w:ind w:left="180" w:right="173"/>
              <w:rPr>
                <w:sz w:val="21"/>
              </w:rPr>
            </w:pPr>
            <w:r>
              <w:rPr>
                <w:sz w:val="21"/>
              </w:rPr>
              <w:t>环境保护目标</w:t>
            </w:r>
          </w:p>
        </w:tc>
        <w:tc>
          <w:tcPr>
            <w:tcW w:w="2091" w:type="dxa"/>
          </w:tcPr>
          <w:p>
            <w:pPr>
              <w:pStyle w:val="14"/>
              <w:spacing w:line="268" w:lineRule="exact"/>
              <w:ind w:left="80" w:right="70"/>
              <w:rPr>
                <w:sz w:val="21"/>
              </w:rPr>
            </w:pPr>
            <w:r>
              <w:rPr>
                <w:sz w:val="21"/>
              </w:rPr>
              <w:t>距工业广场方位、距</w:t>
            </w:r>
          </w:p>
          <w:p>
            <w:pPr>
              <w:pStyle w:val="14"/>
              <w:spacing w:before="4" w:line="252" w:lineRule="exact"/>
              <w:ind w:left="77" w:right="70"/>
              <w:rPr>
                <w:sz w:val="21"/>
              </w:rPr>
            </w:pPr>
            <w:r>
              <w:rPr>
                <w:sz w:val="21"/>
              </w:rPr>
              <w:t>离（</w:t>
            </w:r>
            <w:r>
              <w:rPr>
                <w:rFonts w:ascii="Times New Roman" w:eastAsia="Times New Roman"/>
                <w:sz w:val="21"/>
              </w:rPr>
              <w:t>m</w:t>
            </w:r>
            <w:r>
              <w:rPr>
                <w:sz w:val="21"/>
              </w:rPr>
              <w:t>）</w:t>
            </w:r>
          </w:p>
        </w:tc>
        <w:tc>
          <w:tcPr>
            <w:tcW w:w="1200" w:type="dxa"/>
          </w:tcPr>
          <w:p>
            <w:pPr>
              <w:pStyle w:val="14"/>
              <w:spacing w:line="268" w:lineRule="exact"/>
              <w:ind w:left="133" w:right="124"/>
              <w:rPr>
                <w:sz w:val="21"/>
              </w:rPr>
            </w:pPr>
            <w:r>
              <w:rPr>
                <w:sz w:val="21"/>
              </w:rPr>
              <w:t>受影响</w:t>
            </w:r>
          </w:p>
          <w:p>
            <w:pPr>
              <w:pStyle w:val="14"/>
              <w:spacing w:before="4" w:line="252" w:lineRule="exact"/>
              <w:ind w:left="133" w:right="124"/>
              <w:rPr>
                <w:sz w:val="21"/>
              </w:rPr>
            </w:pPr>
            <w:r>
              <w:rPr>
                <w:sz w:val="21"/>
              </w:rPr>
              <w:t>人群</w:t>
            </w:r>
          </w:p>
        </w:tc>
        <w:tc>
          <w:tcPr>
            <w:tcW w:w="2873" w:type="dxa"/>
          </w:tcPr>
          <w:p>
            <w:pPr>
              <w:pStyle w:val="14"/>
              <w:spacing w:before="136"/>
              <w:ind w:left="113" w:right="109"/>
              <w:rPr>
                <w:sz w:val="21"/>
              </w:rPr>
            </w:pPr>
            <w:r>
              <w:rPr>
                <w:sz w:val="21"/>
              </w:rPr>
              <w:t>控制标准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8" w:hRule="atLeast"/>
        </w:trPr>
        <w:tc>
          <w:tcPr>
            <w:tcW w:w="1289" w:type="dxa"/>
          </w:tcPr>
          <w:p>
            <w:pPr>
              <w:pStyle w:val="14"/>
              <w:spacing w:before="147"/>
              <w:ind w:left="97" w:right="92"/>
              <w:rPr>
                <w:sz w:val="21"/>
              </w:rPr>
            </w:pPr>
            <w:r>
              <w:rPr>
                <w:sz w:val="21"/>
              </w:rPr>
              <w:t>环境空气</w:t>
            </w:r>
          </w:p>
        </w:tc>
        <w:tc>
          <w:tcPr>
            <w:tcW w:w="1663" w:type="dxa"/>
          </w:tcPr>
          <w:p>
            <w:pPr>
              <w:pStyle w:val="14"/>
              <w:spacing w:before="8"/>
              <w:jc w:val="left"/>
              <w:rPr>
                <w:b/>
                <w:sz w:val="14"/>
              </w:rPr>
            </w:pPr>
          </w:p>
          <w:p>
            <w:pPr>
              <w:pStyle w:val="14"/>
              <w:spacing w:before="1"/>
              <w:ind w:left="178" w:right="173"/>
              <w:rPr>
                <w:sz w:val="21"/>
              </w:rPr>
            </w:pPr>
            <w:r>
              <w:rPr>
                <w:sz w:val="21"/>
              </w:rPr>
              <w:t>青山林场</w:t>
            </w:r>
          </w:p>
        </w:tc>
        <w:tc>
          <w:tcPr>
            <w:tcW w:w="2091" w:type="dxa"/>
          </w:tcPr>
          <w:p>
            <w:pPr>
              <w:pStyle w:val="14"/>
              <w:spacing w:before="9"/>
              <w:jc w:val="left"/>
              <w:rPr>
                <w:b/>
                <w:sz w:val="15"/>
              </w:rPr>
            </w:pPr>
          </w:p>
          <w:p>
            <w:pPr>
              <w:pStyle w:val="14"/>
              <w:spacing w:before="1"/>
              <w:ind w:left="80" w:right="69"/>
              <w:rPr>
                <w:rFonts w:ascii="Times New Roman"/>
                <w:sz w:val="21"/>
              </w:rPr>
            </w:pPr>
            <w:r>
              <w:rPr>
                <w:rFonts w:ascii="Times New Roman"/>
                <w:sz w:val="21"/>
              </w:rPr>
              <w:t>SE1340</w:t>
            </w:r>
          </w:p>
        </w:tc>
        <w:tc>
          <w:tcPr>
            <w:tcW w:w="1200" w:type="dxa"/>
          </w:tcPr>
          <w:p>
            <w:pPr>
              <w:pStyle w:val="14"/>
              <w:spacing w:before="188"/>
              <w:ind w:left="133" w:right="124"/>
              <w:rPr>
                <w:sz w:val="21"/>
              </w:rPr>
            </w:pPr>
            <w:r>
              <w:rPr>
                <w:sz w:val="21"/>
              </w:rPr>
              <w:t xml:space="preserve">约 </w:t>
            </w:r>
            <w:r>
              <w:rPr>
                <w:rFonts w:ascii="Times New Roman" w:eastAsia="Times New Roman"/>
                <w:sz w:val="21"/>
              </w:rPr>
              <w:t xml:space="preserve">350 </w:t>
            </w:r>
            <w:r>
              <w:rPr>
                <w:sz w:val="21"/>
              </w:rPr>
              <w:t>人</w:t>
            </w:r>
          </w:p>
        </w:tc>
        <w:tc>
          <w:tcPr>
            <w:tcW w:w="2873" w:type="dxa"/>
          </w:tcPr>
          <w:p>
            <w:pPr>
              <w:pStyle w:val="14"/>
              <w:spacing w:before="188"/>
              <w:ind w:left="118" w:right="109"/>
              <w:rPr>
                <w:sz w:val="21"/>
              </w:rPr>
            </w:pPr>
            <w:r>
              <w:rPr>
                <w:rFonts w:ascii="Times New Roman" w:eastAsia="Times New Roman"/>
                <w:sz w:val="21"/>
              </w:rPr>
              <w:t xml:space="preserve">GB3095-2012 </w:t>
            </w:r>
            <w:r>
              <w:rPr>
                <w:sz w:val="21"/>
              </w:rPr>
              <w:t>中二级标准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trPr>
        <w:tc>
          <w:tcPr>
            <w:tcW w:w="1289" w:type="dxa"/>
          </w:tcPr>
          <w:p>
            <w:pPr>
              <w:pStyle w:val="14"/>
              <w:spacing w:before="4"/>
              <w:jc w:val="left"/>
              <w:rPr>
                <w:b/>
                <w:sz w:val="18"/>
              </w:rPr>
            </w:pPr>
          </w:p>
          <w:p>
            <w:pPr>
              <w:pStyle w:val="14"/>
              <w:ind w:left="97" w:right="90"/>
              <w:rPr>
                <w:sz w:val="21"/>
              </w:rPr>
            </w:pPr>
            <w:r>
              <w:rPr>
                <w:sz w:val="21"/>
              </w:rPr>
              <w:t>声环境</w:t>
            </w:r>
          </w:p>
        </w:tc>
        <w:tc>
          <w:tcPr>
            <w:tcW w:w="3754" w:type="dxa"/>
            <w:gridSpan w:val="2"/>
          </w:tcPr>
          <w:p>
            <w:pPr>
              <w:pStyle w:val="14"/>
              <w:spacing w:before="4"/>
              <w:jc w:val="left"/>
              <w:rPr>
                <w:b/>
                <w:sz w:val="18"/>
              </w:rPr>
            </w:pPr>
          </w:p>
          <w:p>
            <w:pPr>
              <w:pStyle w:val="14"/>
              <w:ind w:left="849"/>
              <w:jc w:val="left"/>
              <w:rPr>
                <w:sz w:val="21"/>
              </w:rPr>
            </w:pPr>
            <w:r>
              <w:rPr>
                <w:sz w:val="21"/>
              </w:rPr>
              <w:t xml:space="preserve">厂界周边 </w:t>
            </w:r>
            <w:r>
              <w:rPr>
                <w:rFonts w:ascii="Times New Roman" w:eastAsia="Times New Roman"/>
                <w:sz w:val="21"/>
              </w:rPr>
              <w:t xml:space="preserve">200m </w:t>
            </w:r>
            <w:r>
              <w:rPr>
                <w:sz w:val="21"/>
              </w:rPr>
              <w:t>范围内</w:t>
            </w:r>
          </w:p>
        </w:tc>
        <w:tc>
          <w:tcPr>
            <w:tcW w:w="1200" w:type="dxa"/>
          </w:tcPr>
          <w:p>
            <w:pPr>
              <w:pStyle w:val="14"/>
              <w:spacing w:before="5"/>
              <w:jc w:val="left"/>
              <w:rPr>
                <w:b/>
                <w:sz w:val="19"/>
              </w:rPr>
            </w:pPr>
          </w:p>
          <w:p>
            <w:pPr>
              <w:pStyle w:val="14"/>
              <w:ind w:left="133" w:right="124"/>
              <w:rPr>
                <w:rFonts w:ascii="Times New Roman" w:hAnsi="Times New Roman"/>
                <w:sz w:val="21"/>
              </w:rPr>
            </w:pPr>
            <w:r>
              <w:rPr>
                <w:rFonts w:ascii="Times New Roman" w:hAnsi="Times New Roman"/>
                <w:sz w:val="21"/>
              </w:rPr>
              <w:t>——</w:t>
            </w:r>
          </w:p>
        </w:tc>
        <w:tc>
          <w:tcPr>
            <w:tcW w:w="2873" w:type="dxa"/>
          </w:tcPr>
          <w:p>
            <w:pPr>
              <w:pStyle w:val="14"/>
              <w:spacing w:before="98"/>
              <w:ind w:left="118" w:right="109"/>
              <w:rPr>
                <w:sz w:val="21"/>
              </w:rPr>
            </w:pPr>
            <w:r>
              <w:rPr>
                <w:sz w:val="21"/>
              </w:rPr>
              <w:t>《声环境质量标准》</w:t>
            </w:r>
          </w:p>
          <w:p>
            <w:pPr>
              <w:pStyle w:val="14"/>
              <w:spacing w:before="2"/>
              <w:ind w:left="118" w:right="109"/>
              <w:rPr>
                <w:sz w:val="21"/>
              </w:rPr>
            </w:pPr>
            <w:r>
              <w:rPr>
                <w:sz w:val="21"/>
              </w:rPr>
              <w:t>（</w:t>
            </w:r>
            <w:r>
              <w:rPr>
                <w:rFonts w:ascii="Times New Roman" w:eastAsia="Times New Roman"/>
                <w:sz w:val="21"/>
              </w:rPr>
              <w:t>GB3096-2008</w:t>
            </w:r>
            <w:r>
              <w:rPr>
                <w:sz w:val="21"/>
              </w:rPr>
              <w:t>）</w:t>
            </w:r>
            <w:r>
              <w:rPr>
                <w:rFonts w:ascii="Times New Roman" w:eastAsia="Times New Roman"/>
                <w:sz w:val="21"/>
              </w:rPr>
              <w:t xml:space="preserve">2 </w:t>
            </w:r>
            <w:r>
              <w:rPr>
                <w:sz w:val="21"/>
              </w:rPr>
              <w:t>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1289" w:type="dxa"/>
          </w:tcPr>
          <w:p>
            <w:pPr>
              <w:pStyle w:val="14"/>
              <w:spacing w:before="135"/>
              <w:ind w:left="97" w:right="92"/>
              <w:rPr>
                <w:sz w:val="21"/>
              </w:rPr>
            </w:pPr>
            <w:r>
              <w:rPr>
                <w:sz w:val="21"/>
              </w:rPr>
              <w:t>地表水环境</w:t>
            </w:r>
          </w:p>
        </w:tc>
        <w:tc>
          <w:tcPr>
            <w:tcW w:w="1663" w:type="dxa"/>
          </w:tcPr>
          <w:p>
            <w:pPr>
              <w:pStyle w:val="14"/>
              <w:spacing w:before="135"/>
              <w:ind w:left="180" w:right="173"/>
              <w:rPr>
                <w:sz w:val="21"/>
              </w:rPr>
            </w:pPr>
            <w:r>
              <w:rPr>
                <w:sz w:val="21"/>
              </w:rPr>
              <w:t>扁石河</w:t>
            </w:r>
          </w:p>
        </w:tc>
        <w:tc>
          <w:tcPr>
            <w:tcW w:w="3291" w:type="dxa"/>
            <w:gridSpan w:val="2"/>
          </w:tcPr>
          <w:p>
            <w:pPr>
              <w:pStyle w:val="14"/>
              <w:spacing w:before="149"/>
              <w:ind w:left="1291" w:right="1283"/>
              <w:rPr>
                <w:rFonts w:ascii="Times New Roman"/>
                <w:sz w:val="21"/>
              </w:rPr>
            </w:pPr>
            <w:r>
              <w:rPr>
                <w:rFonts w:ascii="Times New Roman"/>
                <w:sz w:val="21"/>
              </w:rPr>
              <w:t>SE5720</w:t>
            </w:r>
          </w:p>
        </w:tc>
        <w:tc>
          <w:tcPr>
            <w:tcW w:w="2873" w:type="dxa"/>
          </w:tcPr>
          <w:p>
            <w:pPr>
              <w:pStyle w:val="14"/>
              <w:spacing w:before="1"/>
              <w:ind w:left="280"/>
              <w:jc w:val="left"/>
              <w:rPr>
                <w:sz w:val="21"/>
              </w:rPr>
            </w:pPr>
            <w:r>
              <w:rPr>
                <w:sz w:val="21"/>
              </w:rPr>
              <w:t>《地表水环境质量标准》</w:t>
            </w:r>
          </w:p>
          <w:p>
            <w:pPr>
              <w:pStyle w:val="14"/>
              <w:spacing w:before="2" w:line="252" w:lineRule="exact"/>
              <w:ind w:left="205"/>
              <w:jc w:val="left"/>
              <w:rPr>
                <w:sz w:val="21"/>
              </w:rPr>
            </w:pPr>
            <w:r>
              <w:rPr>
                <w:sz w:val="21"/>
              </w:rPr>
              <w:t>（</w:t>
            </w:r>
            <w:r>
              <w:rPr>
                <w:rFonts w:ascii="Times New Roman" w:hAnsi="Times New Roman" w:eastAsia="Times New Roman"/>
                <w:sz w:val="21"/>
              </w:rPr>
              <w:t>GB3838-2002</w:t>
            </w:r>
            <w:r>
              <w:rPr>
                <w:sz w:val="21"/>
              </w:rPr>
              <w:t>）Ⅲ类标准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1289" w:type="dxa"/>
          </w:tcPr>
          <w:p>
            <w:pPr>
              <w:pStyle w:val="14"/>
              <w:spacing w:before="105"/>
              <w:ind w:left="97" w:right="90"/>
              <w:rPr>
                <w:sz w:val="21"/>
              </w:rPr>
            </w:pPr>
            <w:r>
              <w:rPr>
                <w:sz w:val="21"/>
              </w:rPr>
              <w:t>地下水</w:t>
            </w:r>
          </w:p>
        </w:tc>
        <w:tc>
          <w:tcPr>
            <w:tcW w:w="4954" w:type="dxa"/>
            <w:gridSpan w:val="3"/>
          </w:tcPr>
          <w:p>
            <w:pPr>
              <w:pStyle w:val="14"/>
              <w:spacing w:before="105"/>
              <w:ind w:left="1636"/>
              <w:jc w:val="left"/>
              <w:rPr>
                <w:sz w:val="21"/>
              </w:rPr>
            </w:pPr>
            <w:r>
              <w:rPr>
                <w:sz w:val="21"/>
              </w:rPr>
              <w:t>矿区范围内地下水</w:t>
            </w:r>
          </w:p>
        </w:tc>
        <w:tc>
          <w:tcPr>
            <w:tcW w:w="2873" w:type="dxa"/>
          </w:tcPr>
          <w:p>
            <w:pPr>
              <w:pStyle w:val="14"/>
              <w:spacing w:before="105"/>
              <w:ind w:left="118" w:right="109"/>
              <w:rPr>
                <w:sz w:val="21"/>
              </w:rPr>
            </w:pPr>
            <w:r>
              <w:rPr>
                <w:rFonts w:ascii="Times New Roman" w:hAnsi="Times New Roman" w:eastAsia="Times New Roman"/>
                <w:sz w:val="21"/>
              </w:rPr>
              <w:t xml:space="preserve">GB/T14848-2017 </w:t>
            </w:r>
            <w:r>
              <w:rPr>
                <w:sz w:val="21"/>
              </w:rPr>
              <w:t>中Ⅲ类标准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 w:hRule="atLeast"/>
        </w:trPr>
        <w:tc>
          <w:tcPr>
            <w:tcW w:w="1289" w:type="dxa"/>
          </w:tcPr>
          <w:p>
            <w:pPr>
              <w:pStyle w:val="14"/>
              <w:spacing w:before="4"/>
              <w:jc w:val="left"/>
              <w:rPr>
                <w:b/>
                <w:sz w:val="21"/>
              </w:rPr>
            </w:pPr>
          </w:p>
          <w:p>
            <w:pPr>
              <w:pStyle w:val="14"/>
              <w:ind w:left="97" w:right="90"/>
              <w:rPr>
                <w:sz w:val="21"/>
              </w:rPr>
            </w:pPr>
            <w:r>
              <w:rPr>
                <w:sz w:val="21"/>
              </w:rPr>
              <w:t>土壤</w:t>
            </w:r>
          </w:p>
        </w:tc>
        <w:tc>
          <w:tcPr>
            <w:tcW w:w="4954" w:type="dxa"/>
            <w:gridSpan w:val="3"/>
          </w:tcPr>
          <w:p>
            <w:pPr>
              <w:pStyle w:val="14"/>
              <w:spacing w:before="4"/>
              <w:jc w:val="left"/>
              <w:rPr>
                <w:b/>
                <w:sz w:val="21"/>
              </w:rPr>
            </w:pPr>
          </w:p>
          <w:p>
            <w:pPr>
              <w:pStyle w:val="14"/>
              <w:ind w:left="1135"/>
              <w:jc w:val="left"/>
              <w:rPr>
                <w:sz w:val="21"/>
              </w:rPr>
            </w:pPr>
            <w:r>
              <w:rPr>
                <w:sz w:val="21"/>
              </w:rPr>
              <w:t xml:space="preserve">工业广场外 </w:t>
            </w:r>
            <w:r>
              <w:rPr>
                <w:rFonts w:ascii="Times New Roman" w:eastAsia="Times New Roman"/>
                <w:sz w:val="21"/>
              </w:rPr>
              <w:t xml:space="preserve">200m </w:t>
            </w:r>
            <w:r>
              <w:rPr>
                <w:sz w:val="21"/>
              </w:rPr>
              <w:t>范围内耕地</w:t>
            </w:r>
          </w:p>
        </w:tc>
        <w:tc>
          <w:tcPr>
            <w:tcW w:w="2873" w:type="dxa"/>
          </w:tcPr>
          <w:p>
            <w:pPr>
              <w:pStyle w:val="14"/>
              <w:spacing w:line="244" w:lineRule="auto"/>
              <w:ind w:left="124" w:right="113"/>
              <w:rPr>
                <w:sz w:val="21"/>
              </w:rPr>
            </w:pPr>
            <w:r>
              <w:rPr>
                <w:sz w:val="21"/>
              </w:rPr>
              <w:t>《土壤环境质量 农用地土壤污染风险管控标准》</w:t>
            </w:r>
          </w:p>
          <w:p>
            <w:pPr>
              <w:pStyle w:val="14"/>
              <w:spacing w:line="248" w:lineRule="exact"/>
              <w:ind w:left="118" w:right="109"/>
              <w:rPr>
                <w:sz w:val="21"/>
              </w:rPr>
            </w:pPr>
            <w:r>
              <w:rPr>
                <w:sz w:val="21"/>
              </w:rPr>
              <w:t>（</w:t>
            </w:r>
            <w:r>
              <w:rPr>
                <w:rFonts w:ascii="Times New Roman" w:eastAsia="Times New Roman"/>
                <w:sz w:val="21"/>
              </w:rPr>
              <w:t>GB15618-2018</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1289" w:type="dxa"/>
          </w:tcPr>
          <w:p>
            <w:pPr>
              <w:pStyle w:val="14"/>
              <w:spacing w:before="104"/>
              <w:ind w:left="97" w:right="92"/>
              <w:rPr>
                <w:sz w:val="21"/>
              </w:rPr>
            </w:pPr>
            <w:r>
              <w:rPr>
                <w:sz w:val="21"/>
              </w:rPr>
              <w:t>生态环境</w:t>
            </w:r>
          </w:p>
        </w:tc>
        <w:tc>
          <w:tcPr>
            <w:tcW w:w="7827" w:type="dxa"/>
            <w:gridSpan w:val="4"/>
          </w:tcPr>
          <w:p>
            <w:pPr>
              <w:pStyle w:val="14"/>
              <w:spacing w:before="104"/>
              <w:ind w:left="1941"/>
              <w:jc w:val="left"/>
              <w:rPr>
                <w:sz w:val="21"/>
              </w:rPr>
            </w:pPr>
            <w:r>
              <w:rPr>
                <w:sz w:val="21"/>
              </w:rPr>
              <w:t xml:space="preserve">全井田及井田境界外 </w:t>
            </w:r>
            <w:r>
              <w:rPr>
                <w:rFonts w:ascii="Times New Roman" w:eastAsia="Times New Roman"/>
                <w:sz w:val="21"/>
              </w:rPr>
              <w:t xml:space="preserve">500m </w:t>
            </w:r>
            <w:r>
              <w:rPr>
                <w:sz w:val="21"/>
              </w:rPr>
              <w:t>范围内地表植被</w:t>
            </w:r>
          </w:p>
        </w:tc>
      </w:tr>
    </w:tbl>
    <w:p>
      <w:pPr>
        <w:spacing w:after="0"/>
        <w:jc w:val="left"/>
        <w:rPr>
          <w:sz w:val="21"/>
        </w:rPr>
        <w:sectPr>
          <w:pgSz w:w="11910" w:h="16840"/>
          <w:pgMar w:top="1360" w:right="720" w:bottom="1160" w:left="760" w:header="0" w:footer="89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37" name="组合 11"/>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36" name="直线 12"/>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11"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aCLtQAAAADAQAADwAAAAAAAAABACAAAAAiAAAAZHJzL2Rvd25yZXYueG1s&#10;UEsBAhQAFAAAAAgAh07iQJuT4201AgAAtgQAAA4AAAAAAAAAAQAgAAAAIwEAAGRycy9lMm9Eb2Mu&#10;eG1sUEsFBgAAAAAGAAYAWQEAAMoFAAAAAA==&#10;">
                <o:lock v:ext="edit" aspectratio="f"/>
                <v:line id="直线 12" o:spid="_x0000_s1026" o:spt="20" style="position:absolute;left:0;top:7;height:0;width:8306;" filled="f" stroked="t" coordsize="21600,21600" o:gfxdata="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gas+r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6"/>
        <w:spacing w:before="5"/>
        <w:rPr>
          <w:b/>
          <w:sz w:val="20"/>
        </w:rPr>
      </w:pPr>
    </w:p>
    <w:p>
      <w:pPr>
        <w:pStyle w:val="2"/>
        <w:numPr>
          <w:ilvl w:val="0"/>
          <w:numId w:val="5"/>
        </w:numPr>
        <w:tabs>
          <w:tab w:val="left" w:pos="3841"/>
        </w:tabs>
        <w:spacing w:before="61" w:after="0" w:line="240" w:lineRule="auto"/>
        <w:ind w:left="3840" w:right="35" w:hanging="3841"/>
        <w:jc w:val="left"/>
      </w:pPr>
      <w:bookmarkStart w:id="72" w:name="3．项目概况与工程分析"/>
      <w:bookmarkEnd w:id="72"/>
      <w:bookmarkStart w:id="73" w:name="_bookmark14"/>
      <w:bookmarkEnd w:id="73"/>
      <w:bookmarkStart w:id="74" w:name="_bookmark14"/>
      <w:bookmarkEnd w:id="74"/>
      <w:r>
        <w:t>项目概况与工程分析</w:t>
      </w:r>
    </w:p>
    <w:p>
      <w:pPr>
        <w:pStyle w:val="3"/>
        <w:numPr>
          <w:ilvl w:val="1"/>
          <w:numId w:val="16"/>
        </w:numPr>
        <w:tabs>
          <w:tab w:val="left" w:pos="1489"/>
        </w:tabs>
        <w:spacing w:before="358" w:after="0" w:line="240" w:lineRule="auto"/>
        <w:ind w:left="1488" w:right="0" w:hanging="449"/>
        <w:jc w:val="left"/>
      </w:pPr>
      <w:bookmarkStart w:id="75" w:name="3.1原有工程概况"/>
      <w:bookmarkEnd w:id="75"/>
      <w:bookmarkStart w:id="76" w:name="_bookmark15"/>
      <w:bookmarkEnd w:id="76"/>
      <w:bookmarkStart w:id="77" w:name="_bookmark15"/>
      <w:bookmarkEnd w:id="77"/>
      <w:r>
        <w:t>原有工程概况</w:t>
      </w:r>
    </w:p>
    <w:p>
      <w:pPr>
        <w:pStyle w:val="13"/>
        <w:numPr>
          <w:ilvl w:val="2"/>
          <w:numId w:val="16"/>
        </w:numPr>
        <w:tabs>
          <w:tab w:val="left" w:pos="1669"/>
        </w:tabs>
        <w:spacing w:before="122" w:after="0" w:line="240" w:lineRule="auto"/>
        <w:ind w:left="1668" w:right="0" w:hanging="629"/>
        <w:jc w:val="left"/>
        <w:rPr>
          <w:b/>
          <w:sz w:val="28"/>
        </w:rPr>
      </w:pPr>
      <w:bookmarkStart w:id="78" w:name="3.1.1双鸭山大顺矿业有限公司矿区概况"/>
      <w:bookmarkEnd w:id="78"/>
      <w:bookmarkStart w:id="79" w:name="3.1.1双鸭山大顺矿业有限公司矿区概况"/>
      <w:bookmarkEnd w:id="79"/>
      <w:r>
        <w:rPr>
          <w:b/>
          <w:sz w:val="28"/>
        </w:rPr>
        <w:t>双鸭山大顺矿业有限公司矿区概况</w:t>
      </w:r>
    </w:p>
    <w:p>
      <w:pPr>
        <w:pStyle w:val="6"/>
        <w:spacing w:before="265" w:line="364" w:lineRule="auto"/>
        <w:ind w:left="1040" w:right="999" w:firstLine="420"/>
      </w:pPr>
      <w:r>
        <w:t>原双鸭山大顺煤矿经省国土资源厅批准开</w:t>
      </w:r>
      <w:r>
        <w:rPr>
          <w:rFonts w:ascii="Times New Roman" w:eastAsia="Times New Roman"/>
        </w:rPr>
        <w:t>10</w:t>
      </w:r>
      <w:r>
        <w:t>、</w:t>
      </w:r>
      <w:r>
        <w:rPr>
          <w:rFonts w:ascii="Times New Roman" w:eastAsia="Times New Roman"/>
        </w:rPr>
        <w:t>15</w:t>
      </w:r>
      <w:r>
        <w:t>、</w:t>
      </w:r>
      <w:r>
        <w:rPr>
          <w:rFonts w:ascii="Times New Roman" w:eastAsia="Times New Roman"/>
        </w:rPr>
        <w:t>30</w:t>
      </w:r>
      <w:r>
        <w:t>号三个煤层，采矿许可证号</w:t>
      </w:r>
      <w:r>
        <w:rPr>
          <w:rFonts w:ascii="Times New Roman" w:eastAsia="Times New Roman"/>
        </w:rPr>
        <w:t>:C2300002011061120113801</w:t>
      </w:r>
      <w:r>
        <w:t>，有效期为</w:t>
      </w:r>
      <w:r>
        <w:rPr>
          <w:rFonts w:ascii="Times New Roman" w:eastAsia="Times New Roman"/>
        </w:rPr>
        <w:t>2019</w:t>
      </w:r>
      <w:r>
        <w:t>年</w:t>
      </w:r>
      <w:r>
        <w:rPr>
          <w:rFonts w:ascii="Times New Roman" w:eastAsia="Times New Roman"/>
        </w:rPr>
        <w:t>6</w:t>
      </w:r>
      <w:r>
        <w:t>月</w:t>
      </w:r>
      <w:r>
        <w:rPr>
          <w:rFonts w:ascii="Times New Roman" w:eastAsia="Times New Roman"/>
        </w:rPr>
        <w:t>18</w:t>
      </w:r>
      <w:r>
        <w:t>日至</w:t>
      </w:r>
      <w:r>
        <w:rPr>
          <w:rFonts w:ascii="Times New Roman" w:eastAsia="Times New Roman"/>
        </w:rPr>
        <w:t>2020</w:t>
      </w:r>
      <w:r>
        <w:t>年</w:t>
      </w:r>
      <w:r>
        <w:rPr>
          <w:rFonts w:ascii="Times New Roman" w:eastAsia="Times New Roman"/>
        </w:rPr>
        <w:t>6</w:t>
      </w:r>
      <w:r>
        <w:t>月</w:t>
      </w:r>
      <w:r>
        <w:rPr>
          <w:rFonts w:ascii="Times New Roman" w:eastAsia="Times New Roman"/>
        </w:rPr>
        <w:t>27</w:t>
      </w:r>
      <w:r>
        <w:t>日，设</w:t>
      </w:r>
    </w:p>
    <w:p>
      <w:pPr>
        <w:pStyle w:val="6"/>
        <w:spacing w:before="1"/>
        <w:ind w:left="1040"/>
      </w:pPr>
      <w:r>
        <w:t>计生产能力</w:t>
      </w:r>
      <w:r>
        <w:rPr>
          <w:rFonts w:ascii="Times New Roman" w:eastAsia="Times New Roman"/>
        </w:rPr>
        <w:t>4.0</w:t>
      </w:r>
      <w:r>
        <w:t>万</w:t>
      </w:r>
      <w:r>
        <w:rPr>
          <w:rFonts w:ascii="Times New Roman" w:eastAsia="Times New Roman"/>
        </w:rPr>
        <w:t>t/a</w:t>
      </w:r>
      <w:r>
        <w:t>，矿区面积</w:t>
      </w:r>
      <w:r>
        <w:rPr>
          <w:rFonts w:ascii="Times New Roman" w:eastAsia="Times New Roman"/>
        </w:rPr>
        <w:t>0.9147km</w:t>
      </w:r>
      <w:r>
        <w:rPr>
          <w:rFonts w:ascii="Times New Roman" w:eastAsia="Times New Roman"/>
          <w:position w:val="8"/>
          <w:sz w:val="15"/>
        </w:rPr>
        <w:t>2</w:t>
      </w:r>
      <w:r>
        <w:t>。矿区范围拐点坐标如下表</w:t>
      </w:r>
      <w:r>
        <w:rPr>
          <w:rFonts w:ascii="Times New Roman" w:eastAsia="Times New Roman"/>
        </w:rPr>
        <w:t>3.1-1</w:t>
      </w:r>
      <w:r>
        <w:t>。</w:t>
      </w:r>
    </w:p>
    <w:p>
      <w:pPr>
        <w:pStyle w:val="5"/>
        <w:tabs>
          <w:tab w:val="left" w:pos="1079"/>
        </w:tabs>
        <w:spacing w:before="161"/>
        <w:ind w:right="30"/>
        <w:jc w:val="center"/>
      </w:pPr>
      <w:r>
        <w:t>表</w:t>
      </w:r>
      <w:r>
        <w:rPr>
          <w:spacing w:val="-62"/>
        </w:rPr>
        <w:t xml:space="preserve"> </w:t>
      </w:r>
      <w:r>
        <w:rPr>
          <w:rFonts w:ascii="Times New Roman" w:eastAsia="Times New Roman"/>
        </w:rPr>
        <w:t>3.1-1</w:t>
      </w:r>
      <w:r>
        <w:rPr>
          <w:rFonts w:ascii="Times New Roman" w:eastAsia="Times New Roman"/>
        </w:rPr>
        <w:tab/>
      </w:r>
      <w:r>
        <w:t>原批准开采煤层范围表</w:t>
      </w:r>
    </w:p>
    <w:p>
      <w:pPr>
        <w:pStyle w:val="6"/>
        <w:spacing w:before="2"/>
        <w:rPr>
          <w:b/>
          <w:sz w:val="6"/>
        </w:rPr>
      </w:pPr>
    </w:p>
    <w:tbl>
      <w:tblPr>
        <w:tblStyle w:val="10"/>
        <w:tblW w:w="0" w:type="auto"/>
        <w:tblInd w:w="10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3"/>
        <w:gridCol w:w="938"/>
        <w:gridCol w:w="1525"/>
        <w:gridCol w:w="1429"/>
        <w:gridCol w:w="708"/>
        <w:gridCol w:w="1475"/>
        <w:gridCol w:w="15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43" w:type="dxa"/>
            <w:vMerge w:val="restart"/>
          </w:tcPr>
          <w:p>
            <w:pPr>
              <w:pStyle w:val="14"/>
              <w:spacing w:before="3"/>
              <w:jc w:val="left"/>
              <w:rPr>
                <w:b/>
                <w:sz w:val="14"/>
              </w:rPr>
            </w:pPr>
          </w:p>
          <w:p>
            <w:pPr>
              <w:pStyle w:val="14"/>
              <w:ind w:left="260"/>
              <w:jc w:val="left"/>
              <w:rPr>
                <w:sz w:val="21"/>
              </w:rPr>
            </w:pPr>
            <w:r>
              <w:rPr>
                <w:sz w:val="21"/>
              </w:rPr>
              <w:t>煤层</w:t>
            </w:r>
          </w:p>
        </w:tc>
        <w:tc>
          <w:tcPr>
            <w:tcW w:w="938" w:type="dxa"/>
            <w:vMerge w:val="restart"/>
          </w:tcPr>
          <w:p>
            <w:pPr>
              <w:pStyle w:val="14"/>
              <w:spacing w:before="3"/>
              <w:jc w:val="left"/>
              <w:rPr>
                <w:b/>
                <w:sz w:val="14"/>
              </w:rPr>
            </w:pPr>
          </w:p>
          <w:p>
            <w:pPr>
              <w:pStyle w:val="14"/>
              <w:ind w:left="258"/>
              <w:jc w:val="left"/>
              <w:rPr>
                <w:sz w:val="21"/>
              </w:rPr>
            </w:pPr>
            <w:r>
              <w:rPr>
                <w:sz w:val="21"/>
              </w:rPr>
              <w:t>拐点</w:t>
            </w:r>
          </w:p>
        </w:tc>
        <w:tc>
          <w:tcPr>
            <w:tcW w:w="2954" w:type="dxa"/>
            <w:gridSpan w:val="2"/>
          </w:tcPr>
          <w:p>
            <w:pPr>
              <w:pStyle w:val="14"/>
              <w:spacing w:before="21"/>
              <w:ind w:left="1245" w:right="1238"/>
              <w:rPr>
                <w:sz w:val="21"/>
              </w:rPr>
            </w:pPr>
            <w:r>
              <w:rPr>
                <w:sz w:val="21"/>
              </w:rPr>
              <w:t>坐标</w:t>
            </w:r>
          </w:p>
        </w:tc>
        <w:tc>
          <w:tcPr>
            <w:tcW w:w="708" w:type="dxa"/>
            <w:vMerge w:val="restart"/>
          </w:tcPr>
          <w:p>
            <w:pPr>
              <w:pStyle w:val="14"/>
              <w:spacing w:before="3"/>
              <w:jc w:val="left"/>
              <w:rPr>
                <w:b/>
                <w:sz w:val="14"/>
              </w:rPr>
            </w:pPr>
          </w:p>
          <w:p>
            <w:pPr>
              <w:pStyle w:val="14"/>
              <w:ind w:left="144"/>
              <w:jc w:val="left"/>
              <w:rPr>
                <w:sz w:val="21"/>
              </w:rPr>
            </w:pPr>
            <w:r>
              <w:rPr>
                <w:sz w:val="21"/>
              </w:rPr>
              <w:t>拐点</w:t>
            </w:r>
          </w:p>
        </w:tc>
        <w:tc>
          <w:tcPr>
            <w:tcW w:w="2979" w:type="dxa"/>
            <w:gridSpan w:val="2"/>
          </w:tcPr>
          <w:p>
            <w:pPr>
              <w:pStyle w:val="14"/>
              <w:spacing w:before="21"/>
              <w:ind w:left="1258" w:right="1251"/>
              <w:rPr>
                <w:sz w:val="21"/>
              </w:rPr>
            </w:pPr>
            <w:r>
              <w:rPr>
                <w:sz w:val="21"/>
              </w:rPr>
              <w:t>坐标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continue"/>
            <w:tcBorders>
              <w:top w:val="nil"/>
            </w:tcBorders>
          </w:tcPr>
          <w:p>
            <w:pPr>
              <w:rPr>
                <w:sz w:val="2"/>
                <w:szCs w:val="2"/>
              </w:rPr>
            </w:pPr>
          </w:p>
        </w:tc>
        <w:tc>
          <w:tcPr>
            <w:tcW w:w="938" w:type="dxa"/>
            <w:vMerge w:val="continue"/>
            <w:tcBorders>
              <w:top w:val="nil"/>
            </w:tcBorders>
          </w:tcPr>
          <w:p>
            <w:pPr>
              <w:rPr>
                <w:sz w:val="2"/>
                <w:szCs w:val="2"/>
              </w:rPr>
            </w:pPr>
          </w:p>
        </w:tc>
        <w:tc>
          <w:tcPr>
            <w:tcW w:w="1525" w:type="dxa"/>
          </w:tcPr>
          <w:p>
            <w:pPr>
              <w:pStyle w:val="14"/>
              <w:spacing w:before="21"/>
              <w:ind w:left="9"/>
              <w:rPr>
                <w:sz w:val="21"/>
              </w:rPr>
            </w:pPr>
            <w:r>
              <w:rPr>
                <w:w w:val="99"/>
                <w:sz w:val="21"/>
              </w:rPr>
              <w:t>X</w:t>
            </w:r>
          </w:p>
        </w:tc>
        <w:tc>
          <w:tcPr>
            <w:tcW w:w="1429" w:type="dxa"/>
          </w:tcPr>
          <w:p>
            <w:pPr>
              <w:pStyle w:val="14"/>
              <w:spacing w:before="21"/>
              <w:ind w:left="7"/>
              <w:rPr>
                <w:sz w:val="21"/>
              </w:rPr>
            </w:pPr>
            <w:r>
              <w:rPr>
                <w:w w:val="99"/>
                <w:sz w:val="21"/>
              </w:rPr>
              <w:t>Y</w:t>
            </w:r>
          </w:p>
        </w:tc>
        <w:tc>
          <w:tcPr>
            <w:tcW w:w="708" w:type="dxa"/>
            <w:vMerge w:val="continue"/>
            <w:tcBorders>
              <w:top w:val="nil"/>
            </w:tcBorders>
          </w:tcPr>
          <w:p>
            <w:pPr>
              <w:rPr>
                <w:sz w:val="2"/>
                <w:szCs w:val="2"/>
              </w:rPr>
            </w:pPr>
          </w:p>
        </w:tc>
        <w:tc>
          <w:tcPr>
            <w:tcW w:w="1475" w:type="dxa"/>
          </w:tcPr>
          <w:p>
            <w:pPr>
              <w:pStyle w:val="14"/>
              <w:spacing w:before="21"/>
              <w:ind w:left="7"/>
              <w:rPr>
                <w:sz w:val="21"/>
              </w:rPr>
            </w:pPr>
            <w:r>
              <w:rPr>
                <w:w w:val="99"/>
                <w:sz w:val="21"/>
              </w:rPr>
              <w:t>X</w:t>
            </w:r>
          </w:p>
        </w:tc>
        <w:tc>
          <w:tcPr>
            <w:tcW w:w="1504" w:type="dxa"/>
          </w:tcPr>
          <w:p>
            <w:pPr>
              <w:pStyle w:val="14"/>
              <w:spacing w:before="21"/>
              <w:ind w:left="9"/>
              <w:rPr>
                <w:sz w:val="21"/>
              </w:rPr>
            </w:pPr>
            <w:r>
              <w:rPr>
                <w:w w:val="99"/>
                <w:sz w:val="21"/>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43"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140"/>
              <w:ind w:left="346" w:right="337"/>
              <w:rPr>
                <w:sz w:val="21"/>
              </w:rPr>
            </w:pPr>
            <w:r>
              <w:rPr>
                <w:sz w:val="21"/>
              </w:rPr>
              <w:t>10</w:t>
            </w:r>
          </w:p>
        </w:tc>
        <w:tc>
          <w:tcPr>
            <w:tcW w:w="938" w:type="dxa"/>
          </w:tcPr>
          <w:p>
            <w:pPr>
              <w:pStyle w:val="14"/>
              <w:spacing w:before="100"/>
              <w:ind w:right="406"/>
              <w:jc w:val="right"/>
              <w:rPr>
                <w:sz w:val="21"/>
              </w:rPr>
            </w:pPr>
            <w:r>
              <w:rPr>
                <w:w w:val="99"/>
                <w:sz w:val="21"/>
              </w:rPr>
              <w:t>1</w:t>
            </w:r>
          </w:p>
        </w:tc>
        <w:tc>
          <w:tcPr>
            <w:tcW w:w="1525" w:type="dxa"/>
          </w:tcPr>
          <w:p>
            <w:pPr>
              <w:pStyle w:val="14"/>
              <w:spacing w:before="100"/>
              <w:ind w:left="217" w:right="208"/>
              <w:rPr>
                <w:sz w:val="21"/>
              </w:rPr>
            </w:pPr>
            <w:r>
              <w:rPr>
                <w:sz w:val="21"/>
              </w:rPr>
              <w:t>5151879.72</w:t>
            </w:r>
          </w:p>
        </w:tc>
        <w:tc>
          <w:tcPr>
            <w:tcW w:w="1429" w:type="dxa"/>
          </w:tcPr>
          <w:p>
            <w:pPr>
              <w:pStyle w:val="14"/>
              <w:spacing w:before="100"/>
              <w:ind w:left="115" w:right="108"/>
              <w:rPr>
                <w:sz w:val="21"/>
              </w:rPr>
            </w:pPr>
            <w:r>
              <w:rPr>
                <w:sz w:val="21"/>
              </w:rPr>
              <w:t>44436325.20</w:t>
            </w:r>
          </w:p>
        </w:tc>
        <w:tc>
          <w:tcPr>
            <w:tcW w:w="708" w:type="dxa"/>
          </w:tcPr>
          <w:p>
            <w:pPr>
              <w:pStyle w:val="14"/>
              <w:spacing w:before="100"/>
              <w:ind w:left="300"/>
              <w:jc w:val="left"/>
              <w:rPr>
                <w:sz w:val="21"/>
              </w:rPr>
            </w:pPr>
            <w:r>
              <w:rPr>
                <w:w w:val="99"/>
                <w:sz w:val="21"/>
              </w:rPr>
              <w:t>9</w:t>
            </w:r>
          </w:p>
        </w:tc>
        <w:tc>
          <w:tcPr>
            <w:tcW w:w="1475" w:type="dxa"/>
          </w:tcPr>
          <w:p>
            <w:pPr>
              <w:pStyle w:val="14"/>
              <w:spacing w:before="100"/>
              <w:ind w:left="191" w:right="184"/>
              <w:rPr>
                <w:sz w:val="21"/>
              </w:rPr>
            </w:pPr>
            <w:r>
              <w:rPr>
                <w:sz w:val="21"/>
              </w:rPr>
              <w:t>5152321.72</w:t>
            </w:r>
          </w:p>
        </w:tc>
        <w:tc>
          <w:tcPr>
            <w:tcW w:w="1504" w:type="dxa"/>
          </w:tcPr>
          <w:p>
            <w:pPr>
              <w:pStyle w:val="14"/>
              <w:spacing w:before="100"/>
              <w:ind w:left="97" w:right="88"/>
              <w:rPr>
                <w:sz w:val="21"/>
              </w:rPr>
            </w:pPr>
            <w:r>
              <w:rPr>
                <w:sz w:val="21"/>
              </w:rPr>
              <w:t>44435666.19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943" w:type="dxa"/>
            <w:vMerge w:val="continue"/>
            <w:tcBorders>
              <w:top w:val="nil"/>
            </w:tcBorders>
          </w:tcPr>
          <w:p>
            <w:pPr>
              <w:rPr>
                <w:sz w:val="2"/>
                <w:szCs w:val="2"/>
              </w:rPr>
            </w:pPr>
          </w:p>
        </w:tc>
        <w:tc>
          <w:tcPr>
            <w:tcW w:w="938" w:type="dxa"/>
          </w:tcPr>
          <w:p>
            <w:pPr>
              <w:pStyle w:val="14"/>
              <w:spacing w:before="100"/>
              <w:ind w:right="406"/>
              <w:jc w:val="right"/>
              <w:rPr>
                <w:sz w:val="21"/>
              </w:rPr>
            </w:pPr>
            <w:r>
              <w:rPr>
                <w:w w:val="99"/>
                <w:sz w:val="21"/>
              </w:rPr>
              <w:t>2</w:t>
            </w:r>
          </w:p>
        </w:tc>
        <w:tc>
          <w:tcPr>
            <w:tcW w:w="1525" w:type="dxa"/>
          </w:tcPr>
          <w:p>
            <w:pPr>
              <w:pStyle w:val="14"/>
              <w:spacing w:before="100"/>
              <w:ind w:left="217" w:right="208"/>
              <w:rPr>
                <w:sz w:val="21"/>
              </w:rPr>
            </w:pPr>
            <w:r>
              <w:rPr>
                <w:sz w:val="21"/>
              </w:rPr>
              <w:t>5151810.72</w:t>
            </w:r>
          </w:p>
        </w:tc>
        <w:tc>
          <w:tcPr>
            <w:tcW w:w="1429" w:type="dxa"/>
          </w:tcPr>
          <w:p>
            <w:pPr>
              <w:pStyle w:val="14"/>
              <w:spacing w:before="100"/>
              <w:ind w:left="115" w:right="108"/>
              <w:rPr>
                <w:sz w:val="21"/>
              </w:rPr>
            </w:pPr>
            <w:r>
              <w:rPr>
                <w:sz w:val="21"/>
              </w:rPr>
              <w:t>44436210.20</w:t>
            </w:r>
          </w:p>
        </w:tc>
        <w:tc>
          <w:tcPr>
            <w:tcW w:w="708" w:type="dxa"/>
          </w:tcPr>
          <w:p>
            <w:pPr>
              <w:pStyle w:val="14"/>
              <w:spacing w:before="100"/>
              <w:ind w:left="249"/>
              <w:jc w:val="left"/>
              <w:rPr>
                <w:sz w:val="21"/>
              </w:rPr>
            </w:pPr>
            <w:r>
              <w:rPr>
                <w:sz w:val="21"/>
              </w:rPr>
              <w:t>10</w:t>
            </w:r>
          </w:p>
        </w:tc>
        <w:tc>
          <w:tcPr>
            <w:tcW w:w="1475" w:type="dxa"/>
          </w:tcPr>
          <w:p>
            <w:pPr>
              <w:pStyle w:val="14"/>
              <w:spacing w:before="100"/>
              <w:ind w:left="191" w:right="184"/>
              <w:rPr>
                <w:sz w:val="21"/>
              </w:rPr>
            </w:pPr>
            <w:r>
              <w:rPr>
                <w:sz w:val="21"/>
              </w:rPr>
              <w:t>5152101.72</w:t>
            </w:r>
          </w:p>
        </w:tc>
        <w:tc>
          <w:tcPr>
            <w:tcW w:w="1504" w:type="dxa"/>
          </w:tcPr>
          <w:p>
            <w:pPr>
              <w:pStyle w:val="14"/>
              <w:spacing w:before="100"/>
              <w:ind w:left="97" w:right="88"/>
              <w:rPr>
                <w:sz w:val="21"/>
              </w:rPr>
            </w:pPr>
            <w:r>
              <w:rPr>
                <w:sz w:val="21"/>
              </w:rPr>
              <w:t>44436067.20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43" w:type="dxa"/>
            <w:vMerge w:val="continue"/>
            <w:tcBorders>
              <w:top w:val="nil"/>
            </w:tcBorders>
          </w:tcPr>
          <w:p>
            <w:pPr>
              <w:rPr>
                <w:sz w:val="2"/>
                <w:szCs w:val="2"/>
              </w:rPr>
            </w:pPr>
          </w:p>
        </w:tc>
        <w:tc>
          <w:tcPr>
            <w:tcW w:w="938" w:type="dxa"/>
          </w:tcPr>
          <w:p>
            <w:pPr>
              <w:pStyle w:val="14"/>
              <w:spacing w:before="99"/>
              <w:ind w:right="406"/>
              <w:jc w:val="right"/>
              <w:rPr>
                <w:sz w:val="21"/>
              </w:rPr>
            </w:pPr>
            <w:r>
              <w:rPr>
                <w:w w:val="99"/>
                <w:sz w:val="21"/>
              </w:rPr>
              <w:t>3</w:t>
            </w:r>
          </w:p>
        </w:tc>
        <w:tc>
          <w:tcPr>
            <w:tcW w:w="1525" w:type="dxa"/>
          </w:tcPr>
          <w:p>
            <w:pPr>
              <w:pStyle w:val="14"/>
              <w:spacing w:before="99"/>
              <w:ind w:left="217" w:right="208"/>
              <w:rPr>
                <w:sz w:val="21"/>
              </w:rPr>
            </w:pPr>
            <w:r>
              <w:rPr>
                <w:sz w:val="21"/>
              </w:rPr>
              <w:t>5151902.72</w:t>
            </w:r>
          </w:p>
        </w:tc>
        <w:tc>
          <w:tcPr>
            <w:tcW w:w="1429" w:type="dxa"/>
          </w:tcPr>
          <w:p>
            <w:pPr>
              <w:pStyle w:val="14"/>
              <w:spacing w:before="99"/>
              <w:ind w:left="115" w:right="108"/>
              <w:rPr>
                <w:sz w:val="21"/>
              </w:rPr>
            </w:pPr>
            <w:r>
              <w:rPr>
                <w:sz w:val="21"/>
              </w:rPr>
              <w:t>44436010.20</w:t>
            </w:r>
          </w:p>
        </w:tc>
        <w:tc>
          <w:tcPr>
            <w:tcW w:w="708" w:type="dxa"/>
          </w:tcPr>
          <w:p>
            <w:pPr>
              <w:pStyle w:val="14"/>
              <w:spacing w:before="99"/>
              <w:ind w:left="249"/>
              <w:jc w:val="left"/>
              <w:rPr>
                <w:sz w:val="21"/>
              </w:rPr>
            </w:pPr>
            <w:r>
              <w:rPr>
                <w:sz w:val="21"/>
              </w:rPr>
              <w:t>11</w:t>
            </w:r>
          </w:p>
        </w:tc>
        <w:tc>
          <w:tcPr>
            <w:tcW w:w="1475" w:type="dxa"/>
          </w:tcPr>
          <w:p>
            <w:pPr>
              <w:pStyle w:val="14"/>
              <w:spacing w:before="99"/>
              <w:ind w:left="191" w:right="184"/>
              <w:rPr>
                <w:sz w:val="21"/>
              </w:rPr>
            </w:pPr>
            <w:r>
              <w:rPr>
                <w:sz w:val="21"/>
              </w:rPr>
              <w:t>5152247.72</w:t>
            </w:r>
          </w:p>
        </w:tc>
        <w:tc>
          <w:tcPr>
            <w:tcW w:w="1504" w:type="dxa"/>
          </w:tcPr>
          <w:p>
            <w:pPr>
              <w:pStyle w:val="14"/>
              <w:spacing w:before="99"/>
              <w:ind w:left="97" w:right="88"/>
              <w:rPr>
                <w:sz w:val="21"/>
              </w:rPr>
            </w:pPr>
            <w:r>
              <w:rPr>
                <w:sz w:val="21"/>
              </w:rPr>
              <w:t>44436343.20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43" w:type="dxa"/>
            <w:vMerge w:val="continue"/>
            <w:tcBorders>
              <w:top w:val="nil"/>
            </w:tcBorders>
          </w:tcPr>
          <w:p>
            <w:pPr>
              <w:rPr>
                <w:sz w:val="2"/>
                <w:szCs w:val="2"/>
              </w:rPr>
            </w:pPr>
          </w:p>
        </w:tc>
        <w:tc>
          <w:tcPr>
            <w:tcW w:w="938" w:type="dxa"/>
          </w:tcPr>
          <w:p>
            <w:pPr>
              <w:pStyle w:val="14"/>
              <w:spacing w:before="99"/>
              <w:ind w:right="406"/>
              <w:jc w:val="right"/>
              <w:rPr>
                <w:sz w:val="21"/>
              </w:rPr>
            </w:pPr>
            <w:r>
              <w:rPr>
                <w:w w:val="99"/>
                <w:sz w:val="21"/>
              </w:rPr>
              <w:t>4</w:t>
            </w:r>
          </w:p>
        </w:tc>
        <w:tc>
          <w:tcPr>
            <w:tcW w:w="1525" w:type="dxa"/>
          </w:tcPr>
          <w:p>
            <w:pPr>
              <w:pStyle w:val="14"/>
              <w:spacing w:before="99"/>
              <w:ind w:left="217" w:right="208"/>
              <w:rPr>
                <w:sz w:val="21"/>
              </w:rPr>
            </w:pPr>
            <w:r>
              <w:rPr>
                <w:sz w:val="21"/>
              </w:rPr>
              <w:t>5152005.72</w:t>
            </w:r>
          </w:p>
        </w:tc>
        <w:tc>
          <w:tcPr>
            <w:tcW w:w="1429" w:type="dxa"/>
          </w:tcPr>
          <w:p>
            <w:pPr>
              <w:pStyle w:val="14"/>
              <w:spacing w:before="99"/>
              <w:ind w:left="115" w:right="108"/>
              <w:rPr>
                <w:sz w:val="21"/>
              </w:rPr>
            </w:pPr>
            <w:r>
              <w:rPr>
                <w:sz w:val="21"/>
              </w:rPr>
              <w:t>44435834.20</w:t>
            </w:r>
          </w:p>
        </w:tc>
        <w:tc>
          <w:tcPr>
            <w:tcW w:w="708" w:type="dxa"/>
          </w:tcPr>
          <w:p>
            <w:pPr>
              <w:pStyle w:val="14"/>
              <w:spacing w:before="99"/>
              <w:ind w:left="249"/>
              <w:jc w:val="left"/>
              <w:rPr>
                <w:sz w:val="21"/>
              </w:rPr>
            </w:pPr>
            <w:r>
              <w:rPr>
                <w:sz w:val="21"/>
              </w:rPr>
              <w:t>12</w:t>
            </w:r>
          </w:p>
        </w:tc>
        <w:tc>
          <w:tcPr>
            <w:tcW w:w="1475" w:type="dxa"/>
          </w:tcPr>
          <w:p>
            <w:pPr>
              <w:pStyle w:val="14"/>
              <w:spacing w:before="99"/>
              <w:ind w:left="191" w:right="184"/>
              <w:rPr>
                <w:sz w:val="21"/>
              </w:rPr>
            </w:pPr>
            <w:r>
              <w:rPr>
                <w:sz w:val="21"/>
              </w:rPr>
              <w:t>5152137.72</w:t>
            </w:r>
          </w:p>
        </w:tc>
        <w:tc>
          <w:tcPr>
            <w:tcW w:w="1504" w:type="dxa"/>
          </w:tcPr>
          <w:p>
            <w:pPr>
              <w:pStyle w:val="14"/>
              <w:spacing w:before="99"/>
              <w:ind w:left="97" w:right="88"/>
              <w:rPr>
                <w:sz w:val="21"/>
              </w:rPr>
            </w:pPr>
            <w:r>
              <w:rPr>
                <w:sz w:val="21"/>
              </w:rPr>
              <w:t>44436676.20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943" w:type="dxa"/>
            <w:vMerge w:val="continue"/>
            <w:tcBorders>
              <w:top w:val="nil"/>
            </w:tcBorders>
          </w:tcPr>
          <w:p>
            <w:pPr>
              <w:rPr>
                <w:sz w:val="2"/>
                <w:szCs w:val="2"/>
              </w:rPr>
            </w:pPr>
          </w:p>
        </w:tc>
        <w:tc>
          <w:tcPr>
            <w:tcW w:w="938" w:type="dxa"/>
          </w:tcPr>
          <w:p>
            <w:pPr>
              <w:pStyle w:val="14"/>
              <w:spacing w:before="98"/>
              <w:ind w:right="406"/>
              <w:jc w:val="right"/>
              <w:rPr>
                <w:sz w:val="21"/>
              </w:rPr>
            </w:pPr>
            <w:r>
              <w:rPr>
                <w:w w:val="99"/>
                <w:sz w:val="21"/>
              </w:rPr>
              <w:t>5</w:t>
            </w:r>
          </w:p>
        </w:tc>
        <w:tc>
          <w:tcPr>
            <w:tcW w:w="1525" w:type="dxa"/>
          </w:tcPr>
          <w:p>
            <w:pPr>
              <w:pStyle w:val="14"/>
              <w:spacing w:before="98"/>
              <w:ind w:left="217" w:right="208"/>
              <w:rPr>
                <w:sz w:val="21"/>
              </w:rPr>
            </w:pPr>
            <w:r>
              <w:rPr>
                <w:sz w:val="21"/>
              </w:rPr>
              <w:t>5151935.72</w:t>
            </w:r>
          </w:p>
        </w:tc>
        <w:tc>
          <w:tcPr>
            <w:tcW w:w="1429" w:type="dxa"/>
          </w:tcPr>
          <w:p>
            <w:pPr>
              <w:pStyle w:val="14"/>
              <w:spacing w:before="98"/>
              <w:ind w:left="115" w:right="108"/>
              <w:rPr>
                <w:sz w:val="21"/>
              </w:rPr>
            </w:pPr>
            <w:r>
              <w:rPr>
                <w:sz w:val="21"/>
              </w:rPr>
              <w:t>44435784.20</w:t>
            </w:r>
          </w:p>
        </w:tc>
        <w:tc>
          <w:tcPr>
            <w:tcW w:w="708" w:type="dxa"/>
          </w:tcPr>
          <w:p>
            <w:pPr>
              <w:pStyle w:val="14"/>
              <w:spacing w:before="98"/>
              <w:ind w:left="249"/>
              <w:jc w:val="left"/>
              <w:rPr>
                <w:sz w:val="21"/>
              </w:rPr>
            </w:pPr>
            <w:r>
              <w:rPr>
                <w:sz w:val="21"/>
              </w:rPr>
              <w:t>13</w:t>
            </w:r>
          </w:p>
        </w:tc>
        <w:tc>
          <w:tcPr>
            <w:tcW w:w="1475" w:type="dxa"/>
          </w:tcPr>
          <w:p>
            <w:pPr>
              <w:pStyle w:val="14"/>
              <w:spacing w:before="98"/>
              <w:ind w:left="191" w:right="184"/>
              <w:rPr>
                <w:sz w:val="21"/>
              </w:rPr>
            </w:pPr>
            <w:r>
              <w:rPr>
                <w:sz w:val="21"/>
              </w:rPr>
              <w:t>5151953.73</w:t>
            </w:r>
          </w:p>
        </w:tc>
        <w:tc>
          <w:tcPr>
            <w:tcW w:w="1504" w:type="dxa"/>
          </w:tcPr>
          <w:p>
            <w:pPr>
              <w:pStyle w:val="14"/>
              <w:spacing w:before="98"/>
              <w:ind w:left="97" w:right="88"/>
              <w:rPr>
                <w:sz w:val="21"/>
              </w:rPr>
            </w:pPr>
            <w:r>
              <w:rPr>
                <w:sz w:val="21"/>
              </w:rPr>
              <w:t>44437240.20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43" w:type="dxa"/>
            <w:vMerge w:val="continue"/>
            <w:tcBorders>
              <w:top w:val="nil"/>
            </w:tcBorders>
          </w:tcPr>
          <w:p>
            <w:pPr>
              <w:rPr>
                <w:sz w:val="2"/>
                <w:szCs w:val="2"/>
              </w:rPr>
            </w:pPr>
          </w:p>
        </w:tc>
        <w:tc>
          <w:tcPr>
            <w:tcW w:w="938" w:type="dxa"/>
          </w:tcPr>
          <w:p>
            <w:pPr>
              <w:pStyle w:val="14"/>
              <w:spacing w:before="98"/>
              <w:ind w:right="406"/>
              <w:jc w:val="right"/>
              <w:rPr>
                <w:sz w:val="21"/>
              </w:rPr>
            </w:pPr>
            <w:r>
              <w:rPr>
                <w:w w:val="99"/>
                <w:sz w:val="21"/>
              </w:rPr>
              <w:t>6</w:t>
            </w:r>
          </w:p>
        </w:tc>
        <w:tc>
          <w:tcPr>
            <w:tcW w:w="1525" w:type="dxa"/>
          </w:tcPr>
          <w:p>
            <w:pPr>
              <w:pStyle w:val="14"/>
              <w:spacing w:before="98"/>
              <w:ind w:left="217" w:right="208"/>
              <w:rPr>
                <w:sz w:val="21"/>
              </w:rPr>
            </w:pPr>
            <w:r>
              <w:rPr>
                <w:sz w:val="21"/>
              </w:rPr>
              <w:t>5151978.72</w:t>
            </w:r>
          </w:p>
        </w:tc>
        <w:tc>
          <w:tcPr>
            <w:tcW w:w="1429" w:type="dxa"/>
          </w:tcPr>
          <w:p>
            <w:pPr>
              <w:pStyle w:val="14"/>
              <w:spacing w:before="98"/>
              <w:ind w:left="115" w:right="108"/>
              <w:rPr>
                <w:sz w:val="21"/>
              </w:rPr>
            </w:pPr>
            <w:r>
              <w:rPr>
                <w:sz w:val="21"/>
              </w:rPr>
              <w:t>44435746.20</w:t>
            </w:r>
          </w:p>
        </w:tc>
        <w:tc>
          <w:tcPr>
            <w:tcW w:w="708" w:type="dxa"/>
          </w:tcPr>
          <w:p>
            <w:pPr>
              <w:pStyle w:val="14"/>
              <w:spacing w:before="98"/>
              <w:ind w:left="249"/>
              <w:jc w:val="left"/>
              <w:rPr>
                <w:sz w:val="21"/>
              </w:rPr>
            </w:pPr>
            <w:r>
              <w:rPr>
                <w:sz w:val="21"/>
              </w:rPr>
              <w:t>14</w:t>
            </w:r>
          </w:p>
        </w:tc>
        <w:tc>
          <w:tcPr>
            <w:tcW w:w="1475" w:type="dxa"/>
          </w:tcPr>
          <w:p>
            <w:pPr>
              <w:pStyle w:val="14"/>
              <w:spacing w:before="98"/>
              <w:ind w:left="191" w:right="184"/>
              <w:rPr>
                <w:sz w:val="21"/>
              </w:rPr>
            </w:pPr>
            <w:r>
              <w:rPr>
                <w:sz w:val="21"/>
              </w:rPr>
              <w:t>5151811.72</w:t>
            </w:r>
          </w:p>
        </w:tc>
        <w:tc>
          <w:tcPr>
            <w:tcW w:w="1504" w:type="dxa"/>
          </w:tcPr>
          <w:p>
            <w:pPr>
              <w:pStyle w:val="14"/>
              <w:spacing w:before="98"/>
              <w:ind w:left="97" w:right="88"/>
              <w:rPr>
                <w:sz w:val="21"/>
              </w:rPr>
            </w:pPr>
            <w:r>
              <w:rPr>
                <w:sz w:val="21"/>
              </w:rPr>
              <w:t>44437270.21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943" w:type="dxa"/>
            <w:vMerge w:val="continue"/>
            <w:tcBorders>
              <w:top w:val="nil"/>
            </w:tcBorders>
          </w:tcPr>
          <w:p>
            <w:pPr>
              <w:rPr>
                <w:sz w:val="2"/>
                <w:szCs w:val="2"/>
              </w:rPr>
            </w:pPr>
          </w:p>
        </w:tc>
        <w:tc>
          <w:tcPr>
            <w:tcW w:w="938" w:type="dxa"/>
          </w:tcPr>
          <w:p>
            <w:pPr>
              <w:pStyle w:val="14"/>
              <w:spacing w:before="100"/>
              <w:ind w:right="406"/>
              <w:jc w:val="right"/>
              <w:rPr>
                <w:sz w:val="21"/>
              </w:rPr>
            </w:pPr>
            <w:r>
              <w:rPr>
                <w:w w:val="99"/>
                <w:sz w:val="21"/>
              </w:rPr>
              <w:t>7</w:t>
            </w:r>
          </w:p>
        </w:tc>
        <w:tc>
          <w:tcPr>
            <w:tcW w:w="1525" w:type="dxa"/>
          </w:tcPr>
          <w:p>
            <w:pPr>
              <w:pStyle w:val="14"/>
              <w:spacing w:before="100"/>
              <w:ind w:left="217" w:right="208"/>
              <w:rPr>
                <w:sz w:val="21"/>
              </w:rPr>
            </w:pPr>
            <w:r>
              <w:rPr>
                <w:sz w:val="21"/>
              </w:rPr>
              <w:t>5151915.72</w:t>
            </w:r>
          </w:p>
        </w:tc>
        <w:tc>
          <w:tcPr>
            <w:tcW w:w="1429" w:type="dxa"/>
          </w:tcPr>
          <w:p>
            <w:pPr>
              <w:pStyle w:val="14"/>
              <w:spacing w:before="100"/>
              <w:ind w:left="115" w:right="108"/>
              <w:rPr>
                <w:sz w:val="21"/>
              </w:rPr>
            </w:pPr>
            <w:r>
              <w:rPr>
                <w:sz w:val="21"/>
              </w:rPr>
              <w:t>44435689.20</w:t>
            </w:r>
          </w:p>
        </w:tc>
        <w:tc>
          <w:tcPr>
            <w:tcW w:w="708" w:type="dxa"/>
          </w:tcPr>
          <w:p>
            <w:pPr>
              <w:pStyle w:val="14"/>
              <w:spacing w:before="100"/>
              <w:ind w:left="249"/>
              <w:jc w:val="left"/>
              <w:rPr>
                <w:sz w:val="21"/>
              </w:rPr>
            </w:pPr>
            <w:r>
              <w:rPr>
                <w:sz w:val="21"/>
              </w:rPr>
              <w:t>15</w:t>
            </w:r>
          </w:p>
        </w:tc>
        <w:tc>
          <w:tcPr>
            <w:tcW w:w="1475" w:type="dxa"/>
          </w:tcPr>
          <w:p>
            <w:pPr>
              <w:pStyle w:val="14"/>
              <w:spacing w:before="100"/>
              <w:ind w:left="191" w:right="184"/>
              <w:rPr>
                <w:sz w:val="21"/>
              </w:rPr>
            </w:pPr>
            <w:r>
              <w:rPr>
                <w:sz w:val="21"/>
              </w:rPr>
              <w:t>5151751.72</w:t>
            </w:r>
          </w:p>
        </w:tc>
        <w:tc>
          <w:tcPr>
            <w:tcW w:w="1504" w:type="dxa"/>
          </w:tcPr>
          <w:p>
            <w:pPr>
              <w:pStyle w:val="14"/>
              <w:spacing w:before="100"/>
              <w:ind w:left="97" w:right="88"/>
              <w:rPr>
                <w:sz w:val="21"/>
              </w:rPr>
            </w:pPr>
            <w:r>
              <w:rPr>
                <w:sz w:val="21"/>
              </w:rPr>
              <w:t>44437124.20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43" w:type="dxa"/>
            <w:vMerge w:val="continue"/>
            <w:tcBorders>
              <w:top w:val="nil"/>
            </w:tcBorders>
          </w:tcPr>
          <w:p>
            <w:pPr>
              <w:rPr>
                <w:sz w:val="2"/>
                <w:szCs w:val="2"/>
              </w:rPr>
            </w:pPr>
          </w:p>
        </w:tc>
        <w:tc>
          <w:tcPr>
            <w:tcW w:w="938" w:type="dxa"/>
          </w:tcPr>
          <w:p>
            <w:pPr>
              <w:pStyle w:val="14"/>
              <w:spacing w:before="100"/>
              <w:ind w:right="406"/>
              <w:jc w:val="right"/>
              <w:rPr>
                <w:sz w:val="21"/>
              </w:rPr>
            </w:pPr>
            <w:r>
              <w:rPr>
                <w:w w:val="99"/>
                <w:sz w:val="21"/>
              </w:rPr>
              <w:t>8</w:t>
            </w:r>
          </w:p>
        </w:tc>
        <w:tc>
          <w:tcPr>
            <w:tcW w:w="1525" w:type="dxa"/>
          </w:tcPr>
          <w:p>
            <w:pPr>
              <w:pStyle w:val="14"/>
              <w:spacing w:before="100"/>
              <w:ind w:left="217" w:right="208"/>
              <w:rPr>
                <w:sz w:val="21"/>
              </w:rPr>
            </w:pPr>
            <w:r>
              <w:rPr>
                <w:sz w:val="21"/>
              </w:rPr>
              <w:t>5152261.72</w:t>
            </w:r>
          </w:p>
        </w:tc>
        <w:tc>
          <w:tcPr>
            <w:tcW w:w="1429" w:type="dxa"/>
          </w:tcPr>
          <w:p>
            <w:pPr>
              <w:pStyle w:val="14"/>
              <w:spacing w:before="100"/>
              <w:ind w:left="115" w:right="108"/>
              <w:rPr>
                <w:sz w:val="21"/>
              </w:rPr>
            </w:pPr>
            <w:r>
              <w:rPr>
                <w:sz w:val="21"/>
              </w:rPr>
              <w:t>44435384.19</w:t>
            </w:r>
          </w:p>
        </w:tc>
        <w:tc>
          <w:tcPr>
            <w:tcW w:w="708" w:type="dxa"/>
          </w:tcPr>
          <w:p>
            <w:pPr>
              <w:pStyle w:val="14"/>
              <w:spacing w:before="100"/>
              <w:ind w:left="249"/>
              <w:jc w:val="left"/>
              <w:rPr>
                <w:sz w:val="21"/>
              </w:rPr>
            </w:pPr>
            <w:r>
              <w:rPr>
                <w:sz w:val="21"/>
              </w:rPr>
              <w:t>16</w:t>
            </w:r>
          </w:p>
        </w:tc>
        <w:tc>
          <w:tcPr>
            <w:tcW w:w="1475" w:type="dxa"/>
          </w:tcPr>
          <w:p>
            <w:pPr>
              <w:pStyle w:val="14"/>
              <w:spacing w:before="100"/>
              <w:ind w:left="191" w:right="184"/>
              <w:rPr>
                <w:sz w:val="21"/>
              </w:rPr>
            </w:pPr>
            <w:r>
              <w:rPr>
                <w:sz w:val="21"/>
              </w:rPr>
              <w:t>5151743.72</w:t>
            </w:r>
          </w:p>
        </w:tc>
        <w:tc>
          <w:tcPr>
            <w:tcW w:w="1504" w:type="dxa"/>
          </w:tcPr>
          <w:p>
            <w:pPr>
              <w:pStyle w:val="14"/>
              <w:spacing w:before="100"/>
              <w:ind w:left="97" w:right="88"/>
              <w:rPr>
                <w:sz w:val="21"/>
              </w:rPr>
            </w:pPr>
            <w:r>
              <w:rPr>
                <w:sz w:val="21"/>
              </w:rPr>
              <w:t>44436548.20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continue"/>
            <w:tcBorders>
              <w:top w:val="nil"/>
            </w:tcBorders>
          </w:tcPr>
          <w:p>
            <w:pPr>
              <w:rPr>
                <w:sz w:val="2"/>
                <w:szCs w:val="2"/>
              </w:rPr>
            </w:pPr>
          </w:p>
        </w:tc>
        <w:tc>
          <w:tcPr>
            <w:tcW w:w="7579" w:type="dxa"/>
            <w:gridSpan w:val="6"/>
          </w:tcPr>
          <w:p>
            <w:pPr>
              <w:pStyle w:val="14"/>
              <w:spacing w:before="20"/>
              <w:ind w:left="2665" w:right="2653"/>
              <w:rPr>
                <w:sz w:val="21"/>
              </w:rPr>
            </w:pPr>
            <w:r>
              <w:rPr>
                <w:sz w:val="21"/>
              </w:rPr>
              <w:t>开采标高：370 至 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943"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7"/>
              <w:jc w:val="left"/>
              <w:rPr>
                <w:b/>
                <w:sz w:val="29"/>
              </w:rPr>
            </w:pPr>
          </w:p>
          <w:p>
            <w:pPr>
              <w:pStyle w:val="14"/>
              <w:ind w:left="346" w:right="337"/>
              <w:rPr>
                <w:sz w:val="21"/>
              </w:rPr>
            </w:pPr>
            <w:r>
              <w:rPr>
                <w:sz w:val="21"/>
              </w:rPr>
              <w:t>15</w:t>
            </w:r>
          </w:p>
        </w:tc>
        <w:tc>
          <w:tcPr>
            <w:tcW w:w="938" w:type="dxa"/>
          </w:tcPr>
          <w:p>
            <w:pPr>
              <w:pStyle w:val="14"/>
              <w:spacing w:before="99"/>
              <w:ind w:right="406"/>
              <w:jc w:val="right"/>
              <w:rPr>
                <w:sz w:val="21"/>
              </w:rPr>
            </w:pPr>
            <w:r>
              <w:rPr>
                <w:w w:val="99"/>
                <w:sz w:val="21"/>
              </w:rPr>
              <w:t>1</w:t>
            </w:r>
          </w:p>
        </w:tc>
        <w:tc>
          <w:tcPr>
            <w:tcW w:w="1525" w:type="dxa"/>
          </w:tcPr>
          <w:p>
            <w:pPr>
              <w:pStyle w:val="14"/>
              <w:spacing w:before="99"/>
              <w:ind w:left="217" w:right="208"/>
              <w:rPr>
                <w:sz w:val="21"/>
              </w:rPr>
            </w:pPr>
            <w:r>
              <w:rPr>
                <w:sz w:val="21"/>
              </w:rPr>
              <w:t>5151879.72</w:t>
            </w:r>
          </w:p>
        </w:tc>
        <w:tc>
          <w:tcPr>
            <w:tcW w:w="1429" w:type="dxa"/>
          </w:tcPr>
          <w:p>
            <w:pPr>
              <w:pStyle w:val="14"/>
              <w:spacing w:before="99"/>
              <w:ind w:left="115" w:right="108"/>
              <w:rPr>
                <w:sz w:val="21"/>
              </w:rPr>
            </w:pPr>
            <w:r>
              <w:rPr>
                <w:sz w:val="21"/>
              </w:rPr>
              <w:t>44436325.20</w:t>
            </w:r>
          </w:p>
        </w:tc>
        <w:tc>
          <w:tcPr>
            <w:tcW w:w="708" w:type="dxa"/>
          </w:tcPr>
          <w:p>
            <w:pPr>
              <w:pStyle w:val="14"/>
              <w:spacing w:before="99"/>
              <w:ind w:left="249"/>
              <w:jc w:val="left"/>
              <w:rPr>
                <w:sz w:val="21"/>
              </w:rPr>
            </w:pPr>
            <w:r>
              <w:rPr>
                <w:sz w:val="21"/>
              </w:rPr>
              <w:t>10</w:t>
            </w:r>
          </w:p>
        </w:tc>
        <w:tc>
          <w:tcPr>
            <w:tcW w:w="1475" w:type="dxa"/>
          </w:tcPr>
          <w:p>
            <w:pPr>
              <w:pStyle w:val="14"/>
              <w:spacing w:before="99"/>
              <w:ind w:left="191" w:right="184"/>
              <w:rPr>
                <w:sz w:val="21"/>
              </w:rPr>
            </w:pPr>
            <w:r>
              <w:rPr>
                <w:sz w:val="21"/>
              </w:rPr>
              <w:t>5152197.72</w:t>
            </w:r>
          </w:p>
        </w:tc>
        <w:tc>
          <w:tcPr>
            <w:tcW w:w="1504" w:type="dxa"/>
          </w:tcPr>
          <w:p>
            <w:pPr>
              <w:pStyle w:val="14"/>
              <w:spacing w:before="99"/>
              <w:ind w:left="97" w:right="88"/>
              <w:rPr>
                <w:sz w:val="21"/>
              </w:rPr>
            </w:pPr>
            <w:r>
              <w:rPr>
                <w:sz w:val="21"/>
              </w:rPr>
              <w:t>44436158.20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43" w:type="dxa"/>
            <w:vMerge w:val="continue"/>
            <w:tcBorders>
              <w:top w:val="nil"/>
            </w:tcBorders>
          </w:tcPr>
          <w:p>
            <w:pPr>
              <w:rPr>
                <w:sz w:val="2"/>
                <w:szCs w:val="2"/>
              </w:rPr>
            </w:pPr>
          </w:p>
        </w:tc>
        <w:tc>
          <w:tcPr>
            <w:tcW w:w="938" w:type="dxa"/>
          </w:tcPr>
          <w:p>
            <w:pPr>
              <w:pStyle w:val="14"/>
              <w:spacing w:before="98"/>
              <w:ind w:right="406"/>
              <w:jc w:val="right"/>
              <w:rPr>
                <w:sz w:val="21"/>
              </w:rPr>
            </w:pPr>
            <w:r>
              <w:rPr>
                <w:w w:val="99"/>
                <w:sz w:val="21"/>
              </w:rPr>
              <w:t>2</w:t>
            </w:r>
          </w:p>
        </w:tc>
        <w:tc>
          <w:tcPr>
            <w:tcW w:w="1525" w:type="dxa"/>
          </w:tcPr>
          <w:p>
            <w:pPr>
              <w:pStyle w:val="14"/>
              <w:spacing w:before="98"/>
              <w:ind w:left="217" w:right="208"/>
              <w:rPr>
                <w:sz w:val="21"/>
              </w:rPr>
            </w:pPr>
            <w:r>
              <w:rPr>
                <w:sz w:val="21"/>
              </w:rPr>
              <w:t>5151810.72</w:t>
            </w:r>
          </w:p>
        </w:tc>
        <w:tc>
          <w:tcPr>
            <w:tcW w:w="1429" w:type="dxa"/>
          </w:tcPr>
          <w:p>
            <w:pPr>
              <w:pStyle w:val="14"/>
              <w:spacing w:before="98"/>
              <w:ind w:left="115" w:right="108"/>
              <w:rPr>
                <w:sz w:val="21"/>
              </w:rPr>
            </w:pPr>
            <w:r>
              <w:rPr>
                <w:sz w:val="21"/>
              </w:rPr>
              <w:t>44436210.20</w:t>
            </w:r>
          </w:p>
        </w:tc>
        <w:tc>
          <w:tcPr>
            <w:tcW w:w="708" w:type="dxa"/>
          </w:tcPr>
          <w:p>
            <w:pPr>
              <w:pStyle w:val="14"/>
              <w:spacing w:before="98"/>
              <w:ind w:left="249"/>
              <w:jc w:val="left"/>
              <w:rPr>
                <w:sz w:val="21"/>
              </w:rPr>
            </w:pPr>
            <w:r>
              <w:rPr>
                <w:sz w:val="21"/>
              </w:rPr>
              <w:t>11</w:t>
            </w:r>
          </w:p>
        </w:tc>
        <w:tc>
          <w:tcPr>
            <w:tcW w:w="1475" w:type="dxa"/>
          </w:tcPr>
          <w:p>
            <w:pPr>
              <w:pStyle w:val="14"/>
              <w:spacing w:before="98"/>
              <w:ind w:left="191" w:right="184"/>
              <w:rPr>
                <w:sz w:val="21"/>
              </w:rPr>
            </w:pPr>
            <w:r>
              <w:rPr>
                <w:sz w:val="21"/>
              </w:rPr>
              <w:t>5152416.73</w:t>
            </w:r>
          </w:p>
        </w:tc>
        <w:tc>
          <w:tcPr>
            <w:tcW w:w="1504" w:type="dxa"/>
          </w:tcPr>
          <w:p>
            <w:pPr>
              <w:pStyle w:val="14"/>
              <w:spacing w:before="98"/>
              <w:ind w:left="97" w:right="88"/>
              <w:rPr>
                <w:sz w:val="21"/>
              </w:rPr>
            </w:pPr>
            <w:r>
              <w:rPr>
                <w:sz w:val="21"/>
              </w:rPr>
              <w:t>44437052.20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43" w:type="dxa"/>
            <w:vMerge w:val="continue"/>
            <w:tcBorders>
              <w:top w:val="nil"/>
            </w:tcBorders>
          </w:tcPr>
          <w:p>
            <w:pPr>
              <w:rPr>
                <w:sz w:val="2"/>
                <w:szCs w:val="2"/>
              </w:rPr>
            </w:pPr>
          </w:p>
        </w:tc>
        <w:tc>
          <w:tcPr>
            <w:tcW w:w="938" w:type="dxa"/>
          </w:tcPr>
          <w:p>
            <w:pPr>
              <w:pStyle w:val="14"/>
              <w:spacing w:before="98"/>
              <w:ind w:right="406"/>
              <w:jc w:val="right"/>
              <w:rPr>
                <w:sz w:val="21"/>
              </w:rPr>
            </w:pPr>
            <w:r>
              <w:rPr>
                <w:w w:val="99"/>
                <w:sz w:val="21"/>
              </w:rPr>
              <w:t>3</w:t>
            </w:r>
          </w:p>
        </w:tc>
        <w:tc>
          <w:tcPr>
            <w:tcW w:w="1525" w:type="dxa"/>
          </w:tcPr>
          <w:p>
            <w:pPr>
              <w:pStyle w:val="14"/>
              <w:spacing w:before="98"/>
              <w:ind w:left="217" w:right="208"/>
              <w:rPr>
                <w:sz w:val="21"/>
              </w:rPr>
            </w:pPr>
            <w:r>
              <w:rPr>
                <w:sz w:val="21"/>
              </w:rPr>
              <w:t>5151902.72</w:t>
            </w:r>
          </w:p>
        </w:tc>
        <w:tc>
          <w:tcPr>
            <w:tcW w:w="1429" w:type="dxa"/>
          </w:tcPr>
          <w:p>
            <w:pPr>
              <w:pStyle w:val="14"/>
              <w:spacing w:before="98"/>
              <w:ind w:left="115" w:right="108"/>
              <w:rPr>
                <w:sz w:val="21"/>
              </w:rPr>
            </w:pPr>
            <w:r>
              <w:rPr>
                <w:sz w:val="21"/>
              </w:rPr>
              <w:t>44436010.20</w:t>
            </w:r>
          </w:p>
        </w:tc>
        <w:tc>
          <w:tcPr>
            <w:tcW w:w="708" w:type="dxa"/>
          </w:tcPr>
          <w:p>
            <w:pPr>
              <w:pStyle w:val="14"/>
              <w:spacing w:before="98"/>
              <w:ind w:left="249"/>
              <w:jc w:val="left"/>
              <w:rPr>
                <w:sz w:val="21"/>
              </w:rPr>
            </w:pPr>
            <w:r>
              <w:rPr>
                <w:sz w:val="21"/>
              </w:rPr>
              <w:t>12</w:t>
            </w:r>
          </w:p>
        </w:tc>
        <w:tc>
          <w:tcPr>
            <w:tcW w:w="1475" w:type="dxa"/>
          </w:tcPr>
          <w:p>
            <w:pPr>
              <w:pStyle w:val="14"/>
              <w:spacing w:before="98"/>
              <w:ind w:left="191" w:right="184"/>
              <w:rPr>
                <w:sz w:val="21"/>
              </w:rPr>
            </w:pPr>
            <w:r>
              <w:rPr>
                <w:sz w:val="21"/>
              </w:rPr>
              <w:t>5151889.72</w:t>
            </w:r>
          </w:p>
        </w:tc>
        <w:tc>
          <w:tcPr>
            <w:tcW w:w="1504" w:type="dxa"/>
          </w:tcPr>
          <w:p>
            <w:pPr>
              <w:pStyle w:val="14"/>
              <w:spacing w:before="98"/>
              <w:ind w:left="97" w:right="88"/>
              <w:rPr>
                <w:sz w:val="21"/>
              </w:rPr>
            </w:pPr>
            <w:r>
              <w:rPr>
                <w:sz w:val="21"/>
              </w:rPr>
              <w:t>44436336.20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43" w:type="dxa"/>
            <w:vMerge w:val="continue"/>
            <w:tcBorders>
              <w:top w:val="nil"/>
            </w:tcBorders>
          </w:tcPr>
          <w:p>
            <w:pPr>
              <w:rPr>
                <w:sz w:val="2"/>
                <w:szCs w:val="2"/>
              </w:rPr>
            </w:pPr>
          </w:p>
        </w:tc>
        <w:tc>
          <w:tcPr>
            <w:tcW w:w="938" w:type="dxa"/>
          </w:tcPr>
          <w:p>
            <w:pPr>
              <w:pStyle w:val="14"/>
              <w:spacing w:before="100"/>
              <w:ind w:right="406"/>
              <w:jc w:val="right"/>
              <w:rPr>
                <w:sz w:val="21"/>
              </w:rPr>
            </w:pPr>
            <w:r>
              <w:rPr>
                <w:w w:val="99"/>
                <w:sz w:val="21"/>
              </w:rPr>
              <w:t>4</w:t>
            </w:r>
          </w:p>
        </w:tc>
        <w:tc>
          <w:tcPr>
            <w:tcW w:w="1525" w:type="dxa"/>
          </w:tcPr>
          <w:p>
            <w:pPr>
              <w:pStyle w:val="14"/>
              <w:spacing w:before="100"/>
              <w:ind w:left="217" w:right="208"/>
              <w:rPr>
                <w:sz w:val="21"/>
              </w:rPr>
            </w:pPr>
            <w:r>
              <w:rPr>
                <w:sz w:val="21"/>
              </w:rPr>
              <w:t>5152005.72</w:t>
            </w:r>
          </w:p>
        </w:tc>
        <w:tc>
          <w:tcPr>
            <w:tcW w:w="1429" w:type="dxa"/>
          </w:tcPr>
          <w:p>
            <w:pPr>
              <w:pStyle w:val="14"/>
              <w:spacing w:before="100"/>
              <w:ind w:left="115" w:right="108"/>
              <w:rPr>
                <w:sz w:val="21"/>
              </w:rPr>
            </w:pPr>
            <w:r>
              <w:rPr>
                <w:sz w:val="21"/>
              </w:rPr>
              <w:t>44435834.20</w:t>
            </w:r>
          </w:p>
        </w:tc>
        <w:tc>
          <w:tcPr>
            <w:tcW w:w="708" w:type="dxa"/>
          </w:tcPr>
          <w:p>
            <w:pPr>
              <w:pStyle w:val="14"/>
              <w:spacing w:before="100"/>
              <w:ind w:left="249"/>
              <w:jc w:val="left"/>
              <w:rPr>
                <w:sz w:val="21"/>
              </w:rPr>
            </w:pPr>
            <w:r>
              <w:rPr>
                <w:sz w:val="21"/>
              </w:rPr>
              <w:t>13</w:t>
            </w:r>
          </w:p>
        </w:tc>
        <w:tc>
          <w:tcPr>
            <w:tcW w:w="1475" w:type="dxa"/>
          </w:tcPr>
          <w:p>
            <w:pPr>
              <w:pStyle w:val="14"/>
              <w:spacing w:before="100"/>
              <w:ind w:left="191" w:right="184"/>
              <w:rPr>
                <w:sz w:val="21"/>
              </w:rPr>
            </w:pPr>
            <w:r>
              <w:rPr>
                <w:sz w:val="21"/>
              </w:rPr>
              <w:t>5151871.72</w:t>
            </w:r>
          </w:p>
        </w:tc>
        <w:tc>
          <w:tcPr>
            <w:tcW w:w="1504" w:type="dxa"/>
          </w:tcPr>
          <w:p>
            <w:pPr>
              <w:pStyle w:val="14"/>
              <w:spacing w:before="100"/>
              <w:ind w:left="97" w:right="88"/>
              <w:rPr>
                <w:sz w:val="21"/>
              </w:rPr>
            </w:pPr>
            <w:r>
              <w:rPr>
                <w:sz w:val="21"/>
              </w:rPr>
              <w:t>44436970.20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43" w:type="dxa"/>
            <w:vMerge w:val="continue"/>
            <w:tcBorders>
              <w:top w:val="nil"/>
            </w:tcBorders>
          </w:tcPr>
          <w:p>
            <w:pPr>
              <w:rPr>
                <w:sz w:val="2"/>
                <w:szCs w:val="2"/>
              </w:rPr>
            </w:pPr>
          </w:p>
        </w:tc>
        <w:tc>
          <w:tcPr>
            <w:tcW w:w="938" w:type="dxa"/>
          </w:tcPr>
          <w:p>
            <w:pPr>
              <w:pStyle w:val="14"/>
              <w:spacing w:before="99"/>
              <w:ind w:right="406"/>
              <w:jc w:val="right"/>
              <w:rPr>
                <w:sz w:val="21"/>
              </w:rPr>
            </w:pPr>
            <w:r>
              <w:rPr>
                <w:w w:val="99"/>
                <w:sz w:val="21"/>
              </w:rPr>
              <w:t>5</w:t>
            </w:r>
          </w:p>
        </w:tc>
        <w:tc>
          <w:tcPr>
            <w:tcW w:w="1525" w:type="dxa"/>
          </w:tcPr>
          <w:p>
            <w:pPr>
              <w:pStyle w:val="14"/>
              <w:spacing w:before="99"/>
              <w:ind w:left="217" w:right="208"/>
              <w:rPr>
                <w:sz w:val="21"/>
              </w:rPr>
            </w:pPr>
            <w:r>
              <w:rPr>
                <w:sz w:val="21"/>
              </w:rPr>
              <w:t>5151935.72</w:t>
            </w:r>
          </w:p>
        </w:tc>
        <w:tc>
          <w:tcPr>
            <w:tcW w:w="1429" w:type="dxa"/>
          </w:tcPr>
          <w:p>
            <w:pPr>
              <w:pStyle w:val="14"/>
              <w:spacing w:before="99"/>
              <w:ind w:left="115" w:right="108"/>
              <w:rPr>
                <w:sz w:val="21"/>
              </w:rPr>
            </w:pPr>
            <w:r>
              <w:rPr>
                <w:sz w:val="21"/>
              </w:rPr>
              <w:t>44435784.20</w:t>
            </w:r>
          </w:p>
        </w:tc>
        <w:tc>
          <w:tcPr>
            <w:tcW w:w="708" w:type="dxa"/>
          </w:tcPr>
          <w:p>
            <w:pPr>
              <w:pStyle w:val="14"/>
              <w:spacing w:before="99"/>
              <w:ind w:left="249"/>
              <w:jc w:val="left"/>
              <w:rPr>
                <w:sz w:val="21"/>
              </w:rPr>
            </w:pPr>
            <w:r>
              <w:rPr>
                <w:sz w:val="21"/>
              </w:rPr>
              <w:t>14</w:t>
            </w:r>
          </w:p>
        </w:tc>
        <w:tc>
          <w:tcPr>
            <w:tcW w:w="1475" w:type="dxa"/>
          </w:tcPr>
          <w:p>
            <w:pPr>
              <w:pStyle w:val="14"/>
              <w:spacing w:before="99"/>
              <w:ind w:left="191" w:right="184"/>
              <w:rPr>
                <w:sz w:val="21"/>
              </w:rPr>
            </w:pPr>
            <w:r>
              <w:rPr>
                <w:sz w:val="21"/>
              </w:rPr>
              <w:t>5151697.72</w:t>
            </w:r>
          </w:p>
        </w:tc>
        <w:tc>
          <w:tcPr>
            <w:tcW w:w="1504" w:type="dxa"/>
          </w:tcPr>
          <w:p>
            <w:pPr>
              <w:pStyle w:val="14"/>
              <w:spacing w:before="99"/>
              <w:ind w:left="97" w:right="88"/>
              <w:rPr>
                <w:sz w:val="21"/>
              </w:rPr>
            </w:pPr>
            <w:r>
              <w:rPr>
                <w:sz w:val="21"/>
              </w:rPr>
              <w:t>44436970.20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943" w:type="dxa"/>
            <w:vMerge w:val="continue"/>
            <w:tcBorders>
              <w:top w:val="nil"/>
            </w:tcBorders>
          </w:tcPr>
          <w:p>
            <w:pPr>
              <w:rPr>
                <w:sz w:val="2"/>
                <w:szCs w:val="2"/>
              </w:rPr>
            </w:pPr>
          </w:p>
        </w:tc>
        <w:tc>
          <w:tcPr>
            <w:tcW w:w="938" w:type="dxa"/>
          </w:tcPr>
          <w:p>
            <w:pPr>
              <w:pStyle w:val="14"/>
              <w:spacing w:before="99"/>
              <w:ind w:right="406"/>
              <w:jc w:val="right"/>
              <w:rPr>
                <w:sz w:val="21"/>
              </w:rPr>
            </w:pPr>
            <w:r>
              <w:rPr>
                <w:w w:val="99"/>
                <w:sz w:val="21"/>
              </w:rPr>
              <w:t>6</w:t>
            </w:r>
          </w:p>
        </w:tc>
        <w:tc>
          <w:tcPr>
            <w:tcW w:w="1525" w:type="dxa"/>
          </w:tcPr>
          <w:p>
            <w:pPr>
              <w:pStyle w:val="14"/>
              <w:spacing w:before="99"/>
              <w:ind w:left="217" w:right="208"/>
              <w:rPr>
                <w:sz w:val="21"/>
              </w:rPr>
            </w:pPr>
            <w:r>
              <w:rPr>
                <w:sz w:val="21"/>
              </w:rPr>
              <w:t>5151978.72</w:t>
            </w:r>
          </w:p>
        </w:tc>
        <w:tc>
          <w:tcPr>
            <w:tcW w:w="1429" w:type="dxa"/>
          </w:tcPr>
          <w:p>
            <w:pPr>
              <w:pStyle w:val="14"/>
              <w:spacing w:before="99"/>
              <w:ind w:left="115" w:right="108"/>
              <w:rPr>
                <w:sz w:val="21"/>
              </w:rPr>
            </w:pPr>
            <w:r>
              <w:rPr>
                <w:sz w:val="21"/>
              </w:rPr>
              <w:t>44435746.20</w:t>
            </w:r>
          </w:p>
        </w:tc>
        <w:tc>
          <w:tcPr>
            <w:tcW w:w="708" w:type="dxa"/>
          </w:tcPr>
          <w:p>
            <w:pPr>
              <w:pStyle w:val="14"/>
              <w:spacing w:before="99"/>
              <w:ind w:left="249"/>
              <w:jc w:val="left"/>
              <w:rPr>
                <w:sz w:val="21"/>
              </w:rPr>
            </w:pPr>
            <w:r>
              <w:rPr>
                <w:sz w:val="21"/>
              </w:rPr>
              <w:t>15</w:t>
            </w:r>
          </w:p>
        </w:tc>
        <w:tc>
          <w:tcPr>
            <w:tcW w:w="1475" w:type="dxa"/>
          </w:tcPr>
          <w:p>
            <w:pPr>
              <w:pStyle w:val="14"/>
              <w:spacing w:before="99"/>
              <w:ind w:left="191" w:right="184"/>
              <w:rPr>
                <w:sz w:val="21"/>
              </w:rPr>
            </w:pPr>
            <w:r>
              <w:rPr>
                <w:sz w:val="21"/>
              </w:rPr>
              <w:t>5151705.72</w:t>
            </w:r>
          </w:p>
        </w:tc>
        <w:tc>
          <w:tcPr>
            <w:tcW w:w="1504" w:type="dxa"/>
          </w:tcPr>
          <w:p>
            <w:pPr>
              <w:pStyle w:val="14"/>
              <w:spacing w:before="99"/>
              <w:ind w:left="97" w:right="88"/>
              <w:rPr>
                <w:sz w:val="21"/>
              </w:rPr>
            </w:pPr>
            <w:r>
              <w:rPr>
                <w:sz w:val="21"/>
              </w:rPr>
              <w:t>44437336.21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43" w:type="dxa"/>
            <w:vMerge w:val="continue"/>
            <w:tcBorders>
              <w:top w:val="nil"/>
            </w:tcBorders>
          </w:tcPr>
          <w:p>
            <w:pPr>
              <w:rPr>
                <w:sz w:val="2"/>
                <w:szCs w:val="2"/>
              </w:rPr>
            </w:pPr>
          </w:p>
        </w:tc>
        <w:tc>
          <w:tcPr>
            <w:tcW w:w="938" w:type="dxa"/>
          </w:tcPr>
          <w:p>
            <w:pPr>
              <w:pStyle w:val="14"/>
              <w:spacing w:before="99"/>
              <w:ind w:right="406"/>
              <w:jc w:val="right"/>
              <w:rPr>
                <w:sz w:val="21"/>
              </w:rPr>
            </w:pPr>
            <w:r>
              <w:rPr>
                <w:w w:val="99"/>
                <w:sz w:val="21"/>
              </w:rPr>
              <w:t>7</w:t>
            </w:r>
          </w:p>
        </w:tc>
        <w:tc>
          <w:tcPr>
            <w:tcW w:w="1525" w:type="dxa"/>
          </w:tcPr>
          <w:p>
            <w:pPr>
              <w:pStyle w:val="14"/>
              <w:spacing w:before="99"/>
              <w:ind w:left="217" w:right="208"/>
              <w:rPr>
                <w:sz w:val="21"/>
              </w:rPr>
            </w:pPr>
            <w:r>
              <w:rPr>
                <w:sz w:val="21"/>
              </w:rPr>
              <w:t>5151915.72</w:t>
            </w:r>
          </w:p>
        </w:tc>
        <w:tc>
          <w:tcPr>
            <w:tcW w:w="1429" w:type="dxa"/>
          </w:tcPr>
          <w:p>
            <w:pPr>
              <w:pStyle w:val="14"/>
              <w:spacing w:before="99"/>
              <w:ind w:left="115" w:right="108"/>
              <w:rPr>
                <w:sz w:val="21"/>
              </w:rPr>
            </w:pPr>
            <w:r>
              <w:rPr>
                <w:sz w:val="21"/>
              </w:rPr>
              <w:t>44435689.20</w:t>
            </w:r>
          </w:p>
        </w:tc>
        <w:tc>
          <w:tcPr>
            <w:tcW w:w="708" w:type="dxa"/>
          </w:tcPr>
          <w:p>
            <w:pPr>
              <w:pStyle w:val="14"/>
              <w:spacing w:before="99"/>
              <w:ind w:left="249"/>
              <w:jc w:val="left"/>
              <w:rPr>
                <w:sz w:val="21"/>
              </w:rPr>
            </w:pPr>
            <w:r>
              <w:rPr>
                <w:sz w:val="21"/>
              </w:rPr>
              <w:t>16</w:t>
            </w:r>
          </w:p>
        </w:tc>
        <w:tc>
          <w:tcPr>
            <w:tcW w:w="1475" w:type="dxa"/>
          </w:tcPr>
          <w:p>
            <w:pPr>
              <w:pStyle w:val="14"/>
              <w:spacing w:before="99"/>
              <w:ind w:left="191" w:right="184"/>
              <w:rPr>
                <w:sz w:val="21"/>
              </w:rPr>
            </w:pPr>
            <w:r>
              <w:rPr>
                <w:sz w:val="21"/>
              </w:rPr>
              <w:t>5151487.72</w:t>
            </w:r>
          </w:p>
        </w:tc>
        <w:tc>
          <w:tcPr>
            <w:tcW w:w="1504" w:type="dxa"/>
          </w:tcPr>
          <w:p>
            <w:pPr>
              <w:pStyle w:val="14"/>
              <w:spacing w:before="99"/>
              <w:ind w:left="97" w:right="88"/>
              <w:rPr>
                <w:sz w:val="21"/>
              </w:rPr>
            </w:pPr>
            <w:r>
              <w:rPr>
                <w:sz w:val="21"/>
              </w:rPr>
              <w:t>44437234.21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43" w:type="dxa"/>
            <w:vMerge w:val="continue"/>
            <w:tcBorders>
              <w:top w:val="nil"/>
            </w:tcBorders>
          </w:tcPr>
          <w:p>
            <w:pPr>
              <w:rPr>
                <w:sz w:val="2"/>
                <w:szCs w:val="2"/>
              </w:rPr>
            </w:pPr>
          </w:p>
        </w:tc>
        <w:tc>
          <w:tcPr>
            <w:tcW w:w="938" w:type="dxa"/>
          </w:tcPr>
          <w:p>
            <w:pPr>
              <w:pStyle w:val="14"/>
              <w:spacing w:before="98"/>
              <w:ind w:right="406"/>
              <w:jc w:val="right"/>
              <w:rPr>
                <w:sz w:val="21"/>
              </w:rPr>
            </w:pPr>
            <w:r>
              <w:rPr>
                <w:w w:val="99"/>
                <w:sz w:val="21"/>
              </w:rPr>
              <w:t>8</w:t>
            </w:r>
          </w:p>
        </w:tc>
        <w:tc>
          <w:tcPr>
            <w:tcW w:w="1525" w:type="dxa"/>
          </w:tcPr>
          <w:p>
            <w:pPr>
              <w:pStyle w:val="14"/>
              <w:spacing w:before="98"/>
              <w:ind w:left="217" w:right="208"/>
              <w:rPr>
                <w:sz w:val="21"/>
              </w:rPr>
            </w:pPr>
            <w:r>
              <w:rPr>
                <w:sz w:val="21"/>
              </w:rPr>
              <w:t>5152213.72</w:t>
            </w:r>
          </w:p>
        </w:tc>
        <w:tc>
          <w:tcPr>
            <w:tcW w:w="1429" w:type="dxa"/>
          </w:tcPr>
          <w:p>
            <w:pPr>
              <w:pStyle w:val="14"/>
              <w:spacing w:before="98"/>
              <w:ind w:left="115" w:right="108"/>
              <w:rPr>
                <w:sz w:val="21"/>
              </w:rPr>
            </w:pPr>
            <w:r>
              <w:rPr>
                <w:sz w:val="21"/>
              </w:rPr>
              <w:t>44435373.19</w:t>
            </w:r>
          </w:p>
        </w:tc>
        <w:tc>
          <w:tcPr>
            <w:tcW w:w="708" w:type="dxa"/>
          </w:tcPr>
          <w:p>
            <w:pPr>
              <w:pStyle w:val="14"/>
              <w:spacing w:before="98"/>
              <w:ind w:left="249"/>
              <w:jc w:val="left"/>
              <w:rPr>
                <w:sz w:val="21"/>
              </w:rPr>
            </w:pPr>
            <w:r>
              <w:rPr>
                <w:sz w:val="21"/>
              </w:rPr>
              <w:t>17</w:t>
            </w:r>
          </w:p>
        </w:tc>
        <w:tc>
          <w:tcPr>
            <w:tcW w:w="1475" w:type="dxa"/>
          </w:tcPr>
          <w:p>
            <w:pPr>
              <w:pStyle w:val="14"/>
              <w:spacing w:before="98"/>
              <w:ind w:left="191" w:right="184"/>
              <w:rPr>
                <w:sz w:val="21"/>
              </w:rPr>
            </w:pPr>
            <w:r>
              <w:rPr>
                <w:sz w:val="21"/>
              </w:rPr>
              <w:t>5151491.72</w:t>
            </w:r>
          </w:p>
        </w:tc>
        <w:tc>
          <w:tcPr>
            <w:tcW w:w="1504" w:type="dxa"/>
          </w:tcPr>
          <w:p>
            <w:pPr>
              <w:pStyle w:val="14"/>
              <w:spacing w:before="98"/>
              <w:ind w:left="97" w:right="88"/>
              <w:rPr>
                <w:sz w:val="21"/>
              </w:rPr>
            </w:pPr>
            <w:r>
              <w:rPr>
                <w:sz w:val="21"/>
              </w:rPr>
              <w:t>44436858.20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43" w:type="dxa"/>
            <w:vMerge w:val="continue"/>
            <w:tcBorders>
              <w:top w:val="nil"/>
            </w:tcBorders>
          </w:tcPr>
          <w:p>
            <w:pPr>
              <w:rPr>
                <w:sz w:val="2"/>
                <w:szCs w:val="2"/>
              </w:rPr>
            </w:pPr>
          </w:p>
        </w:tc>
        <w:tc>
          <w:tcPr>
            <w:tcW w:w="938" w:type="dxa"/>
          </w:tcPr>
          <w:p>
            <w:pPr>
              <w:pStyle w:val="14"/>
              <w:spacing w:before="98"/>
              <w:ind w:right="406"/>
              <w:jc w:val="right"/>
              <w:rPr>
                <w:sz w:val="21"/>
              </w:rPr>
            </w:pPr>
            <w:r>
              <w:rPr>
                <w:w w:val="99"/>
                <w:sz w:val="21"/>
              </w:rPr>
              <w:t>9</w:t>
            </w:r>
          </w:p>
        </w:tc>
        <w:tc>
          <w:tcPr>
            <w:tcW w:w="1525" w:type="dxa"/>
          </w:tcPr>
          <w:p>
            <w:pPr>
              <w:pStyle w:val="14"/>
              <w:spacing w:before="98"/>
              <w:ind w:left="217" w:right="208"/>
              <w:rPr>
                <w:sz w:val="21"/>
              </w:rPr>
            </w:pPr>
            <w:r>
              <w:rPr>
                <w:sz w:val="21"/>
              </w:rPr>
              <w:t>5152581.72</w:t>
            </w:r>
          </w:p>
        </w:tc>
        <w:tc>
          <w:tcPr>
            <w:tcW w:w="1429" w:type="dxa"/>
          </w:tcPr>
          <w:p>
            <w:pPr>
              <w:pStyle w:val="14"/>
              <w:spacing w:before="98"/>
              <w:ind w:left="115" w:right="108"/>
              <w:rPr>
                <w:sz w:val="21"/>
              </w:rPr>
            </w:pPr>
            <w:r>
              <w:rPr>
                <w:sz w:val="21"/>
              </w:rPr>
              <w:t>44435580.19</w:t>
            </w:r>
          </w:p>
        </w:tc>
        <w:tc>
          <w:tcPr>
            <w:tcW w:w="708" w:type="dxa"/>
          </w:tcPr>
          <w:p>
            <w:pPr>
              <w:pStyle w:val="14"/>
              <w:spacing w:before="98"/>
              <w:ind w:left="249"/>
              <w:jc w:val="left"/>
              <w:rPr>
                <w:sz w:val="21"/>
              </w:rPr>
            </w:pPr>
            <w:r>
              <w:rPr>
                <w:sz w:val="21"/>
              </w:rPr>
              <w:t>18</w:t>
            </w:r>
          </w:p>
        </w:tc>
        <w:tc>
          <w:tcPr>
            <w:tcW w:w="1475" w:type="dxa"/>
          </w:tcPr>
          <w:p>
            <w:pPr>
              <w:pStyle w:val="14"/>
              <w:spacing w:before="98"/>
              <w:ind w:left="191" w:right="184"/>
              <w:rPr>
                <w:sz w:val="21"/>
              </w:rPr>
            </w:pPr>
            <w:r>
              <w:rPr>
                <w:sz w:val="21"/>
              </w:rPr>
              <w:t>5151609.72</w:t>
            </w:r>
          </w:p>
        </w:tc>
        <w:tc>
          <w:tcPr>
            <w:tcW w:w="1504" w:type="dxa"/>
          </w:tcPr>
          <w:p>
            <w:pPr>
              <w:pStyle w:val="14"/>
              <w:spacing w:before="98"/>
              <w:ind w:left="97" w:right="88"/>
              <w:rPr>
                <w:sz w:val="21"/>
              </w:rPr>
            </w:pPr>
            <w:r>
              <w:rPr>
                <w:sz w:val="21"/>
              </w:rPr>
              <w:t>44436858.20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continue"/>
            <w:tcBorders>
              <w:top w:val="nil"/>
            </w:tcBorders>
          </w:tcPr>
          <w:p>
            <w:pPr>
              <w:rPr>
                <w:sz w:val="2"/>
                <w:szCs w:val="2"/>
              </w:rPr>
            </w:pPr>
          </w:p>
        </w:tc>
        <w:tc>
          <w:tcPr>
            <w:tcW w:w="7579" w:type="dxa"/>
            <w:gridSpan w:val="6"/>
          </w:tcPr>
          <w:p>
            <w:pPr>
              <w:pStyle w:val="14"/>
              <w:spacing w:before="21"/>
              <w:ind w:left="2665" w:right="2658"/>
              <w:rPr>
                <w:sz w:val="21"/>
              </w:rPr>
            </w:pPr>
            <w:r>
              <w:rPr>
                <w:sz w:val="21"/>
              </w:rPr>
              <w:t>开采标高：370 至-160m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43" w:type="dxa"/>
          </w:tcPr>
          <w:p>
            <w:pPr>
              <w:pStyle w:val="14"/>
              <w:spacing w:before="100"/>
              <w:ind w:left="346" w:right="337"/>
              <w:rPr>
                <w:sz w:val="21"/>
              </w:rPr>
            </w:pPr>
            <w:r>
              <w:rPr>
                <w:sz w:val="21"/>
              </w:rPr>
              <w:t>30</w:t>
            </w:r>
          </w:p>
        </w:tc>
        <w:tc>
          <w:tcPr>
            <w:tcW w:w="938" w:type="dxa"/>
          </w:tcPr>
          <w:p>
            <w:pPr>
              <w:pStyle w:val="14"/>
              <w:spacing w:before="100"/>
              <w:ind w:right="406"/>
              <w:jc w:val="right"/>
              <w:rPr>
                <w:sz w:val="21"/>
              </w:rPr>
            </w:pPr>
            <w:r>
              <w:rPr>
                <w:w w:val="99"/>
                <w:sz w:val="21"/>
              </w:rPr>
              <w:t>1</w:t>
            </w:r>
          </w:p>
        </w:tc>
        <w:tc>
          <w:tcPr>
            <w:tcW w:w="1525" w:type="dxa"/>
          </w:tcPr>
          <w:p>
            <w:pPr>
              <w:pStyle w:val="14"/>
              <w:spacing w:before="100"/>
              <w:ind w:left="217" w:right="208"/>
              <w:rPr>
                <w:sz w:val="21"/>
              </w:rPr>
            </w:pPr>
            <w:r>
              <w:rPr>
                <w:sz w:val="21"/>
              </w:rPr>
              <w:t>5152091.72</w:t>
            </w:r>
          </w:p>
        </w:tc>
        <w:tc>
          <w:tcPr>
            <w:tcW w:w="1429" w:type="dxa"/>
          </w:tcPr>
          <w:p>
            <w:pPr>
              <w:pStyle w:val="14"/>
              <w:spacing w:before="100"/>
              <w:ind w:left="115" w:right="108"/>
              <w:rPr>
                <w:sz w:val="21"/>
              </w:rPr>
            </w:pPr>
            <w:r>
              <w:rPr>
                <w:sz w:val="21"/>
              </w:rPr>
              <w:t>44435726.20</w:t>
            </w:r>
          </w:p>
        </w:tc>
        <w:tc>
          <w:tcPr>
            <w:tcW w:w="708" w:type="dxa"/>
          </w:tcPr>
          <w:p>
            <w:pPr>
              <w:pStyle w:val="14"/>
              <w:spacing w:before="100"/>
              <w:ind w:left="300"/>
              <w:jc w:val="left"/>
              <w:rPr>
                <w:sz w:val="21"/>
              </w:rPr>
            </w:pPr>
            <w:r>
              <w:rPr>
                <w:w w:val="99"/>
                <w:sz w:val="21"/>
              </w:rPr>
              <w:t>3</w:t>
            </w:r>
          </w:p>
        </w:tc>
        <w:tc>
          <w:tcPr>
            <w:tcW w:w="1475" w:type="dxa"/>
          </w:tcPr>
          <w:p>
            <w:pPr>
              <w:pStyle w:val="14"/>
              <w:spacing w:before="100"/>
              <w:ind w:left="191" w:right="184"/>
              <w:rPr>
                <w:sz w:val="21"/>
              </w:rPr>
            </w:pPr>
            <w:r>
              <w:rPr>
                <w:sz w:val="21"/>
              </w:rPr>
              <w:t>5152416.73</w:t>
            </w:r>
          </w:p>
        </w:tc>
        <w:tc>
          <w:tcPr>
            <w:tcW w:w="1504" w:type="dxa"/>
          </w:tcPr>
          <w:p>
            <w:pPr>
              <w:pStyle w:val="14"/>
              <w:spacing w:before="100"/>
              <w:ind w:left="97" w:right="88"/>
              <w:rPr>
                <w:sz w:val="21"/>
              </w:rPr>
            </w:pPr>
            <w:r>
              <w:rPr>
                <w:sz w:val="21"/>
              </w:rPr>
              <w:t>44437052.20</w:t>
            </w:r>
          </w:p>
        </w:tc>
      </w:tr>
    </w:tbl>
    <w:p>
      <w:pPr>
        <w:spacing w:after="0"/>
        <w:rPr>
          <w:sz w:val="21"/>
        </w:rPr>
        <w:sectPr>
          <w:pgSz w:w="11910" w:h="16840"/>
          <w:pgMar w:top="1080" w:right="720" w:bottom="1160" w:left="760" w:header="0" w:footer="89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39" name="组合 13"/>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38" name="直线 14"/>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13"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aCLtQAAAADAQAADwAAAAAAAAABACAAAAAiAAAAZHJzL2Rvd25yZXYueG1s&#10;UEsBAhQAFAAAAAgAh07iQN3L1Sg1AgAAtgQAAA4AAAAAAAAAAQAgAAAAIwEAAGRycy9lMm9Eb2Mu&#10;eG1sUEsFBgAAAAAGAAYAWQEAAMoFAAAAAA==&#10;">
                <o:lock v:ext="edit" aspectratio="f"/>
                <v:line id="直线 14" o:spid="_x0000_s1026" o:spt="20" style="position:absolute;left:0;top:7;height:0;width:8306;" filled="f" stroked="t" coordsize="21600,21600" o:gfxdata="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1Z0T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pStyle w:val="6"/>
        <w:spacing w:before="1"/>
        <w:rPr>
          <w:b/>
          <w:sz w:val="25"/>
        </w:rPr>
      </w:pPr>
    </w:p>
    <w:tbl>
      <w:tblPr>
        <w:tblStyle w:val="10"/>
        <w:tblW w:w="0" w:type="auto"/>
        <w:tblInd w:w="10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3"/>
        <w:gridCol w:w="938"/>
        <w:gridCol w:w="1525"/>
        <w:gridCol w:w="1429"/>
        <w:gridCol w:w="708"/>
        <w:gridCol w:w="1475"/>
        <w:gridCol w:w="15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43" w:type="dxa"/>
            <w:vMerge w:val="restart"/>
          </w:tcPr>
          <w:p>
            <w:pPr>
              <w:pStyle w:val="14"/>
              <w:jc w:val="left"/>
              <w:rPr>
                <w:rFonts w:ascii="Times New Roman"/>
                <w:sz w:val="22"/>
              </w:rPr>
            </w:pPr>
          </w:p>
        </w:tc>
        <w:tc>
          <w:tcPr>
            <w:tcW w:w="938" w:type="dxa"/>
          </w:tcPr>
          <w:p>
            <w:pPr>
              <w:pStyle w:val="14"/>
              <w:spacing w:before="98"/>
              <w:ind w:left="5"/>
              <w:rPr>
                <w:sz w:val="21"/>
              </w:rPr>
            </w:pPr>
            <w:r>
              <w:rPr>
                <w:w w:val="99"/>
                <w:sz w:val="21"/>
              </w:rPr>
              <w:t>2</w:t>
            </w:r>
          </w:p>
        </w:tc>
        <w:tc>
          <w:tcPr>
            <w:tcW w:w="1525" w:type="dxa"/>
          </w:tcPr>
          <w:p>
            <w:pPr>
              <w:pStyle w:val="14"/>
              <w:spacing w:before="98"/>
              <w:ind w:left="237"/>
              <w:jc w:val="left"/>
              <w:rPr>
                <w:sz w:val="21"/>
              </w:rPr>
            </w:pPr>
            <w:r>
              <w:rPr>
                <w:sz w:val="21"/>
              </w:rPr>
              <w:t>5152300.72</w:t>
            </w:r>
          </w:p>
        </w:tc>
        <w:tc>
          <w:tcPr>
            <w:tcW w:w="1429" w:type="dxa"/>
          </w:tcPr>
          <w:p>
            <w:pPr>
              <w:pStyle w:val="14"/>
              <w:spacing w:before="98"/>
              <w:ind w:left="135"/>
              <w:jc w:val="left"/>
              <w:rPr>
                <w:sz w:val="21"/>
              </w:rPr>
            </w:pPr>
            <w:r>
              <w:rPr>
                <w:sz w:val="21"/>
              </w:rPr>
              <w:t>44436248.20</w:t>
            </w:r>
          </w:p>
        </w:tc>
        <w:tc>
          <w:tcPr>
            <w:tcW w:w="708" w:type="dxa"/>
          </w:tcPr>
          <w:p>
            <w:pPr>
              <w:pStyle w:val="14"/>
              <w:spacing w:before="98"/>
              <w:ind w:left="6"/>
              <w:rPr>
                <w:sz w:val="21"/>
              </w:rPr>
            </w:pPr>
            <w:r>
              <w:rPr>
                <w:w w:val="99"/>
                <w:sz w:val="21"/>
              </w:rPr>
              <w:t>4</w:t>
            </w:r>
          </w:p>
        </w:tc>
        <w:tc>
          <w:tcPr>
            <w:tcW w:w="1475" w:type="dxa"/>
          </w:tcPr>
          <w:p>
            <w:pPr>
              <w:pStyle w:val="14"/>
              <w:spacing w:before="98"/>
              <w:ind w:left="211"/>
              <w:jc w:val="left"/>
              <w:rPr>
                <w:sz w:val="21"/>
              </w:rPr>
            </w:pPr>
            <w:r>
              <w:rPr>
                <w:sz w:val="21"/>
              </w:rPr>
              <w:t>5152017.72</w:t>
            </w:r>
          </w:p>
        </w:tc>
        <w:tc>
          <w:tcPr>
            <w:tcW w:w="1504" w:type="dxa"/>
          </w:tcPr>
          <w:p>
            <w:pPr>
              <w:pStyle w:val="14"/>
              <w:spacing w:before="98"/>
              <w:ind w:left="173"/>
              <w:jc w:val="left"/>
              <w:rPr>
                <w:sz w:val="21"/>
              </w:rPr>
            </w:pPr>
            <w:r>
              <w:rPr>
                <w:sz w:val="21"/>
              </w:rPr>
              <w:t>44436510.20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continue"/>
            <w:tcBorders>
              <w:top w:val="nil"/>
            </w:tcBorders>
          </w:tcPr>
          <w:p>
            <w:pPr>
              <w:rPr>
                <w:sz w:val="2"/>
                <w:szCs w:val="2"/>
              </w:rPr>
            </w:pPr>
          </w:p>
        </w:tc>
        <w:tc>
          <w:tcPr>
            <w:tcW w:w="7579" w:type="dxa"/>
            <w:gridSpan w:val="6"/>
          </w:tcPr>
          <w:p>
            <w:pPr>
              <w:pStyle w:val="14"/>
              <w:spacing w:before="21"/>
              <w:ind w:left="2665" w:right="2653"/>
              <w:rPr>
                <w:sz w:val="21"/>
              </w:rPr>
            </w:pPr>
            <w:r>
              <w:rPr>
                <w:sz w:val="21"/>
              </w:rPr>
              <w:t>开采标高：390 至 8m</w:t>
            </w:r>
          </w:p>
        </w:tc>
      </w:tr>
    </w:tbl>
    <w:p>
      <w:pPr>
        <w:pStyle w:val="13"/>
        <w:numPr>
          <w:ilvl w:val="2"/>
          <w:numId w:val="16"/>
        </w:numPr>
        <w:tabs>
          <w:tab w:val="left" w:pos="1669"/>
        </w:tabs>
        <w:spacing w:before="3" w:after="0" w:line="240" w:lineRule="auto"/>
        <w:ind w:left="1668" w:right="0" w:hanging="629"/>
        <w:jc w:val="left"/>
        <w:rPr>
          <w:b/>
          <w:sz w:val="28"/>
        </w:rPr>
      </w:pPr>
      <w:bookmarkStart w:id="80" w:name="3.1.2双鸭山大顺矿业有限公司开发简史"/>
      <w:bookmarkEnd w:id="80"/>
      <w:bookmarkStart w:id="81" w:name="3.1.2双鸭山大顺矿业有限公司开发简史"/>
      <w:bookmarkEnd w:id="81"/>
      <w:r>
        <w:rPr>
          <w:b/>
          <w:sz w:val="28"/>
        </w:rPr>
        <w:t>双鸭山大顺矿业有限公司开发简史</w:t>
      </w:r>
    </w:p>
    <w:p>
      <w:pPr>
        <w:pStyle w:val="6"/>
        <w:spacing w:before="262" w:line="364" w:lineRule="auto"/>
        <w:ind w:left="1040" w:right="1105" w:firstLine="480"/>
        <w:jc w:val="both"/>
      </w:pPr>
      <w:r>
        <w:rPr>
          <w:spacing w:val="-10"/>
        </w:rPr>
        <w:t xml:space="preserve">大顺煤矿于 </w:t>
      </w:r>
      <w:r>
        <w:rPr>
          <w:rFonts w:ascii="Times New Roman" w:eastAsia="Times New Roman"/>
        </w:rPr>
        <w:t xml:space="preserve">1980 </w:t>
      </w:r>
      <w:r>
        <w:t>年建井，其前身为双鸭山市横头山矿区横头山煤矿。</w:t>
      </w:r>
      <w:r>
        <w:rPr>
          <w:rFonts w:ascii="Times New Roman" w:eastAsia="Times New Roman"/>
          <w:spacing w:val="-5"/>
        </w:rPr>
        <w:t xml:space="preserve">2002 </w:t>
      </w:r>
      <w:r>
        <w:t>年资源</w:t>
      </w:r>
      <w:r>
        <w:rPr>
          <w:rFonts w:ascii="Times New Roman" w:eastAsia="Times New Roman"/>
        </w:rPr>
        <w:t>/</w:t>
      </w:r>
      <w:r>
        <w:t>储量核实后换发采矿许可证时更名为双鸭山市大顺煤矿。</w:t>
      </w:r>
    </w:p>
    <w:p>
      <w:pPr>
        <w:pStyle w:val="6"/>
        <w:spacing w:before="1" w:line="364" w:lineRule="auto"/>
        <w:ind w:left="1040" w:right="1077" w:firstLine="480"/>
        <w:jc w:val="both"/>
      </w:pPr>
      <w:r>
        <w:rPr>
          <w:spacing w:val="-6"/>
        </w:rPr>
        <w:t xml:space="preserve">双鸭山市大顺煤矿于 </w:t>
      </w:r>
      <w:r>
        <w:rPr>
          <w:rFonts w:ascii="Times New Roman" w:eastAsia="Times New Roman"/>
        </w:rPr>
        <w:t xml:space="preserve">1980 </w:t>
      </w:r>
      <w:r>
        <w:rPr>
          <w:spacing w:val="-7"/>
        </w:rPr>
        <w:t xml:space="preserve">年取得采矿权，先后开凿三对斜井。主要开采 </w:t>
      </w:r>
      <w:r>
        <w:rPr>
          <w:rFonts w:ascii="Times New Roman" w:eastAsia="Times New Roman"/>
          <w:spacing w:val="-8"/>
        </w:rPr>
        <w:t xml:space="preserve">15 </w:t>
      </w:r>
      <w:r>
        <w:rPr>
          <w:spacing w:val="-3"/>
        </w:rPr>
        <w:t>煤层。到目前：</w:t>
      </w:r>
      <w:r>
        <w:rPr>
          <w:rFonts w:ascii="Times New Roman" w:eastAsia="Times New Roman"/>
          <w:spacing w:val="-3"/>
        </w:rPr>
        <w:t xml:space="preserve">15 </w:t>
      </w:r>
      <w:r>
        <w:rPr>
          <w:spacing w:val="-5"/>
        </w:rPr>
        <w:t xml:space="preserve">煤层在一井区内尚有部分资源，二、三井的 </w:t>
      </w:r>
      <w:r>
        <w:rPr>
          <w:rFonts w:ascii="Times New Roman" w:eastAsia="Times New Roman"/>
        </w:rPr>
        <w:t xml:space="preserve">15 </w:t>
      </w:r>
      <w:r>
        <w:rPr>
          <w:spacing w:val="-3"/>
        </w:rPr>
        <w:t>煤层资源基本</w:t>
      </w:r>
      <w:r>
        <w:rPr>
          <w:spacing w:val="-9"/>
        </w:rPr>
        <w:t xml:space="preserve">开采完，现在 </w:t>
      </w:r>
      <w:r>
        <w:rPr>
          <w:rFonts w:ascii="Times New Roman" w:eastAsia="Times New Roman"/>
        </w:rPr>
        <w:t xml:space="preserve">10 </w:t>
      </w:r>
      <w:r>
        <w:t>煤层进行开采活动。</w:t>
      </w:r>
      <w:r>
        <w:rPr>
          <w:rFonts w:ascii="Times New Roman" w:eastAsia="Times New Roman"/>
        </w:rPr>
        <w:t xml:space="preserve">30 </w:t>
      </w:r>
      <w:r>
        <w:t>煤层始终没进行开发利用。</w:t>
      </w:r>
    </w:p>
    <w:p>
      <w:pPr>
        <w:pStyle w:val="6"/>
        <w:spacing w:before="2" w:line="364" w:lineRule="auto"/>
        <w:ind w:left="1040" w:right="1077" w:firstLine="480"/>
        <w:jc w:val="both"/>
      </w:pPr>
      <w:r>
        <w:rPr>
          <w:spacing w:val="-4"/>
        </w:rPr>
        <w:t>双鸭山大顺矿业有限公司是双鸭山市一家有限责任公司性质的煤矿企业，经</w:t>
      </w:r>
      <w:r>
        <w:rPr>
          <w:spacing w:val="-8"/>
        </w:rPr>
        <w:t>营范围为煤炭开采、销售等。企业经营状况良好，无资产负债及不良资产，现总</w:t>
      </w:r>
      <w:r>
        <w:rPr>
          <w:spacing w:val="-11"/>
        </w:rPr>
        <w:t xml:space="preserve">资产规模为 </w:t>
      </w:r>
      <w:r>
        <w:rPr>
          <w:rFonts w:ascii="Times New Roman" w:eastAsia="Times New Roman"/>
        </w:rPr>
        <w:t xml:space="preserve">9000 </w:t>
      </w:r>
      <w:r>
        <w:rPr>
          <w:spacing w:val="-6"/>
        </w:rPr>
        <w:t xml:space="preserve">万元。现有生产能力为 </w:t>
      </w:r>
      <w:r>
        <w:rPr>
          <w:rFonts w:ascii="Times New Roman" w:eastAsia="Times New Roman"/>
        </w:rPr>
        <w:t xml:space="preserve">4 </w:t>
      </w:r>
      <w:r>
        <w:rPr>
          <w:spacing w:val="-30"/>
        </w:rPr>
        <w:t xml:space="preserve">万 </w:t>
      </w:r>
      <w:r>
        <w:rPr>
          <w:rFonts w:ascii="Times New Roman" w:eastAsia="Times New Roman"/>
        </w:rPr>
        <w:t>t/a</w:t>
      </w:r>
      <w:r>
        <w:t>。</w:t>
      </w:r>
    </w:p>
    <w:p>
      <w:pPr>
        <w:pStyle w:val="13"/>
        <w:numPr>
          <w:ilvl w:val="2"/>
          <w:numId w:val="16"/>
        </w:numPr>
        <w:tabs>
          <w:tab w:val="left" w:pos="1669"/>
        </w:tabs>
        <w:spacing w:before="0" w:after="0" w:line="285" w:lineRule="exact"/>
        <w:ind w:left="1668" w:right="0" w:hanging="629"/>
        <w:jc w:val="left"/>
        <w:rPr>
          <w:b/>
          <w:sz w:val="28"/>
        </w:rPr>
      </w:pPr>
      <w:bookmarkStart w:id="82" w:name="3.1.3现有工程情况"/>
      <w:bookmarkEnd w:id="82"/>
      <w:bookmarkStart w:id="83" w:name="3.1.3现有工程情况"/>
      <w:bookmarkEnd w:id="83"/>
      <w:r>
        <w:rPr>
          <w:b/>
          <w:sz w:val="28"/>
        </w:rPr>
        <w:t>现有工程情况</w:t>
      </w:r>
    </w:p>
    <w:p>
      <w:pPr>
        <w:pStyle w:val="6"/>
        <w:spacing w:before="265" w:line="364" w:lineRule="auto"/>
        <w:ind w:left="1040" w:right="1077" w:firstLine="480"/>
        <w:jc w:val="both"/>
      </w:pPr>
      <w:r>
        <w:rPr>
          <w:spacing w:val="-11"/>
        </w:rPr>
        <w:t>目前，矿井所有采掘系统、地面辅助系统均保持完好，具体项目组成一览表</w:t>
      </w:r>
      <w:r>
        <w:rPr>
          <w:spacing w:val="-20"/>
        </w:rPr>
        <w:t xml:space="preserve">见表 </w:t>
      </w:r>
      <w:r>
        <w:rPr>
          <w:rFonts w:ascii="Times New Roman" w:eastAsia="Times New Roman"/>
        </w:rPr>
        <w:t>3.1-1</w:t>
      </w:r>
      <w:r>
        <w:t>。</w:t>
      </w:r>
    </w:p>
    <w:p>
      <w:pPr>
        <w:pStyle w:val="5"/>
        <w:tabs>
          <w:tab w:val="left" w:pos="3312"/>
        </w:tabs>
        <w:spacing w:before="1"/>
        <w:ind w:left="2273"/>
      </w:pPr>
      <w:r>
        <w:t>表</w:t>
      </w:r>
      <w:r>
        <w:rPr>
          <w:spacing w:val="-62"/>
        </w:rPr>
        <w:t xml:space="preserve"> </w:t>
      </w:r>
      <w:r>
        <w:rPr>
          <w:rFonts w:ascii="Times New Roman" w:eastAsia="Times New Roman"/>
        </w:rPr>
        <w:t>3.1-2</w:t>
      </w:r>
      <w:r>
        <w:rPr>
          <w:rFonts w:ascii="Times New Roman" w:eastAsia="Times New Roman"/>
        </w:rPr>
        <w:tab/>
      </w:r>
      <w:r>
        <w:t>双鸭山大顺矿业有限公司现有工程组成一览表</w:t>
      </w:r>
    </w:p>
    <w:p>
      <w:pPr>
        <w:pStyle w:val="6"/>
        <w:spacing w:before="1"/>
        <w:rPr>
          <w:b/>
          <w:sz w:val="6"/>
        </w:rPr>
      </w:pPr>
    </w:p>
    <w:tbl>
      <w:tblPr>
        <w:tblStyle w:val="10"/>
        <w:tblW w:w="0" w:type="auto"/>
        <w:tblInd w:w="5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7"/>
        <w:gridCol w:w="730"/>
        <w:gridCol w:w="750"/>
        <w:gridCol w:w="2290"/>
        <w:gridCol w:w="48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617" w:type="dxa"/>
          </w:tcPr>
          <w:p>
            <w:pPr>
              <w:pStyle w:val="14"/>
              <w:spacing w:before="20" w:line="278" w:lineRule="auto"/>
              <w:ind w:left="201" w:right="194"/>
              <w:jc w:val="both"/>
              <w:rPr>
                <w:sz w:val="21"/>
              </w:rPr>
            </w:pPr>
            <w:r>
              <w:rPr>
                <w:sz w:val="21"/>
              </w:rPr>
              <w:t>工业广</w:t>
            </w:r>
          </w:p>
          <w:p>
            <w:pPr>
              <w:pStyle w:val="14"/>
              <w:spacing w:line="269" w:lineRule="exact"/>
              <w:ind w:left="201"/>
              <w:jc w:val="left"/>
              <w:rPr>
                <w:sz w:val="21"/>
              </w:rPr>
            </w:pPr>
            <w:r>
              <w:rPr>
                <w:w w:val="99"/>
                <w:sz w:val="21"/>
              </w:rPr>
              <w:t>场</w:t>
            </w:r>
          </w:p>
        </w:tc>
        <w:tc>
          <w:tcPr>
            <w:tcW w:w="1480" w:type="dxa"/>
            <w:gridSpan w:val="2"/>
          </w:tcPr>
          <w:p>
            <w:pPr>
              <w:pStyle w:val="14"/>
              <w:jc w:val="left"/>
              <w:rPr>
                <w:b/>
                <w:sz w:val="20"/>
              </w:rPr>
            </w:pPr>
          </w:p>
          <w:p>
            <w:pPr>
              <w:pStyle w:val="14"/>
              <w:spacing w:before="1"/>
              <w:jc w:val="left"/>
              <w:rPr>
                <w:b/>
                <w:sz w:val="18"/>
              </w:rPr>
            </w:pPr>
          </w:p>
          <w:p>
            <w:pPr>
              <w:pStyle w:val="14"/>
              <w:tabs>
                <w:tab w:val="left" w:pos="844"/>
              </w:tabs>
              <w:ind w:left="213"/>
              <w:jc w:val="left"/>
              <w:rPr>
                <w:sz w:val="21"/>
              </w:rPr>
            </w:pPr>
            <w:r>
              <w:rPr>
                <w:sz w:val="21"/>
              </w:rPr>
              <w:t>工程</w:t>
            </w:r>
            <w:r>
              <w:rPr>
                <w:sz w:val="21"/>
              </w:rPr>
              <w:tab/>
            </w:r>
            <w:r>
              <w:rPr>
                <w:sz w:val="21"/>
              </w:rPr>
              <w:t>类别</w:t>
            </w:r>
          </w:p>
        </w:tc>
        <w:tc>
          <w:tcPr>
            <w:tcW w:w="2290" w:type="dxa"/>
          </w:tcPr>
          <w:p>
            <w:pPr>
              <w:pStyle w:val="14"/>
              <w:jc w:val="left"/>
              <w:rPr>
                <w:b/>
                <w:sz w:val="20"/>
              </w:rPr>
            </w:pPr>
          </w:p>
          <w:p>
            <w:pPr>
              <w:pStyle w:val="14"/>
              <w:spacing w:before="1"/>
              <w:jc w:val="left"/>
              <w:rPr>
                <w:b/>
                <w:sz w:val="18"/>
              </w:rPr>
            </w:pPr>
          </w:p>
          <w:p>
            <w:pPr>
              <w:pStyle w:val="14"/>
              <w:ind w:left="704" w:right="695"/>
              <w:rPr>
                <w:sz w:val="21"/>
              </w:rPr>
            </w:pPr>
            <w:r>
              <w:rPr>
                <w:sz w:val="21"/>
              </w:rPr>
              <w:t>单项工程</w:t>
            </w:r>
          </w:p>
        </w:tc>
        <w:tc>
          <w:tcPr>
            <w:tcW w:w="4838" w:type="dxa"/>
          </w:tcPr>
          <w:p>
            <w:pPr>
              <w:pStyle w:val="14"/>
              <w:jc w:val="left"/>
              <w:rPr>
                <w:b/>
                <w:sz w:val="20"/>
              </w:rPr>
            </w:pPr>
          </w:p>
          <w:p>
            <w:pPr>
              <w:pStyle w:val="14"/>
              <w:spacing w:before="1"/>
              <w:jc w:val="left"/>
              <w:rPr>
                <w:b/>
                <w:sz w:val="18"/>
              </w:rPr>
            </w:pPr>
          </w:p>
          <w:p>
            <w:pPr>
              <w:pStyle w:val="14"/>
              <w:ind w:left="2187" w:right="2181"/>
              <w:rPr>
                <w:sz w:val="21"/>
              </w:rPr>
            </w:pPr>
            <w:r>
              <w:rPr>
                <w:sz w:val="21"/>
              </w:rPr>
              <w:t>现状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17"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1"/>
              <w:jc w:val="left"/>
              <w:rPr>
                <w:b/>
                <w:sz w:val="16"/>
              </w:rPr>
            </w:pPr>
          </w:p>
          <w:p>
            <w:pPr>
              <w:pStyle w:val="14"/>
              <w:spacing w:line="266" w:lineRule="auto"/>
              <w:ind w:left="201" w:right="194"/>
              <w:jc w:val="both"/>
              <w:rPr>
                <w:sz w:val="21"/>
              </w:rPr>
            </w:pPr>
            <w:r>
              <w:rPr>
                <w:sz w:val="21"/>
              </w:rPr>
              <w:t>工业广场</w:t>
            </w:r>
          </w:p>
        </w:tc>
        <w:tc>
          <w:tcPr>
            <w:tcW w:w="730" w:type="dxa"/>
            <w:vMerge w:val="restart"/>
          </w:tcPr>
          <w:p>
            <w:pPr>
              <w:pStyle w:val="14"/>
              <w:spacing w:before="12"/>
              <w:jc w:val="left"/>
              <w:rPr>
                <w:b/>
                <w:sz w:val="27"/>
              </w:rPr>
            </w:pPr>
          </w:p>
          <w:p>
            <w:pPr>
              <w:pStyle w:val="14"/>
              <w:spacing w:line="266" w:lineRule="auto"/>
              <w:ind w:left="153" w:right="146"/>
              <w:jc w:val="left"/>
              <w:rPr>
                <w:sz w:val="21"/>
              </w:rPr>
            </w:pPr>
            <w:r>
              <w:rPr>
                <w:sz w:val="21"/>
              </w:rPr>
              <w:t>主体工程</w:t>
            </w:r>
          </w:p>
        </w:tc>
        <w:tc>
          <w:tcPr>
            <w:tcW w:w="750" w:type="dxa"/>
            <w:vMerge w:val="restart"/>
          </w:tcPr>
          <w:p>
            <w:pPr>
              <w:pStyle w:val="14"/>
              <w:spacing w:before="12"/>
              <w:jc w:val="left"/>
              <w:rPr>
                <w:b/>
                <w:sz w:val="27"/>
              </w:rPr>
            </w:pPr>
          </w:p>
          <w:p>
            <w:pPr>
              <w:pStyle w:val="14"/>
              <w:spacing w:line="266" w:lineRule="auto"/>
              <w:ind w:left="165" w:right="154"/>
              <w:jc w:val="left"/>
              <w:rPr>
                <w:sz w:val="21"/>
              </w:rPr>
            </w:pPr>
            <w:r>
              <w:rPr>
                <w:sz w:val="21"/>
              </w:rPr>
              <w:t>矿井工程</w:t>
            </w:r>
          </w:p>
        </w:tc>
        <w:tc>
          <w:tcPr>
            <w:tcW w:w="2290" w:type="dxa"/>
          </w:tcPr>
          <w:p>
            <w:pPr>
              <w:pStyle w:val="14"/>
              <w:spacing w:before="176"/>
              <w:ind w:left="701" w:right="695"/>
              <w:rPr>
                <w:sz w:val="21"/>
              </w:rPr>
            </w:pPr>
            <w:r>
              <w:rPr>
                <w:sz w:val="21"/>
              </w:rPr>
              <w:t>主井</w:t>
            </w:r>
          </w:p>
        </w:tc>
        <w:tc>
          <w:tcPr>
            <w:tcW w:w="4838" w:type="dxa"/>
          </w:tcPr>
          <w:p>
            <w:pPr>
              <w:pStyle w:val="14"/>
              <w:spacing w:before="20"/>
              <w:ind w:left="108" w:right="-15"/>
              <w:jc w:val="left"/>
              <w:rPr>
                <w:sz w:val="21"/>
              </w:rPr>
            </w:pPr>
            <w:r>
              <w:rPr>
                <w:spacing w:val="-14"/>
                <w:sz w:val="21"/>
              </w:rPr>
              <w:t xml:space="preserve">井筒断面为半圆拱形，井筒倾角为 </w:t>
            </w:r>
            <w:r>
              <w:rPr>
                <w:rFonts w:ascii="Times New Roman" w:hAnsi="Times New Roman" w:eastAsia="Times New Roman"/>
                <w:sz w:val="21"/>
              </w:rPr>
              <w:t>20</w:t>
            </w:r>
            <w:r>
              <w:rPr>
                <w:sz w:val="21"/>
              </w:rPr>
              <w:t>°</w:t>
            </w:r>
            <w:r>
              <w:rPr>
                <w:rFonts w:ascii="Times New Roman" w:hAnsi="Times New Roman" w:eastAsia="Times New Roman"/>
                <w:sz w:val="21"/>
              </w:rPr>
              <w:t>,</w:t>
            </w:r>
            <w:r>
              <w:rPr>
                <w:spacing w:val="-20"/>
                <w:sz w:val="21"/>
              </w:rPr>
              <w:t xml:space="preserve">斜长 </w:t>
            </w:r>
            <w:r>
              <w:rPr>
                <w:rFonts w:ascii="Times New Roman" w:hAnsi="Times New Roman" w:eastAsia="Times New Roman"/>
                <w:sz w:val="21"/>
              </w:rPr>
              <w:t>950m</w:t>
            </w:r>
            <w:r>
              <w:rPr>
                <w:sz w:val="21"/>
              </w:rPr>
              <w:t>，</w:t>
            </w:r>
          </w:p>
          <w:p>
            <w:pPr>
              <w:pStyle w:val="14"/>
              <w:spacing w:before="43"/>
              <w:ind w:left="108"/>
              <w:jc w:val="left"/>
              <w:rPr>
                <w:sz w:val="21"/>
              </w:rPr>
            </w:pPr>
            <w:r>
              <w:rPr>
                <w:sz w:val="21"/>
              </w:rPr>
              <w:t>主井担负矿井的提煤、入风等任务。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17" w:type="dxa"/>
            <w:vMerge w:val="continue"/>
            <w:tcBorders>
              <w:top w:val="nil"/>
            </w:tcBorders>
          </w:tcPr>
          <w:p>
            <w:pPr>
              <w:rPr>
                <w:sz w:val="2"/>
                <w:szCs w:val="2"/>
              </w:rPr>
            </w:pPr>
          </w:p>
        </w:tc>
        <w:tc>
          <w:tcPr>
            <w:tcW w:w="730" w:type="dxa"/>
            <w:vMerge w:val="continue"/>
            <w:tcBorders>
              <w:top w:val="nil"/>
            </w:tcBorders>
          </w:tcPr>
          <w:p>
            <w:pPr>
              <w:rPr>
                <w:sz w:val="2"/>
                <w:szCs w:val="2"/>
              </w:rPr>
            </w:pPr>
          </w:p>
        </w:tc>
        <w:tc>
          <w:tcPr>
            <w:tcW w:w="750" w:type="dxa"/>
            <w:vMerge w:val="continue"/>
            <w:tcBorders>
              <w:top w:val="nil"/>
            </w:tcBorders>
          </w:tcPr>
          <w:p>
            <w:pPr>
              <w:rPr>
                <w:sz w:val="2"/>
                <w:szCs w:val="2"/>
              </w:rPr>
            </w:pPr>
          </w:p>
        </w:tc>
        <w:tc>
          <w:tcPr>
            <w:tcW w:w="2290" w:type="dxa"/>
          </w:tcPr>
          <w:p>
            <w:pPr>
              <w:pStyle w:val="14"/>
              <w:jc w:val="left"/>
              <w:rPr>
                <w:b/>
                <w:sz w:val="15"/>
              </w:rPr>
            </w:pPr>
          </w:p>
          <w:p>
            <w:pPr>
              <w:pStyle w:val="14"/>
              <w:ind w:left="680" w:right="695"/>
              <w:rPr>
                <w:sz w:val="21"/>
              </w:rPr>
            </w:pPr>
            <w:r>
              <w:rPr>
                <w:sz w:val="21"/>
              </w:rPr>
              <w:t>副井</w:t>
            </w:r>
          </w:p>
        </w:tc>
        <w:tc>
          <w:tcPr>
            <w:tcW w:w="4838" w:type="dxa"/>
          </w:tcPr>
          <w:p>
            <w:pPr>
              <w:pStyle w:val="14"/>
              <w:spacing w:before="22"/>
              <w:ind w:left="108"/>
              <w:jc w:val="left"/>
              <w:rPr>
                <w:sz w:val="21"/>
              </w:rPr>
            </w:pPr>
            <w:r>
              <w:rPr>
                <w:sz w:val="21"/>
              </w:rPr>
              <w:t xml:space="preserve">井筒断面为半圆拱形，井筒倾角为 </w:t>
            </w:r>
            <w:r>
              <w:rPr>
                <w:rFonts w:ascii="Times New Roman" w:hAnsi="Times New Roman" w:eastAsia="Times New Roman"/>
                <w:sz w:val="21"/>
              </w:rPr>
              <w:t>20°</w:t>
            </w:r>
            <w:r>
              <w:rPr>
                <w:sz w:val="21"/>
              </w:rPr>
              <w:t>，担负矿井</w:t>
            </w:r>
          </w:p>
          <w:p>
            <w:pPr>
              <w:pStyle w:val="14"/>
              <w:spacing w:before="43"/>
              <w:ind w:left="108"/>
              <w:jc w:val="left"/>
              <w:rPr>
                <w:sz w:val="21"/>
              </w:rPr>
            </w:pPr>
            <w:r>
              <w:rPr>
                <w:sz w:val="21"/>
              </w:rPr>
              <w:t>提升人员任务。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7" w:hRule="atLeast"/>
        </w:trPr>
        <w:tc>
          <w:tcPr>
            <w:tcW w:w="617" w:type="dxa"/>
            <w:vMerge w:val="continue"/>
            <w:tcBorders>
              <w:top w:val="nil"/>
            </w:tcBorders>
          </w:tcPr>
          <w:p>
            <w:pPr>
              <w:rPr>
                <w:sz w:val="2"/>
                <w:szCs w:val="2"/>
              </w:rPr>
            </w:pPr>
          </w:p>
        </w:tc>
        <w:tc>
          <w:tcPr>
            <w:tcW w:w="730" w:type="dxa"/>
            <w:vMerge w:val="restart"/>
          </w:tcPr>
          <w:p>
            <w:pPr>
              <w:pStyle w:val="14"/>
              <w:jc w:val="left"/>
              <w:rPr>
                <w:b/>
                <w:sz w:val="20"/>
              </w:rPr>
            </w:pPr>
          </w:p>
          <w:p>
            <w:pPr>
              <w:pStyle w:val="14"/>
              <w:spacing w:before="11"/>
              <w:jc w:val="left"/>
              <w:rPr>
                <w:b/>
                <w:sz w:val="22"/>
              </w:rPr>
            </w:pPr>
          </w:p>
          <w:p>
            <w:pPr>
              <w:pStyle w:val="14"/>
              <w:spacing w:line="266" w:lineRule="auto"/>
              <w:ind w:left="153" w:right="146"/>
              <w:jc w:val="both"/>
              <w:rPr>
                <w:sz w:val="21"/>
              </w:rPr>
            </w:pPr>
            <w:r>
              <w:rPr>
                <w:sz w:val="21"/>
              </w:rPr>
              <w:t>辅助生产系统</w:t>
            </w:r>
          </w:p>
        </w:tc>
        <w:tc>
          <w:tcPr>
            <w:tcW w:w="3040" w:type="dxa"/>
            <w:gridSpan w:val="2"/>
          </w:tcPr>
          <w:p>
            <w:pPr>
              <w:pStyle w:val="14"/>
              <w:spacing w:before="10"/>
              <w:jc w:val="left"/>
              <w:rPr>
                <w:b/>
                <w:sz w:val="17"/>
              </w:rPr>
            </w:pPr>
          </w:p>
          <w:p>
            <w:pPr>
              <w:pStyle w:val="14"/>
              <w:ind w:left="890"/>
              <w:jc w:val="left"/>
              <w:rPr>
                <w:sz w:val="21"/>
              </w:rPr>
            </w:pPr>
            <w:r>
              <w:rPr>
                <w:sz w:val="21"/>
              </w:rPr>
              <w:t>矿井辅助设施</w:t>
            </w:r>
          </w:p>
        </w:tc>
        <w:tc>
          <w:tcPr>
            <w:tcW w:w="4838" w:type="dxa"/>
          </w:tcPr>
          <w:p>
            <w:pPr>
              <w:pStyle w:val="14"/>
              <w:spacing w:before="79" w:line="266" w:lineRule="auto"/>
              <w:ind w:left="108" w:right="97"/>
              <w:jc w:val="left"/>
              <w:rPr>
                <w:sz w:val="21"/>
              </w:rPr>
            </w:pPr>
            <w:r>
              <w:rPr>
                <w:w w:val="95"/>
                <w:sz w:val="21"/>
              </w:rPr>
              <w:t xml:space="preserve">机修间、消防材料库、日用生活消防水池泵房等辅 </w:t>
            </w:r>
            <w:r>
              <w:rPr>
                <w:sz w:val="21"/>
              </w:rPr>
              <w:t>助生产设施。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17" w:type="dxa"/>
            <w:vMerge w:val="continue"/>
            <w:tcBorders>
              <w:top w:val="nil"/>
            </w:tcBorders>
          </w:tcPr>
          <w:p>
            <w:pPr>
              <w:rPr>
                <w:sz w:val="2"/>
                <w:szCs w:val="2"/>
              </w:rPr>
            </w:pPr>
          </w:p>
        </w:tc>
        <w:tc>
          <w:tcPr>
            <w:tcW w:w="730" w:type="dxa"/>
            <w:vMerge w:val="continue"/>
            <w:tcBorders>
              <w:top w:val="nil"/>
            </w:tcBorders>
          </w:tcPr>
          <w:p>
            <w:pPr>
              <w:rPr>
                <w:sz w:val="2"/>
                <w:szCs w:val="2"/>
              </w:rPr>
            </w:pPr>
          </w:p>
        </w:tc>
        <w:tc>
          <w:tcPr>
            <w:tcW w:w="3040" w:type="dxa"/>
            <w:gridSpan w:val="2"/>
          </w:tcPr>
          <w:p>
            <w:pPr>
              <w:pStyle w:val="14"/>
              <w:spacing w:before="175"/>
              <w:ind w:left="678"/>
              <w:jc w:val="left"/>
              <w:rPr>
                <w:sz w:val="21"/>
              </w:rPr>
            </w:pPr>
            <w:r>
              <w:rPr>
                <w:sz w:val="21"/>
              </w:rPr>
              <w:t>采暖、洗浴锅炉房</w:t>
            </w:r>
          </w:p>
        </w:tc>
        <w:tc>
          <w:tcPr>
            <w:tcW w:w="4838" w:type="dxa"/>
          </w:tcPr>
          <w:p>
            <w:pPr>
              <w:pStyle w:val="14"/>
              <w:spacing w:before="21"/>
              <w:ind w:left="108"/>
              <w:jc w:val="left"/>
              <w:rPr>
                <w:sz w:val="21"/>
              </w:rPr>
            </w:pPr>
            <w:r>
              <w:rPr>
                <w:sz w:val="21"/>
              </w:rPr>
              <w:t xml:space="preserve">现有 </w:t>
            </w:r>
            <w:r>
              <w:rPr>
                <w:rFonts w:ascii="Times New Roman" w:eastAsia="Times New Roman"/>
                <w:sz w:val="21"/>
              </w:rPr>
              <w:t xml:space="preserve">1 </w:t>
            </w:r>
            <w:r>
              <w:rPr>
                <w:sz w:val="21"/>
              </w:rPr>
              <w:t>台常压热水锅炉，燃料为本矿原煤，为工业</w:t>
            </w:r>
          </w:p>
          <w:p>
            <w:pPr>
              <w:pStyle w:val="14"/>
              <w:spacing w:before="43"/>
              <w:ind w:left="108" w:right="-15"/>
              <w:jc w:val="left"/>
              <w:rPr>
                <w:sz w:val="21"/>
              </w:rPr>
            </w:pPr>
            <w:r>
              <w:rPr>
                <w:spacing w:val="-11"/>
                <w:sz w:val="21"/>
              </w:rPr>
              <w:t>场地内建、构筑物的采暖及员工洗浴，无除尘设备。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617" w:type="dxa"/>
            <w:vMerge w:val="continue"/>
            <w:tcBorders>
              <w:top w:val="nil"/>
            </w:tcBorders>
          </w:tcPr>
          <w:p>
            <w:pPr>
              <w:rPr>
                <w:sz w:val="2"/>
                <w:szCs w:val="2"/>
              </w:rPr>
            </w:pPr>
          </w:p>
        </w:tc>
        <w:tc>
          <w:tcPr>
            <w:tcW w:w="730" w:type="dxa"/>
            <w:vMerge w:val="continue"/>
            <w:tcBorders>
              <w:top w:val="nil"/>
            </w:tcBorders>
          </w:tcPr>
          <w:p>
            <w:pPr>
              <w:rPr>
                <w:sz w:val="2"/>
                <w:szCs w:val="2"/>
              </w:rPr>
            </w:pPr>
          </w:p>
        </w:tc>
        <w:tc>
          <w:tcPr>
            <w:tcW w:w="3040" w:type="dxa"/>
            <w:gridSpan w:val="2"/>
          </w:tcPr>
          <w:p>
            <w:pPr>
              <w:pStyle w:val="14"/>
              <w:spacing w:before="180"/>
              <w:ind w:left="761" w:right="756"/>
              <w:rPr>
                <w:sz w:val="21"/>
              </w:rPr>
            </w:pPr>
            <w:r>
              <w:rPr>
                <w:sz w:val="21"/>
              </w:rPr>
              <w:t>热风炉房</w:t>
            </w:r>
          </w:p>
        </w:tc>
        <w:tc>
          <w:tcPr>
            <w:tcW w:w="4838" w:type="dxa"/>
          </w:tcPr>
          <w:p>
            <w:pPr>
              <w:pStyle w:val="14"/>
              <w:spacing w:before="163"/>
              <w:ind w:left="108"/>
              <w:jc w:val="left"/>
              <w:rPr>
                <w:sz w:val="21"/>
              </w:rPr>
            </w:pPr>
            <w:r>
              <w:rPr>
                <w:sz w:val="21"/>
              </w:rPr>
              <w:t xml:space="preserve">内设 </w:t>
            </w:r>
            <w:r>
              <w:rPr>
                <w:rFonts w:ascii="Times New Roman" w:eastAsia="Times New Roman"/>
                <w:sz w:val="21"/>
              </w:rPr>
              <w:t xml:space="preserve">1 </w:t>
            </w:r>
            <w:r>
              <w:rPr>
                <w:sz w:val="21"/>
              </w:rPr>
              <w:t>台热风炉，无除尘设备，用于井筒防冻。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0" w:hRule="atLeast"/>
        </w:trPr>
        <w:tc>
          <w:tcPr>
            <w:tcW w:w="617" w:type="dxa"/>
            <w:vMerge w:val="continue"/>
            <w:tcBorders>
              <w:top w:val="nil"/>
            </w:tcBorders>
          </w:tcPr>
          <w:p>
            <w:pPr>
              <w:rPr>
                <w:sz w:val="2"/>
                <w:szCs w:val="2"/>
              </w:rPr>
            </w:pPr>
          </w:p>
        </w:tc>
        <w:tc>
          <w:tcPr>
            <w:tcW w:w="730" w:type="dxa"/>
            <w:vMerge w:val="restart"/>
          </w:tcPr>
          <w:p>
            <w:pPr>
              <w:pStyle w:val="14"/>
              <w:jc w:val="left"/>
              <w:rPr>
                <w:b/>
                <w:sz w:val="20"/>
              </w:rPr>
            </w:pPr>
          </w:p>
          <w:p>
            <w:pPr>
              <w:pStyle w:val="14"/>
              <w:jc w:val="left"/>
              <w:rPr>
                <w:b/>
                <w:sz w:val="20"/>
              </w:rPr>
            </w:pPr>
          </w:p>
          <w:p>
            <w:pPr>
              <w:pStyle w:val="14"/>
              <w:spacing w:before="176" w:line="266" w:lineRule="auto"/>
              <w:ind w:left="153" w:right="146"/>
              <w:jc w:val="left"/>
              <w:rPr>
                <w:sz w:val="21"/>
              </w:rPr>
            </w:pPr>
            <w:r>
              <w:rPr>
                <w:sz w:val="21"/>
              </w:rPr>
              <w:t>储运工程</w:t>
            </w:r>
          </w:p>
        </w:tc>
        <w:tc>
          <w:tcPr>
            <w:tcW w:w="3040" w:type="dxa"/>
            <w:gridSpan w:val="2"/>
          </w:tcPr>
          <w:p>
            <w:pPr>
              <w:pStyle w:val="14"/>
              <w:jc w:val="left"/>
              <w:rPr>
                <w:b/>
                <w:sz w:val="20"/>
              </w:rPr>
            </w:pPr>
          </w:p>
          <w:p>
            <w:pPr>
              <w:pStyle w:val="14"/>
              <w:spacing w:before="1"/>
              <w:jc w:val="left"/>
              <w:rPr>
                <w:b/>
                <w:sz w:val="29"/>
              </w:rPr>
            </w:pPr>
          </w:p>
          <w:p>
            <w:pPr>
              <w:pStyle w:val="14"/>
              <w:ind w:left="764" w:right="756"/>
              <w:rPr>
                <w:sz w:val="21"/>
              </w:rPr>
            </w:pPr>
            <w:r>
              <w:rPr>
                <w:sz w:val="21"/>
              </w:rPr>
              <w:t>公路</w:t>
            </w:r>
          </w:p>
        </w:tc>
        <w:tc>
          <w:tcPr>
            <w:tcW w:w="4838" w:type="dxa"/>
          </w:tcPr>
          <w:p>
            <w:pPr>
              <w:pStyle w:val="14"/>
              <w:spacing w:before="29" w:line="266" w:lineRule="auto"/>
              <w:ind w:left="108" w:right="94"/>
              <w:jc w:val="both"/>
              <w:rPr>
                <w:sz w:val="21"/>
              </w:rPr>
            </w:pPr>
            <w:r>
              <w:rPr>
                <w:spacing w:val="-4"/>
                <w:sz w:val="21"/>
              </w:rPr>
              <w:t xml:space="preserve">该矿位于双鸭山矿业集团岭东煤矿南 </w:t>
            </w:r>
            <w:r>
              <w:rPr>
                <w:rFonts w:ascii="Times New Roman" w:eastAsia="Times New Roman"/>
                <w:sz w:val="21"/>
              </w:rPr>
              <w:t xml:space="preserve">7 </w:t>
            </w:r>
            <w:r>
              <w:rPr>
                <w:sz w:val="21"/>
              </w:rPr>
              <w:t>千米处，在双鸭山市司法局劳教所东部。从岭东矿通往矿井有砂石公路可直达，距双鸭山矿业集团内部运煤专用</w:t>
            </w:r>
            <w:r>
              <w:rPr>
                <w:spacing w:val="-4"/>
                <w:sz w:val="21"/>
              </w:rPr>
              <w:t xml:space="preserve">铁路线岭东车站 </w:t>
            </w:r>
            <w:r>
              <w:rPr>
                <w:rFonts w:ascii="Times New Roman" w:eastAsia="Times New Roman"/>
                <w:spacing w:val="2"/>
                <w:sz w:val="21"/>
              </w:rPr>
              <w:t>7km</w:t>
            </w:r>
            <w:r>
              <w:rPr>
                <w:spacing w:val="-4"/>
                <w:sz w:val="21"/>
              </w:rPr>
              <w:t xml:space="preserve">，距双鸭山火车站 </w:t>
            </w:r>
            <w:r>
              <w:rPr>
                <w:rFonts w:ascii="Times New Roman" w:eastAsia="Times New Roman"/>
                <w:spacing w:val="2"/>
                <w:sz w:val="21"/>
              </w:rPr>
              <w:t>15km</w:t>
            </w:r>
            <w:r>
              <w:rPr>
                <w:spacing w:val="1"/>
                <w:sz w:val="21"/>
              </w:rPr>
              <w:t>，交</w:t>
            </w:r>
          </w:p>
          <w:p>
            <w:pPr>
              <w:pStyle w:val="14"/>
              <w:spacing w:before="5" w:line="251" w:lineRule="exact"/>
              <w:ind w:left="108"/>
              <w:jc w:val="left"/>
              <w:rPr>
                <w:sz w:val="21"/>
              </w:rPr>
            </w:pPr>
            <w:r>
              <w:rPr>
                <w:sz w:val="21"/>
              </w:rPr>
              <w:t>通较为方便。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617" w:type="dxa"/>
            <w:vMerge w:val="continue"/>
            <w:tcBorders>
              <w:top w:val="nil"/>
            </w:tcBorders>
          </w:tcPr>
          <w:p>
            <w:pPr>
              <w:rPr>
                <w:sz w:val="2"/>
                <w:szCs w:val="2"/>
              </w:rPr>
            </w:pPr>
          </w:p>
        </w:tc>
        <w:tc>
          <w:tcPr>
            <w:tcW w:w="730" w:type="dxa"/>
            <w:vMerge w:val="continue"/>
            <w:tcBorders>
              <w:top w:val="nil"/>
            </w:tcBorders>
          </w:tcPr>
          <w:p>
            <w:pPr>
              <w:rPr>
                <w:sz w:val="2"/>
                <w:szCs w:val="2"/>
              </w:rPr>
            </w:pPr>
          </w:p>
        </w:tc>
        <w:tc>
          <w:tcPr>
            <w:tcW w:w="3040" w:type="dxa"/>
            <w:gridSpan w:val="2"/>
          </w:tcPr>
          <w:p>
            <w:pPr>
              <w:pStyle w:val="14"/>
              <w:spacing w:before="84"/>
              <w:ind w:left="764" w:right="756"/>
              <w:rPr>
                <w:sz w:val="21"/>
              </w:rPr>
            </w:pPr>
            <w:r>
              <w:rPr>
                <w:sz w:val="21"/>
              </w:rPr>
              <w:t>储煤场</w:t>
            </w:r>
          </w:p>
        </w:tc>
        <w:tc>
          <w:tcPr>
            <w:tcW w:w="4838" w:type="dxa"/>
          </w:tcPr>
          <w:p>
            <w:pPr>
              <w:pStyle w:val="14"/>
              <w:spacing w:before="84"/>
              <w:ind w:left="108"/>
              <w:jc w:val="left"/>
              <w:rPr>
                <w:sz w:val="21"/>
              </w:rPr>
            </w:pPr>
            <w:r>
              <w:rPr>
                <w:sz w:val="21"/>
              </w:rPr>
              <w:t>露天储煤场。</w:t>
            </w:r>
          </w:p>
        </w:tc>
      </w:tr>
    </w:tbl>
    <w:p>
      <w:pPr>
        <w:spacing w:after="0"/>
        <w:jc w:val="left"/>
        <w:rPr>
          <w:sz w:val="21"/>
        </w:rPr>
        <w:sectPr>
          <w:pgSz w:w="11910" w:h="16840"/>
          <w:pgMar w:top="1080" w:right="720" w:bottom="1160" w:left="760" w:header="0" w:footer="89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43" name="组合 15"/>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42" name="直线 16"/>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15"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u2gi7UAAAAAwEAAA8AAAAAAAAAAQAgAAAAIgAAAGRycy9kb3ducmV2LnhtbFBL&#10;AQIUABQAAAAIAIdO4kDrgJ4vMwIAALYEAAAOAAAAAAAAAAEAIAAAACMBAABkcnMvZTJvRG9jLnht&#10;bFBLBQYAAAAABgAGAFkBAADIBQAAAAA=&#10;">
                <o:lock v:ext="edit" aspectratio="f"/>
                <v:line id="直线 16" o:spid="_x0000_s1026" o:spt="20" style="position:absolute;left:0;top:7;height:0;width:8306;" filled="f" stroked="t" coordsize="21600,21600" o:gfxdata="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TvZhL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6"/>
        <w:spacing w:before="1"/>
        <w:rPr>
          <w:b/>
          <w:sz w:val="25"/>
        </w:rPr>
      </w:pPr>
    </w:p>
    <w:tbl>
      <w:tblPr>
        <w:tblStyle w:val="10"/>
        <w:tblW w:w="0" w:type="auto"/>
        <w:tblInd w:w="5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7"/>
        <w:gridCol w:w="730"/>
        <w:gridCol w:w="3040"/>
        <w:gridCol w:w="48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0" w:hRule="atLeast"/>
        </w:trPr>
        <w:tc>
          <w:tcPr>
            <w:tcW w:w="617" w:type="dxa"/>
            <w:vMerge w:val="restart"/>
          </w:tcPr>
          <w:p>
            <w:pPr>
              <w:pStyle w:val="14"/>
              <w:jc w:val="left"/>
              <w:rPr>
                <w:rFonts w:ascii="Times New Roman"/>
                <w:sz w:val="22"/>
              </w:rPr>
            </w:pPr>
          </w:p>
        </w:tc>
        <w:tc>
          <w:tcPr>
            <w:tcW w:w="730"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7"/>
              <w:jc w:val="left"/>
              <w:rPr>
                <w:b/>
                <w:sz w:val="19"/>
              </w:rPr>
            </w:pPr>
          </w:p>
          <w:p>
            <w:pPr>
              <w:pStyle w:val="14"/>
              <w:spacing w:line="266" w:lineRule="auto"/>
              <w:ind w:left="153" w:right="146"/>
              <w:jc w:val="left"/>
              <w:rPr>
                <w:sz w:val="21"/>
              </w:rPr>
            </w:pPr>
            <w:r>
              <w:rPr>
                <w:sz w:val="21"/>
              </w:rPr>
              <w:t>公用工程</w:t>
            </w:r>
          </w:p>
        </w:tc>
        <w:tc>
          <w:tcPr>
            <w:tcW w:w="3040" w:type="dxa"/>
          </w:tcPr>
          <w:p>
            <w:pPr>
              <w:pStyle w:val="14"/>
              <w:jc w:val="left"/>
              <w:rPr>
                <w:b/>
                <w:sz w:val="20"/>
              </w:rPr>
            </w:pPr>
          </w:p>
          <w:p>
            <w:pPr>
              <w:pStyle w:val="14"/>
              <w:jc w:val="left"/>
              <w:rPr>
                <w:b/>
                <w:sz w:val="20"/>
              </w:rPr>
            </w:pPr>
          </w:p>
          <w:p>
            <w:pPr>
              <w:pStyle w:val="14"/>
              <w:jc w:val="left"/>
              <w:rPr>
                <w:b/>
                <w:sz w:val="20"/>
              </w:rPr>
            </w:pPr>
          </w:p>
          <w:p>
            <w:pPr>
              <w:pStyle w:val="14"/>
              <w:spacing w:before="162"/>
              <w:ind w:left="764" w:right="756"/>
              <w:rPr>
                <w:sz w:val="21"/>
              </w:rPr>
            </w:pPr>
            <w:r>
              <w:rPr>
                <w:sz w:val="21"/>
              </w:rPr>
              <w:t>供电</w:t>
            </w:r>
          </w:p>
        </w:tc>
        <w:tc>
          <w:tcPr>
            <w:tcW w:w="4838" w:type="dxa"/>
          </w:tcPr>
          <w:p>
            <w:pPr>
              <w:pStyle w:val="14"/>
              <w:spacing w:before="31" w:line="266" w:lineRule="auto"/>
              <w:ind w:left="108" w:right="92"/>
              <w:jc w:val="both"/>
              <w:rPr>
                <w:sz w:val="21"/>
              </w:rPr>
            </w:pPr>
            <w:r>
              <w:rPr>
                <w:sz w:val="21"/>
              </w:rPr>
              <w:t>本矿井双电源来自双鸭集团岭东供电公司东三甲线</w:t>
            </w:r>
            <w:r>
              <w:rPr>
                <w:spacing w:val="-3"/>
                <w:sz w:val="21"/>
              </w:rPr>
              <w:t xml:space="preserve">和由来自双鸭集团岭东供电公司东七乙线 </w:t>
            </w:r>
            <w:r>
              <w:rPr>
                <w:rFonts w:ascii="Times New Roman" w:eastAsia="Times New Roman"/>
                <w:sz w:val="21"/>
              </w:rPr>
              <w:t xml:space="preserve">10kV </w:t>
            </w:r>
            <w:r>
              <w:rPr>
                <w:sz w:val="21"/>
              </w:rPr>
              <w:t>高</w:t>
            </w:r>
            <w:r>
              <w:rPr>
                <w:spacing w:val="-12"/>
                <w:sz w:val="21"/>
              </w:rPr>
              <w:t xml:space="preserve">压架空线，经地面变电所 </w:t>
            </w:r>
            <w:r>
              <w:rPr>
                <w:rFonts w:ascii="Times New Roman" w:eastAsia="Times New Roman"/>
                <w:sz w:val="21"/>
              </w:rPr>
              <w:t xml:space="preserve">4 </w:t>
            </w:r>
            <w:r>
              <w:rPr>
                <w:spacing w:val="-28"/>
                <w:sz w:val="21"/>
              </w:rPr>
              <w:t xml:space="preserve">台 </w:t>
            </w:r>
            <w:r>
              <w:rPr>
                <w:rFonts w:ascii="Times New Roman" w:eastAsia="Times New Roman"/>
                <w:spacing w:val="-4"/>
                <w:sz w:val="21"/>
              </w:rPr>
              <w:t>S9-400/10</w:t>
            </w:r>
            <w:r>
              <w:rPr>
                <w:spacing w:val="-2"/>
                <w:sz w:val="21"/>
              </w:rPr>
              <w:t>，两台变压</w:t>
            </w:r>
            <w:r>
              <w:rPr>
                <w:spacing w:val="-10"/>
                <w:sz w:val="21"/>
              </w:rPr>
              <w:t xml:space="preserve">器降压后 </w:t>
            </w:r>
            <w:r>
              <w:rPr>
                <w:rFonts w:ascii="Times New Roman" w:eastAsia="Times New Roman"/>
                <w:sz w:val="21"/>
              </w:rPr>
              <w:t xml:space="preserve">380V </w:t>
            </w:r>
            <w:r>
              <w:rPr>
                <w:spacing w:val="1"/>
                <w:sz w:val="21"/>
              </w:rPr>
              <w:t>进入地面各用电地点，两台进入井</w:t>
            </w:r>
            <w:r>
              <w:rPr>
                <w:spacing w:val="-6"/>
                <w:sz w:val="21"/>
              </w:rPr>
              <w:t xml:space="preserve">下变压器降压后 </w:t>
            </w:r>
            <w:r>
              <w:rPr>
                <w:rFonts w:ascii="Times New Roman" w:eastAsia="Times New Roman"/>
                <w:sz w:val="21"/>
              </w:rPr>
              <w:t xml:space="preserve">660V </w:t>
            </w:r>
            <w:r>
              <w:rPr>
                <w:sz w:val="21"/>
              </w:rPr>
              <w:t>入井进入各用电地点。</w:t>
            </w:r>
          </w:p>
          <w:p>
            <w:pPr>
              <w:pStyle w:val="14"/>
              <w:spacing w:before="6"/>
              <w:ind w:left="108"/>
              <w:jc w:val="left"/>
              <w:rPr>
                <w:sz w:val="21"/>
              </w:rPr>
            </w:pPr>
            <w:r>
              <w:rPr>
                <w:sz w:val="21"/>
              </w:rPr>
              <w:t>当一回线路发生故障时，另一回线路完全能满足矿</w:t>
            </w:r>
          </w:p>
          <w:p>
            <w:pPr>
              <w:pStyle w:val="14"/>
              <w:spacing w:before="31" w:line="249" w:lineRule="exact"/>
              <w:ind w:left="108"/>
              <w:jc w:val="left"/>
              <w:rPr>
                <w:sz w:val="21"/>
              </w:rPr>
            </w:pPr>
            <w:r>
              <w:rPr>
                <w:sz w:val="21"/>
              </w:rPr>
              <w:t>井供电的需要。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617" w:type="dxa"/>
            <w:vMerge w:val="continue"/>
            <w:tcBorders>
              <w:top w:val="nil"/>
            </w:tcBorders>
          </w:tcPr>
          <w:p>
            <w:pPr>
              <w:rPr>
                <w:sz w:val="2"/>
                <w:szCs w:val="2"/>
              </w:rPr>
            </w:pPr>
          </w:p>
        </w:tc>
        <w:tc>
          <w:tcPr>
            <w:tcW w:w="730" w:type="dxa"/>
            <w:vMerge w:val="continue"/>
            <w:tcBorders>
              <w:top w:val="nil"/>
            </w:tcBorders>
          </w:tcPr>
          <w:p>
            <w:pPr>
              <w:rPr>
                <w:sz w:val="2"/>
                <w:szCs w:val="2"/>
              </w:rPr>
            </w:pPr>
          </w:p>
        </w:tc>
        <w:tc>
          <w:tcPr>
            <w:tcW w:w="3040" w:type="dxa"/>
          </w:tcPr>
          <w:p>
            <w:pPr>
              <w:pStyle w:val="14"/>
              <w:spacing w:before="179"/>
              <w:ind w:left="761" w:right="756"/>
              <w:rPr>
                <w:sz w:val="21"/>
              </w:rPr>
            </w:pPr>
            <w:r>
              <w:rPr>
                <w:sz w:val="21"/>
              </w:rPr>
              <w:t>供水水源</w:t>
            </w:r>
          </w:p>
        </w:tc>
        <w:tc>
          <w:tcPr>
            <w:tcW w:w="4838" w:type="dxa"/>
          </w:tcPr>
          <w:p>
            <w:pPr>
              <w:pStyle w:val="14"/>
              <w:spacing w:line="300" w:lineRule="exact"/>
              <w:ind w:left="108" w:right="97"/>
              <w:jc w:val="left"/>
              <w:rPr>
                <w:sz w:val="21"/>
              </w:rPr>
            </w:pPr>
            <w:r>
              <w:rPr>
                <w:w w:val="95"/>
                <w:sz w:val="21"/>
              </w:rPr>
              <w:t xml:space="preserve">该矿生产用水由本矿井下水处理后回用于生产，生 </w:t>
            </w:r>
            <w:r>
              <w:rPr>
                <w:sz w:val="21"/>
              </w:rPr>
              <w:t>活用水由地面深水井供给。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trPr>
        <w:tc>
          <w:tcPr>
            <w:tcW w:w="617" w:type="dxa"/>
            <w:vMerge w:val="continue"/>
            <w:tcBorders>
              <w:top w:val="nil"/>
            </w:tcBorders>
          </w:tcPr>
          <w:p>
            <w:pPr>
              <w:rPr>
                <w:sz w:val="2"/>
                <w:szCs w:val="2"/>
              </w:rPr>
            </w:pPr>
          </w:p>
        </w:tc>
        <w:tc>
          <w:tcPr>
            <w:tcW w:w="730" w:type="dxa"/>
            <w:vMerge w:val="continue"/>
            <w:tcBorders>
              <w:top w:val="nil"/>
            </w:tcBorders>
          </w:tcPr>
          <w:p>
            <w:pPr>
              <w:rPr>
                <w:sz w:val="2"/>
                <w:szCs w:val="2"/>
              </w:rPr>
            </w:pPr>
          </w:p>
        </w:tc>
        <w:tc>
          <w:tcPr>
            <w:tcW w:w="3040" w:type="dxa"/>
          </w:tcPr>
          <w:p>
            <w:pPr>
              <w:pStyle w:val="14"/>
              <w:spacing w:before="9"/>
              <w:jc w:val="left"/>
              <w:rPr>
                <w:b/>
                <w:sz w:val="25"/>
              </w:rPr>
            </w:pPr>
          </w:p>
          <w:p>
            <w:pPr>
              <w:pStyle w:val="14"/>
              <w:ind w:left="764" w:right="756"/>
              <w:rPr>
                <w:sz w:val="21"/>
              </w:rPr>
            </w:pPr>
            <w:r>
              <w:rPr>
                <w:sz w:val="21"/>
              </w:rPr>
              <w:t>通讯</w:t>
            </w:r>
          </w:p>
        </w:tc>
        <w:tc>
          <w:tcPr>
            <w:tcW w:w="4838" w:type="dxa"/>
          </w:tcPr>
          <w:p>
            <w:pPr>
              <w:pStyle w:val="14"/>
              <w:spacing w:line="300" w:lineRule="exact"/>
              <w:ind w:left="108" w:right="97"/>
              <w:jc w:val="both"/>
              <w:rPr>
                <w:sz w:val="21"/>
              </w:rPr>
            </w:pPr>
            <w:r>
              <w:rPr>
                <w:w w:val="95"/>
                <w:sz w:val="21"/>
              </w:rPr>
              <w:t xml:space="preserve">该矿区通信已接入中国网通、中国电信，矿区亦属 中国移动和中国联通无线网络覆盖区，对外联络方 </w:t>
            </w:r>
            <w:r>
              <w:rPr>
                <w:sz w:val="21"/>
              </w:rPr>
              <w:t>式可靠。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617" w:type="dxa"/>
            <w:vMerge w:val="continue"/>
            <w:tcBorders>
              <w:top w:val="nil"/>
            </w:tcBorders>
          </w:tcPr>
          <w:p>
            <w:pPr>
              <w:rPr>
                <w:sz w:val="2"/>
                <w:szCs w:val="2"/>
              </w:rPr>
            </w:pPr>
          </w:p>
        </w:tc>
        <w:tc>
          <w:tcPr>
            <w:tcW w:w="730" w:type="dxa"/>
            <w:vMerge w:val="continue"/>
            <w:tcBorders>
              <w:top w:val="nil"/>
            </w:tcBorders>
          </w:tcPr>
          <w:p>
            <w:pPr>
              <w:rPr>
                <w:sz w:val="2"/>
                <w:szCs w:val="2"/>
              </w:rPr>
            </w:pPr>
          </w:p>
        </w:tc>
        <w:tc>
          <w:tcPr>
            <w:tcW w:w="3040" w:type="dxa"/>
          </w:tcPr>
          <w:p>
            <w:pPr>
              <w:pStyle w:val="14"/>
              <w:spacing w:before="3"/>
              <w:jc w:val="left"/>
              <w:rPr>
                <w:b/>
                <w:sz w:val="14"/>
              </w:rPr>
            </w:pPr>
          </w:p>
          <w:p>
            <w:pPr>
              <w:pStyle w:val="14"/>
              <w:spacing w:before="1"/>
              <w:ind w:left="761" w:right="756"/>
              <w:rPr>
                <w:sz w:val="21"/>
              </w:rPr>
            </w:pPr>
            <w:r>
              <w:rPr>
                <w:sz w:val="21"/>
              </w:rPr>
              <w:t>排水线路</w:t>
            </w:r>
          </w:p>
        </w:tc>
        <w:tc>
          <w:tcPr>
            <w:tcW w:w="4838" w:type="dxa"/>
          </w:tcPr>
          <w:p>
            <w:pPr>
              <w:pStyle w:val="14"/>
              <w:spacing w:before="3"/>
              <w:jc w:val="left"/>
              <w:rPr>
                <w:b/>
                <w:sz w:val="14"/>
              </w:rPr>
            </w:pPr>
          </w:p>
          <w:p>
            <w:pPr>
              <w:pStyle w:val="14"/>
              <w:spacing w:before="1"/>
              <w:ind w:left="108"/>
              <w:jc w:val="left"/>
              <w:rPr>
                <w:sz w:val="21"/>
              </w:rPr>
            </w:pPr>
            <w:r>
              <w:rPr>
                <w:sz w:val="21"/>
              </w:rPr>
              <w:t>矿下涌水经泵提升至地面，直接排至扁石河。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17" w:type="dxa"/>
            <w:vMerge w:val="continue"/>
            <w:tcBorders>
              <w:top w:val="nil"/>
            </w:tcBorders>
          </w:tcPr>
          <w:p>
            <w:pPr>
              <w:rPr>
                <w:sz w:val="2"/>
                <w:szCs w:val="2"/>
              </w:rPr>
            </w:pPr>
          </w:p>
        </w:tc>
        <w:tc>
          <w:tcPr>
            <w:tcW w:w="730" w:type="dxa"/>
            <w:vMerge w:val="continue"/>
            <w:tcBorders>
              <w:top w:val="nil"/>
            </w:tcBorders>
          </w:tcPr>
          <w:p>
            <w:pPr>
              <w:rPr>
                <w:sz w:val="2"/>
                <w:szCs w:val="2"/>
              </w:rPr>
            </w:pPr>
          </w:p>
        </w:tc>
        <w:tc>
          <w:tcPr>
            <w:tcW w:w="3040" w:type="dxa"/>
          </w:tcPr>
          <w:p>
            <w:pPr>
              <w:pStyle w:val="14"/>
              <w:spacing w:before="70"/>
              <w:ind w:left="764" w:right="756"/>
              <w:rPr>
                <w:sz w:val="21"/>
              </w:rPr>
            </w:pPr>
            <w:r>
              <w:rPr>
                <w:sz w:val="21"/>
              </w:rPr>
              <w:t>行政与公共设施</w:t>
            </w:r>
          </w:p>
        </w:tc>
        <w:tc>
          <w:tcPr>
            <w:tcW w:w="4838" w:type="dxa"/>
          </w:tcPr>
          <w:p>
            <w:pPr>
              <w:pStyle w:val="14"/>
              <w:spacing w:before="70"/>
              <w:ind w:left="108" w:right="-15"/>
              <w:jc w:val="left"/>
              <w:rPr>
                <w:sz w:val="21"/>
              </w:rPr>
            </w:pPr>
            <w:r>
              <w:rPr>
                <w:w w:val="95"/>
                <w:sz w:val="21"/>
              </w:rPr>
              <w:t>综合办公室、更衣室、浴室、食堂等场区设施等。</w:t>
            </w:r>
          </w:p>
        </w:tc>
      </w:tr>
    </w:tbl>
    <w:p>
      <w:pPr>
        <w:pStyle w:val="3"/>
        <w:numPr>
          <w:ilvl w:val="1"/>
          <w:numId w:val="16"/>
        </w:numPr>
        <w:tabs>
          <w:tab w:val="left" w:pos="1566"/>
        </w:tabs>
        <w:spacing w:before="121" w:after="0" w:line="240" w:lineRule="auto"/>
        <w:ind w:left="1565" w:right="0" w:hanging="526"/>
        <w:jc w:val="left"/>
      </w:pPr>
      <w:bookmarkStart w:id="84" w:name="3.2 改扩建生产项目概况"/>
      <w:bookmarkEnd w:id="84"/>
      <w:bookmarkStart w:id="85" w:name="_bookmark16"/>
      <w:bookmarkEnd w:id="85"/>
      <w:bookmarkStart w:id="86" w:name="_bookmark16"/>
      <w:bookmarkEnd w:id="86"/>
      <w:r>
        <w:t>改扩建生产项目概况</w:t>
      </w:r>
    </w:p>
    <w:p>
      <w:pPr>
        <w:pStyle w:val="13"/>
        <w:numPr>
          <w:ilvl w:val="2"/>
          <w:numId w:val="16"/>
        </w:numPr>
        <w:tabs>
          <w:tab w:val="left" w:pos="1879"/>
          <w:tab w:val="left" w:pos="1880"/>
        </w:tabs>
        <w:spacing w:before="123" w:after="0" w:line="240" w:lineRule="auto"/>
        <w:ind w:left="1880" w:right="0" w:hanging="840"/>
        <w:jc w:val="left"/>
        <w:rPr>
          <w:b/>
          <w:sz w:val="28"/>
        </w:rPr>
      </w:pPr>
      <w:bookmarkStart w:id="87" w:name="3.2.1  项目名称、建设规模、建设性质与建设地点"/>
      <w:bookmarkEnd w:id="87"/>
      <w:bookmarkStart w:id="88" w:name="3.2.1  项目名称、建设规模、建设性质与建设地点"/>
      <w:bookmarkEnd w:id="88"/>
      <w:r>
        <w:rPr>
          <w:b/>
          <w:sz w:val="28"/>
        </w:rPr>
        <w:t>项目名称、建设规模、建设性质与建设地点</w:t>
      </w:r>
    </w:p>
    <w:p>
      <w:pPr>
        <w:pStyle w:val="13"/>
        <w:numPr>
          <w:ilvl w:val="3"/>
          <w:numId w:val="16"/>
        </w:numPr>
        <w:tabs>
          <w:tab w:val="left" w:pos="2121"/>
        </w:tabs>
        <w:spacing w:before="262" w:after="0" w:line="240" w:lineRule="auto"/>
        <w:ind w:left="2121" w:right="0" w:hanging="601"/>
        <w:jc w:val="left"/>
        <w:rPr>
          <w:sz w:val="24"/>
        </w:rPr>
      </w:pPr>
      <w:r>
        <w:rPr>
          <w:sz w:val="24"/>
        </w:rPr>
        <w:t>项目名称：双鸭山大顺矿业有限公司改扩建项目</w:t>
      </w:r>
    </w:p>
    <w:p>
      <w:pPr>
        <w:pStyle w:val="13"/>
        <w:numPr>
          <w:ilvl w:val="3"/>
          <w:numId w:val="16"/>
        </w:numPr>
        <w:tabs>
          <w:tab w:val="left" w:pos="2121"/>
        </w:tabs>
        <w:spacing w:before="160" w:after="0" w:line="240" w:lineRule="auto"/>
        <w:ind w:left="2121" w:right="0" w:hanging="601"/>
        <w:jc w:val="left"/>
        <w:rPr>
          <w:rFonts w:ascii="Times New Roman" w:eastAsia="Times New Roman"/>
          <w:sz w:val="24"/>
        </w:rPr>
      </w:pPr>
      <w:r>
        <w:rPr>
          <w:sz w:val="24"/>
        </w:rPr>
        <w:t>建设规模：</w:t>
      </w:r>
      <w:r>
        <w:rPr>
          <w:rFonts w:ascii="Times New Roman" w:eastAsia="Times New Roman"/>
          <w:sz w:val="24"/>
        </w:rPr>
        <w:t xml:space="preserve">30 </w:t>
      </w:r>
      <w:r>
        <w:rPr>
          <w:spacing w:val="-30"/>
          <w:sz w:val="24"/>
        </w:rPr>
        <w:t xml:space="preserve">万 </w:t>
      </w:r>
      <w:r>
        <w:rPr>
          <w:rFonts w:ascii="Times New Roman" w:eastAsia="Times New Roman"/>
          <w:sz w:val="24"/>
        </w:rPr>
        <w:t>t/a</w:t>
      </w:r>
    </w:p>
    <w:p>
      <w:pPr>
        <w:pStyle w:val="13"/>
        <w:numPr>
          <w:ilvl w:val="3"/>
          <w:numId w:val="16"/>
        </w:numPr>
        <w:tabs>
          <w:tab w:val="left" w:pos="2121"/>
        </w:tabs>
        <w:spacing w:before="161" w:after="0" w:line="240" w:lineRule="auto"/>
        <w:ind w:left="2121" w:right="0" w:hanging="601"/>
        <w:jc w:val="left"/>
        <w:rPr>
          <w:sz w:val="24"/>
        </w:rPr>
      </w:pPr>
      <w:r>
        <w:rPr>
          <w:sz w:val="24"/>
        </w:rPr>
        <w:t>建设性质：改扩建</w:t>
      </w:r>
    </w:p>
    <w:p>
      <w:pPr>
        <w:pStyle w:val="13"/>
        <w:numPr>
          <w:ilvl w:val="3"/>
          <w:numId w:val="16"/>
        </w:numPr>
        <w:tabs>
          <w:tab w:val="left" w:pos="2121"/>
        </w:tabs>
        <w:spacing w:before="160" w:after="0" w:line="240" w:lineRule="auto"/>
        <w:ind w:left="2121" w:right="0" w:hanging="601"/>
        <w:jc w:val="left"/>
        <w:rPr>
          <w:sz w:val="24"/>
        </w:rPr>
      </w:pPr>
      <w:r>
        <w:rPr>
          <w:sz w:val="24"/>
        </w:rPr>
        <w:t>建设地点：双鸭山市岭东区</w:t>
      </w:r>
    </w:p>
    <w:p>
      <w:pPr>
        <w:pStyle w:val="13"/>
        <w:numPr>
          <w:ilvl w:val="3"/>
          <w:numId w:val="16"/>
        </w:numPr>
        <w:tabs>
          <w:tab w:val="left" w:pos="2121"/>
        </w:tabs>
        <w:spacing w:before="161" w:after="0" w:line="240" w:lineRule="auto"/>
        <w:ind w:left="2121" w:right="0" w:hanging="601"/>
        <w:jc w:val="left"/>
        <w:rPr>
          <w:sz w:val="24"/>
        </w:rPr>
      </w:pPr>
      <w:r>
        <w:rPr>
          <w:sz w:val="24"/>
        </w:rPr>
        <w:t>建设单位：双鸭山大顺矿业有限公司</w:t>
      </w:r>
    </w:p>
    <w:p>
      <w:pPr>
        <w:pStyle w:val="4"/>
        <w:numPr>
          <w:ilvl w:val="2"/>
          <w:numId w:val="16"/>
        </w:numPr>
        <w:tabs>
          <w:tab w:val="left" w:pos="1879"/>
          <w:tab w:val="left" w:pos="1880"/>
        </w:tabs>
        <w:spacing w:before="82" w:after="0" w:line="240" w:lineRule="auto"/>
        <w:ind w:left="1880" w:right="0" w:hanging="840"/>
        <w:jc w:val="left"/>
      </w:pPr>
      <w:bookmarkStart w:id="89" w:name="3.2.2  项目建设的必要性"/>
      <w:bookmarkEnd w:id="89"/>
      <w:bookmarkStart w:id="90" w:name="3.2.2  项目建设的必要性"/>
      <w:bookmarkEnd w:id="90"/>
      <w:r>
        <w:t>项目建设的必要性</w:t>
      </w:r>
    </w:p>
    <w:p>
      <w:pPr>
        <w:pStyle w:val="6"/>
        <w:spacing w:before="264" w:line="364" w:lineRule="auto"/>
        <w:ind w:left="1040" w:right="957" w:firstLine="480"/>
        <w:jc w:val="both"/>
      </w:pPr>
      <w:r>
        <w:rPr>
          <w:rFonts w:ascii="Times New Roman" w:eastAsia="Times New Roman"/>
        </w:rPr>
        <w:t>1</w:t>
      </w:r>
      <w:r>
        <w:t>、目前，我国正处于煤炭产业结构调整的关键时期，针对当前煤炭产业存</w:t>
      </w:r>
      <w:r>
        <w:rPr>
          <w:spacing w:val="-9"/>
        </w:rPr>
        <w:t>在的突出矛盾，为了加快煤炭工业结构的调整，引导煤炭工业持续快速健康的发</w:t>
      </w:r>
      <w:r>
        <w:rPr>
          <w:spacing w:val="-17"/>
        </w:rPr>
        <w:t>展，根据国务院颁发的《国务院办公厅关于进一步加强煤矿安全生产工作的意见》</w:t>
      </w:r>
    </w:p>
    <w:p>
      <w:pPr>
        <w:pStyle w:val="6"/>
        <w:spacing w:before="2" w:line="364" w:lineRule="auto"/>
        <w:ind w:left="1040" w:right="957"/>
      </w:pPr>
      <w:r>
        <w:t>（国办发〔</w:t>
      </w:r>
      <w:r>
        <w:rPr>
          <w:rFonts w:ascii="Times New Roman" w:eastAsia="Times New Roman"/>
        </w:rPr>
        <w:t>2013</w:t>
      </w:r>
      <w:r>
        <w:t>〕</w:t>
      </w:r>
      <w:r>
        <w:rPr>
          <w:rFonts w:ascii="Times New Roman" w:eastAsia="Times New Roman"/>
        </w:rPr>
        <w:t>99</w:t>
      </w:r>
      <w:r>
        <w:rPr>
          <w:rFonts w:ascii="Times New Roman" w:eastAsia="Times New Roman"/>
          <w:spacing w:val="21"/>
        </w:rPr>
        <w:t xml:space="preserve"> </w:t>
      </w:r>
      <w:r>
        <w:t>号）、国家安全监管总局颁发的《国家安全监管总局等十</w:t>
      </w:r>
      <w:r>
        <w:rPr>
          <w:spacing w:val="-4"/>
        </w:rPr>
        <w:t>二部门关于加快落后小煤矿关闭退出工作的通知》</w:t>
      </w:r>
      <w:r>
        <w:rPr>
          <w:spacing w:val="-3"/>
        </w:rPr>
        <w:t>（</w:t>
      </w:r>
      <w:r>
        <w:rPr>
          <w:spacing w:val="-8"/>
        </w:rPr>
        <w:t>安监总煤监〔</w:t>
      </w:r>
      <w:r>
        <w:rPr>
          <w:rFonts w:ascii="Times New Roman" w:eastAsia="Times New Roman"/>
        </w:rPr>
        <w:t>2014</w:t>
      </w:r>
      <w:r>
        <w:rPr>
          <w:spacing w:val="-39"/>
        </w:rPr>
        <w:t>〕</w:t>
      </w:r>
      <w:r>
        <w:rPr>
          <w:rFonts w:ascii="Times New Roman" w:eastAsia="Times New Roman"/>
        </w:rPr>
        <w:t xml:space="preserve">44 </w:t>
      </w:r>
      <w:r>
        <w:t>号</w:t>
      </w:r>
      <w:r>
        <w:rPr>
          <w:spacing w:val="-120"/>
        </w:rPr>
        <w:t>）</w:t>
      </w:r>
      <w:r>
        <w:rPr>
          <w:spacing w:val="-15"/>
        </w:rPr>
        <w:t>、</w:t>
      </w:r>
      <w:r>
        <w:rPr>
          <w:spacing w:val="-10"/>
        </w:rPr>
        <w:t>黑龙江省政府发布的《黑龙江省人民政府办公厅关于黑龙江煤矿整顿关闭工作的</w:t>
      </w:r>
      <w:r>
        <w:rPr>
          <w:spacing w:val="-11"/>
        </w:rPr>
        <w:t>指导意见》</w:t>
      </w:r>
      <w:r>
        <w:t>（</w:t>
      </w:r>
      <w:r>
        <w:rPr>
          <w:spacing w:val="-2"/>
        </w:rPr>
        <w:t>黑政办法〔</w:t>
      </w:r>
      <w:r>
        <w:rPr>
          <w:rFonts w:ascii="Times New Roman" w:eastAsia="Times New Roman"/>
        </w:rPr>
        <w:t>2013</w:t>
      </w:r>
      <w:r>
        <w:rPr>
          <w:spacing w:val="-8"/>
        </w:rPr>
        <w:t>〕</w:t>
      </w:r>
      <w:r>
        <w:rPr>
          <w:rFonts w:ascii="Times New Roman" w:eastAsia="Times New Roman"/>
        </w:rPr>
        <w:t xml:space="preserve">99 </w:t>
      </w:r>
      <w:r>
        <w:t>号</w:t>
      </w:r>
      <w:r>
        <w:rPr>
          <w:spacing w:val="-5"/>
        </w:rPr>
        <w:t>）</w:t>
      </w:r>
      <w:r>
        <w:rPr>
          <w:spacing w:val="-4"/>
        </w:rPr>
        <w:t>、《黑龙江省人民政府关于印发</w:t>
      </w:r>
      <w:r>
        <w:rPr>
          <w:rFonts w:ascii="Times New Roman" w:eastAsia="Times New Roman"/>
        </w:rPr>
        <w:t>&lt;</w:t>
      </w:r>
      <w:r>
        <w:t>黑龙江</w:t>
      </w:r>
      <w:r>
        <w:rPr>
          <w:spacing w:val="7"/>
        </w:rPr>
        <w:t>省煤炭行业淘汰落后产能化解过剩产能专项整治工作方案</w:t>
      </w:r>
      <w:r>
        <w:rPr>
          <w:rFonts w:ascii="Times New Roman" w:eastAsia="Times New Roman"/>
          <w:spacing w:val="8"/>
        </w:rPr>
        <w:t>&gt;</w:t>
      </w:r>
      <w:r>
        <w:rPr>
          <w:spacing w:val="7"/>
        </w:rPr>
        <w:t>的通知》（</w:t>
      </w:r>
      <w:r>
        <w:rPr>
          <w:spacing w:val="4"/>
        </w:rPr>
        <w:t>黑政规</w:t>
      </w:r>
    </w:p>
    <w:p>
      <w:pPr>
        <w:pStyle w:val="6"/>
        <w:spacing w:before="3" w:line="364" w:lineRule="auto"/>
        <w:ind w:left="1040" w:right="1077"/>
        <w:jc w:val="both"/>
      </w:pPr>
      <w:r>
        <w:t>〔</w:t>
      </w:r>
      <w:r>
        <w:rPr>
          <w:rFonts w:ascii="Times New Roman" w:eastAsia="Times New Roman"/>
        </w:rPr>
        <w:t>2018</w:t>
      </w:r>
      <w:r>
        <w:t>〕</w:t>
      </w:r>
      <w:r>
        <w:rPr>
          <w:rFonts w:ascii="Times New Roman" w:eastAsia="Times New Roman"/>
        </w:rPr>
        <w:t>13</w:t>
      </w:r>
      <w:r>
        <w:rPr>
          <w:rFonts w:ascii="Times New Roman" w:eastAsia="Times New Roman"/>
          <w:spacing w:val="42"/>
        </w:rPr>
        <w:t xml:space="preserve"> </w:t>
      </w:r>
      <w:r>
        <w:t>号）文件及双鸭山市煤炭生产安全管理局《双鸭山市煤炭生产安全</w:t>
      </w:r>
      <w:r>
        <w:rPr>
          <w:spacing w:val="-3"/>
        </w:rPr>
        <w:t>管理局关于组织上报淘汰落后产能化解过剩产能保留煤矿项目方案的通知》</w:t>
      </w:r>
      <w:r>
        <w:t>（</w:t>
      </w:r>
      <w:r>
        <w:rPr>
          <w:spacing w:val="-17"/>
        </w:rPr>
        <w:t>双</w:t>
      </w:r>
      <w:r>
        <w:rPr>
          <w:spacing w:val="-4"/>
        </w:rPr>
        <w:t>煤发〔</w:t>
      </w:r>
      <w:r>
        <w:rPr>
          <w:rFonts w:ascii="Times New Roman" w:eastAsia="Times New Roman"/>
        </w:rPr>
        <w:t>2018</w:t>
      </w:r>
      <w:r>
        <w:rPr>
          <w:spacing w:val="-8"/>
        </w:rPr>
        <w:t>〕</w:t>
      </w:r>
      <w:r>
        <w:rPr>
          <w:rFonts w:ascii="Times New Roman" w:eastAsia="Times New Roman"/>
        </w:rPr>
        <w:t xml:space="preserve">124 </w:t>
      </w:r>
      <w:r>
        <w:t>号</w:t>
      </w:r>
      <w:r>
        <w:rPr>
          <w:spacing w:val="-8"/>
        </w:rPr>
        <w:t>）</w:t>
      </w:r>
      <w:r>
        <w:rPr>
          <w:spacing w:val="-3"/>
        </w:rPr>
        <w:t>等有关文件的精神，双鸭山大顺矿业有限公司对本矿井原</w:t>
      </w:r>
    </w:p>
    <w:p>
      <w:pPr>
        <w:spacing w:after="0" w:line="364" w:lineRule="auto"/>
        <w:jc w:val="both"/>
        <w:sectPr>
          <w:pgSz w:w="11910" w:h="16840"/>
          <w:pgMar w:top="1080" w:right="720" w:bottom="1160" w:left="760" w:header="0" w:footer="89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08" name="组合 17"/>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07" name="直线 18"/>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17"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7toIu1AAAAAMBAAAPAAAAAAAAAAEAIAAAACIAAABkcnMvZG93bnJldi54bWxQ&#10;SwECFAAUAAAACACHTuJAPHWovTQCAAC2BAAADgAAAAAAAAABACAAAAAjAQAAZHJzL2Uyb0RvYy54&#10;bWxQSwUGAAAAAAYABgBZAQAAyQUAAAAA&#10;">
                <o:lock v:ext="edit" aspectratio="f"/>
                <v:line id="直线 18" o:spid="_x0000_s1026" o:spt="20" style="position:absolute;left:0;top:7;height:0;width:8306;" filled="f" stroked="t" coordsize="21600,21600" o:gfxdata="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ybD3L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6"/>
        <w:spacing w:before="8"/>
        <w:rPr>
          <w:sz w:val="25"/>
        </w:rPr>
      </w:pPr>
    </w:p>
    <w:p>
      <w:pPr>
        <w:pStyle w:val="6"/>
        <w:spacing w:before="74" w:line="364" w:lineRule="auto"/>
        <w:ind w:left="1040" w:right="955"/>
      </w:pPr>
      <w:r>
        <w:rPr>
          <w:spacing w:val="-10"/>
        </w:rPr>
        <w:t>矿界进行了扩层扩界，同时将矿井原有的设计生产能力由</w:t>
      </w:r>
      <w:r>
        <w:rPr>
          <w:rFonts w:ascii="Times New Roman" w:hAnsi="Times New Roman" w:eastAsia="Times New Roman"/>
        </w:rPr>
        <w:t xml:space="preserve">4 </w:t>
      </w:r>
      <w:r>
        <w:rPr>
          <w:spacing w:val="38"/>
        </w:rPr>
        <w:t>万</w:t>
      </w:r>
      <w:r>
        <w:rPr>
          <w:rFonts w:ascii="Times New Roman" w:hAnsi="Times New Roman" w:eastAsia="Times New Roman"/>
        </w:rPr>
        <w:t xml:space="preserve">t/a </w:t>
      </w:r>
      <w:r>
        <w:rPr>
          <w:spacing w:val="12"/>
        </w:rPr>
        <w:t>提升到</w:t>
      </w:r>
      <w:r>
        <w:rPr>
          <w:rFonts w:ascii="Times New Roman" w:hAnsi="Times New Roman" w:eastAsia="Times New Roman"/>
        </w:rPr>
        <w:t xml:space="preserve">30 </w:t>
      </w:r>
      <w:r>
        <w:rPr>
          <w:spacing w:val="38"/>
        </w:rPr>
        <w:t>万</w:t>
      </w:r>
      <w:r>
        <w:rPr>
          <w:rFonts w:ascii="Times New Roman" w:hAnsi="Times New Roman" w:eastAsia="Times New Roman"/>
        </w:rPr>
        <w:t>t/a</w:t>
      </w:r>
      <w:r>
        <w:rPr>
          <w:spacing w:val="-13"/>
        </w:rPr>
        <w:t>。</w:t>
      </w:r>
      <w:r>
        <w:rPr>
          <w:spacing w:val="-10"/>
        </w:rPr>
        <w:t>按照“以小并大、以优并劣”原则，提高生产规模，达到国家和省有关规定的标准。</w:t>
      </w:r>
    </w:p>
    <w:p>
      <w:pPr>
        <w:pStyle w:val="6"/>
        <w:spacing w:before="1" w:line="364" w:lineRule="auto"/>
        <w:ind w:left="1040" w:right="1077" w:firstLine="480"/>
        <w:jc w:val="both"/>
      </w:pPr>
      <w:r>
        <w:rPr>
          <w:rFonts w:ascii="Times New Roman" w:eastAsia="Times New Roman"/>
        </w:rPr>
        <w:t>2</w:t>
      </w:r>
      <w:r>
        <w:rPr>
          <w:spacing w:val="-1"/>
        </w:rPr>
        <w:t>、本项目符合国家的一系列的产业调整措施，为积极推进国家产业政策的</w:t>
      </w:r>
      <w:r>
        <w:rPr>
          <w:spacing w:val="-8"/>
        </w:rPr>
        <w:t>落实起到了推动作用。此外，通过本次改扩建，增加矿井年生产能力，可加大对矿产资源的回收利用，可以使分散式生产转换为集约式生产，能够极大地降低电</w:t>
      </w:r>
      <w:r>
        <w:t>能的消耗，可以极大地促进循环经济的发展。</w:t>
      </w:r>
    </w:p>
    <w:p>
      <w:pPr>
        <w:pStyle w:val="6"/>
        <w:spacing w:before="3" w:line="364" w:lineRule="auto"/>
        <w:ind w:left="1040" w:right="1077" w:firstLine="480"/>
        <w:jc w:val="both"/>
      </w:pPr>
      <w:r>
        <w:rPr>
          <w:rFonts w:ascii="Times New Roman" w:eastAsia="Times New Roman"/>
        </w:rPr>
        <w:t>3</w:t>
      </w:r>
      <w:r>
        <w:rPr>
          <w:spacing w:val="-1"/>
        </w:rPr>
        <w:t>、本项目的实施，有利于当地财政收入的增加，因此有利于工薪阶层增加</w:t>
      </w:r>
      <w:r>
        <w:rPr>
          <w:spacing w:val="-9"/>
        </w:rPr>
        <w:t>收入。因项目建设所导致的从业人员的增加，其消费、娱乐等的需求，必将带动</w:t>
      </w:r>
      <w:r>
        <w:rPr>
          <w:spacing w:val="-11"/>
        </w:rPr>
        <w:t>二、三产业的发展，使从事这些行业的当地居民增加收入。从整体方面来说，项</w:t>
      </w:r>
      <w:r>
        <w:rPr>
          <w:spacing w:val="-10"/>
        </w:rPr>
        <w:t>目的建成，有利于企业本身的发展，有利于带动周边企业的发展，有利于带动当</w:t>
      </w:r>
      <w:r>
        <w:t>地经济的发展，有利于当地居民的经济发展。</w:t>
      </w:r>
    </w:p>
    <w:p>
      <w:pPr>
        <w:pStyle w:val="6"/>
        <w:spacing w:before="3" w:line="364" w:lineRule="auto"/>
        <w:ind w:left="1040" w:right="1077" w:firstLine="480"/>
      </w:pPr>
      <w:r>
        <w:rPr>
          <w:spacing w:val="-11"/>
        </w:rPr>
        <w:t>综上所述，从自身因素到社会需求，双鸭山大顺矿业有限公司进行改扩建生</w:t>
      </w:r>
      <w:r>
        <w:t>产建设是十分必要的。</w:t>
      </w:r>
    </w:p>
    <w:p>
      <w:pPr>
        <w:pStyle w:val="4"/>
        <w:numPr>
          <w:ilvl w:val="2"/>
          <w:numId w:val="16"/>
        </w:numPr>
        <w:tabs>
          <w:tab w:val="left" w:pos="1879"/>
          <w:tab w:val="left" w:pos="1880"/>
        </w:tabs>
        <w:spacing w:before="0" w:after="0" w:line="282" w:lineRule="exact"/>
        <w:ind w:left="1880" w:right="0" w:hanging="840"/>
        <w:jc w:val="left"/>
      </w:pPr>
      <w:bookmarkStart w:id="91" w:name="3.2.3  项目建设外部条件"/>
      <w:bookmarkEnd w:id="91"/>
      <w:bookmarkStart w:id="92" w:name="3.2.3  项目建设外部条件"/>
      <w:bookmarkEnd w:id="92"/>
      <w:r>
        <w:t>项目建设外部条件</w:t>
      </w:r>
    </w:p>
    <w:p>
      <w:pPr>
        <w:pStyle w:val="6"/>
        <w:spacing w:before="264"/>
        <w:ind w:left="1520"/>
      </w:pPr>
      <w:r>
        <w:rPr>
          <w:rFonts w:ascii="Times New Roman" w:eastAsia="Times New Roman"/>
        </w:rPr>
        <w:t>1</w:t>
      </w:r>
      <w:r>
        <w:t>、运输</w:t>
      </w:r>
    </w:p>
    <w:p>
      <w:pPr>
        <w:pStyle w:val="6"/>
        <w:spacing w:before="161" w:line="364" w:lineRule="auto"/>
        <w:ind w:left="1040" w:right="1077" w:firstLine="480"/>
        <w:jc w:val="both"/>
      </w:pPr>
      <w:r>
        <w:rPr>
          <w:spacing w:val="-3"/>
        </w:rPr>
        <w:t xml:space="preserve">双鸭山大顺矿业有限公司位于双鸭山矿业集团岭东煤矿南 </w:t>
      </w:r>
      <w:r>
        <w:rPr>
          <w:rFonts w:ascii="Times New Roman" w:eastAsia="Times New Roman"/>
        </w:rPr>
        <w:t xml:space="preserve">7 </w:t>
      </w:r>
      <w:r>
        <w:rPr>
          <w:spacing w:val="-17"/>
        </w:rPr>
        <w:t>千米处，在双鸭</w:t>
      </w:r>
      <w:r>
        <w:rPr>
          <w:spacing w:val="-8"/>
        </w:rPr>
        <w:t>山市司法局劳教所东部。从岭东矿通往矿井有砂石公路可直达，距双鸭山矿业集</w:t>
      </w:r>
      <w:r>
        <w:rPr>
          <w:spacing w:val="-5"/>
        </w:rPr>
        <w:t xml:space="preserve">团内部运煤专用铁路线岭东车站 </w:t>
      </w:r>
      <w:r>
        <w:rPr>
          <w:rFonts w:ascii="Times New Roman" w:eastAsia="Times New Roman"/>
        </w:rPr>
        <w:t>7km</w:t>
      </w:r>
      <w:r>
        <w:rPr>
          <w:spacing w:val="-7"/>
        </w:rPr>
        <w:t xml:space="preserve">，距双鸭山火车站 </w:t>
      </w:r>
      <w:r>
        <w:rPr>
          <w:rFonts w:ascii="Times New Roman" w:eastAsia="Times New Roman"/>
        </w:rPr>
        <w:t>15km</w:t>
      </w:r>
      <w:r>
        <w:t>，交通较为方便。</w:t>
      </w:r>
    </w:p>
    <w:p>
      <w:pPr>
        <w:pStyle w:val="6"/>
        <w:spacing w:before="2"/>
        <w:ind w:left="1520"/>
      </w:pPr>
      <w:r>
        <w:rPr>
          <w:rFonts w:ascii="Times New Roman" w:eastAsia="Times New Roman"/>
        </w:rPr>
        <w:t>2</w:t>
      </w:r>
      <w:r>
        <w:t>、供电</w:t>
      </w:r>
    </w:p>
    <w:p>
      <w:pPr>
        <w:pStyle w:val="6"/>
        <w:spacing w:before="160" w:line="364" w:lineRule="auto"/>
        <w:ind w:left="1040" w:right="957" w:firstLine="480"/>
        <w:jc w:val="both"/>
      </w:pPr>
      <w:r>
        <w:rPr>
          <w:spacing w:val="2"/>
        </w:rPr>
        <w:t>本矿井双电源来自双鸭集团岭东供电公司东三甲线和由来自双鸭集团岭东</w:t>
      </w:r>
      <w:r>
        <w:rPr>
          <w:spacing w:val="-7"/>
        </w:rPr>
        <w:t xml:space="preserve">供电公司东七乙线 </w:t>
      </w:r>
      <w:r>
        <w:rPr>
          <w:rFonts w:ascii="Times New Roman" w:eastAsia="Times New Roman"/>
        </w:rPr>
        <w:t xml:space="preserve">10kV </w:t>
      </w:r>
      <w:r>
        <w:rPr>
          <w:spacing w:val="-5"/>
        </w:rPr>
        <w:t xml:space="preserve">高压架空线，经地面变电所 </w:t>
      </w:r>
      <w:r>
        <w:rPr>
          <w:rFonts w:ascii="Times New Roman" w:eastAsia="Times New Roman"/>
        </w:rPr>
        <w:t xml:space="preserve">4 </w:t>
      </w:r>
      <w:r>
        <w:rPr>
          <w:spacing w:val="-28"/>
        </w:rPr>
        <w:t xml:space="preserve">台 </w:t>
      </w:r>
      <w:r>
        <w:rPr>
          <w:rFonts w:ascii="Times New Roman" w:eastAsia="Times New Roman"/>
        </w:rPr>
        <w:t>S9-400/10</w:t>
      </w:r>
      <w:r>
        <w:t>，两台变压</w:t>
      </w:r>
      <w:r>
        <w:rPr>
          <w:spacing w:val="-12"/>
        </w:rPr>
        <w:t xml:space="preserve">器降压后 </w:t>
      </w:r>
      <w:r>
        <w:rPr>
          <w:rFonts w:ascii="Times New Roman" w:eastAsia="Times New Roman"/>
        </w:rPr>
        <w:t xml:space="preserve">380V </w:t>
      </w:r>
      <w:r>
        <w:rPr>
          <w:spacing w:val="-3"/>
        </w:rPr>
        <w:t xml:space="preserve">进入地面各用电地点，两台进入井下变压器降压后 </w:t>
      </w:r>
      <w:r>
        <w:rPr>
          <w:rFonts w:ascii="Times New Roman" w:eastAsia="Times New Roman"/>
        </w:rPr>
        <w:t xml:space="preserve">660V </w:t>
      </w:r>
      <w:r>
        <w:t>入井进</w:t>
      </w:r>
      <w:r>
        <w:rPr>
          <w:spacing w:val="-17"/>
        </w:rPr>
        <w:t>入各用电地点。当一回线路发生故障时，另一回线路完全能满足矿井供电的需要。</w:t>
      </w:r>
    </w:p>
    <w:p>
      <w:pPr>
        <w:pStyle w:val="6"/>
        <w:spacing w:before="2"/>
        <w:ind w:left="1520"/>
      </w:pPr>
      <w:r>
        <w:t>矿井供电条件完全能满足矿井改扩建的需要。</w:t>
      </w:r>
    </w:p>
    <w:p>
      <w:pPr>
        <w:pStyle w:val="6"/>
        <w:spacing w:before="161"/>
        <w:ind w:left="1520"/>
      </w:pPr>
      <w:r>
        <w:rPr>
          <w:rFonts w:ascii="Times New Roman" w:eastAsia="Times New Roman"/>
        </w:rPr>
        <w:t>3</w:t>
      </w:r>
      <w:r>
        <w:t>、供水</w:t>
      </w:r>
    </w:p>
    <w:p>
      <w:pPr>
        <w:pStyle w:val="6"/>
        <w:spacing w:before="160" w:line="364" w:lineRule="auto"/>
        <w:ind w:left="1040" w:right="1075" w:firstLine="480"/>
      </w:pPr>
      <w:r>
        <w:rPr>
          <w:spacing w:val="-5"/>
        </w:rPr>
        <w:t>生产用水由本矿井涌水经过矿井水净化车间处理，供给矿井生产、生活、消</w:t>
      </w:r>
      <w:r>
        <w:t>防用水。生活饮用水及食堂用水为外部购置达标饮用水。</w:t>
      </w:r>
    </w:p>
    <w:p>
      <w:pPr>
        <w:pStyle w:val="4"/>
        <w:numPr>
          <w:ilvl w:val="2"/>
          <w:numId w:val="16"/>
        </w:numPr>
        <w:tabs>
          <w:tab w:val="left" w:pos="1879"/>
          <w:tab w:val="left" w:pos="1880"/>
        </w:tabs>
        <w:spacing w:before="53" w:after="0" w:line="240" w:lineRule="auto"/>
        <w:ind w:left="1880" w:right="0" w:hanging="840"/>
        <w:jc w:val="left"/>
      </w:pPr>
      <w:r>
        <w:t>项目组成</w:t>
      </w:r>
    </w:p>
    <w:p>
      <w:pPr>
        <w:spacing w:after="0" w:line="240" w:lineRule="auto"/>
        <w:jc w:val="left"/>
        <w:sectPr>
          <w:pgSz w:w="11910" w:h="16840"/>
          <w:pgMar w:top="1080" w:right="720" w:bottom="1160" w:left="760" w:header="0" w:footer="89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45" name="组合 19"/>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44" name="直线 20"/>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19"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7toIu1AAAAAMBAAAPAAAAAAAAAAEAIAAAACIAAABkcnMvZG93bnJldi54bWxQ&#10;SwECFAAUAAAACACHTuJAXQsu+DQCAAC2BAAADgAAAAAAAAABACAAAAAjAQAAZHJzL2Uyb0RvYy54&#10;bWxQSwUGAAAAAAYABgBZAQAAyQUAAAAA&#10;">
                <o:lock v:ext="edit" aspectratio="f"/>
                <v:line id="直线 20" o:spid="_x0000_s1026" o:spt="20" style="position:absolute;left:0;top:7;height:0;width:8306;" filled="f" stroked="t" coordsize="21600,21600" o:gfxdata="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Z7ka7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6"/>
        <w:spacing w:before="2"/>
        <w:rPr>
          <w:b/>
          <w:sz w:val="26"/>
        </w:rPr>
      </w:pPr>
    </w:p>
    <w:p>
      <w:pPr>
        <w:pStyle w:val="6"/>
        <w:spacing w:before="67" w:line="364" w:lineRule="auto"/>
        <w:ind w:left="1040" w:right="985" w:firstLine="480"/>
      </w:pPr>
      <w:r>
        <w:rPr>
          <w:spacing w:val="-1"/>
        </w:rPr>
        <w:t>本矿井改扩建工程主要内容为矿井的开采系统、通风系统、地面供电系统、</w:t>
      </w:r>
      <w:r>
        <w:rPr>
          <w:spacing w:val="-9"/>
        </w:rPr>
        <w:t>给排水系统、地面消防系统等各系统的改造和完善，增加了相应的地面建、构筑</w:t>
      </w:r>
      <w:r>
        <w:rPr>
          <w:spacing w:val="-14"/>
        </w:rPr>
        <w:t xml:space="preserve">物。本项目组成详见表 </w:t>
      </w:r>
      <w:r>
        <w:rPr>
          <w:rFonts w:ascii="Times New Roman" w:eastAsia="Times New Roman"/>
        </w:rPr>
        <w:t>3.2-1</w:t>
      </w:r>
      <w:r>
        <w:t>。</w:t>
      </w:r>
    </w:p>
    <w:p>
      <w:pPr>
        <w:pStyle w:val="5"/>
        <w:tabs>
          <w:tab w:val="left" w:pos="3192"/>
        </w:tabs>
        <w:spacing w:before="2"/>
        <w:ind w:left="2153"/>
      </w:pPr>
      <w:r>
        <w:t>表</w:t>
      </w:r>
      <w:r>
        <w:rPr>
          <w:spacing w:val="-62"/>
        </w:rPr>
        <w:t xml:space="preserve"> </w:t>
      </w:r>
      <w:r>
        <w:rPr>
          <w:rFonts w:ascii="Times New Roman" w:eastAsia="Times New Roman"/>
        </w:rPr>
        <w:t>3.2-1</w:t>
      </w:r>
      <w:r>
        <w:rPr>
          <w:rFonts w:ascii="Times New Roman" w:eastAsia="Times New Roman"/>
        </w:rPr>
        <w:tab/>
      </w:r>
      <w:r>
        <w:t>双鸭山大顺矿业有限公司改扩</w:t>
      </w:r>
      <w:r>
        <w:rPr>
          <w:spacing w:val="-3"/>
        </w:rPr>
        <w:t>建</w:t>
      </w:r>
      <w:r>
        <w:t>项目组成一览表</w:t>
      </w:r>
    </w:p>
    <w:p>
      <w:pPr>
        <w:pStyle w:val="6"/>
        <w:spacing w:before="3"/>
        <w:rPr>
          <w:b/>
          <w:sz w:val="6"/>
        </w:rPr>
      </w:pPr>
    </w:p>
    <w:tbl>
      <w:tblPr>
        <w:tblStyle w:val="10"/>
        <w:tblW w:w="0" w:type="auto"/>
        <w:tblInd w:w="5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8"/>
        <w:gridCol w:w="408"/>
        <w:gridCol w:w="472"/>
        <w:gridCol w:w="1333"/>
        <w:gridCol w:w="5652"/>
        <w:gridCol w:w="9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408" w:type="dxa"/>
          </w:tcPr>
          <w:p>
            <w:pPr>
              <w:pStyle w:val="14"/>
              <w:spacing w:before="21" w:line="278" w:lineRule="auto"/>
              <w:ind w:left="108" w:right="78"/>
              <w:jc w:val="both"/>
              <w:rPr>
                <w:sz w:val="21"/>
              </w:rPr>
            </w:pPr>
            <w:r>
              <w:rPr>
                <w:sz w:val="21"/>
              </w:rPr>
              <w:t>工业广</w:t>
            </w:r>
          </w:p>
          <w:p>
            <w:pPr>
              <w:pStyle w:val="14"/>
              <w:spacing w:line="269" w:lineRule="exact"/>
              <w:ind w:left="108"/>
              <w:jc w:val="left"/>
              <w:rPr>
                <w:sz w:val="21"/>
              </w:rPr>
            </w:pPr>
            <w:r>
              <w:rPr>
                <w:w w:val="99"/>
                <w:sz w:val="21"/>
              </w:rPr>
              <w:t>场</w:t>
            </w:r>
          </w:p>
        </w:tc>
        <w:tc>
          <w:tcPr>
            <w:tcW w:w="880" w:type="dxa"/>
            <w:gridSpan w:val="2"/>
          </w:tcPr>
          <w:p>
            <w:pPr>
              <w:pStyle w:val="14"/>
              <w:jc w:val="left"/>
              <w:rPr>
                <w:b/>
                <w:sz w:val="26"/>
              </w:rPr>
            </w:pPr>
          </w:p>
          <w:p>
            <w:pPr>
              <w:pStyle w:val="14"/>
              <w:spacing w:line="278" w:lineRule="auto"/>
              <w:ind w:left="230" w:right="219"/>
              <w:jc w:val="left"/>
              <w:rPr>
                <w:sz w:val="21"/>
              </w:rPr>
            </w:pPr>
            <w:r>
              <w:rPr>
                <w:sz w:val="21"/>
              </w:rPr>
              <w:t>工程类别</w:t>
            </w:r>
          </w:p>
        </w:tc>
        <w:tc>
          <w:tcPr>
            <w:tcW w:w="1333" w:type="dxa"/>
          </w:tcPr>
          <w:p>
            <w:pPr>
              <w:pStyle w:val="14"/>
              <w:jc w:val="left"/>
              <w:rPr>
                <w:b/>
                <w:sz w:val="20"/>
              </w:rPr>
            </w:pPr>
          </w:p>
          <w:p>
            <w:pPr>
              <w:pStyle w:val="14"/>
              <w:spacing w:before="2"/>
              <w:jc w:val="left"/>
              <w:rPr>
                <w:b/>
                <w:sz w:val="18"/>
              </w:rPr>
            </w:pPr>
          </w:p>
          <w:p>
            <w:pPr>
              <w:pStyle w:val="14"/>
              <w:ind w:left="224" w:right="218"/>
              <w:rPr>
                <w:sz w:val="21"/>
              </w:rPr>
            </w:pPr>
            <w:r>
              <w:rPr>
                <w:sz w:val="21"/>
              </w:rPr>
              <w:t>单项工程</w:t>
            </w:r>
          </w:p>
        </w:tc>
        <w:tc>
          <w:tcPr>
            <w:tcW w:w="5652" w:type="dxa"/>
          </w:tcPr>
          <w:p>
            <w:pPr>
              <w:pStyle w:val="14"/>
              <w:jc w:val="left"/>
              <w:rPr>
                <w:b/>
                <w:sz w:val="20"/>
              </w:rPr>
            </w:pPr>
          </w:p>
          <w:p>
            <w:pPr>
              <w:pStyle w:val="14"/>
              <w:spacing w:before="2"/>
              <w:jc w:val="left"/>
              <w:rPr>
                <w:b/>
                <w:sz w:val="18"/>
              </w:rPr>
            </w:pPr>
          </w:p>
          <w:p>
            <w:pPr>
              <w:pStyle w:val="14"/>
              <w:ind w:left="2383" w:right="2378"/>
              <w:rPr>
                <w:sz w:val="21"/>
              </w:rPr>
            </w:pPr>
            <w:r>
              <w:rPr>
                <w:sz w:val="21"/>
              </w:rPr>
              <w:t>项目概况</w:t>
            </w:r>
          </w:p>
        </w:tc>
        <w:tc>
          <w:tcPr>
            <w:tcW w:w="951" w:type="dxa"/>
          </w:tcPr>
          <w:p>
            <w:pPr>
              <w:pStyle w:val="14"/>
              <w:jc w:val="left"/>
              <w:rPr>
                <w:b/>
                <w:sz w:val="20"/>
              </w:rPr>
            </w:pPr>
          </w:p>
          <w:p>
            <w:pPr>
              <w:pStyle w:val="14"/>
              <w:spacing w:before="2"/>
              <w:jc w:val="left"/>
              <w:rPr>
                <w:b/>
                <w:sz w:val="18"/>
              </w:rPr>
            </w:pPr>
          </w:p>
          <w:p>
            <w:pPr>
              <w:pStyle w:val="14"/>
              <w:ind w:left="243" w:right="238"/>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0" w:hRule="atLeast"/>
        </w:trPr>
        <w:tc>
          <w:tcPr>
            <w:tcW w:w="408"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3"/>
              <w:jc w:val="left"/>
              <w:rPr>
                <w:b/>
                <w:sz w:val="27"/>
              </w:rPr>
            </w:pPr>
          </w:p>
          <w:p>
            <w:pPr>
              <w:pStyle w:val="14"/>
              <w:spacing w:line="266" w:lineRule="auto"/>
              <w:ind w:left="108" w:right="78"/>
              <w:jc w:val="both"/>
              <w:rPr>
                <w:sz w:val="21"/>
              </w:rPr>
            </w:pPr>
            <w:r>
              <w:rPr>
                <w:sz w:val="21"/>
              </w:rPr>
              <w:t>工业广场</w:t>
            </w:r>
          </w:p>
        </w:tc>
        <w:tc>
          <w:tcPr>
            <w:tcW w:w="408"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6"/>
              <w:jc w:val="left"/>
              <w:rPr>
                <w:b/>
                <w:sz w:val="25"/>
              </w:rPr>
            </w:pPr>
          </w:p>
          <w:p>
            <w:pPr>
              <w:pStyle w:val="14"/>
              <w:spacing w:line="266" w:lineRule="auto"/>
              <w:ind w:left="108" w:right="78"/>
              <w:jc w:val="both"/>
              <w:rPr>
                <w:sz w:val="21"/>
              </w:rPr>
            </w:pPr>
            <w:r>
              <w:rPr>
                <w:sz w:val="21"/>
              </w:rPr>
              <w:t>主体工程</w:t>
            </w:r>
          </w:p>
        </w:tc>
        <w:tc>
          <w:tcPr>
            <w:tcW w:w="472"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6"/>
              <w:jc w:val="left"/>
              <w:rPr>
                <w:b/>
                <w:sz w:val="25"/>
              </w:rPr>
            </w:pPr>
          </w:p>
          <w:p>
            <w:pPr>
              <w:pStyle w:val="14"/>
              <w:spacing w:line="266" w:lineRule="auto"/>
              <w:ind w:left="129" w:right="121"/>
              <w:jc w:val="both"/>
              <w:rPr>
                <w:sz w:val="21"/>
              </w:rPr>
            </w:pPr>
            <w:r>
              <w:rPr>
                <w:sz w:val="21"/>
              </w:rPr>
              <w:t>矿井工程</w:t>
            </w:r>
          </w:p>
        </w:tc>
        <w:tc>
          <w:tcPr>
            <w:tcW w:w="1333" w:type="dxa"/>
          </w:tcPr>
          <w:p>
            <w:pPr>
              <w:pStyle w:val="14"/>
              <w:jc w:val="left"/>
              <w:rPr>
                <w:b/>
                <w:sz w:val="20"/>
              </w:rPr>
            </w:pPr>
          </w:p>
          <w:p>
            <w:pPr>
              <w:pStyle w:val="14"/>
              <w:jc w:val="left"/>
              <w:rPr>
                <w:b/>
                <w:sz w:val="20"/>
              </w:rPr>
            </w:pPr>
          </w:p>
          <w:p>
            <w:pPr>
              <w:pStyle w:val="14"/>
              <w:spacing w:before="10"/>
              <w:jc w:val="left"/>
              <w:rPr>
                <w:b/>
                <w:sz w:val="20"/>
              </w:rPr>
            </w:pPr>
          </w:p>
          <w:p>
            <w:pPr>
              <w:pStyle w:val="14"/>
              <w:ind w:left="206" w:right="218"/>
              <w:rPr>
                <w:sz w:val="21"/>
              </w:rPr>
            </w:pPr>
            <w:r>
              <w:rPr>
                <w:sz w:val="21"/>
              </w:rPr>
              <w:t>主井</w:t>
            </w:r>
          </w:p>
        </w:tc>
        <w:tc>
          <w:tcPr>
            <w:tcW w:w="5652" w:type="dxa"/>
          </w:tcPr>
          <w:p>
            <w:pPr>
              <w:pStyle w:val="14"/>
              <w:spacing w:line="300" w:lineRule="exact"/>
              <w:ind w:left="108" w:right="-15"/>
              <w:jc w:val="left"/>
              <w:rPr>
                <w:sz w:val="21"/>
              </w:rPr>
            </w:pPr>
            <w:r>
              <w:rPr>
                <w:sz w:val="21"/>
              </w:rPr>
              <w:t>主井为新开凿的斜井，井口标高为</w:t>
            </w:r>
            <w:r>
              <w:rPr>
                <w:rFonts w:ascii="Times New Roman" w:hAnsi="Times New Roman" w:eastAsia="Times New Roman"/>
                <w:sz w:val="21"/>
              </w:rPr>
              <w:t>+312.0m</w:t>
            </w:r>
            <w:r>
              <w:rPr>
                <w:spacing w:val="-12"/>
                <w:sz w:val="21"/>
              </w:rPr>
              <w:t xml:space="preserve">，倾角为 </w:t>
            </w:r>
            <w:r>
              <w:rPr>
                <w:rFonts w:ascii="Times New Roman" w:hAnsi="Times New Roman" w:eastAsia="Times New Roman"/>
                <w:sz w:val="21"/>
              </w:rPr>
              <w:t>22.5°</w:t>
            </w:r>
            <w:r>
              <w:rPr>
                <w:sz w:val="21"/>
              </w:rPr>
              <w:t xml:space="preserve">， </w:t>
            </w:r>
            <w:r>
              <w:rPr>
                <w:spacing w:val="-10"/>
                <w:sz w:val="21"/>
              </w:rPr>
              <w:t xml:space="preserve">井筒斜长为 </w:t>
            </w:r>
            <w:r>
              <w:rPr>
                <w:rFonts w:ascii="Times New Roman" w:hAnsi="Times New Roman" w:eastAsia="Times New Roman"/>
                <w:spacing w:val="-5"/>
                <w:sz w:val="21"/>
              </w:rPr>
              <w:t>965m</w:t>
            </w:r>
            <w:r>
              <w:rPr>
                <w:spacing w:val="-9"/>
                <w:sz w:val="21"/>
              </w:rPr>
              <w:t xml:space="preserve">，井筒净断面为 </w:t>
            </w:r>
            <w:r>
              <w:rPr>
                <w:rFonts w:ascii="Times New Roman" w:hAnsi="Times New Roman" w:eastAsia="Times New Roman"/>
                <w:spacing w:val="-4"/>
                <w:sz w:val="21"/>
              </w:rPr>
              <w:t>6.4m</w:t>
            </w:r>
            <w:r>
              <w:rPr>
                <w:rFonts w:ascii="Times New Roman" w:hAnsi="Times New Roman" w:eastAsia="Times New Roman"/>
                <w:spacing w:val="-4"/>
                <w:position w:val="7"/>
                <w:sz w:val="13"/>
              </w:rPr>
              <w:t>2</w:t>
            </w:r>
            <w:r>
              <w:rPr>
                <w:spacing w:val="-2"/>
                <w:sz w:val="21"/>
              </w:rPr>
              <w:t>，主斜井采用带式输</w:t>
            </w:r>
            <w:r>
              <w:rPr>
                <w:spacing w:val="-13"/>
                <w:sz w:val="21"/>
              </w:rPr>
              <w:t xml:space="preserve">送机提升方式，安装 </w:t>
            </w:r>
            <w:r>
              <w:rPr>
                <w:rFonts w:ascii="Times New Roman" w:hAnsi="Times New Roman" w:eastAsia="Times New Roman"/>
                <w:sz w:val="21"/>
              </w:rPr>
              <w:t>ST/S2000</w:t>
            </w:r>
            <w:r>
              <w:rPr>
                <w:rFonts w:ascii="Times New Roman" w:hAnsi="Times New Roman" w:eastAsia="Times New Roman"/>
                <w:spacing w:val="-4"/>
                <w:sz w:val="21"/>
              </w:rPr>
              <w:t xml:space="preserve"> </w:t>
            </w:r>
            <w:r>
              <w:rPr>
                <w:spacing w:val="-12"/>
                <w:sz w:val="21"/>
              </w:rPr>
              <w:t xml:space="preserve">型带式输送机，带宽 </w:t>
            </w:r>
            <w:r>
              <w:rPr>
                <w:rFonts w:ascii="Times New Roman" w:hAnsi="Times New Roman" w:eastAsia="Times New Roman"/>
                <w:sz w:val="21"/>
              </w:rPr>
              <w:t>800mm</w:t>
            </w:r>
            <w:r>
              <w:rPr>
                <w:sz w:val="21"/>
              </w:rPr>
              <w:t xml:space="preserve">， </w:t>
            </w:r>
            <w:r>
              <w:rPr>
                <w:spacing w:val="-17"/>
                <w:sz w:val="21"/>
              </w:rPr>
              <w:t xml:space="preserve">带速 </w:t>
            </w:r>
            <w:r>
              <w:rPr>
                <w:rFonts w:ascii="Times New Roman" w:hAnsi="Times New Roman" w:eastAsia="Times New Roman"/>
                <w:sz w:val="21"/>
              </w:rPr>
              <w:t>2.0m/s</w:t>
            </w:r>
            <w:r>
              <w:rPr>
                <w:spacing w:val="-4"/>
                <w:sz w:val="21"/>
              </w:rPr>
              <w:t xml:space="preserve">，带式输送机运输能力为 </w:t>
            </w:r>
            <w:r>
              <w:rPr>
                <w:rFonts w:ascii="Times New Roman" w:hAnsi="Times New Roman" w:eastAsia="Times New Roman"/>
                <w:sz w:val="21"/>
              </w:rPr>
              <w:t>150t/h</w:t>
            </w:r>
            <w:r>
              <w:rPr>
                <w:sz w:val="21"/>
              </w:rPr>
              <w:t>，配套电动机选</w:t>
            </w:r>
            <w:r>
              <w:rPr>
                <w:spacing w:val="-10"/>
                <w:sz w:val="21"/>
              </w:rPr>
              <w:t xml:space="preserve">用防爆变频 </w:t>
            </w:r>
            <w:r>
              <w:rPr>
                <w:rFonts w:ascii="Times New Roman" w:hAnsi="Times New Roman" w:eastAsia="Times New Roman"/>
                <w:sz w:val="21"/>
              </w:rPr>
              <w:t>4</w:t>
            </w:r>
            <w:r>
              <w:rPr>
                <w:rFonts w:ascii="Times New Roman" w:hAnsi="Times New Roman" w:eastAsia="Times New Roman"/>
                <w:spacing w:val="-1"/>
                <w:sz w:val="21"/>
              </w:rPr>
              <w:t xml:space="preserve"> </w:t>
            </w:r>
            <w:r>
              <w:rPr>
                <w:spacing w:val="-13"/>
                <w:sz w:val="21"/>
              </w:rPr>
              <w:t xml:space="preserve">级，电动机功率为 </w:t>
            </w:r>
            <w:r>
              <w:rPr>
                <w:rFonts w:ascii="Times New Roman" w:hAnsi="Times New Roman" w:eastAsia="Times New Roman"/>
                <w:spacing w:val="-5"/>
                <w:sz w:val="21"/>
              </w:rPr>
              <w:t>2×250kW</w:t>
            </w:r>
            <w:r>
              <w:rPr>
                <w:spacing w:val="-2"/>
                <w:sz w:val="21"/>
              </w:rPr>
              <w:t>，承担原煤提升的任务。</w:t>
            </w:r>
          </w:p>
        </w:tc>
        <w:tc>
          <w:tcPr>
            <w:tcW w:w="951" w:type="dxa"/>
          </w:tcPr>
          <w:p>
            <w:pPr>
              <w:pStyle w:val="14"/>
              <w:jc w:val="left"/>
              <w:rPr>
                <w:b/>
                <w:sz w:val="20"/>
              </w:rPr>
            </w:pPr>
          </w:p>
          <w:p>
            <w:pPr>
              <w:pStyle w:val="14"/>
              <w:jc w:val="left"/>
              <w:rPr>
                <w:b/>
                <w:sz w:val="20"/>
              </w:rPr>
            </w:pPr>
          </w:p>
          <w:p>
            <w:pPr>
              <w:pStyle w:val="14"/>
              <w:spacing w:before="10"/>
              <w:jc w:val="left"/>
              <w:rPr>
                <w:b/>
                <w:sz w:val="20"/>
              </w:rPr>
            </w:pPr>
          </w:p>
          <w:p>
            <w:pPr>
              <w:pStyle w:val="14"/>
              <w:ind w:left="243" w:right="238"/>
              <w:rPr>
                <w:sz w:val="21"/>
              </w:rPr>
            </w:pPr>
            <w:r>
              <w:rPr>
                <w:sz w:val="21"/>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0"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472" w:type="dxa"/>
            <w:vMerge w:val="continue"/>
            <w:tcBorders>
              <w:top w:val="nil"/>
            </w:tcBorders>
          </w:tcPr>
          <w:p>
            <w:pPr>
              <w:rPr>
                <w:sz w:val="2"/>
                <w:szCs w:val="2"/>
              </w:rPr>
            </w:pPr>
          </w:p>
        </w:tc>
        <w:tc>
          <w:tcPr>
            <w:tcW w:w="1333" w:type="dxa"/>
          </w:tcPr>
          <w:p>
            <w:pPr>
              <w:pStyle w:val="14"/>
              <w:jc w:val="left"/>
              <w:rPr>
                <w:b/>
                <w:sz w:val="20"/>
              </w:rPr>
            </w:pPr>
          </w:p>
          <w:p>
            <w:pPr>
              <w:pStyle w:val="14"/>
              <w:jc w:val="left"/>
              <w:rPr>
                <w:b/>
                <w:sz w:val="20"/>
              </w:rPr>
            </w:pPr>
          </w:p>
          <w:p>
            <w:pPr>
              <w:pStyle w:val="14"/>
              <w:spacing w:before="12"/>
              <w:jc w:val="left"/>
              <w:rPr>
                <w:b/>
                <w:sz w:val="20"/>
              </w:rPr>
            </w:pPr>
          </w:p>
          <w:p>
            <w:pPr>
              <w:pStyle w:val="14"/>
              <w:ind w:left="206" w:right="218"/>
              <w:rPr>
                <w:sz w:val="21"/>
              </w:rPr>
            </w:pPr>
            <w:r>
              <w:rPr>
                <w:sz w:val="21"/>
              </w:rPr>
              <w:t>副井</w:t>
            </w:r>
          </w:p>
        </w:tc>
        <w:tc>
          <w:tcPr>
            <w:tcW w:w="5652" w:type="dxa"/>
          </w:tcPr>
          <w:p>
            <w:pPr>
              <w:pStyle w:val="14"/>
              <w:spacing w:line="300" w:lineRule="exact"/>
              <w:ind w:left="108" w:right="-15"/>
              <w:jc w:val="left"/>
              <w:rPr>
                <w:sz w:val="21"/>
              </w:rPr>
            </w:pPr>
            <w:r>
              <w:rPr>
                <w:sz w:val="21"/>
              </w:rPr>
              <w:t>用原有主提升斜井改造为副井，担负全矿井的人员、材料、</w:t>
            </w:r>
            <w:r>
              <w:rPr>
                <w:spacing w:val="-5"/>
                <w:sz w:val="21"/>
              </w:rPr>
              <w:t>设备、矸石升降任务，兼做矿井进风和矿井的安全出口。对</w:t>
            </w:r>
            <w:r>
              <w:rPr>
                <w:spacing w:val="-7"/>
                <w:sz w:val="21"/>
              </w:rPr>
              <w:t>副井井筒进行开帮改造，并安装一套架空乘人装置，担负矿</w:t>
            </w:r>
            <w:r>
              <w:rPr>
                <w:spacing w:val="-3"/>
                <w:sz w:val="21"/>
              </w:rPr>
              <w:t xml:space="preserve">井人员升降任务。井筒断面为半圆拱形，井筒倾角为 </w:t>
            </w:r>
            <w:r>
              <w:rPr>
                <w:rFonts w:ascii="Times New Roman" w:hAnsi="Times New Roman" w:eastAsia="Times New Roman"/>
                <w:sz w:val="21"/>
              </w:rPr>
              <w:t>20°</w:t>
            </w:r>
            <w:r>
              <w:rPr>
                <w:sz w:val="21"/>
              </w:rPr>
              <w:t xml:space="preserve">， </w:t>
            </w:r>
            <w:r>
              <w:rPr>
                <w:spacing w:val="-20"/>
                <w:sz w:val="21"/>
              </w:rPr>
              <w:t xml:space="preserve">斜长 </w:t>
            </w:r>
            <w:r>
              <w:rPr>
                <w:rFonts w:ascii="Times New Roman" w:hAnsi="Times New Roman" w:eastAsia="Times New Roman"/>
                <w:spacing w:val="-14"/>
                <w:sz w:val="21"/>
              </w:rPr>
              <w:t>940m</w:t>
            </w:r>
            <w:r>
              <w:rPr>
                <w:spacing w:val="-18"/>
                <w:sz w:val="21"/>
              </w:rPr>
              <w:t xml:space="preserve">，铺设 </w:t>
            </w:r>
            <w:r>
              <w:rPr>
                <w:rFonts w:ascii="Times New Roman" w:hAnsi="Times New Roman" w:eastAsia="Times New Roman"/>
                <w:sz w:val="21"/>
              </w:rPr>
              <w:t>30kg/m</w:t>
            </w:r>
            <w:r>
              <w:rPr>
                <w:rFonts w:ascii="Times New Roman" w:hAnsi="Times New Roman" w:eastAsia="Times New Roman"/>
                <w:spacing w:val="-4"/>
                <w:sz w:val="21"/>
              </w:rPr>
              <w:t xml:space="preserve"> </w:t>
            </w:r>
            <w:r>
              <w:rPr>
                <w:spacing w:val="-9"/>
                <w:sz w:val="21"/>
              </w:rPr>
              <w:t>钢轨。表土段采用混凝土发碹支护， 基岩段采用锚喷支护。</w:t>
            </w:r>
          </w:p>
        </w:tc>
        <w:tc>
          <w:tcPr>
            <w:tcW w:w="951" w:type="dxa"/>
          </w:tcPr>
          <w:p>
            <w:pPr>
              <w:pStyle w:val="14"/>
              <w:spacing w:before="1"/>
              <w:jc w:val="left"/>
              <w:rPr>
                <w:b/>
                <w:sz w:val="23"/>
              </w:rPr>
            </w:pPr>
          </w:p>
          <w:p>
            <w:pPr>
              <w:pStyle w:val="14"/>
              <w:spacing w:line="278" w:lineRule="auto"/>
              <w:ind w:left="158" w:right="151"/>
              <w:jc w:val="both"/>
              <w:rPr>
                <w:sz w:val="21"/>
              </w:rPr>
            </w:pPr>
            <w:r>
              <w:rPr>
                <w:sz w:val="21"/>
              </w:rPr>
              <w:t>依托原大顺煤矿主井并改造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472" w:type="dxa"/>
            <w:vMerge w:val="continue"/>
            <w:tcBorders>
              <w:top w:val="nil"/>
            </w:tcBorders>
          </w:tcPr>
          <w:p>
            <w:pPr>
              <w:rPr>
                <w:sz w:val="2"/>
                <w:szCs w:val="2"/>
              </w:rPr>
            </w:pPr>
          </w:p>
        </w:tc>
        <w:tc>
          <w:tcPr>
            <w:tcW w:w="1333" w:type="dxa"/>
          </w:tcPr>
          <w:p>
            <w:pPr>
              <w:pStyle w:val="14"/>
              <w:jc w:val="left"/>
              <w:rPr>
                <w:b/>
                <w:sz w:val="20"/>
              </w:rPr>
            </w:pPr>
          </w:p>
          <w:p>
            <w:pPr>
              <w:pStyle w:val="14"/>
              <w:spacing w:before="5"/>
              <w:jc w:val="left"/>
              <w:rPr>
                <w:b/>
                <w:sz w:val="19"/>
              </w:rPr>
            </w:pPr>
          </w:p>
          <w:p>
            <w:pPr>
              <w:pStyle w:val="14"/>
              <w:ind w:left="206" w:right="218"/>
              <w:rPr>
                <w:sz w:val="21"/>
              </w:rPr>
            </w:pPr>
            <w:r>
              <w:rPr>
                <w:sz w:val="21"/>
              </w:rPr>
              <w:t>风井</w:t>
            </w:r>
          </w:p>
        </w:tc>
        <w:tc>
          <w:tcPr>
            <w:tcW w:w="5652" w:type="dxa"/>
          </w:tcPr>
          <w:p>
            <w:pPr>
              <w:pStyle w:val="14"/>
              <w:spacing w:before="7"/>
              <w:jc w:val="left"/>
              <w:rPr>
                <w:b/>
                <w:sz w:val="27"/>
              </w:rPr>
            </w:pPr>
          </w:p>
          <w:p>
            <w:pPr>
              <w:pStyle w:val="14"/>
              <w:spacing w:line="266" w:lineRule="auto"/>
              <w:ind w:left="108" w:right="98"/>
              <w:jc w:val="left"/>
              <w:rPr>
                <w:sz w:val="21"/>
              </w:rPr>
            </w:pPr>
            <w:r>
              <w:rPr>
                <w:spacing w:val="-2"/>
                <w:w w:val="95"/>
                <w:sz w:val="21"/>
              </w:rPr>
              <w:t xml:space="preserve">矿井原有的副井改造后作为改扩建后的风井，承担矿井前期 </w:t>
            </w:r>
            <w:r>
              <w:rPr>
                <w:spacing w:val="-2"/>
                <w:sz w:val="21"/>
              </w:rPr>
              <w:t>的回风任务</w:t>
            </w:r>
          </w:p>
        </w:tc>
        <w:tc>
          <w:tcPr>
            <w:tcW w:w="951" w:type="dxa"/>
          </w:tcPr>
          <w:p>
            <w:pPr>
              <w:pStyle w:val="14"/>
              <w:spacing w:before="20" w:line="278" w:lineRule="auto"/>
              <w:ind w:left="158" w:right="151"/>
              <w:jc w:val="both"/>
              <w:rPr>
                <w:sz w:val="21"/>
              </w:rPr>
            </w:pPr>
            <w:r>
              <w:rPr>
                <w:spacing w:val="-6"/>
                <w:sz w:val="21"/>
              </w:rPr>
              <w:t>依托原大顺煤</w:t>
            </w:r>
            <w:r>
              <w:rPr>
                <w:spacing w:val="-6"/>
                <w:w w:val="95"/>
                <w:sz w:val="21"/>
              </w:rPr>
              <w:t>矿副井</w:t>
            </w:r>
          </w:p>
          <w:p>
            <w:pPr>
              <w:pStyle w:val="14"/>
              <w:spacing w:line="269" w:lineRule="exact"/>
              <w:ind w:left="158"/>
              <w:jc w:val="left"/>
              <w:rPr>
                <w:sz w:val="21"/>
              </w:rPr>
            </w:pPr>
            <w:r>
              <w:rPr>
                <w:w w:val="95"/>
                <w:sz w:val="21"/>
              </w:rPr>
              <w:t>并改造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 w:hRule="atLeast"/>
        </w:trPr>
        <w:tc>
          <w:tcPr>
            <w:tcW w:w="408" w:type="dxa"/>
            <w:vMerge w:val="continue"/>
            <w:tcBorders>
              <w:top w:val="nil"/>
            </w:tcBorders>
          </w:tcPr>
          <w:p>
            <w:pPr>
              <w:rPr>
                <w:sz w:val="2"/>
                <w:szCs w:val="2"/>
              </w:rPr>
            </w:pPr>
          </w:p>
        </w:tc>
        <w:tc>
          <w:tcPr>
            <w:tcW w:w="408" w:type="dxa"/>
            <w:vMerge w:val="restart"/>
          </w:tcPr>
          <w:p>
            <w:pPr>
              <w:pStyle w:val="14"/>
              <w:jc w:val="left"/>
              <w:rPr>
                <w:b/>
                <w:sz w:val="20"/>
              </w:rPr>
            </w:pPr>
          </w:p>
          <w:p>
            <w:pPr>
              <w:pStyle w:val="14"/>
              <w:spacing w:before="9"/>
              <w:jc w:val="left"/>
              <w:rPr>
                <w:b/>
                <w:sz w:val="25"/>
              </w:rPr>
            </w:pPr>
          </w:p>
          <w:p>
            <w:pPr>
              <w:pStyle w:val="14"/>
              <w:spacing w:line="266" w:lineRule="auto"/>
              <w:ind w:left="108" w:right="78"/>
              <w:jc w:val="both"/>
              <w:rPr>
                <w:sz w:val="21"/>
              </w:rPr>
            </w:pPr>
            <w:r>
              <w:rPr>
                <w:sz w:val="21"/>
              </w:rPr>
              <w:t>辅助生产系统</w:t>
            </w:r>
          </w:p>
        </w:tc>
        <w:tc>
          <w:tcPr>
            <w:tcW w:w="1805" w:type="dxa"/>
            <w:gridSpan w:val="2"/>
          </w:tcPr>
          <w:p>
            <w:pPr>
              <w:pStyle w:val="14"/>
              <w:spacing w:before="10"/>
              <w:jc w:val="left"/>
              <w:rPr>
                <w:b/>
                <w:sz w:val="17"/>
              </w:rPr>
            </w:pPr>
          </w:p>
          <w:p>
            <w:pPr>
              <w:pStyle w:val="14"/>
              <w:ind w:left="271"/>
              <w:jc w:val="left"/>
              <w:rPr>
                <w:sz w:val="21"/>
              </w:rPr>
            </w:pPr>
            <w:r>
              <w:rPr>
                <w:sz w:val="21"/>
              </w:rPr>
              <w:t>矿井辅助设施</w:t>
            </w:r>
          </w:p>
        </w:tc>
        <w:tc>
          <w:tcPr>
            <w:tcW w:w="5652" w:type="dxa"/>
          </w:tcPr>
          <w:p>
            <w:pPr>
              <w:pStyle w:val="14"/>
              <w:spacing w:before="79" w:line="266" w:lineRule="auto"/>
              <w:ind w:left="108" w:right="74"/>
              <w:jc w:val="left"/>
              <w:rPr>
                <w:sz w:val="21"/>
              </w:rPr>
            </w:pPr>
            <w:r>
              <w:rPr>
                <w:w w:val="95"/>
                <w:sz w:val="21"/>
              </w:rPr>
              <w:t xml:space="preserve">辅助生产系统及配套设施包括：机修车间、坑木加工车间、 </w:t>
            </w:r>
            <w:r>
              <w:rPr>
                <w:sz w:val="21"/>
              </w:rPr>
              <w:t>压风机房、主扇房、变电所、暖风机房等。</w:t>
            </w:r>
          </w:p>
        </w:tc>
        <w:tc>
          <w:tcPr>
            <w:tcW w:w="951" w:type="dxa"/>
          </w:tcPr>
          <w:p>
            <w:pPr>
              <w:pStyle w:val="14"/>
              <w:spacing w:before="79" w:line="266" w:lineRule="auto"/>
              <w:ind w:left="264" w:right="257"/>
              <w:jc w:val="left"/>
              <w:rPr>
                <w:sz w:val="21"/>
              </w:rPr>
            </w:pPr>
            <w:r>
              <w:rPr>
                <w:sz w:val="21"/>
              </w:rPr>
              <w:t>依托原有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gridSpan w:val="2"/>
          </w:tcPr>
          <w:p>
            <w:pPr>
              <w:pStyle w:val="14"/>
              <w:spacing w:before="11"/>
              <w:jc w:val="left"/>
              <w:rPr>
                <w:b/>
                <w:sz w:val="25"/>
              </w:rPr>
            </w:pPr>
          </w:p>
          <w:p>
            <w:pPr>
              <w:pStyle w:val="14"/>
              <w:ind w:left="108"/>
              <w:jc w:val="left"/>
              <w:rPr>
                <w:sz w:val="21"/>
              </w:rPr>
            </w:pPr>
            <w:r>
              <w:rPr>
                <w:sz w:val="21"/>
              </w:rPr>
              <w:t>采暖、洗浴锅炉房</w:t>
            </w:r>
          </w:p>
        </w:tc>
        <w:tc>
          <w:tcPr>
            <w:tcW w:w="5652" w:type="dxa"/>
          </w:tcPr>
          <w:p>
            <w:pPr>
              <w:pStyle w:val="14"/>
              <w:spacing w:before="22" w:line="278" w:lineRule="auto"/>
              <w:ind w:left="108" w:right="34"/>
              <w:jc w:val="left"/>
              <w:rPr>
                <w:sz w:val="21"/>
              </w:rPr>
            </w:pPr>
            <w:r>
              <w:rPr>
                <w:sz w:val="21"/>
              </w:rPr>
              <w:t xml:space="preserve">工业广场锅炉房设置 </w:t>
            </w:r>
            <w:r>
              <w:rPr>
                <w:rFonts w:ascii="Times New Roman" w:eastAsia="Times New Roman"/>
                <w:sz w:val="21"/>
              </w:rPr>
              <w:t xml:space="preserve">1 </w:t>
            </w:r>
            <w:r>
              <w:rPr>
                <w:sz w:val="21"/>
              </w:rPr>
              <w:t xml:space="preserve">台 </w:t>
            </w:r>
            <w:r>
              <w:rPr>
                <w:rFonts w:ascii="Times New Roman" w:eastAsia="Times New Roman"/>
                <w:sz w:val="21"/>
              </w:rPr>
              <w:t xml:space="preserve">1.4MW </w:t>
            </w:r>
            <w:r>
              <w:rPr>
                <w:sz w:val="21"/>
              </w:rPr>
              <w:t>生物质热水锅炉，为工业</w:t>
            </w:r>
            <w:r>
              <w:rPr>
                <w:w w:val="95"/>
                <w:sz w:val="21"/>
              </w:rPr>
              <w:t>场地内建、构筑物的采暖及员工洗浴、干燥，配套布袋除尘</w:t>
            </w:r>
          </w:p>
          <w:p>
            <w:pPr>
              <w:pStyle w:val="14"/>
              <w:spacing w:line="269" w:lineRule="exact"/>
              <w:ind w:left="108"/>
              <w:jc w:val="left"/>
              <w:rPr>
                <w:rFonts w:ascii="Times New Roman" w:eastAsia="Times New Roman"/>
                <w:sz w:val="21"/>
              </w:rPr>
            </w:pPr>
            <w:r>
              <w:rPr>
                <w:sz w:val="21"/>
              </w:rPr>
              <w:t xml:space="preserve">器，烟囱高为 </w:t>
            </w:r>
            <w:r>
              <w:rPr>
                <w:rFonts w:ascii="Times New Roman" w:eastAsia="Times New Roman"/>
                <w:sz w:val="21"/>
              </w:rPr>
              <w:t>35m</w:t>
            </w:r>
          </w:p>
        </w:tc>
        <w:tc>
          <w:tcPr>
            <w:tcW w:w="951" w:type="dxa"/>
          </w:tcPr>
          <w:p>
            <w:pPr>
              <w:pStyle w:val="14"/>
              <w:jc w:val="left"/>
              <w:rPr>
                <w:b/>
                <w:sz w:val="26"/>
              </w:rPr>
            </w:pPr>
          </w:p>
          <w:p>
            <w:pPr>
              <w:pStyle w:val="14"/>
              <w:spacing w:before="1"/>
              <w:ind w:left="243" w:right="238"/>
              <w:rPr>
                <w:sz w:val="21"/>
              </w:rPr>
            </w:pPr>
            <w:r>
              <w:rPr>
                <w:sz w:val="21"/>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gridSpan w:val="2"/>
          </w:tcPr>
          <w:p>
            <w:pPr>
              <w:pStyle w:val="14"/>
              <w:spacing w:before="12"/>
              <w:jc w:val="left"/>
              <w:rPr>
                <w:b/>
                <w:sz w:val="14"/>
              </w:rPr>
            </w:pPr>
          </w:p>
          <w:p>
            <w:pPr>
              <w:pStyle w:val="14"/>
              <w:ind w:left="482"/>
              <w:jc w:val="left"/>
              <w:rPr>
                <w:sz w:val="21"/>
              </w:rPr>
            </w:pPr>
            <w:r>
              <w:rPr>
                <w:sz w:val="21"/>
              </w:rPr>
              <w:t>热风炉房</w:t>
            </w:r>
          </w:p>
        </w:tc>
        <w:tc>
          <w:tcPr>
            <w:tcW w:w="5652" w:type="dxa"/>
          </w:tcPr>
          <w:p>
            <w:pPr>
              <w:pStyle w:val="14"/>
              <w:spacing w:before="21"/>
              <w:ind w:left="108"/>
              <w:jc w:val="left"/>
              <w:rPr>
                <w:sz w:val="21"/>
              </w:rPr>
            </w:pPr>
            <w:r>
              <w:rPr>
                <w:sz w:val="21"/>
              </w:rPr>
              <w:t xml:space="preserve">工业广场热风炉房设置 </w:t>
            </w:r>
            <w:r>
              <w:rPr>
                <w:rFonts w:ascii="Times New Roman" w:eastAsia="Times New Roman"/>
                <w:sz w:val="21"/>
              </w:rPr>
              <w:t xml:space="preserve">1 </w:t>
            </w:r>
            <w:r>
              <w:rPr>
                <w:sz w:val="21"/>
              </w:rPr>
              <w:t xml:space="preserve">台 </w:t>
            </w:r>
            <w:r>
              <w:rPr>
                <w:rFonts w:ascii="Times New Roman" w:eastAsia="Times New Roman"/>
                <w:sz w:val="21"/>
              </w:rPr>
              <w:t xml:space="preserve">4.2MW </w:t>
            </w:r>
            <w:r>
              <w:rPr>
                <w:sz w:val="21"/>
              </w:rPr>
              <w:t>热风炉，配套布袋除尘</w:t>
            </w:r>
          </w:p>
          <w:p>
            <w:pPr>
              <w:pStyle w:val="14"/>
              <w:spacing w:before="43"/>
              <w:ind w:left="108"/>
              <w:jc w:val="left"/>
              <w:rPr>
                <w:sz w:val="21"/>
              </w:rPr>
            </w:pPr>
            <w:r>
              <w:rPr>
                <w:sz w:val="21"/>
              </w:rPr>
              <w:t xml:space="preserve">器，烟囱高为 </w:t>
            </w:r>
            <w:r>
              <w:rPr>
                <w:rFonts w:ascii="Times New Roman" w:eastAsia="Times New Roman"/>
                <w:sz w:val="21"/>
              </w:rPr>
              <w:t>35m</w:t>
            </w:r>
            <w:r>
              <w:rPr>
                <w:sz w:val="21"/>
              </w:rPr>
              <w:t>。用于井筒防冻。</w:t>
            </w:r>
          </w:p>
        </w:tc>
        <w:tc>
          <w:tcPr>
            <w:tcW w:w="951" w:type="dxa"/>
          </w:tcPr>
          <w:p>
            <w:pPr>
              <w:pStyle w:val="14"/>
              <w:spacing w:before="177"/>
              <w:ind w:left="243" w:right="238"/>
              <w:rPr>
                <w:sz w:val="21"/>
              </w:rPr>
            </w:pPr>
            <w:r>
              <w:rPr>
                <w:sz w:val="21"/>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gridSpan w:val="2"/>
          </w:tcPr>
          <w:p>
            <w:pPr>
              <w:pStyle w:val="14"/>
              <w:spacing w:before="12"/>
              <w:jc w:val="left"/>
              <w:rPr>
                <w:b/>
                <w:sz w:val="14"/>
              </w:rPr>
            </w:pPr>
          </w:p>
          <w:p>
            <w:pPr>
              <w:pStyle w:val="14"/>
              <w:ind w:left="482"/>
              <w:jc w:val="left"/>
              <w:rPr>
                <w:sz w:val="21"/>
              </w:rPr>
            </w:pPr>
            <w:r>
              <w:rPr>
                <w:sz w:val="21"/>
              </w:rPr>
              <w:t>筛分车间</w:t>
            </w:r>
          </w:p>
        </w:tc>
        <w:tc>
          <w:tcPr>
            <w:tcW w:w="5652" w:type="dxa"/>
          </w:tcPr>
          <w:p>
            <w:pPr>
              <w:pStyle w:val="14"/>
              <w:spacing w:before="21"/>
              <w:ind w:left="108"/>
              <w:jc w:val="left"/>
              <w:rPr>
                <w:sz w:val="21"/>
              </w:rPr>
            </w:pPr>
            <w:r>
              <w:rPr>
                <w:sz w:val="21"/>
              </w:rPr>
              <w:t>筛分车间设置一套布袋除尘器，经布袋除尘器收处理后由排</w:t>
            </w:r>
          </w:p>
          <w:p>
            <w:pPr>
              <w:pStyle w:val="14"/>
              <w:spacing w:before="43"/>
              <w:ind w:left="108"/>
              <w:jc w:val="left"/>
              <w:rPr>
                <w:sz w:val="21"/>
              </w:rPr>
            </w:pPr>
            <w:r>
              <w:rPr>
                <w:sz w:val="21"/>
              </w:rPr>
              <w:t xml:space="preserve">气筒排放，除尘器除尘效率 </w:t>
            </w:r>
            <w:r>
              <w:rPr>
                <w:rFonts w:ascii="Times New Roman" w:eastAsia="Times New Roman"/>
                <w:sz w:val="21"/>
              </w:rPr>
              <w:t>99%</w:t>
            </w:r>
            <w:r>
              <w:rPr>
                <w:sz w:val="21"/>
              </w:rPr>
              <w:t>。</w:t>
            </w:r>
          </w:p>
        </w:tc>
        <w:tc>
          <w:tcPr>
            <w:tcW w:w="951" w:type="dxa"/>
          </w:tcPr>
          <w:p>
            <w:pPr>
              <w:pStyle w:val="14"/>
              <w:spacing w:before="177"/>
              <w:ind w:left="243" w:right="238"/>
              <w:rPr>
                <w:sz w:val="21"/>
              </w:rPr>
            </w:pPr>
            <w:r>
              <w:rPr>
                <w:sz w:val="21"/>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0" w:hRule="atLeast"/>
        </w:trPr>
        <w:tc>
          <w:tcPr>
            <w:tcW w:w="408" w:type="dxa"/>
            <w:vMerge w:val="continue"/>
            <w:tcBorders>
              <w:top w:val="nil"/>
            </w:tcBorders>
          </w:tcPr>
          <w:p>
            <w:pPr>
              <w:rPr>
                <w:sz w:val="2"/>
                <w:szCs w:val="2"/>
              </w:rPr>
            </w:pPr>
          </w:p>
        </w:tc>
        <w:tc>
          <w:tcPr>
            <w:tcW w:w="408" w:type="dxa"/>
            <w:vMerge w:val="restart"/>
          </w:tcPr>
          <w:p>
            <w:pPr>
              <w:pStyle w:val="14"/>
              <w:jc w:val="left"/>
              <w:rPr>
                <w:b/>
                <w:sz w:val="20"/>
              </w:rPr>
            </w:pPr>
          </w:p>
          <w:p>
            <w:pPr>
              <w:pStyle w:val="14"/>
              <w:jc w:val="left"/>
              <w:rPr>
                <w:b/>
                <w:sz w:val="20"/>
              </w:rPr>
            </w:pPr>
          </w:p>
          <w:p>
            <w:pPr>
              <w:pStyle w:val="14"/>
              <w:spacing w:before="11"/>
              <w:jc w:val="left"/>
              <w:rPr>
                <w:b/>
                <w:sz w:val="22"/>
              </w:rPr>
            </w:pPr>
          </w:p>
          <w:p>
            <w:pPr>
              <w:pStyle w:val="14"/>
              <w:spacing w:line="266" w:lineRule="auto"/>
              <w:ind w:left="108" w:right="78"/>
              <w:jc w:val="both"/>
              <w:rPr>
                <w:sz w:val="21"/>
              </w:rPr>
            </w:pPr>
            <w:r>
              <w:rPr>
                <w:sz w:val="21"/>
              </w:rPr>
              <w:t>储运工程</w:t>
            </w:r>
          </w:p>
        </w:tc>
        <w:tc>
          <w:tcPr>
            <w:tcW w:w="1805" w:type="dxa"/>
            <w:gridSpan w:val="2"/>
          </w:tcPr>
          <w:p>
            <w:pPr>
              <w:pStyle w:val="14"/>
              <w:jc w:val="left"/>
              <w:rPr>
                <w:b/>
                <w:sz w:val="20"/>
              </w:rPr>
            </w:pPr>
          </w:p>
          <w:p>
            <w:pPr>
              <w:pStyle w:val="14"/>
              <w:spacing w:before="5"/>
              <w:jc w:val="left"/>
              <w:rPr>
                <w:b/>
                <w:sz w:val="17"/>
              </w:rPr>
            </w:pPr>
          </w:p>
          <w:p>
            <w:pPr>
              <w:pStyle w:val="14"/>
              <w:ind w:left="145" w:right="140"/>
              <w:rPr>
                <w:sz w:val="21"/>
              </w:rPr>
            </w:pPr>
            <w:r>
              <w:rPr>
                <w:sz w:val="21"/>
              </w:rPr>
              <w:t>公路</w:t>
            </w:r>
          </w:p>
        </w:tc>
        <w:tc>
          <w:tcPr>
            <w:tcW w:w="5652" w:type="dxa"/>
          </w:tcPr>
          <w:p>
            <w:pPr>
              <w:pStyle w:val="14"/>
              <w:spacing w:line="300" w:lineRule="exact"/>
              <w:ind w:left="108" w:right="74"/>
              <w:jc w:val="both"/>
              <w:rPr>
                <w:sz w:val="21"/>
              </w:rPr>
            </w:pPr>
            <w:r>
              <w:rPr>
                <w:spacing w:val="-4"/>
                <w:sz w:val="21"/>
              </w:rPr>
              <w:t xml:space="preserve">该矿位于双鸭山矿业集团岭东煤矿南 </w:t>
            </w:r>
            <w:r>
              <w:rPr>
                <w:rFonts w:ascii="Times New Roman" w:eastAsia="Times New Roman"/>
                <w:sz w:val="21"/>
              </w:rPr>
              <w:t xml:space="preserve">7 </w:t>
            </w:r>
            <w:r>
              <w:rPr>
                <w:spacing w:val="-5"/>
                <w:sz w:val="21"/>
              </w:rPr>
              <w:t>千米处，在双鸭山市</w:t>
            </w:r>
            <w:r>
              <w:rPr>
                <w:spacing w:val="-5"/>
                <w:w w:val="95"/>
                <w:sz w:val="21"/>
              </w:rPr>
              <w:t xml:space="preserve">司法局劳教所东部。从岭东矿通往矿井有砂石公路可直达， </w:t>
            </w:r>
            <w:r>
              <w:rPr>
                <w:spacing w:val="-8"/>
                <w:sz w:val="21"/>
              </w:rPr>
              <w:t xml:space="preserve">距双鸭山矿业集团内部运煤专用铁路线岭东车站 </w:t>
            </w:r>
            <w:r>
              <w:rPr>
                <w:rFonts w:ascii="Times New Roman" w:eastAsia="Times New Roman"/>
                <w:spacing w:val="-7"/>
                <w:sz w:val="21"/>
              </w:rPr>
              <w:t>7km</w:t>
            </w:r>
            <w:r>
              <w:rPr>
                <w:spacing w:val="-3"/>
                <w:sz w:val="21"/>
              </w:rPr>
              <w:t>，距双</w:t>
            </w:r>
            <w:r>
              <w:rPr>
                <w:spacing w:val="-12"/>
                <w:sz w:val="21"/>
              </w:rPr>
              <w:t xml:space="preserve">鸭山火车站 </w:t>
            </w:r>
            <w:r>
              <w:rPr>
                <w:rFonts w:ascii="Times New Roman" w:eastAsia="Times New Roman"/>
                <w:sz w:val="21"/>
              </w:rPr>
              <w:t>15km</w:t>
            </w:r>
            <w:r>
              <w:rPr>
                <w:sz w:val="21"/>
              </w:rPr>
              <w:t>，交通较为方便。</w:t>
            </w:r>
          </w:p>
        </w:tc>
        <w:tc>
          <w:tcPr>
            <w:tcW w:w="951" w:type="dxa"/>
          </w:tcPr>
          <w:p>
            <w:pPr>
              <w:pStyle w:val="14"/>
              <w:spacing w:before="10"/>
              <w:jc w:val="left"/>
              <w:rPr>
                <w:b/>
                <w:sz w:val="25"/>
              </w:rPr>
            </w:pPr>
          </w:p>
          <w:p>
            <w:pPr>
              <w:pStyle w:val="14"/>
              <w:spacing w:line="266" w:lineRule="auto"/>
              <w:ind w:left="264" w:right="257"/>
              <w:jc w:val="left"/>
              <w:rPr>
                <w:sz w:val="21"/>
              </w:rPr>
            </w:pPr>
            <w:r>
              <w:rPr>
                <w:sz w:val="21"/>
              </w:rPr>
              <w:t>依托原有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gridSpan w:val="2"/>
          </w:tcPr>
          <w:p>
            <w:pPr>
              <w:pStyle w:val="14"/>
              <w:spacing w:before="85"/>
              <w:ind w:left="585"/>
              <w:jc w:val="left"/>
              <w:rPr>
                <w:sz w:val="21"/>
              </w:rPr>
            </w:pPr>
            <w:r>
              <w:rPr>
                <w:sz w:val="21"/>
              </w:rPr>
              <w:t>储煤仓</w:t>
            </w:r>
          </w:p>
        </w:tc>
        <w:tc>
          <w:tcPr>
            <w:tcW w:w="5652" w:type="dxa"/>
          </w:tcPr>
          <w:p>
            <w:pPr>
              <w:pStyle w:val="14"/>
              <w:spacing w:before="85"/>
              <w:ind w:left="108"/>
              <w:jc w:val="left"/>
              <w:rPr>
                <w:sz w:val="21"/>
              </w:rPr>
            </w:pPr>
            <w:r>
              <w:rPr>
                <w:sz w:val="21"/>
              </w:rPr>
              <w:t xml:space="preserve">工业场地建设储煤仓， 仓储储量 </w:t>
            </w:r>
            <w:r>
              <w:rPr>
                <w:rFonts w:ascii="Times New Roman" w:eastAsia="Times New Roman"/>
                <w:sz w:val="21"/>
              </w:rPr>
              <w:t>3000t</w:t>
            </w:r>
            <w:r>
              <w:rPr>
                <w:sz w:val="21"/>
              </w:rPr>
              <w:t>。</w:t>
            </w:r>
          </w:p>
        </w:tc>
        <w:tc>
          <w:tcPr>
            <w:tcW w:w="951" w:type="dxa"/>
          </w:tcPr>
          <w:p>
            <w:pPr>
              <w:pStyle w:val="14"/>
              <w:spacing w:before="85"/>
              <w:ind w:left="243" w:right="238"/>
              <w:rPr>
                <w:sz w:val="21"/>
              </w:rPr>
            </w:pPr>
            <w:r>
              <w:rPr>
                <w:sz w:val="21"/>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0"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gridSpan w:val="2"/>
          </w:tcPr>
          <w:p>
            <w:pPr>
              <w:pStyle w:val="14"/>
              <w:spacing w:before="8"/>
              <w:jc w:val="left"/>
              <w:rPr>
                <w:b/>
                <w:sz w:val="18"/>
              </w:rPr>
            </w:pPr>
          </w:p>
          <w:p>
            <w:pPr>
              <w:pStyle w:val="14"/>
              <w:spacing w:line="333" w:lineRule="auto"/>
              <w:ind w:left="797" w:right="158" w:hanging="632"/>
              <w:jc w:val="left"/>
              <w:rPr>
                <w:sz w:val="21"/>
              </w:rPr>
            </w:pPr>
            <w:r>
              <w:rPr>
                <w:sz w:val="21"/>
              </w:rPr>
              <w:t>矸石临时堆放场地</w:t>
            </w:r>
          </w:p>
        </w:tc>
        <w:tc>
          <w:tcPr>
            <w:tcW w:w="5652" w:type="dxa"/>
          </w:tcPr>
          <w:p>
            <w:pPr>
              <w:pStyle w:val="14"/>
              <w:spacing w:before="8"/>
              <w:jc w:val="left"/>
              <w:rPr>
                <w:b/>
                <w:sz w:val="18"/>
              </w:rPr>
            </w:pPr>
          </w:p>
          <w:p>
            <w:pPr>
              <w:pStyle w:val="14"/>
              <w:spacing w:line="333" w:lineRule="auto"/>
              <w:ind w:left="108" w:right="98"/>
              <w:jc w:val="left"/>
              <w:rPr>
                <w:sz w:val="21"/>
              </w:rPr>
            </w:pPr>
            <w:r>
              <w:rPr>
                <w:spacing w:val="-1"/>
                <w:w w:val="99"/>
                <w:sz w:val="21"/>
              </w:rPr>
              <w:t>矸石临时堆放场地占地面积约</w:t>
            </w:r>
            <w:r>
              <w:rPr>
                <w:spacing w:val="-53"/>
                <w:sz w:val="21"/>
              </w:rPr>
              <w:t xml:space="preserve"> </w:t>
            </w:r>
            <w:r>
              <w:rPr>
                <w:rFonts w:ascii="Times New Roman" w:eastAsia="Times New Roman"/>
                <w:spacing w:val="1"/>
                <w:w w:val="99"/>
                <w:sz w:val="21"/>
              </w:rPr>
              <w:t>857</w:t>
            </w:r>
            <w:r>
              <w:rPr>
                <w:rFonts w:ascii="Times New Roman" w:eastAsia="Times New Roman"/>
                <w:spacing w:val="-2"/>
                <w:w w:val="99"/>
                <w:sz w:val="21"/>
              </w:rPr>
              <w:t>0</w:t>
            </w:r>
            <w:r>
              <w:rPr>
                <w:rFonts w:ascii="Times New Roman" w:eastAsia="Times New Roman"/>
                <w:w w:val="99"/>
                <w:sz w:val="21"/>
              </w:rPr>
              <w:t>m</w:t>
            </w:r>
            <w:r>
              <w:rPr>
                <w:rFonts w:ascii="Times New Roman" w:eastAsia="Times New Roman"/>
                <w:spacing w:val="-2"/>
                <w:w w:val="105"/>
                <w:position w:val="7"/>
                <w:sz w:val="13"/>
              </w:rPr>
              <w:t>2</w:t>
            </w:r>
            <w:r>
              <w:rPr>
                <w:spacing w:val="-12"/>
                <w:w w:val="99"/>
                <w:sz w:val="21"/>
              </w:rPr>
              <w:t>，矸石临时堆放场地周</w:t>
            </w:r>
            <w:r>
              <w:rPr>
                <w:spacing w:val="-12"/>
                <w:sz w:val="21"/>
              </w:rPr>
              <w:t>围设置拦矸坝和截流沟，洒水控制。</w:t>
            </w:r>
          </w:p>
        </w:tc>
        <w:tc>
          <w:tcPr>
            <w:tcW w:w="951" w:type="dxa"/>
          </w:tcPr>
          <w:p>
            <w:pPr>
              <w:pStyle w:val="14"/>
              <w:spacing w:before="51"/>
              <w:ind w:left="158"/>
              <w:jc w:val="left"/>
              <w:rPr>
                <w:sz w:val="21"/>
              </w:rPr>
            </w:pPr>
            <w:r>
              <w:rPr>
                <w:w w:val="95"/>
                <w:sz w:val="21"/>
              </w:rPr>
              <w:t>新建拦</w:t>
            </w:r>
          </w:p>
          <w:p>
            <w:pPr>
              <w:pStyle w:val="14"/>
              <w:spacing w:before="5" w:line="370" w:lineRule="atLeast"/>
              <w:ind w:left="158" w:right="151"/>
              <w:jc w:val="left"/>
              <w:rPr>
                <w:sz w:val="21"/>
              </w:rPr>
            </w:pPr>
            <w:r>
              <w:rPr>
                <w:spacing w:val="-6"/>
                <w:sz w:val="21"/>
              </w:rPr>
              <w:t>矸坝和</w:t>
            </w:r>
            <w:r>
              <w:rPr>
                <w:spacing w:val="-6"/>
                <w:w w:val="95"/>
                <w:sz w:val="21"/>
              </w:rPr>
              <w:t>截流沟</w:t>
            </w:r>
          </w:p>
        </w:tc>
      </w:tr>
    </w:tbl>
    <w:p>
      <w:pPr>
        <w:spacing w:after="0" w:line="370" w:lineRule="atLeast"/>
        <w:jc w:val="left"/>
        <w:rPr>
          <w:sz w:val="21"/>
        </w:rPr>
        <w:sectPr>
          <w:pgSz w:w="11910" w:h="16840"/>
          <w:pgMar w:top="1080" w:right="720" w:bottom="1160" w:left="760" w:header="0" w:footer="89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47" name="组合 21"/>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46" name="直线 22"/>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21"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u2gi7UAAAAAwEAAA8AAAAAAAAAAQAgAAAAIgAAAGRycy9kb3ducmV2Lnht&#10;bFBLAQIUABQAAAAIAIdO4kBxLm0GNgIAALYEAAAOAAAAAAAAAAEAIAAAACMBAABkcnMvZTJvRG9j&#10;LnhtbFBLBQYAAAAABgAGAFkBAADLBQAAAAA=&#10;">
                <o:lock v:ext="edit" aspectratio="f"/>
                <v:line id="直线 22" o:spid="_x0000_s1026" o:spt="20" style="position:absolute;left:0;top:7;height:0;width:8306;" filled="f" stroked="t" coordsize="21600,21600" o:gfxdata="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gDfh7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6"/>
        <w:spacing w:before="1"/>
        <w:rPr>
          <w:b/>
          <w:sz w:val="25"/>
        </w:rPr>
      </w:pPr>
    </w:p>
    <w:tbl>
      <w:tblPr>
        <w:tblStyle w:val="10"/>
        <w:tblW w:w="0" w:type="auto"/>
        <w:tblInd w:w="5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8"/>
        <w:gridCol w:w="408"/>
        <w:gridCol w:w="1805"/>
        <w:gridCol w:w="5652"/>
        <w:gridCol w:w="9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408" w:type="dxa"/>
            <w:vMerge w:val="restart"/>
          </w:tcPr>
          <w:p>
            <w:pPr>
              <w:pStyle w:val="14"/>
              <w:jc w:val="left"/>
              <w:rPr>
                <w:rFonts w:ascii="Times New Roman"/>
                <w:sz w:val="20"/>
              </w:rPr>
            </w:pPr>
          </w:p>
        </w:tc>
        <w:tc>
          <w:tcPr>
            <w:tcW w:w="408" w:type="dxa"/>
            <w:vMerge w:val="restart"/>
          </w:tcPr>
          <w:p>
            <w:pPr>
              <w:pStyle w:val="14"/>
              <w:jc w:val="left"/>
              <w:rPr>
                <w:rFonts w:ascii="Times New Roman"/>
                <w:sz w:val="20"/>
              </w:rPr>
            </w:pPr>
          </w:p>
        </w:tc>
        <w:tc>
          <w:tcPr>
            <w:tcW w:w="1805" w:type="dxa"/>
          </w:tcPr>
          <w:p>
            <w:pPr>
              <w:pStyle w:val="14"/>
              <w:spacing w:line="300" w:lineRule="atLeast"/>
              <w:ind w:left="797" w:right="158" w:hanging="632"/>
              <w:jc w:val="left"/>
              <w:rPr>
                <w:sz w:val="21"/>
              </w:rPr>
            </w:pPr>
            <w:r>
              <w:rPr>
                <w:sz w:val="21"/>
              </w:rPr>
              <w:t>燃料及灰渣堆存间</w:t>
            </w:r>
          </w:p>
        </w:tc>
        <w:tc>
          <w:tcPr>
            <w:tcW w:w="5652" w:type="dxa"/>
          </w:tcPr>
          <w:p>
            <w:pPr>
              <w:pStyle w:val="14"/>
              <w:spacing w:before="179"/>
              <w:ind w:left="108"/>
              <w:jc w:val="left"/>
              <w:rPr>
                <w:sz w:val="21"/>
              </w:rPr>
            </w:pPr>
            <w:r>
              <w:rPr>
                <w:sz w:val="21"/>
              </w:rPr>
              <w:t xml:space="preserve">建筑面积约 </w:t>
            </w:r>
            <w:r>
              <w:rPr>
                <w:rFonts w:ascii="Times New Roman" w:eastAsia="Times New Roman"/>
                <w:sz w:val="21"/>
              </w:rPr>
              <w:t>30m</w:t>
            </w:r>
            <w:r>
              <w:rPr>
                <w:rFonts w:ascii="Times New Roman" w:eastAsia="Times New Roman"/>
                <w:position w:val="7"/>
                <w:sz w:val="13"/>
              </w:rPr>
              <w:t>2</w:t>
            </w:r>
            <w:r>
              <w:rPr>
                <w:sz w:val="21"/>
              </w:rPr>
              <w:t>，用于堆存锅炉及热风炉燃料及灰渣。</w:t>
            </w:r>
          </w:p>
        </w:tc>
        <w:tc>
          <w:tcPr>
            <w:tcW w:w="951" w:type="dxa"/>
          </w:tcPr>
          <w:p>
            <w:pPr>
              <w:pStyle w:val="14"/>
              <w:spacing w:line="300" w:lineRule="atLeast"/>
              <w:ind w:left="264" w:right="257"/>
              <w:jc w:val="left"/>
              <w:rPr>
                <w:sz w:val="21"/>
              </w:rPr>
            </w:pPr>
            <w:r>
              <w:rPr>
                <w:sz w:val="21"/>
              </w:rPr>
              <w:t>依托原有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Pr>
          <w:p>
            <w:pPr>
              <w:pStyle w:val="14"/>
              <w:spacing w:before="179"/>
              <w:ind w:left="145" w:right="137"/>
              <w:rPr>
                <w:sz w:val="21"/>
              </w:rPr>
            </w:pPr>
            <w:r>
              <w:rPr>
                <w:sz w:val="21"/>
              </w:rPr>
              <w:t>危废暂存间</w:t>
            </w:r>
          </w:p>
        </w:tc>
        <w:tc>
          <w:tcPr>
            <w:tcW w:w="5652" w:type="dxa"/>
          </w:tcPr>
          <w:p>
            <w:pPr>
              <w:pStyle w:val="14"/>
              <w:spacing w:before="179"/>
              <w:ind w:left="108"/>
              <w:jc w:val="left"/>
              <w:rPr>
                <w:sz w:val="21"/>
              </w:rPr>
            </w:pPr>
            <w:r>
              <w:rPr>
                <w:sz w:val="21"/>
              </w:rPr>
              <w:t xml:space="preserve">用于存放机修间维修产生的废机油，建筑面积约 </w:t>
            </w:r>
            <w:r>
              <w:rPr>
                <w:rFonts w:ascii="Times New Roman" w:eastAsia="Times New Roman"/>
                <w:sz w:val="21"/>
              </w:rPr>
              <w:t>10m</w:t>
            </w:r>
            <w:r>
              <w:rPr>
                <w:rFonts w:ascii="Times New Roman" w:eastAsia="Times New Roman"/>
                <w:position w:val="7"/>
                <w:sz w:val="13"/>
              </w:rPr>
              <w:t>2</w:t>
            </w:r>
            <w:r>
              <w:rPr>
                <w:sz w:val="21"/>
              </w:rPr>
              <w:t>。</w:t>
            </w:r>
          </w:p>
        </w:tc>
        <w:tc>
          <w:tcPr>
            <w:tcW w:w="951" w:type="dxa"/>
          </w:tcPr>
          <w:p>
            <w:pPr>
              <w:pStyle w:val="14"/>
              <w:spacing w:line="300" w:lineRule="exact"/>
              <w:ind w:left="264" w:right="257"/>
              <w:jc w:val="left"/>
              <w:rPr>
                <w:sz w:val="21"/>
              </w:rPr>
            </w:pPr>
            <w:r>
              <w:rPr>
                <w:sz w:val="21"/>
              </w:rPr>
              <w:t>依托原有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408" w:type="dxa"/>
            <w:vMerge w:val="continue"/>
            <w:tcBorders>
              <w:top w:val="nil"/>
            </w:tcBorders>
          </w:tcPr>
          <w:p>
            <w:pPr>
              <w:rPr>
                <w:sz w:val="2"/>
                <w:szCs w:val="2"/>
              </w:rPr>
            </w:pPr>
          </w:p>
        </w:tc>
        <w:tc>
          <w:tcPr>
            <w:tcW w:w="408"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1"/>
              <w:jc w:val="left"/>
              <w:rPr>
                <w:b/>
                <w:sz w:val="27"/>
              </w:rPr>
            </w:pPr>
          </w:p>
          <w:p>
            <w:pPr>
              <w:pStyle w:val="14"/>
              <w:spacing w:line="266" w:lineRule="auto"/>
              <w:ind w:left="108" w:right="78"/>
              <w:jc w:val="both"/>
              <w:rPr>
                <w:sz w:val="21"/>
              </w:rPr>
            </w:pPr>
            <w:r>
              <w:rPr>
                <w:sz w:val="21"/>
              </w:rPr>
              <w:t>公用工程</w:t>
            </w:r>
          </w:p>
        </w:tc>
        <w:tc>
          <w:tcPr>
            <w:tcW w:w="1805" w:type="dxa"/>
            <w:tcBorders>
              <w:bottom w:val="nil"/>
            </w:tcBorders>
          </w:tcPr>
          <w:p>
            <w:pPr>
              <w:pStyle w:val="14"/>
              <w:jc w:val="left"/>
              <w:rPr>
                <w:rFonts w:ascii="Times New Roman"/>
                <w:sz w:val="20"/>
              </w:rPr>
            </w:pPr>
          </w:p>
        </w:tc>
        <w:tc>
          <w:tcPr>
            <w:tcW w:w="5652" w:type="dxa"/>
            <w:tcBorders>
              <w:bottom w:val="nil"/>
            </w:tcBorders>
          </w:tcPr>
          <w:p>
            <w:pPr>
              <w:pStyle w:val="14"/>
              <w:spacing w:before="20" w:line="266" w:lineRule="exact"/>
              <w:ind w:left="108"/>
              <w:jc w:val="left"/>
              <w:rPr>
                <w:sz w:val="21"/>
              </w:rPr>
            </w:pPr>
            <w:r>
              <w:rPr>
                <w:sz w:val="21"/>
              </w:rPr>
              <w:t>双电源来自双鸭集团岭东供电公司东三甲线和由来自双鸭</w:t>
            </w:r>
          </w:p>
        </w:tc>
        <w:tc>
          <w:tcPr>
            <w:tcW w:w="951" w:type="dxa"/>
            <w:tcBorders>
              <w:bottom w:val="nil"/>
            </w:tcBorders>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3"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Borders>
              <w:top w:val="nil"/>
            </w:tcBorders>
          </w:tcPr>
          <w:p>
            <w:pPr>
              <w:pStyle w:val="14"/>
              <w:spacing w:before="11"/>
              <w:jc w:val="left"/>
              <w:rPr>
                <w:b/>
                <w:sz w:val="26"/>
              </w:rPr>
            </w:pPr>
          </w:p>
          <w:p>
            <w:pPr>
              <w:pStyle w:val="14"/>
              <w:spacing w:before="1"/>
              <w:ind w:left="145" w:right="140"/>
              <w:rPr>
                <w:sz w:val="21"/>
              </w:rPr>
            </w:pPr>
            <w:r>
              <w:rPr>
                <w:sz w:val="21"/>
              </w:rPr>
              <w:t>供电</w:t>
            </w:r>
          </w:p>
        </w:tc>
        <w:tc>
          <w:tcPr>
            <w:tcW w:w="5652" w:type="dxa"/>
            <w:tcBorders>
              <w:top w:val="nil"/>
            </w:tcBorders>
          </w:tcPr>
          <w:p>
            <w:pPr>
              <w:pStyle w:val="14"/>
              <w:spacing w:before="18" w:line="278" w:lineRule="auto"/>
              <w:ind w:left="108" w:right="90"/>
              <w:jc w:val="both"/>
              <w:rPr>
                <w:sz w:val="21"/>
              </w:rPr>
            </w:pPr>
            <w:r>
              <w:rPr>
                <w:spacing w:val="-3"/>
                <w:sz w:val="21"/>
              </w:rPr>
              <w:t xml:space="preserve">集团岭东供电公司东七乙线 </w:t>
            </w:r>
            <w:r>
              <w:rPr>
                <w:rFonts w:ascii="Calibri" w:eastAsia="Calibri"/>
                <w:sz w:val="21"/>
              </w:rPr>
              <w:t xml:space="preserve">10kV </w:t>
            </w:r>
            <w:r>
              <w:rPr>
                <w:spacing w:val="2"/>
                <w:sz w:val="21"/>
              </w:rPr>
              <w:t>高压架空线，经地面变电</w:t>
            </w:r>
            <w:r>
              <w:rPr>
                <w:spacing w:val="-27"/>
                <w:sz w:val="21"/>
              </w:rPr>
              <w:t xml:space="preserve">所 </w:t>
            </w:r>
            <w:r>
              <w:rPr>
                <w:rFonts w:ascii="Calibri" w:eastAsia="Calibri"/>
                <w:sz w:val="21"/>
              </w:rPr>
              <w:t xml:space="preserve">4 </w:t>
            </w:r>
            <w:r>
              <w:rPr>
                <w:spacing w:val="-27"/>
                <w:sz w:val="21"/>
              </w:rPr>
              <w:t xml:space="preserve">台 </w:t>
            </w:r>
            <w:r>
              <w:rPr>
                <w:rFonts w:ascii="Calibri" w:eastAsia="Calibri"/>
                <w:spacing w:val="-4"/>
                <w:sz w:val="21"/>
              </w:rPr>
              <w:t>S9-400/10</w:t>
            </w:r>
            <w:r>
              <w:rPr>
                <w:spacing w:val="-7"/>
                <w:sz w:val="21"/>
              </w:rPr>
              <w:t xml:space="preserve">，两台变压器降压后 </w:t>
            </w:r>
            <w:r>
              <w:rPr>
                <w:rFonts w:ascii="Calibri" w:eastAsia="Calibri"/>
                <w:sz w:val="21"/>
              </w:rPr>
              <w:t xml:space="preserve">380V </w:t>
            </w:r>
            <w:r>
              <w:rPr>
                <w:sz w:val="21"/>
              </w:rPr>
              <w:t>进入地面各用电</w:t>
            </w:r>
            <w:r>
              <w:rPr>
                <w:spacing w:val="-4"/>
                <w:sz w:val="21"/>
              </w:rPr>
              <w:t xml:space="preserve">地点，两台进入井下变压器降压后 </w:t>
            </w:r>
            <w:r>
              <w:rPr>
                <w:rFonts w:ascii="Calibri" w:eastAsia="Calibri"/>
                <w:sz w:val="21"/>
              </w:rPr>
              <w:t xml:space="preserve">660V </w:t>
            </w:r>
            <w:r>
              <w:rPr>
                <w:sz w:val="21"/>
              </w:rPr>
              <w:t>入井进入各用电地</w:t>
            </w:r>
          </w:p>
          <w:p>
            <w:pPr>
              <w:pStyle w:val="14"/>
              <w:spacing w:line="266" w:lineRule="exact"/>
              <w:ind w:left="108"/>
              <w:jc w:val="left"/>
              <w:rPr>
                <w:sz w:val="21"/>
              </w:rPr>
            </w:pPr>
            <w:r>
              <w:rPr>
                <w:sz w:val="21"/>
              </w:rPr>
              <w:t>点。</w:t>
            </w:r>
          </w:p>
        </w:tc>
        <w:tc>
          <w:tcPr>
            <w:tcW w:w="951" w:type="dxa"/>
            <w:tcBorders>
              <w:top w:val="nil"/>
            </w:tcBorders>
          </w:tcPr>
          <w:p>
            <w:pPr>
              <w:pStyle w:val="14"/>
              <w:spacing w:before="11"/>
              <w:jc w:val="left"/>
              <w:rPr>
                <w:b/>
                <w:sz w:val="26"/>
              </w:rPr>
            </w:pPr>
          </w:p>
          <w:p>
            <w:pPr>
              <w:pStyle w:val="14"/>
              <w:spacing w:before="1"/>
              <w:ind w:left="243" w:right="238"/>
              <w:rPr>
                <w:sz w:val="21"/>
              </w:rPr>
            </w:pPr>
            <w:r>
              <w:rPr>
                <w:sz w:val="21"/>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Pr>
          <w:p>
            <w:pPr>
              <w:pStyle w:val="14"/>
              <w:spacing w:before="9"/>
              <w:jc w:val="left"/>
              <w:rPr>
                <w:b/>
                <w:sz w:val="25"/>
              </w:rPr>
            </w:pPr>
          </w:p>
          <w:p>
            <w:pPr>
              <w:pStyle w:val="14"/>
              <w:ind w:left="145" w:right="137"/>
              <w:rPr>
                <w:sz w:val="21"/>
              </w:rPr>
            </w:pPr>
            <w:r>
              <w:rPr>
                <w:sz w:val="21"/>
              </w:rPr>
              <w:t>供水水源</w:t>
            </w:r>
          </w:p>
        </w:tc>
        <w:tc>
          <w:tcPr>
            <w:tcW w:w="5652" w:type="dxa"/>
          </w:tcPr>
          <w:p>
            <w:pPr>
              <w:pStyle w:val="14"/>
              <w:spacing w:before="29" w:line="266" w:lineRule="auto"/>
              <w:ind w:left="108" w:right="98"/>
              <w:jc w:val="left"/>
              <w:rPr>
                <w:sz w:val="21"/>
              </w:rPr>
            </w:pPr>
            <w:r>
              <w:rPr>
                <w:spacing w:val="-1"/>
                <w:w w:val="95"/>
                <w:sz w:val="21"/>
              </w:rPr>
              <w:t xml:space="preserve">生产用水由本矿井涌水经过矿井水净化车间处理，供给矿井 </w:t>
            </w:r>
            <w:r>
              <w:rPr>
                <w:spacing w:val="-5"/>
                <w:w w:val="95"/>
                <w:sz w:val="21"/>
              </w:rPr>
              <w:t>生产、消防用水、生活用水。生活饮用水为外部购置达标饮</w:t>
            </w:r>
          </w:p>
          <w:p>
            <w:pPr>
              <w:pStyle w:val="14"/>
              <w:spacing w:before="3" w:line="250" w:lineRule="exact"/>
              <w:ind w:left="108"/>
              <w:jc w:val="left"/>
              <w:rPr>
                <w:sz w:val="21"/>
              </w:rPr>
            </w:pPr>
            <w:r>
              <w:rPr>
                <w:sz w:val="21"/>
              </w:rPr>
              <w:t>用水。</w:t>
            </w:r>
          </w:p>
        </w:tc>
        <w:tc>
          <w:tcPr>
            <w:tcW w:w="951" w:type="dxa"/>
          </w:tcPr>
          <w:p>
            <w:pPr>
              <w:pStyle w:val="14"/>
              <w:spacing w:before="1"/>
              <w:jc w:val="left"/>
              <w:rPr>
                <w:b/>
                <w:sz w:val="14"/>
              </w:rPr>
            </w:pPr>
          </w:p>
          <w:p>
            <w:pPr>
              <w:pStyle w:val="14"/>
              <w:spacing w:line="266" w:lineRule="auto"/>
              <w:ind w:left="264" w:right="257"/>
              <w:jc w:val="left"/>
              <w:rPr>
                <w:sz w:val="21"/>
              </w:rPr>
            </w:pPr>
            <w:r>
              <w:rPr>
                <w:sz w:val="21"/>
              </w:rPr>
              <w:t>依托原有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Pr>
          <w:p>
            <w:pPr>
              <w:pStyle w:val="14"/>
              <w:spacing w:before="1"/>
              <w:jc w:val="left"/>
              <w:rPr>
                <w:b/>
                <w:sz w:val="14"/>
              </w:rPr>
            </w:pPr>
          </w:p>
          <w:p>
            <w:pPr>
              <w:pStyle w:val="14"/>
              <w:ind w:left="145" w:right="140"/>
              <w:rPr>
                <w:sz w:val="21"/>
              </w:rPr>
            </w:pPr>
            <w:r>
              <w:rPr>
                <w:sz w:val="21"/>
              </w:rPr>
              <w:t>通讯</w:t>
            </w:r>
          </w:p>
        </w:tc>
        <w:tc>
          <w:tcPr>
            <w:tcW w:w="5652" w:type="dxa"/>
          </w:tcPr>
          <w:p>
            <w:pPr>
              <w:pStyle w:val="14"/>
              <w:spacing w:before="29"/>
              <w:ind w:left="108"/>
              <w:jc w:val="left"/>
              <w:rPr>
                <w:sz w:val="21"/>
              </w:rPr>
            </w:pPr>
            <w:r>
              <w:rPr>
                <w:sz w:val="21"/>
              </w:rPr>
              <w:t>该矿区通信已接入中国网通、中国电信，矿区亦属中国移动</w:t>
            </w:r>
          </w:p>
          <w:p>
            <w:pPr>
              <w:pStyle w:val="14"/>
              <w:spacing w:before="31" w:line="251" w:lineRule="exact"/>
              <w:ind w:left="108"/>
              <w:jc w:val="left"/>
              <w:rPr>
                <w:sz w:val="21"/>
              </w:rPr>
            </w:pPr>
            <w:r>
              <w:rPr>
                <w:sz w:val="21"/>
              </w:rPr>
              <w:t>和中国联通无线网络覆盖区，对外联络方式可靠。</w:t>
            </w:r>
          </w:p>
        </w:tc>
        <w:tc>
          <w:tcPr>
            <w:tcW w:w="951" w:type="dxa"/>
          </w:tcPr>
          <w:p>
            <w:pPr>
              <w:pStyle w:val="14"/>
              <w:spacing w:before="29"/>
              <w:ind w:left="264"/>
              <w:jc w:val="left"/>
              <w:rPr>
                <w:sz w:val="21"/>
              </w:rPr>
            </w:pPr>
            <w:r>
              <w:rPr>
                <w:spacing w:val="-1"/>
                <w:w w:val="95"/>
                <w:sz w:val="21"/>
              </w:rPr>
              <w:t>依托</w:t>
            </w:r>
          </w:p>
          <w:p>
            <w:pPr>
              <w:pStyle w:val="14"/>
              <w:spacing w:before="31" w:line="251" w:lineRule="exact"/>
              <w:ind w:left="264"/>
              <w:jc w:val="left"/>
              <w:rPr>
                <w:sz w:val="21"/>
              </w:rPr>
            </w:pPr>
            <w:r>
              <w:rPr>
                <w:spacing w:val="-1"/>
                <w:w w:val="95"/>
                <w:sz w:val="21"/>
              </w:rPr>
              <w:t>原有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Pr>
          <w:p>
            <w:pPr>
              <w:pStyle w:val="14"/>
              <w:jc w:val="left"/>
              <w:rPr>
                <w:b/>
                <w:sz w:val="14"/>
              </w:rPr>
            </w:pPr>
          </w:p>
          <w:p>
            <w:pPr>
              <w:pStyle w:val="14"/>
              <w:ind w:left="145" w:right="140"/>
              <w:rPr>
                <w:sz w:val="21"/>
              </w:rPr>
            </w:pPr>
            <w:r>
              <w:rPr>
                <w:sz w:val="21"/>
              </w:rPr>
              <w:t>行政与公共设施</w:t>
            </w:r>
          </w:p>
        </w:tc>
        <w:tc>
          <w:tcPr>
            <w:tcW w:w="5652" w:type="dxa"/>
          </w:tcPr>
          <w:p>
            <w:pPr>
              <w:pStyle w:val="14"/>
              <w:jc w:val="left"/>
              <w:rPr>
                <w:b/>
                <w:sz w:val="14"/>
              </w:rPr>
            </w:pPr>
          </w:p>
          <w:p>
            <w:pPr>
              <w:pStyle w:val="14"/>
              <w:ind w:left="108"/>
              <w:jc w:val="left"/>
              <w:rPr>
                <w:sz w:val="21"/>
              </w:rPr>
            </w:pPr>
            <w:r>
              <w:rPr>
                <w:sz w:val="21"/>
              </w:rPr>
              <w:t>办公、洗浴、更衣、烘干、矿灯更换、食堂等生活设施。</w:t>
            </w:r>
          </w:p>
        </w:tc>
        <w:tc>
          <w:tcPr>
            <w:tcW w:w="951" w:type="dxa"/>
          </w:tcPr>
          <w:p>
            <w:pPr>
              <w:pStyle w:val="14"/>
              <w:spacing w:line="300" w:lineRule="atLeast"/>
              <w:ind w:left="264" w:right="257"/>
              <w:jc w:val="left"/>
              <w:rPr>
                <w:sz w:val="21"/>
              </w:rPr>
            </w:pPr>
            <w:r>
              <w:rPr>
                <w:sz w:val="21"/>
              </w:rPr>
              <w:t>依托原有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Pr>
          <w:p>
            <w:pPr>
              <w:pStyle w:val="14"/>
              <w:spacing w:before="179"/>
              <w:ind w:left="145" w:right="140"/>
              <w:rPr>
                <w:sz w:val="21"/>
              </w:rPr>
            </w:pPr>
            <w:r>
              <w:rPr>
                <w:sz w:val="21"/>
              </w:rPr>
              <w:t>浴室</w:t>
            </w:r>
          </w:p>
        </w:tc>
        <w:tc>
          <w:tcPr>
            <w:tcW w:w="5652" w:type="dxa"/>
          </w:tcPr>
          <w:p>
            <w:pPr>
              <w:pStyle w:val="14"/>
              <w:spacing w:before="179"/>
              <w:ind w:left="108"/>
              <w:jc w:val="left"/>
              <w:rPr>
                <w:sz w:val="21"/>
              </w:rPr>
            </w:pPr>
            <w:r>
              <w:rPr>
                <w:sz w:val="21"/>
              </w:rPr>
              <w:t xml:space="preserve">建筑面积约 </w:t>
            </w:r>
            <w:r>
              <w:rPr>
                <w:rFonts w:ascii="Times New Roman" w:eastAsia="Times New Roman"/>
                <w:sz w:val="21"/>
              </w:rPr>
              <w:t>300m</w:t>
            </w:r>
            <w:r>
              <w:rPr>
                <w:rFonts w:ascii="Times New Roman" w:eastAsia="Times New Roman"/>
                <w:position w:val="7"/>
                <w:sz w:val="13"/>
              </w:rPr>
              <w:t>2</w:t>
            </w:r>
            <w:r>
              <w:rPr>
                <w:sz w:val="21"/>
              </w:rPr>
              <w:t>，用于员工洗浴。</w:t>
            </w:r>
          </w:p>
        </w:tc>
        <w:tc>
          <w:tcPr>
            <w:tcW w:w="951" w:type="dxa"/>
          </w:tcPr>
          <w:p>
            <w:pPr>
              <w:pStyle w:val="14"/>
              <w:spacing w:line="300" w:lineRule="atLeast"/>
              <w:ind w:left="264" w:right="257"/>
              <w:jc w:val="left"/>
              <w:rPr>
                <w:sz w:val="21"/>
              </w:rPr>
            </w:pPr>
            <w:r>
              <w:rPr>
                <w:sz w:val="21"/>
              </w:rPr>
              <w:t>依托原有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Pr>
          <w:p>
            <w:pPr>
              <w:pStyle w:val="14"/>
              <w:spacing w:before="179"/>
              <w:ind w:left="145" w:right="140"/>
              <w:rPr>
                <w:sz w:val="21"/>
              </w:rPr>
            </w:pPr>
            <w:r>
              <w:rPr>
                <w:sz w:val="21"/>
              </w:rPr>
              <w:t>食堂</w:t>
            </w:r>
          </w:p>
        </w:tc>
        <w:tc>
          <w:tcPr>
            <w:tcW w:w="5652" w:type="dxa"/>
          </w:tcPr>
          <w:p>
            <w:pPr>
              <w:pStyle w:val="14"/>
              <w:spacing w:before="179"/>
              <w:ind w:left="108"/>
              <w:jc w:val="left"/>
              <w:rPr>
                <w:sz w:val="21"/>
              </w:rPr>
            </w:pPr>
            <w:r>
              <w:rPr>
                <w:sz w:val="21"/>
              </w:rPr>
              <w:t xml:space="preserve">建筑面积约 </w:t>
            </w:r>
            <w:r>
              <w:rPr>
                <w:rFonts w:ascii="Times New Roman" w:eastAsia="Times New Roman"/>
                <w:sz w:val="21"/>
              </w:rPr>
              <w:t>400m</w:t>
            </w:r>
            <w:r>
              <w:rPr>
                <w:rFonts w:ascii="Times New Roman" w:eastAsia="Times New Roman"/>
                <w:position w:val="7"/>
                <w:sz w:val="13"/>
              </w:rPr>
              <w:t>2</w:t>
            </w:r>
            <w:r>
              <w:rPr>
                <w:sz w:val="21"/>
              </w:rPr>
              <w:t>。</w:t>
            </w:r>
          </w:p>
        </w:tc>
        <w:tc>
          <w:tcPr>
            <w:tcW w:w="951" w:type="dxa"/>
          </w:tcPr>
          <w:p>
            <w:pPr>
              <w:pStyle w:val="14"/>
              <w:spacing w:line="300" w:lineRule="exact"/>
              <w:ind w:left="264" w:right="257"/>
              <w:jc w:val="left"/>
              <w:rPr>
                <w:sz w:val="21"/>
              </w:rPr>
            </w:pPr>
            <w:r>
              <w:rPr>
                <w:sz w:val="21"/>
              </w:rPr>
              <w:t>依托原有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0" w:hRule="atLeast"/>
        </w:trPr>
        <w:tc>
          <w:tcPr>
            <w:tcW w:w="408" w:type="dxa"/>
            <w:vMerge w:val="continue"/>
            <w:tcBorders>
              <w:top w:val="nil"/>
            </w:tcBorders>
          </w:tcPr>
          <w:p>
            <w:pPr>
              <w:rPr>
                <w:sz w:val="2"/>
                <w:szCs w:val="2"/>
              </w:rPr>
            </w:pPr>
          </w:p>
        </w:tc>
        <w:tc>
          <w:tcPr>
            <w:tcW w:w="408"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160" w:line="338" w:lineRule="auto"/>
              <w:ind w:left="108" w:right="78"/>
              <w:jc w:val="both"/>
              <w:rPr>
                <w:sz w:val="21"/>
              </w:rPr>
            </w:pPr>
            <w:r>
              <w:rPr>
                <w:sz w:val="21"/>
              </w:rPr>
              <w:t>环保工程</w:t>
            </w:r>
          </w:p>
        </w:tc>
        <w:tc>
          <w:tcPr>
            <w:tcW w:w="1805" w:type="dxa"/>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11"/>
              <w:jc w:val="left"/>
              <w:rPr>
                <w:b/>
                <w:sz w:val="17"/>
              </w:rPr>
            </w:pPr>
          </w:p>
          <w:p>
            <w:pPr>
              <w:pStyle w:val="14"/>
              <w:ind w:left="145" w:right="137"/>
              <w:rPr>
                <w:sz w:val="21"/>
              </w:rPr>
            </w:pPr>
            <w:r>
              <w:rPr>
                <w:sz w:val="21"/>
              </w:rPr>
              <w:t>大气工程</w:t>
            </w:r>
          </w:p>
        </w:tc>
        <w:tc>
          <w:tcPr>
            <w:tcW w:w="5652" w:type="dxa"/>
          </w:tcPr>
          <w:p>
            <w:pPr>
              <w:pStyle w:val="14"/>
              <w:spacing w:before="30" w:line="266" w:lineRule="auto"/>
              <w:ind w:left="108" w:right="93"/>
              <w:jc w:val="left"/>
              <w:rPr>
                <w:sz w:val="21"/>
              </w:rPr>
            </w:pPr>
            <w:r>
              <w:rPr>
                <w:spacing w:val="-5"/>
                <w:sz w:val="21"/>
              </w:rPr>
              <w:t xml:space="preserve">工业广场热风炉房设置 </w:t>
            </w:r>
            <w:r>
              <w:rPr>
                <w:rFonts w:ascii="Times New Roman" w:eastAsia="Times New Roman"/>
                <w:sz w:val="21"/>
              </w:rPr>
              <w:t xml:space="preserve">1 </w:t>
            </w:r>
            <w:r>
              <w:rPr>
                <w:spacing w:val="-26"/>
                <w:sz w:val="21"/>
              </w:rPr>
              <w:t xml:space="preserve">台 </w:t>
            </w:r>
            <w:r>
              <w:rPr>
                <w:rFonts w:ascii="Times New Roman" w:eastAsia="Times New Roman"/>
                <w:sz w:val="21"/>
              </w:rPr>
              <w:t xml:space="preserve">4.2MW </w:t>
            </w:r>
            <w:r>
              <w:rPr>
                <w:sz w:val="21"/>
              </w:rPr>
              <w:t>热风炉，配套布袋除尘</w:t>
            </w:r>
            <w:r>
              <w:rPr>
                <w:spacing w:val="-9"/>
                <w:sz w:val="21"/>
              </w:rPr>
              <w:t xml:space="preserve">器，烟囱高为 </w:t>
            </w:r>
            <w:r>
              <w:rPr>
                <w:rFonts w:ascii="Times New Roman" w:eastAsia="Times New Roman"/>
                <w:sz w:val="21"/>
              </w:rPr>
              <w:t>35m</w:t>
            </w:r>
            <w:r>
              <w:rPr>
                <w:spacing w:val="-4"/>
                <w:sz w:val="21"/>
              </w:rPr>
              <w:t xml:space="preserve">。用于井筒防冻，工业广场锅炉房设置 </w:t>
            </w:r>
            <w:r>
              <w:rPr>
                <w:rFonts w:ascii="Times New Roman" w:eastAsia="Times New Roman"/>
                <w:sz w:val="21"/>
              </w:rPr>
              <w:t xml:space="preserve">1 </w:t>
            </w:r>
            <w:r>
              <w:rPr>
                <w:spacing w:val="-29"/>
                <w:sz w:val="21"/>
              </w:rPr>
              <w:t xml:space="preserve">台 </w:t>
            </w:r>
            <w:r>
              <w:rPr>
                <w:rFonts w:ascii="Times New Roman" w:eastAsia="Times New Roman"/>
                <w:sz w:val="21"/>
              </w:rPr>
              <w:t xml:space="preserve">1.4MW </w:t>
            </w:r>
            <w:r>
              <w:rPr>
                <w:sz w:val="21"/>
              </w:rPr>
              <w:t>生物质热水锅炉，为工业场地内建、构筑物的采</w:t>
            </w:r>
            <w:r>
              <w:rPr>
                <w:spacing w:val="-3"/>
                <w:sz w:val="21"/>
              </w:rPr>
              <w:t xml:space="preserve">暖及员工洗浴、干燥，配套布袋除尘器，烟囱高为 </w:t>
            </w:r>
            <w:r>
              <w:rPr>
                <w:rFonts w:ascii="Times New Roman" w:eastAsia="Times New Roman"/>
                <w:sz w:val="21"/>
              </w:rPr>
              <w:t>35m</w:t>
            </w:r>
            <w:r>
              <w:rPr>
                <w:sz w:val="21"/>
              </w:rPr>
              <w:t>。食堂安装油烟净化装置一套。</w:t>
            </w:r>
          </w:p>
          <w:p>
            <w:pPr>
              <w:pStyle w:val="14"/>
              <w:spacing w:before="6" w:line="266" w:lineRule="auto"/>
              <w:ind w:left="108" w:right="98"/>
              <w:jc w:val="left"/>
              <w:rPr>
                <w:sz w:val="21"/>
              </w:rPr>
            </w:pPr>
            <w:r>
              <w:rPr>
                <w:spacing w:val="-2"/>
                <w:w w:val="95"/>
                <w:sz w:val="21"/>
              </w:rPr>
              <w:t xml:space="preserve">筛分车间设置一套布袋除尘器，经布袋除尘器收处理后由排 </w:t>
            </w:r>
            <w:r>
              <w:rPr>
                <w:spacing w:val="-2"/>
                <w:sz w:val="21"/>
              </w:rPr>
              <w:t>气筒排放。</w:t>
            </w:r>
          </w:p>
          <w:p>
            <w:pPr>
              <w:pStyle w:val="14"/>
              <w:spacing w:before="3"/>
              <w:ind w:left="108"/>
              <w:jc w:val="left"/>
              <w:rPr>
                <w:sz w:val="21"/>
              </w:rPr>
            </w:pPr>
            <w:r>
              <w:rPr>
                <w:sz w:val="21"/>
              </w:rPr>
              <w:t>矸石临时堆放场地等易产生扬尘的工作环节设喷雾洒水装</w:t>
            </w:r>
          </w:p>
          <w:p>
            <w:pPr>
              <w:pStyle w:val="14"/>
              <w:spacing w:before="31" w:line="250" w:lineRule="exact"/>
              <w:ind w:left="108"/>
              <w:jc w:val="left"/>
              <w:rPr>
                <w:sz w:val="21"/>
              </w:rPr>
            </w:pPr>
            <w:r>
              <w:rPr>
                <w:sz w:val="21"/>
              </w:rPr>
              <w:t>置，减少扬尘对周围大气环境的影响。</w:t>
            </w:r>
          </w:p>
        </w:tc>
        <w:tc>
          <w:tcPr>
            <w:tcW w:w="951" w:type="dxa"/>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6"/>
              <w:jc w:val="left"/>
              <w:rPr>
                <w:b/>
                <w:sz w:val="17"/>
              </w:rPr>
            </w:pPr>
          </w:p>
          <w:p>
            <w:pPr>
              <w:pStyle w:val="14"/>
              <w:ind w:left="243" w:right="238"/>
              <w:rPr>
                <w:sz w:val="21"/>
              </w:rPr>
            </w:pPr>
            <w:r>
              <w:rPr>
                <w:sz w:val="21"/>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2"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Borders>
              <w:bottom w:val="nil"/>
            </w:tcBorders>
          </w:tcPr>
          <w:p>
            <w:pPr>
              <w:pStyle w:val="14"/>
              <w:jc w:val="left"/>
              <w:rPr>
                <w:b/>
                <w:sz w:val="20"/>
              </w:rPr>
            </w:pPr>
          </w:p>
          <w:p>
            <w:pPr>
              <w:pStyle w:val="14"/>
              <w:jc w:val="left"/>
              <w:rPr>
                <w:b/>
                <w:sz w:val="20"/>
              </w:rPr>
            </w:pPr>
          </w:p>
          <w:p>
            <w:pPr>
              <w:pStyle w:val="14"/>
              <w:jc w:val="left"/>
              <w:rPr>
                <w:b/>
                <w:sz w:val="20"/>
              </w:rPr>
            </w:pPr>
          </w:p>
          <w:p>
            <w:pPr>
              <w:pStyle w:val="14"/>
              <w:spacing w:before="10"/>
              <w:jc w:val="left"/>
              <w:rPr>
                <w:b/>
                <w:sz w:val="17"/>
              </w:rPr>
            </w:pPr>
          </w:p>
          <w:p>
            <w:pPr>
              <w:pStyle w:val="14"/>
              <w:spacing w:line="245" w:lineRule="exact"/>
              <w:ind w:left="145" w:right="137"/>
              <w:rPr>
                <w:sz w:val="21"/>
              </w:rPr>
            </w:pPr>
            <w:r>
              <w:rPr>
                <w:sz w:val="21"/>
              </w:rPr>
              <w:t>废水工程</w:t>
            </w:r>
          </w:p>
        </w:tc>
        <w:tc>
          <w:tcPr>
            <w:tcW w:w="5652" w:type="dxa"/>
            <w:tcBorders>
              <w:bottom w:val="nil"/>
            </w:tcBorders>
          </w:tcPr>
          <w:p>
            <w:pPr>
              <w:pStyle w:val="14"/>
              <w:spacing w:before="20" w:line="278" w:lineRule="auto"/>
              <w:ind w:left="108" w:right="98"/>
              <w:jc w:val="left"/>
              <w:rPr>
                <w:sz w:val="21"/>
              </w:rPr>
            </w:pPr>
            <w:r>
              <w:rPr>
                <w:spacing w:val="-8"/>
                <w:sz w:val="21"/>
              </w:rPr>
              <w:t xml:space="preserve">新建处理能力为 </w:t>
            </w:r>
            <w:r>
              <w:rPr>
                <w:rFonts w:ascii="Times New Roman" w:eastAsia="Times New Roman"/>
                <w:sz w:val="21"/>
              </w:rPr>
              <w:t>3720m</w:t>
            </w:r>
            <w:r>
              <w:rPr>
                <w:rFonts w:ascii="Times New Roman" w:eastAsia="Times New Roman"/>
                <w:position w:val="7"/>
                <w:sz w:val="13"/>
              </w:rPr>
              <w:t>3</w:t>
            </w:r>
            <w:r>
              <w:rPr>
                <w:rFonts w:ascii="Times New Roman" w:eastAsia="Times New Roman"/>
                <w:sz w:val="21"/>
              </w:rPr>
              <w:t xml:space="preserve">/d </w:t>
            </w:r>
            <w:r>
              <w:rPr>
                <w:spacing w:val="-10"/>
                <w:sz w:val="21"/>
              </w:rPr>
              <w:t>的矿井水处理站，处理后的矿井涌水部分回用，剩余部分外排至扁石河；</w:t>
            </w:r>
          </w:p>
          <w:p>
            <w:pPr>
              <w:pStyle w:val="14"/>
              <w:spacing w:line="269" w:lineRule="exact"/>
              <w:ind w:left="108"/>
              <w:jc w:val="left"/>
              <w:rPr>
                <w:sz w:val="21"/>
              </w:rPr>
            </w:pPr>
            <w:r>
              <w:rPr>
                <w:sz w:val="21"/>
              </w:rPr>
              <w:t xml:space="preserve">新建处理能力为 </w:t>
            </w:r>
            <w:r>
              <w:rPr>
                <w:rFonts w:ascii="Times New Roman" w:eastAsia="Times New Roman"/>
                <w:sz w:val="21"/>
              </w:rPr>
              <w:t>360m</w:t>
            </w:r>
            <w:r>
              <w:rPr>
                <w:rFonts w:ascii="Times New Roman" w:eastAsia="Times New Roman"/>
                <w:position w:val="7"/>
                <w:sz w:val="13"/>
              </w:rPr>
              <w:t>3</w:t>
            </w:r>
            <w:r>
              <w:rPr>
                <w:rFonts w:ascii="Times New Roman" w:eastAsia="Times New Roman"/>
                <w:sz w:val="21"/>
              </w:rPr>
              <w:t xml:space="preserve">/d </w:t>
            </w:r>
            <w:r>
              <w:rPr>
                <w:sz w:val="21"/>
              </w:rPr>
              <w:t>的生活污水处理站，处理后的污、</w:t>
            </w:r>
          </w:p>
          <w:p>
            <w:pPr>
              <w:pStyle w:val="14"/>
              <w:spacing w:before="43"/>
              <w:ind w:left="108"/>
              <w:jc w:val="left"/>
              <w:rPr>
                <w:sz w:val="21"/>
              </w:rPr>
            </w:pPr>
            <w:r>
              <w:rPr>
                <w:sz w:val="21"/>
              </w:rPr>
              <w:t>废水作为矿井工业场地绿化洒水用水；</w:t>
            </w:r>
          </w:p>
        </w:tc>
        <w:tc>
          <w:tcPr>
            <w:tcW w:w="951" w:type="dxa"/>
            <w:tcBorders>
              <w:bottom w:val="nil"/>
            </w:tcBorders>
          </w:tcPr>
          <w:p>
            <w:pPr>
              <w:pStyle w:val="14"/>
              <w:jc w:val="left"/>
              <w:rPr>
                <w:b/>
                <w:sz w:val="20"/>
              </w:rPr>
            </w:pPr>
          </w:p>
          <w:p>
            <w:pPr>
              <w:pStyle w:val="14"/>
              <w:jc w:val="left"/>
              <w:rPr>
                <w:b/>
                <w:sz w:val="20"/>
              </w:rPr>
            </w:pPr>
          </w:p>
          <w:p>
            <w:pPr>
              <w:pStyle w:val="14"/>
              <w:jc w:val="left"/>
              <w:rPr>
                <w:b/>
                <w:sz w:val="20"/>
              </w:rPr>
            </w:pPr>
          </w:p>
          <w:p>
            <w:pPr>
              <w:pStyle w:val="14"/>
              <w:spacing w:before="3"/>
              <w:jc w:val="left"/>
              <w:rPr>
                <w:b/>
                <w:sz w:val="17"/>
              </w:rPr>
            </w:pPr>
          </w:p>
          <w:p>
            <w:pPr>
              <w:pStyle w:val="14"/>
              <w:spacing w:line="253" w:lineRule="exact"/>
              <w:ind w:left="243" w:right="238"/>
              <w:rPr>
                <w:sz w:val="21"/>
              </w:rPr>
            </w:pPr>
            <w:r>
              <w:rPr>
                <w:sz w:val="21"/>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Borders>
              <w:top w:val="nil"/>
              <w:bottom w:val="nil"/>
            </w:tcBorders>
          </w:tcPr>
          <w:p>
            <w:pPr>
              <w:pStyle w:val="14"/>
              <w:jc w:val="left"/>
              <w:rPr>
                <w:rFonts w:ascii="Times New Roman"/>
                <w:sz w:val="20"/>
              </w:rPr>
            </w:pPr>
          </w:p>
        </w:tc>
        <w:tc>
          <w:tcPr>
            <w:tcW w:w="5652" w:type="dxa"/>
            <w:tcBorders>
              <w:top w:val="nil"/>
              <w:bottom w:val="nil"/>
            </w:tcBorders>
          </w:tcPr>
          <w:p>
            <w:pPr>
              <w:pStyle w:val="14"/>
              <w:spacing w:line="262" w:lineRule="exact"/>
              <w:ind w:left="108"/>
              <w:jc w:val="left"/>
              <w:rPr>
                <w:sz w:val="21"/>
              </w:rPr>
            </w:pPr>
            <w:r>
              <w:rPr>
                <w:sz w:val="21"/>
              </w:rPr>
              <w:t>地面生产系统冲洗废水较少，将冲洗废水收集送至矿井水处</w:t>
            </w:r>
          </w:p>
        </w:tc>
        <w:tc>
          <w:tcPr>
            <w:tcW w:w="951" w:type="dxa"/>
            <w:tcBorders>
              <w:top w:val="nil"/>
              <w:bottom w:val="nil"/>
            </w:tcBorders>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Borders>
              <w:top w:val="nil"/>
            </w:tcBorders>
          </w:tcPr>
          <w:p>
            <w:pPr>
              <w:pStyle w:val="14"/>
              <w:jc w:val="left"/>
              <w:rPr>
                <w:rFonts w:ascii="Times New Roman"/>
                <w:sz w:val="20"/>
              </w:rPr>
            </w:pPr>
          </w:p>
        </w:tc>
        <w:tc>
          <w:tcPr>
            <w:tcW w:w="5652" w:type="dxa"/>
            <w:tcBorders>
              <w:top w:val="nil"/>
            </w:tcBorders>
          </w:tcPr>
          <w:p>
            <w:pPr>
              <w:pStyle w:val="14"/>
              <w:spacing w:before="16"/>
              <w:ind w:left="108"/>
              <w:jc w:val="left"/>
              <w:rPr>
                <w:sz w:val="21"/>
              </w:rPr>
            </w:pPr>
            <w:r>
              <w:rPr>
                <w:sz w:val="21"/>
              </w:rPr>
              <w:t>理站统一处理后回用。集水池集水池平面尺寸为</w:t>
            </w:r>
          </w:p>
          <w:p>
            <w:pPr>
              <w:pStyle w:val="14"/>
              <w:spacing w:before="43"/>
              <w:ind w:left="108"/>
              <w:jc w:val="left"/>
              <w:rPr>
                <w:sz w:val="21"/>
              </w:rPr>
            </w:pPr>
            <w:r>
              <w:rPr>
                <w:rFonts w:ascii="Times New Roman" w:hAnsi="Times New Roman" w:eastAsia="Times New Roman"/>
                <w:sz w:val="21"/>
              </w:rPr>
              <w:t>L×B×H=2.40×1.50×1.50m</w:t>
            </w:r>
            <w:r>
              <w:rPr>
                <w:sz w:val="21"/>
              </w:rPr>
              <w:t>。</w:t>
            </w:r>
          </w:p>
        </w:tc>
        <w:tc>
          <w:tcPr>
            <w:tcW w:w="951" w:type="dxa"/>
            <w:tcBorders>
              <w:top w:val="nil"/>
            </w:tcBorders>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Borders>
              <w:bottom w:val="nil"/>
            </w:tcBorders>
          </w:tcPr>
          <w:p>
            <w:pPr>
              <w:pStyle w:val="14"/>
              <w:jc w:val="left"/>
              <w:rPr>
                <w:rFonts w:ascii="Times New Roman"/>
                <w:sz w:val="20"/>
              </w:rPr>
            </w:pPr>
          </w:p>
        </w:tc>
        <w:tc>
          <w:tcPr>
            <w:tcW w:w="5652" w:type="dxa"/>
            <w:tcBorders>
              <w:bottom w:val="nil"/>
            </w:tcBorders>
          </w:tcPr>
          <w:p>
            <w:pPr>
              <w:pStyle w:val="14"/>
              <w:spacing w:before="22" w:line="266" w:lineRule="exact"/>
              <w:ind w:left="108"/>
              <w:jc w:val="left"/>
              <w:rPr>
                <w:sz w:val="21"/>
              </w:rPr>
            </w:pPr>
            <w:r>
              <w:rPr>
                <w:sz w:val="21"/>
              </w:rPr>
              <w:t>矿井地面主要噪声源有：通风机、压风机房等处，这些设备</w:t>
            </w:r>
          </w:p>
        </w:tc>
        <w:tc>
          <w:tcPr>
            <w:tcW w:w="951" w:type="dxa"/>
            <w:tcBorders>
              <w:bottom w:val="nil"/>
            </w:tcBorders>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Borders>
              <w:top w:val="nil"/>
              <w:bottom w:val="nil"/>
            </w:tcBorders>
          </w:tcPr>
          <w:p>
            <w:pPr>
              <w:pStyle w:val="14"/>
              <w:jc w:val="left"/>
              <w:rPr>
                <w:rFonts w:ascii="Times New Roman"/>
                <w:sz w:val="20"/>
              </w:rPr>
            </w:pPr>
          </w:p>
        </w:tc>
        <w:tc>
          <w:tcPr>
            <w:tcW w:w="5652" w:type="dxa"/>
            <w:tcBorders>
              <w:top w:val="nil"/>
              <w:bottom w:val="nil"/>
            </w:tcBorders>
          </w:tcPr>
          <w:p>
            <w:pPr>
              <w:pStyle w:val="14"/>
              <w:spacing w:before="16" w:line="266" w:lineRule="exact"/>
              <w:ind w:left="108"/>
              <w:jc w:val="left"/>
              <w:rPr>
                <w:sz w:val="21"/>
              </w:rPr>
            </w:pPr>
            <w:r>
              <w:rPr>
                <w:sz w:val="21"/>
              </w:rPr>
              <w:t>噪声源大部分是固定噪声源。</w:t>
            </w:r>
          </w:p>
        </w:tc>
        <w:tc>
          <w:tcPr>
            <w:tcW w:w="951" w:type="dxa"/>
            <w:tcBorders>
              <w:top w:val="nil"/>
              <w:bottom w:val="nil"/>
            </w:tcBorders>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6"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Borders>
              <w:top w:val="nil"/>
              <w:bottom w:val="nil"/>
            </w:tcBorders>
          </w:tcPr>
          <w:p>
            <w:pPr>
              <w:pStyle w:val="14"/>
              <w:spacing w:before="5"/>
              <w:jc w:val="left"/>
              <w:rPr>
                <w:b/>
                <w:sz w:val="16"/>
              </w:rPr>
            </w:pPr>
          </w:p>
          <w:p>
            <w:pPr>
              <w:pStyle w:val="14"/>
              <w:ind w:left="145" w:right="137"/>
              <w:rPr>
                <w:sz w:val="21"/>
              </w:rPr>
            </w:pPr>
            <w:r>
              <w:rPr>
                <w:sz w:val="21"/>
              </w:rPr>
              <w:t>噪声工程</w:t>
            </w:r>
          </w:p>
        </w:tc>
        <w:tc>
          <w:tcPr>
            <w:tcW w:w="5652" w:type="dxa"/>
            <w:tcBorders>
              <w:top w:val="nil"/>
              <w:bottom w:val="nil"/>
            </w:tcBorders>
          </w:tcPr>
          <w:p>
            <w:pPr>
              <w:pStyle w:val="14"/>
              <w:spacing w:before="16" w:line="278" w:lineRule="auto"/>
              <w:ind w:left="108" w:right="27"/>
              <w:jc w:val="left"/>
              <w:rPr>
                <w:sz w:val="21"/>
              </w:rPr>
            </w:pPr>
            <w:r>
              <w:rPr>
                <w:w w:val="95"/>
                <w:sz w:val="21"/>
              </w:rPr>
              <w:t xml:space="preserve">通风机噪声以中、低频噪声为主。设计选用带有消声装置的 </w:t>
            </w:r>
            <w:r>
              <w:rPr>
                <w:sz w:val="21"/>
              </w:rPr>
              <w:t xml:space="preserve">轴流风机，出口噪音小于 </w:t>
            </w:r>
            <w:r>
              <w:rPr>
                <w:rFonts w:ascii="Times New Roman" w:eastAsia="Times New Roman"/>
                <w:sz w:val="21"/>
              </w:rPr>
              <w:t>85dB</w:t>
            </w:r>
            <w:r>
              <w:rPr>
                <w:sz w:val="21"/>
              </w:rPr>
              <w:t>。</w:t>
            </w:r>
          </w:p>
          <w:p>
            <w:pPr>
              <w:pStyle w:val="14"/>
              <w:spacing w:line="266" w:lineRule="exact"/>
              <w:ind w:left="108"/>
              <w:jc w:val="left"/>
              <w:rPr>
                <w:sz w:val="21"/>
              </w:rPr>
            </w:pPr>
            <w:r>
              <w:rPr>
                <w:sz w:val="21"/>
              </w:rPr>
              <w:t>锅炉房和提升机房设置隔声门窗和隔音值班室；锅炉鼓、引</w:t>
            </w:r>
          </w:p>
        </w:tc>
        <w:tc>
          <w:tcPr>
            <w:tcW w:w="951" w:type="dxa"/>
            <w:tcBorders>
              <w:top w:val="nil"/>
              <w:bottom w:val="nil"/>
            </w:tcBorders>
          </w:tcPr>
          <w:p>
            <w:pPr>
              <w:pStyle w:val="14"/>
              <w:spacing w:before="11"/>
              <w:jc w:val="left"/>
              <w:rPr>
                <w:b/>
                <w:sz w:val="15"/>
              </w:rPr>
            </w:pPr>
          </w:p>
          <w:p>
            <w:pPr>
              <w:pStyle w:val="14"/>
              <w:ind w:left="243" w:right="238"/>
              <w:rPr>
                <w:sz w:val="21"/>
              </w:rPr>
            </w:pPr>
            <w:r>
              <w:rPr>
                <w:sz w:val="21"/>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Borders>
              <w:top w:val="nil"/>
            </w:tcBorders>
          </w:tcPr>
          <w:p>
            <w:pPr>
              <w:pStyle w:val="14"/>
              <w:jc w:val="left"/>
              <w:rPr>
                <w:rFonts w:ascii="Times New Roman"/>
                <w:sz w:val="20"/>
              </w:rPr>
            </w:pPr>
          </w:p>
        </w:tc>
        <w:tc>
          <w:tcPr>
            <w:tcW w:w="5652" w:type="dxa"/>
            <w:tcBorders>
              <w:top w:val="nil"/>
            </w:tcBorders>
          </w:tcPr>
          <w:p>
            <w:pPr>
              <w:pStyle w:val="14"/>
              <w:spacing w:before="16" w:line="268" w:lineRule="exact"/>
              <w:ind w:left="108"/>
              <w:jc w:val="left"/>
              <w:rPr>
                <w:sz w:val="21"/>
              </w:rPr>
            </w:pPr>
            <w:r>
              <w:rPr>
                <w:sz w:val="21"/>
              </w:rPr>
              <w:t>风机和送风机均设置减震基础。</w:t>
            </w:r>
          </w:p>
        </w:tc>
        <w:tc>
          <w:tcPr>
            <w:tcW w:w="951" w:type="dxa"/>
            <w:tcBorders>
              <w:top w:val="nil"/>
            </w:tcBorders>
          </w:tcPr>
          <w:p>
            <w:pPr>
              <w:pStyle w:val="14"/>
              <w:jc w:val="left"/>
              <w:rPr>
                <w:rFonts w:ascii="Times New Roman"/>
                <w:sz w:val="20"/>
              </w:rPr>
            </w:pPr>
          </w:p>
        </w:tc>
      </w:tr>
    </w:tbl>
    <w:p>
      <w:pPr>
        <w:spacing w:after="0"/>
        <w:jc w:val="left"/>
        <w:rPr>
          <w:rFonts w:ascii="Times New Roman"/>
          <w:sz w:val="20"/>
        </w:rPr>
        <w:sectPr>
          <w:pgSz w:w="11910" w:h="16840"/>
          <w:pgMar w:top="1080" w:right="720" w:bottom="1080" w:left="760" w:header="0" w:footer="89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49" name="组合 23"/>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48" name="直线 24"/>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23"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aCLtQAAAADAQAADwAAAAAAAAABACAAAAAiAAAAZHJzL2Rvd25yZXYueG1s&#10;UEsBAhQAFAAAAAgAh07iQDd2W0M1AgAAtgQAAA4AAAAAAAAAAQAgAAAAIwEAAGRycy9lMm9Eb2Mu&#10;eG1sUEsFBgAAAAAGAAYAWQEAAMoFAAAAAA==&#10;">
                <o:lock v:ext="edit" aspectratio="f"/>
                <v:line id="直线 24" o:spid="_x0000_s1026" o:spt="20" style="position:absolute;left:0;top:7;height:0;width:8306;" filled="f" stroked="t" coordsize="21600,21600" o:gfxdata="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0+5u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pStyle w:val="6"/>
        <w:spacing w:before="1"/>
        <w:rPr>
          <w:b/>
          <w:sz w:val="25"/>
        </w:rPr>
      </w:pPr>
    </w:p>
    <w:tbl>
      <w:tblPr>
        <w:tblStyle w:val="10"/>
        <w:tblW w:w="0" w:type="auto"/>
        <w:tblInd w:w="5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8"/>
        <w:gridCol w:w="408"/>
        <w:gridCol w:w="1805"/>
        <w:gridCol w:w="5652"/>
        <w:gridCol w:w="9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408" w:type="dxa"/>
            <w:vMerge w:val="restart"/>
          </w:tcPr>
          <w:p>
            <w:pPr>
              <w:pStyle w:val="14"/>
              <w:jc w:val="left"/>
              <w:rPr>
                <w:rFonts w:ascii="Times New Roman"/>
                <w:sz w:val="22"/>
              </w:rPr>
            </w:pPr>
          </w:p>
        </w:tc>
        <w:tc>
          <w:tcPr>
            <w:tcW w:w="408" w:type="dxa"/>
            <w:vMerge w:val="restart"/>
          </w:tcPr>
          <w:p>
            <w:pPr>
              <w:pStyle w:val="14"/>
              <w:jc w:val="left"/>
              <w:rPr>
                <w:rFonts w:ascii="Times New Roman"/>
                <w:sz w:val="22"/>
              </w:rPr>
            </w:pPr>
          </w:p>
        </w:tc>
        <w:tc>
          <w:tcPr>
            <w:tcW w:w="1805" w:type="dxa"/>
            <w:tcBorders>
              <w:bottom w:val="nil"/>
            </w:tcBorders>
          </w:tcPr>
          <w:p>
            <w:pPr>
              <w:pStyle w:val="14"/>
              <w:jc w:val="left"/>
              <w:rPr>
                <w:rFonts w:ascii="Times New Roman"/>
                <w:sz w:val="22"/>
              </w:rPr>
            </w:pPr>
          </w:p>
        </w:tc>
        <w:tc>
          <w:tcPr>
            <w:tcW w:w="5652" w:type="dxa"/>
            <w:tcBorders>
              <w:bottom w:val="nil"/>
            </w:tcBorders>
          </w:tcPr>
          <w:p>
            <w:pPr>
              <w:pStyle w:val="14"/>
              <w:spacing w:before="21"/>
              <w:ind w:left="108"/>
              <w:jc w:val="left"/>
              <w:rPr>
                <w:sz w:val="21"/>
              </w:rPr>
            </w:pPr>
            <w:r>
              <w:rPr>
                <w:spacing w:val="-10"/>
                <w:sz w:val="21"/>
              </w:rPr>
              <w:t xml:space="preserve">矸石临时堆放场地，占地面积 </w:t>
            </w:r>
            <w:r>
              <w:rPr>
                <w:rFonts w:ascii="Times New Roman" w:eastAsia="Times New Roman"/>
                <w:sz w:val="21"/>
              </w:rPr>
              <w:t>8570m</w:t>
            </w:r>
            <w:r>
              <w:rPr>
                <w:rFonts w:ascii="Times New Roman" w:eastAsia="Times New Roman"/>
                <w:position w:val="7"/>
                <w:sz w:val="13"/>
              </w:rPr>
              <w:t>2</w:t>
            </w:r>
            <w:r>
              <w:rPr>
                <w:spacing w:val="-8"/>
                <w:sz w:val="21"/>
              </w:rPr>
              <w:t>。矸石可以用来平整工</w:t>
            </w:r>
          </w:p>
          <w:p>
            <w:pPr>
              <w:pStyle w:val="14"/>
              <w:spacing w:before="43" w:line="266" w:lineRule="exact"/>
              <w:ind w:left="108"/>
              <w:jc w:val="left"/>
              <w:rPr>
                <w:sz w:val="21"/>
              </w:rPr>
            </w:pPr>
            <w:r>
              <w:rPr>
                <w:sz w:val="21"/>
              </w:rPr>
              <w:t>业场地；用作公路的路基石料；用于填沟造地。</w:t>
            </w:r>
          </w:p>
        </w:tc>
        <w:tc>
          <w:tcPr>
            <w:tcW w:w="951" w:type="dxa"/>
            <w:tcBorders>
              <w:bottom w:val="nil"/>
            </w:tcBorders>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Borders>
              <w:top w:val="nil"/>
              <w:bottom w:val="nil"/>
            </w:tcBorders>
          </w:tcPr>
          <w:p>
            <w:pPr>
              <w:pStyle w:val="14"/>
              <w:jc w:val="left"/>
              <w:rPr>
                <w:rFonts w:ascii="Times New Roman"/>
                <w:sz w:val="22"/>
              </w:rPr>
            </w:pPr>
          </w:p>
        </w:tc>
        <w:tc>
          <w:tcPr>
            <w:tcW w:w="5652" w:type="dxa"/>
            <w:tcBorders>
              <w:top w:val="nil"/>
              <w:bottom w:val="nil"/>
            </w:tcBorders>
          </w:tcPr>
          <w:p>
            <w:pPr>
              <w:pStyle w:val="14"/>
              <w:spacing w:before="16" w:line="266" w:lineRule="exact"/>
              <w:ind w:left="108"/>
              <w:jc w:val="left"/>
              <w:rPr>
                <w:sz w:val="21"/>
              </w:rPr>
            </w:pPr>
            <w:r>
              <w:rPr>
                <w:sz w:val="21"/>
              </w:rPr>
              <w:t>为防止雨水径流进入矸石临时堆放场地，避免渗滤液量增加</w:t>
            </w:r>
          </w:p>
        </w:tc>
        <w:tc>
          <w:tcPr>
            <w:tcW w:w="951" w:type="dxa"/>
            <w:tcBorders>
              <w:top w:val="nil"/>
              <w:bottom w:val="nil"/>
            </w:tcBorders>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Borders>
              <w:top w:val="nil"/>
              <w:bottom w:val="nil"/>
            </w:tcBorders>
          </w:tcPr>
          <w:p>
            <w:pPr>
              <w:pStyle w:val="14"/>
              <w:jc w:val="left"/>
              <w:rPr>
                <w:rFonts w:ascii="Times New Roman"/>
                <w:sz w:val="22"/>
              </w:rPr>
            </w:pPr>
          </w:p>
        </w:tc>
        <w:tc>
          <w:tcPr>
            <w:tcW w:w="5652" w:type="dxa"/>
            <w:tcBorders>
              <w:top w:val="nil"/>
              <w:bottom w:val="nil"/>
            </w:tcBorders>
          </w:tcPr>
          <w:p>
            <w:pPr>
              <w:pStyle w:val="14"/>
              <w:spacing w:before="16" w:line="266" w:lineRule="exact"/>
              <w:ind w:left="108"/>
              <w:jc w:val="left"/>
              <w:rPr>
                <w:sz w:val="21"/>
              </w:rPr>
            </w:pPr>
            <w:r>
              <w:rPr>
                <w:sz w:val="21"/>
              </w:rPr>
              <w:t>而影响地下水和地面水体水质，在矸石临时堆放场地周边新</w:t>
            </w:r>
          </w:p>
        </w:tc>
        <w:tc>
          <w:tcPr>
            <w:tcW w:w="951" w:type="dxa"/>
            <w:tcBorders>
              <w:top w:val="nil"/>
              <w:bottom w:val="nil"/>
            </w:tcBorders>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Borders>
              <w:top w:val="nil"/>
              <w:bottom w:val="nil"/>
            </w:tcBorders>
          </w:tcPr>
          <w:p>
            <w:pPr>
              <w:pStyle w:val="14"/>
              <w:spacing w:before="54" w:line="247" w:lineRule="exact"/>
              <w:ind w:left="482"/>
              <w:jc w:val="left"/>
              <w:rPr>
                <w:sz w:val="21"/>
              </w:rPr>
            </w:pPr>
            <w:r>
              <w:rPr>
                <w:sz w:val="21"/>
              </w:rPr>
              <w:t>固体废物</w:t>
            </w:r>
          </w:p>
        </w:tc>
        <w:tc>
          <w:tcPr>
            <w:tcW w:w="5652" w:type="dxa"/>
            <w:tcBorders>
              <w:top w:val="nil"/>
              <w:bottom w:val="nil"/>
            </w:tcBorders>
          </w:tcPr>
          <w:p>
            <w:pPr>
              <w:pStyle w:val="14"/>
              <w:spacing w:before="16"/>
              <w:ind w:left="108"/>
              <w:jc w:val="left"/>
              <w:rPr>
                <w:sz w:val="21"/>
              </w:rPr>
            </w:pPr>
            <w:r>
              <w:rPr>
                <w:sz w:val="21"/>
              </w:rPr>
              <w:t>建拦矸坝和截流沟。</w:t>
            </w:r>
          </w:p>
        </w:tc>
        <w:tc>
          <w:tcPr>
            <w:tcW w:w="951" w:type="dxa"/>
            <w:tcBorders>
              <w:top w:val="nil"/>
              <w:bottom w:val="nil"/>
            </w:tcBorders>
          </w:tcPr>
          <w:p>
            <w:pPr>
              <w:pStyle w:val="14"/>
              <w:spacing w:before="49" w:line="251" w:lineRule="exact"/>
              <w:ind w:left="243" w:right="238"/>
              <w:rPr>
                <w:sz w:val="21"/>
              </w:rPr>
            </w:pPr>
            <w:r>
              <w:rPr>
                <w:sz w:val="21"/>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Borders>
              <w:top w:val="nil"/>
              <w:bottom w:val="nil"/>
            </w:tcBorders>
          </w:tcPr>
          <w:p>
            <w:pPr>
              <w:pStyle w:val="14"/>
              <w:jc w:val="left"/>
              <w:rPr>
                <w:rFonts w:ascii="Times New Roman"/>
                <w:sz w:val="20"/>
              </w:rPr>
            </w:pPr>
          </w:p>
        </w:tc>
        <w:tc>
          <w:tcPr>
            <w:tcW w:w="5652" w:type="dxa"/>
            <w:tcBorders>
              <w:top w:val="nil"/>
              <w:bottom w:val="nil"/>
            </w:tcBorders>
          </w:tcPr>
          <w:p>
            <w:pPr>
              <w:pStyle w:val="14"/>
              <w:spacing w:line="263" w:lineRule="exact"/>
              <w:ind w:left="108"/>
              <w:jc w:val="left"/>
              <w:rPr>
                <w:sz w:val="21"/>
              </w:rPr>
            </w:pPr>
            <w:r>
              <w:rPr>
                <w:sz w:val="21"/>
              </w:rPr>
              <w:t>锅炉灰渣主要由工业场地锅炉、热风炉排放，工业场地锅炉</w:t>
            </w:r>
          </w:p>
        </w:tc>
        <w:tc>
          <w:tcPr>
            <w:tcW w:w="951" w:type="dxa"/>
            <w:tcBorders>
              <w:top w:val="nil"/>
              <w:bottom w:val="nil"/>
            </w:tcBorders>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Borders>
              <w:top w:val="nil"/>
              <w:bottom w:val="nil"/>
            </w:tcBorders>
          </w:tcPr>
          <w:p>
            <w:pPr>
              <w:pStyle w:val="14"/>
              <w:jc w:val="left"/>
              <w:rPr>
                <w:rFonts w:ascii="Times New Roman"/>
                <w:sz w:val="22"/>
              </w:rPr>
            </w:pPr>
          </w:p>
        </w:tc>
        <w:tc>
          <w:tcPr>
            <w:tcW w:w="5652" w:type="dxa"/>
            <w:tcBorders>
              <w:top w:val="nil"/>
              <w:bottom w:val="nil"/>
            </w:tcBorders>
          </w:tcPr>
          <w:p>
            <w:pPr>
              <w:pStyle w:val="14"/>
              <w:spacing w:before="16" w:line="266" w:lineRule="exact"/>
              <w:ind w:left="108"/>
              <w:jc w:val="left"/>
              <w:rPr>
                <w:sz w:val="21"/>
              </w:rPr>
            </w:pPr>
            <w:r>
              <w:rPr>
                <w:sz w:val="21"/>
              </w:rPr>
              <w:t>灰渣就地销售，用于筑路、生产建材等。</w:t>
            </w:r>
          </w:p>
        </w:tc>
        <w:tc>
          <w:tcPr>
            <w:tcW w:w="951" w:type="dxa"/>
            <w:tcBorders>
              <w:top w:val="nil"/>
              <w:bottom w:val="nil"/>
            </w:tcBorders>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Borders>
              <w:top w:val="nil"/>
              <w:bottom w:val="nil"/>
            </w:tcBorders>
          </w:tcPr>
          <w:p>
            <w:pPr>
              <w:pStyle w:val="14"/>
              <w:jc w:val="left"/>
              <w:rPr>
                <w:rFonts w:ascii="Times New Roman"/>
                <w:sz w:val="22"/>
              </w:rPr>
            </w:pPr>
          </w:p>
        </w:tc>
        <w:tc>
          <w:tcPr>
            <w:tcW w:w="5652" w:type="dxa"/>
            <w:tcBorders>
              <w:top w:val="nil"/>
              <w:bottom w:val="nil"/>
            </w:tcBorders>
          </w:tcPr>
          <w:p>
            <w:pPr>
              <w:pStyle w:val="14"/>
              <w:spacing w:before="16" w:line="266" w:lineRule="exact"/>
              <w:ind w:left="108"/>
              <w:jc w:val="left"/>
              <w:rPr>
                <w:sz w:val="21"/>
              </w:rPr>
            </w:pPr>
            <w:r>
              <w:rPr>
                <w:sz w:val="21"/>
              </w:rPr>
              <w:t>生活垃圾和污水处理站污泥定期委托当地市政环卫部门集</w:t>
            </w:r>
          </w:p>
        </w:tc>
        <w:tc>
          <w:tcPr>
            <w:tcW w:w="951" w:type="dxa"/>
            <w:tcBorders>
              <w:top w:val="nil"/>
              <w:bottom w:val="nil"/>
            </w:tcBorders>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Borders>
              <w:top w:val="nil"/>
            </w:tcBorders>
          </w:tcPr>
          <w:p>
            <w:pPr>
              <w:pStyle w:val="14"/>
              <w:jc w:val="left"/>
              <w:rPr>
                <w:rFonts w:ascii="Times New Roman"/>
                <w:sz w:val="22"/>
              </w:rPr>
            </w:pPr>
          </w:p>
        </w:tc>
        <w:tc>
          <w:tcPr>
            <w:tcW w:w="5652" w:type="dxa"/>
            <w:tcBorders>
              <w:top w:val="nil"/>
            </w:tcBorders>
          </w:tcPr>
          <w:p>
            <w:pPr>
              <w:pStyle w:val="14"/>
              <w:spacing w:before="16"/>
              <w:ind w:left="108"/>
              <w:jc w:val="left"/>
              <w:rPr>
                <w:sz w:val="21"/>
              </w:rPr>
            </w:pPr>
            <w:r>
              <w:rPr>
                <w:sz w:val="21"/>
              </w:rPr>
              <w:t>中处理。</w:t>
            </w:r>
          </w:p>
        </w:tc>
        <w:tc>
          <w:tcPr>
            <w:tcW w:w="951" w:type="dxa"/>
            <w:tcBorders>
              <w:top w:val="nil"/>
            </w:tcBorders>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Borders>
              <w:bottom w:val="nil"/>
            </w:tcBorders>
          </w:tcPr>
          <w:p>
            <w:pPr>
              <w:pStyle w:val="14"/>
              <w:jc w:val="left"/>
              <w:rPr>
                <w:rFonts w:ascii="Times New Roman"/>
                <w:sz w:val="22"/>
              </w:rPr>
            </w:pPr>
          </w:p>
        </w:tc>
        <w:tc>
          <w:tcPr>
            <w:tcW w:w="5652" w:type="dxa"/>
            <w:tcBorders>
              <w:bottom w:val="nil"/>
            </w:tcBorders>
          </w:tcPr>
          <w:p>
            <w:pPr>
              <w:pStyle w:val="14"/>
              <w:spacing w:before="21" w:line="266" w:lineRule="exact"/>
              <w:ind w:left="108" w:right="-15"/>
              <w:jc w:val="left"/>
              <w:rPr>
                <w:sz w:val="21"/>
              </w:rPr>
            </w:pPr>
            <w:r>
              <w:rPr>
                <w:spacing w:val="-7"/>
                <w:sz w:val="21"/>
              </w:rPr>
              <w:t>矿区绿化以构建矿区立体绿化为目标，用草坪、花坛、绿篱、</w:t>
            </w:r>
          </w:p>
        </w:tc>
        <w:tc>
          <w:tcPr>
            <w:tcW w:w="951" w:type="dxa"/>
            <w:tcBorders>
              <w:bottom w:val="nil"/>
            </w:tcBorders>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Borders>
              <w:top w:val="nil"/>
              <w:bottom w:val="nil"/>
            </w:tcBorders>
          </w:tcPr>
          <w:p>
            <w:pPr>
              <w:pStyle w:val="14"/>
              <w:jc w:val="left"/>
              <w:rPr>
                <w:rFonts w:ascii="Times New Roman"/>
                <w:sz w:val="22"/>
              </w:rPr>
            </w:pPr>
          </w:p>
        </w:tc>
        <w:tc>
          <w:tcPr>
            <w:tcW w:w="5652" w:type="dxa"/>
            <w:tcBorders>
              <w:top w:val="nil"/>
              <w:bottom w:val="nil"/>
            </w:tcBorders>
          </w:tcPr>
          <w:p>
            <w:pPr>
              <w:pStyle w:val="14"/>
              <w:spacing w:before="16" w:line="266" w:lineRule="exact"/>
              <w:ind w:left="108"/>
              <w:jc w:val="left"/>
              <w:rPr>
                <w:sz w:val="21"/>
              </w:rPr>
            </w:pPr>
            <w:r>
              <w:rPr>
                <w:sz w:val="21"/>
              </w:rPr>
              <w:t>常青树、落叶乔木和灌木等构成宜人的空间层次；在生产区</w:t>
            </w:r>
          </w:p>
        </w:tc>
        <w:tc>
          <w:tcPr>
            <w:tcW w:w="951" w:type="dxa"/>
            <w:tcBorders>
              <w:top w:val="nil"/>
              <w:bottom w:val="nil"/>
            </w:tcBorders>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Borders>
              <w:top w:val="nil"/>
              <w:bottom w:val="nil"/>
            </w:tcBorders>
          </w:tcPr>
          <w:p>
            <w:pPr>
              <w:pStyle w:val="14"/>
              <w:jc w:val="left"/>
              <w:rPr>
                <w:rFonts w:ascii="Times New Roman"/>
                <w:sz w:val="22"/>
              </w:rPr>
            </w:pPr>
          </w:p>
        </w:tc>
        <w:tc>
          <w:tcPr>
            <w:tcW w:w="5652" w:type="dxa"/>
            <w:tcBorders>
              <w:top w:val="nil"/>
              <w:bottom w:val="nil"/>
            </w:tcBorders>
          </w:tcPr>
          <w:p>
            <w:pPr>
              <w:pStyle w:val="14"/>
              <w:spacing w:before="16" w:line="266" w:lineRule="exact"/>
              <w:ind w:left="108"/>
              <w:jc w:val="left"/>
              <w:rPr>
                <w:sz w:val="21"/>
              </w:rPr>
            </w:pPr>
            <w:r>
              <w:rPr>
                <w:sz w:val="21"/>
              </w:rPr>
              <w:t>“见缝插绿”地栽培小灌木和草坪；在主、副井绞车房、压</w:t>
            </w:r>
          </w:p>
        </w:tc>
        <w:tc>
          <w:tcPr>
            <w:tcW w:w="951" w:type="dxa"/>
            <w:tcBorders>
              <w:top w:val="nil"/>
              <w:bottom w:val="nil"/>
            </w:tcBorders>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Borders>
              <w:top w:val="nil"/>
              <w:bottom w:val="nil"/>
            </w:tcBorders>
          </w:tcPr>
          <w:p>
            <w:pPr>
              <w:pStyle w:val="14"/>
              <w:spacing w:before="54" w:line="247" w:lineRule="exact"/>
              <w:ind w:left="482"/>
              <w:jc w:val="left"/>
              <w:rPr>
                <w:sz w:val="21"/>
              </w:rPr>
            </w:pPr>
            <w:r>
              <w:rPr>
                <w:sz w:val="21"/>
              </w:rPr>
              <w:t>生态环境</w:t>
            </w:r>
          </w:p>
        </w:tc>
        <w:tc>
          <w:tcPr>
            <w:tcW w:w="5652" w:type="dxa"/>
            <w:tcBorders>
              <w:top w:val="nil"/>
              <w:bottom w:val="nil"/>
            </w:tcBorders>
          </w:tcPr>
          <w:p>
            <w:pPr>
              <w:pStyle w:val="14"/>
              <w:spacing w:before="16"/>
              <w:ind w:left="108"/>
              <w:jc w:val="left"/>
              <w:rPr>
                <w:sz w:val="21"/>
              </w:rPr>
            </w:pPr>
            <w:r>
              <w:rPr>
                <w:sz w:val="21"/>
              </w:rPr>
              <w:t>风机房、动筛车间和选煤厂主厂房等处的生产噪声较强处，</w:t>
            </w:r>
          </w:p>
        </w:tc>
        <w:tc>
          <w:tcPr>
            <w:tcW w:w="951" w:type="dxa"/>
            <w:tcBorders>
              <w:top w:val="nil"/>
              <w:bottom w:val="nil"/>
            </w:tcBorders>
          </w:tcPr>
          <w:p>
            <w:pPr>
              <w:pStyle w:val="14"/>
              <w:spacing w:before="49" w:line="252" w:lineRule="exact"/>
              <w:ind w:left="243" w:right="238"/>
              <w:rPr>
                <w:sz w:val="21"/>
              </w:rPr>
            </w:pPr>
            <w:r>
              <w:rPr>
                <w:sz w:val="21"/>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Borders>
              <w:top w:val="nil"/>
              <w:bottom w:val="nil"/>
            </w:tcBorders>
          </w:tcPr>
          <w:p>
            <w:pPr>
              <w:pStyle w:val="14"/>
              <w:jc w:val="left"/>
              <w:rPr>
                <w:rFonts w:ascii="Times New Roman"/>
                <w:sz w:val="20"/>
              </w:rPr>
            </w:pPr>
          </w:p>
        </w:tc>
        <w:tc>
          <w:tcPr>
            <w:tcW w:w="5652" w:type="dxa"/>
            <w:tcBorders>
              <w:top w:val="nil"/>
              <w:bottom w:val="nil"/>
            </w:tcBorders>
          </w:tcPr>
          <w:p>
            <w:pPr>
              <w:pStyle w:val="14"/>
              <w:spacing w:line="263" w:lineRule="exact"/>
              <w:ind w:left="108"/>
              <w:jc w:val="left"/>
              <w:rPr>
                <w:sz w:val="21"/>
              </w:rPr>
            </w:pPr>
            <w:r>
              <w:rPr>
                <w:sz w:val="21"/>
              </w:rPr>
              <w:t>种植具有吸声效果的树种；在矿井工业场地场界外，进矿道</w:t>
            </w:r>
          </w:p>
        </w:tc>
        <w:tc>
          <w:tcPr>
            <w:tcW w:w="951" w:type="dxa"/>
            <w:tcBorders>
              <w:top w:val="nil"/>
              <w:bottom w:val="nil"/>
            </w:tcBorders>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Borders>
              <w:top w:val="nil"/>
              <w:bottom w:val="nil"/>
            </w:tcBorders>
          </w:tcPr>
          <w:p>
            <w:pPr>
              <w:pStyle w:val="14"/>
              <w:jc w:val="left"/>
              <w:rPr>
                <w:rFonts w:ascii="Times New Roman"/>
                <w:sz w:val="22"/>
              </w:rPr>
            </w:pPr>
          </w:p>
        </w:tc>
        <w:tc>
          <w:tcPr>
            <w:tcW w:w="5652" w:type="dxa"/>
            <w:tcBorders>
              <w:top w:val="nil"/>
              <w:bottom w:val="nil"/>
            </w:tcBorders>
          </w:tcPr>
          <w:p>
            <w:pPr>
              <w:pStyle w:val="14"/>
              <w:spacing w:before="16" w:line="266" w:lineRule="exact"/>
              <w:ind w:left="108"/>
              <w:jc w:val="left"/>
              <w:rPr>
                <w:sz w:val="21"/>
              </w:rPr>
            </w:pPr>
            <w:r>
              <w:rPr>
                <w:sz w:val="21"/>
              </w:rPr>
              <w:t>路附近密集种植大量的乔木，使得规划期内矿区绿化率达到</w:t>
            </w:r>
          </w:p>
        </w:tc>
        <w:tc>
          <w:tcPr>
            <w:tcW w:w="951" w:type="dxa"/>
            <w:tcBorders>
              <w:top w:val="nil"/>
              <w:bottom w:val="nil"/>
            </w:tcBorders>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408" w:type="dxa"/>
            <w:vMerge w:val="continue"/>
            <w:tcBorders>
              <w:top w:val="nil"/>
            </w:tcBorders>
          </w:tcPr>
          <w:p>
            <w:pPr>
              <w:rPr>
                <w:sz w:val="2"/>
                <w:szCs w:val="2"/>
              </w:rPr>
            </w:pPr>
          </w:p>
        </w:tc>
        <w:tc>
          <w:tcPr>
            <w:tcW w:w="408" w:type="dxa"/>
            <w:vMerge w:val="continue"/>
            <w:tcBorders>
              <w:top w:val="nil"/>
            </w:tcBorders>
          </w:tcPr>
          <w:p>
            <w:pPr>
              <w:rPr>
                <w:sz w:val="2"/>
                <w:szCs w:val="2"/>
              </w:rPr>
            </w:pPr>
          </w:p>
        </w:tc>
        <w:tc>
          <w:tcPr>
            <w:tcW w:w="1805" w:type="dxa"/>
            <w:tcBorders>
              <w:top w:val="nil"/>
            </w:tcBorders>
          </w:tcPr>
          <w:p>
            <w:pPr>
              <w:pStyle w:val="14"/>
              <w:jc w:val="left"/>
              <w:rPr>
                <w:rFonts w:ascii="Times New Roman"/>
                <w:sz w:val="22"/>
              </w:rPr>
            </w:pPr>
          </w:p>
        </w:tc>
        <w:tc>
          <w:tcPr>
            <w:tcW w:w="5652" w:type="dxa"/>
            <w:tcBorders>
              <w:top w:val="nil"/>
            </w:tcBorders>
          </w:tcPr>
          <w:p>
            <w:pPr>
              <w:pStyle w:val="14"/>
              <w:spacing w:before="16"/>
              <w:ind w:left="108"/>
              <w:jc w:val="left"/>
              <w:rPr>
                <w:sz w:val="21"/>
              </w:rPr>
            </w:pPr>
            <w:r>
              <w:rPr>
                <w:sz w:val="21"/>
              </w:rPr>
              <w:t>预期的指标。</w:t>
            </w:r>
          </w:p>
        </w:tc>
        <w:tc>
          <w:tcPr>
            <w:tcW w:w="951" w:type="dxa"/>
            <w:tcBorders>
              <w:top w:val="nil"/>
            </w:tcBorders>
          </w:tcPr>
          <w:p>
            <w:pPr>
              <w:pStyle w:val="14"/>
              <w:jc w:val="left"/>
              <w:rPr>
                <w:rFonts w:ascii="Times New Roman"/>
                <w:sz w:val="22"/>
              </w:rPr>
            </w:pPr>
          </w:p>
        </w:tc>
      </w:tr>
    </w:tbl>
    <w:p>
      <w:pPr>
        <w:pStyle w:val="13"/>
        <w:numPr>
          <w:ilvl w:val="2"/>
          <w:numId w:val="16"/>
        </w:numPr>
        <w:tabs>
          <w:tab w:val="left" w:pos="1669"/>
        </w:tabs>
        <w:spacing w:before="133" w:after="0" w:line="240" w:lineRule="auto"/>
        <w:ind w:left="1668" w:right="0" w:hanging="629"/>
        <w:jc w:val="both"/>
        <w:rPr>
          <w:b/>
          <w:sz w:val="28"/>
        </w:rPr>
      </w:pPr>
      <w:r>
        <w:rPr>
          <w:b/>
          <w:sz w:val="28"/>
        </w:rPr>
        <w:t>地理位置及交通</w:t>
      </w:r>
    </w:p>
    <w:p>
      <w:pPr>
        <w:pStyle w:val="6"/>
        <w:spacing w:before="214" w:line="364" w:lineRule="auto"/>
        <w:ind w:left="1040" w:right="1077" w:firstLine="480"/>
        <w:jc w:val="both"/>
      </w:pPr>
      <w:r>
        <w:rPr>
          <w:spacing w:val="-3"/>
        </w:rPr>
        <w:t xml:space="preserve">该矿位于双鸭山矿业集团岭东煤矿南 </w:t>
      </w:r>
      <w:r>
        <w:rPr>
          <w:rFonts w:ascii="Times New Roman" w:eastAsia="Times New Roman"/>
        </w:rPr>
        <w:t xml:space="preserve">7km </w:t>
      </w:r>
      <w:r>
        <w:t>处，在双鸭山市司法局劳教所东</w:t>
      </w:r>
      <w:r>
        <w:rPr>
          <w:spacing w:val="-11"/>
        </w:rPr>
        <w:t xml:space="preserve">部。从岭东矿通往矿井有砂石公路可直达，距双鸭山矿业集团内部运煤专用铁路线岭东车站 </w:t>
      </w:r>
      <w:r>
        <w:rPr>
          <w:rFonts w:ascii="Times New Roman" w:eastAsia="Times New Roman"/>
        </w:rPr>
        <w:t>7km</w:t>
      </w:r>
      <w:r>
        <w:rPr>
          <w:spacing w:val="-7"/>
        </w:rPr>
        <w:t xml:space="preserve">，距双鸭山火车站 </w:t>
      </w:r>
      <w:r>
        <w:rPr>
          <w:rFonts w:ascii="Times New Roman" w:eastAsia="Times New Roman"/>
        </w:rPr>
        <w:t>15km</w:t>
      </w:r>
      <w:r>
        <w:t>，交通较为方便。</w:t>
      </w:r>
    </w:p>
    <w:p>
      <w:pPr>
        <w:pStyle w:val="4"/>
        <w:numPr>
          <w:ilvl w:val="2"/>
          <w:numId w:val="16"/>
        </w:numPr>
        <w:tabs>
          <w:tab w:val="left" w:pos="1669"/>
        </w:tabs>
        <w:spacing w:before="53" w:after="0" w:line="240" w:lineRule="auto"/>
        <w:ind w:left="1668" w:right="0" w:hanging="629"/>
        <w:jc w:val="both"/>
      </w:pPr>
      <w:r>
        <w:t>产品方案与流向</w:t>
      </w:r>
    </w:p>
    <w:p>
      <w:pPr>
        <w:pStyle w:val="6"/>
        <w:spacing w:before="214" w:line="364" w:lineRule="auto"/>
        <w:ind w:left="1040" w:right="1077" w:firstLine="480"/>
        <w:jc w:val="both"/>
      </w:pPr>
      <w:r>
        <w:rPr>
          <w:spacing w:val="-8"/>
        </w:rPr>
        <w:t>矿井不设煤炭洗选深加工系统。井下煤炭由皮带主井提至地面在翻卸过程中</w:t>
      </w:r>
      <w:r>
        <w:rPr>
          <w:spacing w:val="-7"/>
        </w:rPr>
        <w:t>通过篦条筛进行简易筛分，筛上煤块再通过人工手选达到分选的目的。供给当地</w:t>
      </w:r>
      <w:r>
        <w:t>洗煤厂进行洗选。</w:t>
      </w:r>
    </w:p>
    <w:p>
      <w:pPr>
        <w:pStyle w:val="4"/>
        <w:numPr>
          <w:ilvl w:val="2"/>
          <w:numId w:val="16"/>
        </w:numPr>
        <w:tabs>
          <w:tab w:val="left" w:pos="1669"/>
        </w:tabs>
        <w:spacing w:before="53" w:after="0" w:line="240" w:lineRule="auto"/>
        <w:ind w:left="1668" w:right="0" w:hanging="629"/>
        <w:jc w:val="both"/>
      </w:pPr>
      <w:r>
        <w:t>项目总平面布置</w:t>
      </w:r>
    </w:p>
    <w:p>
      <w:pPr>
        <w:pStyle w:val="5"/>
        <w:numPr>
          <w:ilvl w:val="3"/>
          <w:numId w:val="17"/>
        </w:numPr>
        <w:tabs>
          <w:tab w:val="left" w:pos="1760"/>
        </w:tabs>
        <w:spacing w:before="214" w:after="0" w:line="240" w:lineRule="auto"/>
        <w:ind w:left="1760" w:right="0" w:hanging="720"/>
        <w:jc w:val="both"/>
      </w:pPr>
      <w:r>
        <w:t>项目地面布置</w:t>
      </w:r>
    </w:p>
    <w:p>
      <w:pPr>
        <w:pStyle w:val="6"/>
        <w:spacing w:before="81" w:line="364" w:lineRule="auto"/>
        <w:ind w:left="1040" w:right="1077" w:firstLine="480"/>
        <w:jc w:val="both"/>
      </w:pPr>
      <w:r>
        <w:t>双鸭山大顺矿业有限公司工业广场利用原有。本项目工业广场占地面积为</w:t>
      </w:r>
      <w:r>
        <w:rPr>
          <w:rFonts w:ascii="Times New Roman" w:eastAsia="Times New Roman"/>
        </w:rPr>
        <w:t>2.9767hm</w:t>
      </w:r>
      <w:r>
        <w:rPr>
          <w:rFonts w:ascii="Times New Roman" w:eastAsia="Times New Roman"/>
          <w:position w:val="8"/>
          <w:sz w:val="15"/>
        </w:rPr>
        <w:t>2</w:t>
      </w:r>
      <w:r>
        <w:t>，双鸭山大顺矿业有限公司工业场地功能分区较为明确，布置较为合理，基本上能够满足矿井改扩建后生产和生活的需要。</w:t>
      </w:r>
    </w:p>
    <w:p>
      <w:pPr>
        <w:pStyle w:val="5"/>
        <w:numPr>
          <w:ilvl w:val="3"/>
          <w:numId w:val="17"/>
        </w:numPr>
        <w:tabs>
          <w:tab w:val="left" w:pos="1760"/>
        </w:tabs>
        <w:spacing w:before="76" w:after="0" w:line="240" w:lineRule="auto"/>
        <w:ind w:left="1760" w:right="0" w:hanging="720"/>
        <w:jc w:val="both"/>
      </w:pPr>
      <w:r>
        <w:t>工业场地平面布置</w:t>
      </w:r>
    </w:p>
    <w:p>
      <w:pPr>
        <w:pStyle w:val="13"/>
        <w:numPr>
          <w:ilvl w:val="4"/>
          <w:numId w:val="17"/>
        </w:numPr>
        <w:tabs>
          <w:tab w:val="left" w:pos="2001"/>
        </w:tabs>
        <w:spacing w:before="161" w:after="0" w:line="240" w:lineRule="auto"/>
        <w:ind w:left="2001" w:right="0" w:hanging="601"/>
        <w:jc w:val="left"/>
        <w:rPr>
          <w:sz w:val="24"/>
        </w:rPr>
      </w:pPr>
      <w:r>
        <w:rPr>
          <w:sz w:val="24"/>
        </w:rPr>
        <w:t>平面位置的确定</w:t>
      </w:r>
    </w:p>
    <w:p>
      <w:pPr>
        <w:pStyle w:val="6"/>
        <w:spacing w:before="160" w:line="364" w:lineRule="auto"/>
        <w:ind w:left="1040" w:right="957" w:firstLine="360"/>
      </w:pPr>
      <w:r>
        <w:rPr>
          <w:spacing w:val="-6"/>
        </w:rPr>
        <w:t xml:space="preserve">工业场地的选址主要依据井下开拓布署、结合地形、地物以及工程地质情况， </w:t>
      </w:r>
      <w:r>
        <w:t>本着有力生产、方便生活、节约用地、减少压煤的原则确定。</w:t>
      </w:r>
    </w:p>
    <w:p>
      <w:pPr>
        <w:pStyle w:val="13"/>
        <w:numPr>
          <w:ilvl w:val="4"/>
          <w:numId w:val="17"/>
        </w:numPr>
        <w:tabs>
          <w:tab w:val="left" w:pos="2001"/>
        </w:tabs>
        <w:spacing w:before="2" w:after="0" w:line="240" w:lineRule="auto"/>
        <w:ind w:left="2001" w:right="0" w:hanging="601"/>
        <w:jc w:val="left"/>
        <w:rPr>
          <w:sz w:val="24"/>
        </w:rPr>
      </w:pPr>
      <w:r>
        <w:rPr>
          <w:sz w:val="24"/>
        </w:rPr>
        <w:t>平面布置的原则</w:t>
      </w:r>
    </w:p>
    <w:p>
      <w:pPr>
        <w:spacing w:after="0" w:line="240" w:lineRule="auto"/>
        <w:jc w:val="left"/>
        <w:rPr>
          <w:sz w:val="24"/>
        </w:rPr>
        <w:sectPr>
          <w:pgSz w:w="11910" w:h="16840"/>
          <w:pgMar w:top="1080" w:right="720" w:bottom="1080" w:left="760" w:header="0" w:footer="89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35" name="组合 25"/>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34" name="直线 26"/>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25"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u2gi7UAAAAAwEAAA8AAAAAAAAAAQAgAAAAIgAAAGRycy9kb3ducmV2LnhtbFBL&#10;AQIUABQAAAAIAIdO4kApy4N4MwIAALYEAAAOAAAAAAAAAAEAIAAAACMBAABkcnMvZTJvRG9jLnht&#10;bFBLBQYAAAAABgAGAFkBAADIBQAAAAA=&#10;">
                <o:lock v:ext="edit" aspectratio="f"/>
                <v:line id="直线 26" o:spid="_x0000_s1026" o:spt="20" style="position:absolute;left:0;top:7;height:0;width:8306;" filled="f" stroked="t" coordsize="21600,21600" o:gfxdata="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ZiXFr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6"/>
        <w:spacing w:before="2"/>
        <w:rPr>
          <w:sz w:val="26"/>
        </w:rPr>
      </w:pPr>
    </w:p>
    <w:p>
      <w:pPr>
        <w:pStyle w:val="6"/>
        <w:spacing w:before="67" w:line="364" w:lineRule="auto"/>
        <w:ind w:left="1040" w:right="1077" w:firstLine="480"/>
      </w:pPr>
      <w:r>
        <w:rPr>
          <w:spacing w:val="-9"/>
        </w:rPr>
        <w:t>①在满足矿井开拓、开采条件及地面生产工艺要求的基础上，符合国家现行</w:t>
      </w:r>
      <w:r>
        <w:t>的防火、安全、卫生、交通运输和环境保护等有关标准的规定。</w:t>
      </w:r>
    </w:p>
    <w:p>
      <w:pPr>
        <w:pStyle w:val="6"/>
        <w:spacing w:before="1" w:line="364" w:lineRule="auto"/>
        <w:ind w:left="1040" w:right="957" w:firstLine="480"/>
      </w:pPr>
      <w:r>
        <w:rPr>
          <w:spacing w:val="-13"/>
        </w:rPr>
        <w:t xml:space="preserve">②场内布置功能分区紧凑合理，线路短捷，整齐美观，有利生产，方便生活， </w:t>
      </w:r>
      <w:r>
        <w:t>便于管理，少占地。</w:t>
      </w:r>
    </w:p>
    <w:p>
      <w:pPr>
        <w:pStyle w:val="6"/>
        <w:spacing w:before="1" w:line="364" w:lineRule="auto"/>
        <w:ind w:left="1040" w:right="1077" w:firstLine="480"/>
      </w:pPr>
      <w:r>
        <w:t>③在优化地面行政福利和辅助生产设施的同时，充分考虑未来发展的可能性。</w:t>
      </w:r>
    </w:p>
    <w:p>
      <w:pPr>
        <w:pStyle w:val="6"/>
        <w:spacing w:before="1" w:line="364" w:lineRule="auto"/>
        <w:ind w:left="1040" w:right="1077" w:firstLine="480"/>
      </w:pPr>
      <w:r>
        <w:rPr>
          <w:spacing w:val="-10"/>
        </w:rPr>
        <w:t>④建</w:t>
      </w:r>
      <w:r>
        <w:t>（构</w:t>
      </w:r>
      <w:r>
        <w:rPr>
          <w:spacing w:val="-20"/>
        </w:rPr>
        <w:t>）</w:t>
      </w:r>
      <w:r>
        <w:rPr>
          <w:spacing w:val="-7"/>
        </w:rPr>
        <w:t>筑物的布置，充分考虑其位置受风向、朝向的影响，为建筑物创</w:t>
      </w:r>
      <w:r>
        <w:t>造良好的朝向和自然通风条件。加强绿化，保护环境，使工业场地园林化。</w:t>
      </w:r>
    </w:p>
    <w:p>
      <w:pPr>
        <w:pStyle w:val="13"/>
        <w:numPr>
          <w:ilvl w:val="4"/>
          <w:numId w:val="17"/>
        </w:numPr>
        <w:tabs>
          <w:tab w:val="left" w:pos="2001"/>
        </w:tabs>
        <w:spacing w:before="2" w:after="0" w:line="240" w:lineRule="auto"/>
        <w:ind w:left="2001" w:right="0" w:hanging="601"/>
        <w:jc w:val="left"/>
        <w:rPr>
          <w:sz w:val="24"/>
        </w:rPr>
      </w:pPr>
      <w:r>
        <w:rPr>
          <w:sz w:val="24"/>
        </w:rPr>
        <w:t>生产系统的工艺流程及相互关系</w:t>
      </w:r>
    </w:p>
    <w:p>
      <w:pPr>
        <w:pStyle w:val="6"/>
        <w:spacing w:before="160" w:line="364" w:lineRule="auto"/>
        <w:ind w:left="1040" w:right="1077" w:firstLine="480"/>
        <w:jc w:val="both"/>
      </w:pPr>
      <w:r>
        <w:rPr>
          <w:spacing w:val="-8"/>
        </w:rPr>
        <w:t>本矿井工业场地内设有主井、副井、风井三个斜井，主井承担原煤提升的任</w:t>
      </w:r>
      <w:r>
        <w:rPr>
          <w:spacing w:val="-11"/>
        </w:rPr>
        <w:t>务，副井担负全矿井的人员、材料、设备、矸石升降任务，兼做矿井进风和矿井</w:t>
      </w:r>
      <w:r>
        <w:t>的安全出口，风井担负全矿井的回风任务，并兼作另一个安全出口。</w:t>
      </w:r>
    </w:p>
    <w:p>
      <w:pPr>
        <w:pStyle w:val="6"/>
        <w:spacing w:before="2"/>
        <w:ind w:left="1520"/>
        <w:jc w:val="both"/>
      </w:pPr>
      <w:r>
        <w:t xml:space="preserve">本项目工业广场平面布置图附图 </w:t>
      </w:r>
      <w:r>
        <w:rPr>
          <w:rFonts w:ascii="Times New Roman" w:eastAsia="Times New Roman"/>
        </w:rPr>
        <w:t>1</w:t>
      </w:r>
      <w:r>
        <w:t>。</w:t>
      </w:r>
    </w:p>
    <w:p>
      <w:pPr>
        <w:pStyle w:val="4"/>
        <w:numPr>
          <w:ilvl w:val="2"/>
          <w:numId w:val="16"/>
        </w:numPr>
        <w:tabs>
          <w:tab w:val="left" w:pos="1669"/>
        </w:tabs>
        <w:spacing w:before="214" w:after="0" w:line="240" w:lineRule="auto"/>
        <w:ind w:left="1668" w:right="0" w:hanging="629"/>
        <w:jc w:val="both"/>
      </w:pPr>
      <w:r>
        <w:t>地面运输</w:t>
      </w:r>
    </w:p>
    <w:p>
      <w:pPr>
        <w:pStyle w:val="6"/>
        <w:spacing w:before="212" w:line="364" w:lineRule="auto"/>
        <w:ind w:left="1040" w:right="1075" w:firstLine="480"/>
        <w:jc w:val="both"/>
      </w:pPr>
      <w:r>
        <w:rPr>
          <w:spacing w:val="-8"/>
        </w:rPr>
        <w:t>地面运输采用公路方式。本矿井对外运输的主要为公路运输，该公路路况较</w:t>
      </w:r>
      <w:r>
        <w:rPr>
          <w:spacing w:val="-10"/>
        </w:rPr>
        <w:t xml:space="preserve">好，能够满足矿井改造后煤炭外运的要求。场内道路宽度为 </w:t>
      </w:r>
      <w:r>
        <w:rPr>
          <w:rFonts w:ascii="Times New Roman" w:eastAsia="Times New Roman"/>
        </w:rPr>
        <w:t xml:space="preserve">6m </w:t>
      </w:r>
      <w:r>
        <w:rPr>
          <w:spacing w:val="-30"/>
        </w:rPr>
        <w:t xml:space="preserve">和 </w:t>
      </w:r>
      <w:r>
        <w:rPr>
          <w:rFonts w:ascii="Times New Roman" w:eastAsia="Times New Roman"/>
          <w:spacing w:val="-8"/>
        </w:rPr>
        <w:t>4.5m</w:t>
      </w:r>
      <w:r>
        <w:rPr>
          <w:spacing w:val="-6"/>
        </w:rPr>
        <w:t xml:space="preserve">，路面为泥结碎石路面，最大纵坡为 </w:t>
      </w:r>
      <w:r>
        <w:rPr>
          <w:rFonts w:ascii="Times New Roman" w:eastAsia="Times New Roman"/>
        </w:rPr>
        <w:t>3%</w:t>
      </w:r>
      <w:r>
        <w:rPr>
          <w:spacing w:val="-7"/>
        </w:rPr>
        <w:t xml:space="preserve">，最小曲线半径为 </w:t>
      </w:r>
      <w:r>
        <w:rPr>
          <w:rFonts w:ascii="Times New Roman" w:eastAsia="Times New Roman"/>
        </w:rPr>
        <w:t>6m</w:t>
      </w:r>
      <w:r>
        <w:rPr>
          <w:spacing w:val="-3"/>
        </w:rPr>
        <w:t>。</w:t>
      </w:r>
      <w:r>
        <w:rPr>
          <w:rFonts w:ascii="Times New Roman" w:eastAsia="Times New Roman"/>
        </w:rPr>
        <w:t xml:space="preserve">6m </w:t>
      </w:r>
      <w:r>
        <w:rPr>
          <w:spacing w:val="-2"/>
        </w:rPr>
        <w:t>道路用于煤炭运输和</w:t>
      </w:r>
      <w:r>
        <w:t>生活区主干线，</w:t>
      </w:r>
      <w:r>
        <w:rPr>
          <w:rFonts w:ascii="Times New Roman" w:eastAsia="Times New Roman"/>
        </w:rPr>
        <w:t xml:space="preserve">4.5m </w:t>
      </w:r>
      <w:r>
        <w:t>为普通道路。</w:t>
      </w:r>
    </w:p>
    <w:p>
      <w:pPr>
        <w:pStyle w:val="4"/>
        <w:numPr>
          <w:ilvl w:val="2"/>
          <w:numId w:val="16"/>
        </w:numPr>
        <w:tabs>
          <w:tab w:val="left" w:pos="1741"/>
        </w:tabs>
        <w:spacing w:before="56" w:after="0" w:line="240" w:lineRule="auto"/>
        <w:ind w:left="1740" w:right="0" w:hanging="701"/>
        <w:jc w:val="both"/>
      </w:pPr>
      <w:r>
        <w:t>劳动组织与定员</w:t>
      </w:r>
    </w:p>
    <w:p>
      <w:pPr>
        <w:pStyle w:val="6"/>
        <w:spacing w:before="211"/>
        <w:ind w:left="1520"/>
        <w:jc w:val="both"/>
      </w:pPr>
      <w:r>
        <w:t xml:space="preserve">全矿井在籍人数为 </w:t>
      </w:r>
      <w:r>
        <w:rPr>
          <w:rFonts w:ascii="Times New Roman" w:eastAsia="Times New Roman"/>
        </w:rPr>
        <w:t xml:space="preserve">665 </w:t>
      </w:r>
      <w:r>
        <w:t xml:space="preserve">人，井下生产工人 </w:t>
      </w:r>
      <w:r>
        <w:rPr>
          <w:rFonts w:ascii="Times New Roman" w:eastAsia="Times New Roman"/>
        </w:rPr>
        <w:t xml:space="preserve">352 </w:t>
      </w:r>
      <w:r>
        <w:t xml:space="preserve">人。劳动定员详见表 </w:t>
      </w:r>
      <w:r>
        <w:rPr>
          <w:rFonts w:ascii="Times New Roman" w:eastAsia="Times New Roman"/>
        </w:rPr>
        <w:t>3.2-2</w:t>
      </w:r>
      <w:r>
        <w:t>。</w:t>
      </w:r>
    </w:p>
    <w:p>
      <w:pPr>
        <w:pStyle w:val="5"/>
        <w:spacing w:before="82" w:after="2"/>
        <w:ind w:left="1553" w:right="1585"/>
        <w:jc w:val="center"/>
      </w:pPr>
      <w:r>
        <w:t xml:space="preserve">表 </w:t>
      </w:r>
      <w:r>
        <w:rPr>
          <w:rFonts w:ascii="Times New Roman" w:eastAsia="Times New Roman"/>
        </w:rPr>
        <w:t xml:space="preserve">3.2-2  </w:t>
      </w:r>
      <w:r>
        <w:t>劳动定员汇总表</w:t>
      </w:r>
    </w:p>
    <w:tbl>
      <w:tblPr>
        <w:tblStyle w:val="10"/>
        <w:tblW w:w="0" w:type="auto"/>
        <w:tblInd w:w="5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3"/>
        <w:gridCol w:w="1885"/>
        <w:gridCol w:w="873"/>
        <w:gridCol w:w="874"/>
        <w:gridCol w:w="873"/>
        <w:gridCol w:w="877"/>
        <w:gridCol w:w="994"/>
        <w:gridCol w:w="992"/>
        <w:gridCol w:w="9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923" w:type="dxa"/>
            <w:vMerge w:val="restart"/>
          </w:tcPr>
          <w:p>
            <w:pPr>
              <w:pStyle w:val="14"/>
              <w:spacing w:before="1"/>
              <w:jc w:val="left"/>
              <w:rPr>
                <w:b/>
                <w:sz w:val="17"/>
              </w:rPr>
            </w:pPr>
          </w:p>
          <w:p>
            <w:pPr>
              <w:pStyle w:val="14"/>
              <w:ind w:left="249"/>
              <w:jc w:val="left"/>
              <w:rPr>
                <w:sz w:val="21"/>
              </w:rPr>
            </w:pPr>
            <w:r>
              <w:rPr>
                <w:sz w:val="21"/>
              </w:rPr>
              <w:t>序号</w:t>
            </w:r>
          </w:p>
        </w:tc>
        <w:tc>
          <w:tcPr>
            <w:tcW w:w="1885" w:type="dxa"/>
            <w:vMerge w:val="restart"/>
          </w:tcPr>
          <w:p>
            <w:pPr>
              <w:pStyle w:val="14"/>
              <w:spacing w:before="1"/>
              <w:jc w:val="left"/>
              <w:rPr>
                <w:b/>
                <w:sz w:val="17"/>
              </w:rPr>
            </w:pPr>
          </w:p>
          <w:p>
            <w:pPr>
              <w:pStyle w:val="14"/>
              <w:ind w:left="289" w:right="285"/>
              <w:rPr>
                <w:sz w:val="21"/>
              </w:rPr>
            </w:pPr>
            <w:r>
              <w:rPr>
                <w:sz w:val="21"/>
              </w:rPr>
              <w:t>名称</w:t>
            </w:r>
          </w:p>
        </w:tc>
        <w:tc>
          <w:tcPr>
            <w:tcW w:w="4491" w:type="dxa"/>
            <w:gridSpan w:val="5"/>
          </w:tcPr>
          <w:p>
            <w:pPr>
              <w:pStyle w:val="14"/>
              <w:spacing w:before="36"/>
              <w:ind w:left="1803" w:right="1798"/>
              <w:rPr>
                <w:sz w:val="21"/>
              </w:rPr>
            </w:pPr>
            <w:r>
              <w:rPr>
                <w:sz w:val="21"/>
              </w:rPr>
              <w:t>出勤人员</w:t>
            </w:r>
          </w:p>
        </w:tc>
        <w:tc>
          <w:tcPr>
            <w:tcW w:w="992" w:type="dxa"/>
            <w:vMerge w:val="restart"/>
          </w:tcPr>
          <w:p>
            <w:pPr>
              <w:pStyle w:val="14"/>
              <w:spacing w:before="82" w:line="244" w:lineRule="auto"/>
              <w:ind w:left="285" w:right="277"/>
              <w:jc w:val="left"/>
              <w:rPr>
                <w:sz w:val="21"/>
              </w:rPr>
            </w:pPr>
            <w:r>
              <w:rPr>
                <w:sz w:val="21"/>
              </w:rPr>
              <w:t>在籍系数</w:t>
            </w:r>
          </w:p>
        </w:tc>
        <w:tc>
          <w:tcPr>
            <w:tcW w:w="995" w:type="dxa"/>
            <w:vMerge w:val="restart"/>
          </w:tcPr>
          <w:p>
            <w:pPr>
              <w:pStyle w:val="14"/>
              <w:spacing w:before="82" w:line="244" w:lineRule="auto"/>
              <w:ind w:left="286" w:right="278"/>
              <w:jc w:val="left"/>
              <w:rPr>
                <w:sz w:val="21"/>
              </w:rPr>
            </w:pPr>
            <w:r>
              <w:rPr>
                <w:sz w:val="21"/>
              </w:rPr>
              <w:t>在籍人员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923" w:type="dxa"/>
            <w:vMerge w:val="continue"/>
            <w:tcBorders>
              <w:top w:val="nil"/>
            </w:tcBorders>
          </w:tcPr>
          <w:p>
            <w:pPr>
              <w:rPr>
                <w:sz w:val="2"/>
                <w:szCs w:val="2"/>
              </w:rPr>
            </w:pPr>
          </w:p>
        </w:tc>
        <w:tc>
          <w:tcPr>
            <w:tcW w:w="1885" w:type="dxa"/>
            <w:vMerge w:val="continue"/>
            <w:tcBorders>
              <w:top w:val="nil"/>
            </w:tcBorders>
          </w:tcPr>
          <w:p>
            <w:pPr>
              <w:rPr>
                <w:sz w:val="2"/>
                <w:szCs w:val="2"/>
              </w:rPr>
            </w:pPr>
          </w:p>
        </w:tc>
        <w:tc>
          <w:tcPr>
            <w:tcW w:w="873" w:type="dxa"/>
          </w:tcPr>
          <w:p>
            <w:pPr>
              <w:pStyle w:val="14"/>
              <w:spacing w:before="40"/>
              <w:ind w:left="204" w:right="198"/>
              <w:rPr>
                <w:sz w:val="21"/>
              </w:rPr>
            </w:pPr>
            <w:r>
              <w:rPr>
                <w:sz w:val="21"/>
              </w:rPr>
              <w:t>一班</w:t>
            </w:r>
          </w:p>
        </w:tc>
        <w:tc>
          <w:tcPr>
            <w:tcW w:w="874" w:type="dxa"/>
          </w:tcPr>
          <w:p>
            <w:pPr>
              <w:pStyle w:val="14"/>
              <w:spacing w:before="40"/>
              <w:ind w:left="204" w:right="198"/>
              <w:rPr>
                <w:sz w:val="21"/>
              </w:rPr>
            </w:pPr>
            <w:r>
              <w:rPr>
                <w:sz w:val="21"/>
              </w:rPr>
              <w:t>二班</w:t>
            </w:r>
          </w:p>
        </w:tc>
        <w:tc>
          <w:tcPr>
            <w:tcW w:w="873" w:type="dxa"/>
          </w:tcPr>
          <w:p>
            <w:pPr>
              <w:pStyle w:val="14"/>
              <w:spacing w:before="40"/>
              <w:ind w:left="204" w:right="198"/>
              <w:rPr>
                <w:sz w:val="21"/>
              </w:rPr>
            </w:pPr>
            <w:r>
              <w:rPr>
                <w:sz w:val="21"/>
              </w:rPr>
              <w:t>三班</w:t>
            </w:r>
          </w:p>
        </w:tc>
        <w:tc>
          <w:tcPr>
            <w:tcW w:w="877" w:type="dxa"/>
          </w:tcPr>
          <w:p>
            <w:pPr>
              <w:pStyle w:val="14"/>
              <w:spacing w:before="40"/>
              <w:ind w:left="205" w:right="202"/>
              <w:rPr>
                <w:sz w:val="21"/>
              </w:rPr>
            </w:pPr>
            <w:r>
              <w:rPr>
                <w:sz w:val="21"/>
              </w:rPr>
              <w:t>四班</w:t>
            </w:r>
          </w:p>
        </w:tc>
        <w:tc>
          <w:tcPr>
            <w:tcW w:w="994" w:type="dxa"/>
          </w:tcPr>
          <w:p>
            <w:pPr>
              <w:pStyle w:val="14"/>
              <w:spacing w:before="40"/>
              <w:ind w:right="278"/>
              <w:jc w:val="right"/>
              <w:rPr>
                <w:sz w:val="21"/>
              </w:rPr>
            </w:pPr>
            <w:r>
              <w:rPr>
                <w:w w:val="95"/>
                <w:sz w:val="21"/>
              </w:rPr>
              <w:t>合计</w:t>
            </w:r>
          </w:p>
        </w:tc>
        <w:tc>
          <w:tcPr>
            <w:tcW w:w="992" w:type="dxa"/>
            <w:vMerge w:val="continue"/>
            <w:tcBorders>
              <w:top w:val="nil"/>
            </w:tcBorders>
          </w:tcPr>
          <w:p>
            <w:pPr>
              <w:rPr>
                <w:sz w:val="2"/>
                <w:szCs w:val="2"/>
              </w:rPr>
            </w:pPr>
          </w:p>
        </w:tc>
        <w:tc>
          <w:tcPr>
            <w:tcW w:w="99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923" w:type="dxa"/>
          </w:tcPr>
          <w:p>
            <w:pPr>
              <w:pStyle w:val="14"/>
              <w:spacing w:before="29"/>
              <w:ind w:left="6"/>
              <w:rPr>
                <w:sz w:val="21"/>
              </w:rPr>
            </w:pPr>
            <w:r>
              <w:rPr>
                <w:w w:val="99"/>
                <w:sz w:val="21"/>
              </w:rPr>
              <w:t>一</w:t>
            </w:r>
          </w:p>
        </w:tc>
        <w:tc>
          <w:tcPr>
            <w:tcW w:w="1885" w:type="dxa"/>
          </w:tcPr>
          <w:p>
            <w:pPr>
              <w:pStyle w:val="14"/>
              <w:spacing w:before="29"/>
              <w:ind w:left="289" w:right="285"/>
              <w:rPr>
                <w:sz w:val="21"/>
              </w:rPr>
            </w:pPr>
            <w:r>
              <w:rPr>
                <w:sz w:val="21"/>
              </w:rPr>
              <w:t>原煤生产人员</w:t>
            </w:r>
          </w:p>
        </w:tc>
        <w:tc>
          <w:tcPr>
            <w:tcW w:w="873" w:type="dxa"/>
          </w:tcPr>
          <w:p>
            <w:pPr>
              <w:pStyle w:val="14"/>
              <w:spacing w:before="43"/>
              <w:ind w:left="204" w:right="195"/>
              <w:rPr>
                <w:rFonts w:ascii="Times New Roman"/>
                <w:sz w:val="21"/>
              </w:rPr>
            </w:pPr>
            <w:r>
              <w:rPr>
                <w:rFonts w:ascii="Times New Roman"/>
                <w:sz w:val="21"/>
              </w:rPr>
              <w:t>123</w:t>
            </w:r>
          </w:p>
        </w:tc>
        <w:tc>
          <w:tcPr>
            <w:tcW w:w="874" w:type="dxa"/>
          </w:tcPr>
          <w:p>
            <w:pPr>
              <w:pStyle w:val="14"/>
              <w:spacing w:before="43"/>
              <w:ind w:left="205" w:right="195"/>
              <w:rPr>
                <w:rFonts w:ascii="Times New Roman"/>
                <w:sz w:val="21"/>
              </w:rPr>
            </w:pPr>
            <w:r>
              <w:rPr>
                <w:rFonts w:ascii="Times New Roman"/>
                <w:sz w:val="21"/>
              </w:rPr>
              <w:t>123</w:t>
            </w:r>
          </w:p>
        </w:tc>
        <w:tc>
          <w:tcPr>
            <w:tcW w:w="873" w:type="dxa"/>
          </w:tcPr>
          <w:p>
            <w:pPr>
              <w:pStyle w:val="14"/>
              <w:spacing w:before="43"/>
              <w:ind w:left="204" w:right="194"/>
              <w:rPr>
                <w:rFonts w:ascii="Times New Roman"/>
                <w:sz w:val="21"/>
              </w:rPr>
            </w:pPr>
            <w:r>
              <w:rPr>
                <w:rFonts w:ascii="Times New Roman"/>
                <w:sz w:val="21"/>
              </w:rPr>
              <w:t>123</w:t>
            </w:r>
          </w:p>
        </w:tc>
        <w:tc>
          <w:tcPr>
            <w:tcW w:w="877" w:type="dxa"/>
          </w:tcPr>
          <w:p>
            <w:pPr>
              <w:pStyle w:val="14"/>
              <w:spacing w:before="43"/>
              <w:ind w:left="205" w:right="198"/>
              <w:rPr>
                <w:rFonts w:ascii="Times New Roman"/>
                <w:sz w:val="21"/>
              </w:rPr>
            </w:pPr>
            <w:r>
              <w:rPr>
                <w:rFonts w:ascii="Times New Roman"/>
                <w:sz w:val="21"/>
              </w:rPr>
              <w:t>86</w:t>
            </w:r>
          </w:p>
        </w:tc>
        <w:tc>
          <w:tcPr>
            <w:tcW w:w="994" w:type="dxa"/>
          </w:tcPr>
          <w:p>
            <w:pPr>
              <w:pStyle w:val="14"/>
              <w:spacing w:before="43"/>
              <w:ind w:right="327"/>
              <w:jc w:val="right"/>
              <w:rPr>
                <w:rFonts w:ascii="Times New Roman"/>
                <w:sz w:val="21"/>
              </w:rPr>
            </w:pPr>
            <w:r>
              <w:rPr>
                <w:rFonts w:ascii="Times New Roman"/>
                <w:sz w:val="21"/>
              </w:rPr>
              <w:t>455</w:t>
            </w:r>
          </w:p>
        </w:tc>
        <w:tc>
          <w:tcPr>
            <w:tcW w:w="992" w:type="dxa"/>
          </w:tcPr>
          <w:p>
            <w:pPr>
              <w:pStyle w:val="14"/>
              <w:jc w:val="left"/>
              <w:rPr>
                <w:rFonts w:ascii="Times New Roman"/>
                <w:sz w:val="22"/>
              </w:rPr>
            </w:pPr>
          </w:p>
        </w:tc>
        <w:tc>
          <w:tcPr>
            <w:tcW w:w="995" w:type="dxa"/>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923" w:type="dxa"/>
          </w:tcPr>
          <w:p>
            <w:pPr>
              <w:pStyle w:val="14"/>
              <w:spacing w:before="43"/>
              <w:ind w:left="7"/>
              <w:rPr>
                <w:rFonts w:ascii="Times New Roman"/>
                <w:sz w:val="21"/>
              </w:rPr>
            </w:pPr>
            <w:r>
              <w:rPr>
                <w:rFonts w:ascii="Times New Roman"/>
                <w:w w:val="99"/>
                <w:sz w:val="21"/>
              </w:rPr>
              <w:t>1</w:t>
            </w:r>
          </w:p>
        </w:tc>
        <w:tc>
          <w:tcPr>
            <w:tcW w:w="1885" w:type="dxa"/>
          </w:tcPr>
          <w:p>
            <w:pPr>
              <w:pStyle w:val="14"/>
              <w:spacing w:before="29"/>
              <w:ind w:left="289" w:right="283"/>
              <w:rPr>
                <w:sz w:val="21"/>
              </w:rPr>
            </w:pPr>
            <w:r>
              <w:rPr>
                <w:sz w:val="21"/>
              </w:rPr>
              <w:t>管理人员</w:t>
            </w:r>
          </w:p>
        </w:tc>
        <w:tc>
          <w:tcPr>
            <w:tcW w:w="873" w:type="dxa"/>
          </w:tcPr>
          <w:p>
            <w:pPr>
              <w:pStyle w:val="14"/>
              <w:spacing w:before="43"/>
              <w:ind w:left="204" w:right="195"/>
              <w:rPr>
                <w:rFonts w:ascii="Times New Roman"/>
                <w:sz w:val="21"/>
              </w:rPr>
            </w:pPr>
            <w:r>
              <w:rPr>
                <w:rFonts w:ascii="Times New Roman"/>
                <w:sz w:val="21"/>
              </w:rPr>
              <w:t>11</w:t>
            </w:r>
          </w:p>
        </w:tc>
        <w:tc>
          <w:tcPr>
            <w:tcW w:w="874" w:type="dxa"/>
          </w:tcPr>
          <w:p>
            <w:pPr>
              <w:pStyle w:val="14"/>
              <w:spacing w:before="43"/>
              <w:ind w:left="205" w:right="191"/>
              <w:rPr>
                <w:rFonts w:ascii="Times New Roman"/>
                <w:sz w:val="21"/>
              </w:rPr>
            </w:pPr>
            <w:r>
              <w:rPr>
                <w:rFonts w:ascii="Times New Roman"/>
                <w:sz w:val="21"/>
              </w:rPr>
              <w:t>11</w:t>
            </w:r>
          </w:p>
        </w:tc>
        <w:tc>
          <w:tcPr>
            <w:tcW w:w="873" w:type="dxa"/>
          </w:tcPr>
          <w:p>
            <w:pPr>
              <w:pStyle w:val="14"/>
              <w:spacing w:before="43"/>
              <w:ind w:left="204" w:right="194"/>
              <w:rPr>
                <w:rFonts w:ascii="Times New Roman"/>
                <w:sz w:val="21"/>
              </w:rPr>
            </w:pPr>
            <w:r>
              <w:rPr>
                <w:rFonts w:ascii="Times New Roman"/>
                <w:sz w:val="21"/>
              </w:rPr>
              <w:t>11</w:t>
            </w:r>
          </w:p>
        </w:tc>
        <w:tc>
          <w:tcPr>
            <w:tcW w:w="877" w:type="dxa"/>
          </w:tcPr>
          <w:p>
            <w:pPr>
              <w:pStyle w:val="14"/>
              <w:spacing w:before="43"/>
              <w:ind w:left="7"/>
              <w:rPr>
                <w:rFonts w:ascii="Times New Roman"/>
                <w:sz w:val="21"/>
              </w:rPr>
            </w:pPr>
            <w:r>
              <w:rPr>
                <w:rFonts w:ascii="Times New Roman"/>
                <w:w w:val="99"/>
                <w:sz w:val="21"/>
              </w:rPr>
              <w:t>8</w:t>
            </w:r>
          </w:p>
        </w:tc>
        <w:tc>
          <w:tcPr>
            <w:tcW w:w="994" w:type="dxa"/>
          </w:tcPr>
          <w:p>
            <w:pPr>
              <w:pStyle w:val="14"/>
              <w:spacing w:before="43"/>
              <w:ind w:right="380"/>
              <w:jc w:val="right"/>
              <w:rPr>
                <w:rFonts w:ascii="Times New Roman"/>
                <w:sz w:val="21"/>
              </w:rPr>
            </w:pPr>
            <w:r>
              <w:rPr>
                <w:rFonts w:ascii="Times New Roman"/>
                <w:sz w:val="21"/>
              </w:rPr>
              <w:t>41</w:t>
            </w:r>
          </w:p>
        </w:tc>
        <w:tc>
          <w:tcPr>
            <w:tcW w:w="992" w:type="dxa"/>
          </w:tcPr>
          <w:p>
            <w:pPr>
              <w:pStyle w:val="14"/>
              <w:spacing w:before="43"/>
              <w:ind w:left="364"/>
              <w:jc w:val="left"/>
              <w:rPr>
                <w:rFonts w:ascii="Times New Roman"/>
                <w:sz w:val="21"/>
              </w:rPr>
            </w:pPr>
            <w:r>
              <w:rPr>
                <w:rFonts w:ascii="Times New Roman"/>
                <w:sz w:val="21"/>
              </w:rPr>
              <w:t>1.0</w:t>
            </w:r>
          </w:p>
        </w:tc>
        <w:tc>
          <w:tcPr>
            <w:tcW w:w="995" w:type="dxa"/>
          </w:tcPr>
          <w:p>
            <w:pPr>
              <w:pStyle w:val="14"/>
              <w:spacing w:before="43"/>
              <w:ind w:left="317" w:right="310"/>
              <w:rPr>
                <w:rFonts w:ascii="Times New Roman"/>
                <w:sz w:val="21"/>
              </w:rPr>
            </w:pPr>
            <w:r>
              <w:rPr>
                <w:rFonts w:ascii="Times New Roman"/>
                <w:sz w:val="21"/>
              </w:rPr>
              <w:t>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923" w:type="dxa"/>
          </w:tcPr>
          <w:p>
            <w:pPr>
              <w:pStyle w:val="14"/>
              <w:spacing w:before="43"/>
              <w:ind w:left="7"/>
              <w:rPr>
                <w:rFonts w:ascii="Times New Roman"/>
                <w:sz w:val="21"/>
              </w:rPr>
            </w:pPr>
            <w:r>
              <w:rPr>
                <w:rFonts w:ascii="Times New Roman"/>
                <w:w w:val="99"/>
                <w:sz w:val="21"/>
              </w:rPr>
              <w:t>2</w:t>
            </w:r>
          </w:p>
        </w:tc>
        <w:tc>
          <w:tcPr>
            <w:tcW w:w="1885" w:type="dxa"/>
          </w:tcPr>
          <w:p>
            <w:pPr>
              <w:pStyle w:val="14"/>
              <w:spacing w:before="29"/>
              <w:ind w:left="289" w:right="283"/>
              <w:rPr>
                <w:sz w:val="21"/>
              </w:rPr>
            </w:pPr>
            <w:r>
              <w:rPr>
                <w:sz w:val="21"/>
              </w:rPr>
              <w:t>生产工人</w:t>
            </w:r>
          </w:p>
        </w:tc>
        <w:tc>
          <w:tcPr>
            <w:tcW w:w="873" w:type="dxa"/>
          </w:tcPr>
          <w:p>
            <w:pPr>
              <w:pStyle w:val="14"/>
              <w:spacing w:before="43"/>
              <w:ind w:left="204" w:right="192"/>
              <w:rPr>
                <w:rFonts w:ascii="Times New Roman"/>
                <w:sz w:val="21"/>
              </w:rPr>
            </w:pPr>
            <w:r>
              <w:rPr>
                <w:rFonts w:ascii="Times New Roman"/>
                <w:sz w:val="21"/>
              </w:rPr>
              <w:t>112</w:t>
            </w:r>
          </w:p>
        </w:tc>
        <w:tc>
          <w:tcPr>
            <w:tcW w:w="874" w:type="dxa"/>
          </w:tcPr>
          <w:p>
            <w:pPr>
              <w:pStyle w:val="14"/>
              <w:spacing w:before="43"/>
              <w:ind w:left="205" w:right="198"/>
              <w:rPr>
                <w:rFonts w:ascii="Times New Roman"/>
                <w:sz w:val="21"/>
              </w:rPr>
            </w:pPr>
            <w:r>
              <w:rPr>
                <w:rFonts w:ascii="Times New Roman"/>
                <w:sz w:val="21"/>
              </w:rPr>
              <w:t>112</w:t>
            </w:r>
          </w:p>
        </w:tc>
        <w:tc>
          <w:tcPr>
            <w:tcW w:w="873" w:type="dxa"/>
          </w:tcPr>
          <w:p>
            <w:pPr>
              <w:pStyle w:val="14"/>
              <w:spacing w:before="43"/>
              <w:ind w:left="204" w:right="192"/>
              <w:rPr>
                <w:rFonts w:ascii="Times New Roman"/>
                <w:sz w:val="21"/>
              </w:rPr>
            </w:pPr>
            <w:r>
              <w:rPr>
                <w:rFonts w:ascii="Times New Roman"/>
                <w:sz w:val="21"/>
              </w:rPr>
              <w:t>112</w:t>
            </w:r>
          </w:p>
        </w:tc>
        <w:tc>
          <w:tcPr>
            <w:tcW w:w="877" w:type="dxa"/>
          </w:tcPr>
          <w:p>
            <w:pPr>
              <w:pStyle w:val="14"/>
              <w:spacing w:before="43"/>
              <w:ind w:left="205" w:right="198"/>
              <w:rPr>
                <w:rFonts w:ascii="Times New Roman"/>
                <w:sz w:val="21"/>
              </w:rPr>
            </w:pPr>
            <w:r>
              <w:rPr>
                <w:rFonts w:ascii="Times New Roman"/>
                <w:sz w:val="21"/>
              </w:rPr>
              <w:t>78</w:t>
            </w:r>
          </w:p>
        </w:tc>
        <w:tc>
          <w:tcPr>
            <w:tcW w:w="994" w:type="dxa"/>
          </w:tcPr>
          <w:p>
            <w:pPr>
              <w:pStyle w:val="14"/>
              <w:spacing w:before="43"/>
              <w:ind w:right="327"/>
              <w:jc w:val="right"/>
              <w:rPr>
                <w:rFonts w:ascii="Times New Roman"/>
                <w:sz w:val="21"/>
              </w:rPr>
            </w:pPr>
            <w:r>
              <w:rPr>
                <w:rFonts w:ascii="Times New Roman"/>
                <w:sz w:val="21"/>
              </w:rPr>
              <w:t>414</w:t>
            </w:r>
          </w:p>
        </w:tc>
        <w:tc>
          <w:tcPr>
            <w:tcW w:w="992" w:type="dxa"/>
          </w:tcPr>
          <w:p>
            <w:pPr>
              <w:pStyle w:val="14"/>
              <w:jc w:val="left"/>
              <w:rPr>
                <w:rFonts w:ascii="Times New Roman"/>
                <w:sz w:val="22"/>
              </w:rPr>
            </w:pPr>
          </w:p>
        </w:tc>
        <w:tc>
          <w:tcPr>
            <w:tcW w:w="995" w:type="dxa"/>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923" w:type="dxa"/>
          </w:tcPr>
          <w:p>
            <w:pPr>
              <w:pStyle w:val="14"/>
              <w:spacing w:before="31"/>
              <w:ind w:left="178" w:right="169"/>
              <w:rPr>
                <w:sz w:val="21"/>
              </w:rPr>
            </w:pPr>
            <w:r>
              <w:rPr>
                <w:sz w:val="21"/>
              </w:rPr>
              <w:t>（</w:t>
            </w:r>
            <w:r>
              <w:rPr>
                <w:rFonts w:ascii="Times New Roman" w:eastAsia="Times New Roman"/>
                <w:sz w:val="21"/>
              </w:rPr>
              <w:t>1</w:t>
            </w:r>
            <w:r>
              <w:rPr>
                <w:sz w:val="21"/>
              </w:rPr>
              <w:t>）</w:t>
            </w:r>
          </w:p>
        </w:tc>
        <w:tc>
          <w:tcPr>
            <w:tcW w:w="1885" w:type="dxa"/>
          </w:tcPr>
          <w:p>
            <w:pPr>
              <w:pStyle w:val="14"/>
              <w:spacing w:before="31"/>
              <w:ind w:left="289" w:right="283"/>
              <w:rPr>
                <w:sz w:val="21"/>
              </w:rPr>
            </w:pPr>
            <w:r>
              <w:rPr>
                <w:sz w:val="21"/>
              </w:rPr>
              <w:t>井下工人</w:t>
            </w:r>
          </w:p>
        </w:tc>
        <w:tc>
          <w:tcPr>
            <w:tcW w:w="873" w:type="dxa"/>
          </w:tcPr>
          <w:p>
            <w:pPr>
              <w:pStyle w:val="14"/>
              <w:spacing w:before="45"/>
              <w:ind w:left="204" w:right="195"/>
              <w:rPr>
                <w:rFonts w:ascii="Times New Roman"/>
                <w:sz w:val="21"/>
              </w:rPr>
            </w:pPr>
            <w:r>
              <w:rPr>
                <w:rFonts w:ascii="Times New Roman"/>
                <w:sz w:val="21"/>
              </w:rPr>
              <w:t>95</w:t>
            </w:r>
          </w:p>
        </w:tc>
        <w:tc>
          <w:tcPr>
            <w:tcW w:w="874" w:type="dxa"/>
          </w:tcPr>
          <w:p>
            <w:pPr>
              <w:pStyle w:val="14"/>
              <w:spacing w:before="45"/>
              <w:ind w:left="205" w:right="195"/>
              <w:rPr>
                <w:rFonts w:ascii="Times New Roman"/>
                <w:sz w:val="21"/>
              </w:rPr>
            </w:pPr>
            <w:r>
              <w:rPr>
                <w:rFonts w:ascii="Times New Roman"/>
                <w:sz w:val="21"/>
              </w:rPr>
              <w:t>95</w:t>
            </w:r>
          </w:p>
        </w:tc>
        <w:tc>
          <w:tcPr>
            <w:tcW w:w="873" w:type="dxa"/>
          </w:tcPr>
          <w:p>
            <w:pPr>
              <w:pStyle w:val="14"/>
              <w:spacing w:before="45"/>
              <w:ind w:left="204" w:right="194"/>
              <w:rPr>
                <w:rFonts w:ascii="Times New Roman"/>
                <w:sz w:val="21"/>
              </w:rPr>
            </w:pPr>
            <w:r>
              <w:rPr>
                <w:rFonts w:ascii="Times New Roman"/>
                <w:sz w:val="21"/>
              </w:rPr>
              <w:t>95</w:t>
            </w:r>
          </w:p>
        </w:tc>
        <w:tc>
          <w:tcPr>
            <w:tcW w:w="877" w:type="dxa"/>
          </w:tcPr>
          <w:p>
            <w:pPr>
              <w:pStyle w:val="14"/>
              <w:spacing w:before="45"/>
              <w:ind w:left="205" w:right="198"/>
              <w:rPr>
                <w:rFonts w:ascii="Times New Roman"/>
                <w:sz w:val="21"/>
              </w:rPr>
            </w:pPr>
            <w:r>
              <w:rPr>
                <w:rFonts w:ascii="Times New Roman"/>
                <w:sz w:val="21"/>
              </w:rPr>
              <w:t>67</w:t>
            </w:r>
          </w:p>
        </w:tc>
        <w:tc>
          <w:tcPr>
            <w:tcW w:w="994" w:type="dxa"/>
          </w:tcPr>
          <w:p>
            <w:pPr>
              <w:pStyle w:val="14"/>
              <w:spacing w:before="45"/>
              <w:ind w:right="327"/>
              <w:jc w:val="right"/>
              <w:rPr>
                <w:rFonts w:ascii="Times New Roman"/>
                <w:sz w:val="21"/>
              </w:rPr>
            </w:pPr>
            <w:r>
              <w:rPr>
                <w:rFonts w:ascii="Times New Roman"/>
                <w:sz w:val="21"/>
              </w:rPr>
              <w:t>352</w:t>
            </w:r>
          </w:p>
        </w:tc>
        <w:tc>
          <w:tcPr>
            <w:tcW w:w="992" w:type="dxa"/>
          </w:tcPr>
          <w:p>
            <w:pPr>
              <w:pStyle w:val="14"/>
              <w:spacing w:before="45"/>
              <w:ind w:left="364"/>
              <w:jc w:val="left"/>
              <w:rPr>
                <w:rFonts w:ascii="Times New Roman"/>
                <w:sz w:val="21"/>
              </w:rPr>
            </w:pPr>
            <w:r>
              <w:rPr>
                <w:rFonts w:ascii="Times New Roman"/>
                <w:sz w:val="21"/>
              </w:rPr>
              <w:t>1.4</w:t>
            </w:r>
          </w:p>
        </w:tc>
        <w:tc>
          <w:tcPr>
            <w:tcW w:w="995" w:type="dxa"/>
          </w:tcPr>
          <w:p>
            <w:pPr>
              <w:pStyle w:val="14"/>
              <w:spacing w:before="45"/>
              <w:ind w:left="319" w:right="310"/>
              <w:rPr>
                <w:rFonts w:ascii="Times New Roman"/>
                <w:sz w:val="21"/>
              </w:rPr>
            </w:pPr>
            <w:r>
              <w:rPr>
                <w:rFonts w:ascii="Times New Roman"/>
                <w:sz w:val="21"/>
              </w:rPr>
              <w:t>493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923" w:type="dxa"/>
          </w:tcPr>
          <w:p>
            <w:pPr>
              <w:pStyle w:val="14"/>
              <w:spacing w:before="31"/>
              <w:ind w:left="178" w:right="169"/>
              <w:rPr>
                <w:sz w:val="21"/>
              </w:rPr>
            </w:pPr>
            <w:r>
              <w:rPr>
                <w:sz w:val="21"/>
              </w:rPr>
              <w:t>（</w:t>
            </w:r>
            <w:r>
              <w:rPr>
                <w:rFonts w:ascii="Times New Roman" w:eastAsia="Times New Roman"/>
                <w:sz w:val="21"/>
              </w:rPr>
              <w:t>2</w:t>
            </w:r>
            <w:r>
              <w:rPr>
                <w:sz w:val="21"/>
              </w:rPr>
              <w:t>）</w:t>
            </w:r>
          </w:p>
        </w:tc>
        <w:tc>
          <w:tcPr>
            <w:tcW w:w="1885" w:type="dxa"/>
          </w:tcPr>
          <w:p>
            <w:pPr>
              <w:pStyle w:val="14"/>
              <w:spacing w:before="31"/>
              <w:ind w:left="289" w:right="283"/>
              <w:rPr>
                <w:sz w:val="21"/>
              </w:rPr>
            </w:pPr>
            <w:r>
              <w:rPr>
                <w:sz w:val="21"/>
              </w:rPr>
              <w:t>地面工人</w:t>
            </w:r>
          </w:p>
        </w:tc>
        <w:tc>
          <w:tcPr>
            <w:tcW w:w="873" w:type="dxa"/>
          </w:tcPr>
          <w:p>
            <w:pPr>
              <w:pStyle w:val="14"/>
              <w:spacing w:before="45"/>
              <w:ind w:left="204" w:right="195"/>
              <w:rPr>
                <w:rFonts w:ascii="Times New Roman"/>
                <w:sz w:val="21"/>
              </w:rPr>
            </w:pPr>
            <w:r>
              <w:rPr>
                <w:rFonts w:ascii="Times New Roman"/>
                <w:sz w:val="21"/>
              </w:rPr>
              <w:t>17</w:t>
            </w:r>
          </w:p>
        </w:tc>
        <w:tc>
          <w:tcPr>
            <w:tcW w:w="874" w:type="dxa"/>
          </w:tcPr>
          <w:p>
            <w:pPr>
              <w:pStyle w:val="14"/>
              <w:spacing w:before="45"/>
              <w:ind w:left="205" w:right="195"/>
              <w:rPr>
                <w:rFonts w:ascii="Times New Roman"/>
                <w:sz w:val="21"/>
              </w:rPr>
            </w:pPr>
            <w:r>
              <w:rPr>
                <w:rFonts w:ascii="Times New Roman"/>
                <w:sz w:val="21"/>
              </w:rPr>
              <w:t>17</w:t>
            </w:r>
          </w:p>
        </w:tc>
        <w:tc>
          <w:tcPr>
            <w:tcW w:w="873" w:type="dxa"/>
          </w:tcPr>
          <w:p>
            <w:pPr>
              <w:pStyle w:val="14"/>
              <w:spacing w:before="45"/>
              <w:ind w:left="204" w:right="194"/>
              <w:rPr>
                <w:rFonts w:ascii="Times New Roman"/>
                <w:sz w:val="21"/>
              </w:rPr>
            </w:pPr>
            <w:r>
              <w:rPr>
                <w:rFonts w:ascii="Times New Roman"/>
                <w:sz w:val="21"/>
              </w:rPr>
              <w:t>17</w:t>
            </w:r>
          </w:p>
        </w:tc>
        <w:tc>
          <w:tcPr>
            <w:tcW w:w="877" w:type="dxa"/>
          </w:tcPr>
          <w:p>
            <w:pPr>
              <w:pStyle w:val="14"/>
              <w:spacing w:before="45"/>
              <w:ind w:left="205" w:right="193"/>
              <w:rPr>
                <w:rFonts w:ascii="Times New Roman"/>
                <w:sz w:val="21"/>
              </w:rPr>
            </w:pPr>
            <w:r>
              <w:rPr>
                <w:rFonts w:ascii="Times New Roman"/>
                <w:sz w:val="21"/>
              </w:rPr>
              <w:t>11</w:t>
            </w:r>
          </w:p>
        </w:tc>
        <w:tc>
          <w:tcPr>
            <w:tcW w:w="994" w:type="dxa"/>
          </w:tcPr>
          <w:p>
            <w:pPr>
              <w:pStyle w:val="14"/>
              <w:spacing w:before="45"/>
              <w:ind w:right="380"/>
              <w:jc w:val="right"/>
              <w:rPr>
                <w:rFonts w:ascii="Times New Roman"/>
                <w:sz w:val="21"/>
              </w:rPr>
            </w:pPr>
            <w:r>
              <w:rPr>
                <w:rFonts w:ascii="Times New Roman"/>
                <w:sz w:val="21"/>
              </w:rPr>
              <w:t>62</w:t>
            </w:r>
          </w:p>
        </w:tc>
        <w:tc>
          <w:tcPr>
            <w:tcW w:w="992" w:type="dxa"/>
          </w:tcPr>
          <w:p>
            <w:pPr>
              <w:pStyle w:val="14"/>
              <w:spacing w:before="45"/>
              <w:ind w:left="364"/>
              <w:jc w:val="left"/>
              <w:rPr>
                <w:rFonts w:ascii="Times New Roman"/>
                <w:sz w:val="21"/>
              </w:rPr>
            </w:pPr>
            <w:r>
              <w:rPr>
                <w:rFonts w:ascii="Times New Roman"/>
                <w:sz w:val="21"/>
              </w:rPr>
              <w:t>1.3</w:t>
            </w:r>
          </w:p>
        </w:tc>
        <w:tc>
          <w:tcPr>
            <w:tcW w:w="995" w:type="dxa"/>
          </w:tcPr>
          <w:p>
            <w:pPr>
              <w:pStyle w:val="14"/>
              <w:spacing w:before="45"/>
              <w:ind w:left="319" w:right="310"/>
              <w:rPr>
                <w:rFonts w:ascii="Times New Roman"/>
                <w:sz w:val="21"/>
              </w:rPr>
            </w:pPr>
            <w:r>
              <w:rPr>
                <w:rFonts w:ascii="Times New Roman"/>
                <w:sz w:val="21"/>
              </w:rPr>
              <w:t>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923" w:type="dxa"/>
          </w:tcPr>
          <w:p>
            <w:pPr>
              <w:pStyle w:val="14"/>
              <w:spacing w:before="30"/>
              <w:ind w:left="6"/>
              <w:rPr>
                <w:sz w:val="21"/>
              </w:rPr>
            </w:pPr>
            <w:r>
              <w:rPr>
                <w:w w:val="99"/>
                <w:sz w:val="21"/>
              </w:rPr>
              <w:t>二</w:t>
            </w:r>
          </w:p>
        </w:tc>
        <w:tc>
          <w:tcPr>
            <w:tcW w:w="1885" w:type="dxa"/>
          </w:tcPr>
          <w:p>
            <w:pPr>
              <w:pStyle w:val="14"/>
              <w:spacing w:before="30"/>
              <w:ind w:left="289" w:right="283"/>
              <w:rPr>
                <w:sz w:val="21"/>
              </w:rPr>
            </w:pPr>
            <w:r>
              <w:rPr>
                <w:sz w:val="21"/>
              </w:rPr>
              <w:t>服务人员</w:t>
            </w:r>
          </w:p>
        </w:tc>
        <w:tc>
          <w:tcPr>
            <w:tcW w:w="873" w:type="dxa"/>
          </w:tcPr>
          <w:p>
            <w:pPr>
              <w:pStyle w:val="14"/>
              <w:spacing w:before="44"/>
              <w:ind w:left="9"/>
              <w:rPr>
                <w:rFonts w:ascii="Times New Roman"/>
                <w:sz w:val="21"/>
              </w:rPr>
            </w:pPr>
            <w:r>
              <w:rPr>
                <w:rFonts w:ascii="Times New Roman"/>
                <w:w w:val="99"/>
                <w:sz w:val="21"/>
              </w:rPr>
              <w:t>9</w:t>
            </w:r>
          </w:p>
        </w:tc>
        <w:tc>
          <w:tcPr>
            <w:tcW w:w="874" w:type="dxa"/>
          </w:tcPr>
          <w:p>
            <w:pPr>
              <w:pStyle w:val="14"/>
              <w:spacing w:before="44"/>
              <w:ind w:left="10"/>
              <w:rPr>
                <w:rFonts w:ascii="Times New Roman"/>
                <w:sz w:val="21"/>
              </w:rPr>
            </w:pPr>
            <w:r>
              <w:rPr>
                <w:rFonts w:ascii="Times New Roman"/>
                <w:w w:val="99"/>
                <w:sz w:val="21"/>
              </w:rPr>
              <w:t>9</w:t>
            </w:r>
          </w:p>
        </w:tc>
        <w:tc>
          <w:tcPr>
            <w:tcW w:w="873" w:type="dxa"/>
          </w:tcPr>
          <w:p>
            <w:pPr>
              <w:pStyle w:val="14"/>
              <w:spacing w:before="44"/>
              <w:ind w:left="10"/>
              <w:rPr>
                <w:rFonts w:ascii="Times New Roman"/>
                <w:sz w:val="21"/>
              </w:rPr>
            </w:pPr>
            <w:r>
              <w:rPr>
                <w:rFonts w:ascii="Times New Roman"/>
                <w:w w:val="99"/>
                <w:sz w:val="21"/>
              </w:rPr>
              <w:t>9</w:t>
            </w:r>
          </w:p>
        </w:tc>
        <w:tc>
          <w:tcPr>
            <w:tcW w:w="877" w:type="dxa"/>
          </w:tcPr>
          <w:p>
            <w:pPr>
              <w:pStyle w:val="14"/>
              <w:spacing w:before="44"/>
              <w:ind w:left="7"/>
              <w:rPr>
                <w:rFonts w:ascii="Times New Roman"/>
                <w:sz w:val="21"/>
              </w:rPr>
            </w:pPr>
            <w:r>
              <w:rPr>
                <w:rFonts w:ascii="Times New Roman"/>
                <w:w w:val="99"/>
                <w:sz w:val="21"/>
              </w:rPr>
              <w:t>5</w:t>
            </w:r>
          </w:p>
        </w:tc>
        <w:tc>
          <w:tcPr>
            <w:tcW w:w="994" w:type="dxa"/>
          </w:tcPr>
          <w:p>
            <w:pPr>
              <w:pStyle w:val="14"/>
              <w:spacing w:before="44"/>
              <w:ind w:right="380"/>
              <w:jc w:val="right"/>
              <w:rPr>
                <w:rFonts w:ascii="Times New Roman"/>
                <w:sz w:val="21"/>
              </w:rPr>
            </w:pPr>
            <w:r>
              <w:rPr>
                <w:rFonts w:ascii="Times New Roman"/>
                <w:sz w:val="21"/>
              </w:rPr>
              <w:t>32</w:t>
            </w:r>
          </w:p>
        </w:tc>
        <w:tc>
          <w:tcPr>
            <w:tcW w:w="992" w:type="dxa"/>
          </w:tcPr>
          <w:p>
            <w:pPr>
              <w:pStyle w:val="14"/>
              <w:spacing w:before="44"/>
              <w:ind w:left="364"/>
              <w:jc w:val="left"/>
              <w:rPr>
                <w:rFonts w:ascii="Times New Roman"/>
                <w:sz w:val="21"/>
              </w:rPr>
            </w:pPr>
            <w:r>
              <w:rPr>
                <w:rFonts w:ascii="Times New Roman"/>
                <w:sz w:val="21"/>
              </w:rPr>
              <w:t>1.0</w:t>
            </w:r>
          </w:p>
        </w:tc>
        <w:tc>
          <w:tcPr>
            <w:tcW w:w="995" w:type="dxa"/>
          </w:tcPr>
          <w:p>
            <w:pPr>
              <w:pStyle w:val="14"/>
              <w:spacing w:before="44"/>
              <w:ind w:left="319" w:right="310"/>
              <w:rPr>
                <w:rFonts w:ascii="Times New Roman"/>
                <w:sz w:val="21"/>
              </w:rPr>
            </w:pPr>
            <w:r>
              <w:rPr>
                <w:rFonts w:ascii="Times New Roman"/>
                <w:sz w:val="21"/>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923" w:type="dxa"/>
          </w:tcPr>
          <w:p>
            <w:pPr>
              <w:pStyle w:val="14"/>
              <w:spacing w:before="30"/>
              <w:ind w:left="6"/>
              <w:rPr>
                <w:sz w:val="21"/>
              </w:rPr>
            </w:pPr>
            <w:r>
              <w:rPr>
                <w:w w:val="99"/>
                <w:sz w:val="21"/>
              </w:rPr>
              <w:t>三</w:t>
            </w:r>
          </w:p>
        </w:tc>
        <w:tc>
          <w:tcPr>
            <w:tcW w:w="1885" w:type="dxa"/>
          </w:tcPr>
          <w:p>
            <w:pPr>
              <w:pStyle w:val="14"/>
              <w:spacing w:before="30"/>
              <w:ind w:left="289" w:right="283"/>
              <w:rPr>
                <w:sz w:val="21"/>
              </w:rPr>
            </w:pPr>
            <w:r>
              <w:rPr>
                <w:sz w:val="21"/>
              </w:rPr>
              <w:t>其他人员</w:t>
            </w:r>
          </w:p>
        </w:tc>
        <w:tc>
          <w:tcPr>
            <w:tcW w:w="873" w:type="dxa"/>
          </w:tcPr>
          <w:p>
            <w:pPr>
              <w:pStyle w:val="14"/>
              <w:spacing w:before="44"/>
              <w:ind w:left="9"/>
              <w:rPr>
                <w:rFonts w:ascii="Times New Roman"/>
                <w:sz w:val="21"/>
              </w:rPr>
            </w:pPr>
            <w:r>
              <w:rPr>
                <w:rFonts w:ascii="Times New Roman"/>
                <w:w w:val="99"/>
                <w:sz w:val="21"/>
              </w:rPr>
              <w:t>5</w:t>
            </w:r>
          </w:p>
        </w:tc>
        <w:tc>
          <w:tcPr>
            <w:tcW w:w="874" w:type="dxa"/>
          </w:tcPr>
          <w:p>
            <w:pPr>
              <w:pStyle w:val="14"/>
              <w:spacing w:before="44"/>
              <w:ind w:left="10"/>
              <w:rPr>
                <w:rFonts w:ascii="Times New Roman"/>
                <w:sz w:val="21"/>
              </w:rPr>
            </w:pPr>
            <w:r>
              <w:rPr>
                <w:rFonts w:ascii="Times New Roman"/>
                <w:w w:val="99"/>
                <w:sz w:val="21"/>
              </w:rPr>
              <w:t>5</w:t>
            </w:r>
          </w:p>
        </w:tc>
        <w:tc>
          <w:tcPr>
            <w:tcW w:w="873" w:type="dxa"/>
          </w:tcPr>
          <w:p>
            <w:pPr>
              <w:pStyle w:val="14"/>
              <w:spacing w:before="44"/>
              <w:ind w:left="10"/>
              <w:rPr>
                <w:rFonts w:ascii="Times New Roman"/>
                <w:sz w:val="21"/>
              </w:rPr>
            </w:pPr>
            <w:r>
              <w:rPr>
                <w:rFonts w:ascii="Times New Roman"/>
                <w:w w:val="99"/>
                <w:sz w:val="21"/>
              </w:rPr>
              <w:t>5</w:t>
            </w:r>
          </w:p>
        </w:tc>
        <w:tc>
          <w:tcPr>
            <w:tcW w:w="877" w:type="dxa"/>
          </w:tcPr>
          <w:p>
            <w:pPr>
              <w:pStyle w:val="14"/>
              <w:spacing w:before="44"/>
              <w:ind w:left="7"/>
              <w:rPr>
                <w:rFonts w:ascii="Times New Roman"/>
                <w:sz w:val="21"/>
              </w:rPr>
            </w:pPr>
            <w:r>
              <w:rPr>
                <w:rFonts w:ascii="Times New Roman"/>
                <w:w w:val="99"/>
                <w:sz w:val="21"/>
              </w:rPr>
              <w:t>3</w:t>
            </w:r>
          </w:p>
        </w:tc>
        <w:tc>
          <w:tcPr>
            <w:tcW w:w="994" w:type="dxa"/>
          </w:tcPr>
          <w:p>
            <w:pPr>
              <w:pStyle w:val="14"/>
              <w:spacing w:before="44"/>
              <w:ind w:right="380"/>
              <w:jc w:val="right"/>
              <w:rPr>
                <w:rFonts w:ascii="Times New Roman"/>
                <w:sz w:val="21"/>
              </w:rPr>
            </w:pPr>
            <w:r>
              <w:rPr>
                <w:rFonts w:ascii="Times New Roman"/>
                <w:sz w:val="21"/>
              </w:rPr>
              <w:t>18</w:t>
            </w:r>
          </w:p>
        </w:tc>
        <w:tc>
          <w:tcPr>
            <w:tcW w:w="992" w:type="dxa"/>
          </w:tcPr>
          <w:p>
            <w:pPr>
              <w:pStyle w:val="14"/>
              <w:spacing w:before="44"/>
              <w:ind w:left="364"/>
              <w:jc w:val="left"/>
              <w:rPr>
                <w:rFonts w:ascii="Times New Roman"/>
                <w:sz w:val="21"/>
              </w:rPr>
            </w:pPr>
            <w:r>
              <w:rPr>
                <w:rFonts w:ascii="Times New Roman"/>
                <w:sz w:val="21"/>
              </w:rPr>
              <w:t>1.1</w:t>
            </w:r>
          </w:p>
        </w:tc>
        <w:tc>
          <w:tcPr>
            <w:tcW w:w="995" w:type="dxa"/>
          </w:tcPr>
          <w:p>
            <w:pPr>
              <w:pStyle w:val="14"/>
              <w:spacing w:before="44"/>
              <w:ind w:left="319" w:right="310"/>
              <w:rPr>
                <w:rFonts w:ascii="Times New Roman"/>
                <w:sz w:val="21"/>
              </w:rPr>
            </w:pPr>
            <w:r>
              <w:rPr>
                <w:rFonts w:ascii="Times New Roman"/>
                <w:sz w:val="21"/>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2808" w:type="dxa"/>
            <w:gridSpan w:val="2"/>
          </w:tcPr>
          <w:p>
            <w:pPr>
              <w:pStyle w:val="14"/>
              <w:spacing w:before="45"/>
              <w:ind w:left="1171" w:right="1166"/>
              <w:rPr>
                <w:sz w:val="21"/>
              </w:rPr>
            </w:pPr>
            <w:r>
              <w:rPr>
                <w:sz w:val="21"/>
              </w:rPr>
              <w:t>合计</w:t>
            </w:r>
          </w:p>
        </w:tc>
        <w:tc>
          <w:tcPr>
            <w:tcW w:w="873" w:type="dxa"/>
          </w:tcPr>
          <w:p>
            <w:pPr>
              <w:pStyle w:val="14"/>
              <w:spacing w:before="58"/>
              <w:ind w:left="204" w:right="195"/>
              <w:rPr>
                <w:rFonts w:ascii="Times New Roman"/>
                <w:sz w:val="21"/>
              </w:rPr>
            </w:pPr>
            <w:r>
              <w:rPr>
                <w:rFonts w:ascii="Times New Roman"/>
                <w:sz w:val="21"/>
              </w:rPr>
              <w:t>137</w:t>
            </w:r>
          </w:p>
        </w:tc>
        <w:tc>
          <w:tcPr>
            <w:tcW w:w="874" w:type="dxa"/>
          </w:tcPr>
          <w:p>
            <w:pPr>
              <w:pStyle w:val="14"/>
              <w:spacing w:before="58"/>
              <w:ind w:left="205" w:right="195"/>
              <w:rPr>
                <w:rFonts w:ascii="Times New Roman"/>
                <w:sz w:val="21"/>
              </w:rPr>
            </w:pPr>
            <w:r>
              <w:rPr>
                <w:rFonts w:ascii="Times New Roman"/>
                <w:sz w:val="21"/>
              </w:rPr>
              <w:t>137</w:t>
            </w:r>
          </w:p>
        </w:tc>
        <w:tc>
          <w:tcPr>
            <w:tcW w:w="873" w:type="dxa"/>
          </w:tcPr>
          <w:p>
            <w:pPr>
              <w:pStyle w:val="14"/>
              <w:spacing w:before="58"/>
              <w:ind w:left="204" w:right="194"/>
              <w:rPr>
                <w:rFonts w:ascii="Times New Roman"/>
                <w:sz w:val="21"/>
              </w:rPr>
            </w:pPr>
            <w:r>
              <w:rPr>
                <w:rFonts w:ascii="Times New Roman"/>
                <w:sz w:val="21"/>
              </w:rPr>
              <w:t>137</w:t>
            </w:r>
          </w:p>
        </w:tc>
        <w:tc>
          <w:tcPr>
            <w:tcW w:w="877" w:type="dxa"/>
          </w:tcPr>
          <w:p>
            <w:pPr>
              <w:pStyle w:val="14"/>
              <w:spacing w:before="58"/>
              <w:ind w:left="205" w:right="198"/>
              <w:rPr>
                <w:rFonts w:ascii="Times New Roman"/>
                <w:sz w:val="21"/>
              </w:rPr>
            </w:pPr>
            <w:r>
              <w:rPr>
                <w:rFonts w:ascii="Times New Roman"/>
                <w:sz w:val="21"/>
              </w:rPr>
              <w:t>94</w:t>
            </w:r>
          </w:p>
        </w:tc>
        <w:tc>
          <w:tcPr>
            <w:tcW w:w="994" w:type="dxa"/>
          </w:tcPr>
          <w:p>
            <w:pPr>
              <w:pStyle w:val="14"/>
              <w:spacing w:before="58"/>
              <w:ind w:right="327"/>
              <w:jc w:val="right"/>
              <w:rPr>
                <w:rFonts w:ascii="Times New Roman"/>
                <w:sz w:val="21"/>
              </w:rPr>
            </w:pPr>
            <w:r>
              <w:rPr>
                <w:rFonts w:ascii="Times New Roman"/>
                <w:sz w:val="21"/>
              </w:rPr>
              <w:t>505</w:t>
            </w:r>
          </w:p>
        </w:tc>
        <w:tc>
          <w:tcPr>
            <w:tcW w:w="992" w:type="dxa"/>
          </w:tcPr>
          <w:p>
            <w:pPr>
              <w:pStyle w:val="14"/>
              <w:jc w:val="left"/>
              <w:rPr>
                <w:rFonts w:ascii="Times New Roman"/>
                <w:sz w:val="22"/>
              </w:rPr>
            </w:pPr>
          </w:p>
        </w:tc>
        <w:tc>
          <w:tcPr>
            <w:tcW w:w="995" w:type="dxa"/>
          </w:tcPr>
          <w:p>
            <w:pPr>
              <w:pStyle w:val="14"/>
              <w:spacing w:before="58"/>
              <w:ind w:left="319" w:right="310"/>
              <w:rPr>
                <w:rFonts w:ascii="Times New Roman"/>
                <w:sz w:val="21"/>
              </w:rPr>
            </w:pPr>
            <w:r>
              <w:rPr>
                <w:rFonts w:ascii="Times New Roman"/>
                <w:sz w:val="21"/>
              </w:rPr>
              <w:t>665</w:t>
            </w:r>
          </w:p>
        </w:tc>
      </w:tr>
    </w:tbl>
    <w:p>
      <w:pPr>
        <w:spacing w:after="0"/>
        <w:rPr>
          <w:rFonts w:ascii="Times New Roman"/>
          <w:sz w:val="21"/>
        </w:rPr>
        <w:sectPr>
          <w:footerReference r:id="rId8" w:type="default"/>
          <w:pgSz w:w="11910" w:h="16840"/>
          <w:pgMar w:top="1080" w:right="720" w:bottom="1080" w:left="760" w:header="0" w:footer="891" w:gutter="0"/>
          <w:pgNumType w:start="3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53" name="组合 27"/>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52" name="直线 28"/>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27"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aCLtQAAAADAQAADwAAAAAAAAABACAAAAAiAAAAZHJzL2Rvd25yZXYueG1s&#10;UEsBAhQAFAAAAAgAh07iQNHUkl81AgAAtgQAAA4AAAAAAAAAAQAgAAAAIwEAAGRycy9lMm9Eb2Mu&#10;eG1sUEsFBgAAAAAGAAYAWQEAAMoFAAAAAA==&#10;">
                <o:lock v:ext="edit" aspectratio="f"/>
                <v:line id="直线 28" o:spid="_x0000_s1026" o:spt="20" style="position:absolute;left:0;top:7;height:0;width:8306;" filled="f" stroked="t" coordsize="21600,21600" o:gfxdata="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OJPWb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6"/>
        <w:spacing w:before="11"/>
        <w:rPr>
          <w:b/>
          <w:sz w:val="29"/>
        </w:rPr>
      </w:pPr>
    </w:p>
    <w:p>
      <w:pPr>
        <w:pStyle w:val="13"/>
        <w:numPr>
          <w:ilvl w:val="2"/>
          <w:numId w:val="16"/>
        </w:numPr>
        <w:tabs>
          <w:tab w:val="left" w:pos="1811"/>
        </w:tabs>
        <w:spacing w:before="73" w:after="0" w:line="240" w:lineRule="auto"/>
        <w:ind w:left="1810" w:right="0" w:hanging="771"/>
        <w:jc w:val="left"/>
        <w:rPr>
          <w:b/>
          <w:sz w:val="28"/>
        </w:rPr>
      </w:pPr>
      <w:r>
        <w:rPr>
          <w:b/>
          <w:sz w:val="28"/>
        </w:rPr>
        <w:t>项目实施计划</w:t>
      </w:r>
    </w:p>
    <w:p>
      <w:pPr>
        <w:pStyle w:val="6"/>
        <w:spacing w:before="212"/>
        <w:ind w:left="452" w:right="12"/>
        <w:jc w:val="center"/>
      </w:pPr>
      <w:r>
        <w:t xml:space="preserve">根据矿井建设工期安排，项目总工期 </w:t>
      </w:r>
      <w:r>
        <w:rPr>
          <w:rFonts w:ascii="Times New Roman" w:eastAsia="Times New Roman"/>
        </w:rPr>
        <w:t xml:space="preserve">26.5 </w:t>
      </w:r>
      <w:r>
        <w:t xml:space="preserve">个月，井巷工程 </w:t>
      </w:r>
      <w:r>
        <w:rPr>
          <w:rFonts w:ascii="Times New Roman" w:eastAsia="Times New Roman"/>
        </w:rPr>
        <w:t xml:space="preserve">21 </w:t>
      </w:r>
      <w:r>
        <w:t>个月，设备安</w:t>
      </w:r>
    </w:p>
    <w:p>
      <w:pPr>
        <w:pStyle w:val="6"/>
        <w:spacing w:before="160"/>
        <w:ind w:left="1040"/>
      </w:pPr>
      <w:r>
        <w:t xml:space="preserve">装施工期 </w:t>
      </w:r>
      <w:r>
        <w:rPr>
          <w:rFonts w:ascii="Times New Roman" w:eastAsia="Times New Roman"/>
        </w:rPr>
        <w:t xml:space="preserve">1.5 </w:t>
      </w:r>
      <w:r>
        <w:t xml:space="preserve">个月，施工准备期 </w:t>
      </w:r>
      <w:r>
        <w:rPr>
          <w:rFonts w:ascii="Times New Roman" w:eastAsia="Times New Roman"/>
        </w:rPr>
        <w:t xml:space="preserve">1 </w:t>
      </w:r>
      <w:r>
        <w:t xml:space="preserve">个月，安装和调试时间为 </w:t>
      </w:r>
      <w:r>
        <w:rPr>
          <w:rFonts w:ascii="Times New Roman" w:eastAsia="Times New Roman"/>
        </w:rPr>
        <w:t xml:space="preserve">1.5 </w:t>
      </w:r>
      <w:r>
        <w:t>个月。井筒安装、</w:t>
      </w:r>
    </w:p>
    <w:p>
      <w:pPr>
        <w:pStyle w:val="6"/>
        <w:spacing w:before="161"/>
        <w:ind w:left="1040"/>
      </w:pPr>
      <w:r>
        <w:t xml:space="preserve">联合试运转及移交验收期 </w:t>
      </w:r>
      <w:r>
        <w:rPr>
          <w:rFonts w:ascii="Times New Roman" w:eastAsia="Times New Roman"/>
        </w:rPr>
        <w:t xml:space="preserve">1.5 </w:t>
      </w:r>
      <w:r>
        <w:t>个月。</w:t>
      </w:r>
    </w:p>
    <w:p>
      <w:pPr>
        <w:pStyle w:val="4"/>
        <w:numPr>
          <w:ilvl w:val="2"/>
          <w:numId w:val="16"/>
        </w:numPr>
        <w:tabs>
          <w:tab w:val="left" w:pos="1794"/>
        </w:tabs>
        <w:spacing w:before="214" w:after="0" w:line="240" w:lineRule="auto"/>
        <w:ind w:left="1793" w:right="0" w:hanging="754"/>
        <w:jc w:val="left"/>
      </w:pPr>
      <w:r>
        <w:t>工程总投资及资金筹措</w:t>
      </w:r>
    </w:p>
    <w:p>
      <w:pPr>
        <w:tabs>
          <w:tab w:val="left" w:pos="4152"/>
        </w:tabs>
        <w:spacing w:before="211" w:line="304" w:lineRule="auto"/>
        <w:ind w:left="3113" w:right="1384" w:hanging="1594"/>
        <w:jc w:val="left"/>
        <w:rPr>
          <w:b/>
          <w:sz w:val="24"/>
        </w:rPr>
      </w:pPr>
      <w:r>
        <mc:AlternateContent>
          <mc:Choice Requires="wps">
            <w:drawing>
              <wp:anchor distT="0" distB="0" distL="114300" distR="114300" simplePos="0" relativeHeight="251676672" behindDoc="0" locked="0" layoutInCell="1" allowOverlap="1">
                <wp:simplePos x="0" y="0"/>
                <wp:positionH relativeFrom="page">
                  <wp:posOffset>826770</wp:posOffset>
                </wp:positionH>
                <wp:positionV relativeFrom="paragraph">
                  <wp:posOffset>577850</wp:posOffset>
                </wp:positionV>
                <wp:extent cx="5910580" cy="6640195"/>
                <wp:effectExtent l="0" t="0" r="0" b="0"/>
                <wp:wrapNone/>
                <wp:docPr id="244" name="文本框 29"/>
                <wp:cNvGraphicFramePr/>
                <a:graphic xmlns:a="http://schemas.openxmlformats.org/drawingml/2006/main">
                  <a:graphicData uri="http://schemas.microsoft.com/office/word/2010/wordprocessingShape">
                    <wps:wsp>
                      <wps:cNvSpPr txBox="1"/>
                      <wps:spPr>
                        <a:xfrm>
                          <a:off x="0" y="0"/>
                          <a:ext cx="5910580" cy="6640195"/>
                        </a:xfrm>
                        <a:prstGeom prst="rect">
                          <a:avLst/>
                        </a:prstGeom>
                        <a:noFill/>
                        <a:ln>
                          <a:noFill/>
                        </a:ln>
                      </wps:spPr>
                      <wps:txbx>
                        <w:txbxContent>
                          <w:tbl>
                            <w:tblPr>
                              <w:tblStyle w:val="10"/>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04"/>
                              <w:gridCol w:w="2608"/>
                              <w:gridCol w:w="891"/>
                              <w:gridCol w:w="3556"/>
                              <w:gridCol w:w="12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bottom w:val="single" w:color="000000" w:sz="4" w:space="0"/>
                                    <w:right w:val="single" w:color="000000" w:sz="4" w:space="0"/>
                                  </w:tcBorders>
                                </w:tcPr>
                                <w:p>
                                  <w:pPr>
                                    <w:pStyle w:val="14"/>
                                    <w:spacing w:before="2" w:line="250" w:lineRule="exact"/>
                                    <w:ind w:right="281"/>
                                    <w:jc w:val="right"/>
                                    <w:rPr>
                                      <w:sz w:val="21"/>
                                    </w:rPr>
                                  </w:pPr>
                                  <w:r>
                                    <w:rPr>
                                      <w:w w:val="95"/>
                                      <w:sz w:val="21"/>
                                    </w:rPr>
                                    <w:t>序号</w:t>
                                  </w:r>
                                </w:p>
                              </w:tc>
                              <w:tc>
                                <w:tcPr>
                                  <w:tcW w:w="2608" w:type="dxa"/>
                                  <w:tcBorders>
                                    <w:left w:val="single" w:color="000000" w:sz="4" w:space="0"/>
                                    <w:bottom w:val="single" w:color="000000" w:sz="4" w:space="0"/>
                                    <w:right w:val="single" w:color="000000" w:sz="4" w:space="0"/>
                                  </w:tcBorders>
                                </w:tcPr>
                                <w:p>
                                  <w:pPr>
                                    <w:pStyle w:val="14"/>
                                    <w:spacing w:before="2" w:line="250" w:lineRule="exact"/>
                                    <w:ind w:left="43" w:right="34"/>
                                    <w:rPr>
                                      <w:sz w:val="21"/>
                                    </w:rPr>
                                  </w:pPr>
                                  <w:r>
                                    <w:rPr>
                                      <w:sz w:val="21"/>
                                    </w:rPr>
                                    <w:t>指标名称</w:t>
                                  </w:r>
                                </w:p>
                              </w:tc>
                              <w:tc>
                                <w:tcPr>
                                  <w:tcW w:w="891" w:type="dxa"/>
                                  <w:tcBorders>
                                    <w:left w:val="single" w:color="000000" w:sz="4" w:space="0"/>
                                    <w:bottom w:val="single" w:color="000000" w:sz="4" w:space="0"/>
                                    <w:right w:val="single" w:color="000000" w:sz="4" w:space="0"/>
                                  </w:tcBorders>
                                </w:tcPr>
                                <w:p>
                                  <w:pPr>
                                    <w:pStyle w:val="14"/>
                                    <w:spacing w:before="2" w:line="250" w:lineRule="exact"/>
                                    <w:ind w:left="237"/>
                                    <w:jc w:val="left"/>
                                    <w:rPr>
                                      <w:sz w:val="21"/>
                                    </w:rPr>
                                  </w:pPr>
                                  <w:r>
                                    <w:rPr>
                                      <w:sz w:val="21"/>
                                    </w:rPr>
                                    <w:t>单位</w:t>
                                  </w:r>
                                </w:p>
                              </w:tc>
                              <w:tc>
                                <w:tcPr>
                                  <w:tcW w:w="3556" w:type="dxa"/>
                                  <w:tcBorders>
                                    <w:left w:val="single" w:color="000000" w:sz="4" w:space="0"/>
                                    <w:bottom w:val="single" w:color="000000" w:sz="4" w:space="0"/>
                                    <w:right w:val="single" w:color="000000" w:sz="4" w:space="0"/>
                                  </w:tcBorders>
                                </w:tcPr>
                                <w:p>
                                  <w:pPr>
                                    <w:pStyle w:val="14"/>
                                    <w:spacing w:before="2" w:line="250" w:lineRule="exact"/>
                                    <w:ind w:left="10"/>
                                    <w:rPr>
                                      <w:sz w:val="21"/>
                                    </w:rPr>
                                  </w:pPr>
                                  <w:r>
                                    <w:rPr>
                                      <w:sz w:val="21"/>
                                    </w:rPr>
                                    <w:t>指标</w:t>
                                  </w:r>
                                </w:p>
                              </w:tc>
                              <w:tc>
                                <w:tcPr>
                                  <w:tcW w:w="1227" w:type="dxa"/>
                                  <w:tcBorders>
                                    <w:left w:val="single" w:color="000000" w:sz="4" w:space="0"/>
                                    <w:bottom w:val="single" w:color="000000" w:sz="4" w:space="0"/>
                                  </w:tcBorders>
                                </w:tcPr>
                                <w:p>
                                  <w:pPr>
                                    <w:pStyle w:val="14"/>
                                    <w:spacing w:before="2" w:line="250" w:lineRule="exact"/>
                                    <w:ind w:left="405"/>
                                    <w:jc w:val="left"/>
                                    <w:rPr>
                                      <w:sz w:val="21"/>
                                    </w:rPr>
                                  </w:pPr>
                                  <w:r>
                                    <w:rPr>
                                      <w:sz w:val="21"/>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004" w:type="dxa"/>
                                  <w:tcBorders>
                                    <w:top w:val="single" w:color="000000" w:sz="4" w:space="0"/>
                                    <w:bottom w:val="single" w:color="000000" w:sz="4" w:space="0"/>
                                    <w:right w:val="single" w:color="000000" w:sz="4" w:space="0"/>
                                  </w:tcBorders>
                                </w:tcPr>
                                <w:p>
                                  <w:pPr>
                                    <w:pStyle w:val="14"/>
                                    <w:spacing w:before="14" w:line="238" w:lineRule="exact"/>
                                    <w:ind w:left="10"/>
                                    <w:rPr>
                                      <w:rFonts w:ascii="Times New Roman"/>
                                      <w:sz w:val="21"/>
                                    </w:rPr>
                                  </w:pPr>
                                  <w:r>
                                    <w:rPr>
                                      <w:rFonts w:ascii="Times New Roman"/>
                                      <w:w w:val="99"/>
                                      <w:sz w:val="21"/>
                                    </w:rPr>
                                    <w:t>1</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3" w:right="34"/>
                                    <w:rPr>
                                      <w:sz w:val="21"/>
                                    </w:rPr>
                                  </w:pPr>
                                  <w:r>
                                    <w:rPr>
                                      <w:sz w:val="21"/>
                                    </w:rPr>
                                    <w:t>井田范围</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04" w:type="dxa"/>
                                  <w:tcBorders>
                                    <w:top w:val="single" w:color="000000" w:sz="4" w:space="0"/>
                                    <w:bottom w:val="single" w:color="000000" w:sz="4" w:space="0"/>
                                    <w:right w:val="single" w:color="000000" w:sz="4" w:space="0"/>
                                  </w:tcBorders>
                                </w:tcPr>
                                <w:p>
                                  <w:pPr>
                                    <w:pStyle w:val="14"/>
                                    <w:spacing w:line="251"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1" w:lineRule="exact"/>
                                    <w:ind w:left="46" w:right="34"/>
                                    <w:rPr>
                                      <w:sz w:val="21"/>
                                    </w:rPr>
                                  </w:pPr>
                                  <w:r>
                                    <w:rPr>
                                      <w:sz w:val="21"/>
                                    </w:rPr>
                                    <w:t>平均走向长度</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4" w:line="237" w:lineRule="exact"/>
                                    <w:ind w:left="289" w:right="280"/>
                                    <w:rPr>
                                      <w:rFonts w:ascii="Times New Roman"/>
                                      <w:sz w:val="21"/>
                                    </w:rPr>
                                  </w:pPr>
                                  <w:r>
                                    <w:rPr>
                                      <w:rFonts w:ascii="Times New Roman"/>
                                      <w:sz w:val="21"/>
                                    </w:rPr>
                                    <w:t>km</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7" w:lineRule="exact"/>
                                    <w:ind w:left="16"/>
                                    <w:rPr>
                                      <w:rFonts w:ascii="Times New Roman"/>
                                      <w:sz w:val="21"/>
                                    </w:rPr>
                                  </w:pPr>
                                  <w:r>
                                    <w:rPr>
                                      <w:rFonts w:ascii="Times New Roman"/>
                                      <w:sz w:val="21"/>
                                    </w:rPr>
                                    <w:t>1.858</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2" w:line="250"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2" w:line="250" w:lineRule="exact"/>
                                    <w:ind w:left="46" w:right="34"/>
                                    <w:rPr>
                                      <w:sz w:val="21"/>
                                    </w:rPr>
                                  </w:pPr>
                                  <w:r>
                                    <w:rPr>
                                      <w:sz w:val="21"/>
                                    </w:rPr>
                                    <w:t>平均倾向长度</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6" w:line="236" w:lineRule="exact"/>
                                    <w:ind w:left="289" w:right="280"/>
                                    <w:rPr>
                                      <w:rFonts w:ascii="Times New Roman"/>
                                      <w:sz w:val="21"/>
                                    </w:rPr>
                                  </w:pPr>
                                  <w:r>
                                    <w:rPr>
                                      <w:rFonts w:ascii="Times New Roman"/>
                                      <w:sz w:val="21"/>
                                    </w:rPr>
                                    <w:t>km</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6" w:line="236" w:lineRule="exact"/>
                                    <w:ind w:left="16"/>
                                    <w:rPr>
                                      <w:rFonts w:ascii="Times New Roman"/>
                                      <w:sz w:val="21"/>
                                    </w:rPr>
                                  </w:pPr>
                                  <w:r>
                                    <w:rPr>
                                      <w:rFonts w:ascii="Times New Roman"/>
                                      <w:sz w:val="21"/>
                                    </w:rPr>
                                    <w:t>1.840</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3</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3" w:right="34"/>
                                    <w:rPr>
                                      <w:sz w:val="21"/>
                                    </w:rPr>
                                  </w:pPr>
                                  <w:r>
                                    <w:rPr>
                                      <w:sz w:val="21"/>
                                    </w:rPr>
                                    <w:t>井田面积</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4" w:line="238" w:lineRule="exact"/>
                                    <w:ind w:left="261"/>
                                    <w:jc w:val="left"/>
                                    <w:rPr>
                                      <w:rFonts w:ascii="Times New Roman"/>
                                      <w:sz w:val="21"/>
                                    </w:rPr>
                                  </w:pPr>
                                  <w:r>
                                    <w:rPr>
                                      <w:rFonts w:ascii="Times New Roman"/>
                                      <w:sz w:val="21"/>
                                    </w:rPr>
                                    <w:t>km2</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8" w:lineRule="exact"/>
                                    <w:ind w:left="11"/>
                                    <w:rPr>
                                      <w:rFonts w:ascii="Times New Roman"/>
                                      <w:sz w:val="21"/>
                                    </w:rPr>
                                  </w:pPr>
                                  <w:r>
                                    <w:rPr>
                                      <w:rFonts w:ascii="Times New Roman"/>
                                      <w:sz w:val="21"/>
                                    </w:rPr>
                                    <w:t>3.4197</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5" w:line="237" w:lineRule="exact"/>
                                    <w:ind w:left="10"/>
                                    <w:rPr>
                                      <w:rFonts w:ascii="Times New Roman"/>
                                      <w:sz w:val="21"/>
                                    </w:rPr>
                                  </w:pPr>
                                  <w:r>
                                    <w:rPr>
                                      <w:rFonts w:ascii="Times New Roman"/>
                                      <w:w w:val="99"/>
                                      <w:sz w:val="21"/>
                                    </w:rPr>
                                    <w:t>2</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6" w:right="34"/>
                                    <w:rPr>
                                      <w:sz w:val="21"/>
                                    </w:rPr>
                                  </w:pPr>
                                  <w:r>
                                    <w:rPr>
                                      <w:sz w:val="21"/>
                                    </w:rPr>
                                    <w:t>煤层</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4" w:hRule="atLeast"/>
                              </w:trPr>
                              <w:tc>
                                <w:tcPr>
                                  <w:tcW w:w="1004" w:type="dxa"/>
                                  <w:tcBorders>
                                    <w:top w:val="single" w:color="000000" w:sz="4" w:space="0"/>
                                    <w:bottom w:val="single" w:color="000000" w:sz="4" w:space="0"/>
                                    <w:right w:val="single" w:color="000000" w:sz="4" w:space="0"/>
                                  </w:tcBorders>
                                </w:tcPr>
                                <w:p>
                                  <w:pPr>
                                    <w:pStyle w:val="14"/>
                                    <w:spacing w:before="7" w:line="258"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7" w:line="258" w:lineRule="exact"/>
                                    <w:ind w:left="48" w:right="34"/>
                                    <w:rPr>
                                      <w:sz w:val="21"/>
                                    </w:rPr>
                                  </w:pPr>
                                  <w:r>
                                    <w:rPr>
                                      <w:sz w:val="21"/>
                                    </w:rPr>
                                    <w:t>可采煤层数</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7" w:line="258" w:lineRule="exact"/>
                                    <w:ind w:left="10"/>
                                    <w:rPr>
                                      <w:sz w:val="21"/>
                                    </w:rPr>
                                  </w:pPr>
                                  <w:r>
                                    <w:rPr>
                                      <w:w w:val="99"/>
                                      <w:sz w:val="21"/>
                                    </w:rPr>
                                    <w:t>层</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21"/>
                                    <w:ind w:left="13"/>
                                    <w:rPr>
                                      <w:rFonts w:ascii="Times New Roman"/>
                                      <w:sz w:val="21"/>
                                    </w:rPr>
                                  </w:pPr>
                                  <w:r>
                                    <w:rPr>
                                      <w:rFonts w:ascii="Times New Roman"/>
                                      <w:w w:val="99"/>
                                      <w:sz w:val="21"/>
                                    </w:rPr>
                                    <w:t>4</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sz w:val="21"/>
                                    </w:rPr>
                                    <w:t>可采煤层总厚度</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4" w:line="238" w:lineRule="exact"/>
                                    <w:ind w:left="11"/>
                                    <w:rPr>
                                      <w:rFonts w:ascii="Times New Roman"/>
                                      <w:sz w:val="21"/>
                                    </w:rPr>
                                  </w:pPr>
                                  <w:r>
                                    <w:rPr>
                                      <w:rFonts w:ascii="Times New Roman"/>
                                      <w:w w:val="99"/>
                                      <w:sz w:val="21"/>
                                    </w:rPr>
                                    <w:t>m</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8" w:lineRule="exact"/>
                                    <w:ind w:left="13"/>
                                    <w:rPr>
                                      <w:rFonts w:ascii="Times New Roman"/>
                                      <w:sz w:val="21"/>
                                    </w:rPr>
                                  </w:pPr>
                                  <w:r>
                                    <w:rPr>
                                      <w:rFonts w:ascii="Times New Roman"/>
                                      <w:sz w:val="21"/>
                                    </w:rPr>
                                    <w:t>3.33</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004" w:type="dxa"/>
                                  <w:tcBorders>
                                    <w:top w:val="single" w:color="000000" w:sz="4" w:space="0"/>
                                    <w:bottom w:val="single" w:color="000000" w:sz="4" w:space="0"/>
                                    <w:right w:val="single" w:color="000000" w:sz="4" w:space="0"/>
                                  </w:tcBorders>
                                </w:tcPr>
                                <w:p>
                                  <w:pPr>
                                    <w:pStyle w:val="14"/>
                                    <w:spacing w:before="1" w:line="252" w:lineRule="exact"/>
                                    <w:ind w:right="227"/>
                                    <w:jc w:val="right"/>
                                    <w:rPr>
                                      <w:sz w:val="21"/>
                                    </w:rPr>
                                  </w:pPr>
                                  <w:r>
                                    <w:rPr>
                                      <w:sz w:val="21"/>
                                    </w:rPr>
                                    <w:t>（</w:t>
                                  </w:r>
                                  <w:r>
                                    <w:rPr>
                                      <w:rFonts w:ascii="Times New Roman" w:eastAsia="Times New Roman"/>
                                      <w:sz w:val="21"/>
                                    </w:rPr>
                                    <w:t>3</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43" w:right="34"/>
                                    <w:rPr>
                                      <w:sz w:val="21"/>
                                    </w:rPr>
                                  </w:pPr>
                                  <w:r>
                                    <w:rPr>
                                      <w:sz w:val="21"/>
                                    </w:rPr>
                                    <w:t>煤层倾角</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196"/>
                                    <w:jc w:val="left"/>
                                    <w:rPr>
                                      <w:sz w:val="21"/>
                                    </w:rPr>
                                  </w:pPr>
                                  <w:r>
                                    <w:rPr>
                                      <w:sz w:val="21"/>
                                    </w:rPr>
                                    <w:t>（</w:t>
                                  </w:r>
                                  <w:r>
                                    <w:rPr>
                                      <w:rFonts w:ascii="Times New Roman" w:hAnsi="Times New Roman" w:eastAsia="Times New Roman"/>
                                      <w:sz w:val="21"/>
                                    </w:rPr>
                                    <w:t>°</w:t>
                                  </w:r>
                                  <w:r>
                                    <w:rPr>
                                      <w:sz w:val="21"/>
                                    </w:rPr>
                                    <w: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5" w:line="238" w:lineRule="exact"/>
                                    <w:ind w:left="16"/>
                                    <w:rPr>
                                      <w:rFonts w:ascii="Times New Roman"/>
                                      <w:sz w:val="21"/>
                                    </w:rPr>
                                  </w:pPr>
                                  <w:r>
                                    <w:rPr>
                                      <w:rFonts w:ascii="Times New Roman"/>
                                      <w:sz w:val="21"/>
                                    </w:rPr>
                                    <w:t>18~55</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04" w:type="dxa"/>
                                  <w:tcBorders>
                                    <w:top w:val="single" w:color="000000" w:sz="4" w:space="0"/>
                                    <w:bottom w:val="single" w:color="000000" w:sz="4" w:space="0"/>
                                    <w:right w:val="single" w:color="000000" w:sz="4" w:space="0"/>
                                  </w:tcBorders>
                                </w:tcPr>
                                <w:p>
                                  <w:pPr>
                                    <w:pStyle w:val="14"/>
                                    <w:spacing w:before="13" w:line="239" w:lineRule="exact"/>
                                    <w:ind w:left="10"/>
                                    <w:rPr>
                                      <w:rFonts w:ascii="Times New Roman"/>
                                      <w:sz w:val="21"/>
                                    </w:rPr>
                                  </w:pPr>
                                  <w:r>
                                    <w:rPr>
                                      <w:rFonts w:ascii="Times New Roman"/>
                                      <w:w w:val="99"/>
                                      <w:sz w:val="21"/>
                                    </w:rPr>
                                    <w:t>3</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sz w:val="21"/>
                                    </w:rPr>
                                    <w:t>资源</w:t>
                                  </w:r>
                                  <w:r>
                                    <w:rPr>
                                      <w:rFonts w:ascii="Times New Roman" w:eastAsia="Times New Roman"/>
                                      <w:sz w:val="21"/>
                                    </w:rPr>
                                    <w:t>/</w:t>
                                  </w:r>
                                  <w:r>
                                    <w:rPr>
                                      <w:sz w:val="21"/>
                                    </w:rPr>
                                    <w:t>储量</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4" w:line="238" w:lineRule="exact"/>
                                    <w:ind w:left="358" w:right="347"/>
                                    <w:rPr>
                                      <w:rFonts w:ascii="Times New Roman"/>
                                      <w:sz w:val="21"/>
                                    </w:rPr>
                                  </w:pPr>
                                  <w:r>
                                    <w:rPr>
                                      <w:rFonts w:ascii="Times New Roman"/>
                                      <w:sz w:val="21"/>
                                    </w:rPr>
                                    <w:t>(1)</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8" w:right="34"/>
                                    <w:rPr>
                                      <w:sz w:val="21"/>
                                    </w:rPr>
                                  </w:pPr>
                                  <w:r>
                                    <w:rPr>
                                      <w:sz w:val="21"/>
                                    </w:rPr>
                                    <w:t>地质资源量</w:t>
                                  </w:r>
                                </w:p>
                              </w:tc>
                              <w:tc>
                                <w:tcPr>
                                  <w:tcW w:w="891" w:type="dxa"/>
                                  <w:tcBorders>
                                    <w:top w:val="single" w:color="000000" w:sz="4" w:space="0"/>
                                    <w:left w:val="single" w:color="000000" w:sz="4" w:space="0"/>
                                    <w:bottom w:val="single" w:color="000000" w:sz="4" w:space="0"/>
                                    <w:right w:val="single" w:color="000000" w:sz="4" w:space="0"/>
                                  </w:tcBorders>
                                </w:tcPr>
                                <w:p>
                                  <w:pPr>
                                    <w:pStyle w:val="14"/>
                                    <w:spacing w:line="252" w:lineRule="exact"/>
                                    <w:ind w:left="288"/>
                                    <w:jc w:val="left"/>
                                    <w:rPr>
                                      <w:rFonts w:ascii="Times New Roman" w:eastAsia="Times New Roman"/>
                                      <w:sz w:val="21"/>
                                    </w:rPr>
                                  </w:pPr>
                                  <w:r>
                                    <w:rPr>
                                      <w:sz w:val="21"/>
                                    </w:rPr>
                                    <w:t xml:space="preserve">万 </w:t>
                                  </w:r>
                                  <w:r>
                                    <w:rPr>
                                      <w:rFonts w:ascii="Times New Roman" w:eastAsia="Times New Roman"/>
                                      <w:sz w:val="21"/>
                                    </w:rPr>
                                    <w:t>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8" w:lineRule="exact"/>
                                    <w:ind w:left="11"/>
                                    <w:rPr>
                                      <w:rFonts w:ascii="Times New Roman"/>
                                      <w:sz w:val="21"/>
                                    </w:rPr>
                                  </w:pPr>
                                  <w:r>
                                    <w:rPr>
                                      <w:rFonts w:ascii="Times New Roman"/>
                                      <w:sz w:val="21"/>
                                    </w:rPr>
                                    <w:t>991.28</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 w:line="252"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46" w:right="34"/>
                                    <w:rPr>
                                      <w:sz w:val="21"/>
                                    </w:rPr>
                                  </w:pPr>
                                  <w:r>
                                    <w:rPr>
                                      <w:sz w:val="21"/>
                                    </w:rPr>
                                    <w:t>工业资源</w:t>
                                  </w:r>
                                  <w:r>
                                    <w:rPr>
                                      <w:rFonts w:ascii="Times New Roman" w:eastAsia="Times New Roman"/>
                                      <w:sz w:val="21"/>
                                    </w:rPr>
                                    <w:t>/</w:t>
                                  </w:r>
                                  <w:r>
                                    <w:rPr>
                                      <w:sz w:val="21"/>
                                    </w:rPr>
                                    <w:t>储量</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288"/>
                                    <w:jc w:val="left"/>
                                    <w:rPr>
                                      <w:rFonts w:ascii="Times New Roman" w:eastAsia="Times New Roman"/>
                                      <w:sz w:val="21"/>
                                    </w:rPr>
                                  </w:pPr>
                                  <w:r>
                                    <w:rPr>
                                      <w:sz w:val="21"/>
                                    </w:rPr>
                                    <w:t xml:space="preserve">万 </w:t>
                                  </w:r>
                                  <w:r>
                                    <w:rPr>
                                      <w:rFonts w:ascii="Times New Roman" w:eastAsia="Times New Roman"/>
                                      <w:sz w:val="21"/>
                                    </w:rPr>
                                    <w:t>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5" w:line="238" w:lineRule="exact"/>
                                    <w:ind w:left="11"/>
                                    <w:rPr>
                                      <w:rFonts w:ascii="Times New Roman"/>
                                      <w:sz w:val="21"/>
                                    </w:rPr>
                                  </w:pPr>
                                  <w:r>
                                    <w:rPr>
                                      <w:rFonts w:ascii="Times New Roman"/>
                                      <w:sz w:val="21"/>
                                    </w:rPr>
                                    <w:t>924.38</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3</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sz w:val="21"/>
                                    </w:rPr>
                                    <w:t>设计资源</w:t>
                                  </w:r>
                                  <w:r>
                                    <w:rPr>
                                      <w:rFonts w:ascii="Times New Roman" w:eastAsia="Times New Roman"/>
                                      <w:sz w:val="21"/>
                                    </w:rPr>
                                    <w:t>/</w:t>
                                  </w:r>
                                  <w:r>
                                    <w:rPr>
                                      <w:sz w:val="21"/>
                                    </w:rPr>
                                    <w:t>储量</w:t>
                                  </w:r>
                                </w:p>
                              </w:tc>
                              <w:tc>
                                <w:tcPr>
                                  <w:tcW w:w="891" w:type="dxa"/>
                                  <w:tcBorders>
                                    <w:top w:val="single" w:color="000000" w:sz="4" w:space="0"/>
                                    <w:left w:val="single" w:color="000000" w:sz="4" w:space="0"/>
                                    <w:bottom w:val="single" w:color="000000" w:sz="4" w:space="0"/>
                                    <w:right w:val="single" w:color="000000" w:sz="4" w:space="0"/>
                                  </w:tcBorders>
                                </w:tcPr>
                                <w:p>
                                  <w:pPr>
                                    <w:pStyle w:val="14"/>
                                    <w:spacing w:line="252" w:lineRule="exact"/>
                                    <w:ind w:left="288"/>
                                    <w:jc w:val="left"/>
                                    <w:rPr>
                                      <w:rFonts w:ascii="Times New Roman" w:eastAsia="Times New Roman"/>
                                      <w:sz w:val="21"/>
                                    </w:rPr>
                                  </w:pPr>
                                  <w:r>
                                    <w:rPr>
                                      <w:sz w:val="21"/>
                                    </w:rPr>
                                    <w:t xml:space="preserve">万 </w:t>
                                  </w:r>
                                  <w:r>
                                    <w:rPr>
                                      <w:rFonts w:ascii="Times New Roman" w:eastAsia="Times New Roman"/>
                                      <w:sz w:val="21"/>
                                    </w:rPr>
                                    <w:t>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3" w:line="239" w:lineRule="exact"/>
                                    <w:ind w:left="11"/>
                                    <w:rPr>
                                      <w:rFonts w:ascii="Times New Roman"/>
                                      <w:sz w:val="21"/>
                                    </w:rPr>
                                  </w:pPr>
                                  <w:r>
                                    <w:rPr>
                                      <w:rFonts w:ascii="Times New Roman"/>
                                      <w:sz w:val="21"/>
                                    </w:rPr>
                                    <w:t>852.71</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4</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sz w:val="21"/>
                                    </w:rPr>
                                    <w:t>设计可采储量</w:t>
                                  </w:r>
                                </w:p>
                              </w:tc>
                              <w:tc>
                                <w:tcPr>
                                  <w:tcW w:w="891" w:type="dxa"/>
                                  <w:tcBorders>
                                    <w:top w:val="single" w:color="000000" w:sz="4" w:space="0"/>
                                    <w:left w:val="single" w:color="000000" w:sz="4" w:space="0"/>
                                    <w:bottom w:val="single" w:color="000000" w:sz="4" w:space="0"/>
                                    <w:right w:val="single" w:color="000000" w:sz="4" w:space="0"/>
                                  </w:tcBorders>
                                </w:tcPr>
                                <w:p>
                                  <w:pPr>
                                    <w:pStyle w:val="14"/>
                                    <w:spacing w:line="252" w:lineRule="exact"/>
                                    <w:ind w:left="288"/>
                                    <w:jc w:val="left"/>
                                    <w:rPr>
                                      <w:rFonts w:ascii="Times New Roman" w:eastAsia="Times New Roman"/>
                                      <w:sz w:val="21"/>
                                    </w:rPr>
                                  </w:pPr>
                                  <w:r>
                                    <w:rPr>
                                      <w:sz w:val="21"/>
                                    </w:rPr>
                                    <w:t xml:space="preserve">万 </w:t>
                                  </w:r>
                                  <w:r>
                                    <w:rPr>
                                      <w:rFonts w:ascii="Times New Roman" w:eastAsia="Times New Roman"/>
                                      <w:sz w:val="21"/>
                                    </w:rPr>
                                    <w:t>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8" w:lineRule="exact"/>
                                    <w:ind w:left="11"/>
                                    <w:rPr>
                                      <w:rFonts w:ascii="Times New Roman"/>
                                      <w:sz w:val="21"/>
                                    </w:rPr>
                                  </w:pPr>
                                  <w:r>
                                    <w:rPr>
                                      <w:rFonts w:ascii="Times New Roman"/>
                                      <w:sz w:val="21"/>
                                    </w:rPr>
                                    <w:t>646.59</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004" w:type="dxa"/>
                                  <w:tcBorders>
                                    <w:top w:val="single" w:color="000000" w:sz="4" w:space="0"/>
                                    <w:bottom w:val="single" w:color="000000" w:sz="4" w:space="0"/>
                                    <w:right w:val="single" w:color="000000" w:sz="4" w:space="0"/>
                                  </w:tcBorders>
                                </w:tcPr>
                                <w:p>
                                  <w:pPr>
                                    <w:pStyle w:val="14"/>
                                    <w:spacing w:before="15" w:line="237" w:lineRule="exact"/>
                                    <w:ind w:left="10"/>
                                    <w:rPr>
                                      <w:rFonts w:ascii="Times New Roman"/>
                                      <w:sz w:val="21"/>
                                    </w:rPr>
                                  </w:pPr>
                                  <w:r>
                                    <w:rPr>
                                      <w:rFonts w:ascii="Times New Roman"/>
                                      <w:w w:val="99"/>
                                      <w:sz w:val="21"/>
                                    </w:rPr>
                                    <w:t>4</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6" w:right="34"/>
                                    <w:rPr>
                                      <w:sz w:val="21"/>
                                    </w:rPr>
                                  </w:pPr>
                                  <w:r>
                                    <w:rPr>
                                      <w:sz w:val="21"/>
                                    </w:rPr>
                                    <w:t>煤类</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rFonts w:ascii="Times New Roman" w:eastAsia="Times New Roman"/>
                                      <w:sz w:val="21"/>
                                    </w:rPr>
                                    <w:t xml:space="preserve">10 </w:t>
                                  </w:r>
                                  <w:r>
                                    <w:rPr>
                                      <w:sz w:val="21"/>
                                    </w:rPr>
                                    <w:t>煤层</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tabs>
                                      <w:tab w:val="left" w:pos="641"/>
                                    </w:tabs>
                                    <w:spacing w:line="252" w:lineRule="exact"/>
                                    <w:ind w:left="10"/>
                                    <w:rPr>
                                      <w:sz w:val="21"/>
                                    </w:rPr>
                                  </w:pPr>
                                  <w:r>
                                    <w:rPr>
                                      <w:sz w:val="21"/>
                                    </w:rPr>
                                    <w:t>气煤</w:t>
                                  </w:r>
                                  <w:r>
                                    <w:rPr>
                                      <w:sz w:val="21"/>
                                    </w:rPr>
                                    <w:tab/>
                                  </w:r>
                                  <w:r>
                                    <w:rPr>
                                      <w:rFonts w:ascii="Times New Roman" w:eastAsia="Times New Roman"/>
                                      <w:sz w:val="21"/>
                                    </w:rPr>
                                    <w:t>1/3</w:t>
                                  </w:r>
                                  <w:r>
                                    <w:rPr>
                                      <w:rFonts w:ascii="Times New Roman" w:eastAsia="Times New Roman"/>
                                      <w:spacing w:val="-2"/>
                                      <w:sz w:val="21"/>
                                    </w:rPr>
                                    <w:t xml:space="preserve"> </w:t>
                                  </w:r>
                                  <w:r>
                                    <w:rPr>
                                      <w:sz w:val="21"/>
                                    </w:rPr>
                                    <w:t>焦煤</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rFonts w:ascii="Times New Roman" w:eastAsia="Times New Roman"/>
                                      <w:sz w:val="21"/>
                                    </w:rPr>
                                    <w:t xml:space="preserve">15 </w:t>
                                  </w:r>
                                  <w:r>
                                    <w:rPr>
                                      <w:sz w:val="21"/>
                                    </w:rPr>
                                    <w:t>煤层</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spacing w:line="252" w:lineRule="exact"/>
                                    <w:ind w:left="12"/>
                                    <w:rPr>
                                      <w:sz w:val="21"/>
                                    </w:rPr>
                                  </w:pPr>
                                  <w:r>
                                    <w:rPr>
                                      <w:rFonts w:ascii="Times New Roman" w:eastAsia="Times New Roman"/>
                                      <w:sz w:val="21"/>
                                    </w:rPr>
                                    <w:t xml:space="preserve">1/3 </w:t>
                                  </w:r>
                                  <w:r>
                                    <w:rPr>
                                      <w:sz w:val="21"/>
                                    </w:rPr>
                                    <w:t>焦</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04" w:type="dxa"/>
                                  <w:tcBorders>
                                    <w:top w:val="single" w:color="000000" w:sz="4" w:space="0"/>
                                    <w:bottom w:val="single" w:color="000000" w:sz="4" w:space="0"/>
                                    <w:right w:val="single" w:color="000000" w:sz="4" w:space="0"/>
                                  </w:tcBorders>
                                </w:tcPr>
                                <w:p>
                                  <w:pPr>
                                    <w:pStyle w:val="14"/>
                                    <w:spacing w:before="1" w:line="251" w:lineRule="exact"/>
                                    <w:ind w:right="227"/>
                                    <w:jc w:val="right"/>
                                    <w:rPr>
                                      <w:sz w:val="21"/>
                                    </w:rPr>
                                  </w:pPr>
                                  <w:r>
                                    <w:rPr>
                                      <w:sz w:val="21"/>
                                    </w:rPr>
                                    <w:t>（</w:t>
                                  </w:r>
                                  <w:r>
                                    <w:rPr>
                                      <w:rFonts w:ascii="Times New Roman" w:eastAsia="Times New Roman"/>
                                      <w:sz w:val="21"/>
                                    </w:rPr>
                                    <w:t>3</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6" w:right="34"/>
                                    <w:rPr>
                                      <w:sz w:val="21"/>
                                    </w:rPr>
                                  </w:pPr>
                                  <w:r>
                                    <w:rPr>
                                      <w:rFonts w:ascii="Times New Roman" w:eastAsia="Times New Roman"/>
                                      <w:sz w:val="21"/>
                                    </w:rPr>
                                    <w:t xml:space="preserve">20 </w:t>
                                  </w:r>
                                  <w:r>
                                    <w:rPr>
                                      <w:sz w:val="21"/>
                                    </w:rPr>
                                    <w:t>煤层</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7" w:lineRule="exact"/>
                                    <w:ind w:left="13"/>
                                    <w:rPr>
                                      <w:rFonts w:ascii="Times New Roman"/>
                                      <w:sz w:val="21"/>
                                    </w:rPr>
                                  </w:pPr>
                                  <w:r>
                                    <w:rPr>
                                      <w:rFonts w:ascii="Times New Roman"/>
                                      <w:sz w:val="21"/>
                                    </w:rPr>
                                    <w:t>1/3</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4</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rFonts w:ascii="Times New Roman" w:eastAsia="Times New Roman"/>
                                      <w:sz w:val="21"/>
                                    </w:rPr>
                                    <w:t xml:space="preserve">30 </w:t>
                                  </w:r>
                                  <w:r>
                                    <w:rPr>
                                      <w:sz w:val="21"/>
                                    </w:rPr>
                                    <w:t>煤层</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3" w:line="238" w:lineRule="exact"/>
                                    <w:ind w:left="13"/>
                                    <w:rPr>
                                      <w:rFonts w:ascii="Times New Roman"/>
                                      <w:sz w:val="21"/>
                                    </w:rPr>
                                  </w:pPr>
                                  <w:r>
                                    <w:rPr>
                                      <w:rFonts w:ascii="Times New Roman"/>
                                      <w:sz w:val="21"/>
                                    </w:rPr>
                                    <w:t>1/3</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4" w:line="238" w:lineRule="exact"/>
                                    <w:ind w:left="10"/>
                                    <w:rPr>
                                      <w:rFonts w:ascii="Times New Roman"/>
                                      <w:sz w:val="21"/>
                                    </w:rPr>
                                  </w:pPr>
                                  <w:r>
                                    <w:rPr>
                                      <w:rFonts w:ascii="Times New Roman"/>
                                      <w:w w:val="99"/>
                                      <w:sz w:val="21"/>
                                    </w:rPr>
                                    <w:t>5</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sz w:val="21"/>
                                    </w:rPr>
                                    <w:t>煤质</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3" w:hRule="atLeast"/>
                              </w:trPr>
                              <w:tc>
                                <w:tcPr>
                                  <w:tcW w:w="1004" w:type="dxa"/>
                                  <w:tcBorders>
                                    <w:top w:val="single" w:color="000000" w:sz="4" w:space="0"/>
                                    <w:bottom w:val="single" w:color="000000" w:sz="4" w:space="0"/>
                                    <w:right w:val="single" w:color="000000" w:sz="4" w:space="0"/>
                                  </w:tcBorders>
                                </w:tcPr>
                                <w:p>
                                  <w:pPr>
                                    <w:pStyle w:val="14"/>
                                    <w:spacing w:before="135"/>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35"/>
                                    <w:ind w:left="46" w:right="34"/>
                                    <w:rPr>
                                      <w:sz w:val="21"/>
                                    </w:rPr>
                                  </w:pPr>
                                  <w:r>
                                    <w:rPr>
                                      <w:sz w:val="21"/>
                                    </w:rPr>
                                    <w:t>灰分（原煤</w:t>
                                  </w:r>
                                  <w:r>
                                    <w:rPr>
                                      <w:rFonts w:ascii="Times New Roman" w:eastAsia="Times New Roman"/>
                                      <w:sz w:val="21"/>
                                    </w:rPr>
                                    <w:t>/</w:t>
                                  </w:r>
                                  <w:r>
                                    <w:rPr>
                                      <w:sz w:val="21"/>
                                    </w:rPr>
                                    <w:t>精煤）</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49"/>
                                    <w:ind w:left="13"/>
                                    <w:rPr>
                                      <w:rFonts w:ascii="Times New Roman"/>
                                      <w:sz w:val="21"/>
                                    </w:rPr>
                                  </w:pPr>
                                  <w:r>
                                    <w:rPr>
                                      <w:rFonts w:ascii="Times New Roman"/>
                                      <w:w w:val="99"/>
                                      <w:sz w:val="21"/>
                                    </w:rPr>
                                    <w: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
                                    <w:ind w:left="988"/>
                                    <w:jc w:val="left"/>
                                    <w:rPr>
                                      <w:rFonts w:ascii="Times New Roman" w:eastAsia="Times New Roman"/>
                                      <w:sz w:val="21"/>
                                    </w:rPr>
                                  </w:pPr>
                                  <w:r>
                                    <w:rPr>
                                      <w:w w:val="95"/>
                                      <w:sz w:val="21"/>
                                    </w:rPr>
                                    <w:t>原煤：</w:t>
                                  </w:r>
                                  <w:r>
                                    <w:rPr>
                                      <w:rFonts w:ascii="Times New Roman" w:eastAsia="Times New Roman"/>
                                      <w:w w:val="95"/>
                                      <w:sz w:val="21"/>
                                    </w:rPr>
                                    <w:t>9.16~42.12</w:t>
                                  </w:r>
                                </w:p>
                                <w:p>
                                  <w:pPr>
                                    <w:pStyle w:val="14"/>
                                    <w:spacing w:before="2" w:line="252" w:lineRule="exact"/>
                                    <w:ind w:left="988"/>
                                    <w:jc w:val="left"/>
                                    <w:rPr>
                                      <w:rFonts w:ascii="Times New Roman" w:eastAsia="Times New Roman"/>
                                      <w:sz w:val="21"/>
                                    </w:rPr>
                                  </w:pPr>
                                  <w:r>
                                    <w:rPr>
                                      <w:w w:val="95"/>
                                      <w:sz w:val="21"/>
                                    </w:rPr>
                                    <w:t>精煤：</w:t>
                                  </w:r>
                                  <w:r>
                                    <w:rPr>
                                      <w:rFonts w:ascii="Times New Roman" w:eastAsia="Times New Roman"/>
                                      <w:w w:val="95"/>
                                      <w:sz w:val="21"/>
                                    </w:rPr>
                                    <w:t>6.94~19.12</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004" w:type="dxa"/>
                                  <w:tcBorders>
                                    <w:top w:val="single" w:color="000000" w:sz="4" w:space="0"/>
                                    <w:bottom w:val="single" w:color="000000" w:sz="4" w:space="0"/>
                                    <w:right w:val="single" w:color="000000" w:sz="4" w:space="0"/>
                                  </w:tcBorders>
                                </w:tcPr>
                                <w:p>
                                  <w:pPr>
                                    <w:pStyle w:val="14"/>
                                    <w:spacing w:before="1" w:line="252"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46" w:right="34"/>
                                    <w:rPr>
                                      <w:sz w:val="21"/>
                                    </w:rPr>
                                  </w:pPr>
                                  <w:r>
                                    <w:rPr>
                                      <w:sz w:val="21"/>
                                    </w:rPr>
                                    <w:t>硫分（原煤</w:t>
                                  </w:r>
                                  <w:r>
                                    <w:rPr>
                                      <w:rFonts w:ascii="Times New Roman" w:eastAsia="Times New Roman"/>
                                      <w:sz w:val="21"/>
                                    </w:rPr>
                                    <w:t>/</w:t>
                                  </w:r>
                                  <w:r>
                                    <w:rPr>
                                      <w:sz w:val="21"/>
                                    </w:rPr>
                                    <w:t>精煤）</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5" w:line="238" w:lineRule="exact"/>
                                    <w:ind w:left="13"/>
                                    <w:rPr>
                                      <w:rFonts w:ascii="Times New Roman"/>
                                      <w:sz w:val="21"/>
                                    </w:rPr>
                                  </w:pPr>
                                  <w:r>
                                    <w:rPr>
                                      <w:rFonts w:ascii="Times New Roman"/>
                                      <w:w w:val="99"/>
                                      <w:sz w:val="21"/>
                                    </w:rPr>
                                    <w: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5" w:line="238" w:lineRule="exact"/>
                                    <w:ind w:left="13"/>
                                    <w:rPr>
                                      <w:rFonts w:ascii="Times New Roman"/>
                                      <w:sz w:val="21"/>
                                    </w:rPr>
                                  </w:pPr>
                                  <w:r>
                                    <w:rPr>
                                      <w:rFonts w:ascii="Times New Roman"/>
                                      <w:sz w:val="21"/>
                                    </w:rPr>
                                    <w:t>0.12~0.44</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3" w:hRule="atLeast"/>
                              </w:trPr>
                              <w:tc>
                                <w:tcPr>
                                  <w:tcW w:w="1004" w:type="dxa"/>
                                  <w:tcBorders>
                                    <w:top w:val="single" w:color="000000" w:sz="4" w:space="0"/>
                                    <w:bottom w:val="single" w:color="000000" w:sz="4" w:space="0"/>
                                    <w:right w:val="single" w:color="000000" w:sz="4" w:space="0"/>
                                  </w:tcBorders>
                                </w:tcPr>
                                <w:p>
                                  <w:pPr>
                                    <w:pStyle w:val="14"/>
                                    <w:spacing w:before="136"/>
                                    <w:ind w:right="227"/>
                                    <w:jc w:val="right"/>
                                    <w:rPr>
                                      <w:sz w:val="21"/>
                                    </w:rPr>
                                  </w:pPr>
                                  <w:r>
                                    <w:rPr>
                                      <w:sz w:val="21"/>
                                    </w:rPr>
                                    <w:t>（</w:t>
                                  </w:r>
                                  <w:r>
                                    <w:rPr>
                                      <w:rFonts w:ascii="Times New Roman" w:eastAsia="Times New Roman"/>
                                      <w:sz w:val="21"/>
                                    </w:rPr>
                                    <w:t>3</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36"/>
                                    <w:ind w:left="48" w:right="34"/>
                                    <w:rPr>
                                      <w:sz w:val="21"/>
                                    </w:rPr>
                                  </w:pPr>
                                  <w:r>
                                    <w:rPr>
                                      <w:sz w:val="21"/>
                                    </w:rPr>
                                    <w:t>挥发分（原煤</w:t>
                                  </w:r>
                                  <w:r>
                                    <w:rPr>
                                      <w:rFonts w:ascii="Times New Roman" w:eastAsia="Times New Roman"/>
                                      <w:sz w:val="21"/>
                                    </w:rPr>
                                    <w:t>/</w:t>
                                  </w:r>
                                  <w:r>
                                    <w:rPr>
                                      <w:sz w:val="21"/>
                                    </w:rPr>
                                    <w:t>精煤）</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50"/>
                                    <w:ind w:left="13"/>
                                    <w:rPr>
                                      <w:rFonts w:ascii="Times New Roman"/>
                                      <w:sz w:val="21"/>
                                    </w:rPr>
                                  </w:pPr>
                                  <w:r>
                                    <w:rPr>
                                      <w:rFonts w:ascii="Times New Roman"/>
                                      <w:w w:val="99"/>
                                      <w:sz w:val="21"/>
                                    </w:rPr>
                                    <w: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line="268" w:lineRule="exact"/>
                                    <w:ind w:left="935"/>
                                    <w:jc w:val="left"/>
                                    <w:rPr>
                                      <w:rFonts w:ascii="Times New Roman" w:eastAsia="Times New Roman"/>
                                      <w:sz w:val="21"/>
                                    </w:rPr>
                                  </w:pPr>
                                  <w:r>
                                    <w:rPr>
                                      <w:w w:val="95"/>
                                      <w:sz w:val="21"/>
                                    </w:rPr>
                                    <w:t>原煤：</w:t>
                                  </w:r>
                                  <w:r>
                                    <w:rPr>
                                      <w:rFonts w:ascii="Times New Roman" w:eastAsia="Times New Roman"/>
                                      <w:w w:val="95"/>
                                      <w:sz w:val="21"/>
                                    </w:rPr>
                                    <w:t>34.13~38.15</w:t>
                                  </w:r>
                                </w:p>
                                <w:p>
                                  <w:pPr>
                                    <w:pStyle w:val="14"/>
                                    <w:spacing w:before="4" w:line="251" w:lineRule="exact"/>
                                    <w:ind w:left="935"/>
                                    <w:jc w:val="left"/>
                                    <w:rPr>
                                      <w:rFonts w:ascii="Times New Roman" w:eastAsia="Times New Roman"/>
                                      <w:sz w:val="21"/>
                                    </w:rPr>
                                  </w:pPr>
                                  <w:r>
                                    <w:rPr>
                                      <w:w w:val="95"/>
                                      <w:sz w:val="21"/>
                                    </w:rPr>
                                    <w:t>精煤：</w:t>
                                  </w:r>
                                  <w:r>
                                    <w:rPr>
                                      <w:rFonts w:ascii="Times New Roman" w:eastAsia="Times New Roman"/>
                                      <w:w w:val="95"/>
                                      <w:sz w:val="21"/>
                                    </w:rPr>
                                    <w:t>32.89~38.34</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2" w:line="251" w:lineRule="exact"/>
                                    <w:ind w:right="227"/>
                                    <w:jc w:val="right"/>
                                    <w:rPr>
                                      <w:sz w:val="21"/>
                                    </w:rPr>
                                  </w:pPr>
                                  <w:r>
                                    <w:rPr>
                                      <w:sz w:val="21"/>
                                    </w:rPr>
                                    <w:t>（</w:t>
                                  </w:r>
                                  <w:r>
                                    <w:rPr>
                                      <w:rFonts w:ascii="Times New Roman" w:eastAsia="Times New Roman"/>
                                      <w:sz w:val="21"/>
                                    </w:rPr>
                                    <w:t>4</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left="46" w:right="34"/>
                                    <w:rPr>
                                      <w:sz w:val="21"/>
                                    </w:rPr>
                                  </w:pPr>
                                  <w:r>
                                    <w:rPr>
                                      <w:sz w:val="21"/>
                                    </w:rPr>
                                    <w:t>发热量</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6" w:line="237" w:lineRule="exact"/>
                                    <w:ind w:left="180"/>
                                    <w:jc w:val="left"/>
                                    <w:rPr>
                                      <w:rFonts w:ascii="Times New Roman"/>
                                      <w:sz w:val="21"/>
                                    </w:rPr>
                                  </w:pPr>
                                  <w:r>
                                    <w:rPr>
                                      <w:rFonts w:ascii="Times New Roman"/>
                                      <w:sz w:val="21"/>
                                    </w:rPr>
                                    <w:t>MJ/kg</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6" w:line="237" w:lineRule="exact"/>
                                    <w:ind w:left="13"/>
                                    <w:rPr>
                                      <w:rFonts w:ascii="Times New Roman"/>
                                      <w:sz w:val="21"/>
                                    </w:rPr>
                                  </w:pPr>
                                  <w:r>
                                    <w:rPr>
                                      <w:rFonts w:ascii="Times New Roman"/>
                                      <w:sz w:val="21"/>
                                    </w:rPr>
                                    <w:t>21.58~28.43</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3" w:line="238" w:lineRule="exact"/>
                                    <w:ind w:left="10"/>
                                    <w:rPr>
                                      <w:rFonts w:ascii="Times New Roman"/>
                                      <w:sz w:val="21"/>
                                    </w:rPr>
                                  </w:pPr>
                                  <w:r>
                                    <w:rPr>
                                      <w:rFonts w:ascii="Times New Roman"/>
                                      <w:w w:val="99"/>
                                      <w:sz w:val="21"/>
                                    </w:rPr>
                                    <w:t>6</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3" w:right="34"/>
                                    <w:rPr>
                                      <w:sz w:val="21"/>
                                    </w:rPr>
                                  </w:pPr>
                                  <w:r>
                                    <w:rPr>
                                      <w:sz w:val="21"/>
                                    </w:rPr>
                                    <w:t>矿井设计生产能力</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 w:line="251"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6" w:right="34"/>
                                    <w:rPr>
                                      <w:sz w:val="21"/>
                                    </w:rPr>
                                  </w:pPr>
                                  <w:r>
                                    <w:rPr>
                                      <w:sz w:val="21"/>
                                    </w:rPr>
                                    <w:t>年设计生产能力</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211"/>
                                    <w:jc w:val="left"/>
                                    <w:rPr>
                                      <w:rFonts w:ascii="Times New Roman" w:eastAsia="Times New Roman"/>
                                      <w:sz w:val="21"/>
                                    </w:rPr>
                                  </w:pPr>
                                  <w:r>
                                    <w:rPr>
                                      <w:sz w:val="21"/>
                                    </w:rPr>
                                    <w:t xml:space="preserve">万 </w:t>
                                  </w:r>
                                  <w:r>
                                    <w:rPr>
                                      <w:rFonts w:ascii="Times New Roman" w:eastAsia="Times New Roman"/>
                                      <w:sz w:val="21"/>
                                    </w:rPr>
                                    <w:t>t/a</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5" w:line="237" w:lineRule="exact"/>
                                    <w:ind w:left="13"/>
                                    <w:rPr>
                                      <w:rFonts w:ascii="Times New Roman"/>
                                      <w:sz w:val="21"/>
                                    </w:rPr>
                                  </w:pPr>
                                  <w:r>
                                    <w:rPr>
                                      <w:rFonts w:ascii="Times New Roman"/>
                                      <w:sz w:val="21"/>
                                    </w:rPr>
                                    <w:t>30</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2" w:line="251"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left="46" w:right="34"/>
                                    <w:rPr>
                                      <w:sz w:val="21"/>
                                    </w:rPr>
                                  </w:pPr>
                                  <w:r>
                                    <w:rPr>
                                      <w:sz w:val="21"/>
                                    </w:rPr>
                                    <w:t>日设计生产能力</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6" w:line="237" w:lineRule="exact"/>
                                    <w:ind w:left="290" w:right="279"/>
                                    <w:rPr>
                                      <w:rFonts w:ascii="Times New Roman"/>
                                      <w:sz w:val="21"/>
                                    </w:rPr>
                                  </w:pPr>
                                  <w:r>
                                    <w:rPr>
                                      <w:rFonts w:ascii="Times New Roman"/>
                                      <w:sz w:val="21"/>
                                    </w:rPr>
                                    <w:t>t/d</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6" w:line="237" w:lineRule="exact"/>
                                    <w:ind w:left="13"/>
                                    <w:rPr>
                                      <w:rFonts w:ascii="Times New Roman"/>
                                      <w:sz w:val="21"/>
                                    </w:rPr>
                                  </w:pPr>
                                  <w:r>
                                    <w:rPr>
                                      <w:rFonts w:ascii="Times New Roman"/>
                                      <w:sz w:val="21"/>
                                    </w:rPr>
                                    <w:t>909</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4" w:line="238" w:lineRule="exact"/>
                                    <w:ind w:left="10"/>
                                    <w:rPr>
                                      <w:rFonts w:ascii="Times New Roman"/>
                                      <w:sz w:val="21"/>
                                    </w:rPr>
                                  </w:pPr>
                                  <w:r>
                                    <w:rPr>
                                      <w:rFonts w:ascii="Times New Roman"/>
                                      <w:w w:val="99"/>
                                      <w:sz w:val="21"/>
                                    </w:rPr>
                                    <w:t>7</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sz w:val="21"/>
                                    </w:rPr>
                                    <w:t>矿井服务年限</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 w:line="251"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6" w:right="34"/>
                                    <w:rPr>
                                      <w:sz w:val="21"/>
                                    </w:rPr>
                                  </w:pPr>
                                  <w:r>
                                    <w:rPr>
                                      <w:sz w:val="21"/>
                                    </w:rPr>
                                    <w:t>设计生产年限</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5" w:line="237" w:lineRule="exact"/>
                                    <w:ind w:left="13"/>
                                    <w:rPr>
                                      <w:rFonts w:ascii="Times New Roman"/>
                                      <w:sz w:val="21"/>
                                    </w:rPr>
                                  </w:pPr>
                                  <w:r>
                                    <w:rPr>
                                      <w:rFonts w:ascii="Times New Roman"/>
                                      <w:w w:val="99"/>
                                      <w:sz w:val="21"/>
                                    </w:rPr>
                                    <w:t>a</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5" w:line="237" w:lineRule="exact"/>
                                    <w:ind w:left="13"/>
                                    <w:rPr>
                                      <w:rFonts w:ascii="Times New Roman"/>
                                      <w:sz w:val="21"/>
                                    </w:rPr>
                                  </w:pPr>
                                  <w:r>
                                    <w:rPr>
                                      <w:rFonts w:ascii="Times New Roman"/>
                                      <w:sz w:val="21"/>
                                    </w:rPr>
                                    <w:t>15.4</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3"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3" w:lineRule="exact"/>
                                    <w:ind w:left="46" w:right="34"/>
                                    <w:rPr>
                                      <w:sz w:val="21"/>
                                    </w:rPr>
                                  </w:pPr>
                                  <w:r>
                                    <w:rPr>
                                      <w:sz w:val="21"/>
                                    </w:rPr>
                                    <w:t>其中：一水平</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4" w:line="239" w:lineRule="exact"/>
                                    <w:ind w:left="13"/>
                                    <w:rPr>
                                      <w:rFonts w:ascii="Times New Roman"/>
                                      <w:sz w:val="21"/>
                                    </w:rPr>
                                  </w:pPr>
                                  <w:r>
                                    <w:rPr>
                                      <w:rFonts w:ascii="Times New Roman"/>
                                      <w:w w:val="99"/>
                                      <w:sz w:val="21"/>
                                    </w:rPr>
                                    <w:t>a</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9" w:lineRule="exact"/>
                                    <w:ind w:left="13"/>
                                    <w:rPr>
                                      <w:rFonts w:ascii="Times New Roman"/>
                                      <w:sz w:val="21"/>
                                    </w:rPr>
                                  </w:pPr>
                                  <w:r>
                                    <w:rPr>
                                      <w:rFonts w:ascii="Times New Roman"/>
                                      <w:sz w:val="21"/>
                                    </w:rPr>
                                    <w:t>15.4</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4" w:line="238" w:lineRule="exact"/>
                                    <w:ind w:left="10"/>
                                    <w:rPr>
                                      <w:rFonts w:ascii="Times New Roman"/>
                                      <w:sz w:val="21"/>
                                    </w:rPr>
                                  </w:pPr>
                                  <w:r>
                                    <w:rPr>
                                      <w:rFonts w:ascii="Times New Roman"/>
                                      <w:w w:val="99"/>
                                      <w:sz w:val="21"/>
                                    </w:rPr>
                                    <w:t>8</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3" w:right="34"/>
                                    <w:rPr>
                                      <w:sz w:val="21"/>
                                    </w:rPr>
                                  </w:pPr>
                                  <w:r>
                                    <w:rPr>
                                      <w:sz w:val="21"/>
                                    </w:rPr>
                                    <w:t>矿井设计工作制度</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 w:line="251"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8" w:right="34"/>
                                    <w:rPr>
                                      <w:sz w:val="21"/>
                                    </w:rPr>
                                  </w:pPr>
                                  <w:r>
                                    <w:rPr>
                                      <w:sz w:val="21"/>
                                    </w:rPr>
                                    <w:t>年工作天数</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5" w:line="237" w:lineRule="exact"/>
                                    <w:ind w:left="15"/>
                                    <w:rPr>
                                      <w:rFonts w:ascii="Times New Roman"/>
                                      <w:sz w:val="21"/>
                                    </w:rPr>
                                  </w:pPr>
                                  <w:r>
                                    <w:rPr>
                                      <w:rFonts w:ascii="Times New Roman"/>
                                      <w:w w:val="99"/>
                                      <w:sz w:val="21"/>
                                    </w:rPr>
                                    <w:t>d</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5" w:line="237" w:lineRule="exact"/>
                                    <w:ind w:left="13"/>
                                    <w:rPr>
                                      <w:rFonts w:ascii="Times New Roman"/>
                                      <w:sz w:val="21"/>
                                    </w:rPr>
                                  </w:pPr>
                                  <w:r>
                                    <w:rPr>
                                      <w:rFonts w:ascii="Times New Roman"/>
                                      <w:sz w:val="21"/>
                                    </w:rPr>
                                    <w:t>330</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3"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3" w:lineRule="exact"/>
                                    <w:ind w:left="48" w:right="34"/>
                                    <w:rPr>
                                      <w:sz w:val="21"/>
                                    </w:rPr>
                                  </w:pPr>
                                  <w:r>
                                    <w:rPr>
                                      <w:sz w:val="21"/>
                                    </w:rPr>
                                    <w:t>日工作班数</w:t>
                                  </w:r>
                                </w:p>
                              </w:tc>
                              <w:tc>
                                <w:tcPr>
                                  <w:tcW w:w="891" w:type="dxa"/>
                                  <w:tcBorders>
                                    <w:top w:val="single" w:color="000000" w:sz="4" w:space="0"/>
                                    <w:left w:val="single" w:color="000000" w:sz="4" w:space="0"/>
                                    <w:bottom w:val="single" w:color="000000" w:sz="4" w:space="0"/>
                                    <w:right w:val="single" w:color="000000" w:sz="4" w:space="0"/>
                                  </w:tcBorders>
                                </w:tcPr>
                                <w:p>
                                  <w:pPr>
                                    <w:pStyle w:val="14"/>
                                    <w:spacing w:line="253" w:lineRule="exact"/>
                                    <w:ind w:left="10"/>
                                    <w:rPr>
                                      <w:sz w:val="21"/>
                                    </w:rPr>
                                  </w:pPr>
                                  <w:r>
                                    <w:rPr>
                                      <w:w w:val="99"/>
                                      <w:sz w:val="21"/>
                                    </w:rPr>
                                    <w:t>班</w:t>
                                  </w:r>
                                </w:p>
                              </w:tc>
                              <w:tc>
                                <w:tcPr>
                                  <w:tcW w:w="3556" w:type="dxa"/>
                                  <w:tcBorders>
                                    <w:top w:val="single" w:color="000000" w:sz="4" w:space="0"/>
                                    <w:left w:val="single" w:color="000000" w:sz="4" w:space="0"/>
                                    <w:bottom w:val="single" w:color="000000" w:sz="4" w:space="0"/>
                                    <w:right w:val="single" w:color="000000" w:sz="4" w:space="0"/>
                                  </w:tcBorders>
                                </w:tcPr>
                                <w:p>
                                  <w:pPr>
                                    <w:pStyle w:val="14"/>
                                    <w:spacing w:line="253" w:lineRule="exact"/>
                                    <w:ind w:left="12"/>
                                    <w:rPr>
                                      <w:sz w:val="21"/>
                                    </w:rPr>
                                  </w:pPr>
                                  <w:r>
                                    <w:rPr>
                                      <w:sz w:val="21"/>
                                    </w:rPr>
                                    <w:t>井上：</w:t>
                                  </w:r>
                                  <w:r>
                                    <w:rPr>
                                      <w:rFonts w:ascii="Times New Roman" w:eastAsia="Times New Roman"/>
                                      <w:sz w:val="21"/>
                                    </w:rPr>
                                    <w:t xml:space="preserve">3 </w:t>
                                  </w:r>
                                  <w:r>
                                    <w:rPr>
                                      <w:sz w:val="21"/>
                                    </w:rPr>
                                    <w:t xml:space="preserve">班 井下 </w:t>
                                  </w:r>
                                  <w:r>
                                    <w:rPr>
                                      <w:rFonts w:ascii="Times New Roman" w:eastAsia="Times New Roman"/>
                                      <w:sz w:val="21"/>
                                    </w:rPr>
                                    <w:t xml:space="preserve">4 </w:t>
                                  </w:r>
                                  <w:r>
                                    <w:rPr>
                                      <w:sz w:val="21"/>
                                    </w:rPr>
                                    <w:t>班</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4" w:line="238" w:lineRule="exact"/>
                                    <w:ind w:left="10"/>
                                    <w:rPr>
                                      <w:rFonts w:ascii="Times New Roman"/>
                                      <w:sz w:val="21"/>
                                    </w:rPr>
                                  </w:pPr>
                                  <w:r>
                                    <w:rPr>
                                      <w:rFonts w:ascii="Times New Roman"/>
                                      <w:w w:val="99"/>
                                      <w:sz w:val="21"/>
                                    </w:rPr>
                                    <w:t>9</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3" w:right="34"/>
                                    <w:rPr>
                                      <w:sz w:val="21"/>
                                    </w:rPr>
                                  </w:pPr>
                                  <w:r>
                                    <w:rPr>
                                      <w:sz w:val="21"/>
                                    </w:rPr>
                                    <w:t>井田开拓</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9" w:hRule="atLeast"/>
                              </w:trPr>
                              <w:tc>
                                <w:tcPr>
                                  <w:tcW w:w="1004" w:type="dxa"/>
                                  <w:tcBorders>
                                    <w:top w:val="single" w:color="000000" w:sz="4" w:space="0"/>
                                    <w:right w:val="single" w:color="000000" w:sz="4" w:space="0"/>
                                  </w:tcBorders>
                                </w:tcPr>
                                <w:p>
                                  <w:pPr>
                                    <w:pStyle w:val="14"/>
                                    <w:spacing w:before="1" w:line="248"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right w:val="single" w:color="000000" w:sz="4" w:space="0"/>
                                  </w:tcBorders>
                                </w:tcPr>
                                <w:p>
                                  <w:pPr>
                                    <w:pStyle w:val="14"/>
                                    <w:spacing w:before="1" w:line="248" w:lineRule="exact"/>
                                    <w:ind w:left="43" w:right="34"/>
                                    <w:rPr>
                                      <w:sz w:val="21"/>
                                    </w:rPr>
                                  </w:pPr>
                                  <w:r>
                                    <w:rPr>
                                      <w:sz w:val="21"/>
                                    </w:rPr>
                                    <w:t>开拓方式</w:t>
                                  </w:r>
                                </w:p>
                              </w:tc>
                              <w:tc>
                                <w:tcPr>
                                  <w:tcW w:w="891" w:type="dxa"/>
                                  <w:tcBorders>
                                    <w:top w:val="single" w:color="000000" w:sz="4" w:space="0"/>
                                    <w:left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right w:val="single" w:color="000000" w:sz="4" w:space="0"/>
                                  </w:tcBorders>
                                </w:tcPr>
                                <w:p>
                                  <w:pPr>
                                    <w:pStyle w:val="14"/>
                                    <w:spacing w:before="1" w:line="248" w:lineRule="exact"/>
                                    <w:ind w:left="12"/>
                                    <w:rPr>
                                      <w:sz w:val="21"/>
                                    </w:rPr>
                                  </w:pPr>
                                  <w:r>
                                    <w:rPr>
                                      <w:sz w:val="21"/>
                                    </w:rPr>
                                    <w:t>斜井开拓</w:t>
                                  </w:r>
                                </w:p>
                              </w:tc>
                              <w:tc>
                                <w:tcPr>
                                  <w:tcW w:w="1227" w:type="dxa"/>
                                  <w:tcBorders>
                                    <w:top w:val="single" w:color="000000" w:sz="4" w:space="0"/>
                                    <w:left w:val="single" w:color="000000" w:sz="4" w:space="0"/>
                                  </w:tcBorders>
                                </w:tcPr>
                                <w:p>
                                  <w:pPr>
                                    <w:pStyle w:val="14"/>
                                    <w:jc w:val="left"/>
                                    <w:rPr>
                                      <w:rFonts w:ascii="Times New Roman"/>
                                      <w:sz w:val="20"/>
                                    </w:rPr>
                                  </w:pPr>
                                </w:p>
                              </w:tc>
                            </w:tr>
                          </w:tbl>
                          <w:p>
                            <w:pPr>
                              <w:pStyle w:val="6"/>
                            </w:pPr>
                          </w:p>
                        </w:txbxContent>
                      </wps:txbx>
                      <wps:bodyPr lIns="0" tIns="0" rIns="0" bIns="0" upright="1"/>
                    </wps:wsp>
                  </a:graphicData>
                </a:graphic>
              </wp:anchor>
            </w:drawing>
          </mc:Choice>
          <mc:Fallback>
            <w:pict>
              <v:shape id="文本框 29" o:spid="_x0000_s1026" o:spt="202" type="#_x0000_t202" style="position:absolute;left:0pt;margin-left:65.1pt;margin-top:45.5pt;height:522.85pt;width:465.4pt;mso-position-horizontal-relative:page;z-index:251676672;mso-width-relative:page;mso-height-relative:page;" filled="f" stroked="f" coordsize="21600,21600" o:gfxdata="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KNWhC7YAAAADAEAAA8AAAAA&#10;AAAAAQAgAAAAIgAAAGRycy9kb3ducmV2LnhtbFBLAQIUABQAAAAIAIdO4kDJrsQiogEAACgDAAAO&#10;AAAAAAAAAAEAIAAAACcBAABkcnMvZTJvRG9jLnhtbFBLBQYAAAAABgAGAFkBAAA7BQAAAAA=&#10;">
                <v:fill on="f" focussize="0,0"/>
                <v:stroke on="f"/>
                <v:imagedata o:title=""/>
                <o:lock v:ext="edit" aspectratio="f"/>
                <v:textbox inset="0mm,0mm,0mm,0mm">
                  <w:txbxContent>
                    <w:tbl>
                      <w:tblPr>
                        <w:tblStyle w:val="10"/>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04"/>
                        <w:gridCol w:w="2608"/>
                        <w:gridCol w:w="891"/>
                        <w:gridCol w:w="3556"/>
                        <w:gridCol w:w="12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bottom w:val="single" w:color="000000" w:sz="4" w:space="0"/>
                              <w:right w:val="single" w:color="000000" w:sz="4" w:space="0"/>
                            </w:tcBorders>
                          </w:tcPr>
                          <w:p>
                            <w:pPr>
                              <w:pStyle w:val="14"/>
                              <w:spacing w:before="2" w:line="250" w:lineRule="exact"/>
                              <w:ind w:right="281"/>
                              <w:jc w:val="right"/>
                              <w:rPr>
                                <w:sz w:val="21"/>
                              </w:rPr>
                            </w:pPr>
                            <w:r>
                              <w:rPr>
                                <w:w w:val="95"/>
                                <w:sz w:val="21"/>
                              </w:rPr>
                              <w:t>序号</w:t>
                            </w:r>
                          </w:p>
                        </w:tc>
                        <w:tc>
                          <w:tcPr>
                            <w:tcW w:w="2608" w:type="dxa"/>
                            <w:tcBorders>
                              <w:left w:val="single" w:color="000000" w:sz="4" w:space="0"/>
                              <w:bottom w:val="single" w:color="000000" w:sz="4" w:space="0"/>
                              <w:right w:val="single" w:color="000000" w:sz="4" w:space="0"/>
                            </w:tcBorders>
                          </w:tcPr>
                          <w:p>
                            <w:pPr>
                              <w:pStyle w:val="14"/>
                              <w:spacing w:before="2" w:line="250" w:lineRule="exact"/>
                              <w:ind w:left="43" w:right="34"/>
                              <w:rPr>
                                <w:sz w:val="21"/>
                              </w:rPr>
                            </w:pPr>
                            <w:r>
                              <w:rPr>
                                <w:sz w:val="21"/>
                              </w:rPr>
                              <w:t>指标名称</w:t>
                            </w:r>
                          </w:p>
                        </w:tc>
                        <w:tc>
                          <w:tcPr>
                            <w:tcW w:w="891" w:type="dxa"/>
                            <w:tcBorders>
                              <w:left w:val="single" w:color="000000" w:sz="4" w:space="0"/>
                              <w:bottom w:val="single" w:color="000000" w:sz="4" w:space="0"/>
                              <w:right w:val="single" w:color="000000" w:sz="4" w:space="0"/>
                            </w:tcBorders>
                          </w:tcPr>
                          <w:p>
                            <w:pPr>
                              <w:pStyle w:val="14"/>
                              <w:spacing w:before="2" w:line="250" w:lineRule="exact"/>
                              <w:ind w:left="237"/>
                              <w:jc w:val="left"/>
                              <w:rPr>
                                <w:sz w:val="21"/>
                              </w:rPr>
                            </w:pPr>
                            <w:r>
                              <w:rPr>
                                <w:sz w:val="21"/>
                              </w:rPr>
                              <w:t>单位</w:t>
                            </w:r>
                          </w:p>
                        </w:tc>
                        <w:tc>
                          <w:tcPr>
                            <w:tcW w:w="3556" w:type="dxa"/>
                            <w:tcBorders>
                              <w:left w:val="single" w:color="000000" w:sz="4" w:space="0"/>
                              <w:bottom w:val="single" w:color="000000" w:sz="4" w:space="0"/>
                              <w:right w:val="single" w:color="000000" w:sz="4" w:space="0"/>
                            </w:tcBorders>
                          </w:tcPr>
                          <w:p>
                            <w:pPr>
                              <w:pStyle w:val="14"/>
                              <w:spacing w:before="2" w:line="250" w:lineRule="exact"/>
                              <w:ind w:left="10"/>
                              <w:rPr>
                                <w:sz w:val="21"/>
                              </w:rPr>
                            </w:pPr>
                            <w:r>
                              <w:rPr>
                                <w:sz w:val="21"/>
                              </w:rPr>
                              <w:t>指标</w:t>
                            </w:r>
                          </w:p>
                        </w:tc>
                        <w:tc>
                          <w:tcPr>
                            <w:tcW w:w="1227" w:type="dxa"/>
                            <w:tcBorders>
                              <w:left w:val="single" w:color="000000" w:sz="4" w:space="0"/>
                              <w:bottom w:val="single" w:color="000000" w:sz="4" w:space="0"/>
                            </w:tcBorders>
                          </w:tcPr>
                          <w:p>
                            <w:pPr>
                              <w:pStyle w:val="14"/>
                              <w:spacing w:before="2" w:line="250" w:lineRule="exact"/>
                              <w:ind w:left="405"/>
                              <w:jc w:val="left"/>
                              <w:rPr>
                                <w:sz w:val="21"/>
                              </w:rPr>
                            </w:pPr>
                            <w:r>
                              <w:rPr>
                                <w:sz w:val="21"/>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004" w:type="dxa"/>
                            <w:tcBorders>
                              <w:top w:val="single" w:color="000000" w:sz="4" w:space="0"/>
                              <w:bottom w:val="single" w:color="000000" w:sz="4" w:space="0"/>
                              <w:right w:val="single" w:color="000000" w:sz="4" w:space="0"/>
                            </w:tcBorders>
                          </w:tcPr>
                          <w:p>
                            <w:pPr>
                              <w:pStyle w:val="14"/>
                              <w:spacing w:before="14" w:line="238" w:lineRule="exact"/>
                              <w:ind w:left="10"/>
                              <w:rPr>
                                <w:rFonts w:ascii="Times New Roman"/>
                                <w:sz w:val="21"/>
                              </w:rPr>
                            </w:pPr>
                            <w:r>
                              <w:rPr>
                                <w:rFonts w:ascii="Times New Roman"/>
                                <w:w w:val="99"/>
                                <w:sz w:val="21"/>
                              </w:rPr>
                              <w:t>1</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3" w:right="34"/>
                              <w:rPr>
                                <w:sz w:val="21"/>
                              </w:rPr>
                            </w:pPr>
                            <w:r>
                              <w:rPr>
                                <w:sz w:val="21"/>
                              </w:rPr>
                              <w:t>井田范围</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04" w:type="dxa"/>
                            <w:tcBorders>
                              <w:top w:val="single" w:color="000000" w:sz="4" w:space="0"/>
                              <w:bottom w:val="single" w:color="000000" w:sz="4" w:space="0"/>
                              <w:right w:val="single" w:color="000000" w:sz="4" w:space="0"/>
                            </w:tcBorders>
                          </w:tcPr>
                          <w:p>
                            <w:pPr>
                              <w:pStyle w:val="14"/>
                              <w:spacing w:line="251"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1" w:lineRule="exact"/>
                              <w:ind w:left="46" w:right="34"/>
                              <w:rPr>
                                <w:sz w:val="21"/>
                              </w:rPr>
                            </w:pPr>
                            <w:r>
                              <w:rPr>
                                <w:sz w:val="21"/>
                              </w:rPr>
                              <w:t>平均走向长度</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4" w:line="237" w:lineRule="exact"/>
                              <w:ind w:left="289" w:right="280"/>
                              <w:rPr>
                                <w:rFonts w:ascii="Times New Roman"/>
                                <w:sz w:val="21"/>
                              </w:rPr>
                            </w:pPr>
                            <w:r>
                              <w:rPr>
                                <w:rFonts w:ascii="Times New Roman"/>
                                <w:sz w:val="21"/>
                              </w:rPr>
                              <w:t>km</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7" w:lineRule="exact"/>
                              <w:ind w:left="16"/>
                              <w:rPr>
                                <w:rFonts w:ascii="Times New Roman"/>
                                <w:sz w:val="21"/>
                              </w:rPr>
                            </w:pPr>
                            <w:r>
                              <w:rPr>
                                <w:rFonts w:ascii="Times New Roman"/>
                                <w:sz w:val="21"/>
                              </w:rPr>
                              <w:t>1.858</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2" w:line="250"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2" w:line="250" w:lineRule="exact"/>
                              <w:ind w:left="46" w:right="34"/>
                              <w:rPr>
                                <w:sz w:val="21"/>
                              </w:rPr>
                            </w:pPr>
                            <w:r>
                              <w:rPr>
                                <w:sz w:val="21"/>
                              </w:rPr>
                              <w:t>平均倾向长度</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6" w:line="236" w:lineRule="exact"/>
                              <w:ind w:left="289" w:right="280"/>
                              <w:rPr>
                                <w:rFonts w:ascii="Times New Roman"/>
                                <w:sz w:val="21"/>
                              </w:rPr>
                            </w:pPr>
                            <w:r>
                              <w:rPr>
                                <w:rFonts w:ascii="Times New Roman"/>
                                <w:sz w:val="21"/>
                              </w:rPr>
                              <w:t>km</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6" w:line="236" w:lineRule="exact"/>
                              <w:ind w:left="16"/>
                              <w:rPr>
                                <w:rFonts w:ascii="Times New Roman"/>
                                <w:sz w:val="21"/>
                              </w:rPr>
                            </w:pPr>
                            <w:r>
                              <w:rPr>
                                <w:rFonts w:ascii="Times New Roman"/>
                                <w:sz w:val="21"/>
                              </w:rPr>
                              <w:t>1.840</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3</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3" w:right="34"/>
                              <w:rPr>
                                <w:sz w:val="21"/>
                              </w:rPr>
                            </w:pPr>
                            <w:r>
                              <w:rPr>
                                <w:sz w:val="21"/>
                              </w:rPr>
                              <w:t>井田面积</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4" w:line="238" w:lineRule="exact"/>
                              <w:ind w:left="261"/>
                              <w:jc w:val="left"/>
                              <w:rPr>
                                <w:rFonts w:ascii="Times New Roman"/>
                                <w:sz w:val="21"/>
                              </w:rPr>
                            </w:pPr>
                            <w:r>
                              <w:rPr>
                                <w:rFonts w:ascii="Times New Roman"/>
                                <w:sz w:val="21"/>
                              </w:rPr>
                              <w:t>km2</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8" w:lineRule="exact"/>
                              <w:ind w:left="11"/>
                              <w:rPr>
                                <w:rFonts w:ascii="Times New Roman"/>
                                <w:sz w:val="21"/>
                              </w:rPr>
                            </w:pPr>
                            <w:r>
                              <w:rPr>
                                <w:rFonts w:ascii="Times New Roman"/>
                                <w:sz w:val="21"/>
                              </w:rPr>
                              <w:t>3.4197</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5" w:line="237" w:lineRule="exact"/>
                              <w:ind w:left="10"/>
                              <w:rPr>
                                <w:rFonts w:ascii="Times New Roman"/>
                                <w:sz w:val="21"/>
                              </w:rPr>
                            </w:pPr>
                            <w:r>
                              <w:rPr>
                                <w:rFonts w:ascii="Times New Roman"/>
                                <w:w w:val="99"/>
                                <w:sz w:val="21"/>
                              </w:rPr>
                              <w:t>2</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6" w:right="34"/>
                              <w:rPr>
                                <w:sz w:val="21"/>
                              </w:rPr>
                            </w:pPr>
                            <w:r>
                              <w:rPr>
                                <w:sz w:val="21"/>
                              </w:rPr>
                              <w:t>煤层</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4" w:hRule="atLeast"/>
                        </w:trPr>
                        <w:tc>
                          <w:tcPr>
                            <w:tcW w:w="1004" w:type="dxa"/>
                            <w:tcBorders>
                              <w:top w:val="single" w:color="000000" w:sz="4" w:space="0"/>
                              <w:bottom w:val="single" w:color="000000" w:sz="4" w:space="0"/>
                              <w:right w:val="single" w:color="000000" w:sz="4" w:space="0"/>
                            </w:tcBorders>
                          </w:tcPr>
                          <w:p>
                            <w:pPr>
                              <w:pStyle w:val="14"/>
                              <w:spacing w:before="7" w:line="258"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7" w:line="258" w:lineRule="exact"/>
                              <w:ind w:left="48" w:right="34"/>
                              <w:rPr>
                                <w:sz w:val="21"/>
                              </w:rPr>
                            </w:pPr>
                            <w:r>
                              <w:rPr>
                                <w:sz w:val="21"/>
                              </w:rPr>
                              <w:t>可采煤层数</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7" w:line="258" w:lineRule="exact"/>
                              <w:ind w:left="10"/>
                              <w:rPr>
                                <w:sz w:val="21"/>
                              </w:rPr>
                            </w:pPr>
                            <w:r>
                              <w:rPr>
                                <w:w w:val="99"/>
                                <w:sz w:val="21"/>
                              </w:rPr>
                              <w:t>层</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21"/>
                              <w:ind w:left="13"/>
                              <w:rPr>
                                <w:rFonts w:ascii="Times New Roman"/>
                                <w:sz w:val="21"/>
                              </w:rPr>
                            </w:pPr>
                            <w:r>
                              <w:rPr>
                                <w:rFonts w:ascii="Times New Roman"/>
                                <w:w w:val="99"/>
                                <w:sz w:val="21"/>
                              </w:rPr>
                              <w:t>4</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sz w:val="21"/>
                              </w:rPr>
                              <w:t>可采煤层总厚度</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4" w:line="238" w:lineRule="exact"/>
                              <w:ind w:left="11"/>
                              <w:rPr>
                                <w:rFonts w:ascii="Times New Roman"/>
                                <w:sz w:val="21"/>
                              </w:rPr>
                            </w:pPr>
                            <w:r>
                              <w:rPr>
                                <w:rFonts w:ascii="Times New Roman"/>
                                <w:w w:val="99"/>
                                <w:sz w:val="21"/>
                              </w:rPr>
                              <w:t>m</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8" w:lineRule="exact"/>
                              <w:ind w:left="13"/>
                              <w:rPr>
                                <w:rFonts w:ascii="Times New Roman"/>
                                <w:sz w:val="21"/>
                              </w:rPr>
                            </w:pPr>
                            <w:r>
                              <w:rPr>
                                <w:rFonts w:ascii="Times New Roman"/>
                                <w:sz w:val="21"/>
                              </w:rPr>
                              <w:t>3.33</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004" w:type="dxa"/>
                            <w:tcBorders>
                              <w:top w:val="single" w:color="000000" w:sz="4" w:space="0"/>
                              <w:bottom w:val="single" w:color="000000" w:sz="4" w:space="0"/>
                              <w:right w:val="single" w:color="000000" w:sz="4" w:space="0"/>
                            </w:tcBorders>
                          </w:tcPr>
                          <w:p>
                            <w:pPr>
                              <w:pStyle w:val="14"/>
                              <w:spacing w:before="1" w:line="252" w:lineRule="exact"/>
                              <w:ind w:right="227"/>
                              <w:jc w:val="right"/>
                              <w:rPr>
                                <w:sz w:val="21"/>
                              </w:rPr>
                            </w:pPr>
                            <w:r>
                              <w:rPr>
                                <w:sz w:val="21"/>
                              </w:rPr>
                              <w:t>（</w:t>
                            </w:r>
                            <w:r>
                              <w:rPr>
                                <w:rFonts w:ascii="Times New Roman" w:eastAsia="Times New Roman"/>
                                <w:sz w:val="21"/>
                              </w:rPr>
                              <w:t>3</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43" w:right="34"/>
                              <w:rPr>
                                <w:sz w:val="21"/>
                              </w:rPr>
                            </w:pPr>
                            <w:r>
                              <w:rPr>
                                <w:sz w:val="21"/>
                              </w:rPr>
                              <w:t>煤层倾角</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196"/>
                              <w:jc w:val="left"/>
                              <w:rPr>
                                <w:sz w:val="21"/>
                              </w:rPr>
                            </w:pPr>
                            <w:r>
                              <w:rPr>
                                <w:sz w:val="21"/>
                              </w:rPr>
                              <w:t>（</w:t>
                            </w:r>
                            <w:r>
                              <w:rPr>
                                <w:rFonts w:ascii="Times New Roman" w:hAnsi="Times New Roman" w:eastAsia="Times New Roman"/>
                                <w:sz w:val="21"/>
                              </w:rPr>
                              <w:t>°</w:t>
                            </w:r>
                            <w:r>
                              <w:rPr>
                                <w:sz w:val="21"/>
                              </w:rPr>
                              <w: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5" w:line="238" w:lineRule="exact"/>
                              <w:ind w:left="16"/>
                              <w:rPr>
                                <w:rFonts w:ascii="Times New Roman"/>
                                <w:sz w:val="21"/>
                              </w:rPr>
                            </w:pPr>
                            <w:r>
                              <w:rPr>
                                <w:rFonts w:ascii="Times New Roman"/>
                                <w:sz w:val="21"/>
                              </w:rPr>
                              <w:t>18~55</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04" w:type="dxa"/>
                            <w:tcBorders>
                              <w:top w:val="single" w:color="000000" w:sz="4" w:space="0"/>
                              <w:bottom w:val="single" w:color="000000" w:sz="4" w:space="0"/>
                              <w:right w:val="single" w:color="000000" w:sz="4" w:space="0"/>
                            </w:tcBorders>
                          </w:tcPr>
                          <w:p>
                            <w:pPr>
                              <w:pStyle w:val="14"/>
                              <w:spacing w:before="13" w:line="239" w:lineRule="exact"/>
                              <w:ind w:left="10"/>
                              <w:rPr>
                                <w:rFonts w:ascii="Times New Roman"/>
                                <w:sz w:val="21"/>
                              </w:rPr>
                            </w:pPr>
                            <w:r>
                              <w:rPr>
                                <w:rFonts w:ascii="Times New Roman"/>
                                <w:w w:val="99"/>
                                <w:sz w:val="21"/>
                              </w:rPr>
                              <w:t>3</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sz w:val="21"/>
                              </w:rPr>
                              <w:t>资源</w:t>
                            </w:r>
                            <w:r>
                              <w:rPr>
                                <w:rFonts w:ascii="Times New Roman" w:eastAsia="Times New Roman"/>
                                <w:sz w:val="21"/>
                              </w:rPr>
                              <w:t>/</w:t>
                            </w:r>
                            <w:r>
                              <w:rPr>
                                <w:sz w:val="21"/>
                              </w:rPr>
                              <w:t>储量</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4" w:line="238" w:lineRule="exact"/>
                              <w:ind w:left="358" w:right="347"/>
                              <w:rPr>
                                <w:rFonts w:ascii="Times New Roman"/>
                                <w:sz w:val="21"/>
                              </w:rPr>
                            </w:pPr>
                            <w:r>
                              <w:rPr>
                                <w:rFonts w:ascii="Times New Roman"/>
                                <w:sz w:val="21"/>
                              </w:rPr>
                              <w:t>(1)</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8" w:right="34"/>
                              <w:rPr>
                                <w:sz w:val="21"/>
                              </w:rPr>
                            </w:pPr>
                            <w:r>
                              <w:rPr>
                                <w:sz w:val="21"/>
                              </w:rPr>
                              <w:t>地质资源量</w:t>
                            </w:r>
                          </w:p>
                        </w:tc>
                        <w:tc>
                          <w:tcPr>
                            <w:tcW w:w="891" w:type="dxa"/>
                            <w:tcBorders>
                              <w:top w:val="single" w:color="000000" w:sz="4" w:space="0"/>
                              <w:left w:val="single" w:color="000000" w:sz="4" w:space="0"/>
                              <w:bottom w:val="single" w:color="000000" w:sz="4" w:space="0"/>
                              <w:right w:val="single" w:color="000000" w:sz="4" w:space="0"/>
                            </w:tcBorders>
                          </w:tcPr>
                          <w:p>
                            <w:pPr>
                              <w:pStyle w:val="14"/>
                              <w:spacing w:line="252" w:lineRule="exact"/>
                              <w:ind w:left="288"/>
                              <w:jc w:val="left"/>
                              <w:rPr>
                                <w:rFonts w:ascii="Times New Roman" w:eastAsia="Times New Roman"/>
                                <w:sz w:val="21"/>
                              </w:rPr>
                            </w:pPr>
                            <w:r>
                              <w:rPr>
                                <w:sz w:val="21"/>
                              </w:rPr>
                              <w:t xml:space="preserve">万 </w:t>
                            </w:r>
                            <w:r>
                              <w:rPr>
                                <w:rFonts w:ascii="Times New Roman" w:eastAsia="Times New Roman"/>
                                <w:sz w:val="21"/>
                              </w:rPr>
                              <w:t>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8" w:lineRule="exact"/>
                              <w:ind w:left="11"/>
                              <w:rPr>
                                <w:rFonts w:ascii="Times New Roman"/>
                                <w:sz w:val="21"/>
                              </w:rPr>
                            </w:pPr>
                            <w:r>
                              <w:rPr>
                                <w:rFonts w:ascii="Times New Roman"/>
                                <w:sz w:val="21"/>
                              </w:rPr>
                              <w:t>991.28</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 w:line="252"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46" w:right="34"/>
                              <w:rPr>
                                <w:sz w:val="21"/>
                              </w:rPr>
                            </w:pPr>
                            <w:r>
                              <w:rPr>
                                <w:sz w:val="21"/>
                              </w:rPr>
                              <w:t>工业资源</w:t>
                            </w:r>
                            <w:r>
                              <w:rPr>
                                <w:rFonts w:ascii="Times New Roman" w:eastAsia="Times New Roman"/>
                                <w:sz w:val="21"/>
                              </w:rPr>
                              <w:t>/</w:t>
                            </w:r>
                            <w:r>
                              <w:rPr>
                                <w:sz w:val="21"/>
                              </w:rPr>
                              <w:t>储量</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288"/>
                              <w:jc w:val="left"/>
                              <w:rPr>
                                <w:rFonts w:ascii="Times New Roman" w:eastAsia="Times New Roman"/>
                                <w:sz w:val="21"/>
                              </w:rPr>
                            </w:pPr>
                            <w:r>
                              <w:rPr>
                                <w:sz w:val="21"/>
                              </w:rPr>
                              <w:t xml:space="preserve">万 </w:t>
                            </w:r>
                            <w:r>
                              <w:rPr>
                                <w:rFonts w:ascii="Times New Roman" w:eastAsia="Times New Roman"/>
                                <w:sz w:val="21"/>
                              </w:rPr>
                              <w:t>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5" w:line="238" w:lineRule="exact"/>
                              <w:ind w:left="11"/>
                              <w:rPr>
                                <w:rFonts w:ascii="Times New Roman"/>
                                <w:sz w:val="21"/>
                              </w:rPr>
                            </w:pPr>
                            <w:r>
                              <w:rPr>
                                <w:rFonts w:ascii="Times New Roman"/>
                                <w:sz w:val="21"/>
                              </w:rPr>
                              <w:t>924.38</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3</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sz w:val="21"/>
                              </w:rPr>
                              <w:t>设计资源</w:t>
                            </w:r>
                            <w:r>
                              <w:rPr>
                                <w:rFonts w:ascii="Times New Roman" w:eastAsia="Times New Roman"/>
                                <w:sz w:val="21"/>
                              </w:rPr>
                              <w:t>/</w:t>
                            </w:r>
                            <w:r>
                              <w:rPr>
                                <w:sz w:val="21"/>
                              </w:rPr>
                              <w:t>储量</w:t>
                            </w:r>
                          </w:p>
                        </w:tc>
                        <w:tc>
                          <w:tcPr>
                            <w:tcW w:w="891" w:type="dxa"/>
                            <w:tcBorders>
                              <w:top w:val="single" w:color="000000" w:sz="4" w:space="0"/>
                              <w:left w:val="single" w:color="000000" w:sz="4" w:space="0"/>
                              <w:bottom w:val="single" w:color="000000" w:sz="4" w:space="0"/>
                              <w:right w:val="single" w:color="000000" w:sz="4" w:space="0"/>
                            </w:tcBorders>
                          </w:tcPr>
                          <w:p>
                            <w:pPr>
                              <w:pStyle w:val="14"/>
                              <w:spacing w:line="252" w:lineRule="exact"/>
                              <w:ind w:left="288"/>
                              <w:jc w:val="left"/>
                              <w:rPr>
                                <w:rFonts w:ascii="Times New Roman" w:eastAsia="Times New Roman"/>
                                <w:sz w:val="21"/>
                              </w:rPr>
                            </w:pPr>
                            <w:r>
                              <w:rPr>
                                <w:sz w:val="21"/>
                              </w:rPr>
                              <w:t xml:space="preserve">万 </w:t>
                            </w:r>
                            <w:r>
                              <w:rPr>
                                <w:rFonts w:ascii="Times New Roman" w:eastAsia="Times New Roman"/>
                                <w:sz w:val="21"/>
                              </w:rPr>
                              <w:t>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3" w:line="239" w:lineRule="exact"/>
                              <w:ind w:left="11"/>
                              <w:rPr>
                                <w:rFonts w:ascii="Times New Roman"/>
                                <w:sz w:val="21"/>
                              </w:rPr>
                            </w:pPr>
                            <w:r>
                              <w:rPr>
                                <w:rFonts w:ascii="Times New Roman"/>
                                <w:sz w:val="21"/>
                              </w:rPr>
                              <w:t>852.71</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4</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sz w:val="21"/>
                              </w:rPr>
                              <w:t>设计可采储量</w:t>
                            </w:r>
                          </w:p>
                        </w:tc>
                        <w:tc>
                          <w:tcPr>
                            <w:tcW w:w="891" w:type="dxa"/>
                            <w:tcBorders>
                              <w:top w:val="single" w:color="000000" w:sz="4" w:space="0"/>
                              <w:left w:val="single" w:color="000000" w:sz="4" w:space="0"/>
                              <w:bottom w:val="single" w:color="000000" w:sz="4" w:space="0"/>
                              <w:right w:val="single" w:color="000000" w:sz="4" w:space="0"/>
                            </w:tcBorders>
                          </w:tcPr>
                          <w:p>
                            <w:pPr>
                              <w:pStyle w:val="14"/>
                              <w:spacing w:line="252" w:lineRule="exact"/>
                              <w:ind w:left="288"/>
                              <w:jc w:val="left"/>
                              <w:rPr>
                                <w:rFonts w:ascii="Times New Roman" w:eastAsia="Times New Roman"/>
                                <w:sz w:val="21"/>
                              </w:rPr>
                            </w:pPr>
                            <w:r>
                              <w:rPr>
                                <w:sz w:val="21"/>
                              </w:rPr>
                              <w:t xml:space="preserve">万 </w:t>
                            </w:r>
                            <w:r>
                              <w:rPr>
                                <w:rFonts w:ascii="Times New Roman" w:eastAsia="Times New Roman"/>
                                <w:sz w:val="21"/>
                              </w:rPr>
                              <w:t>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8" w:lineRule="exact"/>
                              <w:ind w:left="11"/>
                              <w:rPr>
                                <w:rFonts w:ascii="Times New Roman"/>
                                <w:sz w:val="21"/>
                              </w:rPr>
                            </w:pPr>
                            <w:r>
                              <w:rPr>
                                <w:rFonts w:ascii="Times New Roman"/>
                                <w:sz w:val="21"/>
                              </w:rPr>
                              <w:t>646.59</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004" w:type="dxa"/>
                            <w:tcBorders>
                              <w:top w:val="single" w:color="000000" w:sz="4" w:space="0"/>
                              <w:bottom w:val="single" w:color="000000" w:sz="4" w:space="0"/>
                              <w:right w:val="single" w:color="000000" w:sz="4" w:space="0"/>
                            </w:tcBorders>
                          </w:tcPr>
                          <w:p>
                            <w:pPr>
                              <w:pStyle w:val="14"/>
                              <w:spacing w:before="15" w:line="237" w:lineRule="exact"/>
                              <w:ind w:left="10"/>
                              <w:rPr>
                                <w:rFonts w:ascii="Times New Roman"/>
                                <w:sz w:val="21"/>
                              </w:rPr>
                            </w:pPr>
                            <w:r>
                              <w:rPr>
                                <w:rFonts w:ascii="Times New Roman"/>
                                <w:w w:val="99"/>
                                <w:sz w:val="21"/>
                              </w:rPr>
                              <w:t>4</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6" w:right="34"/>
                              <w:rPr>
                                <w:sz w:val="21"/>
                              </w:rPr>
                            </w:pPr>
                            <w:r>
                              <w:rPr>
                                <w:sz w:val="21"/>
                              </w:rPr>
                              <w:t>煤类</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rFonts w:ascii="Times New Roman" w:eastAsia="Times New Roman"/>
                                <w:sz w:val="21"/>
                              </w:rPr>
                              <w:t xml:space="preserve">10 </w:t>
                            </w:r>
                            <w:r>
                              <w:rPr>
                                <w:sz w:val="21"/>
                              </w:rPr>
                              <w:t>煤层</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tabs>
                                <w:tab w:val="left" w:pos="641"/>
                              </w:tabs>
                              <w:spacing w:line="252" w:lineRule="exact"/>
                              <w:ind w:left="10"/>
                              <w:rPr>
                                <w:sz w:val="21"/>
                              </w:rPr>
                            </w:pPr>
                            <w:r>
                              <w:rPr>
                                <w:sz w:val="21"/>
                              </w:rPr>
                              <w:t>气煤</w:t>
                            </w:r>
                            <w:r>
                              <w:rPr>
                                <w:sz w:val="21"/>
                              </w:rPr>
                              <w:tab/>
                            </w:r>
                            <w:r>
                              <w:rPr>
                                <w:rFonts w:ascii="Times New Roman" w:eastAsia="Times New Roman"/>
                                <w:sz w:val="21"/>
                              </w:rPr>
                              <w:t>1/3</w:t>
                            </w:r>
                            <w:r>
                              <w:rPr>
                                <w:rFonts w:ascii="Times New Roman" w:eastAsia="Times New Roman"/>
                                <w:spacing w:val="-2"/>
                                <w:sz w:val="21"/>
                              </w:rPr>
                              <w:t xml:space="preserve"> </w:t>
                            </w:r>
                            <w:r>
                              <w:rPr>
                                <w:sz w:val="21"/>
                              </w:rPr>
                              <w:t>焦煤</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rFonts w:ascii="Times New Roman" w:eastAsia="Times New Roman"/>
                                <w:sz w:val="21"/>
                              </w:rPr>
                              <w:t xml:space="preserve">15 </w:t>
                            </w:r>
                            <w:r>
                              <w:rPr>
                                <w:sz w:val="21"/>
                              </w:rPr>
                              <w:t>煤层</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spacing w:line="252" w:lineRule="exact"/>
                              <w:ind w:left="12"/>
                              <w:rPr>
                                <w:sz w:val="21"/>
                              </w:rPr>
                            </w:pPr>
                            <w:r>
                              <w:rPr>
                                <w:rFonts w:ascii="Times New Roman" w:eastAsia="Times New Roman"/>
                                <w:sz w:val="21"/>
                              </w:rPr>
                              <w:t xml:space="preserve">1/3 </w:t>
                            </w:r>
                            <w:r>
                              <w:rPr>
                                <w:sz w:val="21"/>
                              </w:rPr>
                              <w:t>焦</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04" w:type="dxa"/>
                            <w:tcBorders>
                              <w:top w:val="single" w:color="000000" w:sz="4" w:space="0"/>
                              <w:bottom w:val="single" w:color="000000" w:sz="4" w:space="0"/>
                              <w:right w:val="single" w:color="000000" w:sz="4" w:space="0"/>
                            </w:tcBorders>
                          </w:tcPr>
                          <w:p>
                            <w:pPr>
                              <w:pStyle w:val="14"/>
                              <w:spacing w:before="1" w:line="251" w:lineRule="exact"/>
                              <w:ind w:right="227"/>
                              <w:jc w:val="right"/>
                              <w:rPr>
                                <w:sz w:val="21"/>
                              </w:rPr>
                            </w:pPr>
                            <w:r>
                              <w:rPr>
                                <w:sz w:val="21"/>
                              </w:rPr>
                              <w:t>（</w:t>
                            </w:r>
                            <w:r>
                              <w:rPr>
                                <w:rFonts w:ascii="Times New Roman" w:eastAsia="Times New Roman"/>
                                <w:sz w:val="21"/>
                              </w:rPr>
                              <w:t>3</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6" w:right="34"/>
                              <w:rPr>
                                <w:sz w:val="21"/>
                              </w:rPr>
                            </w:pPr>
                            <w:r>
                              <w:rPr>
                                <w:rFonts w:ascii="Times New Roman" w:eastAsia="Times New Roman"/>
                                <w:sz w:val="21"/>
                              </w:rPr>
                              <w:t xml:space="preserve">20 </w:t>
                            </w:r>
                            <w:r>
                              <w:rPr>
                                <w:sz w:val="21"/>
                              </w:rPr>
                              <w:t>煤层</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7" w:lineRule="exact"/>
                              <w:ind w:left="13"/>
                              <w:rPr>
                                <w:rFonts w:ascii="Times New Roman"/>
                                <w:sz w:val="21"/>
                              </w:rPr>
                            </w:pPr>
                            <w:r>
                              <w:rPr>
                                <w:rFonts w:ascii="Times New Roman"/>
                                <w:sz w:val="21"/>
                              </w:rPr>
                              <w:t>1/3</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4</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rFonts w:ascii="Times New Roman" w:eastAsia="Times New Roman"/>
                                <w:sz w:val="21"/>
                              </w:rPr>
                              <w:t xml:space="preserve">30 </w:t>
                            </w:r>
                            <w:r>
                              <w:rPr>
                                <w:sz w:val="21"/>
                              </w:rPr>
                              <w:t>煤层</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3" w:line="238" w:lineRule="exact"/>
                              <w:ind w:left="13"/>
                              <w:rPr>
                                <w:rFonts w:ascii="Times New Roman"/>
                                <w:sz w:val="21"/>
                              </w:rPr>
                            </w:pPr>
                            <w:r>
                              <w:rPr>
                                <w:rFonts w:ascii="Times New Roman"/>
                                <w:sz w:val="21"/>
                              </w:rPr>
                              <w:t>1/3</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4" w:line="238" w:lineRule="exact"/>
                              <w:ind w:left="10"/>
                              <w:rPr>
                                <w:rFonts w:ascii="Times New Roman"/>
                                <w:sz w:val="21"/>
                              </w:rPr>
                            </w:pPr>
                            <w:r>
                              <w:rPr>
                                <w:rFonts w:ascii="Times New Roman"/>
                                <w:w w:val="99"/>
                                <w:sz w:val="21"/>
                              </w:rPr>
                              <w:t>5</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sz w:val="21"/>
                              </w:rPr>
                              <w:t>煤质</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3" w:hRule="atLeast"/>
                        </w:trPr>
                        <w:tc>
                          <w:tcPr>
                            <w:tcW w:w="1004" w:type="dxa"/>
                            <w:tcBorders>
                              <w:top w:val="single" w:color="000000" w:sz="4" w:space="0"/>
                              <w:bottom w:val="single" w:color="000000" w:sz="4" w:space="0"/>
                              <w:right w:val="single" w:color="000000" w:sz="4" w:space="0"/>
                            </w:tcBorders>
                          </w:tcPr>
                          <w:p>
                            <w:pPr>
                              <w:pStyle w:val="14"/>
                              <w:spacing w:before="135"/>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35"/>
                              <w:ind w:left="46" w:right="34"/>
                              <w:rPr>
                                <w:sz w:val="21"/>
                              </w:rPr>
                            </w:pPr>
                            <w:r>
                              <w:rPr>
                                <w:sz w:val="21"/>
                              </w:rPr>
                              <w:t>灰分（原煤</w:t>
                            </w:r>
                            <w:r>
                              <w:rPr>
                                <w:rFonts w:ascii="Times New Roman" w:eastAsia="Times New Roman"/>
                                <w:sz w:val="21"/>
                              </w:rPr>
                              <w:t>/</w:t>
                            </w:r>
                            <w:r>
                              <w:rPr>
                                <w:sz w:val="21"/>
                              </w:rPr>
                              <w:t>精煤）</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49"/>
                              <w:ind w:left="13"/>
                              <w:rPr>
                                <w:rFonts w:ascii="Times New Roman"/>
                                <w:sz w:val="21"/>
                              </w:rPr>
                            </w:pPr>
                            <w:r>
                              <w:rPr>
                                <w:rFonts w:ascii="Times New Roman"/>
                                <w:w w:val="99"/>
                                <w:sz w:val="21"/>
                              </w:rPr>
                              <w: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
                              <w:ind w:left="988"/>
                              <w:jc w:val="left"/>
                              <w:rPr>
                                <w:rFonts w:ascii="Times New Roman" w:eastAsia="Times New Roman"/>
                                <w:sz w:val="21"/>
                              </w:rPr>
                            </w:pPr>
                            <w:r>
                              <w:rPr>
                                <w:w w:val="95"/>
                                <w:sz w:val="21"/>
                              </w:rPr>
                              <w:t>原煤：</w:t>
                            </w:r>
                            <w:r>
                              <w:rPr>
                                <w:rFonts w:ascii="Times New Roman" w:eastAsia="Times New Roman"/>
                                <w:w w:val="95"/>
                                <w:sz w:val="21"/>
                              </w:rPr>
                              <w:t>9.16~42.12</w:t>
                            </w:r>
                          </w:p>
                          <w:p>
                            <w:pPr>
                              <w:pStyle w:val="14"/>
                              <w:spacing w:before="2" w:line="252" w:lineRule="exact"/>
                              <w:ind w:left="988"/>
                              <w:jc w:val="left"/>
                              <w:rPr>
                                <w:rFonts w:ascii="Times New Roman" w:eastAsia="Times New Roman"/>
                                <w:sz w:val="21"/>
                              </w:rPr>
                            </w:pPr>
                            <w:r>
                              <w:rPr>
                                <w:w w:val="95"/>
                                <w:sz w:val="21"/>
                              </w:rPr>
                              <w:t>精煤：</w:t>
                            </w:r>
                            <w:r>
                              <w:rPr>
                                <w:rFonts w:ascii="Times New Roman" w:eastAsia="Times New Roman"/>
                                <w:w w:val="95"/>
                                <w:sz w:val="21"/>
                              </w:rPr>
                              <w:t>6.94~19.12</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004" w:type="dxa"/>
                            <w:tcBorders>
                              <w:top w:val="single" w:color="000000" w:sz="4" w:space="0"/>
                              <w:bottom w:val="single" w:color="000000" w:sz="4" w:space="0"/>
                              <w:right w:val="single" w:color="000000" w:sz="4" w:space="0"/>
                            </w:tcBorders>
                          </w:tcPr>
                          <w:p>
                            <w:pPr>
                              <w:pStyle w:val="14"/>
                              <w:spacing w:before="1" w:line="252"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46" w:right="34"/>
                              <w:rPr>
                                <w:sz w:val="21"/>
                              </w:rPr>
                            </w:pPr>
                            <w:r>
                              <w:rPr>
                                <w:sz w:val="21"/>
                              </w:rPr>
                              <w:t>硫分（原煤</w:t>
                            </w:r>
                            <w:r>
                              <w:rPr>
                                <w:rFonts w:ascii="Times New Roman" w:eastAsia="Times New Roman"/>
                                <w:sz w:val="21"/>
                              </w:rPr>
                              <w:t>/</w:t>
                            </w:r>
                            <w:r>
                              <w:rPr>
                                <w:sz w:val="21"/>
                              </w:rPr>
                              <w:t>精煤）</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5" w:line="238" w:lineRule="exact"/>
                              <w:ind w:left="13"/>
                              <w:rPr>
                                <w:rFonts w:ascii="Times New Roman"/>
                                <w:sz w:val="21"/>
                              </w:rPr>
                            </w:pPr>
                            <w:r>
                              <w:rPr>
                                <w:rFonts w:ascii="Times New Roman"/>
                                <w:w w:val="99"/>
                                <w:sz w:val="21"/>
                              </w:rPr>
                              <w: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5" w:line="238" w:lineRule="exact"/>
                              <w:ind w:left="13"/>
                              <w:rPr>
                                <w:rFonts w:ascii="Times New Roman"/>
                                <w:sz w:val="21"/>
                              </w:rPr>
                            </w:pPr>
                            <w:r>
                              <w:rPr>
                                <w:rFonts w:ascii="Times New Roman"/>
                                <w:sz w:val="21"/>
                              </w:rPr>
                              <w:t>0.12~0.44</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3" w:hRule="atLeast"/>
                        </w:trPr>
                        <w:tc>
                          <w:tcPr>
                            <w:tcW w:w="1004" w:type="dxa"/>
                            <w:tcBorders>
                              <w:top w:val="single" w:color="000000" w:sz="4" w:space="0"/>
                              <w:bottom w:val="single" w:color="000000" w:sz="4" w:space="0"/>
                              <w:right w:val="single" w:color="000000" w:sz="4" w:space="0"/>
                            </w:tcBorders>
                          </w:tcPr>
                          <w:p>
                            <w:pPr>
                              <w:pStyle w:val="14"/>
                              <w:spacing w:before="136"/>
                              <w:ind w:right="227"/>
                              <w:jc w:val="right"/>
                              <w:rPr>
                                <w:sz w:val="21"/>
                              </w:rPr>
                            </w:pPr>
                            <w:r>
                              <w:rPr>
                                <w:sz w:val="21"/>
                              </w:rPr>
                              <w:t>（</w:t>
                            </w:r>
                            <w:r>
                              <w:rPr>
                                <w:rFonts w:ascii="Times New Roman" w:eastAsia="Times New Roman"/>
                                <w:sz w:val="21"/>
                              </w:rPr>
                              <w:t>3</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36"/>
                              <w:ind w:left="48" w:right="34"/>
                              <w:rPr>
                                <w:sz w:val="21"/>
                              </w:rPr>
                            </w:pPr>
                            <w:r>
                              <w:rPr>
                                <w:sz w:val="21"/>
                              </w:rPr>
                              <w:t>挥发分（原煤</w:t>
                            </w:r>
                            <w:r>
                              <w:rPr>
                                <w:rFonts w:ascii="Times New Roman" w:eastAsia="Times New Roman"/>
                                <w:sz w:val="21"/>
                              </w:rPr>
                              <w:t>/</w:t>
                            </w:r>
                            <w:r>
                              <w:rPr>
                                <w:sz w:val="21"/>
                              </w:rPr>
                              <w:t>精煤）</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50"/>
                              <w:ind w:left="13"/>
                              <w:rPr>
                                <w:rFonts w:ascii="Times New Roman"/>
                                <w:sz w:val="21"/>
                              </w:rPr>
                            </w:pPr>
                            <w:r>
                              <w:rPr>
                                <w:rFonts w:ascii="Times New Roman"/>
                                <w:w w:val="99"/>
                                <w:sz w:val="21"/>
                              </w:rPr>
                              <w: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line="268" w:lineRule="exact"/>
                              <w:ind w:left="935"/>
                              <w:jc w:val="left"/>
                              <w:rPr>
                                <w:rFonts w:ascii="Times New Roman" w:eastAsia="Times New Roman"/>
                                <w:sz w:val="21"/>
                              </w:rPr>
                            </w:pPr>
                            <w:r>
                              <w:rPr>
                                <w:w w:val="95"/>
                                <w:sz w:val="21"/>
                              </w:rPr>
                              <w:t>原煤：</w:t>
                            </w:r>
                            <w:r>
                              <w:rPr>
                                <w:rFonts w:ascii="Times New Roman" w:eastAsia="Times New Roman"/>
                                <w:w w:val="95"/>
                                <w:sz w:val="21"/>
                              </w:rPr>
                              <w:t>34.13~38.15</w:t>
                            </w:r>
                          </w:p>
                          <w:p>
                            <w:pPr>
                              <w:pStyle w:val="14"/>
                              <w:spacing w:before="4" w:line="251" w:lineRule="exact"/>
                              <w:ind w:left="935"/>
                              <w:jc w:val="left"/>
                              <w:rPr>
                                <w:rFonts w:ascii="Times New Roman" w:eastAsia="Times New Roman"/>
                                <w:sz w:val="21"/>
                              </w:rPr>
                            </w:pPr>
                            <w:r>
                              <w:rPr>
                                <w:w w:val="95"/>
                                <w:sz w:val="21"/>
                              </w:rPr>
                              <w:t>精煤：</w:t>
                            </w:r>
                            <w:r>
                              <w:rPr>
                                <w:rFonts w:ascii="Times New Roman" w:eastAsia="Times New Roman"/>
                                <w:w w:val="95"/>
                                <w:sz w:val="21"/>
                              </w:rPr>
                              <w:t>32.89~38.34</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2" w:line="251" w:lineRule="exact"/>
                              <w:ind w:right="227"/>
                              <w:jc w:val="right"/>
                              <w:rPr>
                                <w:sz w:val="21"/>
                              </w:rPr>
                            </w:pPr>
                            <w:r>
                              <w:rPr>
                                <w:sz w:val="21"/>
                              </w:rPr>
                              <w:t>（</w:t>
                            </w:r>
                            <w:r>
                              <w:rPr>
                                <w:rFonts w:ascii="Times New Roman" w:eastAsia="Times New Roman"/>
                                <w:sz w:val="21"/>
                              </w:rPr>
                              <w:t>4</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left="46" w:right="34"/>
                              <w:rPr>
                                <w:sz w:val="21"/>
                              </w:rPr>
                            </w:pPr>
                            <w:r>
                              <w:rPr>
                                <w:sz w:val="21"/>
                              </w:rPr>
                              <w:t>发热量</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6" w:line="237" w:lineRule="exact"/>
                              <w:ind w:left="180"/>
                              <w:jc w:val="left"/>
                              <w:rPr>
                                <w:rFonts w:ascii="Times New Roman"/>
                                <w:sz w:val="21"/>
                              </w:rPr>
                            </w:pPr>
                            <w:r>
                              <w:rPr>
                                <w:rFonts w:ascii="Times New Roman"/>
                                <w:sz w:val="21"/>
                              </w:rPr>
                              <w:t>MJ/kg</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6" w:line="237" w:lineRule="exact"/>
                              <w:ind w:left="13"/>
                              <w:rPr>
                                <w:rFonts w:ascii="Times New Roman"/>
                                <w:sz w:val="21"/>
                              </w:rPr>
                            </w:pPr>
                            <w:r>
                              <w:rPr>
                                <w:rFonts w:ascii="Times New Roman"/>
                                <w:sz w:val="21"/>
                              </w:rPr>
                              <w:t>21.58~28.43</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3" w:line="238" w:lineRule="exact"/>
                              <w:ind w:left="10"/>
                              <w:rPr>
                                <w:rFonts w:ascii="Times New Roman"/>
                                <w:sz w:val="21"/>
                              </w:rPr>
                            </w:pPr>
                            <w:r>
                              <w:rPr>
                                <w:rFonts w:ascii="Times New Roman"/>
                                <w:w w:val="99"/>
                                <w:sz w:val="21"/>
                              </w:rPr>
                              <w:t>6</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3" w:right="34"/>
                              <w:rPr>
                                <w:sz w:val="21"/>
                              </w:rPr>
                            </w:pPr>
                            <w:r>
                              <w:rPr>
                                <w:sz w:val="21"/>
                              </w:rPr>
                              <w:t>矿井设计生产能力</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 w:line="251"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6" w:right="34"/>
                              <w:rPr>
                                <w:sz w:val="21"/>
                              </w:rPr>
                            </w:pPr>
                            <w:r>
                              <w:rPr>
                                <w:sz w:val="21"/>
                              </w:rPr>
                              <w:t>年设计生产能力</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211"/>
                              <w:jc w:val="left"/>
                              <w:rPr>
                                <w:rFonts w:ascii="Times New Roman" w:eastAsia="Times New Roman"/>
                                <w:sz w:val="21"/>
                              </w:rPr>
                            </w:pPr>
                            <w:r>
                              <w:rPr>
                                <w:sz w:val="21"/>
                              </w:rPr>
                              <w:t xml:space="preserve">万 </w:t>
                            </w:r>
                            <w:r>
                              <w:rPr>
                                <w:rFonts w:ascii="Times New Roman" w:eastAsia="Times New Roman"/>
                                <w:sz w:val="21"/>
                              </w:rPr>
                              <w:t>t/a</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5" w:line="237" w:lineRule="exact"/>
                              <w:ind w:left="13"/>
                              <w:rPr>
                                <w:rFonts w:ascii="Times New Roman"/>
                                <w:sz w:val="21"/>
                              </w:rPr>
                            </w:pPr>
                            <w:r>
                              <w:rPr>
                                <w:rFonts w:ascii="Times New Roman"/>
                                <w:sz w:val="21"/>
                              </w:rPr>
                              <w:t>30</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2" w:line="251"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left="46" w:right="34"/>
                              <w:rPr>
                                <w:sz w:val="21"/>
                              </w:rPr>
                            </w:pPr>
                            <w:r>
                              <w:rPr>
                                <w:sz w:val="21"/>
                              </w:rPr>
                              <w:t>日设计生产能力</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6" w:line="237" w:lineRule="exact"/>
                              <w:ind w:left="290" w:right="279"/>
                              <w:rPr>
                                <w:rFonts w:ascii="Times New Roman"/>
                                <w:sz w:val="21"/>
                              </w:rPr>
                            </w:pPr>
                            <w:r>
                              <w:rPr>
                                <w:rFonts w:ascii="Times New Roman"/>
                                <w:sz w:val="21"/>
                              </w:rPr>
                              <w:t>t/d</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6" w:line="237" w:lineRule="exact"/>
                              <w:ind w:left="13"/>
                              <w:rPr>
                                <w:rFonts w:ascii="Times New Roman"/>
                                <w:sz w:val="21"/>
                              </w:rPr>
                            </w:pPr>
                            <w:r>
                              <w:rPr>
                                <w:rFonts w:ascii="Times New Roman"/>
                                <w:sz w:val="21"/>
                              </w:rPr>
                              <w:t>909</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4" w:line="238" w:lineRule="exact"/>
                              <w:ind w:left="10"/>
                              <w:rPr>
                                <w:rFonts w:ascii="Times New Roman"/>
                                <w:sz w:val="21"/>
                              </w:rPr>
                            </w:pPr>
                            <w:r>
                              <w:rPr>
                                <w:rFonts w:ascii="Times New Roman"/>
                                <w:w w:val="99"/>
                                <w:sz w:val="21"/>
                              </w:rPr>
                              <w:t>7</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sz w:val="21"/>
                              </w:rPr>
                              <w:t>矿井服务年限</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 w:line="251"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6" w:right="34"/>
                              <w:rPr>
                                <w:sz w:val="21"/>
                              </w:rPr>
                            </w:pPr>
                            <w:r>
                              <w:rPr>
                                <w:sz w:val="21"/>
                              </w:rPr>
                              <w:t>设计生产年限</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5" w:line="237" w:lineRule="exact"/>
                              <w:ind w:left="13"/>
                              <w:rPr>
                                <w:rFonts w:ascii="Times New Roman"/>
                                <w:sz w:val="21"/>
                              </w:rPr>
                            </w:pPr>
                            <w:r>
                              <w:rPr>
                                <w:rFonts w:ascii="Times New Roman"/>
                                <w:w w:val="99"/>
                                <w:sz w:val="21"/>
                              </w:rPr>
                              <w:t>a</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5" w:line="237" w:lineRule="exact"/>
                              <w:ind w:left="13"/>
                              <w:rPr>
                                <w:rFonts w:ascii="Times New Roman"/>
                                <w:sz w:val="21"/>
                              </w:rPr>
                            </w:pPr>
                            <w:r>
                              <w:rPr>
                                <w:rFonts w:ascii="Times New Roman"/>
                                <w:sz w:val="21"/>
                              </w:rPr>
                              <w:t>15.4</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3"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3" w:lineRule="exact"/>
                              <w:ind w:left="46" w:right="34"/>
                              <w:rPr>
                                <w:sz w:val="21"/>
                              </w:rPr>
                            </w:pPr>
                            <w:r>
                              <w:rPr>
                                <w:sz w:val="21"/>
                              </w:rPr>
                              <w:t>其中：一水平</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4" w:line="239" w:lineRule="exact"/>
                              <w:ind w:left="13"/>
                              <w:rPr>
                                <w:rFonts w:ascii="Times New Roman"/>
                                <w:sz w:val="21"/>
                              </w:rPr>
                            </w:pPr>
                            <w:r>
                              <w:rPr>
                                <w:rFonts w:ascii="Times New Roman"/>
                                <w:w w:val="99"/>
                                <w:sz w:val="21"/>
                              </w:rPr>
                              <w:t>a</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9" w:lineRule="exact"/>
                              <w:ind w:left="13"/>
                              <w:rPr>
                                <w:rFonts w:ascii="Times New Roman"/>
                                <w:sz w:val="21"/>
                              </w:rPr>
                            </w:pPr>
                            <w:r>
                              <w:rPr>
                                <w:rFonts w:ascii="Times New Roman"/>
                                <w:sz w:val="21"/>
                              </w:rPr>
                              <w:t>15.4</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4" w:line="238" w:lineRule="exact"/>
                              <w:ind w:left="10"/>
                              <w:rPr>
                                <w:rFonts w:ascii="Times New Roman"/>
                                <w:sz w:val="21"/>
                              </w:rPr>
                            </w:pPr>
                            <w:r>
                              <w:rPr>
                                <w:rFonts w:ascii="Times New Roman"/>
                                <w:w w:val="99"/>
                                <w:sz w:val="21"/>
                              </w:rPr>
                              <w:t>8</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3" w:right="34"/>
                              <w:rPr>
                                <w:sz w:val="21"/>
                              </w:rPr>
                            </w:pPr>
                            <w:r>
                              <w:rPr>
                                <w:sz w:val="21"/>
                              </w:rPr>
                              <w:t>矿井设计工作制度</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 w:line="251"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8" w:right="34"/>
                              <w:rPr>
                                <w:sz w:val="21"/>
                              </w:rPr>
                            </w:pPr>
                            <w:r>
                              <w:rPr>
                                <w:sz w:val="21"/>
                              </w:rPr>
                              <w:t>年工作天数</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5" w:line="237" w:lineRule="exact"/>
                              <w:ind w:left="15"/>
                              <w:rPr>
                                <w:rFonts w:ascii="Times New Roman"/>
                                <w:sz w:val="21"/>
                              </w:rPr>
                            </w:pPr>
                            <w:r>
                              <w:rPr>
                                <w:rFonts w:ascii="Times New Roman"/>
                                <w:w w:val="99"/>
                                <w:sz w:val="21"/>
                              </w:rPr>
                              <w:t>d</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5" w:line="237" w:lineRule="exact"/>
                              <w:ind w:left="13"/>
                              <w:rPr>
                                <w:rFonts w:ascii="Times New Roman"/>
                                <w:sz w:val="21"/>
                              </w:rPr>
                            </w:pPr>
                            <w:r>
                              <w:rPr>
                                <w:rFonts w:ascii="Times New Roman"/>
                                <w:sz w:val="21"/>
                              </w:rPr>
                              <w:t>330</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3"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3" w:lineRule="exact"/>
                              <w:ind w:left="48" w:right="34"/>
                              <w:rPr>
                                <w:sz w:val="21"/>
                              </w:rPr>
                            </w:pPr>
                            <w:r>
                              <w:rPr>
                                <w:sz w:val="21"/>
                              </w:rPr>
                              <w:t>日工作班数</w:t>
                            </w:r>
                          </w:p>
                        </w:tc>
                        <w:tc>
                          <w:tcPr>
                            <w:tcW w:w="891" w:type="dxa"/>
                            <w:tcBorders>
                              <w:top w:val="single" w:color="000000" w:sz="4" w:space="0"/>
                              <w:left w:val="single" w:color="000000" w:sz="4" w:space="0"/>
                              <w:bottom w:val="single" w:color="000000" w:sz="4" w:space="0"/>
                              <w:right w:val="single" w:color="000000" w:sz="4" w:space="0"/>
                            </w:tcBorders>
                          </w:tcPr>
                          <w:p>
                            <w:pPr>
                              <w:pStyle w:val="14"/>
                              <w:spacing w:line="253" w:lineRule="exact"/>
                              <w:ind w:left="10"/>
                              <w:rPr>
                                <w:sz w:val="21"/>
                              </w:rPr>
                            </w:pPr>
                            <w:r>
                              <w:rPr>
                                <w:w w:val="99"/>
                                <w:sz w:val="21"/>
                              </w:rPr>
                              <w:t>班</w:t>
                            </w:r>
                          </w:p>
                        </w:tc>
                        <w:tc>
                          <w:tcPr>
                            <w:tcW w:w="3556" w:type="dxa"/>
                            <w:tcBorders>
                              <w:top w:val="single" w:color="000000" w:sz="4" w:space="0"/>
                              <w:left w:val="single" w:color="000000" w:sz="4" w:space="0"/>
                              <w:bottom w:val="single" w:color="000000" w:sz="4" w:space="0"/>
                              <w:right w:val="single" w:color="000000" w:sz="4" w:space="0"/>
                            </w:tcBorders>
                          </w:tcPr>
                          <w:p>
                            <w:pPr>
                              <w:pStyle w:val="14"/>
                              <w:spacing w:line="253" w:lineRule="exact"/>
                              <w:ind w:left="12"/>
                              <w:rPr>
                                <w:sz w:val="21"/>
                              </w:rPr>
                            </w:pPr>
                            <w:r>
                              <w:rPr>
                                <w:sz w:val="21"/>
                              </w:rPr>
                              <w:t>井上：</w:t>
                            </w:r>
                            <w:r>
                              <w:rPr>
                                <w:rFonts w:ascii="Times New Roman" w:eastAsia="Times New Roman"/>
                                <w:sz w:val="21"/>
                              </w:rPr>
                              <w:t xml:space="preserve">3 </w:t>
                            </w:r>
                            <w:r>
                              <w:rPr>
                                <w:sz w:val="21"/>
                              </w:rPr>
                              <w:t xml:space="preserve">班 井下 </w:t>
                            </w:r>
                            <w:r>
                              <w:rPr>
                                <w:rFonts w:ascii="Times New Roman" w:eastAsia="Times New Roman"/>
                                <w:sz w:val="21"/>
                              </w:rPr>
                              <w:t xml:space="preserve">4 </w:t>
                            </w:r>
                            <w:r>
                              <w:rPr>
                                <w:sz w:val="21"/>
                              </w:rPr>
                              <w:t>班</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4" w:line="238" w:lineRule="exact"/>
                              <w:ind w:left="10"/>
                              <w:rPr>
                                <w:rFonts w:ascii="Times New Roman"/>
                                <w:sz w:val="21"/>
                              </w:rPr>
                            </w:pPr>
                            <w:r>
                              <w:rPr>
                                <w:rFonts w:ascii="Times New Roman"/>
                                <w:w w:val="99"/>
                                <w:sz w:val="21"/>
                              </w:rPr>
                              <w:t>9</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3" w:right="34"/>
                              <w:rPr>
                                <w:sz w:val="21"/>
                              </w:rPr>
                            </w:pPr>
                            <w:r>
                              <w:rPr>
                                <w:sz w:val="21"/>
                              </w:rPr>
                              <w:t>井田开拓</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9" w:hRule="atLeast"/>
                        </w:trPr>
                        <w:tc>
                          <w:tcPr>
                            <w:tcW w:w="1004" w:type="dxa"/>
                            <w:tcBorders>
                              <w:top w:val="single" w:color="000000" w:sz="4" w:space="0"/>
                              <w:right w:val="single" w:color="000000" w:sz="4" w:space="0"/>
                            </w:tcBorders>
                          </w:tcPr>
                          <w:p>
                            <w:pPr>
                              <w:pStyle w:val="14"/>
                              <w:spacing w:before="1" w:line="248"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right w:val="single" w:color="000000" w:sz="4" w:space="0"/>
                            </w:tcBorders>
                          </w:tcPr>
                          <w:p>
                            <w:pPr>
                              <w:pStyle w:val="14"/>
                              <w:spacing w:before="1" w:line="248" w:lineRule="exact"/>
                              <w:ind w:left="43" w:right="34"/>
                              <w:rPr>
                                <w:sz w:val="21"/>
                              </w:rPr>
                            </w:pPr>
                            <w:r>
                              <w:rPr>
                                <w:sz w:val="21"/>
                              </w:rPr>
                              <w:t>开拓方式</w:t>
                            </w:r>
                          </w:p>
                        </w:tc>
                        <w:tc>
                          <w:tcPr>
                            <w:tcW w:w="891" w:type="dxa"/>
                            <w:tcBorders>
                              <w:top w:val="single" w:color="000000" w:sz="4" w:space="0"/>
                              <w:left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right w:val="single" w:color="000000" w:sz="4" w:space="0"/>
                            </w:tcBorders>
                          </w:tcPr>
                          <w:p>
                            <w:pPr>
                              <w:pStyle w:val="14"/>
                              <w:spacing w:before="1" w:line="248" w:lineRule="exact"/>
                              <w:ind w:left="12"/>
                              <w:rPr>
                                <w:sz w:val="21"/>
                              </w:rPr>
                            </w:pPr>
                            <w:r>
                              <w:rPr>
                                <w:sz w:val="21"/>
                              </w:rPr>
                              <w:t>斜井开拓</w:t>
                            </w:r>
                          </w:p>
                        </w:tc>
                        <w:tc>
                          <w:tcPr>
                            <w:tcW w:w="1227" w:type="dxa"/>
                            <w:tcBorders>
                              <w:top w:val="single" w:color="000000" w:sz="4" w:space="0"/>
                              <w:left w:val="single" w:color="000000" w:sz="4" w:space="0"/>
                            </w:tcBorders>
                          </w:tcPr>
                          <w:p>
                            <w:pPr>
                              <w:pStyle w:val="14"/>
                              <w:jc w:val="left"/>
                              <w:rPr>
                                <w:rFonts w:ascii="Times New Roman"/>
                                <w:sz w:val="20"/>
                              </w:rPr>
                            </w:pPr>
                          </w:p>
                        </w:tc>
                      </w:tr>
                    </w:tbl>
                    <w:p>
                      <w:pPr>
                        <w:pStyle w:val="6"/>
                      </w:pPr>
                    </w:p>
                  </w:txbxContent>
                </v:textbox>
              </v:shape>
            </w:pict>
          </mc:Fallback>
        </mc:AlternateContent>
      </w:r>
      <w:r>
        <w:rPr>
          <w:sz w:val="24"/>
        </w:rPr>
        <w:t>本项目工程总投资为</w:t>
      </w:r>
      <w:r>
        <w:rPr>
          <w:spacing w:val="-61"/>
          <w:sz w:val="24"/>
        </w:rPr>
        <w:t xml:space="preserve"> </w:t>
      </w:r>
      <w:r>
        <w:rPr>
          <w:sz w:val="24"/>
        </w:rPr>
        <w:t>6755.07</w:t>
      </w:r>
      <w:r>
        <w:rPr>
          <w:spacing w:val="-60"/>
          <w:sz w:val="24"/>
        </w:rPr>
        <w:t xml:space="preserve"> </w:t>
      </w:r>
      <w:r>
        <w:rPr>
          <w:sz w:val="24"/>
        </w:rPr>
        <w:t>万元。工程主要技术经济指标见表</w:t>
      </w:r>
      <w:r>
        <w:rPr>
          <w:spacing w:val="-60"/>
          <w:sz w:val="24"/>
        </w:rPr>
        <w:t xml:space="preserve"> </w:t>
      </w:r>
      <w:r>
        <w:rPr>
          <w:rFonts w:ascii="Times New Roman" w:eastAsia="Times New Roman"/>
          <w:sz w:val="24"/>
        </w:rPr>
        <w:t>3.2-3</w:t>
      </w:r>
      <w:r>
        <w:rPr>
          <w:spacing w:val="-16"/>
          <w:sz w:val="24"/>
        </w:rPr>
        <w:t>。</w:t>
      </w:r>
      <w:r>
        <w:rPr>
          <w:b/>
          <w:sz w:val="24"/>
        </w:rPr>
        <w:t>表</w:t>
      </w:r>
      <w:r>
        <w:rPr>
          <w:b/>
          <w:spacing w:val="-62"/>
          <w:sz w:val="24"/>
        </w:rPr>
        <w:t xml:space="preserve"> </w:t>
      </w:r>
      <w:r>
        <w:rPr>
          <w:rFonts w:ascii="Times New Roman" w:eastAsia="Times New Roman"/>
          <w:b/>
          <w:sz w:val="24"/>
        </w:rPr>
        <w:t>3.2-3</w:t>
      </w:r>
      <w:r>
        <w:rPr>
          <w:rFonts w:ascii="Times New Roman" w:eastAsia="Times New Roman"/>
          <w:b/>
          <w:sz w:val="24"/>
        </w:rPr>
        <w:tab/>
      </w:r>
      <w:r>
        <w:rPr>
          <w:b/>
          <w:sz w:val="24"/>
        </w:rPr>
        <w:t>矿井设计主要技术经济指标表</w:t>
      </w:r>
    </w:p>
    <w:p>
      <w:pPr>
        <w:spacing w:after="0" w:line="304" w:lineRule="auto"/>
        <w:jc w:val="left"/>
        <w:rPr>
          <w:sz w:val="24"/>
        </w:rPr>
        <w:sectPr>
          <w:pgSz w:w="11910" w:h="16840"/>
          <w:pgMar w:top="1080" w:right="720" w:bottom="1160" w:left="760" w:header="0" w:footer="89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55" name="组合 30"/>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54" name="直线 31"/>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30"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u2gi7UAAAAAwEAAA8AAAAAAAAAAQAgAAAAIgAAAGRycy9kb3ducmV2LnhtbFBL&#10;AQIUABQAAAAIAIdO4kAPKNaLMwIAALYEAAAOAAAAAAAAAAEAIAAAACMBAABkcnMvZTJvRG9jLnht&#10;bFBLBQYAAAAABgAGAFkBAADIBQAAAAA=&#10;">
                <o:lock v:ext="edit" aspectratio="f"/>
                <v:line id="直线 31" o:spid="_x0000_s1026" o:spt="20" style="position:absolute;left:0;top:7;height:0;width:8306;" filled="f" stroked="t" coordsize="21600,21600" o:gfxdata="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Edytr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6"/>
        <w:spacing w:before="1"/>
        <w:rPr>
          <w:b/>
          <w:sz w:val="25"/>
        </w:rPr>
      </w:pPr>
    </w:p>
    <w:tbl>
      <w:tblPr>
        <w:tblStyle w:val="10"/>
        <w:tblW w:w="0" w:type="auto"/>
        <w:tblInd w:w="55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04"/>
        <w:gridCol w:w="2608"/>
        <w:gridCol w:w="891"/>
        <w:gridCol w:w="3556"/>
        <w:gridCol w:w="12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bottom w:val="single" w:color="000000" w:sz="4" w:space="0"/>
              <w:right w:val="single" w:color="000000" w:sz="4" w:space="0"/>
            </w:tcBorders>
          </w:tcPr>
          <w:p>
            <w:pPr>
              <w:pStyle w:val="14"/>
              <w:spacing w:before="2" w:line="250" w:lineRule="exact"/>
              <w:ind w:right="281"/>
              <w:jc w:val="right"/>
              <w:rPr>
                <w:sz w:val="21"/>
              </w:rPr>
            </w:pPr>
            <w:r>
              <w:rPr>
                <w:w w:val="95"/>
                <w:sz w:val="21"/>
              </w:rPr>
              <w:t>序号</w:t>
            </w:r>
          </w:p>
        </w:tc>
        <w:tc>
          <w:tcPr>
            <w:tcW w:w="2608" w:type="dxa"/>
            <w:tcBorders>
              <w:left w:val="single" w:color="000000" w:sz="4" w:space="0"/>
              <w:bottom w:val="single" w:color="000000" w:sz="4" w:space="0"/>
              <w:right w:val="single" w:color="000000" w:sz="4" w:space="0"/>
            </w:tcBorders>
          </w:tcPr>
          <w:p>
            <w:pPr>
              <w:pStyle w:val="14"/>
              <w:spacing w:before="2" w:line="250" w:lineRule="exact"/>
              <w:ind w:left="43" w:right="34"/>
              <w:rPr>
                <w:sz w:val="21"/>
              </w:rPr>
            </w:pPr>
            <w:r>
              <w:rPr>
                <w:sz w:val="21"/>
              </w:rPr>
              <w:t>指标名称</w:t>
            </w:r>
          </w:p>
        </w:tc>
        <w:tc>
          <w:tcPr>
            <w:tcW w:w="891" w:type="dxa"/>
            <w:tcBorders>
              <w:left w:val="single" w:color="000000" w:sz="4" w:space="0"/>
              <w:bottom w:val="single" w:color="000000" w:sz="4" w:space="0"/>
              <w:right w:val="single" w:color="000000" w:sz="4" w:space="0"/>
            </w:tcBorders>
          </w:tcPr>
          <w:p>
            <w:pPr>
              <w:pStyle w:val="14"/>
              <w:spacing w:before="2" w:line="250" w:lineRule="exact"/>
              <w:ind w:left="237"/>
              <w:jc w:val="left"/>
              <w:rPr>
                <w:sz w:val="21"/>
              </w:rPr>
            </w:pPr>
            <w:r>
              <w:rPr>
                <w:sz w:val="21"/>
              </w:rPr>
              <w:t>单位</w:t>
            </w:r>
          </w:p>
        </w:tc>
        <w:tc>
          <w:tcPr>
            <w:tcW w:w="3556" w:type="dxa"/>
            <w:tcBorders>
              <w:left w:val="single" w:color="000000" w:sz="4" w:space="0"/>
              <w:bottom w:val="single" w:color="000000" w:sz="4" w:space="0"/>
              <w:right w:val="single" w:color="000000" w:sz="4" w:space="0"/>
            </w:tcBorders>
          </w:tcPr>
          <w:p>
            <w:pPr>
              <w:pStyle w:val="14"/>
              <w:spacing w:before="2" w:line="250" w:lineRule="exact"/>
              <w:ind w:left="10"/>
              <w:rPr>
                <w:sz w:val="21"/>
              </w:rPr>
            </w:pPr>
            <w:r>
              <w:rPr>
                <w:sz w:val="21"/>
              </w:rPr>
              <w:t>指标</w:t>
            </w:r>
          </w:p>
        </w:tc>
        <w:tc>
          <w:tcPr>
            <w:tcW w:w="1227" w:type="dxa"/>
            <w:tcBorders>
              <w:left w:val="single" w:color="000000" w:sz="4" w:space="0"/>
              <w:bottom w:val="single" w:color="000000" w:sz="4" w:space="0"/>
            </w:tcBorders>
          </w:tcPr>
          <w:p>
            <w:pPr>
              <w:pStyle w:val="14"/>
              <w:spacing w:before="2" w:line="250" w:lineRule="exact"/>
              <w:ind w:left="405"/>
              <w:jc w:val="left"/>
              <w:rPr>
                <w:sz w:val="21"/>
              </w:rPr>
            </w:pPr>
            <w:r>
              <w:rPr>
                <w:sz w:val="21"/>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3" w:right="34"/>
              <w:rPr>
                <w:sz w:val="21"/>
              </w:rPr>
            </w:pPr>
            <w:r>
              <w:rPr>
                <w:sz w:val="21"/>
              </w:rPr>
              <w:t>水平数目</w:t>
            </w:r>
          </w:p>
        </w:tc>
        <w:tc>
          <w:tcPr>
            <w:tcW w:w="891" w:type="dxa"/>
            <w:tcBorders>
              <w:top w:val="single" w:color="000000" w:sz="4" w:space="0"/>
              <w:left w:val="single" w:color="000000" w:sz="4" w:space="0"/>
              <w:bottom w:val="single" w:color="000000" w:sz="4" w:space="0"/>
              <w:right w:val="single" w:color="000000" w:sz="4" w:space="0"/>
            </w:tcBorders>
          </w:tcPr>
          <w:p>
            <w:pPr>
              <w:pStyle w:val="14"/>
              <w:spacing w:line="252" w:lineRule="exact"/>
              <w:ind w:left="10"/>
              <w:rPr>
                <w:sz w:val="21"/>
              </w:rPr>
            </w:pPr>
            <w:r>
              <w:rPr>
                <w:w w:val="99"/>
                <w:sz w:val="21"/>
              </w:rPr>
              <w:t>个</w:t>
            </w:r>
          </w:p>
        </w:tc>
        <w:tc>
          <w:tcPr>
            <w:tcW w:w="3556" w:type="dxa"/>
            <w:tcBorders>
              <w:top w:val="single" w:color="000000" w:sz="4" w:space="0"/>
              <w:left w:val="single" w:color="000000" w:sz="4" w:space="0"/>
              <w:bottom w:val="single" w:color="000000" w:sz="4" w:space="0"/>
              <w:right w:val="single" w:color="000000" w:sz="4" w:space="0"/>
            </w:tcBorders>
          </w:tcPr>
          <w:p>
            <w:pPr>
              <w:pStyle w:val="14"/>
              <w:spacing w:line="252" w:lineRule="exact"/>
              <w:ind w:left="12"/>
              <w:rPr>
                <w:sz w:val="21"/>
              </w:rPr>
            </w:pPr>
            <w:r>
              <w:rPr>
                <w:rFonts w:ascii="Times New Roman" w:eastAsia="Times New Roman"/>
                <w:sz w:val="21"/>
              </w:rPr>
              <w:t xml:space="preserve">1 </w:t>
            </w:r>
            <w:r>
              <w:rPr>
                <w:sz w:val="21"/>
              </w:rPr>
              <w:t>个</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 w:line="251" w:lineRule="exact"/>
              <w:ind w:right="227"/>
              <w:jc w:val="right"/>
              <w:rPr>
                <w:sz w:val="21"/>
              </w:rPr>
            </w:pPr>
            <w:r>
              <w:rPr>
                <w:sz w:val="21"/>
              </w:rPr>
              <w:t>（</w:t>
            </w:r>
            <w:r>
              <w:rPr>
                <w:rFonts w:ascii="Times New Roman" w:eastAsia="Times New Roman"/>
                <w:sz w:val="21"/>
              </w:rPr>
              <w:t>3</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6" w:right="34"/>
              <w:rPr>
                <w:sz w:val="21"/>
              </w:rPr>
            </w:pPr>
            <w:r>
              <w:rPr>
                <w:sz w:val="21"/>
              </w:rPr>
              <w:t>第一水平标高</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4" w:line="237" w:lineRule="exact"/>
              <w:ind w:left="11"/>
              <w:rPr>
                <w:rFonts w:ascii="Times New Roman"/>
                <w:sz w:val="21"/>
              </w:rPr>
            </w:pPr>
            <w:r>
              <w:rPr>
                <w:rFonts w:ascii="Times New Roman"/>
                <w:w w:val="99"/>
                <w:sz w:val="21"/>
              </w:rPr>
              <w:t>m</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7" w:lineRule="exact"/>
              <w:ind w:left="13"/>
              <w:rPr>
                <w:rFonts w:ascii="Times New Roman"/>
                <w:sz w:val="21"/>
              </w:rPr>
            </w:pPr>
            <w:r>
              <w:rPr>
                <w:rFonts w:ascii="Times New Roman"/>
                <w:sz w:val="21"/>
              </w:rPr>
              <w:t>-30</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04" w:type="dxa"/>
            <w:tcBorders>
              <w:top w:val="single" w:color="000000" w:sz="4" w:space="0"/>
              <w:bottom w:val="single" w:color="000000" w:sz="4" w:space="0"/>
              <w:right w:val="single" w:color="000000" w:sz="4" w:space="0"/>
            </w:tcBorders>
          </w:tcPr>
          <w:p>
            <w:pPr>
              <w:pStyle w:val="14"/>
              <w:spacing w:before="2" w:line="250" w:lineRule="exact"/>
              <w:ind w:right="227"/>
              <w:jc w:val="right"/>
              <w:rPr>
                <w:sz w:val="21"/>
              </w:rPr>
            </w:pPr>
            <w:r>
              <w:rPr>
                <w:sz w:val="21"/>
              </w:rPr>
              <w:t>（</w:t>
            </w:r>
            <w:r>
              <w:rPr>
                <w:rFonts w:ascii="Times New Roman" w:eastAsia="Times New Roman"/>
                <w:sz w:val="21"/>
              </w:rPr>
              <w:t>4</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2" w:line="250" w:lineRule="exact"/>
              <w:ind w:left="46" w:right="34"/>
              <w:rPr>
                <w:sz w:val="21"/>
              </w:rPr>
            </w:pPr>
            <w:r>
              <w:rPr>
                <w:sz w:val="21"/>
              </w:rPr>
              <w:t>回风水平标高</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6" w:line="236" w:lineRule="exact"/>
              <w:ind w:left="11"/>
              <w:rPr>
                <w:rFonts w:ascii="Times New Roman"/>
                <w:sz w:val="21"/>
              </w:rPr>
            </w:pPr>
            <w:r>
              <w:rPr>
                <w:rFonts w:ascii="Times New Roman"/>
                <w:w w:val="99"/>
                <w:sz w:val="21"/>
              </w:rPr>
              <w:t>m</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6" w:line="236" w:lineRule="exact"/>
              <w:ind w:left="13"/>
              <w:rPr>
                <w:rFonts w:ascii="Times New Roman"/>
                <w:sz w:val="21"/>
              </w:rPr>
            </w:pPr>
            <w:r>
              <w:rPr>
                <w:rFonts w:ascii="Times New Roman"/>
                <w:sz w:val="21"/>
              </w:rPr>
              <w:t>-30</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004" w:type="dxa"/>
            <w:tcBorders>
              <w:top w:val="single" w:color="000000" w:sz="4" w:space="0"/>
              <w:bottom w:val="single" w:color="000000" w:sz="4" w:space="0"/>
              <w:right w:val="single" w:color="000000" w:sz="4" w:space="0"/>
            </w:tcBorders>
          </w:tcPr>
          <w:p>
            <w:pPr>
              <w:pStyle w:val="14"/>
              <w:spacing w:before="1" w:line="252" w:lineRule="exact"/>
              <w:ind w:right="227"/>
              <w:jc w:val="right"/>
              <w:rPr>
                <w:sz w:val="21"/>
              </w:rPr>
            </w:pPr>
            <w:r>
              <w:rPr>
                <w:sz w:val="21"/>
              </w:rPr>
              <w:t>（</w:t>
            </w:r>
            <w:r>
              <w:rPr>
                <w:rFonts w:ascii="Times New Roman" w:eastAsia="Times New Roman"/>
                <w:sz w:val="21"/>
              </w:rPr>
              <w:t>5</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43" w:right="34"/>
              <w:rPr>
                <w:sz w:val="21"/>
              </w:rPr>
            </w:pPr>
            <w:r>
              <w:rPr>
                <w:sz w:val="21"/>
              </w:rPr>
              <w:t>大巷主要运输方式</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940"/>
              <w:jc w:val="left"/>
              <w:rPr>
                <w:sz w:val="21"/>
              </w:rPr>
            </w:pPr>
            <w:r>
              <w:rPr>
                <w:sz w:val="21"/>
              </w:rPr>
              <w:t>胶带机连续化运输</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04" w:type="dxa"/>
            <w:tcBorders>
              <w:top w:val="single" w:color="000000" w:sz="4" w:space="0"/>
              <w:bottom w:val="single" w:color="000000" w:sz="4" w:space="0"/>
              <w:right w:val="single" w:color="000000" w:sz="4" w:space="0"/>
            </w:tcBorders>
          </w:tcPr>
          <w:p>
            <w:pPr>
              <w:pStyle w:val="14"/>
              <w:spacing w:before="1" w:line="251" w:lineRule="exact"/>
              <w:ind w:right="227"/>
              <w:jc w:val="right"/>
              <w:rPr>
                <w:sz w:val="21"/>
              </w:rPr>
            </w:pPr>
            <w:r>
              <w:rPr>
                <w:sz w:val="21"/>
              </w:rPr>
              <w:t>（</w:t>
            </w:r>
            <w:r>
              <w:rPr>
                <w:rFonts w:ascii="Times New Roman" w:eastAsia="Times New Roman"/>
                <w:sz w:val="21"/>
              </w:rPr>
              <w:t>6</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3" w:right="34"/>
              <w:rPr>
                <w:sz w:val="21"/>
              </w:rPr>
            </w:pPr>
            <w:r>
              <w:rPr>
                <w:sz w:val="21"/>
              </w:rPr>
              <w:t>大巷辅助运输方式</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10"/>
              <w:rPr>
                <w:sz w:val="21"/>
              </w:rPr>
            </w:pPr>
            <w:r>
              <w:rPr>
                <w:sz w:val="21"/>
              </w:rPr>
              <w:t>矿车</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6" w:line="236" w:lineRule="exact"/>
              <w:ind w:left="357" w:right="347"/>
              <w:rPr>
                <w:rFonts w:ascii="Times New Roman"/>
                <w:sz w:val="21"/>
              </w:rPr>
            </w:pPr>
            <w:r>
              <w:rPr>
                <w:rFonts w:ascii="Times New Roman"/>
                <w:sz w:val="21"/>
              </w:rPr>
              <w:t>10</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2" w:line="250" w:lineRule="exact"/>
              <w:ind w:left="46" w:right="34"/>
              <w:rPr>
                <w:sz w:val="21"/>
              </w:rPr>
            </w:pPr>
            <w:r>
              <w:rPr>
                <w:sz w:val="21"/>
              </w:rPr>
              <w:t>采区</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 w:line="252"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46" w:right="34"/>
              <w:rPr>
                <w:sz w:val="21"/>
              </w:rPr>
            </w:pPr>
            <w:r>
              <w:rPr>
                <w:sz w:val="21"/>
              </w:rPr>
              <w:t>回采工作面个数</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10"/>
              <w:rPr>
                <w:sz w:val="21"/>
              </w:rPr>
            </w:pPr>
            <w:r>
              <w:rPr>
                <w:w w:val="99"/>
                <w:sz w:val="21"/>
              </w:rPr>
              <w:t>个</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5" w:line="238" w:lineRule="exact"/>
              <w:ind w:left="13"/>
              <w:rPr>
                <w:rFonts w:ascii="Times New Roman"/>
                <w:sz w:val="21"/>
              </w:rPr>
            </w:pPr>
            <w:r>
              <w:rPr>
                <w:rFonts w:ascii="Times New Roman"/>
                <w:w w:val="99"/>
                <w:sz w:val="21"/>
              </w:rPr>
              <w:t>1</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 w:line="251"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6" w:right="34"/>
              <w:rPr>
                <w:sz w:val="21"/>
              </w:rPr>
            </w:pPr>
            <w:r>
              <w:rPr>
                <w:sz w:val="21"/>
              </w:rPr>
              <w:t>掘进工作面个数</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10"/>
              <w:rPr>
                <w:sz w:val="21"/>
              </w:rPr>
            </w:pPr>
            <w:r>
              <w:rPr>
                <w:w w:val="99"/>
                <w:sz w:val="21"/>
              </w:rPr>
              <w:t>个</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5" w:line="237" w:lineRule="exact"/>
              <w:ind w:left="13"/>
              <w:rPr>
                <w:rFonts w:ascii="Times New Roman"/>
                <w:sz w:val="21"/>
              </w:rPr>
            </w:pPr>
            <w:r>
              <w:rPr>
                <w:rFonts w:ascii="Times New Roman"/>
                <w:w w:val="99"/>
                <w:sz w:val="21"/>
              </w:rPr>
              <w:t>2</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3</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3" w:right="34"/>
              <w:rPr>
                <w:sz w:val="21"/>
              </w:rPr>
            </w:pPr>
            <w:r>
              <w:rPr>
                <w:sz w:val="21"/>
              </w:rPr>
              <w:t>采煤方法</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spacing w:line="252" w:lineRule="exact"/>
              <w:ind w:left="12"/>
              <w:rPr>
                <w:sz w:val="21"/>
              </w:rPr>
            </w:pPr>
            <w:r>
              <w:rPr>
                <w:sz w:val="21"/>
              </w:rPr>
              <w:t>走向长壁</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 w:line="252" w:lineRule="exact"/>
              <w:ind w:right="227"/>
              <w:jc w:val="right"/>
              <w:rPr>
                <w:sz w:val="21"/>
              </w:rPr>
            </w:pPr>
            <w:r>
              <w:rPr>
                <w:sz w:val="21"/>
              </w:rPr>
              <w:t>（</w:t>
            </w:r>
            <w:r>
              <w:rPr>
                <w:rFonts w:ascii="Times New Roman" w:eastAsia="Times New Roman"/>
                <w:sz w:val="21"/>
              </w:rPr>
              <w:t>4</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46" w:right="34"/>
              <w:rPr>
                <w:sz w:val="21"/>
              </w:rPr>
            </w:pPr>
            <w:r>
              <w:rPr>
                <w:sz w:val="21"/>
              </w:rPr>
              <w:t>主要采煤设备</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jc w:val="left"/>
              <w:rPr>
                <w:rFonts w:ascii="Times New Roman"/>
                <w:sz w:val="20"/>
              </w:rPr>
            </w:pP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sz w:val="21"/>
              </w:rPr>
              <w:t>采煤机</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3" w:line="239" w:lineRule="exact"/>
              <w:ind w:left="983"/>
              <w:jc w:val="left"/>
              <w:rPr>
                <w:rFonts w:ascii="Times New Roman"/>
                <w:sz w:val="21"/>
              </w:rPr>
            </w:pPr>
            <w:r>
              <w:rPr>
                <w:rFonts w:ascii="Times New Roman"/>
                <w:sz w:val="21"/>
              </w:rPr>
              <w:t>MG100-240-BWD</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jc w:val="left"/>
              <w:rPr>
                <w:rFonts w:ascii="Times New Roman"/>
                <w:sz w:val="20"/>
              </w:rPr>
            </w:pP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sz w:val="21"/>
              </w:rPr>
              <w:t>支架</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8" w:lineRule="exact"/>
              <w:ind w:left="1185"/>
              <w:jc w:val="left"/>
              <w:rPr>
                <w:rFonts w:ascii="Times New Roman"/>
                <w:sz w:val="21"/>
              </w:rPr>
            </w:pPr>
            <w:r>
              <w:rPr>
                <w:rFonts w:ascii="Times New Roman"/>
                <w:sz w:val="21"/>
              </w:rPr>
              <w:t>DZ08-25/80G</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jc w:val="left"/>
              <w:rPr>
                <w:rFonts w:ascii="Times New Roman"/>
                <w:sz w:val="20"/>
              </w:rPr>
            </w:pP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46" w:right="34"/>
              <w:rPr>
                <w:sz w:val="21"/>
              </w:rPr>
            </w:pPr>
            <w:r>
              <w:rPr>
                <w:sz w:val="21"/>
              </w:rPr>
              <w:t>运输机</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5" w:line="238" w:lineRule="exact"/>
              <w:ind w:left="1098"/>
              <w:jc w:val="left"/>
              <w:rPr>
                <w:rFonts w:ascii="Times New Roman"/>
                <w:sz w:val="21"/>
              </w:rPr>
            </w:pPr>
            <w:r>
              <w:rPr>
                <w:rFonts w:ascii="Times New Roman"/>
                <w:sz w:val="21"/>
              </w:rPr>
              <w:t>SGB630/150CT</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3" w:line="239" w:lineRule="exact"/>
              <w:ind w:left="358" w:right="343"/>
              <w:rPr>
                <w:rFonts w:ascii="Times New Roman"/>
                <w:sz w:val="21"/>
              </w:rPr>
            </w:pPr>
            <w:r>
              <w:rPr>
                <w:rFonts w:ascii="Times New Roman"/>
                <w:sz w:val="21"/>
              </w:rPr>
              <w:t>11</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8" w:right="34"/>
              <w:rPr>
                <w:sz w:val="21"/>
              </w:rPr>
            </w:pPr>
            <w:r>
              <w:rPr>
                <w:sz w:val="21"/>
              </w:rPr>
              <w:t>井巷工程量</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3"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3" w:lineRule="exact"/>
              <w:ind w:left="43" w:right="34"/>
              <w:rPr>
                <w:sz w:val="21"/>
              </w:rPr>
            </w:pPr>
            <w:r>
              <w:rPr>
                <w:sz w:val="21"/>
              </w:rPr>
              <w:t>巷道长度</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4" w:line="239" w:lineRule="exact"/>
              <w:ind w:left="11"/>
              <w:rPr>
                <w:rFonts w:ascii="Times New Roman"/>
                <w:sz w:val="21"/>
              </w:rPr>
            </w:pPr>
            <w:r>
              <w:rPr>
                <w:rFonts w:ascii="Times New Roman"/>
                <w:w w:val="99"/>
                <w:sz w:val="21"/>
              </w:rPr>
              <w:t>m</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9" w:lineRule="exact"/>
              <w:ind w:left="13"/>
              <w:rPr>
                <w:rFonts w:ascii="Times New Roman"/>
                <w:sz w:val="21"/>
              </w:rPr>
            </w:pPr>
            <w:r>
              <w:rPr>
                <w:rFonts w:ascii="Times New Roman"/>
                <w:sz w:val="21"/>
              </w:rPr>
              <w:t>6005</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1"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1" w:lineRule="exact"/>
              <w:ind w:left="43" w:right="34"/>
              <w:rPr>
                <w:sz w:val="21"/>
              </w:rPr>
            </w:pPr>
            <w:r>
              <w:rPr>
                <w:sz w:val="21"/>
              </w:rPr>
              <w:t>掘进体积</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5" w:line="237" w:lineRule="exact"/>
              <w:ind w:left="290" w:right="277"/>
              <w:rPr>
                <w:rFonts w:ascii="Times New Roman"/>
                <w:sz w:val="13"/>
              </w:rPr>
            </w:pPr>
            <w:r>
              <w:rPr>
                <w:rFonts w:ascii="Times New Roman"/>
                <w:position w:val="-6"/>
                <w:sz w:val="21"/>
              </w:rPr>
              <w:t>m</w:t>
            </w:r>
            <w:r>
              <w:rPr>
                <w:rFonts w:ascii="Times New Roman"/>
                <w:sz w:val="13"/>
              </w:rPr>
              <w:t>3</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7" w:lineRule="exact"/>
              <w:ind w:left="11"/>
              <w:rPr>
                <w:rFonts w:ascii="Times New Roman"/>
                <w:sz w:val="21"/>
              </w:rPr>
            </w:pPr>
            <w:r>
              <w:rPr>
                <w:rFonts w:ascii="Times New Roman"/>
                <w:sz w:val="21"/>
              </w:rPr>
              <w:t>43302</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3</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8" w:right="34"/>
              <w:rPr>
                <w:sz w:val="21"/>
              </w:rPr>
            </w:pPr>
            <w:r>
              <w:rPr>
                <w:sz w:val="21"/>
              </w:rPr>
              <w:t>万吨掘进率</w:t>
            </w:r>
          </w:p>
        </w:tc>
        <w:tc>
          <w:tcPr>
            <w:tcW w:w="891" w:type="dxa"/>
            <w:tcBorders>
              <w:top w:val="single" w:color="000000" w:sz="4" w:space="0"/>
              <w:left w:val="single" w:color="000000" w:sz="4" w:space="0"/>
              <w:bottom w:val="single" w:color="000000" w:sz="4" w:space="0"/>
              <w:right w:val="single" w:color="000000" w:sz="4" w:space="0"/>
            </w:tcBorders>
          </w:tcPr>
          <w:p>
            <w:pPr>
              <w:pStyle w:val="14"/>
              <w:spacing w:line="252" w:lineRule="exact"/>
              <w:ind w:left="177"/>
              <w:jc w:val="left"/>
              <w:rPr>
                <w:rFonts w:ascii="Times New Roman" w:eastAsia="Times New Roman"/>
                <w:sz w:val="21"/>
              </w:rPr>
            </w:pPr>
            <w:r>
              <w:rPr>
                <w:rFonts w:ascii="Times New Roman" w:eastAsia="Times New Roman"/>
                <w:sz w:val="21"/>
              </w:rPr>
              <w:t>m/</w:t>
            </w:r>
            <w:r>
              <w:rPr>
                <w:sz w:val="21"/>
              </w:rPr>
              <w:t xml:space="preserve">万 </w:t>
            </w:r>
            <w:r>
              <w:rPr>
                <w:rFonts w:ascii="Times New Roman" w:eastAsia="Times New Roman"/>
                <w:sz w:val="21"/>
              </w:rPr>
              <w:t>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3" w:line="239" w:lineRule="exact"/>
              <w:ind w:left="14"/>
              <w:rPr>
                <w:rFonts w:ascii="Times New Roman"/>
                <w:sz w:val="21"/>
              </w:rPr>
            </w:pPr>
            <w:r>
              <w:rPr>
                <w:rFonts w:ascii="Times New Roman"/>
                <w:sz w:val="21"/>
              </w:rPr>
              <w:t>200.</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4" w:line="238" w:lineRule="exact"/>
              <w:ind w:left="357" w:right="347"/>
              <w:rPr>
                <w:rFonts w:ascii="Times New Roman"/>
                <w:sz w:val="21"/>
              </w:rPr>
            </w:pPr>
            <w:r>
              <w:rPr>
                <w:rFonts w:ascii="Times New Roman"/>
                <w:sz w:val="21"/>
              </w:rPr>
              <w:t>12</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sz w:val="21"/>
              </w:rPr>
              <w:t>矿井主要设备</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04" w:type="dxa"/>
            <w:tcBorders>
              <w:top w:val="single" w:color="000000" w:sz="4" w:space="0"/>
              <w:bottom w:val="single" w:color="000000" w:sz="4" w:space="0"/>
              <w:right w:val="single" w:color="000000" w:sz="4" w:space="0"/>
            </w:tcBorders>
          </w:tcPr>
          <w:p>
            <w:pPr>
              <w:pStyle w:val="14"/>
              <w:spacing w:before="1" w:line="251"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6" w:right="34"/>
              <w:rPr>
                <w:sz w:val="21"/>
              </w:rPr>
            </w:pPr>
            <w:r>
              <w:rPr>
                <w:sz w:val="21"/>
              </w:rPr>
              <w:t>主井提升设备</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10"/>
              <w:rPr>
                <w:sz w:val="21"/>
              </w:rPr>
            </w:pPr>
            <w:r>
              <w:rPr>
                <w:w w:val="99"/>
                <w:sz w:val="21"/>
              </w:rPr>
              <w:t>台</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793"/>
              <w:jc w:val="right"/>
              <w:rPr>
                <w:sz w:val="21"/>
              </w:rPr>
            </w:pPr>
            <w:r>
              <w:rPr>
                <w:rFonts w:ascii="Times New Roman" w:eastAsia="Times New Roman"/>
                <w:sz w:val="21"/>
              </w:rPr>
              <w:t xml:space="preserve">ST/S2000 </w:t>
            </w:r>
            <w:r>
              <w:rPr>
                <w:sz w:val="21"/>
              </w:rPr>
              <w:t>胶带输送机</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sz w:val="21"/>
              </w:rPr>
              <w:t>副井提升设备</w:t>
            </w:r>
          </w:p>
        </w:tc>
        <w:tc>
          <w:tcPr>
            <w:tcW w:w="891" w:type="dxa"/>
            <w:tcBorders>
              <w:top w:val="single" w:color="000000" w:sz="4" w:space="0"/>
              <w:left w:val="single" w:color="000000" w:sz="4" w:space="0"/>
              <w:bottom w:val="single" w:color="000000" w:sz="4" w:space="0"/>
              <w:right w:val="single" w:color="000000" w:sz="4" w:space="0"/>
            </w:tcBorders>
          </w:tcPr>
          <w:p>
            <w:pPr>
              <w:pStyle w:val="14"/>
              <w:spacing w:line="252" w:lineRule="exact"/>
              <w:ind w:left="10"/>
              <w:rPr>
                <w:sz w:val="21"/>
              </w:rPr>
            </w:pPr>
            <w:r>
              <w:rPr>
                <w:w w:val="99"/>
                <w:sz w:val="21"/>
              </w:rPr>
              <w:t>台</w:t>
            </w:r>
          </w:p>
        </w:tc>
        <w:tc>
          <w:tcPr>
            <w:tcW w:w="3556" w:type="dxa"/>
            <w:tcBorders>
              <w:top w:val="single" w:color="000000" w:sz="4" w:space="0"/>
              <w:left w:val="single" w:color="000000" w:sz="4" w:space="0"/>
              <w:bottom w:val="single" w:color="000000" w:sz="4" w:space="0"/>
              <w:right w:val="single" w:color="000000" w:sz="4" w:space="0"/>
            </w:tcBorders>
          </w:tcPr>
          <w:p>
            <w:pPr>
              <w:pStyle w:val="14"/>
              <w:tabs>
                <w:tab w:val="left" w:pos="1511"/>
              </w:tabs>
              <w:spacing w:line="252" w:lineRule="exact"/>
              <w:ind w:right="826"/>
              <w:jc w:val="right"/>
              <w:rPr>
                <w:sz w:val="21"/>
              </w:rPr>
            </w:pPr>
            <w:r>
              <w:rPr>
                <w:rFonts w:ascii="Times New Roman" w:hAnsi="Times New Roman" w:eastAsia="Times New Roman"/>
                <w:sz w:val="21"/>
              </w:rPr>
              <w:t>JKB-2.5×2.3P</w:t>
            </w:r>
            <w:r>
              <w:rPr>
                <w:rFonts w:ascii="Times New Roman" w:hAnsi="Times New Roman" w:eastAsia="Times New Roman"/>
                <w:sz w:val="21"/>
              </w:rPr>
              <w:tab/>
            </w:r>
            <w:r>
              <w:rPr>
                <w:rFonts w:ascii="Times New Roman" w:hAnsi="Times New Roman" w:eastAsia="Times New Roman"/>
                <w:sz w:val="21"/>
              </w:rPr>
              <w:t>1</w:t>
            </w:r>
            <w:r>
              <w:rPr>
                <w:rFonts w:ascii="Times New Roman" w:hAnsi="Times New Roman" w:eastAsia="Times New Roman"/>
                <w:spacing w:val="-3"/>
                <w:sz w:val="21"/>
              </w:rPr>
              <w:t xml:space="preserve"> </w:t>
            </w:r>
            <w:r>
              <w:rPr>
                <w:sz w:val="21"/>
              </w:rPr>
              <w:t>台</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3</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3" w:right="34"/>
              <w:rPr>
                <w:sz w:val="21"/>
              </w:rPr>
            </w:pPr>
            <w:r>
              <w:rPr>
                <w:sz w:val="21"/>
              </w:rPr>
              <w:t>通风设备</w:t>
            </w:r>
          </w:p>
        </w:tc>
        <w:tc>
          <w:tcPr>
            <w:tcW w:w="891" w:type="dxa"/>
            <w:tcBorders>
              <w:top w:val="single" w:color="000000" w:sz="4" w:space="0"/>
              <w:left w:val="single" w:color="000000" w:sz="4" w:space="0"/>
              <w:bottom w:val="single" w:color="000000" w:sz="4" w:space="0"/>
              <w:right w:val="single" w:color="000000" w:sz="4" w:space="0"/>
            </w:tcBorders>
          </w:tcPr>
          <w:p>
            <w:pPr>
              <w:pStyle w:val="14"/>
              <w:spacing w:line="252" w:lineRule="exact"/>
              <w:ind w:left="10"/>
              <w:rPr>
                <w:sz w:val="21"/>
              </w:rPr>
            </w:pPr>
            <w:r>
              <w:rPr>
                <w:w w:val="99"/>
                <w:sz w:val="21"/>
              </w:rPr>
              <w:t>台</w:t>
            </w:r>
          </w:p>
        </w:tc>
        <w:tc>
          <w:tcPr>
            <w:tcW w:w="3556" w:type="dxa"/>
            <w:tcBorders>
              <w:top w:val="single" w:color="000000" w:sz="4" w:space="0"/>
              <w:left w:val="single" w:color="000000" w:sz="4" w:space="0"/>
              <w:bottom w:val="single" w:color="000000" w:sz="4" w:space="0"/>
              <w:right w:val="single" w:color="000000" w:sz="4" w:space="0"/>
            </w:tcBorders>
          </w:tcPr>
          <w:p>
            <w:pPr>
              <w:pStyle w:val="14"/>
              <w:tabs>
                <w:tab w:val="left" w:pos="1703"/>
              </w:tabs>
              <w:spacing w:line="252" w:lineRule="exact"/>
              <w:ind w:right="730"/>
              <w:jc w:val="right"/>
              <w:rPr>
                <w:sz w:val="21"/>
              </w:rPr>
            </w:pPr>
            <w:r>
              <w:rPr>
                <w:rFonts w:ascii="Times New Roman" w:eastAsia="Times New Roman"/>
                <w:sz w:val="21"/>
              </w:rPr>
              <w:t>FBCDZ-6No-18</w:t>
            </w:r>
            <w:r>
              <w:rPr>
                <w:rFonts w:ascii="Times New Roman" w:eastAsia="Times New Roman"/>
                <w:sz w:val="21"/>
              </w:rPr>
              <w:tab/>
            </w:r>
            <w:r>
              <w:rPr>
                <w:rFonts w:ascii="Times New Roman" w:eastAsia="Times New Roman"/>
                <w:sz w:val="21"/>
              </w:rPr>
              <w:t>2</w:t>
            </w:r>
            <w:r>
              <w:rPr>
                <w:rFonts w:ascii="Times New Roman" w:eastAsia="Times New Roman"/>
                <w:spacing w:val="-3"/>
                <w:sz w:val="21"/>
              </w:rPr>
              <w:t xml:space="preserve"> </w:t>
            </w:r>
            <w:r>
              <w:rPr>
                <w:sz w:val="21"/>
              </w:rPr>
              <w:t>台</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 w:line="251" w:lineRule="exact"/>
              <w:ind w:right="227"/>
              <w:jc w:val="right"/>
              <w:rPr>
                <w:sz w:val="21"/>
              </w:rPr>
            </w:pPr>
            <w:r>
              <w:rPr>
                <w:sz w:val="21"/>
              </w:rPr>
              <w:t>（</w:t>
            </w:r>
            <w:r>
              <w:rPr>
                <w:rFonts w:ascii="Times New Roman" w:eastAsia="Times New Roman"/>
                <w:sz w:val="21"/>
              </w:rPr>
              <w:t>4</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3" w:right="34"/>
              <w:rPr>
                <w:sz w:val="21"/>
              </w:rPr>
            </w:pPr>
            <w:r>
              <w:rPr>
                <w:sz w:val="21"/>
              </w:rPr>
              <w:t>排水设备</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10"/>
              <w:rPr>
                <w:sz w:val="21"/>
              </w:rPr>
            </w:pPr>
            <w:r>
              <w:rPr>
                <w:w w:val="99"/>
                <w:sz w:val="21"/>
              </w:rPr>
              <w:t>台</w:t>
            </w:r>
          </w:p>
        </w:tc>
        <w:tc>
          <w:tcPr>
            <w:tcW w:w="3556" w:type="dxa"/>
            <w:tcBorders>
              <w:top w:val="single" w:color="000000" w:sz="4" w:space="0"/>
              <w:left w:val="single" w:color="000000" w:sz="4" w:space="0"/>
              <w:bottom w:val="single" w:color="000000" w:sz="4" w:space="0"/>
              <w:right w:val="single" w:color="000000" w:sz="4" w:space="0"/>
            </w:tcBorders>
          </w:tcPr>
          <w:p>
            <w:pPr>
              <w:pStyle w:val="14"/>
              <w:tabs>
                <w:tab w:val="left" w:pos="2279"/>
              </w:tabs>
              <w:spacing w:before="1" w:line="251" w:lineRule="exact"/>
              <w:ind w:left="913"/>
              <w:jc w:val="left"/>
              <w:rPr>
                <w:sz w:val="21"/>
              </w:rPr>
            </w:pPr>
            <w:r>
              <w:rPr>
                <w:rFonts w:ascii="Times New Roman" w:hAnsi="Times New Roman" w:eastAsia="Times New Roman"/>
                <w:sz w:val="21"/>
              </w:rPr>
              <w:t>MD155-67×6</w:t>
            </w:r>
            <w:r>
              <w:rPr>
                <w:rFonts w:ascii="Times New Roman" w:hAnsi="Times New Roman" w:eastAsia="Times New Roman"/>
                <w:sz w:val="21"/>
              </w:rPr>
              <w:tab/>
            </w:r>
            <w:r>
              <w:rPr>
                <w:rFonts w:ascii="Times New Roman" w:hAnsi="Times New Roman" w:eastAsia="Times New Roman"/>
                <w:sz w:val="21"/>
              </w:rPr>
              <w:t xml:space="preserve">3 </w:t>
            </w:r>
            <w:r>
              <w:rPr>
                <w:sz w:val="21"/>
              </w:rPr>
              <w:t>台</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5</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3" w:right="34"/>
              <w:rPr>
                <w:sz w:val="21"/>
              </w:rPr>
            </w:pPr>
            <w:r>
              <w:rPr>
                <w:sz w:val="21"/>
              </w:rPr>
              <w:t>压风设备</w:t>
            </w:r>
          </w:p>
        </w:tc>
        <w:tc>
          <w:tcPr>
            <w:tcW w:w="891" w:type="dxa"/>
            <w:tcBorders>
              <w:top w:val="single" w:color="000000" w:sz="4" w:space="0"/>
              <w:left w:val="single" w:color="000000" w:sz="4" w:space="0"/>
              <w:bottom w:val="single" w:color="000000" w:sz="4" w:space="0"/>
              <w:right w:val="single" w:color="000000" w:sz="4" w:space="0"/>
            </w:tcBorders>
          </w:tcPr>
          <w:p>
            <w:pPr>
              <w:pStyle w:val="14"/>
              <w:spacing w:line="252" w:lineRule="exact"/>
              <w:ind w:left="10"/>
              <w:rPr>
                <w:sz w:val="21"/>
              </w:rPr>
            </w:pPr>
            <w:r>
              <w:rPr>
                <w:w w:val="99"/>
                <w:sz w:val="21"/>
              </w:rPr>
              <w:t>台</w:t>
            </w:r>
          </w:p>
        </w:tc>
        <w:tc>
          <w:tcPr>
            <w:tcW w:w="3556" w:type="dxa"/>
            <w:tcBorders>
              <w:top w:val="single" w:color="000000" w:sz="4" w:space="0"/>
              <w:left w:val="single" w:color="000000" w:sz="4" w:space="0"/>
              <w:bottom w:val="single" w:color="000000" w:sz="4" w:space="0"/>
              <w:right w:val="single" w:color="000000" w:sz="4" w:space="0"/>
            </w:tcBorders>
          </w:tcPr>
          <w:p>
            <w:pPr>
              <w:pStyle w:val="14"/>
              <w:tabs>
                <w:tab w:val="left" w:pos="2135"/>
              </w:tabs>
              <w:spacing w:line="252" w:lineRule="exact"/>
              <w:ind w:left="1057"/>
              <w:jc w:val="left"/>
              <w:rPr>
                <w:sz w:val="21"/>
              </w:rPr>
            </w:pPr>
            <w:r>
              <w:rPr>
                <w:rFonts w:ascii="Times New Roman" w:eastAsia="Times New Roman"/>
                <w:sz w:val="21"/>
              </w:rPr>
              <w:t>SF-110D</w:t>
            </w:r>
            <w:r>
              <w:rPr>
                <w:rFonts w:ascii="Times New Roman" w:eastAsia="Times New Roman"/>
                <w:sz w:val="21"/>
              </w:rPr>
              <w:tab/>
            </w:r>
            <w:r>
              <w:rPr>
                <w:rFonts w:ascii="Times New Roman" w:eastAsia="Times New Roman"/>
                <w:sz w:val="21"/>
              </w:rPr>
              <w:t xml:space="preserve">2 </w:t>
            </w:r>
            <w:r>
              <w:rPr>
                <w:sz w:val="21"/>
              </w:rPr>
              <w:t>台</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5" w:line="238" w:lineRule="exact"/>
              <w:ind w:left="357" w:right="347"/>
              <w:rPr>
                <w:rFonts w:ascii="Times New Roman"/>
                <w:sz w:val="21"/>
              </w:rPr>
            </w:pPr>
            <w:r>
              <w:rPr>
                <w:rFonts w:ascii="Times New Roman"/>
                <w:sz w:val="21"/>
              </w:rPr>
              <w:t>13</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43" w:right="34"/>
              <w:rPr>
                <w:sz w:val="21"/>
              </w:rPr>
            </w:pPr>
            <w:r>
              <w:rPr>
                <w:sz w:val="21"/>
              </w:rPr>
              <w:t>地面运输</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 w:line="251"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6" w:right="34"/>
              <w:rPr>
                <w:sz w:val="21"/>
              </w:rPr>
            </w:pPr>
            <w:r>
              <w:rPr>
                <w:sz w:val="21"/>
              </w:rPr>
              <w:t>准轨铁路总长度</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5" w:line="237" w:lineRule="exact"/>
              <w:ind w:left="289" w:right="280"/>
              <w:rPr>
                <w:rFonts w:ascii="Times New Roman"/>
                <w:sz w:val="21"/>
              </w:rPr>
            </w:pPr>
            <w:r>
              <w:rPr>
                <w:rFonts w:ascii="Times New Roman"/>
                <w:sz w:val="21"/>
              </w:rPr>
              <w:t>km</w:t>
            </w: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04" w:type="dxa"/>
            <w:tcBorders>
              <w:top w:val="single" w:color="000000" w:sz="4" w:space="0"/>
              <w:bottom w:val="single" w:color="000000" w:sz="4" w:space="0"/>
              <w:right w:val="single" w:color="000000" w:sz="4" w:space="0"/>
            </w:tcBorders>
          </w:tcPr>
          <w:p>
            <w:pPr>
              <w:pStyle w:val="14"/>
              <w:jc w:val="left"/>
              <w:rPr>
                <w:rFonts w:ascii="Times New Roman"/>
                <w:sz w:val="20"/>
              </w:rPr>
            </w:pP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3" w:right="34"/>
              <w:rPr>
                <w:sz w:val="21"/>
              </w:rPr>
            </w:pPr>
            <w:r>
              <w:rPr>
                <w:sz w:val="21"/>
              </w:rPr>
              <w:t>其中：专用线长度</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4" w:line="238" w:lineRule="exact"/>
              <w:ind w:left="289" w:right="280"/>
              <w:rPr>
                <w:rFonts w:ascii="Times New Roman"/>
                <w:sz w:val="21"/>
              </w:rPr>
            </w:pPr>
            <w:r>
              <w:rPr>
                <w:rFonts w:ascii="Times New Roman"/>
                <w:sz w:val="21"/>
              </w:rPr>
              <w:t>km</w:t>
            </w: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004" w:type="dxa"/>
            <w:tcBorders>
              <w:top w:val="single" w:color="000000" w:sz="4" w:space="0"/>
              <w:bottom w:val="single" w:color="000000" w:sz="4" w:space="0"/>
              <w:right w:val="single" w:color="000000" w:sz="4" w:space="0"/>
            </w:tcBorders>
          </w:tcPr>
          <w:p>
            <w:pPr>
              <w:pStyle w:val="14"/>
              <w:jc w:val="left"/>
              <w:rPr>
                <w:rFonts w:ascii="Times New Roman"/>
                <w:sz w:val="20"/>
              </w:rPr>
            </w:pP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43" w:right="34"/>
              <w:rPr>
                <w:sz w:val="21"/>
              </w:rPr>
            </w:pPr>
            <w:r>
              <w:rPr>
                <w:sz w:val="21"/>
              </w:rPr>
              <w:t>站线长度</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5" w:line="238" w:lineRule="exact"/>
              <w:ind w:left="289" w:right="280"/>
              <w:rPr>
                <w:rFonts w:ascii="Times New Roman"/>
                <w:sz w:val="21"/>
              </w:rPr>
            </w:pPr>
            <w:r>
              <w:rPr>
                <w:rFonts w:ascii="Times New Roman"/>
                <w:sz w:val="21"/>
              </w:rPr>
              <w:t>km</w:t>
            </w: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sz w:val="21"/>
              </w:rPr>
              <w:t>场外公路长度</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3" w:line="239" w:lineRule="exact"/>
              <w:ind w:left="289" w:right="280"/>
              <w:rPr>
                <w:rFonts w:ascii="Times New Roman"/>
                <w:sz w:val="21"/>
              </w:rPr>
            </w:pPr>
            <w:r>
              <w:rPr>
                <w:rFonts w:ascii="Times New Roman"/>
                <w:sz w:val="21"/>
              </w:rPr>
              <w:t>km</w:t>
            </w: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4" w:line="238" w:lineRule="exact"/>
              <w:ind w:left="357" w:right="347"/>
              <w:rPr>
                <w:rFonts w:ascii="Times New Roman"/>
                <w:sz w:val="21"/>
              </w:rPr>
            </w:pPr>
            <w:r>
              <w:rPr>
                <w:rFonts w:ascii="Times New Roman"/>
                <w:sz w:val="21"/>
              </w:rPr>
              <w:t>14</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3" w:right="34"/>
              <w:rPr>
                <w:sz w:val="21"/>
              </w:rPr>
            </w:pPr>
            <w:r>
              <w:rPr>
                <w:sz w:val="21"/>
              </w:rPr>
              <w:t>建设用地</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 w:line="252"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48" w:right="34"/>
              <w:rPr>
                <w:sz w:val="21"/>
              </w:rPr>
            </w:pPr>
            <w:r>
              <w:rPr>
                <w:sz w:val="21"/>
              </w:rPr>
              <w:t>用地总面积</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5" w:line="238" w:lineRule="exact"/>
              <w:ind w:left="278"/>
              <w:jc w:val="left"/>
              <w:rPr>
                <w:rFonts w:ascii="Times New Roman"/>
                <w:sz w:val="13"/>
              </w:rPr>
            </w:pPr>
            <w:r>
              <w:rPr>
                <w:rFonts w:ascii="Times New Roman"/>
                <w:sz w:val="21"/>
              </w:rPr>
              <w:t>hm</w:t>
            </w:r>
            <w:r>
              <w:rPr>
                <w:rFonts w:ascii="Times New Roman"/>
                <w:position w:val="7"/>
                <w:sz w:val="13"/>
              </w:rPr>
              <w:t>2</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5" w:line="238" w:lineRule="exact"/>
              <w:ind w:left="13"/>
              <w:rPr>
                <w:rFonts w:ascii="Times New Roman"/>
                <w:sz w:val="21"/>
              </w:rPr>
            </w:pPr>
            <w:r>
              <w:rPr>
                <w:rFonts w:ascii="Times New Roman"/>
                <w:sz w:val="21"/>
              </w:rPr>
              <w:t>10.6</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jc w:val="left"/>
              <w:rPr>
                <w:rFonts w:ascii="Times New Roman"/>
                <w:sz w:val="20"/>
              </w:rPr>
            </w:pP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130" w:right="6"/>
              <w:rPr>
                <w:sz w:val="21"/>
              </w:rPr>
            </w:pPr>
            <w:r>
              <w:rPr>
                <w:spacing w:val="-4"/>
                <w:w w:val="95"/>
                <w:sz w:val="21"/>
              </w:rPr>
              <w:t>其中：工业场地</w:t>
            </w:r>
            <w:r>
              <w:rPr>
                <w:w w:val="95"/>
                <w:sz w:val="21"/>
              </w:rPr>
              <w:t>（围墙内）</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3" w:line="239" w:lineRule="exact"/>
              <w:ind w:left="278"/>
              <w:jc w:val="left"/>
              <w:rPr>
                <w:rFonts w:ascii="Times New Roman"/>
                <w:sz w:val="13"/>
              </w:rPr>
            </w:pPr>
            <w:r>
              <w:rPr>
                <w:rFonts w:ascii="Times New Roman"/>
                <w:sz w:val="21"/>
              </w:rPr>
              <w:t>hm</w:t>
            </w:r>
            <w:r>
              <w:rPr>
                <w:rFonts w:ascii="Times New Roman"/>
                <w:position w:val="7"/>
                <w:sz w:val="13"/>
              </w:rPr>
              <w:t>2</w:t>
            </w: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jc w:val="left"/>
              <w:rPr>
                <w:rFonts w:ascii="Times New Roman"/>
                <w:sz w:val="20"/>
              </w:rPr>
            </w:pP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8" w:right="34"/>
              <w:rPr>
                <w:sz w:val="21"/>
              </w:rPr>
            </w:pPr>
            <w:r>
              <w:rPr>
                <w:sz w:val="21"/>
              </w:rPr>
              <w:t>风井场地（围墙内）</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4" w:line="238" w:lineRule="exact"/>
              <w:ind w:left="278"/>
              <w:jc w:val="left"/>
              <w:rPr>
                <w:rFonts w:ascii="Times New Roman"/>
                <w:sz w:val="13"/>
              </w:rPr>
            </w:pPr>
            <w:r>
              <w:rPr>
                <w:rFonts w:ascii="Times New Roman"/>
                <w:sz w:val="21"/>
              </w:rPr>
              <w:t>hm</w:t>
            </w:r>
            <w:r>
              <w:rPr>
                <w:rFonts w:ascii="Times New Roman"/>
                <w:position w:val="7"/>
                <w:sz w:val="13"/>
              </w:rPr>
              <w:t>2</w:t>
            </w: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5" w:line="237" w:lineRule="exact"/>
              <w:ind w:left="357" w:right="347"/>
              <w:rPr>
                <w:rFonts w:ascii="Times New Roman"/>
                <w:sz w:val="21"/>
              </w:rPr>
            </w:pPr>
            <w:r>
              <w:rPr>
                <w:rFonts w:ascii="Times New Roman"/>
                <w:sz w:val="21"/>
              </w:rPr>
              <w:t>15</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3" w:right="34"/>
              <w:rPr>
                <w:sz w:val="21"/>
              </w:rPr>
            </w:pPr>
            <w:r>
              <w:rPr>
                <w:sz w:val="21"/>
              </w:rPr>
              <w:t>地面建筑</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sz w:val="21"/>
              </w:rPr>
              <w:t>工业建、构筑物总体积</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3" w:line="239" w:lineRule="exact"/>
              <w:ind w:left="302"/>
              <w:jc w:val="left"/>
              <w:rPr>
                <w:rFonts w:ascii="Times New Roman"/>
                <w:sz w:val="21"/>
              </w:rPr>
            </w:pPr>
            <w:r>
              <w:rPr>
                <w:rFonts w:ascii="Times New Roman"/>
                <w:sz w:val="21"/>
              </w:rPr>
              <w:t>M3</w:t>
            </w: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1"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1" w:lineRule="exact"/>
              <w:ind w:left="46" w:right="34"/>
              <w:rPr>
                <w:sz w:val="21"/>
              </w:rPr>
            </w:pPr>
            <w:r>
              <w:rPr>
                <w:sz w:val="21"/>
              </w:rPr>
              <w:t>行政公共建筑物总面积</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4" w:line="237" w:lineRule="exact"/>
              <w:ind w:left="290" w:right="279"/>
              <w:rPr>
                <w:rFonts w:ascii="Times New Roman"/>
                <w:sz w:val="21"/>
              </w:rPr>
            </w:pPr>
            <w:r>
              <w:rPr>
                <w:rFonts w:ascii="Times New Roman"/>
                <w:sz w:val="21"/>
              </w:rPr>
              <w:t>m2</w:t>
            </w: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5" w:line="237" w:lineRule="exact"/>
              <w:ind w:left="357" w:right="347"/>
              <w:rPr>
                <w:rFonts w:ascii="Times New Roman"/>
                <w:sz w:val="21"/>
              </w:rPr>
            </w:pPr>
            <w:r>
              <w:rPr>
                <w:rFonts w:ascii="Times New Roman"/>
                <w:sz w:val="21"/>
              </w:rPr>
              <w:t>16</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left="43" w:right="34"/>
              <w:rPr>
                <w:sz w:val="21"/>
              </w:rPr>
            </w:pPr>
            <w:r>
              <w:rPr>
                <w:sz w:val="21"/>
              </w:rPr>
              <w:t>人员配置</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sz w:val="21"/>
              </w:rPr>
              <w:t>在籍员工总数</w:t>
            </w:r>
          </w:p>
        </w:tc>
        <w:tc>
          <w:tcPr>
            <w:tcW w:w="891" w:type="dxa"/>
            <w:tcBorders>
              <w:top w:val="single" w:color="000000" w:sz="4" w:space="0"/>
              <w:left w:val="single" w:color="000000" w:sz="4" w:space="0"/>
              <w:bottom w:val="single" w:color="000000" w:sz="4" w:space="0"/>
              <w:right w:val="single" w:color="000000" w:sz="4" w:space="0"/>
            </w:tcBorders>
          </w:tcPr>
          <w:p>
            <w:pPr>
              <w:pStyle w:val="14"/>
              <w:spacing w:line="252" w:lineRule="exact"/>
              <w:ind w:left="10"/>
              <w:rPr>
                <w:sz w:val="21"/>
              </w:rPr>
            </w:pPr>
            <w:r>
              <w:rPr>
                <w:w w:val="99"/>
                <w:sz w:val="21"/>
              </w:rPr>
              <w:t>人</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3" w:line="238" w:lineRule="exact"/>
              <w:ind w:left="13"/>
              <w:rPr>
                <w:rFonts w:ascii="Times New Roman"/>
                <w:sz w:val="21"/>
              </w:rPr>
            </w:pPr>
            <w:r>
              <w:rPr>
                <w:rFonts w:ascii="Times New Roman"/>
                <w:sz w:val="21"/>
              </w:rPr>
              <w:t>655</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04" w:type="dxa"/>
            <w:tcBorders>
              <w:top w:val="single" w:color="000000" w:sz="4" w:space="0"/>
              <w:bottom w:val="single" w:color="000000" w:sz="4" w:space="0"/>
              <w:right w:val="single" w:color="000000" w:sz="4" w:space="0"/>
            </w:tcBorders>
          </w:tcPr>
          <w:p>
            <w:pPr>
              <w:pStyle w:val="14"/>
              <w:jc w:val="left"/>
              <w:rPr>
                <w:rFonts w:ascii="Times New Roman"/>
                <w:sz w:val="20"/>
              </w:rPr>
            </w:pP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3" w:right="34"/>
              <w:rPr>
                <w:sz w:val="21"/>
              </w:rPr>
            </w:pPr>
            <w:r>
              <w:rPr>
                <w:sz w:val="21"/>
              </w:rPr>
              <w:t>其中原煤生产人员</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10"/>
              <w:rPr>
                <w:sz w:val="21"/>
              </w:rPr>
            </w:pPr>
            <w:r>
              <w:rPr>
                <w:w w:val="99"/>
                <w:sz w:val="21"/>
              </w:rPr>
              <w:t>人</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7" w:lineRule="exact"/>
              <w:ind w:left="13"/>
              <w:rPr>
                <w:rFonts w:ascii="Times New Roman"/>
                <w:sz w:val="21"/>
              </w:rPr>
            </w:pPr>
            <w:r>
              <w:rPr>
                <w:rFonts w:ascii="Times New Roman"/>
                <w:sz w:val="21"/>
              </w:rPr>
              <w:t>455</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004" w:type="dxa"/>
            <w:tcBorders>
              <w:top w:val="single" w:color="000000" w:sz="4" w:space="0"/>
              <w:bottom w:val="single" w:color="000000" w:sz="4" w:space="0"/>
              <w:right w:val="single" w:color="000000" w:sz="4" w:space="0"/>
            </w:tcBorders>
          </w:tcPr>
          <w:p>
            <w:pPr>
              <w:pStyle w:val="14"/>
              <w:jc w:val="left"/>
              <w:rPr>
                <w:rFonts w:ascii="Times New Roman"/>
                <w:sz w:val="20"/>
              </w:rPr>
            </w:pP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left="43" w:right="34"/>
              <w:rPr>
                <w:sz w:val="21"/>
              </w:rPr>
            </w:pPr>
            <w:r>
              <w:rPr>
                <w:sz w:val="21"/>
              </w:rPr>
              <w:t>生产工人</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left="10"/>
              <w:rPr>
                <w:sz w:val="21"/>
              </w:rPr>
            </w:pPr>
            <w:r>
              <w:rPr>
                <w:w w:val="99"/>
                <w:sz w:val="21"/>
              </w:rPr>
              <w:t>人</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6" w:line="237" w:lineRule="exact"/>
              <w:ind w:left="13"/>
              <w:rPr>
                <w:rFonts w:ascii="Times New Roman"/>
                <w:sz w:val="21"/>
              </w:rPr>
            </w:pPr>
            <w:r>
              <w:rPr>
                <w:rFonts w:ascii="Times New Roman"/>
                <w:sz w:val="21"/>
              </w:rPr>
              <w:t>414</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3" w:right="34"/>
              <w:rPr>
                <w:sz w:val="21"/>
              </w:rPr>
            </w:pPr>
            <w:r>
              <w:rPr>
                <w:sz w:val="21"/>
              </w:rPr>
              <w:t>全员效率</w:t>
            </w:r>
          </w:p>
        </w:tc>
        <w:tc>
          <w:tcPr>
            <w:tcW w:w="891" w:type="dxa"/>
            <w:tcBorders>
              <w:top w:val="single" w:color="000000" w:sz="4" w:space="0"/>
              <w:left w:val="single" w:color="000000" w:sz="4" w:space="0"/>
              <w:bottom w:val="single" w:color="000000" w:sz="4" w:space="0"/>
              <w:right w:val="single" w:color="000000" w:sz="4" w:space="0"/>
            </w:tcBorders>
          </w:tcPr>
          <w:p>
            <w:pPr>
              <w:pStyle w:val="14"/>
              <w:spacing w:line="252" w:lineRule="exact"/>
              <w:ind w:left="283"/>
              <w:jc w:val="left"/>
              <w:rPr>
                <w:sz w:val="21"/>
              </w:rPr>
            </w:pPr>
            <w:r>
              <w:rPr>
                <w:rFonts w:ascii="Times New Roman" w:eastAsia="Times New Roman"/>
                <w:sz w:val="21"/>
              </w:rPr>
              <w:t>t/</w:t>
            </w:r>
            <w:r>
              <w:rPr>
                <w:sz w:val="21"/>
              </w:rPr>
              <w:t>工</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3" w:line="238" w:lineRule="exact"/>
              <w:ind w:left="13"/>
              <w:rPr>
                <w:rFonts w:ascii="Times New Roman"/>
                <w:sz w:val="21"/>
              </w:rPr>
            </w:pPr>
            <w:r>
              <w:rPr>
                <w:rFonts w:ascii="Times New Roman"/>
                <w:sz w:val="21"/>
              </w:rPr>
              <w:t>2.0</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5" w:line="237" w:lineRule="exact"/>
              <w:ind w:left="357" w:right="347"/>
              <w:rPr>
                <w:rFonts w:ascii="Times New Roman"/>
                <w:sz w:val="21"/>
              </w:rPr>
            </w:pPr>
            <w:r>
              <w:rPr>
                <w:rFonts w:ascii="Times New Roman"/>
                <w:sz w:val="21"/>
              </w:rPr>
              <w:t>17</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6" w:right="34"/>
              <w:rPr>
                <w:sz w:val="21"/>
              </w:rPr>
            </w:pPr>
            <w:r>
              <w:rPr>
                <w:sz w:val="21"/>
              </w:rPr>
              <w:t>项目投资估算</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2" w:line="251"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left="46" w:right="34"/>
              <w:rPr>
                <w:sz w:val="21"/>
              </w:rPr>
            </w:pPr>
            <w:r>
              <w:rPr>
                <w:sz w:val="21"/>
              </w:rPr>
              <w:t>建设投资估算</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left="237"/>
              <w:jc w:val="left"/>
              <w:rPr>
                <w:sz w:val="21"/>
              </w:rPr>
            </w:pPr>
            <w:r>
              <w:rPr>
                <w:sz w:val="21"/>
              </w:rPr>
              <w:t>万元</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6" w:line="237" w:lineRule="exact"/>
              <w:ind w:left="16"/>
              <w:rPr>
                <w:rFonts w:ascii="Times New Roman"/>
                <w:sz w:val="21"/>
              </w:rPr>
            </w:pPr>
            <w:r>
              <w:rPr>
                <w:rFonts w:ascii="Times New Roman"/>
                <w:sz w:val="21"/>
              </w:rPr>
              <w:t>6226.52</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jc w:val="left"/>
              <w:rPr>
                <w:rFonts w:ascii="Times New Roman"/>
                <w:sz w:val="20"/>
              </w:rPr>
            </w:pP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sz w:val="21"/>
              </w:rPr>
              <w:t>其中：矿建工程</w:t>
            </w:r>
          </w:p>
        </w:tc>
        <w:tc>
          <w:tcPr>
            <w:tcW w:w="891" w:type="dxa"/>
            <w:tcBorders>
              <w:top w:val="single" w:color="000000" w:sz="4" w:space="0"/>
              <w:left w:val="single" w:color="000000" w:sz="4" w:space="0"/>
              <w:bottom w:val="single" w:color="000000" w:sz="4" w:space="0"/>
              <w:right w:val="single" w:color="000000" w:sz="4" w:space="0"/>
            </w:tcBorders>
          </w:tcPr>
          <w:p>
            <w:pPr>
              <w:pStyle w:val="14"/>
              <w:spacing w:line="252" w:lineRule="exact"/>
              <w:ind w:left="237"/>
              <w:jc w:val="left"/>
              <w:rPr>
                <w:sz w:val="21"/>
              </w:rPr>
            </w:pPr>
            <w:r>
              <w:rPr>
                <w:sz w:val="21"/>
              </w:rPr>
              <w:t>万元</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8" w:lineRule="exact"/>
              <w:ind w:left="16"/>
              <w:rPr>
                <w:rFonts w:ascii="Times New Roman"/>
                <w:sz w:val="21"/>
              </w:rPr>
            </w:pPr>
            <w:r>
              <w:rPr>
                <w:rFonts w:ascii="Times New Roman"/>
                <w:sz w:val="21"/>
              </w:rPr>
              <w:t>2457.48</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jc w:val="left"/>
              <w:rPr>
                <w:rFonts w:ascii="Times New Roman"/>
                <w:sz w:val="20"/>
              </w:rPr>
            </w:pP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3" w:right="34"/>
              <w:rPr>
                <w:sz w:val="21"/>
              </w:rPr>
            </w:pPr>
            <w:r>
              <w:rPr>
                <w:sz w:val="21"/>
              </w:rPr>
              <w:t>土建工程</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237"/>
              <w:jc w:val="left"/>
              <w:rPr>
                <w:sz w:val="21"/>
              </w:rPr>
            </w:pPr>
            <w:r>
              <w:rPr>
                <w:sz w:val="21"/>
              </w:rPr>
              <w:t>万元</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5" w:line="237" w:lineRule="exact"/>
              <w:ind w:left="11"/>
              <w:rPr>
                <w:rFonts w:ascii="Times New Roman"/>
                <w:sz w:val="21"/>
              </w:rPr>
            </w:pPr>
            <w:r>
              <w:rPr>
                <w:rFonts w:ascii="Times New Roman"/>
                <w:sz w:val="21"/>
              </w:rPr>
              <w:t>164.54</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jc w:val="left"/>
              <w:rPr>
                <w:rFonts w:ascii="Times New Roman"/>
                <w:sz w:val="20"/>
              </w:rPr>
            </w:pP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3" w:lineRule="exact"/>
              <w:ind w:left="43" w:right="34"/>
              <w:rPr>
                <w:sz w:val="21"/>
              </w:rPr>
            </w:pPr>
            <w:r>
              <w:rPr>
                <w:sz w:val="21"/>
              </w:rPr>
              <w:t>设备及工器具购置</w:t>
            </w:r>
          </w:p>
        </w:tc>
        <w:tc>
          <w:tcPr>
            <w:tcW w:w="891" w:type="dxa"/>
            <w:tcBorders>
              <w:top w:val="single" w:color="000000" w:sz="4" w:space="0"/>
              <w:left w:val="single" w:color="000000" w:sz="4" w:space="0"/>
              <w:bottom w:val="single" w:color="000000" w:sz="4" w:space="0"/>
              <w:right w:val="single" w:color="000000" w:sz="4" w:space="0"/>
            </w:tcBorders>
          </w:tcPr>
          <w:p>
            <w:pPr>
              <w:pStyle w:val="14"/>
              <w:spacing w:line="253" w:lineRule="exact"/>
              <w:ind w:left="237"/>
              <w:jc w:val="left"/>
              <w:rPr>
                <w:sz w:val="21"/>
              </w:rPr>
            </w:pPr>
            <w:r>
              <w:rPr>
                <w:sz w:val="21"/>
              </w:rPr>
              <w:t>万元</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9" w:lineRule="exact"/>
              <w:ind w:left="16"/>
              <w:rPr>
                <w:rFonts w:ascii="Times New Roman"/>
                <w:sz w:val="21"/>
              </w:rPr>
            </w:pPr>
            <w:r>
              <w:rPr>
                <w:rFonts w:ascii="Times New Roman"/>
                <w:sz w:val="21"/>
              </w:rPr>
              <w:t>2204.16</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jc w:val="left"/>
              <w:rPr>
                <w:rFonts w:ascii="Times New Roman"/>
                <w:sz w:val="20"/>
              </w:rPr>
            </w:pP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3" w:right="34"/>
              <w:rPr>
                <w:sz w:val="21"/>
              </w:rPr>
            </w:pPr>
            <w:r>
              <w:rPr>
                <w:sz w:val="21"/>
              </w:rPr>
              <w:t>安装工程</w:t>
            </w:r>
          </w:p>
        </w:tc>
        <w:tc>
          <w:tcPr>
            <w:tcW w:w="891" w:type="dxa"/>
            <w:tcBorders>
              <w:top w:val="single" w:color="000000" w:sz="4" w:space="0"/>
              <w:left w:val="single" w:color="000000" w:sz="4" w:space="0"/>
              <w:bottom w:val="single" w:color="000000" w:sz="4" w:space="0"/>
              <w:right w:val="single" w:color="000000" w:sz="4" w:space="0"/>
            </w:tcBorders>
          </w:tcPr>
          <w:p>
            <w:pPr>
              <w:pStyle w:val="14"/>
              <w:spacing w:line="252" w:lineRule="exact"/>
              <w:ind w:left="237"/>
              <w:jc w:val="left"/>
              <w:rPr>
                <w:sz w:val="21"/>
              </w:rPr>
            </w:pPr>
            <w:r>
              <w:rPr>
                <w:sz w:val="21"/>
              </w:rPr>
              <w:t>万元</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8" w:lineRule="exact"/>
              <w:ind w:left="11"/>
              <w:rPr>
                <w:rFonts w:ascii="Times New Roman"/>
                <w:sz w:val="21"/>
              </w:rPr>
            </w:pPr>
            <w:r>
              <w:rPr>
                <w:rFonts w:ascii="Times New Roman"/>
                <w:sz w:val="21"/>
              </w:rPr>
              <w:t>503.41</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jc w:val="left"/>
              <w:rPr>
                <w:rFonts w:ascii="Times New Roman"/>
                <w:sz w:val="20"/>
              </w:rPr>
            </w:pP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43" w:right="34"/>
              <w:rPr>
                <w:sz w:val="21"/>
              </w:rPr>
            </w:pPr>
            <w:r>
              <w:rPr>
                <w:sz w:val="21"/>
              </w:rPr>
              <w:t>工程建设其它费用</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237"/>
              <w:jc w:val="left"/>
              <w:rPr>
                <w:sz w:val="21"/>
              </w:rPr>
            </w:pPr>
            <w:r>
              <w:rPr>
                <w:sz w:val="21"/>
              </w:rPr>
              <w:t>万元</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5" w:line="238" w:lineRule="exact"/>
              <w:ind w:left="11"/>
              <w:rPr>
                <w:rFonts w:ascii="Times New Roman"/>
                <w:sz w:val="21"/>
              </w:rPr>
            </w:pPr>
            <w:r>
              <w:rPr>
                <w:rFonts w:ascii="Times New Roman"/>
                <w:sz w:val="21"/>
              </w:rPr>
              <w:t>600.43</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9" w:hRule="atLeast"/>
        </w:trPr>
        <w:tc>
          <w:tcPr>
            <w:tcW w:w="1004" w:type="dxa"/>
            <w:tcBorders>
              <w:top w:val="single" w:color="000000" w:sz="4" w:space="0"/>
              <w:right w:val="single" w:color="000000" w:sz="4" w:space="0"/>
            </w:tcBorders>
          </w:tcPr>
          <w:p>
            <w:pPr>
              <w:pStyle w:val="14"/>
              <w:jc w:val="left"/>
              <w:rPr>
                <w:rFonts w:ascii="Times New Roman"/>
                <w:sz w:val="20"/>
              </w:rPr>
            </w:pPr>
          </w:p>
        </w:tc>
        <w:tc>
          <w:tcPr>
            <w:tcW w:w="2608" w:type="dxa"/>
            <w:tcBorders>
              <w:top w:val="single" w:color="000000" w:sz="4" w:space="0"/>
              <w:left w:val="single" w:color="000000" w:sz="4" w:space="0"/>
              <w:right w:val="single" w:color="000000" w:sz="4" w:space="0"/>
            </w:tcBorders>
          </w:tcPr>
          <w:p>
            <w:pPr>
              <w:pStyle w:val="14"/>
              <w:spacing w:line="250" w:lineRule="exact"/>
              <w:ind w:left="48" w:right="34"/>
              <w:rPr>
                <w:sz w:val="21"/>
              </w:rPr>
            </w:pPr>
            <w:r>
              <w:rPr>
                <w:sz w:val="21"/>
              </w:rPr>
              <w:t>工程预备费</w:t>
            </w:r>
          </w:p>
        </w:tc>
        <w:tc>
          <w:tcPr>
            <w:tcW w:w="891" w:type="dxa"/>
            <w:tcBorders>
              <w:top w:val="single" w:color="000000" w:sz="4" w:space="0"/>
              <w:left w:val="single" w:color="000000" w:sz="4" w:space="0"/>
              <w:right w:val="single" w:color="000000" w:sz="4" w:space="0"/>
            </w:tcBorders>
          </w:tcPr>
          <w:p>
            <w:pPr>
              <w:pStyle w:val="14"/>
              <w:spacing w:line="250" w:lineRule="exact"/>
              <w:ind w:left="237"/>
              <w:jc w:val="left"/>
              <w:rPr>
                <w:sz w:val="21"/>
              </w:rPr>
            </w:pPr>
            <w:r>
              <w:rPr>
                <w:sz w:val="21"/>
              </w:rPr>
              <w:t>万元</w:t>
            </w:r>
          </w:p>
        </w:tc>
        <w:tc>
          <w:tcPr>
            <w:tcW w:w="3556" w:type="dxa"/>
            <w:tcBorders>
              <w:top w:val="single" w:color="000000" w:sz="4" w:space="0"/>
              <w:left w:val="single" w:color="000000" w:sz="4" w:space="0"/>
              <w:right w:val="single" w:color="000000" w:sz="4" w:space="0"/>
            </w:tcBorders>
          </w:tcPr>
          <w:p>
            <w:pPr>
              <w:pStyle w:val="14"/>
              <w:spacing w:before="13" w:line="237" w:lineRule="exact"/>
              <w:ind w:left="11"/>
              <w:rPr>
                <w:rFonts w:ascii="Times New Roman"/>
                <w:sz w:val="21"/>
              </w:rPr>
            </w:pPr>
            <w:r>
              <w:rPr>
                <w:rFonts w:ascii="Times New Roman"/>
                <w:sz w:val="21"/>
              </w:rPr>
              <w:t>296.50</w:t>
            </w:r>
          </w:p>
        </w:tc>
        <w:tc>
          <w:tcPr>
            <w:tcW w:w="1227" w:type="dxa"/>
            <w:tcBorders>
              <w:top w:val="single" w:color="000000" w:sz="4" w:space="0"/>
              <w:left w:val="single" w:color="000000" w:sz="4" w:space="0"/>
            </w:tcBorders>
          </w:tcPr>
          <w:p>
            <w:pPr>
              <w:pStyle w:val="14"/>
              <w:jc w:val="left"/>
              <w:rPr>
                <w:rFonts w:ascii="Times New Roman"/>
                <w:sz w:val="20"/>
              </w:rPr>
            </w:pPr>
          </w:p>
        </w:tc>
      </w:tr>
    </w:tbl>
    <w:p>
      <w:pPr>
        <w:spacing w:after="0"/>
        <w:jc w:val="left"/>
        <w:rPr>
          <w:rFonts w:ascii="Times New Roman"/>
          <w:sz w:val="20"/>
        </w:rPr>
        <w:sectPr>
          <w:pgSz w:w="11910" w:h="16840"/>
          <w:pgMar w:top="1080" w:right="720" w:bottom="1080" w:left="760" w:header="0" w:footer="89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57" name="组合 32"/>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56" name="直线 33"/>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32"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aCLtQAAAADAQAADwAAAAAAAAABACAAAAAiAAAAZHJzL2Rvd25yZXYueG1s&#10;UEsBAhQAFAAAAAgAh07iQHAG8rQ1AgAAtgQAAA4AAAAAAAAAAQAgAAAAIwEAAGRycy9lMm9Eb2Mu&#10;eG1sUEsFBgAAAAAGAAYAWQEAAMoFAAAAAA==&#10;">
                <o:lock v:ext="edit" aspectratio="f"/>
                <v:line id="直线 33" o:spid="_x0000_s1026" o:spt="20" style="position:absolute;left:0;top:7;height:0;width:8306;" filled="f" stroked="t" coordsize="21600,21600" o:gfxdata="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9lJWr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6"/>
        <w:spacing w:before="1"/>
        <w:rPr>
          <w:b/>
          <w:sz w:val="25"/>
        </w:rPr>
      </w:pPr>
    </w:p>
    <w:tbl>
      <w:tblPr>
        <w:tblStyle w:val="10"/>
        <w:tblW w:w="0" w:type="auto"/>
        <w:tblInd w:w="55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04"/>
        <w:gridCol w:w="2608"/>
        <w:gridCol w:w="891"/>
        <w:gridCol w:w="3556"/>
        <w:gridCol w:w="12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bottom w:val="single" w:color="000000" w:sz="4" w:space="0"/>
              <w:right w:val="single" w:color="000000" w:sz="4" w:space="0"/>
            </w:tcBorders>
          </w:tcPr>
          <w:p>
            <w:pPr>
              <w:pStyle w:val="14"/>
              <w:spacing w:before="2" w:line="250" w:lineRule="exact"/>
              <w:ind w:right="281"/>
              <w:jc w:val="right"/>
              <w:rPr>
                <w:sz w:val="21"/>
              </w:rPr>
            </w:pPr>
            <w:r>
              <w:rPr>
                <w:w w:val="95"/>
                <w:sz w:val="21"/>
              </w:rPr>
              <w:t>序号</w:t>
            </w:r>
          </w:p>
        </w:tc>
        <w:tc>
          <w:tcPr>
            <w:tcW w:w="2608" w:type="dxa"/>
            <w:tcBorders>
              <w:left w:val="single" w:color="000000" w:sz="4" w:space="0"/>
              <w:bottom w:val="single" w:color="000000" w:sz="4" w:space="0"/>
              <w:right w:val="single" w:color="000000" w:sz="4" w:space="0"/>
            </w:tcBorders>
          </w:tcPr>
          <w:p>
            <w:pPr>
              <w:pStyle w:val="14"/>
              <w:spacing w:before="2" w:line="250" w:lineRule="exact"/>
              <w:ind w:left="43" w:right="34"/>
              <w:rPr>
                <w:sz w:val="21"/>
              </w:rPr>
            </w:pPr>
            <w:r>
              <w:rPr>
                <w:sz w:val="21"/>
              </w:rPr>
              <w:t>指标名称</w:t>
            </w:r>
          </w:p>
        </w:tc>
        <w:tc>
          <w:tcPr>
            <w:tcW w:w="891" w:type="dxa"/>
            <w:tcBorders>
              <w:left w:val="single" w:color="000000" w:sz="4" w:space="0"/>
              <w:bottom w:val="single" w:color="000000" w:sz="4" w:space="0"/>
              <w:right w:val="single" w:color="000000" w:sz="4" w:space="0"/>
            </w:tcBorders>
          </w:tcPr>
          <w:p>
            <w:pPr>
              <w:pStyle w:val="14"/>
              <w:spacing w:before="2" w:line="250" w:lineRule="exact"/>
              <w:ind w:right="223"/>
              <w:jc w:val="right"/>
              <w:rPr>
                <w:sz w:val="21"/>
              </w:rPr>
            </w:pPr>
            <w:r>
              <w:rPr>
                <w:w w:val="95"/>
                <w:sz w:val="21"/>
              </w:rPr>
              <w:t>单位</w:t>
            </w:r>
          </w:p>
        </w:tc>
        <w:tc>
          <w:tcPr>
            <w:tcW w:w="3556" w:type="dxa"/>
            <w:tcBorders>
              <w:left w:val="single" w:color="000000" w:sz="4" w:space="0"/>
              <w:bottom w:val="single" w:color="000000" w:sz="4" w:space="0"/>
              <w:right w:val="single" w:color="000000" w:sz="4" w:space="0"/>
            </w:tcBorders>
          </w:tcPr>
          <w:p>
            <w:pPr>
              <w:pStyle w:val="14"/>
              <w:spacing w:before="2" w:line="250" w:lineRule="exact"/>
              <w:ind w:left="10"/>
              <w:rPr>
                <w:sz w:val="21"/>
              </w:rPr>
            </w:pPr>
            <w:r>
              <w:rPr>
                <w:sz w:val="21"/>
              </w:rPr>
              <w:t>指标</w:t>
            </w:r>
          </w:p>
        </w:tc>
        <w:tc>
          <w:tcPr>
            <w:tcW w:w="1227" w:type="dxa"/>
            <w:tcBorders>
              <w:left w:val="single" w:color="000000" w:sz="4" w:space="0"/>
              <w:bottom w:val="single" w:color="000000" w:sz="4" w:space="0"/>
            </w:tcBorders>
          </w:tcPr>
          <w:p>
            <w:pPr>
              <w:pStyle w:val="14"/>
              <w:spacing w:before="2" w:line="250" w:lineRule="exact"/>
              <w:ind w:left="405"/>
              <w:jc w:val="left"/>
              <w:rPr>
                <w:sz w:val="21"/>
              </w:rPr>
            </w:pPr>
            <w:r>
              <w:rPr>
                <w:sz w:val="21"/>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jc w:val="left"/>
              <w:rPr>
                <w:rFonts w:ascii="Times New Roman"/>
                <w:sz w:val="20"/>
              </w:rPr>
            </w:pP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8" w:right="34"/>
              <w:rPr>
                <w:sz w:val="21"/>
              </w:rPr>
            </w:pPr>
            <w:r>
              <w:rPr>
                <w:sz w:val="21"/>
              </w:rPr>
              <w:t>工程造价调整预备费</w:t>
            </w:r>
          </w:p>
        </w:tc>
        <w:tc>
          <w:tcPr>
            <w:tcW w:w="891" w:type="dxa"/>
            <w:tcBorders>
              <w:top w:val="single" w:color="000000" w:sz="4" w:space="0"/>
              <w:left w:val="single" w:color="000000" w:sz="4" w:space="0"/>
              <w:bottom w:val="single" w:color="000000" w:sz="4" w:space="0"/>
              <w:right w:val="single" w:color="000000" w:sz="4" w:space="0"/>
            </w:tcBorders>
          </w:tcPr>
          <w:p>
            <w:pPr>
              <w:pStyle w:val="14"/>
              <w:spacing w:line="252" w:lineRule="exact"/>
              <w:ind w:right="223"/>
              <w:jc w:val="right"/>
              <w:rPr>
                <w:sz w:val="21"/>
              </w:rPr>
            </w:pPr>
            <w:r>
              <w:rPr>
                <w:w w:val="95"/>
                <w:sz w:val="21"/>
              </w:rPr>
              <w:t>万元</w:t>
            </w: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 w:line="251"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8" w:right="34"/>
              <w:rPr>
                <w:sz w:val="21"/>
              </w:rPr>
            </w:pPr>
            <w:r>
              <w:rPr>
                <w:sz w:val="21"/>
              </w:rPr>
              <w:t>建设期利息</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223"/>
              <w:jc w:val="right"/>
              <w:rPr>
                <w:sz w:val="21"/>
              </w:rPr>
            </w:pPr>
            <w:r>
              <w:rPr>
                <w:w w:val="95"/>
                <w:sz w:val="21"/>
              </w:rPr>
              <w:t>万元</w:t>
            </w: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04" w:type="dxa"/>
            <w:tcBorders>
              <w:top w:val="single" w:color="000000" w:sz="4" w:space="0"/>
              <w:bottom w:val="single" w:color="000000" w:sz="4" w:space="0"/>
              <w:right w:val="single" w:color="000000" w:sz="4" w:space="0"/>
            </w:tcBorders>
          </w:tcPr>
          <w:p>
            <w:pPr>
              <w:pStyle w:val="14"/>
              <w:spacing w:before="2" w:line="250" w:lineRule="exact"/>
              <w:ind w:right="227"/>
              <w:jc w:val="right"/>
              <w:rPr>
                <w:sz w:val="21"/>
              </w:rPr>
            </w:pPr>
            <w:r>
              <w:rPr>
                <w:sz w:val="21"/>
              </w:rPr>
              <w:t>（</w:t>
            </w:r>
            <w:r>
              <w:rPr>
                <w:rFonts w:ascii="Times New Roman" w:eastAsia="Times New Roman"/>
                <w:sz w:val="21"/>
              </w:rPr>
              <w:t>3</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2" w:line="250" w:lineRule="exact"/>
              <w:ind w:left="46" w:right="34"/>
              <w:rPr>
                <w:sz w:val="21"/>
              </w:rPr>
            </w:pPr>
            <w:r>
              <w:rPr>
                <w:sz w:val="21"/>
              </w:rPr>
              <w:t>建设项目总造价</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2" w:line="250" w:lineRule="exact"/>
              <w:ind w:right="223"/>
              <w:jc w:val="right"/>
              <w:rPr>
                <w:sz w:val="21"/>
              </w:rPr>
            </w:pPr>
            <w:r>
              <w:rPr>
                <w:w w:val="95"/>
                <w:sz w:val="21"/>
              </w:rPr>
              <w:t>万元</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6" w:line="236" w:lineRule="exact"/>
              <w:ind w:right="1421"/>
              <w:jc w:val="right"/>
              <w:rPr>
                <w:rFonts w:ascii="Times New Roman"/>
                <w:sz w:val="21"/>
              </w:rPr>
            </w:pPr>
            <w:r>
              <w:rPr>
                <w:rFonts w:ascii="Times New Roman"/>
                <w:w w:val="95"/>
                <w:sz w:val="21"/>
              </w:rPr>
              <w:t>6226.52</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004" w:type="dxa"/>
            <w:tcBorders>
              <w:top w:val="single" w:color="000000" w:sz="4" w:space="0"/>
              <w:bottom w:val="single" w:color="000000" w:sz="4" w:space="0"/>
              <w:right w:val="single" w:color="000000" w:sz="4" w:space="0"/>
            </w:tcBorders>
          </w:tcPr>
          <w:p>
            <w:pPr>
              <w:pStyle w:val="14"/>
              <w:spacing w:before="1" w:line="252" w:lineRule="exact"/>
              <w:ind w:right="227"/>
              <w:jc w:val="right"/>
              <w:rPr>
                <w:sz w:val="21"/>
              </w:rPr>
            </w:pPr>
            <w:r>
              <w:rPr>
                <w:sz w:val="21"/>
              </w:rPr>
              <w:t>（</w:t>
            </w:r>
            <w:r>
              <w:rPr>
                <w:rFonts w:ascii="Times New Roman" w:eastAsia="Times New Roman"/>
                <w:sz w:val="21"/>
              </w:rPr>
              <w:t>4</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43" w:right="34"/>
              <w:rPr>
                <w:sz w:val="21"/>
              </w:rPr>
            </w:pPr>
            <w:r>
              <w:rPr>
                <w:sz w:val="21"/>
              </w:rPr>
              <w:t>流动资金</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right="223"/>
              <w:jc w:val="right"/>
              <w:rPr>
                <w:sz w:val="21"/>
              </w:rPr>
            </w:pPr>
            <w:r>
              <w:rPr>
                <w:w w:val="95"/>
                <w:sz w:val="21"/>
              </w:rPr>
              <w:t>万元</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8" w:lineRule="exact"/>
              <w:ind w:left="11"/>
              <w:rPr>
                <w:rFonts w:ascii="Times New Roman"/>
                <w:sz w:val="21"/>
              </w:rPr>
            </w:pPr>
            <w:r>
              <w:rPr>
                <w:rFonts w:ascii="Times New Roman"/>
                <w:sz w:val="21"/>
              </w:rPr>
              <w:t>528.55</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04" w:type="dxa"/>
            <w:tcBorders>
              <w:top w:val="single" w:color="000000" w:sz="4" w:space="0"/>
              <w:bottom w:val="single" w:color="000000" w:sz="4" w:space="0"/>
              <w:right w:val="single" w:color="000000" w:sz="4" w:space="0"/>
            </w:tcBorders>
          </w:tcPr>
          <w:p>
            <w:pPr>
              <w:pStyle w:val="14"/>
              <w:spacing w:before="1" w:line="251" w:lineRule="exact"/>
              <w:ind w:right="227"/>
              <w:jc w:val="right"/>
              <w:rPr>
                <w:sz w:val="21"/>
              </w:rPr>
            </w:pPr>
            <w:r>
              <w:rPr>
                <w:sz w:val="21"/>
              </w:rPr>
              <w:t>（</w:t>
            </w:r>
            <w:r>
              <w:rPr>
                <w:rFonts w:ascii="Times New Roman" w:eastAsia="Times New Roman"/>
                <w:sz w:val="21"/>
              </w:rPr>
              <w:t>5</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8" w:right="34"/>
              <w:rPr>
                <w:sz w:val="21"/>
              </w:rPr>
            </w:pPr>
            <w:r>
              <w:rPr>
                <w:sz w:val="21"/>
              </w:rPr>
              <w:t>项目总投资</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223"/>
              <w:jc w:val="right"/>
              <w:rPr>
                <w:sz w:val="21"/>
              </w:rPr>
            </w:pPr>
            <w:r>
              <w:rPr>
                <w:w w:val="95"/>
                <w:sz w:val="21"/>
              </w:rPr>
              <w:t>万元</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5" w:line="237" w:lineRule="exact"/>
              <w:ind w:right="1421"/>
              <w:jc w:val="right"/>
              <w:rPr>
                <w:rFonts w:ascii="Times New Roman"/>
                <w:sz w:val="21"/>
              </w:rPr>
            </w:pPr>
            <w:r>
              <w:rPr>
                <w:rFonts w:ascii="Times New Roman"/>
                <w:w w:val="95"/>
                <w:sz w:val="21"/>
              </w:rPr>
              <w:t>6755.07</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2" w:line="250" w:lineRule="exact"/>
              <w:ind w:right="227"/>
              <w:jc w:val="right"/>
              <w:rPr>
                <w:sz w:val="21"/>
              </w:rPr>
            </w:pPr>
            <w:r>
              <w:rPr>
                <w:sz w:val="21"/>
              </w:rPr>
              <w:t>（</w:t>
            </w:r>
            <w:r>
              <w:rPr>
                <w:rFonts w:ascii="Times New Roman" w:eastAsia="Times New Roman"/>
                <w:sz w:val="21"/>
              </w:rPr>
              <w:t>6</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2" w:line="250" w:lineRule="exact"/>
              <w:ind w:left="48" w:right="34"/>
              <w:rPr>
                <w:sz w:val="21"/>
              </w:rPr>
            </w:pPr>
            <w:r>
              <w:rPr>
                <w:sz w:val="21"/>
              </w:rPr>
              <w:t>吨煤总投资</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2" w:line="250" w:lineRule="exact"/>
              <w:ind w:right="268"/>
              <w:jc w:val="right"/>
              <w:rPr>
                <w:rFonts w:ascii="Times New Roman" w:eastAsia="Times New Roman"/>
                <w:sz w:val="21"/>
              </w:rPr>
            </w:pPr>
            <w:r>
              <w:rPr>
                <w:w w:val="95"/>
                <w:sz w:val="21"/>
              </w:rPr>
              <w:t>元</w:t>
            </w:r>
            <w:r>
              <w:rPr>
                <w:rFonts w:ascii="Times New Roman" w:eastAsia="Times New Roman"/>
                <w:w w:val="95"/>
                <w:sz w:val="21"/>
              </w:rPr>
              <w:t>/t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6" w:line="236" w:lineRule="exact"/>
              <w:ind w:left="16"/>
              <w:rPr>
                <w:rFonts w:ascii="Times New Roman"/>
                <w:sz w:val="21"/>
              </w:rPr>
            </w:pPr>
            <w:r>
              <w:rPr>
                <w:rFonts w:ascii="Times New Roman"/>
                <w:sz w:val="21"/>
              </w:rPr>
              <w:t>259.8</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5" w:line="238" w:lineRule="exact"/>
              <w:ind w:left="357" w:right="347"/>
              <w:rPr>
                <w:rFonts w:ascii="Times New Roman"/>
                <w:sz w:val="21"/>
              </w:rPr>
            </w:pPr>
            <w:r>
              <w:rPr>
                <w:rFonts w:ascii="Times New Roman"/>
                <w:sz w:val="21"/>
              </w:rPr>
              <w:t>18</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46" w:right="34"/>
              <w:rPr>
                <w:sz w:val="21"/>
              </w:rPr>
            </w:pPr>
            <w:r>
              <w:rPr>
                <w:sz w:val="21"/>
              </w:rPr>
              <w:t>原煤成本与售价</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 w:line="251"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6" w:right="34"/>
              <w:rPr>
                <w:sz w:val="21"/>
              </w:rPr>
            </w:pPr>
            <w:r>
              <w:rPr>
                <w:sz w:val="21"/>
              </w:rPr>
              <w:t>原煤成本费用</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268"/>
              <w:jc w:val="right"/>
              <w:rPr>
                <w:rFonts w:ascii="Times New Roman" w:eastAsia="Times New Roman"/>
                <w:sz w:val="21"/>
              </w:rPr>
            </w:pPr>
            <w:r>
              <w:rPr>
                <w:w w:val="95"/>
                <w:sz w:val="21"/>
              </w:rPr>
              <w:t>元</w:t>
            </w:r>
            <w:r>
              <w:rPr>
                <w:rFonts w:ascii="Times New Roman" w:eastAsia="Times New Roman"/>
                <w:w w:val="95"/>
                <w:sz w:val="21"/>
              </w:rPr>
              <w:t>/t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5" w:line="237" w:lineRule="exact"/>
              <w:ind w:left="11"/>
              <w:rPr>
                <w:rFonts w:ascii="Times New Roman"/>
                <w:sz w:val="21"/>
              </w:rPr>
            </w:pPr>
            <w:r>
              <w:rPr>
                <w:rFonts w:ascii="Times New Roman"/>
                <w:sz w:val="21"/>
              </w:rPr>
              <w:t>314.59</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sz w:val="21"/>
              </w:rPr>
              <w:t>原煤平均售价</w:t>
            </w:r>
          </w:p>
        </w:tc>
        <w:tc>
          <w:tcPr>
            <w:tcW w:w="891" w:type="dxa"/>
            <w:tcBorders>
              <w:top w:val="single" w:color="000000" w:sz="4" w:space="0"/>
              <w:left w:val="single" w:color="000000" w:sz="4" w:space="0"/>
              <w:bottom w:val="single" w:color="000000" w:sz="4" w:space="0"/>
              <w:right w:val="single" w:color="000000" w:sz="4" w:space="0"/>
            </w:tcBorders>
          </w:tcPr>
          <w:p>
            <w:pPr>
              <w:pStyle w:val="14"/>
              <w:spacing w:line="252" w:lineRule="exact"/>
              <w:ind w:right="268"/>
              <w:jc w:val="right"/>
              <w:rPr>
                <w:rFonts w:ascii="Times New Roman" w:eastAsia="Times New Roman"/>
                <w:sz w:val="21"/>
              </w:rPr>
            </w:pPr>
            <w:r>
              <w:rPr>
                <w:w w:val="95"/>
                <w:sz w:val="21"/>
              </w:rPr>
              <w:t>元</w:t>
            </w:r>
            <w:r>
              <w:rPr>
                <w:rFonts w:ascii="Times New Roman" w:eastAsia="Times New Roman"/>
                <w:w w:val="95"/>
                <w:sz w:val="21"/>
              </w:rPr>
              <w:t>/t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8" w:lineRule="exact"/>
              <w:ind w:left="13"/>
              <w:rPr>
                <w:rFonts w:ascii="Times New Roman"/>
                <w:sz w:val="21"/>
              </w:rPr>
            </w:pPr>
            <w:r>
              <w:rPr>
                <w:rFonts w:ascii="Times New Roman"/>
                <w:sz w:val="21"/>
              </w:rPr>
              <w:t>580</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5" w:line="238" w:lineRule="exact"/>
              <w:ind w:left="357" w:right="347"/>
              <w:rPr>
                <w:rFonts w:ascii="Times New Roman"/>
                <w:sz w:val="21"/>
              </w:rPr>
            </w:pPr>
            <w:r>
              <w:rPr>
                <w:rFonts w:ascii="Times New Roman"/>
                <w:sz w:val="21"/>
              </w:rPr>
              <w:t>19</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48" w:right="34"/>
              <w:rPr>
                <w:sz w:val="21"/>
              </w:rPr>
            </w:pPr>
            <w:r>
              <w:rPr>
                <w:sz w:val="21"/>
              </w:rPr>
              <w:t>项目建设期</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3" w:right="34"/>
              <w:rPr>
                <w:sz w:val="21"/>
              </w:rPr>
            </w:pPr>
            <w:r>
              <w:rPr>
                <w:sz w:val="21"/>
              </w:rPr>
              <w:t>建设工期</w:t>
            </w:r>
          </w:p>
        </w:tc>
        <w:tc>
          <w:tcPr>
            <w:tcW w:w="891" w:type="dxa"/>
            <w:tcBorders>
              <w:top w:val="single" w:color="000000" w:sz="4" w:space="0"/>
              <w:left w:val="single" w:color="000000" w:sz="4" w:space="0"/>
              <w:bottom w:val="single" w:color="000000" w:sz="4" w:space="0"/>
              <w:right w:val="single" w:color="000000" w:sz="4" w:space="0"/>
            </w:tcBorders>
          </w:tcPr>
          <w:p>
            <w:pPr>
              <w:pStyle w:val="14"/>
              <w:spacing w:line="252" w:lineRule="exact"/>
              <w:ind w:left="10"/>
              <w:rPr>
                <w:sz w:val="21"/>
              </w:rPr>
            </w:pPr>
            <w:r>
              <w:rPr>
                <w:w w:val="99"/>
                <w:sz w:val="21"/>
              </w:rPr>
              <w:t>月</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3" w:line="239" w:lineRule="exact"/>
              <w:ind w:left="13"/>
              <w:rPr>
                <w:rFonts w:ascii="Times New Roman"/>
                <w:sz w:val="21"/>
              </w:rPr>
            </w:pPr>
            <w:r>
              <w:rPr>
                <w:rFonts w:ascii="Times New Roman"/>
                <w:sz w:val="21"/>
              </w:rPr>
              <w:t>30</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8" w:right="34"/>
              <w:rPr>
                <w:sz w:val="21"/>
              </w:rPr>
            </w:pPr>
            <w:r>
              <w:rPr>
                <w:sz w:val="21"/>
              </w:rPr>
              <w:t>项目投产至达产时间</w:t>
            </w:r>
          </w:p>
        </w:tc>
        <w:tc>
          <w:tcPr>
            <w:tcW w:w="891" w:type="dxa"/>
            <w:tcBorders>
              <w:top w:val="single" w:color="000000" w:sz="4" w:space="0"/>
              <w:left w:val="single" w:color="000000" w:sz="4" w:space="0"/>
              <w:bottom w:val="single" w:color="000000" w:sz="4" w:space="0"/>
              <w:right w:val="single" w:color="000000" w:sz="4" w:space="0"/>
            </w:tcBorders>
          </w:tcPr>
          <w:p>
            <w:pPr>
              <w:pStyle w:val="14"/>
              <w:spacing w:line="252" w:lineRule="exact"/>
              <w:ind w:left="10"/>
              <w:rPr>
                <w:sz w:val="21"/>
              </w:rPr>
            </w:pPr>
            <w:r>
              <w:rPr>
                <w:w w:val="99"/>
                <w:sz w:val="21"/>
              </w:rPr>
              <w:t>月</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8" w:lineRule="exact"/>
              <w:ind w:left="13"/>
              <w:rPr>
                <w:rFonts w:ascii="Times New Roman"/>
                <w:sz w:val="21"/>
              </w:rPr>
            </w:pPr>
            <w:r>
              <w:rPr>
                <w:rFonts w:ascii="Times New Roman"/>
                <w:sz w:val="21"/>
              </w:rPr>
              <w:t>30</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before="15" w:line="238" w:lineRule="exact"/>
              <w:ind w:left="357" w:right="347"/>
              <w:rPr>
                <w:rFonts w:ascii="Times New Roman"/>
                <w:sz w:val="21"/>
              </w:rPr>
            </w:pPr>
            <w:r>
              <w:rPr>
                <w:rFonts w:ascii="Times New Roman"/>
                <w:sz w:val="21"/>
              </w:rPr>
              <w:t>20</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2" w:lineRule="exact"/>
              <w:ind w:left="46" w:right="34"/>
              <w:rPr>
                <w:sz w:val="21"/>
              </w:rPr>
            </w:pPr>
            <w:r>
              <w:rPr>
                <w:sz w:val="21"/>
              </w:rPr>
              <w:t>财务评价指标</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trPr>
        <w:tc>
          <w:tcPr>
            <w:tcW w:w="1004" w:type="dxa"/>
            <w:tcBorders>
              <w:top w:val="single" w:color="000000" w:sz="4" w:space="0"/>
              <w:bottom w:val="single" w:color="000000" w:sz="4" w:space="0"/>
              <w:right w:val="single" w:color="000000" w:sz="4" w:space="0"/>
            </w:tcBorders>
          </w:tcPr>
          <w:p>
            <w:pPr>
              <w:pStyle w:val="14"/>
              <w:spacing w:before="136"/>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68" w:lineRule="exact"/>
              <w:ind w:left="46" w:right="34"/>
              <w:rPr>
                <w:sz w:val="21"/>
              </w:rPr>
            </w:pPr>
            <w:r>
              <w:rPr>
                <w:sz w:val="21"/>
              </w:rPr>
              <w:t>项目投资财务内部收益率</w:t>
            </w:r>
          </w:p>
          <w:p>
            <w:pPr>
              <w:pStyle w:val="14"/>
              <w:spacing w:before="4" w:line="252" w:lineRule="exact"/>
              <w:ind w:left="46" w:right="34"/>
              <w:rPr>
                <w:sz w:val="21"/>
              </w:rPr>
            </w:pPr>
            <w:r>
              <w:rPr>
                <w:sz w:val="21"/>
              </w:rPr>
              <w:t>（所得税前）</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50"/>
              <w:ind w:left="13"/>
              <w:rPr>
                <w:rFonts w:ascii="Times New Roman"/>
                <w:sz w:val="21"/>
              </w:rPr>
            </w:pPr>
            <w:r>
              <w:rPr>
                <w:rFonts w:ascii="Times New Roman"/>
                <w:w w:val="99"/>
                <w:sz w:val="21"/>
              </w:rPr>
              <w: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50"/>
              <w:ind w:left="16"/>
              <w:rPr>
                <w:rFonts w:ascii="Times New Roman"/>
                <w:sz w:val="21"/>
              </w:rPr>
            </w:pPr>
            <w:r>
              <w:rPr>
                <w:rFonts w:ascii="Times New Roman"/>
                <w:sz w:val="21"/>
              </w:rPr>
              <w:t>60.81</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4" w:hRule="atLeast"/>
        </w:trPr>
        <w:tc>
          <w:tcPr>
            <w:tcW w:w="1004" w:type="dxa"/>
            <w:tcBorders>
              <w:top w:val="single" w:color="000000" w:sz="4" w:space="0"/>
              <w:bottom w:val="single" w:color="000000" w:sz="4" w:space="0"/>
              <w:right w:val="single" w:color="000000" w:sz="4" w:space="0"/>
            </w:tcBorders>
          </w:tcPr>
          <w:p>
            <w:pPr>
              <w:pStyle w:val="14"/>
              <w:spacing w:before="135"/>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ind w:left="46" w:right="34"/>
              <w:rPr>
                <w:sz w:val="21"/>
              </w:rPr>
            </w:pPr>
            <w:r>
              <w:rPr>
                <w:sz w:val="21"/>
              </w:rPr>
              <w:t>项目投资财务内部收益率</w:t>
            </w:r>
          </w:p>
          <w:p>
            <w:pPr>
              <w:pStyle w:val="14"/>
              <w:spacing w:before="2" w:line="252" w:lineRule="exact"/>
              <w:ind w:left="46" w:right="34"/>
              <w:rPr>
                <w:sz w:val="21"/>
              </w:rPr>
            </w:pPr>
            <w:r>
              <w:rPr>
                <w:sz w:val="21"/>
              </w:rPr>
              <w:t>（所得税后）</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49"/>
              <w:ind w:left="13"/>
              <w:rPr>
                <w:rFonts w:ascii="Times New Roman"/>
                <w:sz w:val="21"/>
              </w:rPr>
            </w:pPr>
            <w:r>
              <w:rPr>
                <w:rFonts w:ascii="Times New Roman"/>
                <w:w w:val="99"/>
                <w:sz w:val="21"/>
              </w:rPr>
              <w: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9"/>
              <w:ind w:left="16"/>
              <w:rPr>
                <w:rFonts w:ascii="Times New Roman"/>
                <w:sz w:val="21"/>
              </w:rPr>
            </w:pPr>
            <w:r>
              <w:rPr>
                <w:rFonts w:ascii="Times New Roman"/>
                <w:sz w:val="21"/>
              </w:rPr>
              <w:t>48.13</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4" w:hRule="atLeast"/>
        </w:trPr>
        <w:tc>
          <w:tcPr>
            <w:tcW w:w="1004" w:type="dxa"/>
            <w:tcBorders>
              <w:top w:val="single" w:color="000000" w:sz="4" w:space="0"/>
              <w:bottom w:val="single" w:color="000000" w:sz="4" w:space="0"/>
              <w:right w:val="single" w:color="000000" w:sz="4" w:space="0"/>
            </w:tcBorders>
          </w:tcPr>
          <w:p>
            <w:pPr>
              <w:pStyle w:val="14"/>
              <w:spacing w:before="136"/>
              <w:ind w:right="227"/>
              <w:jc w:val="right"/>
              <w:rPr>
                <w:sz w:val="21"/>
              </w:rPr>
            </w:pPr>
            <w:r>
              <w:rPr>
                <w:sz w:val="21"/>
              </w:rPr>
              <w:t>（</w:t>
            </w:r>
            <w:r>
              <w:rPr>
                <w:rFonts w:ascii="Times New Roman" w:eastAsia="Times New Roman"/>
                <w:sz w:val="21"/>
              </w:rPr>
              <w:t>3</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ind w:left="46" w:right="34"/>
              <w:rPr>
                <w:sz w:val="21"/>
              </w:rPr>
            </w:pPr>
            <w:r>
              <w:rPr>
                <w:sz w:val="21"/>
              </w:rPr>
              <w:t>项目投资财务净现值（所</w:t>
            </w:r>
          </w:p>
          <w:p>
            <w:pPr>
              <w:pStyle w:val="14"/>
              <w:spacing w:before="2" w:line="252" w:lineRule="exact"/>
              <w:ind w:left="43" w:right="34"/>
              <w:rPr>
                <w:sz w:val="21"/>
              </w:rPr>
            </w:pPr>
            <w:r>
              <w:rPr>
                <w:sz w:val="21"/>
              </w:rPr>
              <w:t>得税前）</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36"/>
              <w:ind w:right="223"/>
              <w:jc w:val="right"/>
              <w:rPr>
                <w:sz w:val="21"/>
              </w:rPr>
            </w:pPr>
            <w:r>
              <w:rPr>
                <w:w w:val="95"/>
                <w:sz w:val="21"/>
              </w:rPr>
              <w:t>万元</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52"/>
              <w:ind w:right="1421"/>
              <w:jc w:val="right"/>
              <w:rPr>
                <w:rFonts w:ascii="Times New Roman"/>
                <w:sz w:val="21"/>
              </w:rPr>
            </w:pPr>
            <w:r>
              <w:rPr>
                <w:rFonts w:ascii="Times New Roman"/>
                <w:w w:val="95"/>
                <w:sz w:val="21"/>
              </w:rPr>
              <w:t>26277.1</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trPr>
        <w:tc>
          <w:tcPr>
            <w:tcW w:w="1004" w:type="dxa"/>
            <w:tcBorders>
              <w:top w:val="single" w:color="000000" w:sz="4" w:space="0"/>
              <w:bottom w:val="single" w:color="000000" w:sz="4" w:space="0"/>
              <w:right w:val="single" w:color="000000" w:sz="4" w:space="0"/>
            </w:tcBorders>
          </w:tcPr>
          <w:p>
            <w:pPr>
              <w:pStyle w:val="14"/>
              <w:spacing w:before="135"/>
              <w:ind w:right="227"/>
              <w:jc w:val="right"/>
              <w:rPr>
                <w:sz w:val="21"/>
              </w:rPr>
            </w:pPr>
            <w:r>
              <w:rPr>
                <w:sz w:val="21"/>
              </w:rPr>
              <w:t>（</w:t>
            </w:r>
            <w:r>
              <w:rPr>
                <w:rFonts w:ascii="Times New Roman" w:eastAsia="Times New Roman"/>
                <w:sz w:val="21"/>
              </w:rPr>
              <w:t>4</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ind w:left="46" w:right="34"/>
              <w:rPr>
                <w:sz w:val="21"/>
              </w:rPr>
            </w:pPr>
            <w:r>
              <w:rPr>
                <w:sz w:val="21"/>
              </w:rPr>
              <w:t>项目投资财务净现值（所</w:t>
            </w:r>
          </w:p>
          <w:p>
            <w:pPr>
              <w:pStyle w:val="14"/>
              <w:spacing w:before="2" w:line="253" w:lineRule="exact"/>
              <w:ind w:left="43" w:right="34"/>
              <w:rPr>
                <w:sz w:val="21"/>
              </w:rPr>
            </w:pPr>
            <w:r>
              <w:rPr>
                <w:sz w:val="21"/>
              </w:rPr>
              <w:t>得税后）</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35"/>
              <w:ind w:right="223"/>
              <w:jc w:val="right"/>
              <w:rPr>
                <w:sz w:val="21"/>
              </w:rPr>
            </w:pPr>
            <w:r>
              <w:rPr>
                <w:w w:val="95"/>
                <w:sz w:val="21"/>
              </w:rPr>
              <w:t>万元</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9"/>
              <w:ind w:right="1368"/>
              <w:jc w:val="right"/>
              <w:rPr>
                <w:rFonts w:ascii="Times New Roman"/>
                <w:sz w:val="21"/>
              </w:rPr>
            </w:pPr>
            <w:r>
              <w:rPr>
                <w:rFonts w:ascii="Times New Roman"/>
                <w:w w:val="95"/>
                <w:sz w:val="21"/>
              </w:rPr>
              <w:t>18652.48</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5</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sz w:val="21"/>
              </w:rPr>
              <w:t>项目投资回收期</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4" w:line="238" w:lineRule="exact"/>
              <w:ind w:left="13"/>
              <w:rPr>
                <w:rFonts w:ascii="Times New Roman"/>
                <w:sz w:val="21"/>
              </w:rPr>
            </w:pPr>
            <w:r>
              <w:rPr>
                <w:rFonts w:ascii="Times New Roman"/>
                <w:w w:val="99"/>
                <w:sz w:val="21"/>
              </w:rPr>
              <w:t>a</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8" w:lineRule="exact"/>
              <w:ind w:left="13"/>
              <w:rPr>
                <w:rFonts w:ascii="Times New Roman"/>
                <w:sz w:val="21"/>
              </w:rPr>
            </w:pPr>
            <w:r>
              <w:rPr>
                <w:rFonts w:ascii="Times New Roman"/>
                <w:sz w:val="21"/>
              </w:rPr>
              <w:t>4.15</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trPr>
        <w:tc>
          <w:tcPr>
            <w:tcW w:w="1004" w:type="dxa"/>
            <w:tcBorders>
              <w:top w:val="single" w:color="000000" w:sz="4" w:space="0"/>
              <w:bottom w:val="single" w:color="000000" w:sz="4" w:space="0"/>
              <w:right w:val="single" w:color="000000" w:sz="4" w:space="0"/>
            </w:tcBorders>
          </w:tcPr>
          <w:p>
            <w:pPr>
              <w:pStyle w:val="14"/>
              <w:spacing w:before="135"/>
              <w:ind w:right="227"/>
              <w:jc w:val="right"/>
              <w:rPr>
                <w:sz w:val="21"/>
              </w:rPr>
            </w:pPr>
            <w:r>
              <w:rPr>
                <w:sz w:val="21"/>
              </w:rPr>
              <w:t>（</w:t>
            </w:r>
            <w:r>
              <w:rPr>
                <w:rFonts w:ascii="Times New Roman" w:eastAsia="Times New Roman"/>
                <w:sz w:val="21"/>
              </w:rPr>
              <w:t>6</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68" w:lineRule="exact"/>
              <w:ind w:left="46" w:right="34"/>
              <w:rPr>
                <w:sz w:val="21"/>
              </w:rPr>
            </w:pPr>
            <w:r>
              <w:rPr>
                <w:sz w:val="21"/>
              </w:rPr>
              <w:t>项目资本金财务内部收益</w:t>
            </w:r>
          </w:p>
          <w:p>
            <w:pPr>
              <w:pStyle w:val="14"/>
              <w:spacing w:before="4" w:line="252" w:lineRule="exact"/>
              <w:ind w:left="14"/>
              <w:rPr>
                <w:sz w:val="21"/>
              </w:rPr>
            </w:pPr>
            <w:r>
              <w:rPr>
                <w:w w:val="99"/>
                <w:sz w:val="21"/>
              </w:rPr>
              <w:t>率</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49"/>
              <w:ind w:left="13"/>
              <w:rPr>
                <w:rFonts w:ascii="Times New Roman"/>
                <w:sz w:val="21"/>
              </w:rPr>
            </w:pPr>
            <w:r>
              <w:rPr>
                <w:rFonts w:ascii="Times New Roman"/>
                <w:w w:val="99"/>
                <w:sz w:val="21"/>
              </w:rPr>
              <w: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9"/>
              <w:ind w:left="16"/>
              <w:rPr>
                <w:rFonts w:ascii="Times New Roman"/>
                <w:sz w:val="21"/>
              </w:rPr>
            </w:pPr>
            <w:r>
              <w:rPr>
                <w:rFonts w:ascii="Times New Roman"/>
                <w:sz w:val="21"/>
              </w:rPr>
              <w:t>65.08</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1" w:lineRule="exact"/>
              <w:ind w:right="227"/>
              <w:jc w:val="right"/>
              <w:rPr>
                <w:sz w:val="21"/>
              </w:rPr>
            </w:pPr>
            <w:r>
              <w:rPr>
                <w:sz w:val="21"/>
              </w:rPr>
              <w:t>（</w:t>
            </w:r>
            <w:r>
              <w:rPr>
                <w:rFonts w:ascii="Times New Roman" w:eastAsia="Times New Roman"/>
                <w:sz w:val="21"/>
              </w:rPr>
              <w:t>7</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1" w:lineRule="exact"/>
              <w:ind w:left="46" w:right="34"/>
              <w:rPr>
                <w:sz w:val="21"/>
              </w:rPr>
            </w:pPr>
            <w:r>
              <w:rPr>
                <w:sz w:val="21"/>
              </w:rPr>
              <w:t>总投资收益率</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4" w:line="237" w:lineRule="exact"/>
              <w:ind w:left="13"/>
              <w:rPr>
                <w:rFonts w:ascii="Times New Roman"/>
                <w:sz w:val="21"/>
              </w:rPr>
            </w:pPr>
            <w:r>
              <w:rPr>
                <w:rFonts w:ascii="Times New Roman"/>
                <w:w w:val="99"/>
                <w:sz w:val="21"/>
              </w:rPr>
              <w: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4" w:line="237" w:lineRule="exact"/>
              <w:ind w:left="16"/>
              <w:rPr>
                <w:rFonts w:ascii="Times New Roman"/>
                <w:sz w:val="21"/>
              </w:rPr>
            </w:pPr>
            <w:r>
              <w:rPr>
                <w:rFonts w:ascii="Times New Roman"/>
                <w:sz w:val="21"/>
              </w:rPr>
              <w:t>74.02</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8</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8" w:right="34"/>
              <w:rPr>
                <w:sz w:val="21"/>
              </w:rPr>
            </w:pPr>
            <w:r>
              <w:rPr>
                <w:sz w:val="21"/>
              </w:rPr>
              <w:t>项目资本金净利润率</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3" w:line="238" w:lineRule="exact"/>
              <w:ind w:left="13"/>
              <w:rPr>
                <w:rFonts w:ascii="Times New Roman"/>
                <w:sz w:val="21"/>
              </w:rPr>
            </w:pPr>
            <w:r>
              <w:rPr>
                <w:rFonts w:ascii="Times New Roman"/>
                <w:w w:val="99"/>
                <w:sz w:val="21"/>
              </w:rPr>
              <w:t>%</w:t>
            </w:r>
          </w:p>
        </w:tc>
        <w:tc>
          <w:tcPr>
            <w:tcW w:w="3556" w:type="dxa"/>
            <w:tcBorders>
              <w:top w:val="single" w:color="000000" w:sz="4" w:space="0"/>
              <w:left w:val="single" w:color="000000" w:sz="4" w:space="0"/>
              <w:bottom w:val="single" w:color="000000" w:sz="4" w:space="0"/>
              <w:right w:val="single" w:color="000000" w:sz="4" w:space="0"/>
            </w:tcBorders>
          </w:tcPr>
          <w:p>
            <w:pPr>
              <w:pStyle w:val="14"/>
              <w:spacing w:before="13" w:line="238" w:lineRule="exact"/>
              <w:ind w:left="16"/>
              <w:rPr>
                <w:rFonts w:ascii="Times New Roman"/>
                <w:sz w:val="21"/>
              </w:rPr>
            </w:pPr>
            <w:r>
              <w:rPr>
                <w:rFonts w:ascii="Times New Roman"/>
                <w:sz w:val="21"/>
              </w:rPr>
              <w:t>57.72</w:t>
            </w: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004" w:type="dxa"/>
            <w:tcBorders>
              <w:top w:val="single" w:color="000000" w:sz="4" w:space="0"/>
              <w:bottom w:val="single" w:color="000000" w:sz="4" w:space="0"/>
              <w:right w:val="single" w:color="000000" w:sz="4" w:space="0"/>
            </w:tcBorders>
          </w:tcPr>
          <w:p>
            <w:pPr>
              <w:pStyle w:val="14"/>
              <w:spacing w:before="14" w:line="238" w:lineRule="exact"/>
              <w:ind w:left="357" w:right="347"/>
              <w:rPr>
                <w:rFonts w:ascii="Times New Roman"/>
                <w:sz w:val="21"/>
              </w:rPr>
            </w:pPr>
            <w:r>
              <w:rPr>
                <w:rFonts w:ascii="Times New Roman"/>
                <w:sz w:val="21"/>
              </w:rPr>
              <w:t>21</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6" w:right="34"/>
              <w:rPr>
                <w:sz w:val="21"/>
              </w:rPr>
            </w:pPr>
            <w:r>
              <w:rPr>
                <w:sz w:val="21"/>
              </w:rPr>
              <w:t>经济费用效益分析指标</w:t>
            </w:r>
          </w:p>
        </w:tc>
        <w:tc>
          <w:tcPr>
            <w:tcW w:w="89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04" w:type="dxa"/>
            <w:tcBorders>
              <w:top w:val="single" w:color="000000" w:sz="4" w:space="0"/>
              <w:bottom w:val="single" w:color="000000" w:sz="4" w:space="0"/>
              <w:right w:val="single" w:color="000000" w:sz="4" w:space="0"/>
            </w:tcBorders>
          </w:tcPr>
          <w:p>
            <w:pPr>
              <w:pStyle w:val="14"/>
              <w:spacing w:before="1" w:line="251" w:lineRule="exact"/>
              <w:ind w:right="227"/>
              <w:jc w:val="right"/>
              <w:rPr>
                <w:sz w:val="21"/>
              </w:rPr>
            </w:pPr>
            <w:r>
              <w:rPr>
                <w:sz w:val="21"/>
              </w:rPr>
              <w:t>（</w:t>
            </w:r>
            <w:r>
              <w:rPr>
                <w:rFonts w:ascii="Times New Roman" w:eastAsia="Times New Roman"/>
                <w:sz w:val="21"/>
              </w:rPr>
              <w:t>1</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6" w:right="34"/>
              <w:rPr>
                <w:sz w:val="21"/>
              </w:rPr>
            </w:pPr>
            <w:r>
              <w:rPr>
                <w:sz w:val="21"/>
              </w:rPr>
              <w:t>经济内部收益率</w:t>
            </w:r>
          </w:p>
        </w:tc>
        <w:tc>
          <w:tcPr>
            <w:tcW w:w="891" w:type="dxa"/>
            <w:tcBorders>
              <w:top w:val="single" w:color="000000" w:sz="4" w:space="0"/>
              <w:left w:val="single" w:color="000000" w:sz="4" w:space="0"/>
              <w:bottom w:val="single" w:color="000000" w:sz="4" w:space="0"/>
              <w:right w:val="single" w:color="000000" w:sz="4" w:space="0"/>
            </w:tcBorders>
          </w:tcPr>
          <w:p>
            <w:pPr>
              <w:pStyle w:val="14"/>
              <w:spacing w:before="15" w:line="237" w:lineRule="exact"/>
              <w:ind w:left="13"/>
              <w:rPr>
                <w:rFonts w:ascii="Times New Roman"/>
                <w:sz w:val="21"/>
              </w:rPr>
            </w:pPr>
            <w:r>
              <w:rPr>
                <w:rFonts w:ascii="Times New Roman"/>
                <w:w w:val="99"/>
                <w:sz w:val="21"/>
              </w:rPr>
              <w:t>%</w:t>
            </w: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bottom w:val="single" w:color="000000" w:sz="4" w:space="0"/>
              <w:right w:val="single" w:color="000000" w:sz="4" w:space="0"/>
            </w:tcBorders>
          </w:tcPr>
          <w:p>
            <w:pPr>
              <w:pStyle w:val="14"/>
              <w:spacing w:line="252" w:lineRule="exact"/>
              <w:ind w:right="227"/>
              <w:jc w:val="right"/>
              <w:rPr>
                <w:sz w:val="21"/>
              </w:rPr>
            </w:pPr>
            <w:r>
              <w:rPr>
                <w:sz w:val="21"/>
              </w:rPr>
              <w:t>（</w:t>
            </w:r>
            <w:r>
              <w:rPr>
                <w:rFonts w:ascii="Times New Roman" w:eastAsia="Times New Roman"/>
                <w:sz w:val="21"/>
              </w:rPr>
              <w:t>2</w:t>
            </w:r>
            <w:r>
              <w:rPr>
                <w:sz w:val="21"/>
              </w:rPr>
              <w:t>）</w:t>
            </w:r>
          </w:p>
        </w:tc>
        <w:tc>
          <w:tcPr>
            <w:tcW w:w="2608" w:type="dxa"/>
            <w:tcBorders>
              <w:top w:val="single" w:color="000000" w:sz="4" w:space="0"/>
              <w:left w:val="single" w:color="000000" w:sz="4" w:space="0"/>
              <w:bottom w:val="single" w:color="000000" w:sz="4" w:space="0"/>
              <w:right w:val="single" w:color="000000" w:sz="4" w:space="0"/>
            </w:tcBorders>
          </w:tcPr>
          <w:p>
            <w:pPr>
              <w:pStyle w:val="14"/>
              <w:spacing w:line="252" w:lineRule="exact"/>
              <w:ind w:left="48" w:right="34"/>
              <w:rPr>
                <w:sz w:val="21"/>
              </w:rPr>
            </w:pPr>
            <w:r>
              <w:rPr>
                <w:sz w:val="21"/>
              </w:rPr>
              <w:t>经济净现值</w:t>
            </w:r>
          </w:p>
        </w:tc>
        <w:tc>
          <w:tcPr>
            <w:tcW w:w="891" w:type="dxa"/>
            <w:tcBorders>
              <w:top w:val="single" w:color="000000" w:sz="4" w:space="0"/>
              <w:left w:val="single" w:color="000000" w:sz="4" w:space="0"/>
              <w:bottom w:val="single" w:color="000000" w:sz="4" w:space="0"/>
              <w:right w:val="single" w:color="000000" w:sz="4" w:space="0"/>
            </w:tcBorders>
          </w:tcPr>
          <w:p>
            <w:pPr>
              <w:pStyle w:val="14"/>
              <w:spacing w:line="252" w:lineRule="exact"/>
              <w:ind w:right="223"/>
              <w:jc w:val="right"/>
              <w:rPr>
                <w:sz w:val="21"/>
              </w:rPr>
            </w:pPr>
            <w:r>
              <w:rPr>
                <w:w w:val="95"/>
                <w:sz w:val="21"/>
              </w:rPr>
              <w:t>万元</w:t>
            </w:r>
          </w:p>
        </w:tc>
        <w:tc>
          <w:tcPr>
            <w:tcW w:w="3556"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04" w:type="dxa"/>
            <w:tcBorders>
              <w:top w:val="single" w:color="000000" w:sz="4" w:space="0"/>
              <w:right w:val="single" w:color="000000" w:sz="4" w:space="0"/>
            </w:tcBorders>
          </w:tcPr>
          <w:p>
            <w:pPr>
              <w:pStyle w:val="14"/>
              <w:spacing w:before="1" w:line="252" w:lineRule="exact"/>
              <w:ind w:right="227"/>
              <w:jc w:val="right"/>
              <w:rPr>
                <w:sz w:val="21"/>
              </w:rPr>
            </w:pPr>
            <w:r>
              <w:rPr>
                <w:sz w:val="21"/>
              </w:rPr>
              <w:t>（</w:t>
            </w:r>
            <w:r>
              <w:rPr>
                <w:rFonts w:ascii="Times New Roman" w:eastAsia="Times New Roman"/>
                <w:sz w:val="21"/>
              </w:rPr>
              <w:t>3</w:t>
            </w:r>
            <w:r>
              <w:rPr>
                <w:sz w:val="21"/>
              </w:rPr>
              <w:t>）</w:t>
            </w:r>
          </w:p>
        </w:tc>
        <w:tc>
          <w:tcPr>
            <w:tcW w:w="2608" w:type="dxa"/>
            <w:tcBorders>
              <w:top w:val="single" w:color="000000" w:sz="4" w:space="0"/>
              <w:left w:val="single" w:color="000000" w:sz="4" w:space="0"/>
              <w:right w:val="single" w:color="000000" w:sz="4" w:space="0"/>
            </w:tcBorders>
          </w:tcPr>
          <w:p>
            <w:pPr>
              <w:pStyle w:val="14"/>
              <w:spacing w:before="1" w:line="252" w:lineRule="exact"/>
              <w:ind w:left="46" w:right="34"/>
              <w:rPr>
                <w:sz w:val="21"/>
              </w:rPr>
            </w:pPr>
            <w:r>
              <w:rPr>
                <w:sz w:val="21"/>
              </w:rPr>
              <w:t>经济效益费用比</w:t>
            </w:r>
          </w:p>
        </w:tc>
        <w:tc>
          <w:tcPr>
            <w:tcW w:w="891" w:type="dxa"/>
            <w:tcBorders>
              <w:top w:val="single" w:color="000000" w:sz="4" w:space="0"/>
              <w:left w:val="single" w:color="000000" w:sz="4" w:space="0"/>
              <w:right w:val="single" w:color="000000" w:sz="4" w:space="0"/>
            </w:tcBorders>
          </w:tcPr>
          <w:p>
            <w:pPr>
              <w:pStyle w:val="14"/>
              <w:jc w:val="left"/>
              <w:rPr>
                <w:rFonts w:ascii="Times New Roman"/>
                <w:sz w:val="20"/>
              </w:rPr>
            </w:pPr>
          </w:p>
        </w:tc>
        <w:tc>
          <w:tcPr>
            <w:tcW w:w="3556" w:type="dxa"/>
            <w:tcBorders>
              <w:top w:val="single" w:color="000000" w:sz="4" w:space="0"/>
              <w:left w:val="single" w:color="000000" w:sz="4" w:space="0"/>
              <w:right w:val="single" w:color="000000" w:sz="4" w:space="0"/>
            </w:tcBorders>
          </w:tcPr>
          <w:p>
            <w:pPr>
              <w:pStyle w:val="14"/>
              <w:jc w:val="left"/>
              <w:rPr>
                <w:rFonts w:ascii="Times New Roman"/>
                <w:sz w:val="20"/>
              </w:rPr>
            </w:pPr>
          </w:p>
        </w:tc>
        <w:tc>
          <w:tcPr>
            <w:tcW w:w="1227" w:type="dxa"/>
            <w:tcBorders>
              <w:top w:val="single" w:color="000000" w:sz="4" w:space="0"/>
              <w:left w:val="single" w:color="000000" w:sz="4" w:space="0"/>
            </w:tcBorders>
          </w:tcPr>
          <w:p>
            <w:pPr>
              <w:pStyle w:val="14"/>
              <w:jc w:val="left"/>
              <w:rPr>
                <w:rFonts w:ascii="Times New Roman"/>
                <w:sz w:val="20"/>
              </w:rPr>
            </w:pPr>
          </w:p>
        </w:tc>
      </w:tr>
    </w:tbl>
    <w:p>
      <w:pPr>
        <w:pStyle w:val="3"/>
        <w:numPr>
          <w:ilvl w:val="1"/>
          <w:numId w:val="16"/>
        </w:numPr>
        <w:tabs>
          <w:tab w:val="left" w:pos="1566"/>
        </w:tabs>
        <w:spacing w:before="120" w:after="0" w:line="240" w:lineRule="auto"/>
        <w:ind w:left="1565" w:right="0" w:hanging="526"/>
        <w:jc w:val="left"/>
      </w:pPr>
      <w:bookmarkStart w:id="93" w:name="_bookmark17"/>
      <w:bookmarkEnd w:id="93"/>
      <w:bookmarkStart w:id="94" w:name="_bookmark17"/>
      <w:bookmarkEnd w:id="94"/>
      <w:bookmarkStart w:id="95" w:name="3.3 工程分析"/>
      <w:bookmarkEnd w:id="95"/>
      <w:r>
        <w:t>工程分析</w:t>
      </w:r>
    </w:p>
    <w:p>
      <w:pPr>
        <w:pStyle w:val="4"/>
        <w:numPr>
          <w:ilvl w:val="2"/>
          <w:numId w:val="16"/>
        </w:numPr>
        <w:tabs>
          <w:tab w:val="left" w:pos="1669"/>
        </w:tabs>
        <w:spacing w:before="123" w:after="0" w:line="240" w:lineRule="auto"/>
        <w:ind w:left="1668" w:right="0" w:hanging="629"/>
        <w:jc w:val="left"/>
      </w:pPr>
      <w:bookmarkStart w:id="96" w:name="3.3.1原有工程污染情况"/>
      <w:bookmarkEnd w:id="96"/>
      <w:bookmarkStart w:id="97" w:name="3.3.1原有工程污染情况"/>
      <w:bookmarkEnd w:id="97"/>
      <w:r>
        <w:t>原有工程污染情况</w:t>
      </w:r>
    </w:p>
    <w:p>
      <w:pPr>
        <w:pStyle w:val="5"/>
        <w:numPr>
          <w:ilvl w:val="0"/>
          <w:numId w:val="18"/>
        </w:numPr>
        <w:tabs>
          <w:tab w:val="left" w:pos="1701"/>
        </w:tabs>
        <w:spacing w:before="185" w:after="0" w:line="240" w:lineRule="auto"/>
        <w:ind w:left="1701" w:right="0" w:hanging="181"/>
        <w:jc w:val="left"/>
      </w:pPr>
      <w:r>
        <w:t>环境空气污染分析及源强</w:t>
      </w:r>
    </w:p>
    <w:p>
      <w:pPr>
        <w:pStyle w:val="13"/>
        <w:numPr>
          <w:ilvl w:val="0"/>
          <w:numId w:val="19"/>
        </w:numPr>
        <w:tabs>
          <w:tab w:val="left" w:pos="2121"/>
        </w:tabs>
        <w:spacing w:before="155" w:after="0" w:line="240" w:lineRule="auto"/>
        <w:ind w:left="2121" w:right="0" w:hanging="601"/>
        <w:jc w:val="left"/>
        <w:rPr>
          <w:rFonts w:ascii="Times New Roman" w:eastAsia="Times New Roman"/>
          <w:sz w:val="24"/>
        </w:rPr>
      </w:pPr>
      <w:r>
        <w:rPr>
          <w:spacing w:val="-10"/>
          <w:position w:val="2"/>
          <w:sz w:val="24"/>
        </w:rPr>
        <w:t xml:space="preserve">锅炉烟尘与 </w:t>
      </w:r>
      <w:r>
        <w:rPr>
          <w:rFonts w:ascii="Times New Roman" w:eastAsia="Times New Roman"/>
          <w:position w:val="2"/>
          <w:sz w:val="24"/>
        </w:rPr>
        <w:t>SO</w:t>
      </w:r>
      <w:r>
        <w:rPr>
          <w:rFonts w:ascii="Times New Roman" w:eastAsia="Times New Roman"/>
          <w:position w:val="2"/>
          <w:sz w:val="24"/>
          <w:vertAlign w:val="subscript"/>
        </w:rPr>
        <w:t>2</w:t>
      </w:r>
    </w:p>
    <w:p>
      <w:pPr>
        <w:pStyle w:val="6"/>
        <w:spacing w:before="156" w:line="364" w:lineRule="auto"/>
        <w:ind w:left="1040" w:right="1075" w:firstLine="480"/>
        <w:jc w:val="both"/>
      </w:pPr>
      <w:r>
        <w:rPr>
          <w:position w:val="2"/>
        </w:rPr>
        <w:t>锅炉运行产生的污染物为烟尘、</w:t>
      </w:r>
      <w:r>
        <w:rPr>
          <w:rFonts w:ascii="Times New Roman" w:eastAsia="Times New Roman"/>
          <w:position w:val="2"/>
        </w:rPr>
        <w:t>SO</w:t>
      </w:r>
      <w:r>
        <w:rPr>
          <w:rFonts w:ascii="Times New Roman" w:eastAsia="Times New Roman"/>
          <w:position w:val="2"/>
          <w:vertAlign w:val="subscript"/>
        </w:rPr>
        <w:t>2</w:t>
      </w:r>
      <w:r>
        <w:rPr>
          <w:rFonts w:ascii="Times New Roman" w:eastAsia="Times New Roman"/>
          <w:position w:val="2"/>
          <w:vertAlign w:val="baseline"/>
        </w:rPr>
        <w:t xml:space="preserve"> </w:t>
      </w:r>
      <w:r>
        <w:rPr>
          <w:spacing w:val="-24"/>
          <w:position w:val="2"/>
          <w:vertAlign w:val="baseline"/>
        </w:rPr>
        <w:t xml:space="preserve">与 </w:t>
      </w:r>
      <w:r>
        <w:rPr>
          <w:rFonts w:ascii="Times New Roman" w:eastAsia="Times New Roman"/>
          <w:position w:val="2"/>
          <w:vertAlign w:val="baseline"/>
        </w:rPr>
        <w:t xml:space="preserve">NOx </w:t>
      </w:r>
      <w:r>
        <w:rPr>
          <w:position w:val="2"/>
          <w:vertAlign w:val="baseline"/>
        </w:rPr>
        <w:t>等，为非稳态有组织排放。原</w:t>
      </w:r>
      <w:r>
        <w:rPr>
          <w:spacing w:val="-4"/>
          <w:vertAlign w:val="baseline"/>
        </w:rPr>
        <w:t xml:space="preserve">双鸭山大顺矿业有限公司锅炉使用情况为 </w:t>
      </w:r>
      <w:r>
        <w:rPr>
          <w:rFonts w:ascii="Times New Roman" w:eastAsia="Times New Roman"/>
          <w:vertAlign w:val="baseline"/>
        </w:rPr>
        <w:t xml:space="preserve">1 </w:t>
      </w:r>
      <w:r>
        <w:rPr>
          <w:spacing w:val="-2"/>
          <w:vertAlign w:val="baseline"/>
        </w:rPr>
        <w:t>台常压热水锅炉，</w:t>
      </w:r>
      <w:r>
        <w:rPr>
          <w:rFonts w:ascii="Times New Roman" w:eastAsia="Times New Roman"/>
          <w:spacing w:val="-9"/>
          <w:vertAlign w:val="baseline"/>
        </w:rPr>
        <w:t xml:space="preserve">1 </w:t>
      </w:r>
      <w:r>
        <w:rPr>
          <w:spacing w:val="-6"/>
          <w:vertAlign w:val="baseline"/>
        </w:rPr>
        <w:t>台热风炉，锅炉</w:t>
      </w:r>
      <w:r>
        <w:rPr>
          <w:spacing w:val="-2"/>
          <w:vertAlign w:val="baseline"/>
        </w:rPr>
        <w:t xml:space="preserve">燃用本矿生产的原煤，燃煤量约 </w:t>
      </w:r>
      <w:r>
        <w:rPr>
          <w:rFonts w:ascii="Times New Roman" w:eastAsia="Times New Roman"/>
          <w:vertAlign w:val="baseline"/>
        </w:rPr>
        <w:t>1000t/a</w:t>
      </w:r>
      <w:r>
        <w:rPr>
          <w:vertAlign w:val="baseline"/>
        </w:rPr>
        <w:t>，锅炉无脱硫除尘设施，锅炉排放烟气</w:t>
      </w:r>
      <w:r>
        <w:rPr>
          <w:spacing w:val="-4"/>
          <w:vertAlign w:val="baseline"/>
        </w:rPr>
        <w:t xml:space="preserve">不能达标。锅炉正常运转时设备指标见表 </w:t>
      </w:r>
      <w:r>
        <w:rPr>
          <w:rFonts w:ascii="Times New Roman" w:eastAsia="Times New Roman"/>
          <w:vertAlign w:val="baseline"/>
        </w:rPr>
        <w:t>3.3-1</w:t>
      </w:r>
      <w:r>
        <w:rPr>
          <w:vertAlign w:val="baseline"/>
        </w:rPr>
        <w:t>。</w:t>
      </w:r>
    </w:p>
    <w:p>
      <w:pPr>
        <w:pStyle w:val="5"/>
        <w:spacing w:after="3" w:line="304" w:lineRule="exact"/>
        <w:ind w:left="3593"/>
        <w:jc w:val="both"/>
      </w:pPr>
      <w:r>
        <w:t xml:space="preserve">表 </w:t>
      </w:r>
      <w:r>
        <w:rPr>
          <w:rFonts w:ascii="Times New Roman" w:eastAsia="Times New Roman"/>
        </w:rPr>
        <w:t xml:space="preserve">3.3-1  </w:t>
      </w:r>
      <w:r>
        <w:t>锅炉正常运转时设备指标</w:t>
      </w:r>
    </w:p>
    <w:tbl>
      <w:tblPr>
        <w:tblStyle w:val="10"/>
        <w:tblW w:w="0" w:type="auto"/>
        <w:tblInd w:w="82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83"/>
        <w:gridCol w:w="1991"/>
        <w:gridCol w:w="528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27" w:hRule="atLeast"/>
        </w:trPr>
        <w:tc>
          <w:tcPr>
            <w:tcW w:w="1483" w:type="dxa"/>
          </w:tcPr>
          <w:p>
            <w:pPr>
              <w:pStyle w:val="14"/>
              <w:spacing w:before="79"/>
              <w:ind w:left="425"/>
              <w:jc w:val="left"/>
              <w:rPr>
                <w:sz w:val="21"/>
              </w:rPr>
            </w:pPr>
            <w:r>
              <w:rPr>
                <w:sz w:val="21"/>
              </w:rPr>
              <w:t>污染源</w:t>
            </w:r>
          </w:p>
        </w:tc>
        <w:tc>
          <w:tcPr>
            <w:tcW w:w="1991" w:type="dxa"/>
          </w:tcPr>
          <w:p>
            <w:pPr>
              <w:pStyle w:val="14"/>
              <w:spacing w:before="79"/>
              <w:ind w:left="574"/>
              <w:jc w:val="left"/>
              <w:rPr>
                <w:sz w:val="21"/>
              </w:rPr>
            </w:pPr>
            <w:r>
              <w:rPr>
                <w:sz w:val="21"/>
              </w:rPr>
              <w:t>排放特征</w:t>
            </w:r>
          </w:p>
        </w:tc>
        <w:tc>
          <w:tcPr>
            <w:tcW w:w="5286" w:type="dxa"/>
          </w:tcPr>
          <w:p>
            <w:pPr>
              <w:pStyle w:val="14"/>
              <w:spacing w:before="79"/>
              <w:ind w:left="2201" w:right="1770"/>
              <w:rPr>
                <w:sz w:val="21"/>
              </w:rPr>
            </w:pPr>
            <w:r>
              <w:rPr>
                <w:sz w:val="21"/>
              </w:rPr>
              <w:t>排放量（</w:t>
            </w:r>
            <w:r>
              <w:rPr>
                <w:rFonts w:ascii="Times New Roman" w:eastAsia="Times New Roman"/>
                <w:sz w:val="21"/>
              </w:rPr>
              <w:t>t/a</w:t>
            </w:r>
            <w:r>
              <w:rPr>
                <w:sz w:val="21"/>
              </w:rPr>
              <w:t>）</w:t>
            </w:r>
          </w:p>
        </w:tc>
      </w:tr>
    </w:tbl>
    <w:p>
      <w:pPr>
        <w:spacing w:after="0"/>
        <w:rPr>
          <w:sz w:val="21"/>
        </w:rPr>
        <w:sectPr>
          <w:pgSz w:w="11910" w:h="16840"/>
          <w:pgMar w:top="1080" w:right="720" w:bottom="1080" w:left="760" w:header="0" w:footer="89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59" name="组合 34"/>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58" name="直线 35"/>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34"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u2gi7UAAAAAwEAAA8AAAAAAAAAAQAgAAAAIgAAAGRycy9kb3ducmV2Lnht&#10;bFBLAQIUABQAAAAIAIdO4kCRPFukNgIAALYEAAAOAAAAAAAAAAEAIAAAACMBAABkcnMvZTJvRG9j&#10;LnhtbFBLBQYAAAAABgAGAFkBAADLBQAAAAA=&#10;">
                <o:lock v:ext="edit" aspectratio="f"/>
                <v:line id="直线 35" o:spid="_x0000_s1026" o:spt="20" style="position:absolute;left:0;top:7;height:0;width:8306;" filled="f" stroked="t" coordsize="21600,21600" o:gfxdata="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Cniz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pStyle w:val="6"/>
        <w:spacing w:before="1"/>
        <w:rPr>
          <w:b/>
          <w:sz w:val="25"/>
        </w:rPr>
      </w:pPr>
    </w:p>
    <w:tbl>
      <w:tblPr>
        <w:tblStyle w:val="10"/>
        <w:tblW w:w="0" w:type="auto"/>
        <w:tblInd w:w="82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83"/>
        <w:gridCol w:w="809"/>
        <w:gridCol w:w="1182"/>
        <w:gridCol w:w="1828"/>
        <w:gridCol w:w="1750"/>
        <w:gridCol w:w="170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0" w:hRule="atLeast"/>
        </w:trPr>
        <w:tc>
          <w:tcPr>
            <w:tcW w:w="1483" w:type="dxa"/>
          </w:tcPr>
          <w:p>
            <w:pPr>
              <w:pStyle w:val="14"/>
              <w:jc w:val="left"/>
              <w:rPr>
                <w:rFonts w:ascii="Times New Roman"/>
                <w:sz w:val="22"/>
              </w:rPr>
            </w:pPr>
          </w:p>
        </w:tc>
        <w:tc>
          <w:tcPr>
            <w:tcW w:w="1991" w:type="dxa"/>
            <w:gridSpan w:val="2"/>
          </w:tcPr>
          <w:p>
            <w:pPr>
              <w:pStyle w:val="14"/>
              <w:jc w:val="left"/>
              <w:rPr>
                <w:rFonts w:ascii="Times New Roman"/>
                <w:sz w:val="22"/>
              </w:rPr>
            </w:pPr>
          </w:p>
        </w:tc>
        <w:tc>
          <w:tcPr>
            <w:tcW w:w="1828" w:type="dxa"/>
          </w:tcPr>
          <w:p>
            <w:pPr>
              <w:pStyle w:val="14"/>
              <w:spacing w:before="2"/>
              <w:jc w:val="left"/>
              <w:rPr>
                <w:b/>
                <w:sz w:val="16"/>
              </w:rPr>
            </w:pPr>
          </w:p>
          <w:p>
            <w:pPr>
              <w:pStyle w:val="14"/>
              <w:ind w:left="955"/>
              <w:jc w:val="left"/>
              <w:rPr>
                <w:rFonts w:ascii="Times New Roman"/>
                <w:sz w:val="21"/>
              </w:rPr>
            </w:pPr>
            <w:r>
              <w:rPr>
                <w:rFonts w:ascii="Times New Roman"/>
                <w:position w:val="2"/>
                <w:sz w:val="21"/>
              </w:rPr>
              <w:t>SO</w:t>
            </w:r>
            <w:r>
              <w:rPr>
                <w:rFonts w:ascii="Times New Roman"/>
                <w:position w:val="2"/>
                <w:sz w:val="21"/>
                <w:vertAlign w:val="subscript"/>
              </w:rPr>
              <w:t>2</w:t>
            </w:r>
          </w:p>
        </w:tc>
        <w:tc>
          <w:tcPr>
            <w:tcW w:w="1750" w:type="dxa"/>
          </w:tcPr>
          <w:p>
            <w:pPr>
              <w:pStyle w:val="14"/>
              <w:spacing w:before="136"/>
              <w:ind w:left="354" w:right="166"/>
              <w:rPr>
                <w:sz w:val="21"/>
              </w:rPr>
            </w:pPr>
            <w:r>
              <w:rPr>
                <w:sz w:val="21"/>
              </w:rPr>
              <w:t>烟（粉）尘</w:t>
            </w:r>
          </w:p>
        </w:tc>
        <w:tc>
          <w:tcPr>
            <w:tcW w:w="1708" w:type="dxa"/>
          </w:tcPr>
          <w:p>
            <w:pPr>
              <w:pStyle w:val="14"/>
              <w:spacing w:before="150"/>
              <w:ind w:right="548"/>
              <w:jc w:val="right"/>
              <w:rPr>
                <w:rFonts w:ascii="Times New Roman"/>
                <w:sz w:val="21"/>
              </w:rPr>
            </w:pPr>
            <w:r>
              <w:rPr>
                <w:rFonts w:ascii="Times New Roman"/>
                <w:w w:val="95"/>
                <w:sz w:val="21"/>
              </w:rPr>
              <w:t>NOx</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7" w:hRule="atLeast"/>
        </w:trPr>
        <w:tc>
          <w:tcPr>
            <w:tcW w:w="1483" w:type="dxa"/>
          </w:tcPr>
          <w:p>
            <w:pPr>
              <w:pStyle w:val="14"/>
              <w:spacing w:before="137"/>
              <w:ind w:left="111"/>
              <w:jc w:val="left"/>
              <w:rPr>
                <w:sz w:val="21"/>
              </w:rPr>
            </w:pPr>
            <w:r>
              <w:rPr>
                <w:sz w:val="21"/>
              </w:rPr>
              <w:t>锅炉、热风炉</w:t>
            </w:r>
          </w:p>
        </w:tc>
        <w:tc>
          <w:tcPr>
            <w:tcW w:w="809" w:type="dxa"/>
          </w:tcPr>
          <w:p>
            <w:pPr>
              <w:pStyle w:val="14"/>
              <w:spacing w:before="137"/>
              <w:ind w:left="193"/>
              <w:jc w:val="left"/>
              <w:rPr>
                <w:sz w:val="21"/>
              </w:rPr>
            </w:pPr>
            <w:r>
              <w:rPr>
                <w:sz w:val="21"/>
              </w:rPr>
              <w:t>点源</w:t>
            </w:r>
          </w:p>
        </w:tc>
        <w:tc>
          <w:tcPr>
            <w:tcW w:w="1182" w:type="dxa"/>
          </w:tcPr>
          <w:p>
            <w:pPr>
              <w:pStyle w:val="14"/>
              <w:spacing w:before="151"/>
              <w:ind w:left="274"/>
              <w:jc w:val="left"/>
              <w:rPr>
                <w:rFonts w:ascii="Times New Roman"/>
                <w:sz w:val="21"/>
              </w:rPr>
            </w:pPr>
            <w:r>
              <w:rPr>
                <w:rFonts w:ascii="Times New Roman"/>
                <w:sz w:val="21"/>
              </w:rPr>
              <w:t>1000t/a</w:t>
            </w:r>
          </w:p>
        </w:tc>
        <w:tc>
          <w:tcPr>
            <w:tcW w:w="1828" w:type="dxa"/>
          </w:tcPr>
          <w:p>
            <w:pPr>
              <w:pStyle w:val="14"/>
              <w:spacing w:before="151"/>
              <w:ind w:left="796" w:right="609"/>
              <w:rPr>
                <w:rFonts w:ascii="Times New Roman"/>
                <w:sz w:val="21"/>
              </w:rPr>
            </w:pPr>
            <w:r>
              <w:rPr>
                <w:rFonts w:ascii="Times New Roman"/>
                <w:sz w:val="21"/>
              </w:rPr>
              <w:t>4.14</w:t>
            </w:r>
          </w:p>
        </w:tc>
        <w:tc>
          <w:tcPr>
            <w:tcW w:w="1750" w:type="dxa"/>
          </w:tcPr>
          <w:p>
            <w:pPr>
              <w:pStyle w:val="14"/>
              <w:spacing w:before="151"/>
              <w:ind w:left="354" w:right="164"/>
              <w:rPr>
                <w:rFonts w:ascii="Times New Roman"/>
                <w:sz w:val="21"/>
              </w:rPr>
            </w:pPr>
            <w:r>
              <w:rPr>
                <w:rFonts w:ascii="Times New Roman"/>
                <w:sz w:val="21"/>
              </w:rPr>
              <w:t>18.54</w:t>
            </w:r>
          </w:p>
        </w:tc>
        <w:tc>
          <w:tcPr>
            <w:tcW w:w="1708" w:type="dxa"/>
          </w:tcPr>
          <w:p>
            <w:pPr>
              <w:pStyle w:val="14"/>
              <w:spacing w:before="151"/>
              <w:ind w:right="566"/>
              <w:jc w:val="right"/>
              <w:rPr>
                <w:rFonts w:ascii="Times New Roman"/>
                <w:sz w:val="21"/>
              </w:rPr>
            </w:pPr>
            <w:r>
              <w:rPr>
                <w:rFonts w:ascii="Times New Roman"/>
                <w:sz w:val="21"/>
              </w:rPr>
              <w:t>5.58</w:t>
            </w:r>
          </w:p>
        </w:tc>
      </w:tr>
    </w:tbl>
    <w:p>
      <w:pPr>
        <w:pStyle w:val="13"/>
        <w:numPr>
          <w:ilvl w:val="0"/>
          <w:numId w:val="19"/>
        </w:numPr>
        <w:tabs>
          <w:tab w:val="left" w:pos="2121"/>
        </w:tabs>
        <w:spacing w:before="1" w:after="0" w:line="240" w:lineRule="auto"/>
        <w:ind w:left="2121" w:right="0" w:hanging="601"/>
        <w:jc w:val="left"/>
        <w:rPr>
          <w:sz w:val="24"/>
        </w:rPr>
      </w:pPr>
      <w:r>
        <w:rPr>
          <w:sz w:val="24"/>
        </w:rPr>
        <w:t>粉尘</w:t>
      </w:r>
    </w:p>
    <w:p>
      <w:pPr>
        <w:pStyle w:val="6"/>
        <w:spacing w:before="161" w:line="362" w:lineRule="auto"/>
        <w:ind w:left="1040" w:right="1077" w:firstLine="480"/>
      </w:pPr>
      <w:r>
        <w:rPr>
          <w:spacing w:val="-6"/>
        </w:rPr>
        <w:t>原有工程粉尘污染源主要为原煤物料、煤炭运输过程中产生的扬尘，为随机</w:t>
      </w:r>
      <w:r>
        <w:t>性无组织排放，对周围环境空气有一定影响。</w:t>
      </w:r>
    </w:p>
    <w:p>
      <w:pPr>
        <w:pStyle w:val="5"/>
        <w:numPr>
          <w:ilvl w:val="0"/>
          <w:numId w:val="18"/>
        </w:numPr>
        <w:tabs>
          <w:tab w:val="left" w:pos="1701"/>
        </w:tabs>
        <w:spacing w:before="5" w:after="0" w:line="240" w:lineRule="auto"/>
        <w:ind w:left="1701" w:right="0" w:hanging="181"/>
        <w:jc w:val="left"/>
      </w:pPr>
      <w:r>
        <w:t>水污染分析及源强</w:t>
      </w:r>
    </w:p>
    <w:p>
      <w:pPr>
        <w:pStyle w:val="6"/>
        <w:spacing w:before="158" w:line="364" w:lineRule="auto"/>
        <w:ind w:left="1040" w:right="955" w:firstLine="480"/>
      </w:pPr>
      <w:r>
        <w:rPr>
          <w:spacing w:val="1"/>
        </w:rPr>
        <w:t>该矿改扩建前矿井涌水排放量约为</w:t>
      </w:r>
      <w:r>
        <w:rPr>
          <w:rFonts w:ascii="Times New Roman" w:hAnsi="Times New Roman" w:eastAsia="Times New Roman"/>
        </w:rPr>
        <w:t>1200m</w:t>
      </w:r>
      <w:r>
        <w:rPr>
          <w:rFonts w:ascii="Times New Roman" w:hAnsi="Times New Roman" w:eastAsia="Times New Roman"/>
          <w:spacing w:val="-2"/>
          <w:w w:val="104"/>
          <w:position w:val="8"/>
          <w:sz w:val="15"/>
        </w:rPr>
        <w:t>3</w:t>
      </w:r>
      <w:r>
        <w:rPr>
          <w:rFonts w:ascii="Times New Roman" w:hAnsi="Times New Roman" w:eastAsia="Times New Roman"/>
        </w:rPr>
        <w:t>/d</w:t>
      </w:r>
      <w:r>
        <w:rPr>
          <w:spacing w:val="-9"/>
        </w:rPr>
        <w:t>；生活污水排放量约为</w:t>
      </w:r>
      <w:r>
        <w:rPr>
          <w:rFonts w:ascii="Times New Roman" w:hAnsi="Times New Roman" w:eastAsia="Times New Roman"/>
        </w:rPr>
        <w:t>300m</w:t>
      </w:r>
      <w:r>
        <w:rPr>
          <w:rFonts w:ascii="Times New Roman" w:hAnsi="Times New Roman" w:eastAsia="Times New Roman"/>
          <w:spacing w:val="1"/>
          <w:w w:val="104"/>
          <w:position w:val="8"/>
          <w:sz w:val="15"/>
        </w:rPr>
        <w:t>3</w:t>
      </w:r>
      <w:r>
        <w:rPr>
          <w:rFonts w:ascii="Times New Roman" w:hAnsi="Times New Roman" w:eastAsia="Times New Roman"/>
        </w:rPr>
        <w:t>/</w:t>
      </w:r>
      <w:r>
        <w:rPr>
          <w:rFonts w:ascii="Times New Roman" w:hAnsi="Times New Roman" w:eastAsia="Times New Roman"/>
          <w:spacing w:val="-3"/>
        </w:rPr>
        <w:t>d</w:t>
      </w:r>
      <w:r>
        <w:rPr>
          <w:spacing w:val="-11"/>
        </w:rPr>
        <w:t>。</w:t>
      </w:r>
      <w:r>
        <w:rPr>
          <w:spacing w:val="-8"/>
        </w:rPr>
        <w:t xml:space="preserve">污水直接外排，总排水量约为 </w:t>
      </w:r>
      <w:r>
        <w:rPr>
          <w:rFonts w:ascii="Times New Roman" w:hAnsi="Times New Roman" w:eastAsia="Times New Roman"/>
        </w:rPr>
        <w:t>49.5</w:t>
      </w:r>
      <w:r>
        <w:rPr>
          <w:color w:val="333333"/>
          <w:sz w:val="19"/>
        </w:rPr>
        <w:t>×</w:t>
      </w:r>
      <w:r>
        <w:rPr>
          <w:rFonts w:ascii="Times New Roman" w:hAnsi="Times New Roman" w:eastAsia="Times New Roman"/>
        </w:rPr>
        <w:t>10</w:t>
      </w:r>
      <w:r>
        <w:rPr>
          <w:rFonts w:ascii="Times New Roman" w:hAnsi="Times New Roman" w:eastAsia="Times New Roman"/>
          <w:position w:val="8"/>
          <w:sz w:val="15"/>
        </w:rPr>
        <w:t>4</w:t>
      </w:r>
      <w:r>
        <w:rPr>
          <w:rFonts w:ascii="Times New Roman" w:hAnsi="Times New Roman" w:eastAsia="Times New Roman"/>
        </w:rPr>
        <w:t>m</w:t>
      </w:r>
      <w:r>
        <w:rPr>
          <w:rFonts w:ascii="Times New Roman" w:hAnsi="Times New Roman" w:eastAsia="Times New Roman"/>
          <w:position w:val="8"/>
          <w:sz w:val="15"/>
        </w:rPr>
        <w:t>3</w:t>
      </w:r>
      <w:r>
        <w:rPr>
          <w:rFonts w:ascii="Times New Roman" w:hAnsi="Times New Roman" w:eastAsia="Times New Roman"/>
        </w:rPr>
        <w:t>/a</w:t>
      </w:r>
      <w:r>
        <w:rPr>
          <w:spacing w:val="-9"/>
        </w:rPr>
        <w:t>。污水排放浓度不能满足《煤炭工业</w:t>
      </w:r>
      <w:r>
        <w:rPr>
          <w:spacing w:val="-10"/>
        </w:rPr>
        <w:t>污染物排放标准》</w:t>
      </w:r>
      <w:r>
        <w:t>（</w:t>
      </w:r>
      <w:r>
        <w:rPr>
          <w:rFonts w:ascii="Times New Roman" w:hAnsi="Times New Roman" w:eastAsia="Times New Roman"/>
        </w:rPr>
        <w:t>GB20426-2006</w:t>
      </w:r>
      <w:r>
        <w:t>）</w:t>
      </w:r>
      <w:r>
        <w:rPr>
          <w:spacing w:val="-31"/>
        </w:rPr>
        <w:t xml:space="preserve">表 </w:t>
      </w:r>
      <w:r>
        <w:rPr>
          <w:rFonts w:ascii="Times New Roman" w:hAnsi="Times New Roman" w:eastAsia="Times New Roman"/>
        </w:rPr>
        <w:t>1</w:t>
      </w:r>
      <w:r>
        <w:rPr>
          <w:spacing w:val="-5"/>
        </w:rPr>
        <w:t>、</w:t>
      </w:r>
      <w:r>
        <w:rPr>
          <w:rFonts w:ascii="Times New Roman" w:hAnsi="Times New Roman" w:eastAsia="Times New Roman"/>
        </w:rPr>
        <w:t xml:space="preserve">2 </w:t>
      </w:r>
      <w:r>
        <w:rPr>
          <w:spacing w:val="-1"/>
        </w:rPr>
        <w:t>标准限值要求及《地表水环境质量标准》（</w:t>
      </w:r>
      <w:r>
        <w:rPr>
          <w:rFonts w:ascii="Times New Roman" w:hAnsi="Times New Roman" w:eastAsia="Times New Roman"/>
          <w:spacing w:val="-1"/>
        </w:rPr>
        <w:t>GB3838-2002</w:t>
      </w:r>
      <w:r>
        <w:rPr>
          <w:spacing w:val="-1"/>
        </w:rPr>
        <w:t>）中Ⅲ类标准限值。</w:t>
      </w:r>
    </w:p>
    <w:p>
      <w:pPr>
        <w:pStyle w:val="5"/>
        <w:numPr>
          <w:ilvl w:val="0"/>
          <w:numId w:val="18"/>
        </w:numPr>
        <w:tabs>
          <w:tab w:val="left" w:pos="1701"/>
        </w:tabs>
        <w:spacing w:before="0" w:after="0" w:line="240" w:lineRule="auto"/>
        <w:ind w:left="1701" w:right="0" w:hanging="181"/>
        <w:jc w:val="left"/>
      </w:pPr>
      <w:r>
        <w:t>声污染分析及源强</w:t>
      </w:r>
    </w:p>
    <w:p>
      <w:pPr>
        <w:pStyle w:val="6"/>
        <w:spacing w:before="158" w:line="364" w:lineRule="auto"/>
        <w:ind w:left="1040" w:right="1077" w:firstLine="480"/>
        <w:jc w:val="both"/>
      </w:pPr>
      <w:r>
        <w:rPr>
          <w:spacing w:val="-6"/>
        </w:rPr>
        <w:t>声环境主要噪声源为通风机房的通风机及电机等。以空气动力性噪声、电磁</w:t>
      </w:r>
      <w:r>
        <w:rPr>
          <w:spacing w:val="-4"/>
        </w:rPr>
        <w:t xml:space="preserve">噪声为主，噪声声级一般在 </w:t>
      </w:r>
      <w:r>
        <w:rPr>
          <w:rFonts w:ascii="Times New Roman" w:eastAsia="Times New Roman"/>
        </w:rPr>
        <w:t>90dB</w:t>
      </w:r>
      <w:r>
        <w:t>（</w:t>
      </w:r>
      <w:r>
        <w:rPr>
          <w:rFonts w:ascii="Times New Roman" w:eastAsia="Times New Roman"/>
        </w:rPr>
        <w:t>A</w:t>
      </w:r>
      <w:r>
        <w:t>）～</w:t>
      </w:r>
      <w:r>
        <w:rPr>
          <w:rFonts w:ascii="Times New Roman" w:eastAsia="Times New Roman"/>
        </w:rPr>
        <w:t>100dB</w:t>
      </w:r>
      <w:r>
        <w:t>（</w:t>
      </w:r>
      <w:r>
        <w:rPr>
          <w:rFonts w:ascii="Times New Roman" w:eastAsia="Times New Roman"/>
        </w:rPr>
        <w:t>A</w:t>
      </w:r>
      <w:r>
        <w:t>）</w:t>
      </w:r>
      <w:r>
        <w:rPr>
          <w:spacing w:val="-2"/>
        </w:rPr>
        <w:t>之间。另外还有运输车辆</w:t>
      </w:r>
      <w:r>
        <w:t>产生的运输噪声，为随机性噪声源。对声环境有一定的影响。</w:t>
      </w:r>
    </w:p>
    <w:p>
      <w:pPr>
        <w:pStyle w:val="5"/>
        <w:numPr>
          <w:ilvl w:val="0"/>
          <w:numId w:val="18"/>
        </w:numPr>
        <w:tabs>
          <w:tab w:val="left" w:pos="1701"/>
        </w:tabs>
        <w:spacing w:before="0" w:after="0" w:line="307" w:lineRule="exact"/>
        <w:ind w:left="1701" w:right="0" w:hanging="181"/>
        <w:jc w:val="left"/>
      </w:pPr>
      <w:r>
        <w:t>固体废物</w:t>
      </w:r>
    </w:p>
    <w:p>
      <w:pPr>
        <w:pStyle w:val="6"/>
        <w:spacing w:before="158" w:line="364" w:lineRule="auto"/>
        <w:ind w:left="1040" w:right="1077" w:firstLine="480"/>
      </w:pPr>
      <w:r>
        <w:rPr>
          <w:spacing w:val="-8"/>
        </w:rPr>
        <w:t>固体废物主要为矸石、炉渣与生活垃圾。矸石产生量较少，大部分回填采空</w:t>
      </w:r>
      <w:r>
        <w:t>区；生活垃圾集中收集，委托市政环卫部门统一处理。</w:t>
      </w:r>
    </w:p>
    <w:p>
      <w:pPr>
        <w:pStyle w:val="5"/>
        <w:numPr>
          <w:ilvl w:val="0"/>
          <w:numId w:val="18"/>
        </w:numPr>
        <w:tabs>
          <w:tab w:val="left" w:pos="1701"/>
        </w:tabs>
        <w:spacing w:before="0" w:after="0" w:line="306" w:lineRule="exact"/>
        <w:ind w:left="1701" w:right="0" w:hanging="181"/>
        <w:jc w:val="left"/>
      </w:pPr>
      <w:r>
        <w:t>生态环境</w:t>
      </w:r>
    </w:p>
    <w:p>
      <w:pPr>
        <w:pStyle w:val="6"/>
        <w:spacing w:before="160"/>
        <w:ind w:left="1520"/>
      </w:pPr>
      <w:r>
        <w:t>本项目处于丘陵地区，该区域主要为次生林地，据调查地表无明显塌陷。</w:t>
      </w:r>
    </w:p>
    <w:p>
      <w:pPr>
        <w:pStyle w:val="4"/>
        <w:numPr>
          <w:ilvl w:val="2"/>
          <w:numId w:val="16"/>
        </w:numPr>
        <w:tabs>
          <w:tab w:val="left" w:pos="1669"/>
        </w:tabs>
        <w:spacing w:before="159" w:after="0" w:line="240" w:lineRule="auto"/>
        <w:ind w:left="1668" w:right="0" w:hanging="629"/>
        <w:jc w:val="left"/>
      </w:pPr>
      <w:bookmarkStart w:id="98" w:name="3.3.2改扩建工程"/>
      <w:bookmarkEnd w:id="98"/>
      <w:bookmarkStart w:id="99" w:name="3.3.2改扩建工程"/>
      <w:bookmarkEnd w:id="99"/>
      <w:r>
        <w:t>改扩建工程</w:t>
      </w:r>
    </w:p>
    <w:p>
      <w:pPr>
        <w:pStyle w:val="5"/>
        <w:numPr>
          <w:ilvl w:val="3"/>
          <w:numId w:val="20"/>
        </w:numPr>
        <w:tabs>
          <w:tab w:val="left" w:pos="1760"/>
        </w:tabs>
        <w:spacing w:before="265" w:after="0" w:line="240" w:lineRule="auto"/>
        <w:ind w:left="1760" w:right="0" w:hanging="720"/>
        <w:jc w:val="left"/>
      </w:pPr>
      <w:r>
        <w:rPr>
          <w:w w:val="95"/>
        </w:rPr>
        <w:t>井田境界及储量</w:t>
      </w:r>
    </w:p>
    <w:p>
      <w:pPr>
        <w:pStyle w:val="13"/>
        <w:numPr>
          <w:ilvl w:val="4"/>
          <w:numId w:val="20"/>
        </w:numPr>
        <w:tabs>
          <w:tab w:val="left" w:pos="2121"/>
        </w:tabs>
        <w:spacing w:before="81" w:after="0" w:line="240" w:lineRule="auto"/>
        <w:ind w:left="2121" w:right="0" w:hanging="601"/>
        <w:jc w:val="left"/>
        <w:rPr>
          <w:sz w:val="24"/>
        </w:rPr>
      </w:pPr>
      <w:r>
        <w:rPr>
          <w:sz w:val="24"/>
        </w:rPr>
        <w:t>井田境界</w:t>
      </w:r>
    </w:p>
    <w:p>
      <w:pPr>
        <w:tabs>
          <w:tab w:val="left" w:pos="4243"/>
        </w:tabs>
        <w:spacing w:before="160" w:after="4" w:line="362" w:lineRule="auto"/>
        <w:ind w:left="3262" w:right="2644" w:hanging="1743"/>
        <w:jc w:val="left"/>
        <w:rPr>
          <w:b/>
          <w:sz w:val="24"/>
        </w:rPr>
      </w:pPr>
      <w:r>
        <w:rPr>
          <w:sz w:val="24"/>
        </w:rPr>
        <w:t>改扩建后双鸭山大顺矿业有限公司范围拐点坐标见表</w:t>
      </w:r>
      <w:r>
        <w:rPr>
          <w:rFonts w:ascii="Times New Roman" w:eastAsia="Times New Roman"/>
          <w:sz w:val="24"/>
        </w:rPr>
        <w:t>3.3-2</w:t>
      </w:r>
      <w:r>
        <w:rPr>
          <w:spacing w:val="-16"/>
          <w:sz w:val="24"/>
        </w:rPr>
        <w:t>。</w:t>
      </w:r>
      <w:r>
        <w:rPr>
          <w:b/>
          <w:sz w:val="24"/>
        </w:rPr>
        <w:t>表</w:t>
      </w:r>
      <w:r>
        <w:rPr>
          <w:rFonts w:ascii="Times New Roman" w:eastAsia="Times New Roman"/>
          <w:b/>
          <w:sz w:val="24"/>
        </w:rPr>
        <w:t>3.3-2</w:t>
      </w:r>
      <w:r>
        <w:rPr>
          <w:rFonts w:ascii="Times New Roman" w:eastAsia="Times New Roman"/>
          <w:b/>
          <w:sz w:val="24"/>
        </w:rPr>
        <w:tab/>
      </w:r>
      <w:r>
        <w:rPr>
          <w:b/>
          <w:sz w:val="24"/>
        </w:rPr>
        <w:t>改造后矿区范围拐点坐标表</w:t>
      </w:r>
    </w:p>
    <w:tbl>
      <w:tblPr>
        <w:tblStyle w:val="10"/>
        <w:tblW w:w="0" w:type="auto"/>
        <w:tblInd w:w="10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3"/>
        <w:gridCol w:w="938"/>
        <w:gridCol w:w="1525"/>
        <w:gridCol w:w="1429"/>
        <w:gridCol w:w="708"/>
        <w:gridCol w:w="1475"/>
        <w:gridCol w:w="15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restart"/>
          </w:tcPr>
          <w:p>
            <w:pPr>
              <w:pStyle w:val="14"/>
              <w:spacing w:before="3"/>
              <w:jc w:val="left"/>
              <w:rPr>
                <w:b/>
                <w:sz w:val="14"/>
              </w:rPr>
            </w:pPr>
          </w:p>
          <w:p>
            <w:pPr>
              <w:pStyle w:val="14"/>
              <w:ind w:left="260"/>
              <w:jc w:val="left"/>
              <w:rPr>
                <w:sz w:val="21"/>
              </w:rPr>
            </w:pPr>
            <w:r>
              <w:rPr>
                <w:sz w:val="21"/>
              </w:rPr>
              <w:t>煤层</w:t>
            </w:r>
          </w:p>
        </w:tc>
        <w:tc>
          <w:tcPr>
            <w:tcW w:w="938" w:type="dxa"/>
            <w:vMerge w:val="restart"/>
          </w:tcPr>
          <w:p>
            <w:pPr>
              <w:pStyle w:val="14"/>
              <w:spacing w:before="3"/>
              <w:jc w:val="left"/>
              <w:rPr>
                <w:b/>
                <w:sz w:val="14"/>
              </w:rPr>
            </w:pPr>
          </w:p>
          <w:p>
            <w:pPr>
              <w:pStyle w:val="14"/>
              <w:ind w:left="258"/>
              <w:jc w:val="left"/>
              <w:rPr>
                <w:sz w:val="21"/>
              </w:rPr>
            </w:pPr>
            <w:r>
              <w:rPr>
                <w:sz w:val="21"/>
              </w:rPr>
              <w:t>拐点</w:t>
            </w:r>
          </w:p>
        </w:tc>
        <w:tc>
          <w:tcPr>
            <w:tcW w:w="2954" w:type="dxa"/>
            <w:gridSpan w:val="2"/>
          </w:tcPr>
          <w:p>
            <w:pPr>
              <w:pStyle w:val="14"/>
              <w:spacing w:before="22"/>
              <w:ind w:left="1245" w:right="1238"/>
              <w:rPr>
                <w:sz w:val="21"/>
              </w:rPr>
            </w:pPr>
            <w:r>
              <w:rPr>
                <w:sz w:val="21"/>
              </w:rPr>
              <w:t>坐标</w:t>
            </w:r>
          </w:p>
        </w:tc>
        <w:tc>
          <w:tcPr>
            <w:tcW w:w="708" w:type="dxa"/>
            <w:vMerge w:val="restart"/>
          </w:tcPr>
          <w:p>
            <w:pPr>
              <w:pStyle w:val="14"/>
              <w:spacing w:before="3"/>
              <w:jc w:val="left"/>
              <w:rPr>
                <w:b/>
                <w:sz w:val="14"/>
              </w:rPr>
            </w:pPr>
          </w:p>
          <w:p>
            <w:pPr>
              <w:pStyle w:val="14"/>
              <w:ind w:left="144"/>
              <w:jc w:val="left"/>
              <w:rPr>
                <w:sz w:val="21"/>
              </w:rPr>
            </w:pPr>
            <w:r>
              <w:rPr>
                <w:sz w:val="21"/>
              </w:rPr>
              <w:t>拐点</w:t>
            </w:r>
          </w:p>
        </w:tc>
        <w:tc>
          <w:tcPr>
            <w:tcW w:w="2979" w:type="dxa"/>
            <w:gridSpan w:val="2"/>
          </w:tcPr>
          <w:p>
            <w:pPr>
              <w:pStyle w:val="14"/>
              <w:spacing w:before="22"/>
              <w:ind w:left="1258" w:right="1251"/>
              <w:rPr>
                <w:sz w:val="21"/>
              </w:rPr>
            </w:pPr>
            <w:r>
              <w:rPr>
                <w:sz w:val="21"/>
              </w:rPr>
              <w:t>坐标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continue"/>
            <w:tcBorders>
              <w:top w:val="nil"/>
            </w:tcBorders>
          </w:tcPr>
          <w:p>
            <w:pPr>
              <w:rPr>
                <w:sz w:val="2"/>
                <w:szCs w:val="2"/>
              </w:rPr>
            </w:pPr>
          </w:p>
        </w:tc>
        <w:tc>
          <w:tcPr>
            <w:tcW w:w="938" w:type="dxa"/>
            <w:vMerge w:val="continue"/>
            <w:tcBorders>
              <w:top w:val="nil"/>
            </w:tcBorders>
          </w:tcPr>
          <w:p>
            <w:pPr>
              <w:rPr>
                <w:sz w:val="2"/>
                <w:szCs w:val="2"/>
              </w:rPr>
            </w:pPr>
          </w:p>
        </w:tc>
        <w:tc>
          <w:tcPr>
            <w:tcW w:w="1525" w:type="dxa"/>
          </w:tcPr>
          <w:p>
            <w:pPr>
              <w:pStyle w:val="14"/>
              <w:spacing w:before="35"/>
              <w:ind w:left="8"/>
              <w:rPr>
                <w:rFonts w:ascii="Times New Roman"/>
                <w:sz w:val="21"/>
              </w:rPr>
            </w:pPr>
            <w:r>
              <w:rPr>
                <w:rFonts w:ascii="Times New Roman"/>
                <w:w w:val="99"/>
                <w:sz w:val="21"/>
              </w:rPr>
              <w:t>X</w:t>
            </w:r>
          </w:p>
        </w:tc>
        <w:tc>
          <w:tcPr>
            <w:tcW w:w="1429" w:type="dxa"/>
          </w:tcPr>
          <w:p>
            <w:pPr>
              <w:pStyle w:val="14"/>
              <w:spacing w:before="35"/>
              <w:ind w:left="11"/>
              <w:rPr>
                <w:rFonts w:ascii="Times New Roman"/>
                <w:sz w:val="21"/>
              </w:rPr>
            </w:pPr>
            <w:r>
              <w:rPr>
                <w:rFonts w:ascii="Times New Roman"/>
                <w:w w:val="99"/>
                <w:sz w:val="21"/>
              </w:rPr>
              <w:t>Y</w:t>
            </w:r>
          </w:p>
        </w:tc>
        <w:tc>
          <w:tcPr>
            <w:tcW w:w="708" w:type="dxa"/>
            <w:vMerge w:val="continue"/>
            <w:tcBorders>
              <w:top w:val="nil"/>
            </w:tcBorders>
          </w:tcPr>
          <w:p>
            <w:pPr>
              <w:rPr>
                <w:sz w:val="2"/>
                <w:szCs w:val="2"/>
              </w:rPr>
            </w:pPr>
          </w:p>
        </w:tc>
        <w:tc>
          <w:tcPr>
            <w:tcW w:w="1475" w:type="dxa"/>
          </w:tcPr>
          <w:p>
            <w:pPr>
              <w:pStyle w:val="14"/>
              <w:spacing w:before="35"/>
              <w:ind w:left="11"/>
              <w:rPr>
                <w:rFonts w:ascii="Times New Roman"/>
                <w:sz w:val="21"/>
              </w:rPr>
            </w:pPr>
            <w:r>
              <w:rPr>
                <w:rFonts w:ascii="Times New Roman"/>
                <w:w w:val="99"/>
                <w:sz w:val="21"/>
              </w:rPr>
              <w:t>X</w:t>
            </w:r>
          </w:p>
        </w:tc>
        <w:tc>
          <w:tcPr>
            <w:tcW w:w="1504" w:type="dxa"/>
          </w:tcPr>
          <w:p>
            <w:pPr>
              <w:pStyle w:val="14"/>
              <w:spacing w:before="35"/>
              <w:ind w:left="8"/>
              <w:rPr>
                <w:rFonts w:ascii="Times New Roman"/>
                <w:sz w:val="21"/>
              </w:rPr>
            </w:pPr>
            <w:r>
              <w:rPr>
                <w:rFonts w:ascii="Times New Roman"/>
                <w:w w:val="99"/>
                <w:sz w:val="21"/>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restart"/>
          </w:tcPr>
          <w:p>
            <w:pPr>
              <w:pStyle w:val="14"/>
              <w:jc w:val="left"/>
              <w:rPr>
                <w:b/>
                <w:sz w:val="22"/>
              </w:rPr>
            </w:pPr>
          </w:p>
          <w:p>
            <w:pPr>
              <w:pStyle w:val="14"/>
              <w:spacing w:before="12"/>
              <w:jc w:val="left"/>
              <w:rPr>
                <w:b/>
                <w:sz w:val="30"/>
              </w:rPr>
            </w:pPr>
          </w:p>
          <w:p>
            <w:pPr>
              <w:pStyle w:val="14"/>
              <w:ind w:left="346" w:right="337"/>
              <w:rPr>
                <w:rFonts w:ascii="Times New Roman"/>
                <w:sz w:val="21"/>
              </w:rPr>
            </w:pPr>
            <w:r>
              <w:rPr>
                <w:rFonts w:ascii="Times New Roman"/>
                <w:sz w:val="21"/>
              </w:rPr>
              <w:t>10</w:t>
            </w:r>
          </w:p>
        </w:tc>
        <w:tc>
          <w:tcPr>
            <w:tcW w:w="938" w:type="dxa"/>
          </w:tcPr>
          <w:p>
            <w:pPr>
              <w:pStyle w:val="14"/>
              <w:spacing w:before="35"/>
              <w:ind w:right="406"/>
              <w:jc w:val="right"/>
              <w:rPr>
                <w:rFonts w:ascii="Times New Roman"/>
                <w:sz w:val="21"/>
              </w:rPr>
            </w:pPr>
            <w:r>
              <w:rPr>
                <w:rFonts w:ascii="Times New Roman"/>
                <w:w w:val="99"/>
                <w:sz w:val="21"/>
              </w:rPr>
              <w:t>1</w:t>
            </w:r>
          </w:p>
        </w:tc>
        <w:tc>
          <w:tcPr>
            <w:tcW w:w="1525" w:type="dxa"/>
          </w:tcPr>
          <w:p>
            <w:pPr>
              <w:pStyle w:val="14"/>
              <w:spacing w:before="35"/>
              <w:ind w:left="217" w:right="208"/>
              <w:rPr>
                <w:rFonts w:ascii="Times New Roman"/>
                <w:sz w:val="21"/>
              </w:rPr>
            </w:pPr>
            <w:r>
              <w:rPr>
                <w:rFonts w:ascii="Times New Roman"/>
                <w:sz w:val="21"/>
              </w:rPr>
              <w:t>5153365.16</w:t>
            </w:r>
          </w:p>
        </w:tc>
        <w:tc>
          <w:tcPr>
            <w:tcW w:w="1429" w:type="dxa"/>
          </w:tcPr>
          <w:p>
            <w:pPr>
              <w:pStyle w:val="14"/>
              <w:spacing w:before="35"/>
              <w:ind w:left="115" w:right="108"/>
              <w:rPr>
                <w:rFonts w:ascii="Times New Roman"/>
                <w:sz w:val="21"/>
              </w:rPr>
            </w:pPr>
            <w:r>
              <w:rPr>
                <w:rFonts w:ascii="Times New Roman"/>
                <w:sz w:val="21"/>
              </w:rPr>
              <w:t>44437595.11</w:t>
            </w:r>
          </w:p>
        </w:tc>
        <w:tc>
          <w:tcPr>
            <w:tcW w:w="708" w:type="dxa"/>
          </w:tcPr>
          <w:p>
            <w:pPr>
              <w:pStyle w:val="14"/>
              <w:spacing w:before="35"/>
              <w:ind w:left="300"/>
              <w:jc w:val="left"/>
              <w:rPr>
                <w:rFonts w:ascii="Times New Roman"/>
                <w:sz w:val="21"/>
              </w:rPr>
            </w:pPr>
            <w:r>
              <w:rPr>
                <w:rFonts w:ascii="Times New Roman"/>
                <w:w w:val="99"/>
                <w:sz w:val="21"/>
              </w:rPr>
              <w:t>8</w:t>
            </w:r>
          </w:p>
        </w:tc>
        <w:tc>
          <w:tcPr>
            <w:tcW w:w="1475" w:type="dxa"/>
          </w:tcPr>
          <w:p>
            <w:pPr>
              <w:pStyle w:val="14"/>
              <w:spacing w:before="35"/>
              <w:ind w:left="191" w:right="184"/>
              <w:rPr>
                <w:rFonts w:ascii="Times New Roman"/>
                <w:sz w:val="21"/>
              </w:rPr>
            </w:pPr>
            <w:r>
              <w:rPr>
                <w:rFonts w:ascii="Times New Roman"/>
                <w:sz w:val="21"/>
              </w:rPr>
              <w:t>5152005.72</w:t>
            </w:r>
          </w:p>
        </w:tc>
        <w:tc>
          <w:tcPr>
            <w:tcW w:w="1504" w:type="dxa"/>
          </w:tcPr>
          <w:p>
            <w:pPr>
              <w:pStyle w:val="14"/>
              <w:spacing w:before="35"/>
              <w:ind w:left="97" w:right="88"/>
              <w:rPr>
                <w:rFonts w:ascii="Times New Roman"/>
                <w:sz w:val="21"/>
              </w:rPr>
            </w:pPr>
            <w:r>
              <w:rPr>
                <w:rFonts w:ascii="Times New Roman"/>
                <w:sz w:val="21"/>
              </w:rPr>
              <w:t>44435834.20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43" w:type="dxa"/>
            <w:vMerge w:val="continue"/>
            <w:tcBorders>
              <w:top w:val="nil"/>
            </w:tcBorders>
          </w:tcPr>
          <w:p>
            <w:pPr>
              <w:rPr>
                <w:sz w:val="2"/>
                <w:szCs w:val="2"/>
              </w:rPr>
            </w:pPr>
          </w:p>
        </w:tc>
        <w:tc>
          <w:tcPr>
            <w:tcW w:w="938" w:type="dxa"/>
          </w:tcPr>
          <w:p>
            <w:pPr>
              <w:pStyle w:val="14"/>
              <w:spacing w:before="35"/>
              <w:ind w:right="406"/>
              <w:jc w:val="right"/>
              <w:rPr>
                <w:rFonts w:ascii="Times New Roman"/>
                <w:sz w:val="21"/>
              </w:rPr>
            </w:pPr>
            <w:r>
              <w:rPr>
                <w:rFonts w:ascii="Times New Roman"/>
                <w:w w:val="99"/>
                <w:sz w:val="21"/>
              </w:rPr>
              <w:t>2</w:t>
            </w:r>
          </w:p>
        </w:tc>
        <w:tc>
          <w:tcPr>
            <w:tcW w:w="1525" w:type="dxa"/>
          </w:tcPr>
          <w:p>
            <w:pPr>
              <w:pStyle w:val="14"/>
              <w:spacing w:before="35"/>
              <w:ind w:left="217" w:right="208"/>
              <w:rPr>
                <w:rFonts w:ascii="Times New Roman"/>
                <w:sz w:val="21"/>
              </w:rPr>
            </w:pPr>
            <w:r>
              <w:rPr>
                <w:rFonts w:ascii="Times New Roman"/>
                <w:sz w:val="21"/>
              </w:rPr>
              <w:t>5152040.64</w:t>
            </w:r>
          </w:p>
        </w:tc>
        <w:tc>
          <w:tcPr>
            <w:tcW w:w="1429" w:type="dxa"/>
          </w:tcPr>
          <w:p>
            <w:pPr>
              <w:pStyle w:val="14"/>
              <w:spacing w:before="35"/>
              <w:ind w:left="115" w:right="108"/>
              <w:rPr>
                <w:rFonts w:ascii="Times New Roman"/>
                <w:sz w:val="21"/>
              </w:rPr>
            </w:pPr>
            <w:r>
              <w:rPr>
                <w:rFonts w:ascii="Times New Roman"/>
                <w:sz w:val="21"/>
              </w:rPr>
              <w:t>44437595.11</w:t>
            </w:r>
          </w:p>
        </w:tc>
        <w:tc>
          <w:tcPr>
            <w:tcW w:w="708" w:type="dxa"/>
          </w:tcPr>
          <w:p>
            <w:pPr>
              <w:pStyle w:val="14"/>
              <w:spacing w:before="35"/>
              <w:ind w:left="300"/>
              <w:jc w:val="left"/>
              <w:rPr>
                <w:rFonts w:ascii="Times New Roman"/>
                <w:sz w:val="21"/>
              </w:rPr>
            </w:pPr>
            <w:r>
              <w:rPr>
                <w:rFonts w:ascii="Times New Roman"/>
                <w:w w:val="99"/>
                <w:sz w:val="21"/>
              </w:rPr>
              <w:t>9</w:t>
            </w:r>
          </w:p>
        </w:tc>
        <w:tc>
          <w:tcPr>
            <w:tcW w:w="1475" w:type="dxa"/>
          </w:tcPr>
          <w:p>
            <w:pPr>
              <w:pStyle w:val="14"/>
              <w:spacing w:before="35"/>
              <w:ind w:left="191" w:right="184"/>
              <w:rPr>
                <w:rFonts w:ascii="Times New Roman"/>
                <w:sz w:val="21"/>
              </w:rPr>
            </w:pPr>
            <w:r>
              <w:rPr>
                <w:rFonts w:ascii="Times New Roman"/>
                <w:sz w:val="21"/>
              </w:rPr>
              <w:t>5151935.72</w:t>
            </w:r>
          </w:p>
        </w:tc>
        <w:tc>
          <w:tcPr>
            <w:tcW w:w="1504" w:type="dxa"/>
          </w:tcPr>
          <w:p>
            <w:pPr>
              <w:pStyle w:val="14"/>
              <w:spacing w:before="35"/>
              <w:ind w:left="97" w:right="88"/>
              <w:rPr>
                <w:rFonts w:ascii="Times New Roman"/>
                <w:sz w:val="21"/>
              </w:rPr>
            </w:pPr>
            <w:r>
              <w:rPr>
                <w:rFonts w:ascii="Times New Roman"/>
                <w:sz w:val="21"/>
              </w:rPr>
              <w:t>44435784.20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continue"/>
            <w:tcBorders>
              <w:top w:val="nil"/>
            </w:tcBorders>
          </w:tcPr>
          <w:p>
            <w:pPr>
              <w:rPr>
                <w:sz w:val="2"/>
                <w:szCs w:val="2"/>
              </w:rPr>
            </w:pPr>
          </w:p>
        </w:tc>
        <w:tc>
          <w:tcPr>
            <w:tcW w:w="938" w:type="dxa"/>
          </w:tcPr>
          <w:p>
            <w:pPr>
              <w:pStyle w:val="14"/>
              <w:spacing w:before="34"/>
              <w:ind w:right="406"/>
              <w:jc w:val="right"/>
              <w:rPr>
                <w:rFonts w:ascii="Times New Roman"/>
                <w:sz w:val="21"/>
              </w:rPr>
            </w:pPr>
            <w:r>
              <w:rPr>
                <w:rFonts w:ascii="Times New Roman"/>
                <w:w w:val="99"/>
                <w:sz w:val="21"/>
              </w:rPr>
              <w:t>3</w:t>
            </w:r>
          </w:p>
        </w:tc>
        <w:tc>
          <w:tcPr>
            <w:tcW w:w="1525" w:type="dxa"/>
          </w:tcPr>
          <w:p>
            <w:pPr>
              <w:pStyle w:val="14"/>
              <w:spacing w:before="34"/>
              <w:ind w:left="217" w:right="208"/>
              <w:rPr>
                <w:rFonts w:ascii="Times New Roman"/>
                <w:sz w:val="21"/>
              </w:rPr>
            </w:pPr>
            <w:r>
              <w:rPr>
                <w:rFonts w:ascii="Times New Roman"/>
                <w:sz w:val="21"/>
              </w:rPr>
              <w:t>5151538.11</w:t>
            </w:r>
          </w:p>
        </w:tc>
        <w:tc>
          <w:tcPr>
            <w:tcW w:w="1429" w:type="dxa"/>
          </w:tcPr>
          <w:p>
            <w:pPr>
              <w:pStyle w:val="14"/>
              <w:spacing w:before="34"/>
              <w:ind w:left="115" w:right="108"/>
              <w:rPr>
                <w:rFonts w:ascii="Times New Roman"/>
                <w:sz w:val="21"/>
              </w:rPr>
            </w:pPr>
            <w:r>
              <w:rPr>
                <w:rFonts w:ascii="Times New Roman"/>
                <w:sz w:val="21"/>
              </w:rPr>
              <w:t>44438201.85</w:t>
            </w:r>
          </w:p>
        </w:tc>
        <w:tc>
          <w:tcPr>
            <w:tcW w:w="708" w:type="dxa"/>
          </w:tcPr>
          <w:p>
            <w:pPr>
              <w:pStyle w:val="14"/>
              <w:spacing w:before="34"/>
              <w:ind w:left="249"/>
              <w:jc w:val="left"/>
              <w:rPr>
                <w:rFonts w:ascii="Times New Roman"/>
                <w:sz w:val="21"/>
              </w:rPr>
            </w:pPr>
            <w:r>
              <w:rPr>
                <w:rFonts w:ascii="Times New Roman"/>
                <w:sz w:val="21"/>
              </w:rPr>
              <w:t>10</w:t>
            </w:r>
          </w:p>
        </w:tc>
        <w:tc>
          <w:tcPr>
            <w:tcW w:w="1475" w:type="dxa"/>
          </w:tcPr>
          <w:p>
            <w:pPr>
              <w:pStyle w:val="14"/>
              <w:spacing w:before="34"/>
              <w:ind w:left="191" w:right="184"/>
              <w:rPr>
                <w:rFonts w:ascii="Times New Roman"/>
                <w:sz w:val="21"/>
              </w:rPr>
            </w:pPr>
            <w:r>
              <w:rPr>
                <w:rFonts w:ascii="Times New Roman"/>
                <w:sz w:val="21"/>
              </w:rPr>
              <w:t>5151978.72</w:t>
            </w:r>
          </w:p>
        </w:tc>
        <w:tc>
          <w:tcPr>
            <w:tcW w:w="1504" w:type="dxa"/>
          </w:tcPr>
          <w:p>
            <w:pPr>
              <w:pStyle w:val="14"/>
              <w:spacing w:before="34"/>
              <w:ind w:left="97" w:right="88"/>
              <w:rPr>
                <w:rFonts w:ascii="Times New Roman"/>
                <w:sz w:val="21"/>
              </w:rPr>
            </w:pPr>
            <w:r>
              <w:rPr>
                <w:rFonts w:ascii="Times New Roman"/>
                <w:sz w:val="21"/>
              </w:rPr>
              <w:t>44435746.20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continue"/>
            <w:tcBorders>
              <w:top w:val="nil"/>
            </w:tcBorders>
          </w:tcPr>
          <w:p>
            <w:pPr>
              <w:rPr>
                <w:sz w:val="2"/>
                <w:szCs w:val="2"/>
              </w:rPr>
            </w:pPr>
          </w:p>
        </w:tc>
        <w:tc>
          <w:tcPr>
            <w:tcW w:w="938" w:type="dxa"/>
          </w:tcPr>
          <w:p>
            <w:pPr>
              <w:pStyle w:val="14"/>
              <w:spacing w:before="34"/>
              <w:ind w:right="406"/>
              <w:jc w:val="right"/>
              <w:rPr>
                <w:rFonts w:ascii="Times New Roman"/>
                <w:sz w:val="21"/>
              </w:rPr>
            </w:pPr>
            <w:r>
              <w:rPr>
                <w:rFonts w:ascii="Times New Roman"/>
                <w:w w:val="99"/>
                <w:sz w:val="21"/>
              </w:rPr>
              <w:t>4</w:t>
            </w:r>
          </w:p>
        </w:tc>
        <w:tc>
          <w:tcPr>
            <w:tcW w:w="1525" w:type="dxa"/>
          </w:tcPr>
          <w:p>
            <w:pPr>
              <w:pStyle w:val="14"/>
              <w:spacing w:before="34"/>
              <w:ind w:left="217" w:right="208"/>
              <w:rPr>
                <w:rFonts w:ascii="Times New Roman"/>
                <w:sz w:val="21"/>
              </w:rPr>
            </w:pPr>
            <w:r>
              <w:rPr>
                <w:rFonts w:ascii="Times New Roman"/>
                <w:sz w:val="21"/>
              </w:rPr>
              <w:t>5151397.49</w:t>
            </w:r>
          </w:p>
        </w:tc>
        <w:tc>
          <w:tcPr>
            <w:tcW w:w="1429" w:type="dxa"/>
          </w:tcPr>
          <w:p>
            <w:pPr>
              <w:pStyle w:val="14"/>
              <w:spacing w:before="34"/>
              <w:ind w:left="115" w:right="108"/>
              <w:rPr>
                <w:rFonts w:ascii="Times New Roman"/>
                <w:sz w:val="21"/>
              </w:rPr>
            </w:pPr>
            <w:r>
              <w:rPr>
                <w:rFonts w:ascii="Times New Roman"/>
                <w:sz w:val="21"/>
              </w:rPr>
              <w:t>44436770.68</w:t>
            </w:r>
          </w:p>
        </w:tc>
        <w:tc>
          <w:tcPr>
            <w:tcW w:w="708" w:type="dxa"/>
          </w:tcPr>
          <w:p>
            <w:pPr>
              <w:pStyle w:val="14"/>
              <w:spacing w:before="34"/>
              <w:ind w:left="252"/>
              <w:jc w:val="left"/>
              <w:rPr>
                <w:rFonts w:ascii="Times New Roman"/>
                <w:sz w:val="21"/>
              </w:rPr>
            </w:pPr>
            <w:r>
              <w:rPr>
                <w:rFonts w:ascii="Times New Roman"/>
                <w:sz w:val="21"/>
              </w:rPr>
              <w:t>11</w:t>
            </w:r>
          </w:p>
        </w:tc>
        <w:tc>
          <w:tcPr>
            <w:tcW w:w="1475" w:type="dxa"/>
          </w:tcPr>
          <w:p>
            <w:pPr>
              <w:pStyle w:val="14"/>
              <w:spacing w:before="34"/>
              <w:ind w:left="191" w:right="184"/>
              <w:rPr>
                <w:rFonts w:ascii="Times New Roman"/>
                <w:sz w:val="21"/>
              </w:rPr>
            </w:pPr>
            <w:r>
              <w:rPr>
                <w:rFonts w:ascii="Times New Roman"/>
                <w:sz w:val="21"/>
              </w:rPr>
              <w:t>5151915.72</w:t>
            </w:r>
          </w:p>
        </w:tc>
        <w:tc>
          <w:tcPr>
            <w:tcW w:w="1504" w:type="dxa"/>
          </w:tcPr>
          <w:p>
            <w:pPr>
              <w:pStyle w:val="14"/>
              <w:spacing w:before="34"/>
              <w:ind w:left="97" w:right="88"/>
              <w:rPr>
                <w:rFonts w:ascii="Times New Roman"/>
                <w:sz w:val="21"/>
              </w:rPr>
            </w:pPr>
            <w:r>
              <w:rPr>
                <w:rFonts w:ascii="Times New Roman"/>
                <w:sz w:val="21"/>
              </w:rPr>
              <w:t>44435689.20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943" w:type="dxa"/>
            <w:vMerge w:val="continue"/>
            <w:tcBorders>
              <w:top w:val="nil"/>
            </w:tcBorders>
          </w:tcPr>
          <w:p>
            <w:pPr>
              <w:rPr>
                <w:sz w:val="2"/>
                <w:szCs w:val="2"/>
              </w:rPr>
            </w:pPr>
          </w:p>
        </w:tc>
        <w:tc>
          <w:tcPr>
            <w:tcW w:w="938" w:type="dxa"/>
          </w:tcPr>
          <w:p>
            <w:pPr>
              <w:pStyle w:val="14"/>
              <w:spacing w:before="36"/>
              <w:ind w:right="406"/>
              <w:jc w:val="right"/>
              <w:rPr>
                <w:rFonts w:ascii="Times New Roman"/>
                <w:sz w:val="21"/>
              </w:rPr>
            </w:pPr>
            <w:r>
              <w:rPr>
                <w:rFonts w:ascii="Times New Roman"/>
                <w:w w:val="99"/>
                <w:sz w:val="21"/>
              </w:rPr>
              <w:t>5</w:t>
            </w:r>
          </w:p>
        </w:tc>
        <w:tc>
          <w:tcPr>
            <w:tcW w:w="1525" w:type="dxa"/>
          </w:tcPr>
          <w:p>
            <w:pPr>
              <w:pStyle w:val="14"/>
              <w:spacing w:before="36"/>
              <w:ind w:left="217" w:right="208"/>
              <w:rPr>
                <w:rFonts w:ascii="Times New Roman"/>
                <w:sz w:val="21"/>
              </w:rPr>
            </w:pPr>
            <w:r>
              <w:rPr>
                <w:rFonts w:ascii="Times New Roman"/>
                <w:sz w:val="21"/>
              </w:rPr>
              <w:t>5151654.92</w:t>
            </w:r>
          </w:p>
        </w:tc>
        <w:tc>
          <w:tcPr>
            <w:tcW w:w="1429" w:type="dxa"/>
          </w:tcPr>
          <w:p>
            <w:pPr>
              <w:pStyle w:val="14"/>
              <w:spacing w:before="36"/>
              <w:ind w:left="115" w:right="108"/>
              <w:rPr>
                <w:rFonts w:ascii="Times New Roman"/>
                <w:sz w:val="21"/>
              </w:rPr>
            </w:pPr>
            <w:r>
              <w:rPr>
                <w:rFonts w:ascii="Times New Roman"/>
                <w:sz w:val="21"/>
              </w:rPr>
              <w:t>44436210.11</w:t>
            </w:r>
          </w:p>
        </w:tc>
        <w:tc>
          <w:tcPr>
            <w:tcW w:w="708" w:type="dxa"/>
          </w:tcPr>
          <w:p>
            <w:pPr>
              <w:pStyle w:val="14"/>
              <w:spacing w:before="36"/>
              <w:ind w:left="249"/>
              <w:jc w:val="left"/>
              <w:rPr>
                <w:rFonts w:ascii="Times New Roman"/>
                <w:sz w:val="21"/>
              </w:rPr>
            </w:pPr>
            <w:r>
              <w:rPr>
                <w:rFonts w:ascii="Times New Roman"/>
                <w:sz w:val="21"/>
              </w:rPr>
              <w:t>12</w:t>
            </w:r>
          </w:p>
        </w:tc>
        <w:tc>
          <w:tcPr>
            <w:tcW w:w="1475" w:type="dxa"/>
          </w:tcPr>
          <w:p>
            <w:pPr>
              <w:pStyle w:val="14"/>
              <w:spacing w:before="36"/>
              <w:ind w:left="191" w:right="184"/>
              <w:rPr>
                <w:rFonts w:ascii="Times New Roman"/>
                <w:sz w:val="21"/>
              </w:rPr>
            </w:pPr>
            <w:r>
              <w:rPr>
                <w:rFonts w:ascii="Times New Roman"/>
                <w:sz w:val="21"/>
              </w:rPr>
              <w:t>5152321.72</w:t>
            </w:r>
          </w:p>
        </w:tc>
        <w:tc>
          <w:tcPr>
            <w:tcW w:w="1504" w:type="dxa"/>
          </w:tcPr>
          <w:p>
            <w:pPr>
              <w:pStyle w:val="14"/>
              <w:spacing w:before="36"/>
              <w:ind w:left="97" w:right="88"/>
              <w:rPr>
                <w:rFonts w:ascii="Times New Roman"/>
                <w:sz w:val="21"/>
              </w:rPr>
            </w:pPr>
            <w:r>
              <w:rPr>
                <w:rFonts w:ascii="Times New Roman"/>
                <w:sz w:val="21"/>
              </w:rPr>
              <w:t>44435666.19</w:t>
            </w:r>
          </w:p>
        </w:tc>
      </w:tr>
    </w:tbl>
    <w:p>
      <w:pPr>
        <w:spacing w:after="0"/>
        <w:rPr>
          <w:rFonts w:ascii="Times New Roman"/>
          <w:sz w:val="21"/>
        </w:rPr>
        <w:sectPr>
          <w:pgSz w:w="11910" w:h="16840"/>
          <w:pgMar w:top="1080" w:right="720" w:bottom="1160" w:left="760" w:header="0" w:footer="89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61" name="组合 36"/>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60" name="直线 37"/>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36"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aCLtQAAAADAQAADwAAAAAAAAABACAAAAAiAAAAZHJzL2Rvd25yZXYueG1s&#10;UEsBAhQAFAAAAAgAh07iQBCVD8Q1AgAAtgQAAA4AAAAAAAAAAQAgAAAAIwEAAGRycy9lMm9Eb2Mu&#10;eG1sUEsFBgAAAAAGAAYAWQEAAMoFAAAAAA==&#10;">
                <o:lock v:ext="edit" aspectratio="f"/>
                <v:line id="直线 37" o:spid="_x0000_s1026" o:spt="20" style="position:absolute;left:0;top:7;height:0;width:8306;" filled="f" stroked="t" coordsize="21600,21600" o:gfxdata="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EL4I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pStyle w:val="6"/>
        <w:spacing w:before="1"/>
        <w:rPr>
          <w:b/>
          <w:sz w:val="25"/>
        </w:rPr>
      </w:pPr>
    </w:p>
    <w:tbl>
      <w:tblPr>
        <w:tblStyle w:val="10"/>
        <w:tblW w:w="0" w:type="auto"/>
        <w:tblInd w:w="10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3"/>
        <w:gridCol w:w="938"/>
        <w:gridCol w:w="1525"/>
        <w:gridCol w:w="1429"/>
        <w:gridCol w:w="708"/>
        <w:gridCol w:w="1475"/>
        <w:gridCol w:w="15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restart"/>
          </w:tcPr>
          <w:p>
            <w:pPr>
              <w:pStyle w:val="14"/>
              <w:jc w:val="left"/>
              <w:rPr>
                <w:rFonts w:ascii="Times New Roman"/>
                <w:sz w:val="20"/>
              </w:rPr>
            </w:pPr>
          </w:p>
        </w:tc>
        <w:tc>
          <w:tcPr>
            <w:tcW w:w="938" w:type="dxa"/>
          </w:tcPr>
          <w:p>
            <w:pPr>
              <w:pStyle w:val="14"/>
              <w:spacing w:before="35"/>
              <w:ind w:right="406"/>
              <w:jc w:val="right"/>
              <w:rPr>
                <w:rFonts w:ascii="Times New Roman"/>
                <w:sz w:val="21"/>
              </w:rPr>
            </w:pPr>
            <w:r>
              <w:rPr>
                <w:rFonts w:ascii="Times New Roman"/>
                <w:w w:val="99"/>
                <w:sz w:val="21"/>
              </w:rPr>
              <w:t>6</w:t>
            </w:r>
          </w:p>
        </w:tc>
        <w:tc>
          <w:tcPr>
            <w:tcW w:w="1525" w:type="dxa"/>
          </w:tcPr>
          <w:p>
            <w:pPr>
              <w:pStyle w:val="14"/>
              <w:spacing w:before="35"/>
              <w:ind w:right="251"/>
              <w:jc w:val="right"/>
              <w:rPr>
                <w:rFonts w:ascii="Times New Roman"/>
                <w:sz w:val="21"/>
              </w:rPr>
            </w:pPr>
            <w:r>
              <w:rPr>
                <w:rFonts w:ascii="Times New Roman"/>
                <w:w w:val="95"/>
                <w:sz w:val="21"/>
              </w:rPr>
              <w:t>5151810.72</w:t>
            </w:r>
          </w:p>
        </w:tc>
        <w:tc>
          <w:tcPr>
            <w:tcW w:w="1429" w:type="dxa"/>
          </w:tcPr>
          <w:p>
            <w:pPr>
              <w:pStyle w:val="14"/>
              <w:spacing w:before="35"/>
              <w:ind w:left="115" w:right="108"/>
              <w:rPr>
                <w:rFonts w:ascii="Times New Roman"/>
                <w:sz w:val="21"/>
              </w:rPr>
            </w:pPr>
            <w:r>
              <w:rPr>
                <w:rFonts w:ascii="Times New Roman"/>
                <w:sz w:val="21"/>
              </w:rPr>
              <w:t>44436210.20</w:t>
            </w:r>
          </w:p>
        </w:tc>
        <w:tc>
          <w:tcPr>
            <w:tcW w:w="708" w:type="dxa"/>
          </w:tcPr>
          <w:p>
            <w:pPr>
              <w:pStyle w:val="14"/>
              <w:spacing w:before="35"/>
              <w:ind w:left="249"/>
              <w:jc w:val="left"/>
              <w:rPr>
                <w:rFonts w:ascii="Times New Roman"/>
                <w:sz w:val="21"/>
              </w:rPr>
            </w:pPr>
            <w:r>
              <w:rPr>
                <w:rFonts w:ascii="Times New Roman"/>
                <w:sz w:val="21"/>
              </w:rPr>
              <w:t>13</w:t>
            </w:r>
          </w:p>
        </w:tc>
        <w:tc>
          <w:tcPr>
            <w:tcW w:w="1475" w:type="dxa"/>
          </w:tcPr>
          <w:p>
            <w:pPr>
              <w:pStyle w:val="14"/>
              <w:spacing w:before="35"/>
              <w:ind w:left="191" w:right="184"/>
              <w:rPr>
                <w:rFonts w:ascii="Times New Roman"/>
                <w:sz w:val="21"/>
              </w:rPr>
            </w:pPr>
            <w:r>
              <w:rPr>
                <w:rFonts w:ascii="Times New Roman"/>
                <w:sz w:val="21"/>
              </w:rPr>
              <w:t>5152348.45</w:t>
            </w:r>
          </w:p>
        </w:tc>
        <w:tc>
          <w:tcPr>
            <w:tcW w:w="1504" w:type="dxa"/>
          </w:tcPr>
          <w:p>
            <w:pPr>
              <w:pStyle w:val="14"/>
              <w:spacing w:before="35"/>
              <w:ind w:right="188"/>
              <w:jc w:val="right"/>
              <w:rPr>
                <w:rFonts w:ascii="Times New Roman"/>
                <w:sz w:val="21"/>
              </w:rPr>
            </w:pPr>
            <w:r>
              <w:rPr>
                <w:rFonts w:ascii="Times New Roman"/>
                <w:w w:val="95"/>
                <w:sz w:val="21"/>
              </w:rPr>
              <w:t>44435931.32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43" w:type="dxa"/>
            <w:vMerge w:val="continue"/>
            <w:tcBorders>
              <w:top w:val="nil"/>
            </w:tcBorders>
          </w:tcPr>
          <w:p>
            <w:pPr>
              <w:rPr>
                <w:sz w:val="2"/>
                <w:szCs w:val="2"/>
              </w:rPr>
            </w:pPr>
          </w:p>
        </w:tc>
        <w:tc>
          <w:tcPr>
            <w:tcW w:w="938" w:type="dxa"/>
          </w:tcPr>
          <w:p>
            <w:pPr>
              <w:pStyle w:val="14"/>
              <w:spacing w:before="34"/>
              <w:ind w:right="406"/>
              <w:jc w:val="right"/>
              <w:rPr>
                <w:rFonts w:ascii="Times New Roman"/>
                <w:sz w:val="21"/>
              </w:rPr>
            </w:pPr>
            <w:r>
              <w:rPr>
                <w:rFonts w:ascii="Times New Roman"/>
                <w:w w:val="99"/>
                <w:sz w:val="21"/>
              </w:rPr>
              <w:t>7</w:t>
            </w:r>
          </w:p>
        </w:tc>
        <w:tc>
          <w:tcPr>
            <w:tcW w:w="1525" w:type="dxa"/>
          </w:tcPr>
          <w:p>
            <w:pPr>
              <w:pStyle w:val="14"/>
              <w:spacing w:before="34"/>
              <w:ind w:right="251"/>
              <w:jc w:val="right"/>
              <w:rPr>
                <w:rFonts w:ascii="Times New Roman"/>
                <w:sz w:val="21"/>
              </w:rPr>
            </w:pPr>
            <w:r>
              <w:rPr>
                <w:rFonts w:ascii="Times New Roman"/>
                <w:w w:val="95"/>
                <w:sz w:val="21"/>
              </w:rPr>
              <w:t>5151902.72</w:t>
            </w:r>
          </w:p>
        </w:tc>
        <w:tc>
          <w:tcPr>
            <w:tcW w:w="1429" w:type="dxa"/>
          </w:tcPr>
          <w:p>
            <w:pPr>
              <w:pStyle w:val="14"/>
              <w:spacing w:before="34"/>
              <w:ind w:left="115" w:right="108"/>
              <w:rPr>
                <w:rFonts w:ascii="Times New Roman"/>
                <w:sz w:val="21"/>
              </w:rPr>
            </w:pPr>
            <w:r>
              <w:rPr>
                <w:rFonts w:ascii="Times New Roman"/>
                <w:sz w:val="21"/>
              </w:rPr>
              <w:t>44436010.20</w:t>
            </w:r>
          </w:p>
        </w:tc>
        <w:tc>
          <w:tcPr>
            <w:tcW w:w="708" w:type="dxa"/>
          </w:tcPr>
          <w:p>
            <w:pPr>
              <w:pStyle w:val="14"/>
              <w:spacing w:before="34"/>
              <w:ind w:left="249"/>
              <w:jc w:val="left"/>
              <w:rPr>
                <w:rFonts w:ascii="Times New Roman"/>
                <w:sz w:val="21"/>
              </w:rPr>
            </w:pPr>
            <w:r>
              <w:rPr>
                <w:rFonts w:ascii="Times New Roman"/>
                <w:sz w:val="21"/>
              </w:rPr>
              <w:t>14</w:t>
            </w:r>
          </w:p>
        </w:tc>
        <w:tc>
          <w:tcPr>
            <w:tcW w:w="1475" w:type="dxa"/>
          </w:tcPr>
          <w:p>
            <w:pPr>
              <w:pStyle w:val="14"/>
              <w:spacing w:before="34"/>
              <w:ind w:left="191" w:right="184"/>
              <w:rPr>
                <w:rFonts w:ascii="Times New Roman"/>
                <w:sz w:val="21"/>
              </w:rPr>
            </w:pPr>
            <w:r>
              <w:rPr>
                <w:rFonts w:ascii="Times New Roman"/>
                <w:sz w:val="21"/>
              </w:rPr>
              <w:t>5153263.71</w:t>
            </w:r>
          </w:p>
        </w:tc>
        <w:tc>
          <w:tcPr>
            <w:tcW w:w="1504" w:type="dxa"/>
          </w:tcPr>
          <w:p>
            <w:pPr>
              <w:pStyle w:val="14"/>
              <w:spacing w:before="34"/>
              <w:ind w:right="188"/>
              <w:jc w:val="right"/>
              <w:rPr>
                <w:rFonts w:ascii="Times New Roman"/>
                <w:sz w:val="21"/>
              </w:rPr>
            </w:pPr>
            <w:r>
              <w:rPr>
                <w:rFonts w:ascii="Times New Roman"/>
                <w:w w:val="95"/>
                <w:sz w:val="21"/>
              </w:rPr>
              <w:t>44436396.52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continue"/>
            <w:tcBorders>
              <w:top w:val="nil"/>
            </w:tcBorders>
          </w:tcPr>
          <w:p>
            <w:pPr>
              <w:rPr>
                <w:sz w:val="2"/>
                <w:szCs w:val="2"/>
              </w:rPr>
            </w:pPr>
          </w:p>
        </w:tc>
        <w:tc>
          <w:tcPr>
            <w:tcW w:w="7579" w:type="dxa"/>
            <w:gridSpan w:val="6"/>
          </w:tcPr>
          <w:p>
            <w:pPr>
              <w:pStyle w:val="14"/>
              <w:spacing w:before="20"/>
              <w:ind w:left="2665" w:right="2655"/>
              <w:rPr>
                <w:rFonts w:ascii="Times New Roman" w:eastAsia="Times New Roman"/>
                <w:sz w:val="21"/>
              </w:rPr>
            </w:pPr>
            <w:r>
              <w:rPr>
                <w:sz w:val="21"/>
              </w:rPr>
              <w:t>开采标高：</w:t>
            </w:r>
            <w:r>
              <w:rPr>
                <w:rFonts w:ascii="Times New Roman" w:eastAsia="Times New Roman"/>
                <w:sz w:val="21"/>
              </w:rPr>
              <w:t xml:space="preserve">370 </w:t>
            </w:r>
            <w:r>
              <w:rPr>
                <w:sz w:val="21"/>
              </w:rPr>
              <w:t>至</w:t>
            </w:r>
            <w:r>
              <w:rPr>
                <w:rFonts w:ascii="Times New Roman" w:eastAsia="Times New Roman"/>
                <w:sz w:val="21"/>
              </w:rPr>
              <w:t>-210m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restart"/>
          </w:tcPr>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spacing w:before="195"/>
              <w:ind w:left="346" w:right="337"/>
              <w:rPr>
                <w:rFonts w:ascii="Times New Roman"/>
                <w:sz w:val="21"/>
              </w:rPr>
            </w:pPr>
            <w:r>
              <w:rPr>
                <w:rFonts w:ascii="Times New Roman"/>
                <w:sz w:val="21"/>
              </w:rPr>
              <w:t>15</w:t>
            </w:r>
          </w:p>
        </w:tc>
        <w:tc>
          <w:tcPr>
            <w:tcW w:w="938" w:type="dxa"/>
          </w:tcPr>
          <w:p>
            <w:pPr>
              <w:pStyle w:val="14"/>
              <w:spacing w:before="34"/>
              <w:ind w:right="406"/>
              <w:jc w:val="right"/>
              <w:rPr>
                <w:rFonts w:ascii="Times New Roman"/>
                <w:sz w:val="21"/>
              </w:rPr>
            </w:pPr>
            <w:r>
              <w:rPr>
                <w:rFonts w:ascii="Times New Roman"/>
                <w:w w:val="99"/>
                <w:sz w:val="21"/>
              </w:rPr>
              <w:t>1</w:t>
            </w:r>
          </w:p>
        </w:tc>
        <w:tc>
          <w:tcPr>
            <w:tcW w:w="1525" w:type="dxa"/>
          </w:tcPr>
          <w:p>
            <w:pPr>
              <w:pStyle w:val="14"/>
              <w:spacing w:before="34"/>
              <w:ind w:right="251"/>
              <w:jc w:val="right"/>
              <w:rPr>
                <w:rFonts w:ascii="Times New Roman"/>
                <w:sz w:val="21"/>
              </w:rPr>
            </w:pPr>
            <w:r>
              <w:rPr>
                <w:rFonts w:ascii="Times New Roman"/>
                <w:w w:val="95"/>
                <w:sz w:val="21"/>
              </w:rPr>
              <w:t>5153365.16</w:t>
            </w:r>
          </w:p>
        </w:tc>
        <w:tc>
          <w:tcPr>
            <w:tcW w:w="1429" w:type="dxa"/>
          </w:tcPr>
          <w:p>
            <w:pPr>
              <w:pStyle w:val="14"/>
              <w:spacing w:before="34"/>
              <w:ind w:left="115" w:right="108"/>
              <w:rPr>
                <w:rFonts w:ascii="Times New Roman"/>
                <w:sz w:val="21"/>
              </w:rPr>
            </w:pPr>
            <w:r>
              <w:rPr>
                <w:rFonts w:ascii="Times New Roman"/>
                <w:sz w:val="21"/>
              </w:rPr>
              <w:t>44437595.11</w:t>
            </w:r>
          </w:p>
        </w:tc>
        <w:tc>
          <w:tcPr>
            <w:tcW w:w="708" w:type="dxa"/>
          </w:tcPr>
          <w:p>
            <w:pPr>
              <w:pStyle w:val="14"/>
              <w:spacing w:before="34"/>
              <w:ind w:left="300"/>
              <w:jc w:val="left"/>
              <w:rPr>
                <w:rFonts w:ascii="Times New Roman"/>
                <w:sz w:val="21"/>
              </w:rPr>
            </w:pPr>
            <w:r>
              <w:rPr>
                <w:rFonts w:ascii="Times New Roman"/>
                <w:w w:val="99"/>
                <w:sz w:val="21"/>
              </w:rPr>
              <w:t>9</w:t>
            </w:r>
          </w:p>
        </w:tc>
        <w:tc>
          <w:tcPr>
            <w:tcW w:w="1475" w:type="dxa"/>
          </w:tcPr>
          <w:p>
            <w:pPr>
              <w:pStyle w:val="14"/>
              <w:spacing w:before="34"/>
              <w:ind w:left="191" w:right="184"/>
              <w:rPr>
                <w:rFonts w:ascii="Times New Roman"/>
                <w:sz w:val="21"/>
              </w:rPr>
            </w:pPr>
            <w:r>
              <w:rPr>
                <w:rFonts w:ascii="Times New Roman"/>
                <w:sz w:val="21"/>
              </w:rPr>
              <w:t>5151902.72</w:t>
            </w:r>
          </w:p>
        </w:tc>
        <w:tc>
          <w:tcPr>
            <w:tcW w:w="1504" w:type="dxa"/>
          </w:tcPr>
          <w:p>
            <w:pPr>
              <w:pStyle w:val="14"/>
              <w:spacing w:before="34"/>
              <w:ind w:right="188"/>
              <w:jc w:val="right"/>
              <w:rPr>
                <w:rFonts w:ascii="Times New Roman"/>
                <w:sz w:val="21"/>
              </w:rPr>
            </w:pPr>
            <w:r>
              <w:rPr>
                <w:rFonts w:ascii="Times New Roman"/>
                <w:w w:val="95"/>
                <w:sz w:val="21"/>
              </w:rPr>
              <w:t>44436010.20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continue"/>
            <w:tcBorders>
              <w:top w:val="nil"/>
            </w:tcBorders>
          </w:tcPr>
          <w:p>
            <w:pPr>
              <w:rPr>
                <w:sz w:val="2"/>
                <w:szCs w:val="2"/>
              </w:rPr>
            </w:pPr>
          </w:p>
        </w:tc>
        <w:tc>
          <w:tcPr>
            <w:tcW w:w="938" w:type="dxa"/>
          </w:tcPr>
          <w:p>
            <w:pPr>
              <w:pStyle w:val="14"/>
              <w:spacing w:before="36"/>
              <w:ind w:right="406"/>
              <w:jc w:val="right"/>
              <w:rPr>
                <w:rFonts w:ascii="Times New Roman"/>
                <w:sz w:val="21"/>
              </w:rPr>
            </w:pPr>
            <w:r>
              <w:rPr>
                <w:rFonts w:ascii="Times New Roman"/>
                <w:w w:val="99"/>
                <w:sz w:val="21"/>
              </w:rPr>
              <w:t>2</w:t>
            </w:r>
          </w:p>
        </w:tc>
        <w:tc>
          <w:tcPr>
            <w:tcW w:w="1525" w:type="dxa"/>
          </w:tcPr>
          <w:p>
            <w:pPr>
              <w:pStyle w:val="14"/>
              <w:spacing w:before="36"/>
              <w:ind w:right="251"/>
              <w:jc w:val="right"/>
              <w:rPr>
                <w:rFonts w:ascii="Times New Roman"/>
                <w:sz w:val="21"/>
              </w:rPr>
            </w:pPr>
            <w:r>
              <w:rPr>
                <w:rFonts w:ascii="Times New Roman"/>
                <w:w w:val="95"/>
                <w:sz w:val="21"/>
              </w:rPr>
              <w:t>5152040.64</w:t>
            </w:r>
          </w:p>
        </w:tc>
        <w:tc>
          <w:tcPr>
            <w:tcW w:w="1429" w:type="dxa"/>
          </w:tcPr>
          <w:p>
            <w:pPr>
              <w:pStyle w:val="14"/>
              <w:spacing w:before="36"/>
              <w:ind w:left="115" w:right="108"/>
              <w:rPr>
                <w:rFonts w:ascii="Times New Roman"/>
                <w:sz w:val="21"/>
              </w:rPr>
            </w:pPr>
            <w:r>
              <w:rPr>
                <w:rFonts w:ascii="Times New Roman"/>
                <w:sz w:val="21"/>
              </w:rPr>
              <w:t>44437595.11</w:t>
            </w:r>
          </w:p>
        </w:tc>
        <w:tc>
          <w:tcPr>
            <w:tcW w:w="708" w:type="dxa"/>
          </w:tcPr>
          <w:p>
            <w:pPr>
              <w:pStyle w:val="14"/>
              <w:spacing w:before="36"/>
              <w:ind w:left="249"/>
              <w:jc w:val="left"/>
              <w:rPr>
                <w:rFonts w:ascii="Times New Roman"/>
                <w:sz w:val="21"/>
              </w:rPr>
            </w:pPr>
            <w:r>
              <w:rPr>
                <w:rFonts w:ascii="Times New Roman"/>
                <w:sz w:val="21"/>
              </w:rPr>
              <w:t>10</w:t>
            </w:r>
          </w:p>
        </w:tc>
        <w:tc>
          <w:tcPr>
            <w:tcW w:w="1475" w:type="dxa"/>
          </w:tcPr>
          <w:p>
            <w:pPr>
              <w:pStyle w:val="14"/>
              <w:spacing w:before="36"/>
              <w:ind w:left="191" w:right="184"/>
              <w:rPr>
                <w:rFonts w:ascii="Times New Roman"/>
                <w:sz w:val="21"/>
              </w:rPr>
            </w:pPr>
            <w:r>
              <w:rPr>
                <w:rFonts w:ascii="Times New Roman"/>
                <w:sz w:val="21"/>
              </w:rPr>
              <w:t>5152005.72</w:t>
            </w:r>
          </w:p>
        </w:tc>
        <w:tc>
          <w:tcPr>
            <w:tcW w:w="1504" w:type="dxa"/>
          </w:tcPr>
          <w:p>
            <w:pPr>
              <w:pStyle w:val="14"/>
              <w:spacing w:before="36"/>
              <w:ind w:right="188"/>
              <w:jc w:val="right"/>
              <w:rPr>
                <w:rFonts w:ascii="Times New Roman"/>
                <w:sz w:val="21"/>
              </w:rPr>
            </w:pPr>
            <w:r>
              <w:rPr>
                <w:rFonts w:ascii="Times New Roman"/>
                <w:w w:val="95"/>
                <w:sz w:val="21"/>
              </w:rPr>
              <w:t>44435834.20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continue"/>
            <w:tcBorders>
              <w:top w:val="nil"/>
            </w:tcBorders>
          </w:tcPr>
          <w:p>
            <w:pPr>
              <w:rPr>
                <w:sz w:val="2"/>
                <w:szCs w:val="2"/>
              </w:rPr>
            </w:pPr>
          </w:p>
        </w:tc>
        <w:tc>
          <w:tcPr>
            <w:tcW w:w="938" w:type="dxa"/>
          </w:tcPr>
          <w:p>
            <w:pPr>
              <w:pStyle w:val="14"/>
              <w:spacing w:before="35"/>
              <w:ind w:right="406"/>
              <w:jc w:val="right"/>
              <w:rPr>
                <w:rFonts w:ascii="Times New Roman"/>
                <w:sz w:val="21"/>
              </w:rPr>
            </w:pPr>
            <w:r>
              <w:rPr>
                <w:rFonts w:ascii="Times New Roman"/>
                <w:w w:val="99"/>
                <w:sz w:val="21"/>
              </w:rPr>
              <w:t>3</w:t>
            </w:r>
          </w:p>
        </w:tc>
        <w:tc>
          <w:tcPr>
            <w:tcW w:w="1525" w:type="dxa"/>
          </w:tcPr>
          <w:p>
            <w:pPr>
              <w:pStyle w:val="14"/>
              <w:spacing w:before="35"/>
              <w:ind w:right="251"/>
              <w:jc w:val="right"/>
              <w:rPr>
                <w:rFonts w:ascii="Times New Roman"/>
                <w:sz w:val="21"/>
              </w:rPr>
            </w:pPr>
            <w:r>
              <w:rPr>
                <w:rFonts w:ascii="Times New Roman"/>
                <w:w w:val="95"/>
                <w:sz w:val="21"/>
              </w:rPr>
              <w:t>5151538.11</w:t>
            </w:r>
          </w:p>
        </w:tc>
        <w:tc>
          <w:tcPr>
            <w:tcW w:w="1429" w:type="dxa"/>
          </w:tcPr>
          <w:p>
            <w:pPr>
              <w:pStyle w:val="14"/>
              <w:spacing w:before="35"/>
              <w:ind w:left="115" w:right="108"/>
              <w:rPr>
                <w:rFonts w:ascii="Times New Roman"/>
                <w:sz w:val="21"/>
              </w:rPr>
            </w:pPr>
            <w:r>
              <w:rPr>
                <w:rFonts w:ascii="Times New Roman"/>
                <w:sz w:val="21"/>
              </w:rPr>
              <w:t>44438201.85</w:t>
            </w:r>
          </w:p>
        </w:tc>
        <w:tc>
          <w:tcPr>
            <w:tcW w:w="708" w:type="dxa"/>
          </w:tcPr>
          <w:p>
            <w:pPr>
              <w:pStyle w:val="14"/>
              <w:spacing w:before="35"/>
              <w:ind w:left="252"/>
              <w:jc w:val="left"/>
              <w:rPr>
                <w:rFonts w:ascii="Times New Roman"/>
                <w:sz w:val="21"/>
              </w:rPr>
            </w:pPr>
            <w:r>
              <w:rPr>
                <w:rFonts w:ascii="Times New Roman"/>
                <w:sz w:val="21"/>
              </w:rPr>
              <w:t>11</w:t>
            </w:r>
          </w:p>
        </w:tc>
        <w:tc>
          <w:tcPr>
            <w:tcW w:w="1475" w:type="dxa"/>
          </w:tcPr>
          <w:p>
            <w:pPr>
              <w:pStyle w:val="14"/>
              <w:spacing w:before="35"/>
              <w:ind w:left="191" w:right="184"/>
              <w:rPr>
                <w:rFonts w:ascii="Times New Roman"/>
                <w:sz w:val="21"/>
              </w:rPr>
            </w:pPr>
            <w:r>
              <w:rPr>
                <w:rFonts w:ascii="Times New Roman"/>
                <w:sz w:val="21"/>
              </w:rPr>
              <w:t>5151935.72</w:t>
            </w:r>
          </w:p>
        </w:tc>
        <w:tc>
          <w:tcPr>
            <w:tcW w:w="1504" w:type="dxa"/>
          </w:tcPr>
          <w:p>
            <w:pPr>
              <w:pStyle w:val="14"/>
              <w:spacing w:before="35"/>
              <w:ind w:right="188"/>
              <w:jc w:val="right"/>
              <w:rPr>
                <w:rFonts w:ascii="Times New Roman"/>
                <w:sz w:val="21"/>
              </w:rPr>
            </w:pPr>
            <w:r>
              <w:rPr>
                <w:rFonts w:ascii="Times New Roman"/>
                <w:w w:val="95"/>
                <w:sz w:val="21"/>
              </w:rPr>
              <w:t>44435784.20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43" w:type="dxa"/>
            <w:vMerge w:val="continue"/>
            <w:tcBorders>
              <w:top w:val="nil"/>
            </w:tcBorders>
          </w:tcPr>
          <w:p>
            <w:pPr>
              <w:rPr>
                <w:sz w:val="2"/>
                <w:szCs w:val="2"/>
              </w:rPr>
            </w:pPr>
          </w:p>
        </w:tc>
        <w:tc>
          <w:tcPr>
            <w:tcW w:w="938" w:type="dxa"/>
          </w:tcPr>
          <w:p>
            <w:pPr>
              <w:pStyle w:val="14"/>
              <w:spacing w:before="35"/>
              <w:ind w:right="406"/>
              <w:jc w:val="right"/>
              <w:rPr>
                <w:rFonts w:ascii="Times New Roman"/>
                <w:sz w:val="21"/>
              </w:rPr>
            </w:pPr>
            <w:r>
              <w:rPr>
                <w:rFonts w:ascii="Times New Roman"/>
                <w:w w:val="99"/>
                <w:sz w:val="21"/>
              </w:rPr>
              <w:t>4</w:t>
            </w:r>
          </w:p>
        </w:tc>
        <w:tc>
          <w:tcPr>
            <w:tcW w:w="1525" w:type="dxa"/>
          </w:tcPr>
          <w:p>
            <w:pPr>
              <w:pStyle w:val="14"/>
              <w:spacing w:before="35"/>
              <w:ind w:right="251"/>
              <w:jc w:val="right"/>
              <w:rPr>
                <w:rFonts w:ascii="Times New Roman"/>
                <w:sz w:val="21"/>
              </w:rPr>
            </w:pPr>
            <w:r>
              <w:rPr>
                <w:rFonts w:ascii="Times New Roman"/>
                <w:w w:val="95"/>
                <w:sz w:val="21"/>
              </w:rPr>
              <w:t>5151487.72</w:t>
            </w:r>
          </w:p>
        </w:tc>
        <w:tc>
          <w:tcPr>
            <w:tcW w:w="1429" w:type="dxa"/>
          </w:tcPr>
          <w:p>
            <w:pPr>
              <w:pStyle w:val="14"/>
              <w:spacing w:before="35"/>
              <w:ind w:left="115" w:right="108"/>
              <w:rPr>
                <w:rFonts w:ascii="Times New Roman"/>
                <w:sz w:val="21"/>
              </w:rPr>
            </w:pPr>
            <w:r>
              <w:rPr>
                <w:rFonts w:ascii="Times New Roman"/>
                <w:sz w:val="21"/>
              </w:rPr>
              <w:t>44437234.21</w:t>
            </w:r>
          </w:p>
        </w:tc>
        <w:tc>
          <w:tcPr>
            <w:tcW w:w="708" w:type="dxa"/>
          </w:tcPr>
          <w:p>
            <w:pPr>
              <w:pStyle w:val="14"/>
              <w:spacing w:before="35"/>
              <w:ind w:left="249"/>
              <w:jc w:val="left"/>
              <w:rPr>
                <w:rFonts w:ascii="Times New Roman"/>
                <w:sz w:val="21"/>
              </w:rPr>
            </w:pPr>
            <w:r>
              <w:rPr>
                <w:rFonts w:ascii="Times New Roman"/>
                <w:sz w:val="21"/>
              </w:rPr>
              <w:t>12</w:t>
            </w:r>
          </w:p>
        </w:tc>
        <w:tc>
          <w:tcPr>
            <w:tcW w:w="1475" w:type="dxa"/>
          </w:tcPr>
          <w:p>
            <w:pPr>
              <w:pStyle w:val="14"/>
              <w:spacing w:before="35"/>
              <w:ind w:left="191" w:right="184"/>
              <w:rPr>
                <w:rFonts w:ascii="Times New Roman"/>
                <w:sz w:val="21"/>
              </w:rPr>
            </w:pPr>
            <w:r>
              <w:rPr>
                <w:rFonts w:ascii="Times New Roman"/>
                <w:sz w:val="21"/>
              </w:rPr>
              <w:t>5151978.72</w:t>
            </w:r>
          </w:p>
        </w:tc>
        <w:tc>
          <w:tcPr>
            <w:tcW w:w="1504" w:type="dxa"/>
          </w:tcPr>
          <w:p>
            <w:pPr>
              <w:pStyle w:val="14"/>
              <w:spacing w:before="35"/>
              <w:ind w:right="188"/>
              <w:jc w:val="right"/>
              <w:rPr>
                <w:rFonts w:ascii="Times New Roman"/>
                <w:sz w:val="21"/>
              </w:rPr>
            </w:pPr>
            <w:r>
              <w:rPr>
                <w:rFonts w:ascii="Times New Roman"/>
                <w:w w:val="95"/>
                <w:sz w:val="21"/>
              </w:rPr>
              <w:t>44435746.20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continue"/>
            <w:tcBorders>
              <w:top w:val="nil"/>
            </w:tcBorders>
          </w:tcPr>
          <w:p>
            <w:pPr>
              <w:rPr>
                <w:sz w:val="2"/>
                <w:szCs w:val="2"/>
              </w:rPr>
            </w:pPr>
          </w:p>
        </w:tc>
        <w:tc>
          <w:tcPr>
            <w:tcW w:w="938" w:type="dxa"/>
          </w:tcPr>
          <w:p>
            <w:pPr>
              <w:pStyle w:val="14"/>
              <w:spacing w:before="34"/>
              <w:ind w:right="406"/>
              <w:jc w:val="right"/>
              <w:rPr>
                <w:rFonts w:ascii="Times New Roman"/>
                <w:sz w:val="21"/>
              </w:rPr>
            </w:pPr>
            <w:r>
              <w:rPr>
                <w:rFonts w:ascii="Times New Roman"/>
                <w:w w:val="99"/>
                <w:sz w:val="21"/>
              </w:rPr>
              <w:t>5</w:t>
            </w:r>
          </w:p>
        </w:tc>
        <w:tc>
          <w:tcPr>
            <w:tcW w:w="1525" w:type="dxa"/>
          </w:tcPr>
          <w:p>
            <w:pPr>
              <w:pStyle w:val="14"/>
              <w:spacing w:before="34"/>
              <w:ind w:right="251"/>
              <w:jc w:val="right"/>
              <w:rPr>
                <w:rFonts w:ascii="Times New Roman"/>
                <w:sz w:val="21"/>
              </w:rPr>
            </w:pPr>
            <w:r>
              <w:rPr>
                <w:rFonts w:ascii="Times New Roman"/>
                <w:w w:val="95"/>
                <w:sz w:val="21"/>
              </w:rPr>
              <w:t>5151491.72</w:t>
            </w:r>
          </w:p>
        </w:tc>
        <w:tc>
          <w:tcPr>
            <w:tcW w:w="1429" w:type="dxa"/>
          </w:tcPr>
          <w:p>
            <w:pPr>
              <w:pStyle w:val="14"/>
              <w:spacing w:before="34"/>
              <w:ind w:left="115" w:right="108"/>
              <w:rPr>
                <w:rFonts w:ascii="Times New Roman"/>
                <w:sz w:val="21"/>
              </w:rPr>
            </w:pPr>
            <w:r>
              <w:rPr>
                <w:rFonts w:ascii="Times New Roman"/>
                <w:sz w:val="21"/>
              </w:rPr>
              <w:t>44436858.20</w:t>
            </w:r>
          </w:p>
        </w:tc>
        <w:tc>
          <w:tcPr>
            <w:tcW w:w="708" w:type="dxa"/>
          </w:tcPr>
          <w:p>
            <w:pPr>
              <w:pStyle w:val="14"/>
              <w:spacing w:before="34"/>
              <w:ind w:left="249"/>
              <w:jc w:val="left"/>
              <w:rPr>
                <w:rFonts w:ascii="Times New Roman"/>
                <w:sz w:val="21"/>
              </w:rPr>
            </w:pPr>
            <w:r>
              <w:rPr>
                <w:rFonts w:ascii="Times New Roman"/>
                <w:sz w:val="21"/>
              </w:rPr>
              <w:t>13</w:t>
            </w:r>
          </w:p>
        </w:tc>
        <w:tc>
          <w:tcPr>
            <w:tcW w:w="1475" w:type="dxa"/>
          </w:tcPr>
          <w:p>
            <w:pPr>
              <w:pStyle w:val="14"/>
              <w:spacing w:before="34"/>
              <w:ind w:left="191" w:right="184"/>
              <w:rPr>
                <w:rFonts w:ascii="Times New Roman"/>
                <w:sz w:val="21"/>
              </w:rPr>
            </w:pPr>
            <w:r>
              <w:rPr>
                <w:rFonts w:ascii="Times New Roman"/>
                <w:sz w:val="21"/>
              </w:rPr>
              <w:t>5151915.72</w:t>
            </w:r>
          </w:p>
        </w:tc>
        <w:tc>
          <w:tcPr>
            <w:tcW w:w="1504" w:type="dxa"/>
          </w:tcPr>
          <w:p>
            <w:pPr>
              <w:pStyle w:val="14"/>
              <w:spacing w:before="34"/>
              <w:ind w:right="188"/>
              <w:jc w:val="right"/>
              <w:rPr>
                <w:rFonts w:ascii="Times New Roman"/>
                <w:sz w:val="21"/>
              </w:rPr>
            </w:pPr>
            <w:r>
              <w:rPr>
                <w:rFonts w:ascii="Times New Roman"/>
                <w:w w:val="95"/>
                <w:sz w:val="21"/>
              </w:rPr>
              <w:t>44435689.20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continue"/>
            <w:tcBorders>
              <w:top w:val="nil"/>
            </w:tcBorders>
          </w:tcPr>
          <w:p>
            <w:pPr>
              <w:rPr>
                <w:sz w:val="2"/>
                <w:szCs w:val="2"/>
              </w:rPr>
            </w:pPr>
          </w:p>
        </w:tc>
        <w:tc>
          <w:tcPr>
            <w:tcW w:w="938" w:type="dxa"/>
          </w:tcPr>
          <w:p>
            <w:pPr>
              <w:pStyle w:val="14"/>
              <w:spacing w:before="34"/>
              <w:ind w:right="406"/>
              <w:jc w:val="right"/>
              <w:rPr>
                <w:rFonts w:ascii="Times New Roman"/>
                <w:sz w:val="21"/>
              </w:rPr>
            </w:pPr>
            <w:r>
              <w:rPr>
                <w:rFonts w:ascii="Times New Roman"/>
                <w:w w:val="99"/>
                <w:sz w:val="21"/>
              </w:rPr>
              <w:t>6</w:t>
            </w:r>
          </w:p>
        </w:tc>
        <w:tc>
          <w:tcPr>
            <w:tcW w:w="1525" w:type="dxa"/>
          </w:tcPr>
          <w:p>
            <w:pPr>
              <w:pStyle w:val="14"/>
              <w:spacing w:before="34"/>
              <w:ind w:right="251"/>
              <w:jc w:val="right"/>
              <w:rPr>
                <w:rFonts w:ascii="Times New Roman"/>
                <w:sz w:val="21"/>
              </w:rPr>
            </w:pPr>
            <w:r>
              <w:rPr>
                <w:rFonts w:ascii="Times New Roman"/>
                <w:w w:val="95"/>
                <w:sz w:val="21"/>
              </w:rPr>
              <w:t>5151466.64</w:t>
            </w:r>
          </w:p>
        </w:tc>
        <w:tc>
          <w:tcPr>
            <w:tcW w:w="1429" w:type="dxa"/>
          </w:tcPr>
          <w:p>
            <w:pPr>
              <w:pStyle w:val="14"/>
              <w:spacing w:before="34"/>
              <w:ind w:left="115" w:right="108"/>
              <w:rPr>
                <w:rFonts w:ascii="Times New Roman"/>
                <w:sz w:val="21"/>
              </w:rPr>
            </w:pPr>
            <w:r>
              <w:rPr>
                <w:rFonts w:ascii="Times New Roman"/>
                <w:sz w:val="21"/>
              </w:rPr>
              <w:t>44436620.11</w:t>
            </w:r>
          </w:p>
        </w:tc>
        <w:tc>
          <w:tcPr>
            <w:tcW w:w="708" w:type="dxa"/>
          </w:tcPr>
          <w:p>
            <w:pPr>
              <w:pStyle w:val="14"/>
              <w:spacing w:before="34"/>
              <w:ind w:left="249"/>
              <w:jc w:val="left"/>
              <w:rPr>
                <w:rFonts w:ascii="Times New Roman"/>
                <w:sz w:val="21"/>
              </w:rPr>
            </w:pPr>
            <w:r>
              <w:rPr>
                <w:rFonts w:ascii="Times New Roman"/>
                <w:sz w:val="21"/>
              </w:rPr>
              <w:t>14</w:t>
            </w:r>
          </w:p>
        </w:tc>
        <w:tc>
          <w:tcPr>
            <w:tcW w:w="1475" w:type="dxa"/>
          </w:tcPr>
          <w:p>
            <w:pPr>
              <w:pStyle w:val="14"/>
              <w:spacing w:before="34"/>
              <w:ind w:left="191" w:right="184"/>
              <w:rPr>
                <w:rFonts w:ascii="Times New Roman"/>
                <w:sz w:val="21"/>
              </w:rPr>
            </w:pPr>
            <w:r>
              <w:rPr>
                <w:rFonts w:ascii="Times New Roman"/>
                <w:sz w:val="21"/>
              </w:rPr>
              <w:t>5152581.72</w:t>
            </w:r>
          </w:p>
        </w:tc>
        <w:tc>
          <w:tcPr>
            <w:tcW w:w="1504" w:type="dxa"/>
          </w:tcPr>
          <w:p>
            <w:pPr>
              <w:pStyle w:val="14"/>
              <w:spacing w:before="34"/>
              <w:ind w:right="188"/>
              <w:jc w:val="right"/>
              <w:rPr>
                <w:rFonts w:ascii="Times New Roman"/>
                <w:sz w:val="21"/>
              </w:rPr>
            </w:pPr>
            <w:r>
              <w:rPr>
                <w:rFonts w:ascii="Times New Roman"/>
                <w:w w:val="95"/>
                <w:sz w:val="21"/>
              </w:rPr>
              <w:t>44435580.19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continue"/>
            <w:tcBorders>
              <w:top w:val="nil"/>
            </w:tcBorders>
          </w:tcPr>
          <w:p>
            <w:pPr>
              <w:rPr>
                <w:sz w:val="2"/>
                <w:szCs w:val="2"/>
              </w:rPr>
            </w:pPr>
          </w:p>
        </w:tc>
        <w:tc>
          <w:tcPr>
            <w:tcW w:w="938" w:type="dxa"/>
          </w:tcPr>
          <w:p>
            <w:pPr>
              <w:pStyle w:val="14"/>
              <w:spacing w:before="34"/>
              <w:ind w:right="406"/>
              <w:jc w:val="right"/>
              <w:rPr>
                <w:rFonts w:ascii="Times New Roman"/>
                <w:sz w:val="21"/>
              </w:rPr>
            </w:pPr>
            <w:r>
              <w:rPr>
                <w:rFonts w:ascii="Times New Roman"/>
                <w:w w:val="99"/>
                <w:sz w:val="21"/>
              </w:rPr>
              <w:t>7</w:t>
            </w:r>
          </w:p>
        </w:tc>
        <w:tc>
          <w:tcPr>
            <w:tcW w:w="1525" w:type="dxa"/>
          </w:tcPr>
          <w:p>
            <w:pPr>
              <w:pStyle w:val="14"/>
              <w:spacing w:before="34"/>
              <w:ind w:right="251"/>
              <w:jc w:val="right"/>
              <w:rPr>
                <w:rFonts w:ascii="Times New Roman"/>
                <w:sz w:val="21"/>
              </w:rPr>
            </w:pPr>
            <w:r>
              <w:rPr>
                <w:rFonts w:ascii="Times New Roman"/>
                <w:w w:val="95"/>
                <w:sz w:val="21"/>
              </w:rPr>
              <w:t>5151654.92</w:t>
            </w:r>
          </w:p>
        </w:tc>
        <w:tc>
          <w:tcPr>
            <w:tcW w:w="1429" w:type="dxa"/>
          </w:tcPr>
          <w:p>
            <w:pPr>
              <w:pStyle w:val="14"/>
              <w:spacing w:before="34"/>
              <w:ind w:left="115" w:right="108"/>
              <w:rPr>
                <w:rFonts w:ascii="Times New Roman"/>
                <w:sz w:val="21"/>
              </w:rPr>
            </w:pPr>
            <w:r>
              <w:rPr>
                <w:rFonts w:ascii="Times New Roman"/>
                <w:sz w:val="21"/>
              </w:rPr>
              <w:t>44436210.11</w:t>
            </w:r>
          </w:p>
        </w:tc>
        <w:tc>
          <w:tcPr>
            <w:tcW w:w="708" w:type="dxa"/>
          </w:tcPr>
          <w:p>
            <w:pPr>
              <w:pStyle w:val="14"/>
              <w:spacing w:before="34"/>
              <w:ind w:left="249"/>
              <w:jc w:val="left"/>
              <w:rPr>
                <w:rFonts w:ascii="Times New Roman"/>
                <w:sz w:val="21"/>
              </w:rPr>
            </w:pPr>
            <w:r>
              <w:rPr>
                <w:rFonts w:ascii="Times New Roman"/>
                <w:sz w:val="21"/>
              </w:rPr>
              <w:t>15</w:t>
            </w:r>
          </w:p>
        </w:tc>
        <w:tc>
          <w:tcPr>
            <w:tcW w:w="1475" w:type="dxa"/>
          </w:tcPr>
          <w:p>
            <w:pPr>
              <w:pStyle w:val="14"/>
              <w:spacing w:before="34"/>
              <w:ind w:left="191" w:right="184"/>
              <w:rPr>
                <w:rFonts w:ascii="Times New Roman"/>
                <w:sz w:val="21"/>
              </w:rPr>
            </w:pPr>
            <w:r>
              <w:rPr>
                <w:rFonts w:ascii="Times New Roman"/>
                <w:sz w:val="21"/>
              </w:rPr>
              <w:t>5152348.45</w:t>
            </w:r>
          </w:p>
        </w:tc>
        <w:tc>
          <w:tcPr>
            <w:tcW w:w="1504" w:type="dxa"/>
          </w:tcPr>
          <w:p>
            <w:pPr>
              <w:pStyle w:val="14"/>
              <w:spacing w:before="34"/>
              <w:ind w:right="188"/>
              <w:jc w:val="right"/>
              <w:rPr>
                <w:rFonts w:ascii="Times New Roman"/>
                <w:sz w:val="21"/>
              </w:rPr>
            </w:pPr>
            <w:r>
              <w:rPr>
                <w:rFonts w:ascii="Times New Roman"/>
                <w:w w:val="95"/>
                <w:sz w:val="21"/>
              </w:rPr>
              <w:t>44435931.32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continue"/>
            <w:tcBorders>
              <w:top w:val="nil"/>
            </w:tcBorders>
          </w:tcPr>
          <w:p>
            <w:pPr>
              <w:rPr>
                <w:sz w:val="2"/>
                <w:szCs w:val="2"/>
              </w:rPr>
            </w:pPr>
          </w:p>
        </w:tc>
        <w:tc>
          <w:tcPr>
            <w:tcW w:w="938" w:type="dxa"/>
          </w:tcPr>
          <w:p>
            <w:pPr>
              <w:pStyle w:val="14"/>
              <w:spacing w:before="36"/>
              <w:ind w:right="406"/>
              <w:jc w:val="right"/>
              <w:rPr>
                <w:rFonts w:ascii="Times New Roman"/>
                <w:sz w:val="21"/>
              </w:rPr>
            </w:pPr>
            <w:r>
              <w:rPr>
                <w:rFonts w:ascii="Times New Roman"/>
                <w:w w:val="99"/>
                <w:sz w:val="21"/>
              </w:rPr>
              <w:t>8</w:t>
            </w:r>
          </w:p>
        </w:tc>
        <w:tc>
          <w:tcPr>
            <w:tcW w:w="1525" w:type="dxa"/>
          </w:tcPr>
          <w:p>
            <w:pPr>
              <w:pStyle w:val="14"/>
              <w:spacing w:before="36"/>
              <w:ind w:right="251"/>
              <w:jc w:val="right"/>
              <w:rPr>
                <w:rFonts w:ascii="Times New Roman"/>
                <w:sz w:val="21"/>
              </w:rPr>
            </w:pPr>
            <w:r>
              <w:rPr>
                <w:rFonts w:ascii="Times New Roman"/>
                <w:w w:val="95"/>
                <w:sz w:val="21"/>
              </w:rPr>
              <w:t>5151810.72</w:t>
            </w:r>
          </w:p>
        </w:tc>
        <w:tc>
          <w:tcPr>
            <w:tcW w:w="1429" w:type="dxa"/>
          </w:tcPr>
          <w:p>
            <w:pPr>
              <w:pStyle w:val="14"/>
              <w:spacing w:before="36"/>
              <w:ind w:left="115" w:right="108"/>
              <w:rPr>
                <w:rFonts w:ascii="Times New Roman"/>
                <w:sz w:val="21"/>
              </w:rPr>
            </w:pPr>
            <w:r>
              <w:rPr>
                <w:rFonts w:ascii="Times New Roman"/>
                <w:sz w:val="21"/>
              </w:rPr>
              <w:t>44436210.20</w:t>
            </w:r>
          </w:p>
        </w:tc>
        <w:tc>
          <w:tcPr>
            <w:tcW w:w="708" w:type="dxa"/>
          </w:tcPr>
          <w:p>
            <w:pPr>
              <w:pStyle w:val="14"/>
              <w:spacing w:before="36"/>
              <w:ind w:left="249"/>
              <w:jc w:val="left"/>
              <w:rPr>
                <w:rFonts w:ascii="Times New Roman"/>
                <w:sz w:val="21"/>
              </w:rPr>
            </w:pPr>
            <w:r>
              <w:rPr>
                <w:rFonts w:ascii="Times New Roman"/>
                <w:sz w:val="21"/>
              </w:rPr>
              <w:t>16</w:t>
            </w:r>
          </w:p>
        </w:tc>
        <w:tc>
          <w:tcPr>
            <w:tcW w:w="1475" w:type="dxa"/>
          </w:tcPr>
          <w:p>
            <w:pPr>
              <w:pStyle w:val="14"/>
              <w:spacing w:before="36"/>
              <w:ind w:left="191" w:right="184"/>
              <w:rPr>
                <w:rFonts w:ascii="Times New Roman"/>
                <w:sz w:val="21"/>
              </w:rPr>
            </w:pPr>
            <w:r>
              <w:rPr>
                <w:rFonts w:ascii="Times New Roman"/>
                <w:sz w:val="21"/>
              </w:rPr>
              <w:t>5153263.71</w:t>
            </w:r>
          </w:p>
        </w:tc>
        <w:tc>
          <w:tcPr>
            <w:tcW w:w="1504" w:type="dxa"/>
          </w:tcPr>
          <w:p>
            <w:pPr>
              <w:pStyle w:val="14"/>
              <w:spacing w:before="36"/>
              <w:ind w:right="188"/>
              <w:jc w:val="right"/>
              <w:rPr>
                <w:rFonts w:ascii="Times New Roman"/>
                <w:sz w:val="21"/>
              </w:rPr>
            </w:pPr>
            <w:r>
              <w:rPr>
                <w:rFonts w:ascii="Times New Roman"/>
                <w:w w:val="95"/>
                <w:sz w:val="21"/>
              </w:rPr>
              <w:t>44436396.52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43" w:type="dxa"/>
            <w:vMerge w:val="continue"/>
            <w:tcBorders>
              <w:top w:val="nil"/>
            </w:tcBorders>
          </w:tcPr>
          <w:p>
            <w:pPr>
              <w:rPr>
                <w:sz w:val="2"/>
                <w:szCs w:val="2"/>
              </w:rPr>
            </w:pPr>
          </w:p>
        </w:tc>
        <w:tc>
          <w:tcPr>
            <w:tcW w:w="7579" w:type="dxa"/>
            <w:gridSpan w:val="6"/>
          </w:tcPr>
          <w:p>
            <w:pPr>
              <w:pStyle w:val="14"/>
              <w:spacing w:before="21"/>
              <w:ind w:left="2665" w:right="2655"/>
              <w:rPr>
                <w:rFonts w:ascii="Times New Roman" w:eastAsia="Times New Roman"/>
                <w:sz w:val="21"/>
              </w:rPr>
            </w:pPr>
            <w:r>
              <w:rPr>
                <w:sz w:val="21"/>
              </w:rPr>
              <w:t>开采标高：</w:t>
            </w:r>
            <w:r>
              <w:rPr>
                <w:rFonts w:ascii="Times New Roman" w:eastAsia="Times New Roman"/>
                <w:sz w:val="21"/>
              </w:rPr>
              <w:t xml:space="preserve">370 </w:t>
            </w:r>
            <w:r>
              <w:rPr>
                <w:sz w:val="21"/>
              </w:rPr>
              <w:t>至</w:t>
            </w:r>
            <w:r>
              <w:rPr>
                <w:rFonts w:ascii="Times New Roman" w:eastAsia="Times New Roman"/>
                <w:sz w:val="21"/>
              </w:rPr>
              <w:t>-210m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restart"/>
          </w:tcPr>
          <w:p>
            <w:pPr>
              <w:pStyle w:val="14"/>
              <w:jc w:val="left"/>
              <w:rPr>
                <w:b/>
                <w:sz w:val="22"/>
              </w:rPr>
            </w:pPr>
          </w:p>
          <w:p>
            <w:pPr>
              <w:pStyle w:val="14"/>
              <w:spacing w:before="12"/>
              <w:jc w:val="left"/>
              <w:rPr>
                <w:b/>
                <w:sz w:val="30"/>
              </w:rPr>
            </w:pPr>
          </w:p>
          <w:p>
            <w:pPr>
              <w:pStyle w:val="14"/>
              <w:ind w:left="346" w:right="337"/>
              <w:rPr>
                <w:rFonts w:ascii="Times New Roman"/>
                <w:sz w:val="21"/>
              </w:rPr>
            </w:pPr>
            <w:r>
              <w:rPr>
                <w:rFonts w:ascii="Times New Roman"/>
                <w:sz w:val="21"/>
              </w:rPr>
              <w:t>20</w:t>
            </w:r>
          </w:p>
        </w:tc>
        <w:tc>
          <w:tcPr>
            <w:tcW w:w="938" w:type="dxa"/>
          </w:tcPr>
          <w:p>
            <w:pPr>
              <w:pStyle w:val="14"/>
              <w:spacing w:before="35"/>
              <w:ind w:right="406"/>
              <w:jc w:val="right"/>
              <w:rPr>
                <w:rFonts w:ascii="Times New Roman"/>
                <w:sz w:val="21"/>
              </w:rPr>
            </w:pPr>
            <w:r>
              <w:rPr>
                <w:rFonts w:ascii="Times New Roman"/>
                <w:w w:val="99"/>
                <w:sz w:val="21"/>
              </w:rPr>
              <w:t>1</w:t>
            </w:r>
          </w:p>
        </w:tc>
        <w:tc>
          <w:tcPr>
            <w:tcW w:w="1525" w:type="dxa"/>
          </w:tcPr>
          <w:p>
            <w:pPr>
              <w:pStyle w:val="14"/>
              <w:spacing w:before="35"/>
              <w:ind w:right="251"/>
              <w:jc w:val="right"/>
              <w:rPr>
                <w:rFonts w:ascii="Times New Roman"/>
                <w:sz w:val="21"/>
              </w:rPr>
            </w:pPr>
            <w:r>
              <w:rPr>
                <w:rFonts w:ascii="Times New Roman"/>
                <w:w w:val="95"/>
                <w:sz w:val="21"/>
              </w:rPr>
              <w:t>5153365.16</w:t>
            </w:r>
          </w:p>
        </w:tc>
        <w:tc>
          <w:tcPr>
            <w:tcW w:w="1429" w:type="dxa"/>
          </w:tcPr>
          <w:p>
            <w:pPr>
              <w:pStyle w:val="14"/>
              <w:spacing w:before="35"/>
              <w:ind w:left="115" w:right="108"/>
              <w:rPr>
                <w:rFonts w:ascii="Times New Roman"/>
                <w:sz w:val="21"/>
              </w:rPr>
            </w:pPr>
            <w:r>
              <w:rPr>
                <w:rFonts w:ascii="Times New Roman"/>
                <w:sz w:val="21"/>
              </w:rPr>
              <w:t>44437595.11</w:t>
            </w:r>
          </w:p>
        </w:tc>
        <w:tc>
          <w:tcPr>
            <w:tcW w:w="708" w:type="dxa"/>
          </w:tcPr>
          <w:p>
            <w:pPr>
              <w:pStyle w:val="14"/>
              <w:spacing w:before="35"/>
              <w:ind w:left="300"/>
              <w:jc w:val="left"/>
              <w:rPr>
                <w:rFonts w:ascii="Times New Roman"/>
                <w:sz w:val="21"/>
              </w:rPr>
            </w:pPr>
            <w:r>
              <w:rPr>
                <w:rFonts w:ascii="Times New Roman"/>
                <w:w w:val="99"/>
                <w:sz w:val="21"/>
              </w:rPr>
              <w:t>5</w:t>
            </w:r>
          </w:p>
        </w:tc>
        <w:tc>
          <w:tcPr>
            <w:tcW w:w="1475" w:type="dxa"/>
          </w:tcPr>
          <w:p>
            <w:pPr>
              <w:pStyle w:val="14"/>
              <w:spacing w:before="35"/>
              <w:ind w:left="191" w:right="184"/>
              <w:rPr>
                <w:rFonts w:ascii="Times New Roman"/>
                <w:sz w:val="21"/>
              </w:rPr>
            </w:pPr>
            <w:r>
              <w:rPr>
                <w:rFonts w:ascii="Times New Roman"/>
                <w:sz w:val="21"/>
              </w:rPr>
              <w:t>5152867.73</w:t>
            </w:r>
          </w:p>
        </w:tc>
        <w:tc>
          <w:tcPr>
            <w:tcW w:w="1504" w:type="dxa"/>
          </w:tcPr>
          <w:p>
            <w:pPr>
              <w:pStyle w:val="14"/>
              <w:spacing w:before="35"/>
              <w:ind w:right="188"/>
              <w:jc w:val="right"/>
              <w:rPr>
                <w:rFonts w:ascii="Times New Roman"/>
                <w:sz w:val="21"/>
              </w:rPr>
            </w:pPr>
            <w:r>
              <w:rPr>
                <w:rFonts w:ascii="Times New Roman"/>
                <w:w w:val="95"/>
                <w:sz w:val="21"/>
              </w:rPr>
              <w:t>44436062.19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43" w:type="dxa"/>
            <w:vMerge w:val="continue"/>
            <w:tcBorders>
              <w:top w:val="nil"/>
            </w:tcBorders>
          </w:tcPr>
          <w:p>
            <w:pPr>
              <w:rPr>
                <w:sz w:val="2"/>
                <w:szCs w:val="2"/>
              </w:rPr>
            </w:pPr>
          </w:p>
        </w:tc>
        <w:tc>
          <w:tcPr>
            <w:tcW w:w="938" w:type="dxa"/>
          </w:tcPr>
          <w:p>
            <w:pPr>
              <w:pStyle w:val="14"/>
              <w:spacing w:before="34"/>
              <w:ind w:right="406"/>
              <w:jc w:val="right"/>
              <w:rPr>
                <w:rFonts w:ascii="Times New Roman"/>
                <w:sz w:val="21"/>
              </w:rPr>
            </w:pPr>
            <w:r>
              <w:rPr>
                <w:rFonts w:ascii="Times New Roman"/>
                <w:w w:val="99"/>
                <w:sz w:val="21"/>
              </w:rPr>
              <w:t>2</w:t>
            </w:r>
          </w:p>
        </w:tc>
        <w:tc>
          <w:tcPr>
            <w:tcW w:w="1525" w:type="dxa"/>
          </w:tcPr>
          <w:p>
            <w:pPr>
              <w:pStyle w:val="14"/>
              <w:spacing w:before="34"/>
              <w:ind w:right="251"/>
              <w:jc w:val="right"/>
              <w:rPr>
                <w:rFonts w:ascii="Times New Roman"/>
                <w:sz w:val="21"/>
              </w:rPr>
            </w:pPr>
            <w:r>
              <w:rPr>
                <w:rFonts w:ascii="Times New Roman"/>
                <w:w w:val="95"/>
                <w:sz w:val="21"/>
              </w:rPr>
              <w:t>5152040.64</w:t>
            </w:r>
          </w:p>
        </w:tc>
        <w:tc>
          <w:tcPr>
            <w:tcW w:w="1429" w:type="dxa"/>
          </w:tcPr>
          <w:p>
            <w:pPr>
              <w:pStyle w:val="14"/>
              <w:spacing w:before="34"/>
              <w:ind w:left="115" w:right="108"/>
              <w:rPr>
                <w:rFonts w:ascii="Times New Roman"/>
                <w:sz w:val="21"/>
              </w:rPr>
            </w:pPr>
            <w:r>
              <w:rPr>
                <w:rFonts w:ascii="Times New Roman"/>
                <w:sz w:val="21"/>
              </w:rPr>
              <w:t>44437595.11</w:t>
            </w:r>
          </w:p>
        </w:tc>
        <w:tc>
          <w:tcPr>
            <w:tcW w:w="708" w:type="dxa"/>
          </w:tcPr>
          <w:p>
            <w:pPr>
              <w:pStyle w:val="14"/>
              <w:spacing w:before="34"/>
              <w:ind w:left="300"/>
              <w:jc w:val="left"/>
              <w:rPr>
                <w:rFonts w:ascii="Times New Roman"/>
                <w:sz w:val="21"/>
              </w:rPr>
            </w:pPr>
            <w:r>
              <w:rPr>
                <w:rFonts w:ascii="Times New Roman"/>
                <w:w w:val="99"/>
                <w:sz w:val="21"/>
              </w:rPr>
              <w:t>6</w:t>
            </w:r>
          </w:p>
        </w:tc>
        <w:tc>
          <w:tcPr>
            <w:tcW w:w="1475" w:type="dxa"/>
          </w:tcPr>
          <w:p>
            <w:pPr>
              <w:pStyle w:val="14"/>
              <w:spacing w:before="34"/>
              <w:ind w:left="191" w:right="184"/>
              <w:rPr>
                <w:rFonts w:ascii="Times New Roman"/>
                <w:sz w:val="21"/>
              </w:rPr>
            </w:pPr>
            <w:r>
              <w:rPr>
                <w:rFonts w:ascii="Times New Roman"/>
                <w:sz w:val="21"/>
              </w:rPr>
              <w:t>5152920.73</w:t>
            </w:r>
          </w:p>
        </w:tc>
        <w:tc>
          <w:tcPr>
            <w:tcW w:w="1504" w:type="dxa"/>
          </w:tcPr>
          <w:p>
            <w:pPr>
              <w:pStyle w:val="14"/>
              <w:spacing w:before="34"/>
              <w:ind w:right="188"/>
              <w:jc w:val="right"/>
              <w:rPr>
                <w:rFonts w:ascii="Times New Roman"/>
                <w:sz w:val="21"/>
              </w:rPr>
            </w:pPr>
            <w:r>
              <w:rPr>
                <w:rFonts w:ascii="Times New Roman"/>
                <w:w w:val="95"/>
                <w:sz w:val="21"/>
              </w:rPr>
              <w:t>44436222.20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continue"/>
            <w:tcBorders>
              <w:top w:val="nil"/>
            </w:tcBorders>
          </w:tcPr>
          <w:p>
            <w:pPr>
              <w:rPr>
                <w:sz w:val="2"/>
                <w:szCs w:val="2"/>
              </w:rPr>
            </w:pPr>
          </w:p>
        </w:tc>
        <w:tc>
          <w:tcPr>
            <w:tcW w:w="938" w:type="dxa"/>
          </w:tcPr>
          <w:p>
            <w:pPr>
              <w:pStyle w:val="14"/>
              <w:spacing w:before="34"/>
              <w:ind w:right="406"/>
              <w:jc w:val="right"/>
              <w:rPr>
                <w:rFonts w:ascii="Times New Roman"/>
                <w:sz w:val="21"/>
              </w:rPr>
            </w:pPr>
            <w:r>
              <w:rPr>
                <w:rFonts w:ascii="Times New Roman"/>
                <w:w w:val="99"/>
                <w:sz w:val="21"/>
              </w:rPr>
              <w:t>3</w:t>
            </w:r>
          </w:p>
        </w:tc>
        <w:tc>
          <w:tcPr>
            <w:tcW w:w="1525" w:type="dxa"/>
          </w:tcPr>
          <w:p>
            <w:pPr>
              <w:pStyle w:val="14"/>
              <w:spacing w:before="34"/>
              <w:ind w:right="251"/>
              <w:jc w:val="right"/>
              <w:rPr>
                <w:rFonts w:ascii="Times New Roman"/>
                <w:sz w:val="21"/>
              </w:rPr>
            </w:pPr>
            <w:r>
              <w:rPr>
                <w:rFonts w:ascii="Times New Roman"/>
                <w:w w:val="95"/>
                <w:sz w:val="21"/>
              </w:rPr>
              <w:t>5152236.48</w:t>
            </w:r>
          </w:p>
        </w:tc>
        <w:tc>
          <w:tcPr>
            <w:tcW w:w="1429" w:type="dxa"/>
          </w:tcPr>
          <w:p>
            <w:pPr>
              <w:pStyle w:val="14"/>
              <w:spacing w:before="34"/>
              <w:ind w:left="115" w:right="108"/>
              <w:rPr>
                <w:rFonts w:ascii="Times New Roman"/>
                <w:sz w:val="21"/>
              </w:rPr>
            </w:pPr>
            <w:r>
              <w:rPr>
                <w:rFonts w:ascii="Times New Roman"/>
                <w:sz w:val="21"/>
              </w:rPr>
              <w:t>44435636.70</w:t>
            </w:r>
          </w:p>
        </w:tc>
        <w:tc>
          <w:tcPr>
            <w:tcW w:w="708" w:type="dxa"/>
          </w:tcPr>
          <w:p>
            <w:pPr>
              <w:pStyle w:val="14"/>
              <w:spacing w:before="34"/>
              <w:ind w:left="300"/>
              <w:jc w:val="left"/>
              <w:rPr>
                <w:rFonts w:ascii="Times New Roman"/>
                <w:sz w:val="21"/>
              </w:rPr>
            </w:pPr>
            <w:r>
              <w:rPr>
                <w:rFonts w:ascii="Times New Roman"/>
                <w:w w:val="99"/>
                <w:sz w:val="21"/>
              </w:rPr>
              <w:t>7</w:t>
            </w:r>
          </w:p>
        </w:tc>
        <w:tc>
          <w:tcPr>
            <w:tcW w:w="1475" w:type="dxa"/>
          </w:tcPr>
          <w:p>
            <w:pPr>
              <w:pStyle w:val="14"/>
              <w:spacing w:before="34"/>
              <w:ind w:left="191" w:right="184"/>
              <w:rPr>
                <w:rFonts w:ascii="Times New Roman"/>
                <w:sz w:val="21"/>
              </w:rPr>
            </w:pPr>
            <w:r>
              <w:rPr>
                <w:rFonts w:ascii="Times New Roman"/>
                <w:sz w:val="21"/>
              </w:rPr>
              <w:t>5153263.71</w:t>
            </w:r>
          </w:p>
        </w:tc>
        <w:tc>
          <w:tcPr>
            <w:tcW w:w="1504" w:type="dxa"/>
          </w:tcPr>
          <w:p>
            <w:pPr>
              <w:pStyle w:val="14"/>
              <w:spacing w:before="34"/>
              <w:ind w:right="188"/>
              <w:jc w:val="right"/>
              <w:rPr>
                <w:rFonts w:ascii="Times New Roman"/>
                <w:sz w:val="21"/>
              </w:rPr>
            </w:pPr>
            <w:r>
              <w:rPr>
                <w:rFonts w:ascii="Times New Roman"/>
                <w:w w:val="95"/>
                <w:sz w:val="21"/>
              </w:rPr>
              <w:t>44436396.52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continue"/>
            <w:tcBorders>
              <w:top w:val="nil"/>
            </w:tcBorders>
          </w:tcPr>
          <w:p>
            <w:pPr>
              <w:rPr>
                <w:sz w:val="2"/>
                <w:szCs w:val="2"/>
              </w:rPr>
            </w:pPr>
          </w:p>
        </w:tc>
        <w:tc>
          <w:tcPr>
            <w:tcW w:w="938" w:type="dxa"/>
          </w:tcPr>
          <w:p>
            <w:pPr>
              <w:pStyle w:val="14"/>
              <w:spacing w:before="34"/>
              <w:ind w:right="406"/>
              <w:jc w:val="right"/>
              <w:rPr>
                <w:rFonts w:ascii="Times New Roman"/>
                <w:sz w:val="21"/>
              </w:rPr>
            </w:pPr>
            <w:r>
              <w:rPr>
                <w:rFonts w:ascii="Times New Roman"/>
                <w:w w:val="99"/>
                <w:sz w:val="21"/>
              </w:rPr>
              <w:t>4</w:t>
            </w:r>
          </w:p>
        </w:tc>
        <w:tc>
          <w:tcPr>
            <w:tcW w:w="1525" w:type="dxa"/>
          </w:tcPr>
          <w:p>
            <w:pPr>
              <w:pStyle w:val="14"/>
              <w:spacing w:before="34"/>
              <w:ind w:right="251"/>
              <w:jc w:val="right"/>
              <w:rPr>
                <w:rFonts w:ascii="Times New Roman"/>
                <w:sz w:val="21"/>
              </w:rPr>
            </w:pPr>
            <w:r>
              <w:rPr>
                <w:rFonts w:ascii="Times New Roman"/>
                <w:w w:val="95"/>
                <w:sz w:val="21"/>
              </w:rPr>
              <w:t>5152924.72</w:t>
            </w:r>
          </w:p>
        </w:tc>
        <w:tc>
          <w:tcPr>
            <w:tcW w:w="1429" w:type="dxa"/>
          </w:tcPr>
          <w:p>
            <w:pPr>
              <w:pStyle w:val="14"/>
              <w:spacing w:before="34"/>
              <w:ind w:left="115" w:right="108"/>
              <w:rPr>
                <w:rFonts w:ascii="Times New Roman"/>
                <w:sz w:val="21"/>
              </w:rPr>
            </w:pPr>
            <w:r>
              <w:rPr>
                <w:rFonts w:ascii="Times New Roman"/>
                <w:sz w:val="21"/>
              </w:rPr>
              <w:t>44435432.19</w:t>
            </w:r>
          </w:p>
        </w:tc>
        <w:tc>
          <w:tcPr>
            <w:tcW w:w="708" w:type="dxa"/>
          </w:tcPr>
          <w:p>
            <w:pPr>
              <w:pStyle w:val="14"/>
              <w:jc w:val="left"/>
              <w:rPr>
                <w:rFonts w:ascii="Times New Roman"/>
                <w:sz w:val="20"/>
              </w:rPr>
            </w:pPr>
          </w:p>
        </w:tc>
        <w:tc>
          <w:tcPr>
            <w:tcW w:w="1475" w:type="dxa"/>
          </w:tcPr>
          <w:p>
            <w:pPr>
              <w:pStyle w:val="14"/>
              <w:jc w:val="left"/>
              <w:rPr>
                <w:rFonts w:ascii="Times New Roman"/>
                <w:sz w:val="20"/>
              </w:rPr>
            </w:pPr>
          </w:p>
        </w:tc>
        <w:tc>
          <w:tcPr>
            <w:tcW w:w="1504" w:type="dxa"/>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43" w:type="dxa"/>
            <w:vMerge w:val="continue"/>
            <w:tcBorders>
              <w:top w:val="nil"/>
            </w:tcBorders>
          </w:tcPr>
          <w:p>
            <w:pPr>
              <w:rPr>
                <w:sz w:val="2"/>
                <w:szCs w:val="2"/>
              </w:rPr>
            </w:pPr>
          </w:p>
        </w:tc>
        <w:tc>
          <w:tcPr>
            <w:tcW w:w="7579" w:type="dxa"/>
            <w:gridSpan w:val="6"/>
          </w:tcPr>
          <w:p>
            <w:pPr>
              <w:pStyle w:val="14"/>
              <w:spacing w:before="22"/>
              <w:ind w:left="2665" w:right="2655"/>
              <w:rPr>
                <w:rFonts w:ascii="Times New Roman" w:eastAsia="Times New Roman"/>
                <w:sz w:val="21"/>
              </w:rPr>
            </w:pPr>
            <w:r>
              <w:rPr>
                <w:sz w:val="21"/>
              </w:rPr>
              <w:t>开采标高：</w:t>
            </w:r>
            <w:r>
              <w:rPr>
                <w:rFonts w:ascii="Times New Roman" w:eastAsia="Times New Roman"/>
                <w:sz w:val="21"/>
              </w:rPr>
              <w:t xml:space="preserve">345 </w:t>
            </w:r>
            <w:r>
              <w:rPr>
                <w:sz w:val="21"/>
              </w:rPr>
              <w:t>至</w:t>
            </w:r>
            <w:r>
              <w:rPr>
                <w:rFonts w:ascii="Times New Roman" w:eastAsia="Times New Roman"/>
                <w:sz w:val="21"/>
              </w:rPr>
              <w:t>-250m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restart"/>
          </w:tcPr>
          <w:p>
            <w:pPr>
              <w:pStyle w:val="14"/>
              <w:jc w:val="left"/>
              <w:rPr>
                <w:b/>
                <w:sz w:val="22"/>
              </w:rPr>
            </w:pPr>
          </w:p>
          <w:p>
            <w:pPr>
              <w:pStyle w:val="14"/>
              <w:jc w:val="left"/>
              <w:rPr>
                <w:b/>
                <w:sz w:val="22"/>
              </w:rPr>
            </w:pPr>
          </w:p>
          <w:p>
            <w:pPr>
              <w:pStyle w:val="14"/>
              <w:spacing w:before="6"/>
              <w:jc w:val="left"/>
              <w:rPr>
                <w:b/>
                <w:sz w:val="21"/>
              </w:rPr>
            </w:pPr>
          </w:p>
          <w:p>
            <w:pPr>
              <w:pStyle w:val="14"/>
              <w:ind w:left="346" w:right="337"/>
              <w:rPr>
                <w:rFonts w:ascii="Times New Roman"/>
                <w:sz w:val="21"/>
              </w:rPr>
            </w:pPr>
            <w:r>
              <w:rPr>
                <w:rFonts w:ascii="Times New Roman"/>
                <w:sz w:val="21"/>
              </w:rPr>
              <w:t>30</w:t>
            </w:r>
          </w:p>
        </w:tc>
        <w:tc>
          <w:tcPr>
            <w:tcW w:w="938" w:type="dxa"/>
          </w:tcPr>
          <w:p>
            <w:pPr>
              <w:pStyle w:val="14"/>
              <w:spacing w:before="35"/>
              <w:ind w:right="406"/>
              <w:jc w:val="right"/>
              <w:rPr>
                <w:rFonts w:ascii="Times New Roman"/>
                <w:sz w:val="21"/>
              </w:rPr>
            </w:pPr>
            <w:r>
              <w:rPr>
                <w:rFonts w:ascii="Times New Roman"/>
                <w:w w:val="99"/>
                <w:sz w:val="21"/>
              </w:rPr>
              <w:t>1</w:t>
            </w:r>
          </w:p>
        </w:tc>
        <w:tc>
          <w:tcPr>
            <w:tcW w:w="1525" w:type="dxa"/>
          </w:tcPr>
          <w:p>
            <w:pPr>
              <w:pStyle w:val="14"/>
              <w:spacing w:before="35"/>
              <w:ind w:right="251"/>
              <w:jc w:val="right"/>
              <w:rPr>
                <w:rFonts w:ascii="Times New Roman"/>
                <w:sz w:val="21"/>
              </w:rPr>
            </w:pPr>
            <w:r>
              <w:rPr>
                <w:rFonts w:ascii="Times New Roman"/>
                <w:w w:val="95"/>
                <w:sz w:val="21"/>
              </w:rPr>
              <w:t>5153365.16</w:t>
            </w:r>
          </w:p>
        </w:tc>
        <w:tc>
          <w:tcPr>
            <w:tcW w:w="1429" w:type="dxa"/>
          </w:tcPr>
          <w:p>
            <w:pPr>
              <w:pStyle w:val="14"/>
              <w:spacing w:before="35"/>
              <w:ind w:left="115" w:right="108"/>
              <w:rPr>
                <w:rFonts w:ascii="Times New Roman"/>
                <w:sz w:val="21"/>
              </w:rPr>
            </w:pPr>
            <w:r>
              <w:rPr>
                <w:rFonts w:ascii="Times New Roman"/>
                <w:sz w:val="21"/>
              </w:rPr>
              <w:t>44437595.11</w:t>
            </w:r>
          </w:p>
        </w:tc>
        <w:tc>
          <w:tcPr>
            <w:tcW w:w="708" w:type="dxa"/>
          </w:tcPr>
          <w:p>
            <w:pPr>
              <w:pStyle w:val="14"/>
              <w:spacing w:before="35"/>
              <w:ind w:left="300"/>
              <w:jc w:val="left"/>
              <w:rPr>
                <w:rFonts w:ascii="Times New Roman"/>
                <w:sz w:val="21"/>
              </w:rPr>
            </w:pPr>
            <w:r>
              <w:rPr>
                <w:rFonts w:ascii="Times New Roman"/>
                <w:w w:val="99"/>
                <w:sz w:val="21"/>
              </w:rPr>
              <w:t>6</w:t>
            </w:r>
          </w:p>
        </w:tc>
        <w:tc>
          <w:tcPr>
            <w:tcW w:w="1475" w:type="dxa"/>
          </w:tcPr>
          <w:p>
            <w:pPr>
              <w:pStyle w:val="14"/>
              <w:spacing w:before="35"/>
              <w:ind w:left="191" w:right="184"/>
              <w:rPr>
                <w:rFonts w:ascii="Times New Roman"/>
                <w:sz w:val="21"/>
              </w:rPr>
            </w:pPr>
            <w:r>
              <w:rPr>
                <w:rFonts w:ascii="Times New Roman"/>
                <w:sz w:val="21"/>
              </w:rPr>
              <w:t>5151478.18</w:t>
            </w:r>
          </w:p>
        </w:tc>
        <w:tc>
          <w:tcPr>
            <w:tcW w:w="1504" w:type="dxa"/>
          </w:tcPr>
          <w:p>
            <w:pPr>
              <w:pStyle w:val="14"/>
              <w:spacing w:before="35"/>
              <w:ind w:right="188"/>
              <w:jc w:val="right"/>
              <w:rPr>
                <w:rFonts w:ascii="Times New Roman"/>
                <w:sz w:val="21"/>
              </w:rPr>
            </w:pPr>
            <w:r>
              <w:rPr>
                <w:rFonts w:ascii="Times New Roman"/>
                <w:w w:val="95"/>
                <w:sz w:val="21"/>
              </w:rPr>
              <w:t>44436128.07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43" w:type="dxa"/>
            <w:vMerge w:val="continue"/>
            <w:tcBorders>
              <w:top w:val="nil"/>
            </w:tcBorders>
          </w:tcPr>
          <w:p>
            <w:pPr>
              <w:rPr>
                <w:sz w:val="2"/>
                <w:szCs w:val="2"/>
              </w:rPr>
            </w:pPr>
          </w:p>
        </w:tc>
        <w:tc>
          <w:tcPr>
            <w:tcW w:w="938" w:type="dxa"/>
          </w:tcPr>
          <w:p>
            <w:pPr>
              <w:pStyle w:val="14"/>
              <w:spacing w:before="35"/>
              <w:ind w:right="406"/>
              <w:jc w:val="right"/>
              <w:rPr>
                <w:rFonts w:ascii="Times New Roman"/>
                <w:sz w:val="21"/>
              </w:rPr>
            </w:pPr>
            <w:r>
              <w:rPr>
                <w:rFonts w:ascii="Times New Roman"/>
                <w:w w:val="99"/>
                <w:sz w:val="21"/>
              </w:rPr>
              <w:t>2</w:t>
            </w:r>
          </w:p>
        </w:tc>
        <w:tc>
          <w:tcPr>
            <w:tcW w:w="1525" w:type="dxa"/>
          </w:tcPr>
          <w:p>
            <w:pPr>
              <w:pStyle w:val="14"/>
              <w:spacing w:before="35"/>
              <w:ind w:right="251"/>
              <w:jc w:val="right"/>
              <w:rPr>
                <w:rFonts w:ascii="Times New Roman"/>
                <w:sz w:val="21"/>
              </w:rPr>
            </w:pPr>
            <w:r>
              <w:rPr>
                <w:rFonts w:ascii="Times New Roman"/>
                <w:w w:val="95"/>
                <w:sz w:val="21"/>
              </w:rPr>
              <w:t>5152495.07</w:t>
            </w:r>
          </w:p>
        </w:tc>
        <w:tc>
          <w:tcPr>
            <w:tcW w:w="1429" w:type="dxa"/>
          </w:tcPr>
          <w:p>
            <w:pPr>
              <w:pStyle w:val="14"/>
              <w:spacing w:before="35"/>
              <w:ind w:left="115" w:right="108"/>
              <w:rPr>
                <w:rFonts w:ascii="Times New Roman"/>
                <w:sz w:val="21"/>
              </w:rPr>
            </w:pPr>
            <w:r>
              <w:rPr>
                <w:rFonts w:ascii="Times New Roman"/>
                <w:sz w:val="21"/>
              </w:rPr>
              <w:t>44437595.11</w:t>
            </w:r>
          </w:p>
        </w:tc>
        <w:tc>
          <w:tcPr>
            <w:tcW w:w="708" w:type="dxa"/>
          </w:tcPr>
          <w:p>
            <w:pPr>
              <w:pStyle w:val="14"/>
              <w:spacing w:before="35"/>
              <w:ind w:left="300"/>
              <w:jc w:val="left"/>
              <w:rPr>
                <w:rFonts w:ascii="Times New Roman"/>
                <w:sz w:val="21"/>
              </w:rPr>
            </w:pPr>
            <w:r>
              <w:rPr>
                <w:rFonts w:ascii="Times New Roman"/>
                <w:w w:val="99"/>
                <w:sz w:val="21"/>
              </w:rPr>
              <w:t>7</w:t>
            </w:r>
          </w:p>
        </w:tc>
        <w:tc>
          <w:tcPr>
            <w:tcW w:w="1475" w:type="dxa"/>
          </w:tcPr>
          <w:p>
            <w:pPr>
              <w:pStyle w:val="14"/>
              <w:spacing w:before="35"/>
              <w:ind w:left="191" w:right="184"/>
              <w:rPr>
                <w:rFonts w:ascii="Times New Roman"/>
                <w:sz w:val="21"/>
              </w:rPr>
            </w:pPr>
            <w:r>
              <w:rPr>
                <w:rFonts w:ascii="Times New Roman"/>
                <w:sz w:val="21"/>
              </w:rPr>
              <w:t>5152091.72</w:t>
            </w:r>
          </w:p>
        </w:tc>
        <w:tc>
          <w:tcPr>
            <w:tcW w:w="1504" w:type="dxa"/>
          </w:tcPr>
          <w:p>
            <w:pPr>
              <w:pStyle w:val="14"/>
              <w:spacing w:before="35"/>
              <w:ind w:right="188"/>
              <w:jc w:val="right"/>
              <w:rPr>
                <w:rFonts w:ascii="Times New Roman"/>
                <w:sz w:val="21"/>
              </w:rPr>
            </w:pPr>
            <w:r>
              <w:rPr>
                <w:rFonts w:ascii="Times New Roman"/>
                <w:w w:val="95"/>
                <w:sz w:val="21"/>
              </w:rPr>
              <w:t>44435726.20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continue"/>
            <w:tcBorders>
              <w:top w:val="nil"/>
            </w:tcBorders>
          </w:tcPr>
          <w:p>
            <w:pPr>
              <w:rPr>
                <w:sz w:val="2"/>
                <w:szCs w:val="2"/>
              </w:rPr>
            </w:pPr>
          </w:p>
        </w:tc>
        <w:tc>
          <w:tcPr>
            <w:tcW w:w="938" w:type="dxa"/>
          </w:tcPr>
          <w:p>
            <w:pPr>
              <w:pStyle w:val="14"/>
              <w:spacing w:before="34"/>
              <w:ind w:right="406"/>
              <w:jc w:val="right"/>
              <w:rPr>
                <w:rFonts w:ascii="Times New Roman"/>
                <w:sz w:val="21"/>
              </w:rPr>
            </w:pPr>
            <w:r>
              <w:rPr>
                <w:rFonts w:ascii="Times New Roman"/>
                <w:w w:val="99"/>
                <w:sz w:val="21"/>
              </w:rPr>
              <w:t>3</w:t>
            </w:r>
          </w:p>
        </w:tc>
        <w:tc>
          <w:tcPr>
            <w:tcW w:w="1525" w:type="dxa"/>
          </w:tcPr>
          <w:p>
            <w:pPr>
              <w:pStyle w:val="14"/>
              <w:spacing w:before="34"/>
              <w:ind w:right="251"/>
              <w:jc w:val="right"/>
              <w:rPr>
                <w:rFonts w:ascii="Times New Roman"/>
                <w:sz w:val="21"/>
              </w:rPr>
            </w:pPr>
            <w:r>
              <w:rPr>
                <w:rFonts w:ascii="Times New Roman"/>
                <w:w w:val="95"/>
                <w:sz w:val="21"/>
              </w:rPr>
              <w:t>5152416.73</w:t>
            </w:r>
          </w:p>
        </w:tc>
        <w:tc>
          <w:tcPr>
            <w:tcW w:w="1429" w:type="dxa"/>
          </w:tcPr>
          <w:p>
            <w:pPr>
              <w:pStyle w:val="14"/>
              <w:spacing w:before="34"/>
              <w:ind w:left="115" w:right="108"/>
              <w:rPr>
                <w:rFonts w:ascii="Times New Roman"/>
                <w:sz w:val="21"/>
              </w:rPr>
            </w:pPr>
            <w:r>
              <w:rPr>
                <w:rFonts w:ascii="Times New Roman"/>
                <w:sz w:val="21"/>
              </w:rPr>
              <w:t>44437052.20</w:t>
            </w:r>
          </w:p>
        </w:tc>
        <w:tc>
          <w:tcPr>
            <w:tcW w:w="708" w:type="dxa"/>
          </w:tcPr>
          <w:p>
            <w:pPr>
              <w:pStyle w:val="14"/>
              <w:spacing w:before="34"/>
              <w:ind w:left="300"/>
              <w:jc w:val="left"/>
              <w:rPr>
                <w:rFonts w:ascii="Times New Roman"/>
                <w:sz w:val="21"/>
              </w:rPr>
            </w:pPr>
            <w:r>
              <w:rPr>
                <w:rFonts w:ascii="Times New Roman"/>
                <w:w w:val="99"/>
                <w:sz w:val="21"/>
              </w:rPr>
              <w:t>8</w:t>
            </w:r>
          </w:p>
        </w:tc>
        <w:tc>
          <w:tcPr>
            <w:tcW w:w="1475" w:type="dxa"/>
          </w:tcPr>
          <w:p>
            <w:pPr>
              <w:pStyle w:val="14"/>
              <w:spacing w:before="34"/>
              <w:ind w:left="191" w:right="184"/>
              <w:rPr>
                <w:rFonts w:ascii="Times New Roman"/>
                <w:sz w:val="21"/>
              </w:rPr>
            </w:pPr>
            <w:r>
              <w:rPr>
                <w:rFonts w:ascii="Times New Roman"/>
                <w:sz w:val="21"/>
              </w:rPr>
              <w:t>5152129.24</w:t>
            </w:r>
          </w:p>
        </w:tc>
        <w:tc>
          <w:tcPr>
            <w:tcW w:w="1504" w:type="dxa"/>
          </w:tcPr>
          <w:p>
            <w:pPr>
              <w:pStyle w:val="14"/>
              <w:spacing w:before="34"/>
              <w:ind w:right="188"/>
              <w:jc w:val="right"/>
              <w:rPr>
                <w:rFonts w:ascii="Times New Roman"/>
                <w:sz w:val="21"/>
              </w:rPr>
            </w:pPr>
            <w:r>
              <w:rPr>
                <w:rFonts w:ascii="Times New Roman"/>
                <w:w w:val="95"/>
                <w:sz w:val="21"/>
              </w:rPr>
              <w:t>44435819.90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43" w:type="dxa"/>
            <w:vMerge w:val="continue"/>
            <w:tcBorders>
              <w:top w:val="nil"/>
            </w:tcBorders>
          </w:tcPr>
          <w:p>
            <w:pPr>
              <w:rPr>
                <w:sz w:val="2"/>
                <w:szCs w:val="2"/>
              </w:rPr>
            </w:pPr>
          </w:p>
        </w:tc>
        <w:tc>
          <w:tcPr>
            <w:tcW w:w="938" w:type="dxa"/>
          </w:tcPr>
          <w:p>
            <w:pPr>
              <w:pStyle w:val="14"/>
              <w:spacing w:before="34"/>
              <w:ind w:right="406"/>
              <w:jc w:val="right"/>
              <w:rPr>
                <w:rFonts w:ascii="Times New Roman"/>
                <w:sz w:val="21"/>
              </w:rPr>
            </w:pPr>
            <w:r>
              <w:rPr>
                <w:rFonts w:ascii="Times New Roman"/>
                <w:w w:val="99"/>
                <w:sz w:val="21"/>
              </w:rPr>
              <w:t>4</w:t>
            </w:r>
          </w:p>
        </w:tc>
        <w:tc>
          <w:tcPr>
            <w:tcW w:w="1525" w:type="dxa"/>
          </w:tcPr>
          <w:p>
            <w:pPr>
              <w:pStyle w:val="14"/>
              <w:spacing w:before="34"/>
              <w:ind w:right="251"/>
              <w:jc w:val="right"/>
              <w:rPr>
                <w:rFonts w:ascii="Times New Roman"/>
                <w:sz w:val="21"/>
              </w:rPr>
            </w:pPr>
            <w:r>
              <w:rPr>
                <w:rFonts w:ascii="Times New Roman"/>
                <w:w w:val="95"/>
                <w:sz w:val="21"/>
              </w:rPr>
              <w:t>5152017.72</w:t>
            </w:r>
          </w:p>
        </w:tc>
        <w:tc>
          <w:tcPr>
            <w:tcW w:w="1429" w:type="dxa"/>
          </w:tcPr>
          <w:p>
            <w:pPr>
              <w:pStyle w:val="14"/>
              <w:spacing w:before="34"/>
              <w:ind w:left="115" w:right="108"/>
              <w:rPr>
                <w:rFonts w:ascii="Times New Roman"/>
                <w:sz w:val="21"/>
              </w:rPr>
            </w:pPr>
            <w:r>
              <w:rPr>
                <w:rFonts w:ascii="Times New Roman"/>
                <w:sz w:val="21"/>
              </w:rPr>
              <w:t>44436510.20</w:t>
            </w:r>
          </w:p>
        </w:tc>
        <w:tc>
          <w:tcPr>
            <w:tcW w:w="708" w:type="dxa"/>
          </w:tcPr>
          <w:p>
            <w:pPr>
              <w:pStyle w:val="14"/>
              <w:spacing w:before="34"/>
              <w:ind w:left="300"/>
              <w:jc w:val="left"/>
              <w:rPr>
                <w:rFonts w:ascii="Times New Roman"/>
                <w:sz w:val="21"/>
              </w:rPr>
            </w:pPr>
            <w:r>
              <w:rPr>
                <w:rFonts w:ascii="Times New Roman"/>
                <w:w w:val="99"/>
                <w:sz w:val="21"/>
              </w:rPr>
              <w:t>9</w:t>
            </w:r>
          </w:p>
        </w:tc>
        <w:tc>
          <w:tcPr>
            <w:tcW w:w="1475" w:type="dxa"/>
          </w:tcPr>
          <w:p>
            <w:pPr>
              <w:pStyle w:val="14"/>
              <w:spacing w:before="34"/>
              <w:ind w:left="191" w:right="184"/>
              <w:rPr>
                <w:rFonts w:ascii="Times New Roman"/>
                <w:sz w:val="21"/>
              </w:rPr>
            </w:pPr>
            <w:r>
              <w:rPr>
                <w:rFonts w:ascii="Times New Roman"/>
                <w:sz w:val="21"/>
              </w:rPr>
              <w:t>5153263.71</w:t>
            </w:r>
          </w:p>
        </w:tc>
        <w:tc>
          <w:tcPr>
            <w:tcW w:w="1504" w:type="dxa"/>
          </w:tcPr>
          <w:p>
            <w:pPr>
              <w:pStyle w:val="14"/>
              <w:spacing w:before="34"/>
              <w:ind w:right="188"/>
              <w:jc w:val="right"/>
              <w:rPr>
                <w:rFonts w:ascii="Times New Roman"/>
                <w:sz w:val="21"/>
              </w:rPr>
            </w:pPr>
            <w:r>
              <w:rPr>
                <w:rFonts w:ascii="Times New Roman"/>
                <w:w w:val="95"/>
                <w:sz w:val="21"/>
              </w:rPr>
              <w:t>44436396.52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continue"/>
            <w:tcBorders>
              <w:top w:val="nil"/>
            </w:tcBorders>
          </w:tcPr>
          <w:p>
            <w:pPr>
              <w:rPr>
                <w:sz w:val="2"/>
                <w:szCs w:val="2"/>
              </w:rPr>
            </w:pPr>
          </w:p>
        </w:tc>
        <w:tc>
          <w:tcPr>
            <w:tcW w:w="938" w:type="dxa"/>
          </w:tcPr>
          <w:p>
            <w:pPr>
              <w:pStyle w:val="14"/>
              <w:spacing w:before="34"/>
              <w:ind w:right="406"/>
              <w:jc w:val="right"/>
              <w:rPr>
                <w:rFonts w:ascii="Times New Roman"/>
                <w:sz w:val="21"/>
              </w:rPr>
            </w:pPr>
            <w:r>
              <w:rPr>
                <w:rFonts w:ascii="Times New Roman"/>
                <w:w w:val="99"/>
                <w:sz w:val="21"/>
              </w:rPr>
              <w:t>5</w:t>
            </w:r>
          </w:p>
        </w:tc>
        <w:tc>
          <w:tcPr>
            <w:tcW w:w="1525" w:type="dxa"/>
          </w:tcPr>
          <w:p>
            <w:pPr>
              <w:pStyle w:val="14"/>
              <w:spacing w:before="34"/>
              <w:ind w:right="251"/>
              <w:jc w:val="right"/>
              <w:rPr>
                <w:rFonts w:ascii="Times New Roman"/>
                <w:sz w:val="21"/>
              </w:rPr>
            </w:pPr>
            <w:r>
              <w:rPr>
                <w:rFonts w:ascii="Times New Roman"/>
                <w:w w:val="95"/>
                <w:sz w:val="21"/>
              </w:rPr>
              <w:t>5151491.72</w:t>
            </w:r>
          </w:p>
        </w:tc>
        <w:tc>
          <w:tcPr>
            <w:tcW w:w="1429" w:type="dxa"/>
          </w:tcPr>
          <w:p>
            <w:pPr>
              <w:pStyle w:val="14"/>
              <w:spacing w:before="34"/>
              <w:ind w:left="115" w:right="108"/>
              <w:rPr>
                <w:rFonts w:ascii="Times New Roman"/>
                <w:sz w:val="21"/>
              </w:rPr>
            </w:pPr>
            <w:r>
              <w:rPr>
                <w:rFonts w:ascii="Times New Roman"/>
                <w:sz w:val="21"/>
              </w:rPr>
              <w:t>44436858.20</w:t>
            </w:r>
          </w:p>
        </w:tc>
        <w:tc>
          <w:tcPr>
            <w:tcW w:w="708" w:type="dxa"/>
          </w:tcPr>
          <w:p>
            <w:pPr>
              <w:pStyle w:val="14"/>
              <w:jc w:val="left"/>
              <w:rPr>
                <w:rFonts w:ascii="Times New Roman"/>
                <w:sz w:val="20"/>
              </w:rPr>
            </w:pPr>
          </w:p>
        </w:tc>
        <w:tc>
          <w:tcPr>
            <w:tcW w:w="1475" w:type="dxa"/>
          </w:tcPr>
          <w:p>
            <w:pPr>
              <w:pStyle w:val="14"/>
              <w:jc w:val="left"/>
              <w:rPr>
                <w:rFonts w:ascii="Times New Roman"/>
                <w:sz w:val="20"/>
              </w:rPr>
            </w:pPr>
          </w:p>
        </w:tc>
        <w:tc>
          <w:tcPr>
            <w:tcW w:w="1504" w:type="dxa"/>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continue"/>
            <w:tcBorders>
              <w:top w:val="nil"/>
            </w:tcBorders>
          </w:tcPr>
          <w:p>
            <w:pPr>
              <w:rPr>
                <w:sz w:val="2"/>
                <w:szCs w:val="2"/>
              </w:rPr>
            </w:pPr>
          </w:p>
        </w:tc>
        <w:tc>
          <w:tcPr>
            <w:tcW w:w="7579" w:type="dxa"/>
            <w:gridSpan w:val="6"/>
          </w:tcPr>
          <w:p>
            <w:pPr>
              <w:pStyle w:val="14"/>
              <w:spacing w:before="22"/>
              <w:ind w:left="2665" w:right="2655"/>
              <w:rPr>
                <w:rFonts w:ascii="Times New Roman" w:eastAsia="Times New Roman"/>
                <w:sz w:val="21"/>
              </w:rPr>
            </w:pPr>
            <w:r>
              <w:rPr>
                <w:sz w:val="21"/>
              </w:rPr>
              <w:t>开采标高：</w:t>
            </w:r>
            <w:r>
              <w:rPr>
                <w:rFonts w:ascii="Times New Roman" w:eastAsia="Times New Roman"/>
                <w:sz w:val="21"/>
              </w:rPr>
              <w:t xml:space="preserve">390 </w:t>
            </w:r>
            <w:r>
              <w:rPr>
                <w:sz w:val="21"/>
              </w:rPr>
              <w:t>至</w:t>
            </w:r>
            <w:r>
              <w:rPr>
                <w:rFonts w:ascii="Times New Roman" w:eastAsia="Times New Roman"/>
                <w:sz w:val="21"/>
              </w:rPr>
              <w:t>-210m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43" w:type="dxa"/>
            <w:vMerge w:val="restart"/>
          </w:tcPr>
          <w:p>
            <w:pPr>
              <w:pStyle w:val="14"/>
              <w:spacing w:before="31"/>
              <w:ind w:left="107"/>
              <w:jc w:val="left"/>
              <w:rPr>
                <w:rFonts w:ascii="Times New Roman" w:eastAsia="Times New Roman"/>
                <w:sz w:val="21"/>
              </w:rPr>
            </w:pPr>
            <w:r>
              <w:rPr>
                <w:spacing w:val="-18"/>
                <w:sz w:val="21"/>
              </w:rPr>
              <w:t xml:space="preserve">扣除 </w:t>
            </w:r>
            <w:r>
              <w:rPr>
                <w:rFonts w:ascii="Times New Roman" w:eastAsia="Times New Roman"/>
                <w:sz w:val="21"/>
              </w:rPr>
              <w:t>10</w:t>
            </w:r>
          </w:p>
          <w:p>
            <w:pPr>
              <w:pStyle w:val="14"/>
              <w:spacing w:before="2" w:line="310" w:lineRule="atLeast"/>
              <w:ind w:left="155" w:right="146"/>
              <w:jc w:val="left"/>
              <w:rPr>
                <w:sz w:val="21"/>
              </w:rPr>
            </w:pPr>
            <w:r>
              <w:rPr>
                <w:spacing w:val="-6"/>
                <w:sz w:val="21"/>
              </w:rPr>
              <w:t>层水源</w:t>
            </w:r>
            <w:r>
              <w:rPr>
                <w:spacing w:val="-6"/>
                <w:w w:val="95"/>
                <w:sz w:val="21"/>
              </w:rPr>
              <w:t>地范围</w:t>
            </w:r>
          </w:p>
        </w:tc>
        <w:tc>
          <w:tcPr>
            <w:tcW w:w="938" w:type="dxa"/>
          </w:tcPr>
          <w:p>
            <w:pPr>
              <w:pStyle w:val="14"/>
              <w:spacing w:before="35"/>
              <w:ind w:right="406"/>
              <w:jc w:val="right"/>
              <w:rPr>
                <w:rFonts w:ascii="Times New Roman"/>
                <w:sz w:val="21"/>
              </w:rPr>
            </w:pPr>
            <w:r>
              <w:rPr>
                <w:rFonts w:ascii="Times New Roman"/>
                <w:w w:val="99"/>
                <w:sz w:val="21"/>
              </w:rPr>
              <w:t>1</w:t>
            </w:r>
          </w:p>
        </w:tc>
        <w:tc>
          <w:tcPr>
            <w:tcW w:w="1525" w:type="dxa"/>
          </w:tcPr>
          <w:p>
            <w:pPr>
              <w:pStyle w:val="14"/>
              <w:spacing w:before="35"/>
              <w:ind w:right="251"/>
              <w:jc w:val="right"/>
              <w:rPr>
                <w:rFonts w:ascii="Times New Roman"/>
                <w:sz w:val="21"/>
              </w:rPr>
            </w:pPr>
            <w:r>
              <w:rPr>
                <w:rFonts w:ascii="Times New Roman"/>
                <w:w w:val="95"/>
                <w:sz w:val="21"/>
              </w:rPr>
              <w:t>5151915.72</w:t>
            </w:r>
          </w:p>
        </w:tc>
        <w:tc>
          <w:tcPr>
            <w:tcW w:w="1429" w:type="dxa"/>
          </w:tcPr>
          <w:p>
            <w:pPr>
              <w:pStyle w:val="14"/>
              <w:spacing w:before="35"/>
              <w:ind w:left="115" w:right="108"/>
              <w:rPr>
                <w:rFonts w:ascii="Times New Roman"/>
                <w:sz w:val="21"/>
              </w:rPr>
            </w:pPr>
            <w:r>
              <w:rPr>
                <w:rFonts w:ascii="Times New Roman"/>
                <w:sz w:val="21"/>
              </w:rPr>
              <w:t>44435689.20</w:t>
            </w:r>
          </w:p>
        </w:tc>
        <w:tc>
          <w:tcPr>
            <w:tcW w:w="708" w:type="dxa"/>
          </w:tcPr>
          <w:p>
            <w:pPr>
              <w:pStyle w:val="14"/>
              <w:spacing w:before="35"/>
              <w:ind w:left="300"/>
              <w:jc w:val="left"/>
              <w:rPr>
                <w:rFonts w:ascii="Times New Roman"/>
                <w:sz w:val="21"/>
              </w:rPr>
            </w:pPr>
            <w:r>
              <w:rPr>
                <w:rFonts w:ascii="Times New Roman"/>
                <w:w w:val="99"/>
                <w:sz w:val="21"/>
              </w:rPr>
              <w:t>3</w:t>
            </w:r>
          </w:p>
        </w:tc>
        <w:tc>
          <w:tcPr>
            <w:tcW w:w="1475" w:type="dxa"/>
          </w:tcPr>
          <w:p>
            <w:pPr>
              <w:pStyle w:val="14"/>
              <w:spacing w:before="35"/>
              <w:ind w:left="191" w:right="184"/>
              <w:rPr>
                <w:rFonts w:ascii="Times New Roman"/>
                <w:sz w:val="21"/>
              </w:rPr>
            </w:pPr>
            <w:r>
              <w:rPr>
                <w:rFonts w:ascii="Times New Roman"/>
                <w:sz w:val="21"/>
              </w:rPr>
              <w:t>5152321.72</w:t>
            </w:r>
          </w:p>
        </w:tc>
        <w:tc>
          <w:tcPr>
            <w:tcW w:w="1504" w:type="dxa"/>
          </w:tcPr>
          <w:p>
            <w:pPr>
              <w:pStyle w:val="14"/>
              <w:spacing w:before="35"/>
              <w:ind w:right="188"/>
              <w:jc w:val="right"/>
              <w:rPr>
                <w:rFonts w:ascii="Times New Roman"/>
                <w:sz w:val="21"/>
              </w:rPr>
            </w:pPr>
            <w:r>
              <w:rPr>
                <w:rFonts w:ascii="Times New Roman"/>
                <w:w w:val="95"/>
                <w:sz w:val="21"/>
              </w:rPr>
              <w:t>44435666.19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continue"/>
            <w:tcBorders>
              <w:top w:val="nil"/>
            </w:tcBorders>
          </w:tcPr>
          <w:p>
            <w:pPr>
              <w:rPr>
                <w:sz w:val="2"/>
                <w:szCs w:val="2"/>
              </w:rPr>
            </w:pPr>
          </w:p>
        </w:tc>
        <w:tc>
          <w:tcPr>
            <w:tcW w:w="938" w:type="dxa"/>
          </w:tcPr>
          <w:p>
            <w:pPr>
              <w:pStyle w:val="14"/>
              <w:spacing w:before="35"/>
              <w:ind w:right="406"/>
              <w:jc w:val="right"/>
              <w:rPr>
                <w:rFonts w:ascii="Times New Roman"/>
                <w:sz w:val="21"/>
              </w:rPr>
            </w:pPr>
            <w:r>
              <w:rPr>
                <w:rFonts w:ascii="Times New Roman"/>
                <w:w w:val="99"/>
                <w:sz w:val="21"/>
              </w:rPr>
              <w:t>2</w:t>
            </w:r>
          </w:p>
        </w:tc>
        <w:tc>
          <w:tcPr>
            <w:tcW w:w="1525" w:type="dxa"/>
          </w:tcPr>
          <w:p>
            <w:pPr>
              <w:pStyle w:val="14"/>
              <w:spacing w:before="35"/>
              <w:ind w:right="251"/>
              <w:jc w:val="right"/>
              <w:rPr>
                <w:rFonts w:ascii="Times New Roman"/>
                <w:sz w:val="21"/>
              </w:rPr>
            </w:pPr>
            <w:r>
              <w:rPr>
                <w:rFonts w:ascii="Times New Roman"/>
                <w:w w:val="95"/>
                <w:sz w:val="21"/>
              </w:rPr>
              <w:t>5152261.72</w:t>
            </w:r>
          </w:p>
        </w:tc>
        <w:tc>
          <w:tcPr>
            <w:tcW w:w="1429" w:type="dxa"/>
          </w:tcPr>
          <w:p>
            <w:pPr>
              <w:pStyle w:val="14"/>
              <w:spacing w:before="35"/>
              <w:ind w:left="115" w:right="108"/>
              <w:rPr>
                <w:rFonts w:ascii="Times New Roman"/>
                <w:sz w:val="21"/>
              </w:rPr>
            </w:pPr>
            <w:r>
              <w:rPr>
                <w:rFonts w:ascii="Times New Roman"/>
                <w:sz w:val="21"/>
              </w:rPr>
              <w:t>44435384.19</w:t>
            </w:r>
          </w:p>
        </w:tc>
        <w:tc>
          <w:tcPr>
            <w:tcW w:w="708" w:type="dxa"/>
          </w:tcPr>
          <w:p>
            <w:pPr>
              <w:pStyle w:val="14"/>
              <w:spacing w:before="35"/>
              <w:ind w:left="300"/>
              <w:jc w:val="left"/>
              <w:rPr>
                <w:rFonts w:ascii="Times New Roman"/>
                <w:sz w:val="21"/>
              </w:rPr>
            </w:pPr>
            <w:r>
              <w:rPr>
                <w:rFonts w:ascii="Times New Roman"/>
                <w:w w:val="99"/>
                <w:sz w:val="21"/>
              </w:rPr>
              <w:t>4</w:t>
            </w:r>
          </w:p>
        </w:tc>
        <w:tc>
          <w:tcPr>
            <w:tcW w:w="1475" w:type="dxa"/>
          </w:tcPr>
          <w:p>
            <w:pPr>
              <w:pStyle w:val="14"/>
              <w:jc w:val="left"/>
              <w:rPr>
                <w:rFonts w:ascii="Times New Roman"/>
                <w:sz w:val="20"/>
              </w:rPr>
            </w:pPr>
          </w:p>
        </w:tc>
        <w:tc>
          <w:tcPr>
            <w:tcW w:w="1504" w:type="dxa"/>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43" w:type="dxa"/>
            <w:vMerge w:val="continue"/>
            <w:tcBorders>
              <w:top w:val="nil"/>
            </w:tcBorders>
          </w:tcPr>
          <w:p>
            <w:pPr>
              <w:rPr>
                <w:sz w:val="2"/>
                <w:szCs w:val="2"/>
              </w:rPr>
            </w:pPr>
          </w:p>
        </w:tc>
        <w:tc>
          <w:tcPr>
            <w:tcW w:w="7579" w:type="dxa"/>
            <w:gridSpan w:val="6"/>
          </w:tcPr>
          <w:p>
            <w:pPr>
              <w:pStyle w:val="14"/>
              <w:spacing w:before="21"/>
              <w:ind w:left="2665" w:right="2655"/>
              <w:rPr>
                <w:rFonts w:ascii="Times New Roman" w:eastAsia="Times New Roman"/>
                <w:sz w:val="21"/>
              </w:rPr>
            </w:pPr>
            <w:r>
              <w:rPr>
                <w:rFonts w:hint="eastAsia" w:ascii="仿宋" w:eastAsia="仿宋"/>
                <w:sz w:val="21"/>
              </w:rPr>
              <w:t>标高：</w:t>
            </w:r>
            <w:r>
              <w:rPr>
                <w:rFonts w:ascii="Times New Roman" w:eastAsia="Times New Roman"/>
                <w:sz w:val="21"/>
              </w:rPr>
              <w:t xml:space="preserve">370 </w:t>
            </w:r>
            <w:r>
              <w:rPr>
                <w:rFonts w:hint="eastAsia" w:ascii="仿宋" w:eastAsia="仿宋"/>
                <w:sz w:val="21"/>
              </w:rPr>
              <w:t xml:space="preserve">至 </w:t>
            </w:r>
            <w:r>
              <w:rPr>
                <w:rFonts w:ascii="Times New Roman" w:eastAsia="Times New Roman"/>
                <w:sz w:val="21"/>
              </w:rPr>
              <w:t>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restart"/>
          </w:tcPr>
          <w:p>
            <w:pPr>
              <w:pStyle w:val="14"/>
              <w:spacing w:before="30"/>
              <w:ind w:left="107"/>
              <w:jc w:val="left"/>
              <w:rPr>
                <w:rFonts w:ascii="Times New Roman" w:eastAsia="Times New Roman"/>
                <w:sz w:val="21"/>
              </w:rPr>
            </w:pPr>
            <w:r>
              <w:rPr>
                <w:spacing w:val="-18"/>
                <w:sz w:val="21"/>
              </w:rPr>
              <w:t xml:space="preserve">扣除 </w:t>
            </w:r>
            <w:r>
              <w:rPr>
                <w:rFonts w:ascii="Times New Roman" w:eastAsia="Times New Roman"/>
                <w:sz w:val="21"/>
              </w:rPr>
              <w:t>15</w:t>
            </w:r>
          </w:p>
          <w:p>
            <w:pPr>
              <w:pStyle w:val="14"/>
              <w:spacing w:before="2" w:line="310" w:lineRule="atLeast"/>
              <w:ind w:left="155" w:right="146"/>
              <w:jc w:val="left"/>
              <w:rPr>
                <w:sz w:val="21"/>
              </w:rPr>
            </w:pPr>
            <w:r>
              <w:rPr>
                <w:spacing w:val="-6"/>
                <w:sz w:val="21"/>
              </w:rPr>
              <w:t>层水源</w:t>
            </w:r>
            <w:r>
              <w:rPr>
                <w:spacing w:val="-6"/>
                <w:w w:val="95"/>
                <w:sz w:val="21"/>
              </w:rPr>
              <w:t>地范围</w:t>
            </w:r>
          </w:p>
        </w:tc>
        <w:tc>
          <w:tcPr>
            <w:tcW w:w="938" w:type="dxa"/>
          </w:tcPr>
          <w:p>
            <w:pPr>
              <w:pStyle w:val="14"/>
              <w:spacing w:before="34"/>
              <w:ind w:right="406"/>
              <w:jc w:val="right"/>
              <w:rPr>
                <w:rFonts w:ascii="Times New Roman"/>
                <w:sz w:val="21"/>
              </w:rPr>
            </w:pPr>
            <w:r>
              <w:rPr>
                <w:rFonts w:ascii="Times New Roman"/>
                <w:w w:val="99"/>
                <w:sz w:val="21"/>
              </w:rPr>
              <w:t>1</w:t>
            </w:r>
          </w:p>
        </w:tc>
        <w:tc>
          <w:tcPr>
            <w:tcW w:w="1525" w:type="dxa"/>
          </w:tcPr>
          <w:p>
            <w:pPr>
              <w:pStyle w:val="14"/>
              <w:spacing w:before="34"/>
              <w:ind w:right="251"/>
              <w:jc w:val="right"/>
              <w:rPr>
                <w:rFonts w:ascii="Times New Roman"/>
                <w:sz w:val="21"/>
              </w:rPr>
            </w:pPr>
            <w:r>
              <w:rPr>
                <w:rFonts w:ascii="Times New Roman"/>
                <w:w w:val="95"/>
                <w:sz w:val="21"/>
              </w:rPr>
              <w:t>5151915.72</w:t>
            </w:r>
          </w:p>
        </w:tc>
        <w:tc>
          <w:tcPr>
            <w:tcW w:w="1429" w:type="dxa"/>
          </w:tcPr>
          <w:p>
            <w:pPr>
              <w:pStyle w:val="14"/>
              <w:spacing w:before="34"/>
              <w:ind w:left="115" w:right="108"/>
              <w:rPr>
                <w:rFonts w:ascii="Times New Roman"/>
                <w:sz w:val="21"/>
              </w:rPr>
            </w:pPr>
            <w:r>
              <w:rPr>
                <w:rFonts w:ascii="Times New Roman"/>
                <w:sz w:val="21"/>
              </w:rPr>
              <w:t>44435689.20</w:t>
            </w:r>
          </w:p>
        </w:tc>
        <w:tc>
          <w:tcPr>
            <w:tcW w:w="708" w:type="dxa"/>
          </w:tcPr>
          <w:p>
            <w:pPr>
              <w:pStyle w:val="14"/>
              <w:spacing w:before="34"/>
              <w:ind w:left="300"/>
              <w:jc w:val="left"/>
              <w:rPr>
                <w:rFonts w:ascii="Times New Roman"/>
                <w:sz w:val="21"/>
              </w:rPr>
            </w:pPr>
            <w:r>
              <w:rPr>
                <w:rFonts w:ascii="Times New Roman"/>
                <w:w w:val="99"/>
                <w:sz w:val="21"/>
              </w:rPr>
              <w:t>3</w:t>
            </w:r>
          </w:p>
        </w:tc>
        <w:tc>
          <w:tcPr>
            <w:tcW w:w="1475" w:type="dxa"/>
          </w:tcPr>
          <w:p>
            <w:pPr>
              <w:pStyle w:val="14"/>
              <w:spacing w:before="34"/>
              <w:ind w:left="191" w:right="184"/>
              <w:rPr>
                <w:rFonts w:ascii="Times New Roman"/>
                <w:sz w:val="21"/>
              </w:rPr>
            </w:pPr>
            <w:r>
              <w:rPr>
                <w:rFonts w:ascii="Times New Roman"/>
                <w:sz w:val="21"/>
              </w:rPr>
              <w:t>5152581.72</w:t>
            </w:r>
          </w:p>
        </w:tc>
        <w:tc>
          <w:tcPr>
            <w:tcW w:w="1504" w:type="dxa"/>
          </w:tcPr>
          <w:p>
            <w:pPr>
              <w:pStyle w:val="14"/>
              <w:spacing w:before="34"/>
              <w:ind w:right="188"/>
              <w:jc w:val="right"/>
              <w:rPr>
                <w:rFonts w:ascii="Times New Roman"/>
                <w:sz w:val="21"/>
              </w:rPr>
            </w:pPr>
            <w:r>
              <w:rPr>
                <w:rFonts w:ascii="Times New Roman"/>
                <w:w w:val="95"/>
                <w:sz w:val="21"/>
              </w:rPr>
              <w:t>44435580.19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43" w:type="dxa"/>
            <w:vMerge w:val="continue"/>
            <w:tcBorders>
              <w:top w:val="nil"/>
            </w:tcBorders>
          </w:tcPr>
          <w:p>
            <w:pPr>
              <w:rPr>
                <w:sz w:val="2"/>
                <w:szCs w:val="2"/>
              </w:rPr>
            </w:pPr>
          </w:p>
        </w:tc>
        <w:tc>
          <w:tcPr>
            <w:tcW w:w="938" w:type="dxa"/>
          </w:tcPr>
          <w:p>
            <w:pPr>
              <w:pStyle w:val="14"/>
              <w:spacing w:before="34"/>
              <w:ind w:right="406"/>
              <w:jc w:val="right"/>
              <w:rPr>
                <w:rFonts w:ascii="Times New Roman"/>
                <w:sz w:val="21"/>
              </w:rPr>
            </w:pPr>
            <w:r>
              <w:rPr>
                <w:rFonts w:ascii="Times New Roman"/>
                <w:w w:val="99"/>
                <w:sz w:val="21"/>
              </w:rPr>
              <w:t>2</w:t>
            </w:r>
          </w:p>
        </w:tc>
        <w:tc>
          <w:tcPr>
            <w:tcW w:w="1525" w:type="dxa"/>
          </w:tcPr>
          <w:p>
            <w:pPr>
              <w:pStyle w:val="14"/>
              <w:spacing w:before="34"/>
              <w:ind w:right="251"/>
              <w:jc w:val="right"/>
              <w:rPr>
                <w:rFonts w:ascii="Times New Roman"/>
                <w:sz w:val="21"/>
              </w:rPr>
            </w:pPr>
            <w:r>
              <w:rPr>
                <w:rFonts w:ascii="Times New Roman"/>
                <w:w w:val="95"/>
                <w:sz w:val="21"/>
              </w:rPr>
              <w:t>5152213.72</w:t>
            </w:r>
          </w:p>
        </w:tc>
        <w:tc>
          <w:tcPr>
            <w:tcW w:w="1429" w:type="dxa"/>
          </w:tcPr>
          <w:p>
            <w:pPr>
              <w:pStyle w:val="14"/>
              <w:spacing w:before="34"/>
              <w:ind w:left="115" w:right="108"/>
              <w:rPr>
                <w:rFonts w:ascii="Times New Roman"/>
                <w:sz w:val="21"/>
              </w:rPr>
            </w:pPr>
            <w:r>
              <w:rPr>
                <w:rFonts w:ascii="Times New Roman"/>
                <w:sz w:val="21"/>
              </w:rPr>
              <w:t>44435373.19</w:t>
            </w:r>
          </w:p>
        </w:tc>
        <w:tc>
          <w:tcPr>
            <w:tcW w:w="708" w:type="dxa"/>
          </w:tcPr>
          <w:p>
            <w:pPr>
              <w:pStyle w:val="14"/>
              <w:spacing w:before="34"/>
              <w:ind w:left="300"/>
              <w:jc w:val="left"/>
              <w:rPr>
                <w:rFonts w:ascii="Times New Roman"/>
                <w:sz w:val="21"/>
              </w:rPr>
            </w:pPr>
            <w:r>
              <w:rPr>
                <w:rFonts w:ascii="Times New Roman"/>
                <w:w w:val="99"/>
                <w:sz w:val="21"/>
              </w:rPr>
              <w:t>4</w:t>
            </w:r>
          </w:p>
        </w:tc>
        <w:tc>
          <w:tcPr>
            <w:tcW w:w="1475" w:type="dxa"/>
          </w:tcPr>
          <w:p>
            <w:pPr>
              <w:pStyle w:val="14"/>
              <w:jc w:val="left"/>
              <w:rPr>
                <w:rFonts w:ascii="Times New Roman"/>
                <w:sz w:val="20"/>
              </w:rPr>
            </w:pPr>
          </w:p>
        </w:tc>
        <w:tc>
          <w:tcPr>
            <w:tcW w:w="1504" w:type="dxa"/>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43" w:type="dxa"/>
            <w:vMerge w:val="continue"/>
            <w:tcBorders>
              <w:top w:val="nil"/>
            </w:tcBorders>
          </w:tcPr>
          <w:p>
            <w:pPr>
              <w:rPr>
                <w:sz w:val="2"/>
                <w:szCs w:val="2"/>
              </w:rPr>
            </w:pPr>
          </w:p>
        </w:tc>
        <w:tc>
          <w:tcPr>
            <w:tcW w:w="7579" w:type="dxa"/>
            <w:gridSpan w:val="6"/>
          </w:tcPr>
          <w:p>
            <w:pPr>
              <w:pStyle w:val="14"/>
              <w:spacing w:before="22"/>
              <w:ind w:left="2665" w:right="2657"/>
              <w:rPr>
                <w:rFonts w:ascii="Times New Roman" w:eastAsia="Times New Roman"/>
                <w:sz w:val="21"/>
              </w:rPr>
            </w:pPr>
            <w:r>
              <w:rPr>
                <w:rFonts w:hint="eastAsia" w:ascii="仿宋" w:eastAsia="仿宋"/>
                <w:sz w:val="21"/>
              </w:rPr>
              <w:t>标高：</w:t>
            </w:r>
            <w:r>
              <w:rPr>
                <w:rFonts w:ascii="Times New Roman" w:eastAsia="Times New Roman"/>
                <w:sz w:val="21"/>
              </w:rPr>
              <w:t xml:space="preserve">370 </w:t>
            </w:r>
            <w:r>
              <w:rPr>
                <w:rFonts w:hint="eastAsia" w:ascii="仿宋" w:eastAsia="仿宋"/>
                <w:sz w:val="21"/>
              </w:rPr>
              <w:t>至</w:t>
            </w:r>
            <w:r>
              <w:rPr>
                <w:rFonts w:ascii="Times New Roman" w:eastAsia="Times New Roman"/>
                <w:sz w:val="21"/>
              </w:rPr>
              <w:t>-160m</w:t>
            </w:r>
          </w:p>
        </w:tc>
      </w:tr>
    </w:tbl>
    <w:p>
      <w:pPr>
        <w:pStyle w:val="6"/>
        <w:spacing w:before="1"/>
        <w:ind w:left="1520"/>
      </w:pPr>
      <w:r>
        <w:t>本项目井田境界见附图。</w:t>
      </w:r>
    </w:p>
    <w:p>
      <w:pPr>
        <w:pStyle w:val="13"/>
        <w:numPr>
          <w:ilvl w:val="4"/>
          <w:numId w:val="20"/>
        </w:numPr>
        <w:tabs>
          <w:tab w:val="left" w:pos="2121"/>
        </w:tabs>
        <w:spacing w:before="161" w:after="0" w:line="240" w:lineRule="auto"/>
        <w:ind w:left="2121" w:right="0" w:hanging="601"/>
        <w:jc w:val="left"/>
        <w:rPr>
          <w:sz w:val="24"/>
        </w:rPr>
      </w:pPr>
      <w:r>
        <w:rPr>
          <w:sz w:val="24"/>
        </w:rPr>
        <w:t>储量</w:t>
      </w:r>
    </w:p>
    <w:p>
      <w:pPr>
        <w:pStyle w:val="6"/>
        <w:spacing w:before="158" w:line="364" w:lineRule="auto"/>
        <w:ind w:left="1040" w:right="1077" w:firstLine="480"/>
      </w:pPr>
      <w:r>
        <w:rPr>
          <w:spacing w:val="-4"/>
        </w:rPr>
        <w:t xml:space="preserve">矿井改扩建后，本矿井的地质储量 </w:t>
      </w:r>
      <w:r>
        <w:rPr>
          <w:rFonts w:ascii="Times New Roman" w:eastAsia="Times New Roman"/>
        </w:rPr>
        <w:t xml:space="preserve">952.98 </w:t>
      </w:r>
      <w:r>
        <w:rPr>
          <w:spacing w:val="-29"/>
        </w:rPr>
        <w:t xml:space="preserve">万 </w:t>
      </w:r>
      <w:r>
        <w:rPr>
          <w:rFonts w:ascii="Times New Roman" w:eastAsia="Times New Roman"/>
        </w:rPr>
        <w:t>t</w:t>
      </w:r>
      <w:r>
        <w:rPr>
          <w:spacing w:val="-9"/>
        </w:rPr>
        <w:t xml:space="preserve">，可采储量为 </w:t>
      </w:r>
      <w:r>
        <w:rPr>
          <w:rFonts w:ascii="Times New Roman" w:eastAsia="Times New Roman"/>
        </w:rPr>
        <w:t xml:space="preserve">646.59 </w:t>
      </w:r>
      <w:r>
        <w:rPr>
          <w:spacing w:val="-29"/>
        </w:rPr>
        <w:t xml:space="preserve">万 </w:t>
      </w:r>
      <w:r>
        <w:rPr>
          <w:rFonts w:ascii="Times New Roman" w:eastAsia="Times New Roman"/>
        </w:rPr>
        <w:t>t</w:t>
      </w:r>
      <w:r>
        <w:rPr>
          <w:spacing w:val="-7"/>
        </w:rPr>
        <w:t>，生</w:t>
      </w:r>
      <w:r>
        <w:rPr>
          <w:spacing w:val="-12"/>
        </w:rPr>
        <w:t xml:space="preserve">产能力按 </w:t>
      </w:r>
      <w:r>
        <w:rPr>
          <w:rFonts w:ascii="Times New Roman" w:eastAsia="Times New Roman"/>
        </w:rPr>
        <w:t xml:space="preserve">30 </w:t>
      </w:r>
      <w:r>
        <w:rPr>
          <w:spacing w:val="-30"/>
        </w:rPr>
        <w:t xml:space="preserve">万 </w:t>
      </w:r>
      <w:r>
        <w:rPr>
          <w:rFonts w:ascii="Times New Roman" w:eastAsia="Times New Roman"/>
        </w:rPr>
        <w:t xml:space="preserve">t/a </w:t>
      </w:r>
      <w:r>
        <w:rPr>
          <w:spacing w:val="-4"/>
        </w:rPr>
        <w:t xml:space="preserve">进行计算，本矿井的服务年限为 </w:t>
      </w:r>
      <w:r>
        <w:rPr>
          <w:rFonts w:ascii="Times New Roman" w:eastAsia="Times New Roman"/>
        </w:rPr>
        <w:t xml:space="preserve">15.4 </w:t>
      </w:r>
      <w:r>
        <w:t>年。</w:t>
      </w:r>
    </w:p>
    <w:p>
      <w:pPr>
        <w:pStyle w:val="5"/>
        <w:numPr>
          <w:ilvl w:val="3"/>
          <w:numId w:val="20"/>
        </w:numPr>
        <w:tabs>
          <w:tab w:val="left" w:pos="1760"/>
        </w:tabs>
        <w:spacing w:before="0" w:after="0" w:line="306" w:lineRule="exact"/>
        <w:ind w:left="1760" w:right="0" w:hanging="720"/>
        <w:jc w:val="left"/>
      </w:pPr>
      <w:r>
        <w:t>矿区地质特征</w:t>
      </w:r>
    </w:p>
    <w:p>
      <w:pPr>
        <w:pStyle w:val="6"/>
        <w:spacing w:before="160"/>
        <w:ind w:left="1520"/>
      </w:pPr>
      <w:r>
        <w:t>（一）地层</w:t>
      </w:r>
    </w:p>
    <w:p>
      <w:pPr>
        <w:pStyle w:val="6"/>
        <w:spacing w:before="158"/>
        <w:ind w:left="1520"/>
      </w:pPr>
      <w:r>
        <w:rPr>
          <w:rFonts w:ascii="Times New Roman" w:eastAsia="Times New Roman"/>
        </w:rPr>
        <w:t>1</w:t>
      </w:r>
      <w:r>
        <w:t>、区域地层</w:t>
      </w:r>
    </w:p>
    <w:p>
      <w:pPr>
        <w:pStyle w:val="6"/>
        <w:spacing w:before="161" w:line="364" w:lineRule="auto"/>
        <w:ind w:left="1040" w:right="1077" w:firstLine="480"/>
      </w:pPr>
      <w:r>
        <w:rPr>
          <w:spacing w:val="-7"/>
        </w:rPr>
        <w:t>双鸭山煤田西起佳木斯隆起，东止富锦隆起，南起完达山的分水岭，北止松</w:t>
      </w:r>
      <w:r>
        <w:t>花江南岸。</w:t>
      </w:r>
    </w:p>
    <w:p>
      <w:pPr>
        <w:pStyle w:val="6"/>
        <w:spacing w:line="306" w:lineRule="exact"/>
        <w:ind w:left="1520"/>
        <w:rPr>
          <w:rFonts w:ascii="Times New Roman" w:hAnsi="Times New Roman" w:eastAsia="Times New Roman"/>
        </w:rPr>
      </w:pPr>
      <w:r>
        <w:t>其地理坐标：东经</w:t>
      </w:r>
      <w:r>
        <w:rPr>
          <w:rFonts w:ascii="Times New Roman" w:hAnsi="Times New Roman" w:eastAsia="Times New Roman"/>
        </w:rPr>
        <w:t>131°03′—131°45′</w:t>
      </w:r>
      <w:r>
        <w:t>；北纬</w:t>
      </w:r>
      <w:r>
        <w:rPr>
          <w:rFonts w:ascii="Times New Roman" w:hAnsi="Times New Roman" w:eastAsia="Times New Roman"/>
        </w:rPr>
        <w:t>46°22′—46°43′</w:t>
      </w:r>
      <w:r>
        <w:t>煤田东西走向长</w:t>
      </w:r>
      <w:r>
        <w:rPr>
          <w:rFonts w:ascii="Times New Roman" w:hAnsi="Times New Roman" w:eastAsia="Times New Roman"/>
        </w:rPr>
        <w:t>50</w:t>
      </w:r>
    </w:p>
    <w:p>
      <w:pPr>
        <w:spacing w:after="0" w:line="306" w:lineRule="exact"/>
        <w:rPr>
          <w:rFonts w:ascii="Times New Roman" w:hAnsi="Times New Roman" w:eastAsia="Times New Roman"/>
        </w:rPr>
        <w:sectPr>
          <w:pgSz w:w="11910" w:h="16840"/>
          <w:pgMar w:top="1080" w:right="720" w:bottom="1160" w:left="760" w:header="0" w:footer="891" w:gutter="0"/>
        </w:sectPr>
      </w:pPr>
    </w:p>
    <w:p>
      <w:pPr>
        <w:pStyle w:val="6"/>
        <w:spacing w:line="20" w:lineRule="exact"/>
        <w:ind w:left="1032"/>
        <w:rPr>
          <w:rFonts w:ascii="Times New Roman"/>
          <w:sz w:val="2"/>
        </w:rPr>
      </w:pPr>
      <w:r>
        <w:rPr>
          <w:rFonts w:ascii="Times New Roman"/>
          <w:sz w:val="2"/>
        </w:rPr>
        <mc:AlternateContent>
          <mc:Choice Requires="wpg">
            <w:drawing>
              <wp:inline distT="0" distB="0" distL="114300" distR="114300">
                <wp:extent cx="5274310" cy="9525"/>
                <wp:effectExtent l="0" t="0" r="0" b="0"/>
                <wp:docPr id="163" name="组合 38"/>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62" name="直线 39"/>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38"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7toIu1AAAAAMBAAAPAAAAAAAAAAEAIAAAACIAAABkcnMvZG93bnJldi54bWxQ&#10;SwECFAAUAAAACACHTuJAPbLUADQCAAC2BAAADgAAAAAAAAABACAAAAAjAQAAZHJzL2Uyb0RvYy54&#10;bWxQSwUGAAAAAAYABgBZAQAAyQUAAAAA&#10;">
                <o:lock v:ext="edit" aspectratio="f"/>
                <v:line id="直线 39" o:spid="_x0000_s1026" o:spt="20" style="position:absolute;left:0;top:7;height:0;width:8306;" filled="f" stroked="t" coordsize="21600,21600" o:gfxdata="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o6F5L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6"/>
        <w:spacing w:before="7"/>
        <w:rPr>
          <w:rFonts w:ascii="Times New Roman"/>
          <w:sz w:val="21"/>
        </w:rPr>
      </w:pPr>
    </w:p>
    <w:p>
      <w:pPr>
        <w:pStyle w:val="6"/>
        <w:spacing w:before="74" w:line="364" w:lineRule="auto"/>
        <w:ind w:left="1040" w:right="985"/>
      </w:pPr>
      <w:r>
        <w:t>千米，南北宽</w:t>
      </w:r>
      <w:r>
        <w:rPr>
          <w:rFonts w:ascii="Times New Roman" w:hAnsi="Times New Roman" w:eastAsia="Times New Roman"/>
        </w:rPr>
        <w:t>5—20</w:t>
      </w:r>
      <w:r>
        <w:t>千米，面积约</w:t>
      </w:r>
      <w:r>
        <w:rPr>
          <w:rFonts w:ascii="Times New Roman" w:hAnsi="Times New Roman" w:eastAsia="Times New Roman"/>
        </w:rPr>
        <w:t>600</w:t>
      </w:r>
      <w:r>
        <w:rPr>
          <w:spacing w:val="-1"/>
        </w:rPr>
        <w:t>平方千米，行政区划属黑龙江省双鸭山市、</w:t>
      </w:r>
      <w:r>
        <w:rPr>
          <w:spacing w:val="-11"/>
        </w:rPr>
        <w:t>宝清县、友谊县。在第三、第四纪松散半胶结地层掩盖下早白垩世含煤地层广泛分布，其地层系统由老至新见表</w:t>
      </w:r>
      <w:r>
        <w:rPr>
          <w:rFonts w:ascii="Times New Roman" w:hAnsi="Times New Roman" w:eastAsia="Times New Roman"/>
          <w:spacing w:val="-11"/>
        </w:rPr>
        <w:t>3.3-3</w:t>
      </w:r>
      <w:r>
        <w:rPr>
          <w:spacing w:val="-11"/>
        </w:rPr>
        <w:t>。</w:t>
      </w:r>
    </w:p>
    <w:p>
      <w:pPr>
        <w:pStyle w:val="5"/>
        <w:spacing w:line="307" w:lineRule="exact"/>
        <w:ind w:left="3862"/>
      </w:pPr>
      <w:r>
        <w:t>表</w:t>
      </w:r>
      <w:r>
        <w:rPr>
          <w:rFonts w:ascii="Times New Roman" w:eastAsia="Times New Roman"/>
        </w:rPr>
        <w:t>3.3-3</w:t>
      </w:r>
      <w:r>
        <w:t>双鸭山区域地层表</w:t>
      </w:r>
    </w:p>
    <w:p>
      <w:pPr>
        <w:pStyle w:val="6"/>
        <w:rPr>
          <w:b/>
          <w:sz w:val="20"/>
        </w:rPr>
      </w:pPr>
    </w:p>
    <w:p>
      <w:pPr>
        <w:pStyle w:val="6"/>
        <w:spacing w:before="7"/>
        <w:rPr>
          <w:b/>
          <w:sz w:val="11"/>
        </w:rPr>
      </w:pPr>
    </w:p>
    <w:tbl>
      <w:tblPr>
        <w:tblStyle w:val="10"/>
        <w:tblW w:w="0" w:type="auto"/>
        <w:tblInd w:w="12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4"/>
        <w:gridCol w:w="1227"/>
        <w:gridCol w:w="1293"/>
        <w:gridCol w:w="1683"/>
        <w:gridCol w:w="1057"/>
        <w:gridCol w:w="14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84" w:type="dxa"/>
          </w:tcPr>
          <w:p>
            <w:pPr>
              <w:pStyle w:val="14"/>
              <w:spacing w:before="21"/>
              <w:ind w:left="7"/>
              <w:rPr>
                <w:sz w:val="21"/>
              </w:rPr>
            </w:pPr>
            <w:r>
              <w:rPr>
                <w:w w:val="99"/>
                <w:sz w:val="21"/>
              </w:rPr>
              <w:t>界</w:t>
            </w:r>
          </w:p>
        </w:tc>
        <w:tc>
          <w:tcPr>
            <w:tcW w:w="1227" w:type="dxa"/>
          </w:tcPr>
          <w:p>
            <w:pPr>
              <w:pStyle w:val="14"/>
              <w:spacing w:before="21"/>
              <w:ind w:left="5"/>
              <w:rPr>
                <w:sz w:val="21"/>
              </w:rPr>
            </w:pPr>
            <w:r>
              <w:rPr>
                <w:w w:val="99"/>
                <w:sz w:val="21"/>
              </w:rPr>
              <w:t>系</w:t>
            </w:r>
          </w:p>
        </w:tc>
        <w:tc>
          <w:tcPr>
            <w:tcW w:w="1293" w:type="dxa"/>
          </w:tcPr>
          <w:p>
            <w:pPr>
              <w:pStyle w:val="14"/>
              <w:spacing w:before="21"/>
              <w:ind w:left="204" w:right="199"/>
              <w:rPr>
                <w:sz w:val="21"/>
              </w:rPr>
            </w:pPr>
            <w:r>
              <w:rPr>
                <w:sz w:val="21"/>
              </w:rPr>
              <w:t>群（统）</w:t>
            </w:r>
          </w:p>
        </w:tc>
        <w:tc>
          <w:tcPr>
            <w:tcW w:w="1683" w:type="dxa"/>
          </w:tcPr>
          <w:p>
            <w:pPr>
              <w:pStyle w:val="14"/>
              <w:spacing w:before="21"/>
              <w:ind w:left="5"/>
              <w:rPr>
                <w:sz w:val="21"/>
              </w:rPr>
            </w:pPr>
            <w:r>
              <w:rPr>
                <w:w w:val="99"/>
                <w:sz w:val="21"/>
              </w:rPr>
              <w:t>组</w:t>
            </w:r>
          </w:p>
        </w:tc>
        <w:tc>
          <w:tcPr>
            <w:tcW w:w="1057" w:type="dxa"/>
          </w:tcPr>
          <w:p>
            <w:pPr>
              <w:pStyle w:val="14"/>
              <w:spacing w:before="21"/>
              <w:ind w:right="310"/>
              <w:jc w:val="right"/>
              <w:rPr>
                <w:sz w:val="21"/>
              </w:rPr>
            </w:pPr>
            <w:r>
              <w:rPr>
                <w:w w:val="95"/>
                <w:sz w:val="21"/>
              </w:rPr>
              <w:t>符号</w:t>
            </w:r>
          </w:p>
        </w:tc>
        <w:tc>
          <w:tcPr>
            <w:tcW w:w="1461" w:type="dxa"/>
          </w:tcPr>
          <w:p>
            <w:pPr>
              <w:pStyle w:val="14"/>
              <w:spacing w:before="21"/>
              <w:ind w:left="324" w:right="316"/>
              <w:rPr>
                <w:rFonts w:ascii="Times New Roman" w:eastAsia="Times New Roman"/>
                <w:sz w:val="21"/>
              </w:rPr>
            </w:pPr>
            <w:r>
              <w:rPr>
                <w:sz w:val="21"/>
              </w:rPr>
              <w:t>厚度</w:t>
            </w:r>
            <w:r>
              <w:rPr>
                <w:rFonts w:ascii="Times New Roman" w:eastAsia="Times New Roman"/>
                <w:sz w:val="21"/>
              </w:rPr>
              <w:t>(</w:t>
            </w:r>
            <w:r>
              <w:rPr>
                <w:sz w:val="21"/>
              </w:rPr>
              <w:t>米</w:t>
            </w:r>
            <w:r>
              <w:rPr>
                <w:rFonts w:ascii="Times New Roman" w:eastAsia="Times New Roman"/>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84" w:type="dxa"/>
            <w:vMerge w:val="restart"/>
          </w:tcPr>
          <w:p>
            <w:pPr>
              <w:pStyle w:val="14"/>
              <w:jc w:val="left"/>
              <w:rPr>
                <w:b/>
                <w:sz w:val="20"/>
              </w:rPr>
            </w:pPr>
          </w:p>
          <w:p>
            <w:pPr>
              <w:pStyle w:val="14"/>
              <w:spacing w:before="3"/>
              <w:jc w:val="left"/>
              <w:rPr>
                <w:b/>
                <w:sz w:val="19"/>
              </w:rPr>
            </w:pPr>
          </w:p>
          <w:p>
            <w:pPr>
              <w:pStyle w:val="14"/>
              <w:spacing w:before="1"/>
              <w:ind w:left="277"/>
              <w:jc w:val="left"/>
              <w:rPr>
                <w:sz w:val="21"/>
              </w:rPr>
            </w:pPr>
            <w:r>
              <w:rPr>
                <w:sz w:val="21"/>
              </w:rPr>
              <w:t>新生界</w:t>
            </w:r>
          </w:p>
        </w:tc>
        <w:tc>
          <w:tcPr>
            <w:tcW w:w="1227" w:type="dxa"/>
          </w:tcPr>
          <w:p>
            <w:pPr>
              <w:pStyle w:val="14"/>
              <w:spacing w:before="21"/>
              <w:ind w:left="277" w:right="269"/>
              <w:rPr>
                <w:sz w:val="21"/>
              </w:rPr>
            </w:pPr>
            <w:r>
              <w:rPr>
                <w:sz w:val="21"/>
              </w:rPr>
              <w:t>第四系</w:t>
            </w:r>
          </w:p>
        </w:tc>
        <w:tc>
          <w:tcPr>
            <w:tcW w:w="1293" w:type="dxa"/>
          </w:tcPr>
          <w:p>
            <w:pPr>
              <w:pStyle w:val="14"/>
              <w:spacing w:before="21"/>
              <w:ind w:left="204" w:right="196"/>
              <w:rPr>
                <w:sz w:val="21"/>
              </w:rPr>
            </w:pPr>
            <w:r>
              <w:rPr>
                <w:sz w:val="21"/>
              </w:rPr>
              <w:t>全新统</w:t>
            </w:r>
          </w:p>
        </w:tc>
        <w:tc>
          <w:tcPr>
            <w:tcW w:w="1683" w:type="dxa"/>
          </w:tcPr>
          <w:p>
            <w:pPr>
              <w:pStyle w:val="14"/>
              <w:spacing w:before="21"/>
              <w:ind w:left="399" w:right="391"/>
              <w:rPr>
                <w:sz w:val="21"/>
              </w:rPr>
            </w:pPr>
            <w:r>
              <w:rPr>
                <w:sz w:val="21"/>
              </w:rPr>
              <w:t>冲积层</w:t>
            </w:r>
          </w:p>
        </w:tc>
        <w:tc>
          <w:tcPr>
            <w:tcW w:w="1057" w:type="dxa"/>
          </w:tcPr>
          <w:p>
            <w:pPr>
              <w:pStyle w:val="14"/>
              <w:spacing w:before="32" w:line="260" w:lineRule="exact"/>
              <w:ind w:left="397" w:right="390"/>
              <w:rPr>
                <w:rFonts w:ascii="Times New Roman"/>
                <w:sz w:val="21"/>
              </w:rPr>
            </w:pPr>
            <w:r>
              <w:rPr>
                <w:rFonts w:ascii="Times New Roman"/>
                <w:position w:val="2"/>
                <w:sz w:val="21"/>
              </w:rPr>
              <w:t>Q</w:t>
            </w:r>
            <w:r>
              <w:rPr>
                <w:rFonts w:ascii="Times New Roman"/>
                <w:position w:val="2"/>
                <w:sz w:val="21"/>
                <w:vertAlign w:val="subscript"/>
              </w:rPr>
              <w:t>4</w:t>
            </w:r>
          </w:p>
        </w:tc>
        <w:tc>
          <w:tcPr>
            <w:tcW w:w="1461" w:type="dxa"/>
          </w:tcPr>
          <w:p>
            <w:pPr>
              <w:pStyle w:val="14"/>
              <w:spacing w:before="35"/>
              <w:ind w:left="321" w:right="316"/>
              <w:rPr>
                <w:rFonts w:ascii="Times New Roman"/>
                <w:sz w:val="21"/>
              </w:rPr>
            </w:pPr>
            <w:r>
              <w:rPr>
                <w:rFonts w:ascii="Times New Roman"/>
                <w:sz w:val="21"/>
              </w:rPr>
              <w:t>2-60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84" w:type="dxa"/>
            <w:vMerge w:val="continue"/>
            <w:tcBorders>
              <w:top w:val="nil"/>
            </w:tcBorders>
          </w:tcPr>
          <w:p>
            <w:pPr>
              <w:rPr>
                <w:sz w:val="2"/>
                <w:szCs w:val="2"/>
              </w:rPr>
            </w:pPr>
          </w:p>
        </w:tc>
        <w:tc>
          <w:tcPr>
            <w:tcW w:w="1227" w:type="dxa"/>
          </w:tcPr>
          <w:p>
            <w:pPr>
              <w:pStyle w:val="14"/>
              <w:spacing w:before="21"/>
              <w:ind w:left="277" w:right="269"/>
              <w:rPr>
                <w:sz w:val="21"/>
              </w:rPr>
            </w:pPr>
            <w:r>
              <w:rPr>
                <w:sz w:val="21"/>
              </w:rPr>
              <w:t>第三系</w:t>
            </w:r>
          </w:p>
        </w:tc>
        <w:tc>
          <w:tcPr>
            <w:tcW w:w="1293" w:type="dxa"/>
          </w:tcPr>
          <w:p>
            <w:pPr>
              <w:pStyle w:val="14"/>
              <w:spacing w:before="21"/>
              <w:ind w:left="204" w:right="196"/>
              <w:rPr>
                <w:sz w:val="21"/>
              </w:rPr>
            </w:pPr>
            <w:r>
              <w:rPr>
                <w:sz w:val="21"/>
              </w:rPr>
              <w:t>中新统</w:t>
            </w:r>
          </w:p>
        </w:tc>
        <w:tc>
          <w:tcPr>
            <w:tcW w:w="1683" w:type="dxa"/>
          </w:tcPr>
          <w:p>
            <w:pPr>
              <w:pStyle w:val="14"/>
              <w:spacing w:before="21"/>
              <w:ind w:left="399" w:right="391"/>
              <w:rPr>
                <w:sz w:val="21"/>
              </w:rPr>
            </w:pPr>
            <w:r>
              <w:rPr>
                <w:sz w:val="21"/>
              </w:rPr>
              <w:t>玄武岩</w:t>
            </w:r>
          </w:p>
        </w:tc>
        <w:tc>
          <w:tcPr>
            <w:tcW w:w="1057" w:type="dxa"/>
          </w:tcPr>
          <w:p>
            <w:pPr>
              <w:pStyle w:val="14"/>
              <w:spacing w:before="17"/>
              <w:ind w:right="378"/>
              <w:jc w:val="right"/>
              <w:rPr>
                <w:rFonts w:ascii="Times New Roman" w:hAnsi="Times New Roman"/>
                <w:sz w:val="13"/>
              </w:rPr>
            </w:pPr>
            <w:r>
              <w:rPr>
                <w:position w:val="2"/>
                <w:sz w:val="21"/>
              </w:rPr>
              <w:t>Β</w:t>
            </w:r>
            <w:r>
              <w:rPr>
                <w:rFonts w:ascii="Times New Roman" w:hAnsi="Times New Roman"/>
                <w:sz w:val="13"/>
              </w:rPr>
              <w:t>n</w:t>
            </w:r>
          </w:p>
        </w:tc>
        <w:tc>
          <w:tcPr>
            <w:tcW w:w="1461" w:type="dxa"/>
          </w:tcPr>
          <w:p>
            <w:pPr>
              <w:pStyle w:val="14"/>
              <w:spacing w:before="34"/>
              <w:ind w:left="324" w:right="315"/>
              <w:rPr>
                <w:rFonts w:ascii="Times New Roman"/>
                <w:sz w:val="21"/>
              </w:rPr>
            </w:pPr>
            <w:r>
              <w:rPr>
                <w:rFonts w:ascii="Times New Roman"/>
                <w:sz w:val="21"/>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84" w:type="dxa"/>
            <w:vMerge w:val="continue"/>
            <w:tcBorders>
              <w:top w:val="nil"/>
            </w:tcBorders>
          </w:tcPr>
          <w:p>
            <w:pPr>
              <w:rPr>
                <w:sz w:val="2"/>
                <w:szCs w:val="2"/>
              </w:rPr>
            </w:pPr>
          </w:p>
        </w:tc>
        <w:tc>
          <w:tcPr>
            <w:tcW w:w="1227" w:type="dxa"/>
            <w:vMerge w:val="restart"/>
          </w:tcPr>
          <w:p>
            <w:pPr>
              <w:pStyle w:val="14"/>
              <w:spacing w:before="1"/>
              <w:jc w:val="left"/>
              <w:rPr>
                <w:b/>
                <w:sz w:val="14"/>
              </w:rPr>
            </w:pPr>
          </w:p>
          <w:p>
            <w:pPr>
              <w:pStyle w:val="14"/>
              <w:spacing w:before="1"/>
              <w:ind w:left="298"/>
              <w:jc w:val="left"/>
              <w:rPr>
                <w:sz w:val="21"/>
              </w:rPr>
            </w:pPr>
            <w:r>
              <w:rPr>
                <w:sz w:val="21"/>
              </w:rPr>
              <w:t>白垩系</w:t>
            </w:r>
          </w:p>
        </w:tc>
        <w:tc>
          <w:tcPr>
            <w:tcW w:w="1293" w:type="dxa"/>
            <w:vMerge w:val="restart"/>
          </w:tcPr>
          <w:p>
            <w:pPr>
              <w:pStyle w:val="14"/>
              <w:spacing w:before="1"/>
              <w:jc w:val="left"/>
              <w:rPr>
                <w:b/>
                <w:sz w:val="14"/>
              </w:rPr>
            </w:pPr>
          </w:p>
          <w:p>
            <w:pPr>
              <w:pStyle w:val="14"/>
              <w:spacing w:before="1"/>
              <w:ind w:left="204" w:right="196"/>
              <w:rPr>
                <w:sz w:val="21"/>
              </w:rPr>
            </w:pPr>
            <w:r>
              <w:rPr>
                <w:sz w:val="21"/>
              </w:rPr>
              <w:t>上统</w:t>
            </w:r>
          </w:p>
        </w:tc>
        <w:tc>
          <w:tcPr>
            <w:tcW w:w="1683" w:type="dxa"/>
          </w:tcPr>
          <w:p>
            <w:pPr>
              <w:pStyle w:val="14"/>
              <w:spacing w:before="20"/>
              <w:ind w:left="399" w:right="391"/>
              <w:rPr>
                <w:sz w:val="21"/>
              </w:rPr>
            </w:pPr>
            <w:r>
              <w:rPr>
                <w:sz w:val="21"/>
              </w:rPr>
              <w:t>穆棱组</w:t>
            </w:r>
          </w:p>
        </w:tc>
        <w:tc>
          <w:tcPr>
            <w:tcW w:w="1057" w:type="dxa"/>
          </w:tcPr>
          <w:p>
            <w:pPr>
              <w:pStyle w:val="14"/>
              <w:spacing w:before="31" w:line="261" w:lineRule="exact"/>
              <w:ind w:right="352"/>
              <w:jc w:val="right"/>
              <w:rPr>
                <w:rFonts w:ascii="Times New Roman"/>
                <w:sz w:val="21"/>
              </w:rPr>
            </w:pPr>
            <w:r>
              <w:rPr>
                <w:rFonts w:ascii="Times New Roman"/>
                <w:position w:val="2"/>
                <w:sz w:val="21"/>
              </w:rPr>
              <w:t>K</w:t>
            </w:r>
            <w:r>
              <w:rPr>
                <w:rFonts w:ascii="Times New Roman"/>
                <w:position w:val="2"/>
                <w:sz w:val="21"/>
                <w:vertAlign w:val="subscript"/>
              </w:rPr>
              <w:t>1m</w:t>
            </w:r>
          </w:p>
        </w:tc>
        <w:tc>
          <w:tcPr>
            <w:tcW w:w="1461" w:type="dxa"/>
          </w:tcPr>
          <w:p>
            <w:pPr>
              <w:pStyle w:val="14"/>
              <w:spacing w:before="34"/>
              <w:ind w:left="324" w:right="315"/>
              <w:rPr>
                <w:rFonts w:ascii="Times New Roman"/>
                <w:sz w:val="21"/>
              </w:rPr>
            </w:pPr>
            <w:r>
              <w:rPr>
                <w:rFonts w:ascii="Times New Roman"/>
                <w:sz w:val="21"/>
              </w:rPr>
              <w:t>250-600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84" w:type="dxa"/>
            <w:vMerge w:val="continue"/>
            <w:tcBorders>
              <w:top w:val="nil"/>
            </w:tcBorders>
          </w:tcPr>
          <w:p>
            <w:pPr>
              <w:rPr>
                <w:sz w:val="2"/>
                <w:szCs w:val="2"/>
              </w:rPr>
            </w:pPr>
          </w:p>
        </w:tc>
        <w:tc>
          <w:tcPr>
            <w:tcW w:w="1227" w:type="dxa"/>
            <w:vMerge w:val="continue"/>
            <w:tcBorders>
              <w:top w:val="nil"/>
            </w:tcBorders>
          </w:tcPr>
          <w:p>
            <w:pPr>
              <w:rPr>
                <w:sz w:val="2"/>
                <w:szCs w:val="2"/>
              </w:rPr>
            </w:pPr>
          </w:p>
        </w:tc>
        <w:tc>
          <w:tcPr>
            <w:tcW w:w="1293" w:type="dxa"/>
            <w:vMerge w:val="continue"/>
            <w:tcBorders>
              <w:top w:val="nil"/>
            </w:tcBorders>
          </w:tcPr>
          <w:p>
            <w:pPr>
              <w:rPr>
                <w:sz w:val="2"/>
                <w:szCs w:val="2"/>
              </w:rPr>
            </w:pPr>
          </w:p>
        </w:tc>
        <w:tc>
          <w:tcPr>
            <w:tcW w:w="1683" w:type="dxa"/>
          </w:tcPr>
          <w:p>
            <w:pPr>
              <w:pStyle w:val="14"/>
              <w:spacing w:before="20"/>
              <w:ind w:left="399" w:right="394"/>
              <w:rPr>
                <w:sz w:val="21"/>
              </w:rPr>
            </w:pPr>
            <w:r>
              <w:rPr>
                <w:sz w:val="21"/>
              </w:rPr>
              <w:t>城子河组</w:t>
            </w:r>
          </w:p>
        </w:tc>
        <w:tc>
          <w:tcPr>
            <w:tcW w:w="1057" w:type="dxa"/>
          </w:tcPr>
          <w:p>
            <w:pPr>
              <w:pStyle w:val="14"/>
              <w:spacing w:before="33" w:line="259" w:lineRule="exact"/>
              <w:ind w:right="340"/>
              <w:jc w:val="right"/>
              <w:rPr>
                <w:rFonts w:ascii="Times New Roman"/>
                <w:sz w:val="21"/>
              </w:rPr>
            </w:pPr>
            <w:r>
              <w:rPr>
                <w:rFonts w:ascii="Times New Roman"/>
                <w:position w:val="2"/>
                <w:sz w:val="21"/>
              </w:rPr>
              <w:t>K</w:t>
            </w:r>
            <w:r>
              <w:rPr>
                <w:rFonts w:ascii="Times New Roman"/>
                <w:position w:val="2"/>
                <w:sz w:val="21"/>
                <w:vertAlign w:val="subscript"/>
              </w:rPr>
              <w:t>1ch</w:t>
            </w:r>
          </w:p>
        </w:tc>
        <w:tc>
          <w:tcPr>
            <w:tcW w:w="1461" w:type="dxa"/>
          </w:tcPr>
          <w:p>
            <w:pPr>
              <w:pStyle w:val="14"/>
              <w:spacing w:before="34"/>
              <w:ind w:left="324" w:right="315"/>
              <w:rPr>
                <w:rFonts w:ascii="Times New Roman"/>
                <w:sz w:val="21"/>
              </w:rPr>
            </w:pPr>
            <w:r>
              <w:rPr>
                <w:rFonts w:ascii="Times New Roman"/>
                <w:sz w:val="21"/>
              </w:rPr>
              <w:t>250-600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84" w:type="dxa"/>
          </w:tcPr>
          <w:p>
            <w:pPr>
              <w:pStyle w:val="14"/>
              <w:spacing w:before="22"/>
              <w:ind w:left="256" w:right="247"/>
              <w:rPr>
                <w:sz w:val="21"/>
              </w:rPr>
            </w:pPr>
            <w:r>
              <w:rPr>
                <w:sz w:val="21"/>
              </w:rPr>
              <w:t>古生界</w:t>
            </w:r>
          </w:p>
        </w:tc>
        <w:tc>
          <w:tcPr>
            <w:tcW w:w="1227" w:type="dxa"/>
          </w:tcPr>
          <w:p>
            <w:pPr>
              <w:pStyle w:val="14"/>
              <w:jc w:val="left"/>
              <w:rPr>
                <w:rFonts w:ascii="Times New Roman"/>
                <w:sz w:val="22"/>
              </w:rPr>
            </w:pPr>
          </w:p>
        </w:tc>
        <w:tc>
          <w:tcPr>
            <w:tcW w:w="1293" w:type="dxa"/>
          </w:tcPr>
          <w:p>
            <w:pPr>
              <w:pStyle w:val="14"/>
              <w:spacing w:before="22"/>
              <w:ind w:left="204" w:right="196"/>
              <w:rPr>
                <w:sz w:val="21"/>
              </w:rPr>
            </w:pPr>
            <w:r>
              <w:rPr>
                <w:sz w:val="21"/>
              </w:rPr>
              <w:t>麻山群</w:t>
            </w:r>
          </w:p>
        </w:tc>
        <w:tc>
          <w:tcPr>
            <w:tcW w:w="1683" w:type="dxa"/>
          </w:tcPr>
          <w:p>
            <w:pPr>
              <w:pStyle w:val="14"/>
              <w:spacing w:before="22"/>
              <w:ind w:left="399" w:right="391"/>
              <w:rPr>
                <w:sz w:val="21"/>
              </w:rPr>
            </w:pPr>
            <w:r>
              <w:rPr>
                <w:sz w:val="21"/>
              </w:rPr>
              <w:t>柳毛组</w:t>
            </w:r>
          </w:p>
        </w:tc>
        <w:tc>
          <w:tcPr>
            <w:tcW w:w="1057" w:type="dxa"/>
          </w:tcPr>
          <w:p>
            <w:pPr>
              <w:pStyle w:val="14"/>
              <w:spacing w:before="32" w:line="259" w:lineRule="exact"/>
              <w:ind w:right="367"/>
              <w:jc w:val="right"/>
              <w:rPr>
                <w:rFonts w:ascii="Times New Roman"/>
                <w:sz w:val="21"/>
              </w:rPr>
            </w:pPr>
            <w:r>
              <w:rPr>
                <w:rFonts w:ascii="Times New Roman"/>
                <w:position w:val="2"/>
                <w:sz w:val="21"/>
              </w:rPr>
              <w:t>P</w:t>
            </w:r>
            <w:r>
              <w:rPr>
                <w:rFonts w:ascii="Times New Roman"/>
                <w:position w:val="2"/>
                <w:sz w:val="21"/>
                <w:vertAlign w:val="subscript"/>
              </w:rPr>
              <w:t>tlm</w:t>
            </w:r>
          </w:p>
        </w:tc>
        <w:tc>
          <w:tcPr>
            <w:tcW w:w="1461" w:type="dxa"/>
          </w:tcPr>
          <w:p>
            <w:pPr>
              <w:pStyle w:val="14"/>
              <w:spacing w:before="22"/>
              <w:ind w:left="324" w:right="315"/>
              <w:rPr>
                <w:rFonts w:ascii="Times New Roman" w:eastAsia="Times New Roman"/>
                <w:sz w:val="21"/>
              </w:rPr>
            </w:pPr>
            <w:r>
              <w:rPr>
                <w:sz w:val="21"/>
              </w:rPr>
              <w:t>＞</w:t>
            </w:r>
            <w:r>
              <w:rPr>
                <w:rFonts w:ascii="Times New Roman" w:eastAsia="Times New Roman"/>
                <w:sz w:val="21"/>
              </w:rPr>
              <w:t>800</w:t>
            </w:r>
          </w:p>
        </w:tc>
      </w:tr>
    </w:tbl>
    <w:p>
      <w:pPr>
        <w:pStyle w:val="6"/>
        <w:spacing w:before="4"/>
        <w:ind w:left="1520"/>
      </w:pPr>
      <w:r>
        <w:t>地层层序由老至新分述如下：</w:t>
      </w:r>
    </w:p>
    <w:p>
      <w:pPr>
        <w:pStyle w:val="13"/>
        <w:numPr>
          <w:ilvl w:val="0"/>
          <w:numId w:val="21"/>
        </w:numPr>
        <w:tabs>
          <w:tab w:val="left" w:pos="2121"/>
        </w:tabs>
        <w:spacing w:before="158" w:after="0" w:line="240" w:lineRule="auto"/>
        <w:ind w:left="2121" w:right="0" w:hanging="601"/>
        <w:jc w:val="left"/>
        <w:rPr>
          <w:sz w:val="24"/>
        </w:rPr>
      </w:pPr>
      <w:r>
        <w:rPr>
          <w:sz w:val="24"/>
        </w:rPr>
        <w:t>元古界麻山群</w:t>
      </w:r>
    </w:p>
    <w:p>
      <w:pPr>
        <w:pStyle w:val="6"/>
        <w:spacing w:before="160" w:line="362" w:lineRule="auto"/>
        <w:ind w:left="1040" w:right="985" w:firstLine="480"/>
      </w:pPr>
      <w:r>
        <w:t>广泛出露于矿区的南部，构成煤系地层基底，主要岩性为花岗岩、片麻岩， 其次为黑云母片岩，绿泥石片岩等变质岩类。</w:t>
      </w:r>
    </w:p>
    <w:p>
      <w:pPr>
        <w:pStyle w:val="13"/>
        <w:numPr>
          <w:ilvl w:val="0"/>
          <w:numId w:val="21"/>
        </w:numPr>
        <w:tabs>
          <w:tab w:val="left" w:pos="2121"/>
        </w:tabs>
        <w:spacing w:before="5" w:after="0" w:line="240" w:lineRule="auto"/>
        <w:ind w:left="2121" w:right="0" w:hanging="601"/>
        <w:jc w:val="left"/>
        <w:rPr>
          <w:sz w:val="24"/>
        </w:rPr>
      </w:pPr>
      <w:r>
        <w:rPr>
          <w:sz w:val="24"/>
        </w:rPr>
        <w:t>中生界白垩系鸡西群</w:t>
      </w:r>
    </w:p>
    <w:p>
      <w:pPr>
        <w:pStyle w:val="6"/>
        <w:spacing w:before="158"/>
        <w:ind w:left="1520"/>
      </w:pPr>
      <w:r>
        <w:t>为一套陆相含煤碎屑岩系，不整合于元古界麻山群花岗岩之上，总厚度达</w:t>
      </w:r>
    </w:p>
    <w:p>
      <w:pPr>
        <w:pStyle w:val="6"/>
        <w:spacing w:before="161"/>
        <w:ind w:left="1040"/>
      </w:pPr>
      <w:r>
        <w:rPr>
          <w:rFonts w:ascii="Times New Roman" w:eastAsia="Times New Roman"/>
        </w:rPr>
        <w:t>1000</w:t>
      </w:r>
      <w:r>
        <w:t>米。同时划分为城子河组和穆棱组。</w:t>
      </w:r>
    </w:p>
    <w:p>
      <w:pPr>
        <w:pStyle w:val="6"/>
        <w:spacing w:before="158" w:line="364" w:lineRule="auto"/>
        <w:ind w:left="1040" w:right="955" w:firstLine="480"/>
      </w:pPr>
      <w:r>
        <w:t>①城子河组：全区发育，从钻孔控制来看，厚度</w:t>
      </w:r>
      <w:r>
        <w:rPr>
          <w:rFonts w:ascii="Times New Roman" w:hAnsi="Times New Roman" w:eastAsia="Times New Roman"/>
        </w:rPr>
        <w:t>300-450</w:t>
      </w:r>
      <w:r>
        <w:t>米，其岩性大部分</w:t>
      </w:r>
      <w:r>
        <w:rPr>
          <w:spacing w:val="-14"/>
        </w:rPr>
        <w:t>为灰白色中粒砂岩，灰色粉砂岩及少量泥岩，煤页岩及煤组成。依据岩性、岩相、</w:t>
      </w:r>
      <w:r>
        <w:t>含煤特征，把城子河组分为二段。</w:t>
      </w:r>
    </w:p>
    <w:p>
      <w:pPr>
        <w:pStyle w:val="6"/>
        <w:spacing w:line="364" w:lineRule="auto"/>
        <w:ind w:left="1040" w:right="985" w:firstLine="480"/>
      </w:pPr>
      <w:r>
        <w:t>下段：顶部以</w:t>
      </w:r>
      <w:r>
        <w:rPr>
          <w:rFonts w:ascii="Times New Roman" w:eastAsia="Times New Roman"/>
        </w:rPr>
        <w:t>40</w:t>
      </w:r>
      <w:r>
        <w:rPr>
          <w:spacing w:val="-1"/>
        </w:rPr>
        <w:t xml:space="preserve">煤层下粗砂岩到城子河组底部砾岩，以粗粒的河床相为主， </w:t>
      </w:r>
      <w:r>
        <w:rPr>
          <w:spacing w:val="-9"/>
        </w:rPr>
        <w:t>含有凝灰质，含煤性较差，几乎无可采层，岩性、岩相均较上段变化大，沉积旋回不完整，反应本段沉积环境相当不稳定。</w:t>
      </w:r>
    </w:p>
    <w:p>
      <w:pPr>
        <w:pStyle w:val="6"/>
        <w:spacing w:line="364" w:lineRule="auto"/>
        <w:ind w:left="1040" w:right="1077" w:firstLine="480"/>
        <w:jc w:val="both"/>
      </w:pPr>
      <w:r>
        <w:rPr>
          <w:spacing w:val="-7"/>
        </w:rPr>
        <w:t>上段：顶部以穆棱组底部砂砾岩底界至</w:t>
      </w:r>
      <w:r>
        <w:rPr>
          <w:rFonts w:ascii="Times New Roman" w:eastAsia="Times New Roman"/>
        </w:rPr>
        <w:t>40</w:t>
      </w:r>
      <w:r>
        <w:rPr>
          <w:spacing w:val="-7"/>
        </w:rPr>
        <w:t>煤层下部粗砂岩。以中粗与细粒相</w:t>
      </w:r>
      <w:r>
        <w:t>间的河床相</w:t>
      </w:r>
      <w:r>
        <w:rPr>
          <w:rFonts w:ascii="Times New Roman" w:eastAsia="Times New Roman"/>
        </w:rPr>
        <w:t>-</w:t>
      </w:r>
      <w:r>
        <w:t>河漫相，沼泽相互更替为特点，是煤层主要的赋存部位，亦是勘探的主要对象。</w:t>
      </w:r>
    </w:p>
    <w:p>
      <w:pPr>
        <w:pStyle w:val="6"/>
        <w:spacing w:line="364" w:lineRule="auto"/>
        <w:ind w:left="1040" w:right="957" w:firstLine="480"/>
      </w:pPr>
      <w:r>
        <w:rPr>
          <w:spacing w:val="-5"/>
        </w:rPr>
        <w:t>②穆棱组：以灰白色中粒砂岩和灰</w:t>
      </w:r>
      <w:r>
        <w:rPr>
          <w:rFonts w:ascii="Times New Roman" w:hAnsi="Times New Roman" w:eastAsia="Times New Roman"/>
        </w:rPr>
        <w:t>-</w:t>
      </w:r>
      <w:r>
        <w:rPr>
          <w:spacing w:val="-5"/>
        </w:rPr>
        <w:t>深灰色砂岩相间，沉积韵律较频为特色。</w:t>
      </w:r>
      <w:r>
        <w:rPr>
          <w:spacing w:val="-8"/>
        </w:rPr>
        <w:t>夹凝灰质岩石、炭页和煤层，是以静水相为主，河床相几乎不见、湖泊相、泥炭沼泽相常见，含不可采煤层</w:t>
      </w:r>
      <w:r>
        <w:rPr>
          <w:rFonts w:ascii="Times New Roman" w:hAnsi="Times New Roman" w:eastAsia="Times New Roman"/>
          <w:spacing w:val="-8"/>
        </w:rPr>
        <w:t>6</w:t>
      </w:r>
      <w:r>
        <w:rPr>
          <w:spacing w:val="-8"/>
        </w:rPr>
        <w:t>层，厚度大于</w:t>
      </w:r>
      <w:r>
        <w:rPr>
          <w:rFonts w:ascii="Times New Roman" w:hAnsi="Times New Roman" w:eastAsia="Times New Roman"/>
          <w:spacing w:val="-8"/>
        </w:rPr>
        <w:t>600</w:t>
      </w:r>
      <w:r>
        <w:rPr>
          <w:spacing w:val="-8"/>
        </w:rPr>
        <w:t>米。</w:t>
      </w:r>
    </w:p>
    <w:p>
      <w:pPr>
        <w:pStyle w:val="13"/>
        <w:numPr>
          <w:ilvl w:val="0"/>
          <w:numId w:val="21"/>
        </w:numPr>
        <w:tabs>
          <w:tab w:val="left" w:pos="2121"/>
        </w:tabs>
        <w:spacing w:before="0" w:after="0" w:line="307" w:lineRule="exact"/>
        <w:ind w:left="2121" w:right="0" w:hanging="601"/>
        <w:jc w:val="left"/>
        <w:rPr>
          <w:sz w:val="24"/>
        </w:rPr>
      </w:pPr>
      <w:r>
        <w:rPr>
          <w:sz w:val="24"/>
        </w:rPr>
        <w:t>第三系</w:t>
      </w:r>
    </w:p>
    <w:p>
      <w:pPr>
        <w:pStyle w:val="6"/>
        <w:spacing w:before="154"/>
        <w:ind w:left="1520"/>
      </w:pPr>
      <w:r>
        <w:t>主要岩性为玄武岩，不整合覆盖于煤系地层之上，黑色致密，隐晶质结构。</w:t>
      </w:r>
    </w:p>
    <w:p>
      <w:pPr>
        <w:spacing w:after="0"/>
        <w:sectPr>
          <w:pgSz w:w="11910" w:h="16840"/>
          <w:pgMar w:top="1080" w:right="720" w:bottom="1160" w:left="760" w:header="0" w:footer="89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65" name="组合 40"/>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64" name="直线 41"/>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40"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u2gi7UAAAAAwEAAA8AAAAAAAAAAQAgAAAAIgAAAGRycy9kb3ducmV2LnhtbFBL&#10;AQIUABQAAAAIAIdO4kCiAiO6MwIAALYEAAAOAAAAAAAAAAEAIAAAACMBAABkcnMvZTJvRG9jLnht&#10;bFBLBQYAAAAABgAGAFkBAADIBQAAAAA=&#10;">
                <o:lock v:ext="edit" aspectratio="f"/>
                <v:line id="直线 41" o:spid="_x0000_s1026" o:spt="20" style="position:absolute;left:0;top:7;height:0;width:8306;" filled="f" stroked="t" coordsize="21600,21600" o:gfxdata="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iu4C7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6"/>
        <w:spacing w:before="5"/>
        <w:rPr>
          <w:sz w:val="19"/>
        </w:rPr>
      </w:pPr>
    </w:p>
    <w:p>
      <w:pPr>
        <w:pStyle w:val="13"/>
        <w:numPr>
          <w:ilvl w:val="0"/>
          <w:numId w:val="21"/>
        </w:numPr>
        <w:tabs>
          <w:tab w:val="left" w:pos="2121"/>
        </w:tabs>
        <w:spacing w:before="74" w:after="0" w:line="240" w:lineRule="auto"/>
        <w:ind w:left="2121" w:right="0" w:hanging="601"/>
        <w:jc w:val="left"/>
        <w:rPr>
          <w:sz w:val="24"/>
        </w:rPr>
      </w:pPr>
      <w:r>
        <w:rPr>
          <w:sz w:val="24"/>
        </w:rPr>
        <w:t>第四系</w:t>
      </w:r>
    </w:p>
    <w:p>
      <w:pPr>
        <w:pStyle w:val="6"/>
        <w:spacing w:before="161" w:line="362" w:lineRule="auto"/>
        <w:ind w:left="1040" w:right="1077" w:firstLine="480"/>
      </w:pPr>
      <w:r>
        <w:rPr>
          <w:spacing w:val="-8"/>
        </w:rPr>
        <w:t>位于山谷至山麓一带，谷底为冲积层，向上渐变为坡积层，成分多为黏土和</w:t>
      </w:r>
      <w:r>
        <w:t>风化玄武岩，砂岩碎块，两极厚度为</w:t>
      </w:r>
      <w:r>
        <w:rPr>
          <w:rFonts w:ascii="Times New Roman" w:eastAsia="Times New Roman"/>
        </w:rPr>
        <w:t>2-17</w:t>
      </w:r>
      <w:r>
        <w:t>米，一般厚度</w:t>
      </w:r>
      <w:r>
        <w:rPr>
          <w:rFonts w:ascii="Times New Roman" w:eastAsia="Times New Roman"/>
        </w:rPr>
        <w:t>5</w:t>
      </w:r>
      <w:r>
        <w:t>米。</w:t>
      </w:r>
    </w:p>
    <w:p>
      <w:pPr>
        <w:pStyle w:val="6"/>
        <w:spacing w:before="5"/>
        <w:ind w:left="1520"/>
      </w:pPr>
      <w:r>
        <w:rPr>
          <w:rFonts w:ascii="Times New Roman" w:eastAsia="Times New Roman"/>
        </w:rPr>
        <w:t>2</w:t>
      </w:r>
      <w:r>
        <w:t>、井田地层</w:t>
      </w:r>
    </w:p>
    <w:p>
      <w:pPr>
        <w:pStyle w:val="6"/>
        <w:spacing w:before="158"/>
        <w:ind w:left="1520"/>
        <w:rPr>
          <w:b/>
        </w:rPr>
      </w:pPr>
      <w:r>
        <w:t>本井田地层见表</w:t>
      </w:r>
      <w:r>
        <w:rPr>
          <w:rFonts w:ascii="Times New Roman" w:eastAsia="Times New Roman"/>
        </w:rPr>
        <w:t>3.3-4</w:t>
      </w:r>
      <w:r>
        <w:rPr>
          <w:b/>
        </w:rPr>
        <w:t>。</w:t>
      </w:r>
    </w:p>
    <w:p>
      <w:pPr>
        <w:pStyle w:val="5"/>
        <w:spacing w:before="160"/>
        <w:ind w:left="1553" w:right="1108"/>
        <w:jc w:val="center"/>
      </w:pPr>
      <w:r>
        <w:t>表</w:t>
      </w:r>
      <w:r>
        <w:rPr>
          <w:rFonts w:ascii="Times New Roman" w:eastAsia="Times New Roman"/>
        </w:rPr>
        <w:t>3.3-4</w:t>
      </w:r>
      <w:r>
        <w:rPr>
          <w:rFonts w:ascii="Times New Roman" w:eastAsia="Times New Roman"/>
          <w:spacing w:val="59"/>
        </w:rPr>
        <w:t xml:space="preserve"> </w:t>
      </w:r>
      <w:r>
        <w:t>井田地层表</w:t>
      </w:r>
    </w:p>
    <w:p>
      <w:pPr>
        <w:pStyle w:val="6"/>
        <w:rPr>
          <w:b/>
          <w:sz w:val="20"/>
        </w:rPr>
      </w:pPr>
    </w:p>
    <w:p>
      <w:pPr>
        <w:pStyle w:val="6"/>
        <w:spacing w:before="6"/>
        <w:rPr>
          <w:b/>
          <w:sz w:val="11"/>
        </w:rPr>
      </w:pPr>
    </w:p>
    <w:tbl>
      <w:tblPr>
        <w:tblStyle w:val="10"/>
        <w:tblW w:w="0" w:type="auto"/>
        <w:tblInd w:w="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0"/>
        <w:gridCol w:w="1450"/>
        <w:gridCol w:w="1529"/>
        <w:gridCol w:w="1990"/>
        <w:gridCol w:w="1250"/>
        <w:gridCol w:w="17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400" w:type="dxa"/>
          </w:tcPr>
          <w:p>
            <w:pPr>
              <w:pStyle w:val="14"/>
              <w:spacing w:before="22"/>
              <w:ind w:left="110"/>
              <w:rPr>
                <w:sz w:val="21"/>
              </w:rPr>
            </w:pPr>
            <w:r>
              <w:rPr>
                <w:w w:val="99"/>
                <w:sz w:val="21"/>
              </w:rPr>
              <w:t>界</w:t>
            </w:r>
          </w:p>
        </w:tc>
        <w:tc>
          <w:tcPr>
            <w:tcW w:w="1450" w:type="dxa"/>
          </w:tcPr>
          <w:p>
            <w:pPr>
              <w:pStyle w:val="14"/>
              <w:spacing w:before="22"/>
              <w:ind w:left="6"/>
              <w:rPr>
                <w:sz w:val="21"/>
              </w:rPr>
            </w:pPr>
            <w:r>
              <w:rPr>
                <w:w w:val="99"/>
                <w:sz w:val="21"/>
              </w:rPr>
              <w:t>系</w:t>
            </w:r>
          </w:p>
        </w:tc>
        <w:tc>
          <w:tcPr>
            <w:tcW w:w="1529" w:type="dxa"/>
          </w:tcPr>
          <w:p>
            <w:pPr>
              <w:pStyle w:val="14"/>
              <w:spacing w:before="22"/>
              <w:ind w:left="323" w:right="315"/>
              <w:rPr>
                <w:sz w:val="21"/>
              </w:rPr>
            </w:pPr>
            <w:r>
              <w:rPr>
                <w:sz w:val="21"/>
              </w:rPr>
              <w:t>群（统）</w:t>
            </w:r>
          </w:p>
        </w:tc>
        <w:tc>
          <w:tcPr>
            <w:tcW w:w="1990" w:type="dxa"/>
          </w:tcPr>
          <w:p>
            <w:pPr>
              <w:pStyle w:val="14"/>
              <w:spacing w:before="22"/>
              <w:ind w:left="7"/>
              <w:rPr>
                <w:sz w:val="21"/>
              </w:rPr>
            </w:pPr>
            <w:r>
              <w:rPr>
                <w:w w:val="99"/>
                <w:sz w:val="21"/>
              </w:rPr>
              <w:t>组</w:t>
            </w:r>
          </w:p>
        </w:tc>
        <w:tc>
          <w:tcPr>
            <w:tcW w:w="1250" w:type="dxa"/>
          </w:tcPr>
          <w:p>
            <w:pPr>
              <w:pStyle w:val="14"/>
              <w:spacing w:before="22"/>
              <w:ind w:left="392" w:right="387"/>
              <w:rPr>
                <w:sz w:val="21"/>
              </w:rPr>
            </w:pPr>
            <w:r>
              <w:rPr>
                <w:sz w:val="21"/>
              </w:rPr>
              <w:t>符号</w:t>
            </w:r>
          </w:p>
        </w:tc>
        <w:tc>
          <w:tcPr>
            <w:tcW w:w="1725" w:type="dxa"/>
          </w:tcPr>
          <w:p>
            <w:pPr>
              <w:pStyle w:val="14"/>
              <w:spacing w:before="22"/>
              <w:ind w:left="456" w:right="448"/>
              <w:rPr>
                <w:rFonts w:ascii="Times New Roman" w:eastAsia="Times New Roman"/>
                <w:sz w:val="21"/>
              </w:rPr>
            </w:pPr>
            <w:r>
              <w:rPr>
                <w:sz w:val="21"/>
              </w:rPr>
              <w:t>厚度</w:t>
            </w:r>
            <w:r>
              <w:rPr>
                <w:rFonts w:ascii="Times New Roman" w:eastAsia="Times New Roman"/>
                <w:sz w:val="21"/>
              </w:rPr>
              <w:t>(</w:t>
            </w:r>
            <w:r>
              <w:rPr>
                <w:sz w:val="21"/>
              </w:rPr>
              <w:t>米</w:t>
            </w:r>
            <w:r>
              <w:rPr>
                <w:rFonts w:ascii="Times New Roman" w:eastAsia="Times New Roman"/>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00" w:type="dxa"/>
            <w:vMerge w:val="restart"/>
          </w:tcPr>
          <w:p>
            <w:pPr>
              <w:pStyle w:val="14"/>
              <w:jc w:val="left"/>
              <w:rPr>
                <w:b/>
                <w:sz w:val="20"/>
              </w:rPr>
            </w:pPr>
          </w:p>
          <w:p>
            <w:pPr>
              <w:pStyle w:val="14"/>
              <w:spacing w:before="4"/>
              <w:jc w:val="left"/>
              <w:rPr>
                <w:b/>
                <w:sz w:val="19"/>
              </w:rPr>
            </w:pPr>
          </w:p>
          <w:p>
            <w:pPr>
              <w:pStyle w:val="14"/>
              <w:ind w:left="384"/>
              <w:jc w:val="left"/>
              <w:rPr>
                <w:sz w:val="21"/>
              </w:rPr>
            </w:pPr>
            <w:r>
              <w:rPr>
                <w:sz w:val="21"/>
              </w:rPr>
              <w:t>新生界</w:t>
            </w:r>
          </w:p>
        </w:tc>
        <w:tc>
          <w:tcPr>
            <w:tcW w:w="1450" w:type="dxa"/>
          </w:tcPr>
          <w:p>
            <w:pPr>
              <w:pStyle w:val="14"/>
              <w:spacing w:before="22"/>
              <w:ind w:left="389" w:right="381"/>
              <w:rPr>
                <w:sz w:val="21"/>
              </w:rPr>
            </w:pPr>
            <w:r>
              <w:rPr>
                <w:sz w:val="21"/>
              </w:rPr>
              <w:t>第四系</w:t>
            </w:r>
          </w:p>
        </w:tc>
        <w:tc>
          <w:tcPr>
            <w:tcW w:w="1529" w:type="dxa"/>
          </w:tcPr>
          <w:p>
            <w:pPr>
              <w:pStyle w:val="14"/>
              <w:spacing w:before="22"/>
              <w:ind w:left="320" w:right="315"/>
              <w:rPr>
                <w:sz w:val="21"/>
              </w:rPr>
            </w:pPr>
            <w:r>
              <w:rPr>
                <w:sz w:val="21"/>
              </w:rPr>
              <w:t>全新统</w:t>
            </w:r>
          </w:p>
        </w:tc>
        <w:tc>
          <w:tcPr>
            <w:tcW w:w="1990" w:type="dxa"/>
          </w:tcPr>
          <w:p>
            <w:pPr>
              <w:pStyle w:val="14"/>
              <w:spacing w:before="22"/>
              <w:ind w:left="553" w:right="543"/>
              <w:rPr>
                <w:sz w:val="21"/>
              </w:rPr>
            </w:pPr>
            <w:r>
              <w:rPr>
                <w:sz w:val="21"/>
              </w:rPr>
              <w:t>冲积层</w:t>
            </w:r>
          </w:p>
        </w:tc>
        <w:tc>
          <w:tcPr>
            <w:tcW w:w="1250" w:type="dxa"/>
          </w:tcPr>
          <w:p>
            <w:pPr>
              <w:pStyle w:val="14"/>
              <w:spacing w:before="35"/>
              <w:ind w:left="392" w:right="381"/>
              <w:rPr>
                <w:rFonts w:ascii="Times New Roman"/>
                <w:sz w:val="21"/>
              </w:rPr>
            </w:pPr>
            <w:r>
              <w:rPr>
                <w:rFonts w:ascii="Times New Roman"/>
                <w:sz w:val="21"/>
              </w:rPr>
              <w:t>Q4</w:t>
            </w:r>
          </w:p>
        </w:tc>
        <w:tc>
          <w:tcPr>
            <w:tcW w:w="1725" w:type="dxa"/>
          </w:tcPr>
          <w:p>
            <w:pPr>
              <w:pStyle w:val="14"/>
              <w:spacing w:before="35"/>
              <w:ind w:left="453" w:right="448"/>
              <w:rPr>
                <w:rFonts w:ascii="Times New Roman"/>
                <w:sz w:val="21"/>
              </w:rPr>
            </w:pPr>
            <w:r>
              <w:rPr>
                <w:rFonts w:ascii="Times New Roman"/>
                <w:sz w:val="21"/>
              </w:rPr>
              <w:t>2-60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400" w:type="dxa"/>
            <w:vMerge w:val="continue"/>
            <w:tcBorders>
              <w:top w:val="nil"/>
            </w:tcBorders>
          </w:tcPr>
          <w:p>
            <w:pPr>
              <w:rPr>
                <w:sz w:val="2"/>
                <w:szCs w:val="2"/>
              </w:rPr>
            </w:pPr>
          </w:p>
        </w:tc>
        <w:tc>
          <w:tcPr>
            <w:tcW w:w="1450" w:type="dxa"/>
          </w:tcPr>
          <w:p>
            <w:pPr>
              <w:pStyle w:val="14"/>
              <w:spacing w:before="21"/>
              <w:ind w:left="389" w:right="381"/>
              <w:rPr>
                <w:sz w:val="21"/>
              </w:rPr>
            </w:pPr>
            <w:r>
              <w:rPr>
                <w:sz w:val="21"/>
              </w:rPr>
              <w:t>新近系</w:t>
            </w:r>
          </w:p>
        </w:tc>
        <w:tc>
          <w:tcPr>
            <w:tcW w:w="1529" w:type="dxa"/>
          </w:tcPr>
          <w:p>
            <w:pPr>
              <w:pStyle w:val="14"/>
              <w:spacing w:before="21"/>
              <w:ind w:left="320" w:right="315"/>
              <w:rPr>
                <w:sz w:val="21"/>
              </w:rPr>
            </w:pPr>
            <w:r>
              <w:rPr>
                <w:sz w:val="21"/>
              </w:rPr>
              <w:t>中新统</w:t>
            </w:r>
          </w:p>
        </w:tc>
        <w:tc>
          <w:tcPr>
            <w:tcW w:w="1990" w:type="dxa"/>
          </w:tcPr>
          <w:p>
            <w:pPr>
              <w:pStyle w:val="14"/>
              <w:spacing w:before="21"/>
              <w:ind w:left="553" w:right="543"/>
              <w:rPr>
                <w:sz w:val="21"/>
              </w:rPr>
            </w:pPr>
            <w:r>
              <w:rPr>
                <w:sz w:val="21"/>
              </w:rPr>
              <w:t>玄武岩</w:t>
            </w:r>
          </w:p>
        </w:tc>
        <w:tc>
          <w:tcPr>
            <w:tcW w:w="1250" w:type="dxa"/>
          </w:tcPr>
          <w:p>
            <w:pPr>
              <w:pStyle w:val="14"/>
              <w:spacing w:before="35"/>
              <w:ind w:left="392" w:right="384"/>
              <w:rPr>
                <w:rFonts w:ascii="Times New Roman" w:hAnsi="Times New Roman"/>
                <w:sz w:val="21"/>
              </w:rPr>
            </w:pPr>
            <w:r>
              <w:rPr>
                <w:rFonts w:ascii="Times New Roman" w:hAnsi="Times New Roman"/>
                <w:sz w:val="21"/>
              </w:rPr>
              <w:t>Βn</w:t>
            </w:r>
          </w:p>
        </w:tc>
        <w:tc>
          <w:tcPr>
            <w:tcW w:w="1725" w:type="dxa"/>
          </w:tcPr>
          <w:p>
            <w:pPr>
              <w:pStyle w:val="14"/>
              <w:spacing w:before="35"/>
              <w:ind w:left="453" w:right="448"/>
              <w:rPr>
                <w:rFonts w:ascii="Times New Roman"/>
                <w:sz w:val="21"/>
              </w:rPr>
            </w:pPr>
            <w:r>
              <w:rPr>
                <w:rFonts w:ascii="Times New Roman"/>
                <w:sz w:val="21"/>
              </w:rPr>
              <w:t>0-40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00" w:type="dxa"/>
            <w:vMerge w:val="continue"/>
            <w:tcBorders>
              <w:top w:val="nil"/>
            </w:tcBorders>
          </w:tcPr>
          <w:p>
            <w:pPr>
              <w:rPr>
                <w:sz w:val="2"/>
                <w:szCs w:val="2"/>
              </w:rPr>
            </w:pPr>
          </w:p>
        </w:tc>
        <w:tc>
          <w:tcPr>
            <w:tcW w:w="1450" w:type="dxa"/>
            <w:vMerge w:val="restart"/>
          </w:tcPr>
          <w:p>
            <w:pPr>
              <w:pStyle w:val="14"/>
              <w:spacing w:before="2"/>
              <w:jc w:val="left"/>
              <w:rPr>
                <w:b/>
                <w:sz w:val="14"/>
              </w:rPr>
            </w:pPr>
          </w:p>
          <w:p>
            <w:pPr>
              <w:pStyle w:val="14"/>
              <w:ind w:left="409"/>
              <w:jc w:val="left"/>
              <w:rPr>
                <w:sz w:val="21"/>
              </w:rPr>
            </w:pPr>
            <w:r>
              <w:rPr>
                <w:sz w:val="21"/>
              </w:rPr>
              <w:t>白垩系</w:t>
            </w:r>
          </w:p>
        </w:tc>
        <w:tc>
          <w:tcPr>
            <w:tcW w:w="1529" w:type="dxa"/>
            <w:vMerge w:val="restart"/>
          </w:tcPr>
          <w:p>
            <w:pPr>
              <w:pStyle w:val="14"/>
              <w:spacing w:before="2"/>
              <w:jc w:val="left"/>
              <w:rPr>
                <w:b/>
                <w:sz w:val="14"/>
              </w:rPr>
            </w:pPr>
          </w:p>
          <w:p>
            <w:pPr>
              <w:pStyle w:val="14"/>
              <w:ind w:left="320" w:right="315"/>
              <w:rPr>
                <w:sz w:val="21"/>
              </w:rPr>
            </w:pPr>
            <w:r>
              <w:rPr>
                <w:sz w:val="21"/>
              </w:rPr>
              <w:t>下统</w:t>
            </w:r>
          </w:p>
        </w:tc>
        <w:tc>
          <w:tcPr>
            <w:tcW w:w="1990" w:type="dxa"/>
          </w:tcPr>
          <w:p>
            <w:pPr>
              <w:pStyle w:val="14"/>
              <w:spacing w:before="21"/>
              <w:ind w:left="553" w:right="543"/>
              <w:rPr>
                <w:sz w:val="21"/>
              </w:rPr>
            </w:pPr>
            <w:r>
              <w:rPr>
                <w:sz w:val="21"/>
              </w:rPr>
              <w:t>穆棱组</w:t>
            </w:r>
          </w:p>
        </w:tc>
        <w:tc>
          <w:tcPr>
            <w:tcW w:w="1250" w:type="dxa"/>
          </w:tcPr>
          <w:p>
            <w:pPr>
              <w:pStyle w:val="14"/>
              <w:spacing w:before="35"/>
              <w:ind w:left="392" w:right="386"/>
              <w:rPr>
                <w:rFonts w:ascii="Times New Roman"/>
                <w:sz w:val="21"/>
              </w:rPr>
            </w:pPr>
            <w:r>
              <w:rPr>
                <w:rFonts w:ascii="Times New Roman"/>
                <w:sz w:val="21"/>
              </w:rPr>
              <w:t>K1m</w:t>
            </w:r>
          </w:p>
        </w:tc>
        <w:tc>
          <w:tcPr>
            <w:tcW w:w="1725" w:type="dxa"/>
          </w:tcPr>
          <w:p>
            <w:pPr>
              <w:pStyle w:val="14"/>
              <w:spacing w:before="35"/>
              <w:ind w:left="456" w:right="447"/>
              <w:rPr>
                <w:rFonts w:ascii="Times New Roman"/>
                <w:sz w:val="21"/>
              </w:rPr>
            </w:pPr>
            <w:r>
              <w:rPr>
                <w:rFonts w:ascii="Times New Roman"/>
                <w:sz w:val="21"/>
              </w:rPr>
              <w:t>0-300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00" w:type="dxa"/>
            <w:vMerge w:val="continue"/>
            <w:tcBorders>
              <w:top w:val="nil"/>
            </w:tcBorders>
          </w:tcPr>
          <w:p>
            <w:pPr>
              <w:rPr>
                <w:sz w:val="2"/>
                <w:szCs w:val="2"/>
              </w:rPr>
            </w:pPr>
          </w:p>
        </w:tc>
        <w:tc>
          <w:tcPr>
            <w:tcW w:w="1450" w:type="dxa"/>
            <w:vMerge w:val="continue"/>
            <w:tcBorders>
              <w:top w:val="nil"/>
            </w:tcBorders>
          </w:tcPr>
          <w:p>
            <w:pPr>
              <w:rPr>
                <w:sz w:val="2"/>
                <w:szCs w:val="2"/>
              </w:rPr>
            </w:pPr>
          </w:p>
        </w:tc>
        <w:tc>
          <w:tcPr>
            <w:tcW w:w="1529" w:type="dxa"/>
            <w:vMerge w:val="continue"/>
            <w:tcBorders>
              <w:top w:val="nil"/>
            </w:tcBorders>
          </w:tcPr>
          <w:p>
            <w:pPr>
              <w:rPr>
                <w:sz w:val="2"/>
                <w:szCs w:val="2"/>
              </w:rPr>
            </w:pPr>
          </w:p>
        </w:tc>
        <w:tc>
          <w:tcPr>
            <w:tcW w:w="1990" w:type="dxa"/>
          </w:tcPr>
          <w:p>
            <w:pPr>
              <w:pStyle w:val="14"/>
              <w:spacing w:before="20"/>
              <w:ind w:left="553" w:right="546"/>
              <w:rPr>
                <w:sz w:val="21"/>
              </w:rPr>
            </w:pPr>
            <w:r>
              <w:rPr>
                <w:sz w:val="21"/>
              </w:rPr>
              <w:t>城子河组</w:t>
            </w:r>
          </w:p>
        </w:tc>
        <w:tc>
          <w:tcPr>
            <w:tcW w:w="1250" w:type="dxa"/>
          </w:tcPr>
          <w:p>
            <w:pPr>
              <w:pStyle w:val="14"/>
              <w:spacing w:before="34"/>
              <w:ind w:left="392" w:right="383"/>
              <w:rPr>
                <w:rFonts w:ascii="Times New Roman"/>
                <w:sz w:val="21"/>
              </w:rPr>
            </w:pPr>
            <w:r>
              <w:rPr>
                <w:rFonts w:ascii="Times New Roman"/>
                <w:sz w:val="21"/>
              </w:rPr>
              <w:t>K1c</w:t>
            </w:r>
          </w:p>
        </w:tc>
        <w:tc>
          <w:tcPr>
            <w:tcW w:w="1725" w:type="dxa"/>
          </w:tcPr>
          <w:p>
            <w:pPr>
              <w:pStyle w:val="14"/>
              <w:spacing w:before="34"/>
              <w:ind w:left="456" w:right="447"/>
              <w:rPr>
                <w:rFonts w:ascii="Times New Roman"/>
                <w:sz w:val="21"/>
              </w:rPr>
            </w:pPr>
            <w:r>
              <w:rPr>
                <w:rFonts w:ascii="Times New Roman"/>
                <w:sz w:val="21"/>
              </w:rPr>
              <w:t>250-500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400" w:type="dxa"/>
          </w:tcPr>
          <w:p>
            <w:pPr>
              <w:pStyle w:val="14"/>
              <w:spacing w:before="20"/>
              <w:ind w:left="240" w:right="233"/>
              <w:rPr>
                <w:sz w:val="21"/>
              </w:rPr>
            </w:pPr>
            <w:r>
              <w:rPr>
                <w:sz w:val="21"/>
              </w:rPr>
              <w:t>古生界</w:t>
            </w:r>
          </w:p>
        </w:tc>
        <w:tc>
          <w:tcPr>
            <w:tcW w:w="1450" w:type="dxa"/>
          </w:tcPr>
          <w:p>
            <w:pPr>
              <w:pStyle w:val="14"/>
              <w:jc w:val="left"/>
              <w:rPr>
                <w:rFonts w:ascii="Times New Roman"/>
                <w:sz w:val="22"/>
              </w:rPr>
            </w:pPr>
          </w:p>
        </w:tc>
        <w:tc>
          <w:tcPr>
            <w:tcW w:w="1529" w:type="dxa"/>
          </w:tcPr>
          <w:p>
            <w:pPr>
              <w:pStyle w:val="14"/>
              <w:spacing w:before="20"/>
              <w:ind w:left="320" w:right="315"/>
              <w:rPr>
                <w:sz w:val="21"/>
              </w:rPr>
            </w:pPr>
            <w:r>
              <w:rPr>
                <w:sz w:val="21"/>
              </w:rPr>
              <w:t>麻山群</w:t>
            </w:r>
          </w:p>
        </w:tc>
        <w:tc>
          <w:tcPr>
            <w:tcW w:w="1990" w:type="dxa"/>
          </w:tcPr>
          <w:p>
            <w:pPr>
              <w:pStyle w:val="14"/>
              <w:spacing w:before="20"/>
              <w:ind w:left="553" w:right="543"/>
              <w:rPr>
                <w:sz w:val="21"/>
              </w:rPr>
            </w:pPr>
            <w:r>
              <w:rPr>
                <w:sz w:val="21"/>
              </w:rPr>
              <w:t>柳毛组</w:t>
            </w:r>
          </w:p>
        </w:tc>
        <w:tc>
          <w:tcPr>
            <w:tcW w:w="1250" w:type="dxa"/>
          </w:tcPr>
          <w:p>
            <w:pPr>
              <w:pStyle w:val="14"/>
              <w:spacing w:before="34"/>
              <w:ind w:left="392" w:right="386"/>
              <w:rPr>
                <w:rFonts w:ascii="Times New Roman"/>
                <w:sz w:val="21"/>
              </w:rPr>
            </w:pPr>
            <w:r>
              <w:rPr>
                <w:rFonts w:ascii="Times New Roman"/>
                <w:sz w:val="21"/>
              </w:rPr>
              <w:t>Ptlm</w:t>
            </w:r>
          </w:p>
        </w:tc>
        <w:tc>
          <w:tcPr>
            <w:tcW w:w="1725" w:type="dxa"/>
          </w:tcPr>
          <w:p>
            <w:pPr>
              <w:pStyle w:val="14"/>
              <w:spacing w:before="20"/>
              <w:ind w:left="456" w:right="447"/>
              <w:rPr>
                <w:rFonts w:ascii="Times New Roman" w:eastAsia="Times New Roman"/>
                <w:sz w:val="21"/>
              </w:rPr>
            </w:pPr>
            <w:r>
              <w:rPr>
                <w:sz w:val="21"/>
              </w:rPr>
              <w:t>＞</w:t>
            </w:r>
            <w:r>
              <w:rPr>
                <w:rFonts w:ascii="Times New Roman" w:eastAsia="Times New Roman"/>
                <w:sz w:val="21"/>
              </w:rPr>
              <w:t>800</w:t>
            </w:r>
          </w:p>
        </w:tc>
      </w:tr>
    </w:tbl>
    <w:p>
      <w:pPr>
        <w:pStyle w:val="6"/>
        <w:spacing w:before="4"/>
        <w:ind w:left="1520"/>
      </w:pPr>
      <w:r>
        <w:t>地层层序由老至新分述如下：</w:t>
      </w:r>
    </w:p>
    <w:p>
      <w:pPr>
        <w:pStyle w:val="13"/>
        <w:numPr>
          <w:ilvl w:val="0"/>
          <w:numId w:val="22"/>
        </w:numPr>
        <w:tabs>
          <w:tab w:val="left" w:pos="2121"/>
        </w:tabs>
        <w:spacing w:before="158" w:after="0" w:line="240" w:lineRule="auto"/>
        <w:ind w:left="2121" w:right="0" w:hanging="601"/>
        <w:jc w:val="left"/>
        <w:rPr>
          <w:sz w:val="24"/>
        </w:rPr>
      </w:pPr>
      <w:r>
        <w:rPr>
          <w:sz w:val="24"/>
        </w:rPr>
        <w:t>元古界麻山群</w:t>
      </w:r>
    </w:p>
    <w:p>
      <w:pPr>
        <w:pStyle w:val="6"/>
        <w:spacing w:before="158" w:line="364" w:lineRule="auto"/>
        <w:ind w:left="1040" w:right="985" w:firstLine="480"/>
      </w:pPr>
      <w:r>
        <w:t>广泛出露于矿区的南部，构成煤系地层基底，主要岩性为花岗岩、片麻岩， 其次为黑云母片岩，绿泥石片岩等变质岩类，厚度大于</w:t>
      </w:r>
      <w:r>
        <w:rPr>
          <w:rFonts w:ascii="Times New Roman" w:eastAsia="Times New Roman"/>
        </w:rPr>
        <w:t>800</w:t>
      </w:r>
      <w:r>
        <w:t>米。</w:t>
      </w:r>
    </w:p>
    <w:p>
      <w:pPr>
        <w:pStyle w:val="13"/>
        <w:numPr>
          <w:ilvl w:val="0"/>
          <w:numId w:val="22"/>
        </w:numPr>
        <w:tabs>
          <w:tab w:val="left" w:pos="2121"/>
        </w:tabs>
        <w:spacing w:before="0" w:after="0" w:line="306" w:lineRule="exact"/>
        <w:ind w:left="2121" w:right="0" w:hanging="601"/>
        <w:jc w:val="left"/>
        <w:rPr>
          <w:sz w:val="24"/>
        </w:rPr>
      </w:pPr>
      <w:r>
        <w:rPr>
          <w:sz w:val="24"/>
        </w:rPr>
        <w:t>中生界白垩系鸡西群</w:t>
      </w:r>
    </w:p>
    <w:p>
      <w:pPr>
        <w:pStyle w:val="6"/>
        <w:spacing w:before="161" w:line="364" w:lineRule="auto"/>
        <w:ind w:left="1040" w:right="1077" w:firstLine="480"/>
      </w:pPr>
      <w:r>
        <w:rPr>
          <w:spacing w:val="-13"/>
        </w:rPr>
        <w:t>为一套陆相含煤碎屑岩系，不整合于元古界麻山群花岗岩之上，总厚度达</w:t>
      </w:r>
      <w:r>
        <w:rPr>
          <w:rFonts w:ascii="Times New Roman" w:eastAsia="Times New Roman"/>
          <w:spacing w:val="-6"/>
        </w:rPr>
        <w:t xml:space="preserve">800 </w:t>
      </w:r>
      <w:r>
        <w:t>米。划分为城子河组和穆棱组。</w:t>
      </w:r>
    </w:p>
    <w:p>
      <w:pPr>
        <w:pStyle w:val="6"/>
        <w:spacing w:line="364" w:lineRule="auto"/>
        <w:ind w:left="1040" w:right="1077" w:firstLine="480"/>
        <w:jc w:val="both"/>
      </w:pPr>
      <w:r>
        <w:rPr>
          <w:spacing w:val="-11"/>
        </w:rPr>
        <w:t>①城子河组：全区发育，其岩性大部分为灰白色中粒砂岩，灰色粉砂岩及少</w:t>
      </w:r>
      <w:r>
        <w:rPr>
          <w:spacing w:val="-10"/>
        </w:rPr>
        <w:t>量泥岩，煤页岩及煤组成。依据岩性、岩相、含煤特征，该组地层在横头山地区</w:t>
      </w:r>
      <w:r>
        <w:t>总厚度</w:t>
      </w:r>
      <w:r>
        <w:rPr>
          <w:rFonts w:ascii="Times New Roman" w:hAnsi="Times New Roman" w:eastAsia="Times New Roman"/>
        </w:rPr>
        <w:t>500</w:t>
      </w:r>
      <w:r>
        <w:t>余米，含煤</w:t>
      </w:r>
      <w:r>
        <w:rPr>
          <w:rFonts w:ascii="Times New Roman" w:hAnsi="Times New Roman" w:eastAsia="Times New Roman"/>
        </w:rPr>
        <w:t>20</w:t>
      </w:r>
      <w:r>
        <w:t>多层，其中煤厚达工业指标要求的有</w:t>
      </w:r>
      <w:r>
        <w:rPr>
          <w:rFonts w:ascii="Times New Roman" w:hAnsi="Times New Roman" w:eastAsia="Times New Roman"/>
        </w:rPr>
        <w:t>10</w:t>
      </w:r>
      <w:r>
        <w:t>、</w:t>
      </w:r>
      <w:r>
        <w:rPr>
          <w:rFonts w:ascii="Times New Roman" w:hAnsi="Times New Roman" w:eastAsia="Times New Roman"/>
        </w:rPr>
        <w:t>15</w:t>
      </w:r>
      <w:r>
        <w:t>、</w:t>
      </w:r>
      <w:r>
        <w:rPr>
          <w:rFonts w:ascii="Times New Roman" w:hAnsi="Times New Roman" w:eastAsia="Times New Roman"/>
        </w:rPr>
        <w:t>20</w:t>
      </w:r>
      <w:r>
        <w:t>、</w:t>
      </w:r>
      <w:r>
        <w:rPr>
          <w:rFonts w:ascii="Times New Roman" w:hAnsi="Times New Roman" w:eastAsia="Times New Roman"/>
        </w:rPr>
        <w:t>30</w:t>
      </w:r>
      <w:r>
        <w:rPr>
          <w:spacing w:val="-13"/>
        </w:rPr>
        <w:t>等</w:t>
      </w:r>
      <w:r>
        <w:rPr>
          <w:spacing w:val="-9"/>
        </w:rPr>
        <w:t>四个煤层。依据岩性及含煤性等组合特征，将该组地层划分为上、中、下三个含</w:t>
      </w:r>
      <w:r>
        <w:t>煤段。</w:t>
      </w:r>
    </w:p>
    <w:p>
      <w:pPr>
        <w:pStyle w:val="6"/>
        <w:spacing w:line="306" w:lineRule="exact"/>
        <w:ind w:left="1520"/>
      </w:pPr>
      <w:r>
        <w:t>上含煤段</w:t>
      </w:r>
    </w:p>
    <w:p>
      <w:pPr>
        <w:pStyle w:val="6"/>
        <w:spacing w:before="157" w:line="364" w:lineRule="auto"/>
        <w:ind w:left="1040" w:right="1077" w:firstLine="480"/>
        <w:jc w:val="both"/>
      </w:pPr>
      <w:r>
        <w:t>从穆棱组底界面以下到</w:t>
      </w:r>
      <w:r>
        <w:rPr>
          <w:rFonts w:ascii="Times New Roman" w:eastAsia="Times New Roman"/>
        </w:rPr>
        <w:t>10</w:t>
      </w:r>
      <w:r>
        <w:t>煤层之上</w:t>
      </w:r>
      <w:r>
        <w:rPr>
          <w:rFonts w:ascii="Times New Roman" w:eastAsia="Times New Roman"/>
        </w:rPr>
        <w:t>20</w:t>
      </w:r>
      <w:r>
        <w:rPr>
          <w:spacing w:val="-8"/>
        </w:rPr>
        <w:t>余米处一层灰色含砾中粗砂岩。该段地</w:t>
      </w:r>
      <w:r>
        <w:t>层厚度</w:t>
      </w:r>
      <w:r>
        <w:rPr>
          <w:rFonts w:ascii="Times New Roman" w:eastAsia="Times New Roman"/>
        </w:rPr>
        <w:t>180</w:t>
      </w:r>
      <w:r>
        <w:t>余米，含煤</w:t>
      </w:r>
      <w:r>
        <w:rPr>
          <w:rFonts w:ascii="Times New Roman" w:eastAsia="Times New Roman"/>
        </w:rPr>
        <w:t>10</w:t>
      </w:r>
      <w:r>
        <w:rPr>
          <w:spacing w:val="-1"/>
        </w:rPr>
        <w:t>余层，均不可采。该段岩性以深灰色粉砂岩为主，夹有</w:t>
      </w:r>
      <w:r>
        <w:t>少量灰白色中细砂岩组成。</w:t>
      </w:r>
    </w:p>
    <w:p>
      <w:pPr>
        <w:pStyle w:val="6"/>
        <w:spacing w:line="307" w:lineRule="exact"/>
        <w:ind w:left="1520"/>
      </w:pPr>
      <w:r>
        <w:t>中含煤段</w:t>
      </w:r>
    </w:p>
    <w:p>
      <w:pPr>
        <w:pStyle w:val="6"/>
        <w:spacing w:before="158" w:line="364" w:lineRule="auto"/>
        <w:ind w:left="1040" w:right="1077" w:firstLine="480"/>
      </w:pPr>
      <w:r>
        <w:t>从上含煤段底界面到</w:t>
      </w:r>
      <w:r>
        <w:rPr>
          <w:rFonts w:ascii="Times New Roman" w:eastAsia="Times New Roman"/>
        </w:rPr>
        <w:t>50</w:t>
      </w:r>
      <w:r>
        <w:t>煤层下部</w:t>
      </w:r>
      <w:r>
        <w:rPr>
          <w:rFonts w:ascii="Times New Roman" w:eastAsia="Times New Roman"/>
        </w:rPr>
        <w:t>10</w:t>
      </w:r>
      <w:r>
        <w:t>米处粗砂岩。该段地层厚度在</w:t>
      </w:r>
      <w:r>
        <w:rPr>
          <w:rFonts w:ascii="Times New Roman" w:eastAsia="Times New Roman"/>
        </w:rPr>
        <w:t>200</w:t>
      </w:r>
      <w:r>
        <w:rPr>
          <w:spacing w:val="-5"/>
        </w:rPr>
        <w:t>米，含</w:t>
      </w:r>
      <w:r>
        <w:t>煤</w:t>
      </w:r>
      <w:r>
        <w:rPr>
          <w:rFonts w:ascii="Times New Roman" w:eastAsia="Times New Roman"/>
        </w:rPr>
        <w:t>7</w:t>
      </w:r>
      <w:r>
        <w:t>－</w:t>
      </w:r>
      <w:r>
        <w:rPr>
          <w:rFonts w:ascii="Times New Roman" w:eastAsia="Times New Roman"/>
        </w:rPr>
        <w:t>8</w:t>
      </w:r>
      <w:r>
        <w:rPr>
          <w:spacing w:val="-6"/>
        </w:rPr>
        <w:t>层，其中</w:t>
      </w:r>
      <w:r>
        <w:rPr>
          <w:rFonts w:ascii="Times New Roman" w:eastAsia="Times New Roman"/>
        </w:rPr>
        <w:t>10</w:t>
      </w:r>
      <w:r>
        <w:rPr>
          <w:spacing w:val="-20"/>
        </w:rPr>
        <w:t>、</w:t>
      </w:r>
      <w:r>
        <w:rPr>
          <w:rFonts w:ascii="Times New Roman" w:eastAsia="Times New Roman"/>
        </w:rPr>
        <w:t>15</w:t>
      </w:r>
      <w:r>
        <w:rPr>
          <w:spacing w:val="-1"/>
        </w:rPr>
        <w:t>号煤层为主要可采煤层，</w:t>
      </w:r>
      <w:r>
        <w:rPr>
          <w:rFonts w:ascii="Times New Roman" w:eastAsia="Times New Roman"/>
          <w:spacing w:val="-6"/>
        </w:rPr>
        <w:t>20</w:t>
      </w:r>
      <w:r>
        <w:rPr>
          <w:spacing w:val="-20"/>
        </w:rPr>
        <w:t>、</w:t>
      </w:r>
      <w:r>
        <w:rPr>
          <w:rFonts w:ascii="Times New Roman" w:eastAsia="Times New Roman"/>
        </w:rPr>
        <w:t>30</w:t>
      </w:r>
      <w:r>
        <w:rPr>
          <w:spacing w:val="-4"/>
        </w:rPr>
        <w:t>煤层为局部可采煤层。其</w:t>
      </w:r>
    </w:p>
    <w:p>
      <w:pPr>
        <w:spacing w:after="0" w:line="364" w:lineRule="auto"/>
        <w:sectPr>
          <w:pgSz w:w="11910" w:h="16840"/>
          <w:pgMar w:top="1080" w:right="720" w:bottom="1160" w:left="760" w:header="0" w:footer="89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67" name="组合 42"/>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66" name="直线 43"/>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42"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aCLtQAAAADAQAADwAAAAAAAAABACAAAAAiAAAAZHJzL2Rvd25yZXYueG1s&#10;UEsBAhQAFAAAAAgAh07iQN0sB4U1AgAAtgQAAA4AAAAAAAAAAQAgAAAAIwEAAGRycy9lMm9Eb2Mu&#10;eG1sUEsFBgAAAAAGAAYAWQEAAMoFAAAAAA==&#10;">
                <o:lock v:ext="edit" aspectratio="f"/>
                <v:line id="直线 43" o:spid="_x0000_s1026" o:spt="20" style="position:absolute;left:0;top:7;height:0;width:8306;" filled="f" stroked="t" coordsize="21600,21600" o:gfxdata="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bWD57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6"/>
        <w:spacing w:before="5"/>
        <w:rPr>
          <w:sz w:val="19"/>
        </w:rPr>
      </w:pPr>
    </w:p>
    <w:p>
      <w:pPr>
        <w:pStyle w:val="6"/>
        <w:spacing w:before="74" w:line="364" w:lineRule="auto"/>
        <w:ind w:left="1040" w:right="985"/>
      </w:pPr>
      <w:r>
        <w:t>中</w:t>
      </w:r>
      <w:r>
        <w:rPr>
          <w:rFonts w:ascii="Times New Roman" w:eastAsia="Times New Roman"/>
        </w:rPr>
        <w:t>20</w:t>
      </w:r>
      <w:r>
        <w:t xml:space="preserve">煤层可采范围在大顺煤矿的北部即现在的扩大区范围和原顺达煤矿范围内， </w:t>
      </w:r>
      <w:r>
        <w:rPr>
          <w:rFonts w:ascii="Times New Roman" w:eastAsia="Times New Roman"/>
        </w:rPr>
        <w:t>30</w:t>
      </w:r>
      <w:r>
        <w:t>煤层可采范围在大顺煤矿的西部及扩大区范围，其它各煤层均不可采。煤层为薄</w:t>
      </w:r>
      <w:r>
        <w:rPr>
          <w:rFonts w:ascii="Times New Roman" w:eastAsia="Times New Roman"/>
        </w:rPr>
        <w:t>-</w:t>
      </w:r>
      <w:r>
        <w:t>中厚煤层，其中</w:t>
      </w:r>
      <w:r>
        <w:rPr>
          <w:rFonts w:ascii="Times New Roman" w:eastAsia="Times New Roman"/>
        </w:rPr>
        <w:t>15</w:t>
      </w:r>
      <w:r>
        <w:t>煤层为薄</w:t>
      </w:r>
      <w:r>
        <w:rPr>
          <w:rFonts w:ascii="Times New Roman" w:eastAsia="Times New Roman"/>
        </w:rPr>
        <w:t>-</w:t>
      </w:r>
      <w:r>
        <w:t>中厚煤层，其它煤层为薄煤层。该段岩性以灰白色细砂岩为主，夹有深灰色粉砂岩。</w:t>
      </w:r>
    </w:p>
    <w:p>
      <w:pPr>
        <w:pStyle w:val="6"/>
        <w:spacing w:line="305" w:lineRule="exact"/>
        <w:ind w:left="1520"/>
      </w:pPr>
      <w:r>
        <w:t>下含煤段</w:t>
      </w:r>
    </w:p>
    <w:p>
      <w:pPr>
        <w:pStyle w:val="6"/>
        <w:spacing w:before="161" w:line="364" w:lineRule="auto"/>
        <w:ind w:left="1040" w:right="957" w:firstLine="480"/>
      </w:pPr>
      <w:r>
        <w:t>从中含煤段以下到基底之间这段地层。一般厚度在</w:t>
      </w:r>
      <w:r>
        <w:rPr>
          <w:rFonts w:ascii="Times New Roman" w:eastAsia="Times New Roman"/>
        </w:rPr>
        <w:t>100</w:t>
      </w:r>
      <w:r>
        <w:t>余米，含有</w:t>
      </w:r>
      <w:r>
        <w:rPr>
          <w:rFonts w:ascii="Times New Roman" w:eastAsia="Times New Roman"/>
        </w:rPr>
        <w:t>6</w:t>
      </w:r>
      <w:r>
        <w:t>－</w:t>
      </w:r>
      <w:r>
        <w:rPr>
          <w:rFonts w:ascii="Times New Roman" w:eastAsia="Times New Roman"/>
        </w:rPr>
        <w:t>7</w:t>
      </w:r>
      <w:r>
        <w:t>层薄</w:t>
      </w:r>
      <w:r>
        <w:rPr>
          <w:spacing w:val="-13"/>
        </w:rPr>
        <w:t>煤层，均无开采价值。该段岩性上部夹有两层浅绿色厚度在</w:t>
      </w:r>
      <w:r>
        <w:rPr>
          <w:rFonts w:ascii="Times New Roman" w:eastAsia="Times New Roman"/>
        </w:rPr>
        <w:t>1.00</w:t>
      </w:r>
      <w:r>
        <w:rPr>
          <w:spacing w:val="-2"/>
        </w:rPr>
        <w:t xml:space="preserve">米左右的凝灰岩， </w:t>
      </w:r>
      <w:r>
        <w:t>全段以灰－灰白色中砂岩为主，夹有薄层深灰色粉砂岩及灰色含砾粗砂岩。</w:t>
      </w:r>
    </w:p>
    <w:p>
      <w:pPr>
        <w:pStyle w:val="6"/>
        <w:spacing w:line="362" w:lineRule="auto"/>
        <w:ind w:left="1040" w:right="1077" w:firstLine="480"/>
        <w:jc w:val="both"/>
      </w:pPr>
      <w:r>
        <w:t>②穆棱组：整合覆于城子河组之上</w:t>
      </w:r>
      <w:r>
        <w:rPr>
          <w:rFonts w:ascii="Times New Roman" w:hAnsi="Times New Roman" w:eastAsia="Times New Roman"/>
        </w:rPr>
        <w:t>,</w:t>
      </w:r>
      <w:r>
        <w:t xml:space="preserve">主要岩性为灰色、灰白色砂质粉砂岩， </w:t>
      </w:r>
      <w:r>
        <w:rPr>
          <w:spacing w:val="-12"/>
        </w:rPr>
        <w:t>细、粉砂岩互层，其次为细砂岩及薄层中粗砂岩。含多层灰绿色凝灰质粉砂岩及</w:t>
      </w:r>
      <w:r>
        <w:t>薄煤，煤厚在</w:t>
      </w:r>
      <w:r>
        <w:rPr>
          <w:rFonts w:ascii="Times New Roman" w:hAnsi="Times New Roman" w:eastAsia="Times New Roman"/>
        </w:rPr>
        <w:t>0.5</w:t>
      </w:r>
      <w:r>
        <w:t>米左右者</w:t>
      </w:r>
      <w:r>
        <w:rPr>
          <w:rFonts w:ascii="Times New Roman" w:hAnsi="Times New Roman" w:eastAsia="Times New Roman"/>
        </w:rPr>
        <w:t>5</w:t>
      </w:r>
      <w:r>
        <w:t>层。在本区东部发育，厚度在</w:t>
      </w:r>
      <w:r>
        <w:rPr>
          <w:rFonts w:ascii="Times New Roman" w:hAnsi="Times New Roman" w:eastAsia="Times New Roman"/>
        </w:rPr>
        <w:t>0-300</w:t>
      </w:r>
      <w:r>
        <w:t>米。</w:t>
      </w:r>
    </w:p>
    <w:p>
      <w:pPr>
        <w:pStyle w:val="13"/>
        <w:numPr>
          <w:ilvl w:val="0"/>
          <w:numId w:val="22"/>
        </w:numPr>
        <w:tabs>
          <w:tab w:val="left" w:pos="2121"/>
        </w:tabs>
        <w:spacing w:before="5" w:after="0" w:line="240" w:lineRule="auto"/>
        <w:ind w:left="2121" w:right="0" w:hanging="601"/>
        <w:jc w:val="left"/>
        <w:rPr>
          <w:sz w:val="24"/>
        </w:rPr>
      </w:pPr>
      <w:r>
        <w:rPr>
          <w:sz w:val="24"/>
        </w:rPr>
        <w:t>新近系</w:t>
      </w:r>
    </w:p>
    <w:p>
      <w:pPr>
        <w:pStyle w:val="6"/>
        <w:spacing w:before="161" w:line="362" w:lineRule="auto"/>
        <w:ind w:left="1040" w:right="985" w:firstLine="480"/>
      </w:pPr>
      <w:r>
        <w:t>主要岩性为玄武岩，不整合覆盖于煤系地层之上，黑色致密，隐晶质结构， 厚度一般</w:t>
      </w:r>
      <w:r>
        <w:rPr>
          <w:rFonts w:ascii="Times New Roman" w:eastAsia="Times New Roman"/>
        </w:rPr>
        <w:t>0-40</w:t>
      </w:r>
      <w:r>
        <w:t>米。</w:t>
      </w:r>
    </w:p>
    <w:p>
      <w:pPr>
        <w:pStyle w:val="13"/>
        <w:numPr>
          <w:ilvl w:val="0"/>
          <w:numId w:val="22"/>
        </w:numPr>
        <w:tabs>
          <w:tab w:val="left" w:pos="2121"/>
        </w:tabs>
        <w:spacing w:before="5" w:after="0" w:line="240" w:lineRule="auto"/>
        <w:ind w:left="2121" w:right="0" w:hanging="601"/>
        <w:jc w:val="left"/>
        <w:rPr>
          <w:sz w:val="24"/>
        </w:rPr>
      </w:pPr>
      <w:r>
        <w:rPr>
          <w:sz w:val="24"/>
        </w:rPr>
        <w:t>第四系</w:t>
      </w:r>
    </w:p>
    <w:p>
      <w:pPr>
        <w:pStyle w:val="6"/>
        <w:spacing w:before="158" w:line="364" w:lineRule="auto"/>
        <w:ind w:left="1040" w:right="1077" w:firstLine="480"/>
      </w:pPr>
      <w:r>
        <w:rPr>
          <w:spacing w:val="-8"/>
        </w:rPr>
        <w:t>位于山谷至山麓一带，谷底为冲积层，向上渐变为坡积层，成分多为黏土和</w:t>
      </w:r>
      <w:r>
        <w:t>风化玄武岩、砂岩碎块，两极厚度为</w:t>
      </w:r>
      <w:r>
        <w:rPr>
          <w:rFonts w:ascii="Times New Roman" w:eastAsia="Times New Roman"/>
        </w:rPr>
        <w:t>2-17</w:t>
      </w:r>
      <w:r>
        <w:t>米，一般厚度</w:t>
      </w:r>
      <w:r>
        <w:rPr>
          <w:rFonts w:ascii="Times New Roman" w:eastAsia="Times New Roman"/>
        </w:rPr>
        <w:t>5</w:t>
      </w:r>
      <w:r>
        <w:t>米。</w:t>
      </w:r>
    </w:p>
    <w:p>
      <w:pPr>
        <w:pStyle w:val="6"/>
        <w:spacing w:line="306" w:lineRule="exact"/>
        <w:ind w:left="1520"/>
      </w:pPr>
      <w:r>
        <w:t>（二）构造</w:t>
      </w:r>
    </w:p>
    <w:p>
      <w:pPr>
        <w:pStyle w:val="6"/>
        <w:spacing w:before="160" w:line="364" w:lineRule="auto"/>
        <w:ind w:left="1040" w:right="952" w:firstLine="480"/>
      </w:pPr>
      <w:r>
        <w:rPr>
          <w:spacing w:val="-6"/>
        </w:rPr>
        <w:t>该矿处于双鸭山煤田西部，紧靠双鸭山煤田南部逆冲断层北侧。井区内被近东西向的</w:t>
      </w:r>
      <w:r>
        <w:rPr>
          <w:rFonts w:ascii="Times New Roman" w:hAnsi="Times New Roman" w:eastAsia="Times New Roman"/>
          <w:spacing w:val="-6"/>
        </w:rPr>
        <w:t>F12</w:t>
      </w:r>
      <w:r>
        <w:rPr>
          <w:spacing w:val="-6"/>
        </w:rPr>
        <w:t>断层分为南北两部分。其中南部为呈一向南东倾伏的向斜构造，轴向</w:t>
      </w:r>
      <w:r>
        <w:rPr>
          <w:rFonts w:ascii="Times New Roman" w:hAnsi="Times New Roman" w:eastAsia="Times New Roman"/>
          <w:spacing w:val="-6"/>
        </w:rPr>
        <w:t>N65°W</w:t>
      </w:r>
      <w:r>
        <w:rPr>
          <w:spacing w:val="-6"/>
        </w:rPr>
        <w:t>；向斜北翼地层走向</w:t>
      </w:r>
      <w:r>
        <w:rPr>
          <w:rFonts w:ascii="Times New Roman" w:hAnsi="Times New Roman" w:eastAsia="Times New Roman"/>
        </w:rPr>
        <w:t>N450</w:t>
      </w:r>
      <w:r>
        <w:t>－</w:t>
      </w:r>
      <w:r>
        <w:rPr>
          <w:rFonts w:ascii="Times New Roman" w:hAnsi="Times New Roman" w:eastAsia="Times New Roman"/>
        </w:rPr>
        <w:t>800E</w:t>
      </w:r>
      <w:r>
        <w:t>，倾角</w:t>
      </w:r>
      <w:r>
        <w:rPr>
          <w:rFonts w:ascii="Times New Roman" w:hAnsi="Times New Roman" w:eastAsia="Times New Roman"/>
        </w:rPr>
        <w:t>30-45°</w:t>
      </w:r>
      <w:r>
        <w:rPr>
          <w:spacing w:val="-1"/>
        </w:rPr>
        <w:t xml:space="preserve">左右；南翼走向近东西， </w:t>
      </w:r>
      <w:r>
        <w:rPr>
          <w:spacing w:val="12"/>
        </w:rPr>
        <w:t>地层走向</w:t>
      </w:r>
      <w:r>
        <w:rPr>
          <w:rFonts w:ascii="Times New Roman" w:hAnsi="Times New Roman" w:eastAsia="Times New Roman"/>
          <w:spacing w:val="2"/>
        </w:rPr>
        <w:t>70°-80°</w:t>
      </w:r>
      <w:r>
        <w:rPr>
          <w:spacing w:val="8"/>
        </w:rPr>
        <w:t>，倾角</w:t>
      </w:r>
      <w:r>
        <w:rPr>
          <w:rFonts w:ascii="Times New Roman" w:hAnsi="Times New Roman" w:eastAsia="Times New Roman"/>
          <w:spacing w:val="4"/>
        </w:rPr>
        <w:t>55o</w:t>
      </w:r>
      <w:r>
        <w:rPr>
          <w:spacing w:val="12"/>
        </w:rPr>
        <w:t>左右。</w:t>
      </w:r>
      <w:r>
        <w:rPr>
          <w:rFonts w:ascii="Times New Roman" w:hAnsi="Times New Roman" w:eastAsia="Times New Roman"/>
          <w:spacing w:val="4"/>
        </w:rPr>
        <w:t>F12</w:t>
      </w:r>
      <w:r>
        <w:rPr>
          <w:spacing w:val="11"/>
        </w:rPr>
        <w:t>断层以北为单斜构造，地层走向</w:t>
      </w:r>
      <w:r>
        <w:rPr>
          <w:rFonts w:ascii="Times New Roman" w:hAnsi="Times New Roman" w:eastAsia="Times New Roman"/>
        </w:rPr>
        <w:t>S800</w:t>
      </w:r>
      <w:r>
        <w:t xml:space="preserve">－ </w:t>
      </w:r>
      <w:r>
        <w:rPr>
          <w:rFonts w:ascii="Times New Roman" w:hAnsi="Times New Roman" w:eastAsia="Times New Roman"/>
        </w:rPr>
        <w:t>880W</w:t>
      </w:r>
      <w:r>
        <w:t>，倾角</w:t>
      </w:r>
      <w:r>
        <w:rPr>
          <w:rFonts w:ascii="Times New Roman" w:hAnsi="Times New Roman" w:eastAsia="Times New Roman"/>
        </w:rPr>
        <w:t>18°</w:t>
      </w:r>
      <w:r>
        <w:t>左右。</w:t>
      </w:r>
    </w:p>
    <w:p>
      <w:pPr>
        <w:pStyle w:val="6"/>
        <w:spacing w:line="362" w:lineRule="auto"/>
        <w:ind w:left="1040" w:right="1077" w:firstLine="480"/>
      </w:pPr>
      <w:r>
        <w:rPr>
          <w:spacing w:val="-7"/>
        </w:rPr>
        <w:t>井区内断层以正断层为主，逆断层次之；断层走向分为北东、北西和近东西</w:t>
      </w:r>
      <w:r>
        <w:t>向三组，其中以北东向为主，北西向较少，近东西向都是大断层。</w:t>
      </w:r>
    </w:p>
    <w:p>
      <w:pPr>
        <w:pStyle w:val="6"/>
        <w:spacing w:before="1" w:line="364" w:lineRule="auto"/>
        <w:ind w:left="1040" w:right="1075" w:firstLine="480"/>
        <w:jc w:val="both"/>
      </w:pPr>
      <w:r>
        <w:rPr>
          <w:spacing w:val="4"/>
        </w:rPr>
        <w:t>《双鸭山煤田岭东煤矿九斜井勘探区地质勘探最终报告》（精查）</w:t>
      </w:r>
      <w:r>
        <w:rPr>
          <w:spacing w:val="5"/>
        </w:rPr>
        <w:t>中有</w:t>
      </w:r>
      <w:r>
        <w:rPr>
          <w:rFonts w:ascii="Times New Roman" w:eastAsia="Times New Roman"/>
          <w:spacing w:val="-4"/>
        </w:rPr>
        <w:t xml:space="preserve">11 </w:t>
      </w:r>
      <w:r>
        <w:rPr>
          <w:spacing w:val="-2"/>
        </w:rPr>
        <w:t>条断层，分别是</w:t>
      </w:r>
      <w:r>
        <w:rPr>
          <w:rFonts w:ascii="Times New Roman" w:eastAsia="Times New Roman"/>
          <w:spacing w:val="-3"/>
        </w:rPr>
        <w:t>R1-R11</w:t>
      </w:r>
      <w:r>
        <w:rPr>
          <w:spacing w:val="-3"/>
        </w:rPr>
        <w:t>，对矿区影响较大的断层为</w:t>
      </w:r>
      <w:r>
        <w:rPr>
          <w:rFonts w:ascii="Times New Roman" w:eastAsia="Times New Roman"/>
        </w:rPr>
        <w:t>R3</w:t>
      </w:r>
      <w:r>
        <w:rPr>
          <w:spacing w:val="-5"/>
        </w:rPr>
        <w:t>、</w:t>
      </w:r>
      <w:r>
        <w:rPr>
          <w:rFonts w:ascii="Times New Roman" w:eastAsia="Times New Roman"/>
        </w:rPr>
        <w:t>R4</w:t>
      </w:r>
      <w:r>
        <w:rPr>
          <w:spacing w:val="-5"/>
        </w:rPr>
        <w:t>、</w:t>
      </w:r>
      <w:r>
        <w:rPr>
          <w:rFonts w:ascii="Times New Roman" w:eastAsia="Times New Roman"/>
          <w:spacing w:val="-4"/>
        </w:rPr>
        <w:t>R11</w:t>
      </w:r>
      <w:r>
        <w:rPr>
          <w:spacing w:val="-2"/>
        </w:rPr>
        <w:t>。其中</w:t>
      </w:r>
      <w:r>
        <w:rPr>
          <w:rFonts w:ascii="Times New Roman" w:eastAsia="Times New Roman"/>
          <w:spacing w:val="-4"/>
        </w:rPr>
        <w:t>R11</w:t>
      </w:r>
      <w:r>
        <w:t>断层为控制边界断层。</w:t>
      </w:r>
    </w:p>
    <w:p>
      <w:pPr>
        <w:pStyle w:val="6"/>
        <w:spacing w:line="307" w:lineRule="exact"/>
        <w:ind w:left="1520"/>
      </w:pPr>
      <w:r>
        <w:t>西北部邻近矿井岭东区顺达煤井位于九斜井勘探区内，顺达煤井井区内发育</w:t>
      </w:r>
    </w:p>
    <w:p>
      <w:pPr>
        <w:pStyle w:val="6"/>
        <w:spacing w:before="161"/>
        <w:ind w:left="1040"/>
      </w:pPr>
      <w:r>
        <w:rPr>
          <w:rFonts w:ascii="Times New Roman" w:eastAsia="Times New Roman"/>
        </w:rPr>
        <w:t>R5</w:t>
      </w:r>
      <w:r>
        <w:t>、</w:t>
      </w:r>
      <w:r>
        <w:rPr>
          <w:rFonts w:ascii="Times New Roman" w:eastAsia="Times New Roman"/>
        </w:rPr>
        <w:t>R11</w:t>
      </w:r>
      <w:r>
        <w:t>等两条逆断层（详见下表</w:t>
      </w:r>
      <w:r>
        <w:rPr>
          <w:rFonts w:ascii="Times New Roman" w:eastAsia="Times New Roman"/>
        </w:rPr>
        <w:t>3.3-5</w:t>
      </w:r>
      <w:r>
        <w:t>）。</w:t>
      </w:r>
    </w:p>
    <w:p>
      <w:pPr>
        <w:spacing w:after="0"/>
        <w:sectPr>
          <w:pgSz w:w="11910" w:h="16840"/>
          <w:pgMar w:top="1080" w:right="720" w:bottom="1160" w:left="760" w:header="0" w:footer="89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69" name="组合 44"/>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68" name="直线 45"/>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44"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u2gi7UAAAAAwEAAA8AAAAAAAAAAQAgAAAAIgAAAGRycy9kb3ducmV2Lnht&#10;bFBLAQIUABQAAAAIAIdO4kA8Fq6VNgIAALYEAAAOAAAAAAAAAAEAIAAAACMBAABkcnMvZTJvRG9j&#10;LnhtbFBLBQYAAAAABgAGAFkBAADLBQAAAAA=&#10;">
                <o:lock v:ext="edit" aspectratio="f"/>
                <v:line id="直线 45" o:spid="_x0000_s1026" o:spt="20" style="position:absolute;left:0;top:7;height:0;width:8306;" filled="f" stroked="t" coordsize="21600,21600" o:gfxdata="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ZrIO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pStyle w:val="6"/>
        <w:spacing w:before="5"/>
        <w:rPr>
          <w:sz w:val="19"/>
        </w:rPr>
      </w:pPr>
    </w:p>
    <w:p>
      <w:pPr>
        <w:pStyle w:val="5"/>
        <w:spacing w:before="74"/>
        <w:ind w:left="1553" w:right="1096"/>
        <w:jc w:val="center"/>
      </w:pPr>
      <w:r>
        <w:t>表</w:t>
      </w:r>
      <w:r>
        <w:rPr>
          <w:rFonts w:ascii="Times New Roman" w:eastAsia="Times New Roman"/>
        </w:rPr>
        <w:t>3.3-5</w:t>
      </w:r>
      <w:r>
        <w:t>双鸭山岭东区顺达煤井井区内主要断层表</w:t>
      </w:r>
    </w:p>
    <w:p>
      <w:pPr>
        <w:pStyle w:val="6"/>
        <w:spacing w:before="5"/>
        <w:rPr>
          <w:b/>
          <w:sz w:val="12"/>
        </w:rPr>
      </w:pPr>
    </w:p>
    <w:tbl>
      <w:tblPr>
        <w:tblStyle w:val="10"/>
        <w:tblW w:w="0" w:type="auto"/>
        <w:tblInd w:w="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9"/>
        <w:gridCol w:w="856"/>
        <w:gridCol w:w="1424"/>
        <w:gridCol w:w="1426"/>
        <w:gridCol w:w="998"/>
        <w:gridCol w:w="1344"/>
        <w:gridCol w:w="21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 w:hRule="atLeast"/>
        </w:trPr>
        <w:tc>
          <w:tcPr>
            <w:tcW w:w="1139" w:type="dxa"/>
          </w:tcPr>
          <w:p>
            <w:pPr>
              <w:pStyle w:val="14"/>
              <w:spacing w:before="8"/>
              <w:jc w:val="left"/>
              <w:rPr>
                <w:b/>
                <w:sz w:val="17"/>
              </w:rPr>
            </w:pPr>
          </w:p>
          <w:p>
            <w:pPr>
              <w:pStyle w:val="14"/>
              <w:ind w:left="357"/>
              <w:jc w:val="left"/>
              <w:rPr>
                <w:sz w:val="21"/>
              </w:rPr>
            </w:pPr>
            <w:r>
              <w:rPr>
                <w:sz w:val="21"/>
              </w:rPr>
              <w:t>范围</w:t>
            </w:r>
          </w:p>
        </w:tc>
        <w:tc>
          <w:tcPr>
            <w:tcW w:w="856" w:type="dxa"/>
          </w:tcPr>
          <w:p>
            <w:pPr>
              <w:pStyle w:val="14"/>
              <w:spacing w:before="70" w:line="278" w:lineRule="auto"/>
              <w:ind w:left="217" w:right="208"/>
              <w:jc w:val="left"/>
              <w:rPr>
                <w:sz w:val="21"/>
              </w:rPr>
            </w:pPr>
            <w:r>
              <w:rPr>
                <w:sz w:val="21"/>
              </w:rPr>
              <w:t>断层编号</w:t>
            </w:r>
          </w:p>
        </w:tc>
        <w:tc>
          <w:tcPr>
            <w:tcW w:w="1424" w:type="dxa"/>
          </w:tcPr>
          <w:p>
            <w:pPr>
              <w:pStyle w:val="14"/>
              <w:spacing w:before="8"/>
              <w:jc w:val="left"/>
              <w:rPr>
                <w:b/>
                <w:sz w:val="17"/>
              </w:rPr>
            </w:pPr>
          </w:p>
          <w:p>
            <w:pPr>
              <w:pStyle w:val="14"/>
              <w:ind w:left="271" w:right="260"/>
              <w:rPr>
                <w:rFonts w:ascii="Times New Roman" w:hAnsi="Times New Roman" w:eastAsia="Times New Roman"/>
                <w:sz w:val="21"/>
              </w:rPr>
            </w:pPr>
            <w:r>
              <w:rPr>
                <w:sz w:val="21"/>
              </w:rPr>
              <w:t>倾向</w:t>
            </w:r>
            <w:r>
              <w:rPr>
                <w:rFonts w:ascii="Times New Roman" w:hAnsi="Times New Roman" w:eastAsia="Times New Roman"/>
                <w:sz w:val="21"/>
              </w:rPr>
              <w:t>(</w:t>
            </w:r>
            <w:r>
              <w:rPr>
                <w:sz w:val="21"/>
              </w:rPr>
              <w:t>°</w:t>
            </w:r>
            <w:r>
              <w:rPr>
                <w:rFonts w:ascii="Times New Roman" w:hAnsi="Times New Roman" w:eastAsia="Times New Roman"/>
                <w:sz w:val="21"/>
              </w:rPr>
              <w:t>)</w:t>
            </w:r>
          </w:p>
        </w:tc>
        <w:tc>
          <w:tcPr>
            <w:tcW w:w="1426" w:type="dxa"/>
          </w:tcPr>
          <w:p>
            <w:pPr>
              <w:pStyle w:val="14"/>
              <w:spacing w:before="8"/>
              <w:jc w:val="left"/>
              <w:rPr>
                <w:b/>
                <w:sz w:val="17"/>
              </w:rPr>
            </w:pPr>
          </w:p>
          <w:p>
            <w:pPr>
              <w:pStyle w:val="14"/>
              <w:ind w:left="307" w:right="298"/>
              <w:rPr>
                <w:rFonts w:ascii="Times New Roman" w:hAnsi="Times New Roman" w:eastAsia="Times New Roman"/>
                <w:sz w:val="21"/>
              </w:rPr>
            </w:pPr>
            <w:r>
              <w:rPr>
                <w:sz w:val="21"/>
              </w:rPr>
              <w:t>倾角</w:t>
            </w:r>
            <w:r>
              <w:rPr>
                <w:rFonts w:ascii="Times New Roman" w:hAnsi="Times New Roman" w:eastAsia="Times New Roman"/>
                <w:sz w:val="21"/>
              </w:rPr>
              <w:t>(</w:t>
            </w:r>
            <w:r>
              <w:rPr>
                <w:sz w:val="21"/>
              </w:rPr>
              <w:t>°</w:t>
            </w:r>
            <w:r>
              <w:rPr>
                <w:rFonts w:ascii="Times New Roman" w:hAnsi="Times New Roman" w:eastAsia="Times New Roman"/>
                <w:sz w:val="21"/>
              </w:rPr>
              <w:t>)</w:t>
            </w:r>
          </w:p>
        </w:tc>
        <w:tc>
          <w:tcPr>
            <w:tcW w:w="998" w:type="dxa"/>
          </w:tcPr>
          <w:p>
            <w:pPr>
              <w:pStyle w:val="14"/>
              <w:spacing w:before="8"/>
              <w:jc w:val="left"/>
              <w:rPr>
                <w:b/>
                <w:sz w:val="17"/>
              </w:rPr>
            </w:pPr>
          </w:p>
          <w:p>
            <w:pPr>
              <w:pStyle w:val="14"/>
              <w:ind w:left="162" w:right="155"/>
              <w:rPr>
                <w:sz w:val="21"/>
              </w:rPr>
            </w:pPr>
            <w:r>
              <w:rPr>
                <w:sz w:val="21"/>
              </w:rPr>
              <w:t>性质</w:t>
            </w:r>
          </w:p>
        </w:tc>
        <w:tc>
          <w:tcPr>
            <w:tcW w:w="1344" w:type="dxa"/>
          </w:tcPr>
          <w:p>
            <w:pPr>
              <w:pStyle w:val="14"/>
              <w:spacing w:before="70"/>
              <w:ind w:left="336" w:right="328"/>
              <w:rPr>
                <w:sz w:val="21"/>
              </w:rPr>
            </w:pPr>
            <w:r>
              <w:rPr>
                <w:sz w:val="21"/>
              </w:rPr>
              <w:t>落差</w:t>
            </w:r>
          </w:p>
          <w:p>
            <w:pPr>
              <w:pStyle w:val="14"/>
              <w:spacing w:before="43"/>
              <w:ind w:left="336" w:right="328"/>
              <w:rPr>
                <w:sz w:val="21"/>
              </w:rPr>
            </w:pPr>
            <w:r>
              <w:rPr>
                <w:sz w:val="21"/>
              </w:rPr>
              <w:t>（米）</w:t>
            </w:r>
          </w:p>
        </w:tc>
        <w:tc>
          <w:tcPr>
            <w:tcW w:w="2157" w:type="dxa"/>
          </w:tcPr>
          <w:p>
            <w:pPr>
              <w:pStyle w:val="14"/>
              <w:spacing w:before="8"/>
              <w:jc w:val="left"/>
              <w:rPr>
                <w:b/>
                <w:sz w:val="17"/>
              </w:rPr>
            </w:pPr>
          </w:p>
          <w:p>
            <w:pPr>
              <w:pStyle w:val="14"/>
              <w:ind w:left="215" w:right="209"/>
              <w:rPr>
                <w:sz w:val="21"/>
              </w:rPr>
            </w:pPr>
            <w:r>
              <w:rPr>
                <w:sz w:val="21"/>
              </w:rPr>
              <w:t>可靠性及依据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39" w:type="dxa"/>
            <w:vMerge w:val="restart"/>
          </w:tcPr>
          <w:p>
            <w:pPr>
              <w:pStyle w:val="14"/>
              <w:spacing w:before="75" w:line="278" w:lineRule="auto"/>
              <w:ind w:left="254" w:right="140" w:hanging="106"/>
              <w:jc w:val="left"/>
              <w:rPr>
                <w:sz w:val="21"/>
              </w:rPr>
            </w:pPr>
            <w:r>
              <w:rPr>
                <w:sz w:val="21"/>
              </w:rPr>
              <w:t>顺达煤矿范围内</w:t>
            </w:r>
          </w:p>
        </w:tc>
        <w:tc>
          <w:tcPr>
            <w:tcW w:w="856" w:type="dxa"/>
          </w:tcPr>
          <w:p>
            <w:pPr>
              <w:pStyle w:val="14"/>
              <w:spacing w:before="33"/>
              <w:ind w:right="296"/>
              <w:jc w:val="right"/>
              <w:rPr>
                <w:rFonts w:ascii="Times New Roman"/>
                <w:sz w:val="21"/>
              </w:rPr>
            </w:pPr>
            <w:r>
              <w:rPr>
                <w:rFonts w:ascii="Times New Roman"/>
                <w:w w:val="95"/>
                <w:sz w:val="21"/>
              </w:rPr>
              <w:t>R5</w:t>
            </w:r>
          </w:p>
        </w:tc>
        <w:tc>
          <w:tcPr>
            <w:tcW w:w="1424" w:type="dxa"/>
          </w:tcPr>
          <w:p>
            <w:pPr>
              <w:pStyle w:val="14"/>
              <w:spacing w:before="20"/>
              <w:ind w:left="269" w:right="263"/>
              <w:rPr>
                <w:sz w:val="21"/>
              </w:rPr>
            </w:pPr>
            <w:r>
              <w:rPr>
                <w:rFonts w:ascii="Times New Roman" w:hAnsi="Times New Roman" w:eastAsia="Times New Roman"/>
                <w:sz w:val="21"/>
              </w:rPr>
              <w:t>60</w:t>
            </w:r>
            <w:r>
              <w:rPr>
                <w:sz w:val="21"/>
              </w:rPr>
              <w:t>°南</w:t>
            </w:r>
          </w:p>
        </w:tc>
        <w:tc>
          <w:tcPr>
            <w:tcW w:w="1426" w:type="dxa"/>
          </w:tcPr>
          <w:p>
            <w:pPr>
              <w:pStyle w:val="14"/>
              <w:spacing w:before="33"/>
              <w:ind w:left="307" w:right="296"/>
              <w:rPr>
                <w:rFonts w:ascii="Times New Roman"/>
                <w:sz w:val="21"/>
              </w:rPr>
            </w:pPr>
            <w:r>
              <w:rPr>
                <w:rFonts w:ascii="Times New Roman"/>
                <w:sz w:val="21"/>
              </w:rPr>
              <w:t>60</w:t>
            </w:r>
          </w:p>
        </w:tc>
        <w:tc>
          <w:tcPr>
            <w:tcW w:w="998" w:type="dxa"/>
          </w:tcPr>
          <w:p>
            <w:pPr>
              <w:pStyle w:val="14"/>
              <w:spacing w:before="20"/>
              <w:ind w:left="162" w:right="155"/>
              <w:rPr>
                <w:sz w:val="21"/>
              </w:rPr>
            </w:pPr>
            <w:r>
              <w:rPr>
                <w:sz w:val="21"/>
              </w:rPr>
              <w:t>逆断层</w:t>
            </w:r>
          </w:p>
        </w:tc>
        <w:tc>
          <w:tcPr>
            <w:tcW w:w="1344" w:type="dxa"/>
          </w:tcPr>
          <w:p>
            <w:pPr>
              <w:pStyle w:val="14"/>
              <w:spacing w:before="33"/>
              <w:ind w:left="6"/>
              <w:rPr>
                <w:rFonts w:ascii="Times New Roman"/>
                <w:sz w:val="21"/>
              </w:rPr>
            </w:pPr>
            <w:r>
              <w:rPr>
                <w:rFonts w:ascii="Times New Roman"/>
                <w:w w:val="99"/>
                <w:sz w:val="21"/>
              </w:rPr>
              <w:t>6</w:t>
            </w:r>
          </w:p>
        </w:tc>
        <w:tc>
          <w:tcPr>
            <w:tcW w:w="2157" w:type="dxa"/>
          </w:tcPr>
          <w:p>
            <w:pPr>
              <w:pStyle w:val="14"/>
              <w:spacing w:before="20"/>
              <w:ind w:left="215" w:right="209"/>
              <w:rPr>
                <w:sz w:val="21"/>
              </w:rPr>
            </w:pPr>
            <w:r>
              <w:rPr>
                <w:sz w:val="21"/>
              </w:rPr>
              <w:t>九井实见，可靠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139" w:type="dxa"/>
            <w:vMerge w:val="continue"/>
            <w:tcBorders>
              <w:top w:val="nil"/>
            </w:tcBorders>
          </w:tcPr>
          <w:p>
            <w:pPr>
              <w:rPr>
                <w:sz w:val="2"/>
                <w:szCs w:val="2"/>
              </w:rPr>
            </w:pPr>
          </w:p>
        </w:tc>
        <w:tc>
          <w:tcPr>
            <w:tcW w:w="856" w:type="dxa"/>
          </w:tcPr>
          <w:p>
            <w:pPr>
              <w:pStyle w:val="14"/>
              <w:spacing w:before="83"/>
              <w:ind w:right="243"/>
              <w:jc w:val="right"/>
              <w:rPr>
                <w:rFonts w:ascii="Times New Roman"/>
                <w:sz w:val="21"/>
              </w:rPr>
            </w:pPr>
            <w:r>
              <w:rPr>
                <w:rFonts w:ascii="Times New Roman"/>
                <w:w w:val="95"/>
                <w:sz w:val="21"/>
              </w:rPr>
              <w:t>R11</w:t>
            </w:r>
          </w:p>
        </w:tc>
        <w:tc>
          <w:tcPr>
            <w:tcW w:w="1424" w:type="dxa"/>
          </w:tcPr>
          <w:p>
            <w:pPr>
              <w:pStyle w:val="14"/>
              <w:spacing w:before="70"/>
              <w:ind w:left="271" w:right="263"/>
              <w:rPr>
                <w:sz w:val="21"/>
              </w:rPr>
            </w:pPr>
            <w:r>
              <w:rPr>
                <w:sz w:val="21"/>
              </w:rPr>
              <w:t>倾向东南</w:t>
            </w:r>
          </w:p>
        </w:tc>
        <w:tc>
          <w:tcPr>
            <w:tcW w:w="1426" w:type="dxa"/>
          </w:tcPr>
          <w:p>
            <w:pPr>
              <w:pStyle w:val="14"/>
              <w:spacing w:before="83"/>
              <w:ind w:left="307" w:right="296"/>
              <w:rPr>
                <w:rFonts w:ascii="Times New Roman"/>
                <w:sz w:val="21"/>
              </w:rPr>
            </w:pPr>
            <w:r>
              <w:rPr>
                <w:rFonts w:ascii="Times New Roman"/>
                <w:sz w:val="21"/>
              </w:rPr>
              <w:t>70</w:t>
            </w:r>
          </w:p>
        </w:tc>
        <w:tc>
          <w:tcPr>
            <w:tcW w:w="998" w:type="dxa"/>
          </w:tcPr>
          <w:p>
            <w:pPr>
              <w:pStyle w:val="14"/>
              <w:spacing w:before="70"/>
              <w:ind w:left="162" w:right="155"/>
              <w:rPr>
                <w:sz w:val="21"/>
              </w:rPr>
            </w:pPr>
            <w:r>
              <w:rPr>
                <w:sz w:val="21"/>
              </w:rPr>
              <w:t>逆断层</w:t>
            </w:r>
          </w:p>
        </w:tc>
        <w:tc>
          <w:tcPr>
            <w:tcW w:w="1344" w:type="dxa"/>
          </w:tcPr>
          <w:p>
            <w:pPr>
              <w:pStyle w:val="14"/>
              <w:spacing w:before="83"/>
              <w:ind w:left="334" w:right="328"/>
              <w:rPr>
                <w:rFonts w:ascii="Times New Roman"/>
                <w:sz w:val="21"/>
              </w:rPr>
            </w:pPr>
            <w:r>
              <w:rPr>
                <w:rFonts w:ascii="Times New Roman"/>
                <w:sz w:val="21"/>
              </w:rPr>
              <w:t>100</w:t>
            </w:r>
          </w:p>
        </w:tc>
        <w:tc>
          <w:tcPr>
            <w:tcW w:w="2157" w:type="dxa"/>
          </w:tcPr>
          <w:p>
            <w:pPr>
              <w:pStyle w:val="14"/>
              <w:spacing w:before="70"/>
              <w:ind w:left="215" w:right="212"/>
              <w:rPr>
                <w:sz w:val="21"/>
              </w:rPr>
            </w:pPr>
            <w:r>
              <w:rPr>
                <w:sz w:val="21"/>
              </w:rPr>
              <w:t>钻孔控制，较可靠</w:t>
            </w:r>
          </w:p>
        </w:tc>
      </w:tr>
    </w:tbl>
    <w:p>
      <w:pPr>
        <w:pStyle w:val="6"/>
        <w:spacing w:before="1" w:line="364" w:lineRule="auto"/>
        <w:ind w:left="1040" w:right="1075" w:firstLine="480"/>
        <w:jc w:val="both"/>
      </w:pPr>
      <w:r>
        <w:rPr>
          <w:spacing w:val="-3"/>
        </w:rPr>
        <w:t>《黑龙江省双鸭山市横头山区小井勘探地质报告》中有断层</w:t>
      </w:r>
      <w:r>
        <w:rPr>
          <w:rFonts w:ascii="Times New Roman" w:eastAsia="Times New Roman"/>
        </w:rPr>
        <w:t>12</w:t>
      </w:r>
      <w:r>
        <w:rPr>
          <w:spacing w:val="-11"/>
        </w:rPr>
        <w:t>条，对矿区影</w:t>
      </w:r>
      <w:r>
        <w:t>响较大的断层为</w:t>
      </w:r>
      <w:r>
        <w:rPr>
          <w:rFonts w:ascii="Times New Roman" w:eastAsia="Times New Roman"/>
        </w:rPr>
        <w:t>F1</w:t>
      </w:r>
      <w:r>
        <w:t>、</w:t>
      </w:r>
      <w:r>
        <w:rPr>
          <w:rFonts w:ascii="Times New Roman" w:eastAsia="Times New Roman"/>
        </w:rPr>
        <w:t>F2</w:t>
      </w:r>
      <w:r>
        <w:t>、</w:t>
      </w:r>
      <w:r>
        <w:rPr>
          <w:rFonts w:ascii="Times New Roman" w:eastAsia="Times New Roman"/>
        </w:rPr>
        <w:t>F3</w:t>
      </w:r>
      <w:r>
        <w:t>、</w:t>
      </w:r>
      <w:r>
        <w:rPr>
          <w:rFonts w:ascii="Times New Roman" w:eastAsia="Times New Roman"/>
        </w:rPr>
        <w:t>F4</w:t>
      </w:r>
      <w:r>
        <w:t>、</w:t>
      </w:r>
      <w:r>
        <w:rPr>
          <w:rFonts w:ascii="Times New Roman" w:eastAsia="Times New Roman"/>
        </w:rPr>
        <w:t>F5</w:t>
      </w:r>
      <w:r>
        <w:t>、</w:t>
      </w:r>
      <w:r>
        <w:rPr>
          <w:rFonts w:ascii="Times New Roman" w:eastAsia="Times New Roman"/>
        </w:rPr>
        <w:t>F6</w:t>
      </w:r>
      <w:r>
        <w:t>、</w:t>
      </w:r>
      <w:r>
        <w:rPr>
          <w:rFonts w:ascii="Times New Roman" w:eastAsia="Times New Roman"/>
        </w:rPr>
        <w:t>F7</w:t>
      </w:r>
      <w:r>
        <w:t>等断层，其中</w:t>
      </w:r>
      <w:r>
        <w:rPr>
          <w:rFonts w:ascii="Times New Roman" w:eastAsia="Times New Roman"/>
        </w:rPr>
        <w:t>F1</w:t>
      </w:r>
      <w:r>
        <w:t>、</w:t>
      </w:r>
      <w:r>
        <w:rPr>
          <w:rFonts w:ascii="Times New Roman" w:eastAsia="Times New Roman"/>
        </w:rPr>
        <w:t>F4</w:t>
      </w:r>
      <w:r>
        <w:t>断层为控制边界断层。</w:t>
      </w:r>
    </w:p>
    <w:p>
      <w:pPr>
        <w:pStyle w:val="6"/>
        <w:spacing w:line="362" w:lineRule="auto"/>
        <w:ind w:left="1040" w:right="1077" w:firstLine="480"/>
      </w:pPr>
      <w:r>
        <w:t>大顺煤矿原范围位于横头山区小井勘探区内，大顺煤矿矿区范围内断层有</w:t>
      </w:r>
      <w:r>
        <w:rPr>
          <w:rFonts w:ascii="Times New Roman" w:eastAsia="Times New Roman"/>
        </w:rPr>
        <w:t xml:space="preserve">6 </w:t>
      </w:r>
      <w:r>
        <w:t>条，详见下表</w:t>
      </w:r>
      <w:r>
        <w:rPr>
          <w:rFonts w:ascii="Times New Roman" w:eastAsia="Times New Roman"/>
        </w:rPr>
        <w:t>3.3-6</w:t>
      </w:r>
      <w:r>
        <w:t>。</w:t>
      </w:r>
    </w:p>
    <w:p>
      <w:pPr>
        <w:pStyle w:val="5"/>
        <w:spacing w:before="4"/>
        <w:ind w:left="3082"/>
      </w:pPr>
      <w:r>
        <w:t>表</w:t>
      </w:r>
      <w:r>
        <w:rPr>
          <w:rFonts w:ascii="Times New Roman" w:eastAsia="Times New Roman"/>
        </w:rPr>
        <w:t>3.3-6</w:t>
      </w:r>
      <w:r>
        <w:rPr>
          <w:rFonts w:ascii="Times New Roman" w:eastAsia="Times New Roman"/>
          <w:spacing w:val="59"/>
        </w:rPr>
        <w:t xml:space="preserve"> </w:t>
      </w:r>
      <w:r>
        <w:t>原双鸭山大顺煤矿井区内主要断层表</w:t>
      </w:r>
    </w:p>
    <w:p>
      <w:pPr>
        <w:pStyle w:val="6"/>
        <w:spacing w:before="4"/>
        <w:rPr>
          <w:b/>
          <w:sz w:val="12"/>
        </w:rPr>
      </w:pPr>
    </w:p>
    <w:tbl>
      <w:tblPr>
        <w:tblStyle w:val="10"/>
        <w:tblW w:w="0" w:type="auto"/>
        <w:tblInd w:w="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1"/>
        <w:gridCol w:w="768"/>
        <w:gridCol w:w="1228"/>
        <w:gridCol w:w="1527"/>
        <w:gridCol w:w="1170"/>
        <w:gridCol w:w="3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41" w:type="dxa"/>
          </w:tcPr>
          <w:p>
            <w:pPr>
              <w:pStyle w:val="14"/>
              <w:spacing w:before="20"/>
              <w:ind w:left="360"/>
              <w:jc w:val="left"/>
              <w:rPr>
                <w:sz w:val="21"/>
              </w:rPr>
            </w:pPr>
            <w:r>
              <w:rPr>
                <w:sz w:val="21"/>
              </w:rPr>
              <w:t>范围</w:t>
            </w:r>
          </w:p>
        </w:tc>
        <w:tc>
          <w:tcPr>
            <w:tcW w:w="768" w:type="dxa"/>
          </w:tcPr>
          <w:p>
            <w:pPr>
              <w:pStyle w:val="14"/>
              <w:spacing w:before="20"/>
              <w:ind w:left="153" w:right="145"/>
              <w:rPr>
                <w:sz w:val="21"/>
              </w:rPr>
            </w:pPr>
            <w:r>
              <w:rPr>
                <w:sz w:val="21"/>
              </w:rPr>
              <w:t>编号</w:t>
            </w:r>
          </w:p>
        </w:tc>
        <w:tc>
          <w:tcPr>
            <w:tcW w:w="1228" w:type="dxa"/>
          </w:tcPr>
          <w:p>
            <w:pPr>
              <w:pStyle w:val="14"/>
              <w:spacing w:before="20"/>
              <w:ind w:left="273" w:right="269"/>
              <w:rPr>
                <w:sz w:val="21"/>
              </w:rPr>
            </w:pPr>
            <w:r>
              <w:rPr>
                <w:sz w:val="21"/>
              </w:rPr>
              <w:t>性质</w:t>
            </w:r>
          </w:p>
        </w:tc>
        <w:tc>
          <w:tcPr>
            <w:tcW w:w="1527" w:type="dxa"/>
          </w:tcPr>
          <w:p>
            <w:pPr>
              <w:pStyle w:val="14"/>
              <w:spacing w:before="20"/>
              <w:ind w:left="320" w:right="315"/>
              <w:rPr>
                <w:sz w:val="21"/>
              </w:rPr>
            </w:pPr>
            <w:r>
              <w:rPr>
                <w:sz w:val="21"/>
              </w:rPr>
              <w:t>倾向</w:t>
            </w:r>
          </w:p>
        </w:tc>
        <w:tc>
          <w:tcPr>
            <w:tcW w:w="1170" w:type="dxa"/>
          </w:tcPr>
          <w:p>
            <w:pPr>
              <w:pStyle w:val="14"/>
              <w:spacing w:before="20"/>
              <w:ind w:left="201" w:right="194"/>
              <w:rPr>
                <w:rFonts w:ascii="Times New Roman" w:eastAsia="Times New Roman"/>
                <w:sz w:val="21"/>
              </w:rPr>
            </w:pPr>
            <w:r>
              <w:rPr>
                <w:sz w:val="21"/>
              </w:rPr>
              <w:t>落差</w:t>
            </w:r>
            <w:r>
              <w:rPr>
                <w:rFonts w:ascii="Times New Roman" w:eastAsia="Times New Roman"/>
                <w:sz w:val="21"/>
              </w:rPr>
              <w:t>(m)</w:t>
            </w:r>
          </w:p>
        </w:tc>
        <w:tc>
          <w:tcPr>
            <w:tcW w:w="3510" w:type="dxa"/>
          </w:tcPr>
          <w:p>
            <w:pPr>
              <w:pStyle w:val="14"/>
              <w:spacing w:before="20"/>
              <w:ind w:left="158" w:right="150"/>
              <w:rPr>
                <w:sz w:val="21"/>
              </w:rPr>
            </w:pPr>
            <w:r>
              <w:rPr>
                <w:sz w:val="21"/>
              </w:rPr>
              <w:t>控制程度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41" w:type="dxa"/>
            <w:vMerge w:val="restart"/>
          </w:tcPr>
          <w:p>
            <w:pPr>
              <w:pStyle w:val="14"/>
              <w:jc w:val="left"/>
              <w:rPr>
                <w:b/>
                <w:sz w:val="20"/>
              </w:rPr>
            </w:pPr>
          </w:p>
          <w:p>
            <w:pPr>
              <w:pStyle w:val="14"/>
              <w:jc w:val="left"/>
              <w:rPr>
                <w:b/>
                <w:sz w:val="20"/>
              </w:rPr>
            </w:pPr>
          </w:p>
          <w:p>
            <w:pPr>
              <w:pStyle w:val="14"/>
              <w:jc w:val="left"/>
              <w:rPr>
                <w:b/>
                <w:sz w:val="20"/>
              </w:rPr>
            </w:pPr>
          </w:p>
          <w:p>
            <w:pPr>
              <w:pStyle w:val="14"/>
              <w:spacing w:before="8"/>
              <w:jc w:val="left"/>
              <w:rPr>
                <w:b/>
                <w:sz w:val="16"/>
              </w:rPr>
            </w:pPr>
          </w:p>
          <w:p>
            <w:pPr>
              <w:pStyle w:val="14"/>
              <w:spacing w:before="1" w:line="278" w:lineRule="auto"/>
              <w:ind w:left="149" w:right="142"/>
              <w:jc w:val="left"/>
              <w:rPr>
                <w:sz w:val="21"/>
              </w:rPr>
            </w:pPr>
            <w:r>
              <w:rPr>
                <w:sz w:val="21"/>
              </w:rPr>
              <w:t>原大顺煤矿范围内</w:t>
            </w:r>
          </w:p>
        </w:tc>
        <w:tc>
          <w:tcPr>
            <w:tcW w:w="768" w:type="dxa"/>
          </w:tcPr>
          <w:p>
            <w:pPr>
              <w:pStyle w:val="14"/>
              <w:spacing w:before="34"/>
              <w:ind w:left="152" w:right="145"/>
              <w:rPr>
                <w:rFonts w:ascii="Times New Roman"/>
                <w:sz w:val="21"/>
              </w:rPr>
            </w:pPr>
            <w:r>
              <w:rPr>
                <w:rFonts w:ascii="Times New Roman"/>
                <w:sz w:val="21"/>
              </w:rPr>
              <w:t>F4</w:t>
            </w:r>
          </w:p>
        </w:tc>
        <w:tc>
          <w:tcPr>
            <w:tcW w:w="1228" w:type="dxa"/>
          </w:tcPr>
          <w:p>
            <w:pPr>
              <w:pStyle w:val="14"/>
              <w:spacing w:before="20"/>
              <w:ind w:left="278" w:right="269"/>
              <w:rPr>
                <w:sz w:val="21"/>
              </w:rPr>
            </w:pPr>
            <w:r>
              <w:rPr>
                <w:sz w:val="21"/>
              </w:rPr>
              <w:t>正断层</w:t>
            </w:r>
          </w:p>
        </w:tc>
        <w:tc>
          <w:tcPr>
            <w:tcW w:w="1527" w:type="dxa"/>
          </w:tcPr>
          <w:p>
            <w:pPr>
              <w:pStyle w:val="14"/>
              <w:spacing w:before="20"/>
              <w:ind w:left="320" w:right="315"/>
              <w:rPr>
                <w:sz w:val="21"/>
              </w:rPr>
            </w:pPr>
            <w:r>
              <w:rPr>
                <w:sz w:val="21"/>
              </w:rPr>
              <w:t>倾向东</w:t>
            </w:r>
          </w:p>
        </w:tc>
        <w:tc>
          <w:tcPr>
            <w:tcW w:w="1170" w:type="dxa"/>
          </w:tcPr>
          <w:p>
            <w:pPr>
              <w:pStyle w:val="14"/>
              <w:spacing w:before="20"/>
              <w:ind w:left="199" w:right="194"/>
              <w:rPr>
                <w:sz w:val="21"/>
              </w:rPr>
            </w:pPr>
            <w:r>
              <w:rPr>
                <w:sz w:val="21"/>
              </w:rPr>
              <w:t>不详</w:t>
            </w:r>
          </w:p>
        </w:tc>
        <w:tc>
          <w:tcPr>
            <w:tcW w:w="3510" w:type="dxa"/>
          </w:tcPr>
          <w:p>
            <w:pPr>
              <w:pStyle w:val="14"/>
              <w:spacing w:before="20"/>
              <w:ind w:left="158" w:right="150"/>
              <w:rPr>
                <w:sz w:val="21"/>
              </w:rPr>
            </w:pPr>
            <w:r>
              <w:rPr>
                <w:rFonts w:ascii="Times New Roman" w:eastAsia="Times New Roman"/>
                <w:sz w:val="21"/>
              </w:rPr>
              <w:t>90-2</w:t>
            </w:r>
            <w:r>
              <w:rPr>
                <w:sz w:val="21"/>
              </w:rPr>
              <w:t>、</w:t>
            </w:r>
            <w:r>
              <w:rPr>
                <w:rFonts w:ascii="Times New Roman" w:eastAsia="Times New Roman"/>
                <w:sz w:val="21"/>
              </w:rPr>
              <w:t xml:space="preserve">90-1 </w:t>
            </w:r>
            <w:r>
              <w:rPr>
                <w:sz w:val="21"/>
              </w:rPr>
              <w:t>钻孔推定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41" w:type="dxa"/>
            <w:vMerge w:val="continue"/>
            <w:tcBorders>
              <w:top w:val="nil"/>
            </w:tcBorders>
          </w:tcPr>
          <w:p>
            <w:pPr>
              <w:rPr>
                <w:sz w:val="2"/>
                <w:szCs w:val="2"/>
              </w:rPr>
            </w:pPr>
          </w:p>
        </w:tc>
        <w:tc>
          <w:tcPr>
            <w:tcW w:w="768" w:type="dxa"/>
          </w:tcPr>
          <w:p>
            <w:pPr>
              <w:pStyle w:val="14"/>
              <w:spacing w:before="192"/>
              <w:ind w:left="152" w:right="145"/>
              <w:rPr>
                <w:rFonts w:ascii="Times New Roman"/>
                <w:sz w:val="21"/>
              </w:rPr>
            </w:pPr>
            <w:r>
              <w:rPr>
                <w:rFonts w:ascii="Times New Roman"/>
                <w:sz w:val="21"/>
              </w:rPr>
              <w:t>F5</w:t>
            </w:r>
          </w:p>
        </w:tc>
        <w:tc>
          <w:tcPr>
            <w:tcW w:w="1228" w:type="dxa"/>
          </w:tcPr>
          <w:p>
            <w:pPr>
              <w:pStyle w:val="14"/>
              <w:spacing w:before="178"/>
              <w:ind w:left="278" w:right="269"/>
              <w:rPr>
                <w:sz w:val="21"/>
              </w:rPr>
            </w:pPr>
            <w:r>
              <w:rPr>
                <w:sz w:val="21"/>
              </w:rPr>
              <w:t>正断层</w:t>
            </w:r>
          </w:p>
        </w:tc>
        <w:tc>
          <w:tcPr>
            <w:tcW w:w="1527" w:type="dxa"/>
          </w:tcPr>
          <w:p>
            <w:pPr>
              <w:pStyle w:val="14"/>
              <w:spacing w:before="178"/>
              <w:ind w:left="322" w:right="315"/>
              <w:rPr>
                <w:sz w:val="21"/>
              </w:rPr>
            </w:pPr>
            <w:r>
              <w:rPr>
                <w:sz w:val="21"/>
              </w:rPr>
              <w:t>倾向北东</w:t>
            </w:r>
          </w:p>
        </w:tc>
        <w:tc>
          <w:tcPr>
            <w:tcW w:w="1170" w:type="dxa"/>
          </w:tcPr>
          <w:p>
            <w:pPr>
              <w:pStyle w:val="14"/>
              <w:spacing w:before="192"/>
              <w:ind w:left="201" w:right="192"/>
              <w:rPr>
                <w:rFonts w:ascii="Times New Roman"/>
                <w:sz w:val="21"/>
              </w:rPr>
            </w:pPr>
            <w:r>
              <w:rPr>
                <w:rFonts w:ascii="Times New Roman"/>
                <w:sz w:val="21"/>
              </w:rPr>
              <w:t>15-30</w:t>
            </w:r>
          </w:p>
        </w:tc>
        <w:tc>
          <w:tcPr>
            <w:tcW w:w="3510" w:type="dxa"/>
          </w:tcPr>
          <w:p>
            <w:pPr>
              <w:pStyle w:val="14"/>
              <w:spacing w:before="22"/>
              <w:ind w:left="158" w:right="150"/>
              <w:rPr>
                <w:sz w:val="21"/>
              </w:rPr>
            </w:pPr>
            <w:r>
              <w:rPr>
                <w:rFonts w:ascii="Times New Roman" w:eastAsia="Times New Roman"/>
                <w:sz w:val="21"/>
              </w:rPr>
              <w:t>90</w:t>
            </w:r>
            <w:r>
              <w:rPr>
                <w:sz w:val="21"/>
              </w:rPr>
              <w:t>－</w:t>
            </w:r>
            <w:r>
              <w:rPr>
                <w:rFonts w:ascii="Times New Roman" w:eastAsia="Times New Roman"/>
                <w:sz w:val="21"/>
              </w:rPr>
              <w:t xml:space="preserve">1 </w:t>
            </w:r>
            <w:r>
              <w:rPr>
                <w:sz w:val="21"/>
              </w:rPr>
              <w:t>钻孔及一井片盘</w:t>
            </w:r>
          </w:p>
          <w:p>
            <w:pPr>
              <w:pStyle w:val="14"/>
              <w:spacing w:before="43"/>
              <w:ind w:left="158" w:right="150"/>
              <w:rPr>
                <w:sz w:val="21"/>
              </w:rPr>
            </w:pPr>
            <w:r>
              <w:rPr>
                <w:sz w:val="21"/>
              </w:rPr>
              <w:t>之间实见</w:t>
            </w:r>
            <w:r>
              <w:rPr>
                <w:rFonts w:ascii="Times New Roman" w:eastAsia="Times New Roman"/>
                <w:sz w:val="21"/>
              </w:rPr>
              <w:t>,</w:t>
            </w:r>
            <w:r>
              <w:rPr>
                <w:sz w:val="21"/>
              </w:rPr>
              <w:t>较可靠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41" w:type="dxa"/>
            <w:vMerge w:val="continue"/>
            <w:tcBorders>
              <w:top w:val="nil"/>
            </w:tcBorders>
          </w:tcPr>
          <w:p>
            <w:pPr>
              <w:rPr>
                <w:sz w:val="2"/>
                <w:szCs w:val="2"/>
              </w:rPr>
            </w:pPr>
          </w:p>
        </w:tc>
        <w:tc>
          <w:tcPr>
            <w:tcW w:w="768" w:type="dxa"/>
          </w:tcPr>
          <w:p>
            <w:pPr>
              <w:pStyle w:val="14"/>
              <w:spacing w:before="35"/>
              <w:ind w:left="152" w:right="145"/>
              <w:rPr>
                <w:rFonts w:ascii="Times New Roman"/>
                <w:sz w:val="21"/>
              </w:rPr>
            </w:pPr>
            <w:r>
              <w:rPr>
                <w:rFonts w:ascii="Times New Roman"/>
                <w:sz w:val="21"/>
              </w:rPr>
              <w:t>F6</w:t>
            </w:r>
          </w:p>
        </w:tc>
        <w:tc>
          <w:tcPr>
            <w:tcW w:w="1228" w:type="dxa"/>
          </w:tcPr>
          <w:p>
            <w:pPr>
              <w:pStyle w:val="14"/>
              <w:spacing w:before="21"/>
              <w:ind w:left="278" w:right="269"/>
              <w:rPr>
                <w:sz w:val="21"/>
              </w:rPr>
            </w:pPr>
            <w:r>
              <w:rPr>
                <w:sz w:val="21"/>
              </w:rPr>
              <w:t>正断层</w:t>
            </w:r>
          </w:p>
        </w:tc>
        <w:tc>
          <w:tcPr>
            <w:tcW w:w="1527" w:type="dxa"/>
          </w:tcPr>
          <w:p>
            <w:pPr>
              <w:pStyle w:val="14"/>
              <w:spacing w:before="21"/>
              <w:ind w:left="322" w:right="315"/>
              <w:rPr>
                <w:sz w:val="21"/>
              </w:rPr>
            </w:pPr>
            <w:r>
              <w:rPr>
                <w:sz w:val="21"/>
              </w:rPr>
              <w:t>倾向西北</w:t>
            </w:r>
          </w:p>
        </w:tc>
        <w:tc>
          <w:tcPr>
            <w:tcW w:w="1170" w:type="dxa"/>
          </w:tcPr>
          <w:p>
            <w:pPr>
              <w:pStyle w:val="14"/>
              <w:spacing w:before="35"/>
              <w:ind w:left="201" w:right="192"/>
              <w:rPr>
                <w:rFonts w:ascii="Times New Roman"/>
                <w:sz w:val="21"/>
              </w:rPr>
            </w:pPr>
            <w:r>
              <w:rPr>
                <w:rFonts w:ascii="Times New Roman"/>
                <w:sz w:val="21"/>
              </w:rPr>
              <w:t>0-20</w:t>
            </w:r>
          </w:p>
        </w:tc>
        <w:tc>
          <w:tcPr>
            <w:tcW w:w="3510" w:type="dxa"/>
          </w:tcPr>
          <w:p>
            <w:pPr>
              <w:pStyle w:val="14"/>
              <w:spacing w:before="21"/>
              <w:ind w:left="155" w:right="150"/>
              <w:rPr>
                <w:sz w:val="21"/>
              </w:rPr>
            </w:pPr>
            <w:r>
              <w:rPr>
                <w:sz w:val="21"/>
              </w:rPr>
              <w:t>由长胜井、二井巷道实见，可靠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41" w:type="dxa"/>
            <w:vMerge w:val="continue"/>
            <w:tcBorders>
              <w:top w:val="nil"/>
            </w:tcBorders>
          </w:tcPr>
          <w:p>
            <w:pPr>
              <w:rPr>
                <w:sz w:val="2"/>
                <w:szCs w:val="2"/>
              </w:rPr>
            </w:pPr>
          </w:p>
        </w:tc>
        <w:tc>
          <w:tcPr>
            <w:tcW w:w="768" w:type="dxa"/>
          </w:tcPr>
          <w:p>
            <w:pPr>
              <w:pStyle w:val="14"/>
              <w:spacing w:before="35"/>
              <w:ind w:left="152" w:right="145"/>
              <w:rPr>
                <w:rFonts w:ascii="Times New Roman"/>
                <w:sz w:val="21"/>
              </w:rPr>
            </w:pPr>
            <w:r>
              <w:rPr>
                <w:rFonts w:ascii="Times New Roman"/>
                <w:sz w:val="21"/>
              </w:rPr>
              <w:t>F7</w:t>
            </w:r>
          </w:p>
        </w:tc>
        <w:tc>
          <w:tcPr>
            <w:tcW w:w="1228" w:type="dxa"/>
          </w:tcPr>
          <w:p>
            <w:pPr>
              <w:pStyle w:val="14"/>
              <w:spacing w:before="21"/>
              <w:ind w:left="278" w:right="269"/>
              <w:rPr>
                <w:sz w:val="21"/>
              </w:rPr>
            </w:pPr>
            <w:r>
              <w:rPr>
                <w:sz w:val="21"/>
              </w:rPr>
              <w:t>正断层</w:t>
            </w:r>
          </w:p>
        </w:tc>
        <w:tc>
          <w:tcPr>
            <w:tcW w:w="1527" w:type="dxa"/>
          </w:tcPr>
          <w:p>
            <w:pPr>
              <w:pStyle w:val="14"/>
              <w:spacing w:before="21"/>
              <w:ind w:left="322" w:right="315"/>
              <w:rPr>
                <w:sz w:val="21"/>
              </w:rPr>
            </w:pPr>
            <w:r>
              <w:rPr>
                <w:sz w:val="21"/>
              </w:rPr>
              <w:t>倾向西北</w:t>
            </w:r>
          </w:p>
        </w:tc>
        <w:tc>
          <w:tcPr>
            <w:tcW w:w="1170" w:type="dxa"/>
          </w:tcPr>
          <w:p>
            <w:pPr>
              <w:pStyle w:val="14"/>
              <w:spacing w:before="35"/>
              <w:ind w:left="201" w:right="192"/>
              <w:rPr>
                <w:rFonts w:ascii="Times New Roman"/>
                <w:sz w:val="21"/>
              </w:rPr>
            </w:pPr>
            <w:r>
              <w:rPr>
                <w:rFonts w:ascii="Times New Roman"/>
                <w:sz w:val="21"/>
              </w:rPr>
              <w:t>20</w:t>
            </w:r>
          </w:p>
        </w:tc>
        <w:tc>
          <w:tcPr>
            <w:tcW w:w="3510" w:type="dxa"/>
          </w:tcPr>
          <w:p>
            <w:pPr>
              <w:pStyle w:val="14"/>
              <w:spacing w:before="21"/>
              <w:ind w:left="158" w:right="150"/>
              <w:rPr>
                <w:sz w:val="21"/>
              </w:rPr>
            </w:pPr>
            <w:r>
              <w:rPr>
                <w:sz w:val="21"/>
              </w:rPr>
              <w:t>三井实见，可靠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41" w:type="dxa"/>
            <w:vMerge w:val="continue"/>
            <w:tcBorders>
              <w:top w:val="nil"/>
            </w:tcBorders>
          </w:tcPr>
          <w:p>
            <w:pPr>
              <w:rPr>
                <w:sz w:val="2"/>
                <w:szCs w:val="2"/>
              </w:rPr>
            </w:pPr>
          </w:p>
        </w:tc>
        <w:tc>
          <w:tcPr>
            <w:tcW w:w="768" w:type="dxa"/>
          </w:tcPr>
          <w:p>
            <w:pPr>
              <w:pStyle w:val="14"/>
              <w:spacing w:before="35"/>
              <w:ind w:left="152" w:right="145"/>
              <w:rPr>
                <w:rFonts w:ascii="Times New Roman"/>
                <w:sz w:val="21"/>
              </w:rPr>
            </w:pPr>
            <w:r>
              <w:rPr>
                <w:rFonts w:ascii="Times New Roman"/>
                <w:sz w:val="21"/>
              </w:rPr>
              <w:t>F1</w:t>
            </w:r>
          </w:p>
        </w:tc>
        <w:tc>
          <w:tcPr>
            <w:tcW w:w="1228" w:type="dxa"/>
          </w:tcPr>
          <w:p>
            <w:pPr>
              <w:pStyle w:val="14"/>
              <w:spacing w:before="21"/>
              <w:ind w:left="278" w:right="269"/>
              <w:rPr>
                <w:sz w:val="21"/>
              </w:rPr>
            </w:pPr>
            <w:r>
              <w:rPr>
                <w:sz w:val="21"/>
              </w:rPr>
              <w:t>正断层</w:t>
            </w:r>
          </w:p>
        </w:tc>
        <w:tc>
          <w:tcPr>
            <w:tcW w:w="1527" w:type="dxa"/>
          </w:tcPr>
          <w:p>
            <w:pPr>
              <w:pStyle w:val="14"/>
              <w:spacing w:before="21"/>
              <w:ind w:left="320" w:right="315"/>
              <w:rPr>
                <w:sz w:val="21"/>
              </w:rPr>
            </w:pPr>
            <w:r>
              <w:rPr>
                <w:sz w:val="21"/>
              </w:rPr>
              <w:t>倾向北</w:t>
            </w:r>
          </w:p>
        </w:tc>
        <w:tc>
          <w:tcPr>
            <w:tcW w:w="1170" w:type="dxa"/>
          </w:tcPr>
          <w:p>
            <w:pPr>
              <w:pStyle w:val="14"/>
              <w:spacing w:before="35"/>
              <w:ind w:left="201" w:right="192"/>
              <w:rPr>
                <w:rFonts w:ascii="Times New Roman"/>
                <w:sz w:val="21"/>
              </w:rPr>
            </w:pPr>
            <w:r>
              <w:rPr>
                <w:rFonts w:ascii="Times New Roman"/>
                <w:sz w:val="21"/>
              </w:rPr>
              <w:t>200-250</w:t>
            </w:r>
          </w:p>
        </w:tc>
        <w:tc>
          <w:tcPr>
            <w:tcW w:w="3510" w:type="dxa"/>
          </w:tcPr>
          <w:p>
            <w:pPr>
              <w:pStyle w:val="14"/>
              <w:spacing w:before="21"/>
              <w:ind w:left="158" w:right="150"/>
              <w:rPr>
                <w:sz w:val="21"/>
              </w:rPr>
            </w:pPr>
            <w:r>
              <w:rPr>
                <w:rFonts w:ascii="Times New Roman" w:eastAsia="Times New Roman"/>
                <w:sz w:val="21"/>
              </w:rPr>
              <w:t xml:space="preserve">90-7 </w:t>
            </w:r>
            <w:r>
              <w:rPr>
                <w:sz w:val="21"/>
              </w:rPr>
              <w:t>号钻孔控制，较可靠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41" w:type="dxa"/>
            <w:vMerge w:val="continue"/>
            <w:tcBorders>
              <w:top w:val="nil"/>
            </w:tcBorders>
          </w:tcPr>
          <w:p>
            <w:pPr>
              <w:rPr>
                <w:sz w:val="2"/>
                <w:szCs w:val="2"/>
              </w:rPr>
            </w:pPr>
          </w:p>
        </w:tc>
        <w:tc>
          <w:tcPr>
            <w:tcW w:w="768" w:type="dxa"/>
          </w:tcPr>
          <w:p>
            <w:pPr>
              <w:pStyle w:val="14"/>
              <w:spacing w:before="190"/>
              <w:ind w:left="152" w:right="145"/>
              <w:rPr>
                <w:rFonts w:ascii="Times New Roman"/>
                <w:sz w:val="21"/>
              </w:rPr>
            </w:pPr>
            <w:r>
              <w:rPr>
                <w:rFonts w:ascii="Times New Roman"/>
                <w:sz w:val="21"/>
              </w:rPr>
              <w:t>F2</w:t>
            </w:r>
          </w:p>
        </w:tc>
        <w:tc>
          <w:tcPr>
            <w:tcW w:w="1228" w:type="dxa"/>
          </w:tcPr>
          <w:p>
            <w:pPr>
              <w:pStyle w:val="14"/>
              <w:spacing w:before="176"/>
              <w:ind w:left="278" w:right="269"/>
              <w:rPr>
                <w:sz w:val="21"/>
              </w:rPr>
            </w:pPr>
            <w:r>
              <w:rPr>
                <w:sz w:val="21"/>
              </w:rPr>
              <w:t>逆断层</w:t>
            </w:r>
          </w:p>
        </w:tc>
        <w:tc>
          <w:tcPr>
            <w:tcW w:w="1527" w:type="dxa"/>
          </w:tcPr>
          <w:p>
            <w:pPr>
              <w:pStyle w:val="14"/>
              <w:spacing w:before="176"/>
              <w:ind w:left="320" w:right="315"/>
              <w:rPr>
                <w:sz w:val="21"/>
              </w:rPr>
            </w:pPr>
            <w:r>
              <w:rPr>
                <w:sz w:val="21"/>
              </w:rPr>
              <w:t>倾向南</w:t>
            </w:r>
          </w:p>
        </w:tc>
        <w:tc>
          <w:tcPr>
            <w:tcW w:w="1170" w:type="dxa"/>
          </w:tcPr>
          <w:p>
            <w:pPr>
              <w:pStyle w:val="14"/>
              <w:spacing w:before="190"/>
              <w:ind w:left="201" w:right="192"/>
              <w:rPr>
                <w:rFonts w:ascii="Times New Roman"/>
                <w:sz w:val="21"/>
              </w:rPr>
            </w:pPr>
            <w:r>
              <w:rPr>
                <w:rFonts w:ascii="Times New Roman"/>
                <w:sz w:val="21"/>
              </w:rPr>
              <w:t>500</w:t>
            </w:r>
          </w:p>
        </w:tc>
        <w:tc>
          <w:tcPr>
            <w:tcW w:w="3510" w:type="dxa"/>
          </w:tcPr>
          <w:p>
            <w:pPr>
              <w:pStyle w:val="14"/>
              <w:spacing w:before="20"/>
              <w:ind w:left="160" w:right="150"/>
              <w:rPr>
                <w:sz w:val="21"/>
              </w:rPr>
            </w:pPr>
            <w:r>
              <w:rPr>
                <w:sz w:val="21"/>
              </w:rPr>
              <w:t>北盘为城子河组，南盘为基底花岗</w:t>
            </w:r>
          </w:p>
          <w:p>
            <w:pPr>
              <w:pStyle w:val="14"/>
              <w:spacing w:before="43"/>
              <w:ind w:left="158" w:right="150"/>
              <w:rPr>
                <w:sz w:val="21"/>
              </w:rPr>
            </w:pPr>
            <w:r>
              <w:rPr>
                <w:sz w:val="21"/>
              </w:rPr>
              <w:t>岩，属于推断断层。</w:t>
            </w:r>
          </w:p>
        </w:tc>
      </w:tr>
    </w:tbl>
    <w:p>
      <w:pPr>
        <w:pStyle w:val="6"/>
        <w:spacing w:before="5"/>
        <w:rPr>
          <w:b/>
          <w:sz w:val="32"/>
        </w:rPr>
      </w:pPr>
    </w:p>
    <w:p>
      <w:pPr>
        <w:pStyle w:val="6"/>
        <w:spacing w:line="364" w:lineRule="auto"/>
        <w:ind w:left="1040" w:right="1077" w:firstLine="480"/>
        <w:jc w:val="both"/>
      </w:pPr>
      <w:r>
        <w:t>本次扩大区范围内及周边共有断层</w:t>
      </w:r>
      <w:r>
        <w:rPr>
          <w:rFonts w:ascii="Times New Roman" w:eastAsia="Times New Roman"/>
        </w:rPr>
        <w:t>10</w:t>
      </w:r>
      <w:r>
        <w:rPr>
          <w:spacing w:val="-12"/>
        </w:rPr>
        <w:t>条，分布在西北部邻近矿井岭东区顺达</w:t>
      </w:r>
      <w:r>
        <w:t>煤井矿区范围内有</w:t>
      </w:r>
      <w:r>
        <w:rPr>
          <w:rFonts w:ascii="Times New Roman" w:eastAsia="Times New Roman"/>
        </w:rPr>
        <w:t>2</w:t>
      </w:r>
      <w:r>
        <w:rPr>
          <w:spacing w:val="-7"/>
        </w:rPr>
        <w:t>条，分布在原大顺煤矿范围内有</w:t>
      </w:r>
      <w:r>
        <w:rPr>
          <w:rFonts w:ascii="Times New Roman" w:eastAsia="Times New Roman"/>
        </w:rPr>
        <w:t>6</w:t>
      </w:r>
      <w:r>
        <w:rPr>
          <w:spacing w:val="-8"/>
        </w:rPr>
        <w:t>条，分布在两矿之间边界断</w:t>
      </w:r>
      <w:r>
        <w:t>层</w:t>
      </w:r>
      <w:r>
        <w:rPr>
          <w:rFonts w:ascii="Times New Roman" w:eastAsia="Times New Roman"/>
        </w:rPr>
        <w:t>1</w:t>
      </w:r>
      <w:r>
        <w:rPr>
          <w:spacing w:val="-6"/>
        </w:rPr>
        <w:t>条，分布在扩大区与长山六井之间</w:t>
      </w:r>
      <w:r>
        <w:rPr>
          <w:rFonts w:ascii="Times New Roman" w:eastAsia="Times New Roman"/>
        </w:rPr>
        <w:t>1</w:t>
      </w:r>
      <w:r>
        <w:rPr>
          <w:spacing w:val="-10"/>
        </w:rPr>
        <w:t>条，以及劳教所煤矿向斜。现分别叙述如</w:t>
      </w:r>
      <w:r>
        <w:t>下：</w:t>
      </w:r>
    </w:p>
    <w:p>
      <w:pPr>
        <w:pStyle w:val="13"/>
        <w:numPr>
          <w:ilvl w:val="0"/>
          <w:numId w:val="23"/>
        </w:numPr>
        <w:tabs>
          <w:tab w:val="left" w:pos="2121"/>
        </w:tabs>
        <w:spacing w:before="0" w:after="0" w:line="364" w:lineRule="auto"/>
        <w:ind w:left="1040" w:right="957" w:firstLine="480"/>
        <w:jc w:val="left"/>
        <w:rPr>
          <w:sz w:val="24"/>
        </w:rPr>
      </w:pPr>
      <w:r>
        <w:rPr>
          <w:spacing w:val="-6"/>
          <w:sz w:val="24"/>
        </w:rPr>
        <w:t>劳教所煤矿向斜：为一轴向南东，向南东倾伏，向西北抬起的北翼缓</w:t>
      </w:r>
      <w:r>
        <w:rPr>
          <w:spacing w:val="-7"/>
          <w:sz w:val="24"/>
        </w:rPr>
        <w:t>、南翼陡的不对称向斜。向斜北翼地层走向</w:t>
      </w:r>
      <w:r>
        <w:rPr>
          <w:rFonts w:ascii="Times New Roman" w:hAnsi="Times New Roman" w:eastAsia="Times New Roman"/>
          <w:spacing w:val="-4"/>
          <w:sz w:val="24"/>
        </w:rPr>
        <w:t>N450</w:t>
      </w:r>
      <w:r>
        <w:rPr>
          <w:spacing w:val="-4"/>
          <w:sz w:val="24"/>
        </w:rPr>
        <w:t>－</w:t>
      </w:r>
      <w:r>
        <w:rPr>
          <w:rFonts w:ascii="Times New Roman" w:hAnsi="Times New Roman" w:eastAsia="Times New Roman"/>
          <w:spacing w:val="-4"/>
          <w:sz w:val="24"/>
        </w:rPr>
        <w:t>800E</w:t>
      </w:r>
      <w:r>
        <w:rPr>
          <w:spacing w:val="-2"/>
          <w:sz w:val="24"/>
        </w:rPr>
        <w:t>，倾角</w:t>
      </w:r>
      <w:r>
        <w:rPr>
          <w:rFonts w:ascii="Times New Roman" w:hAnsi="Times New Roman" w:eastAsia="Times New Roman"/>
          <w:sz w:val="24"/>
        </w:rPr>
        <w:t>30-45</w:t>
      </w:r>
      <w:r>
        <w:rPr>
          <w:rFonts w:ascii="Times New Roman" w:hAnsi="Times New Roman" w:eastAsia="Times New Roman"/>
          <w:position w:val="8"/>
          <w:sz w:val="15"/>
        </w:rPr>
        <w:t>o</w:t>
      </w:r>
      <w:r>
        <w:rPr>
          <w:spacing w:val="-8"/>
          <w:sz w:val="24"/>
        </w:rPr>
        <w:t>左右；南翼走向近东西，地层走向</w:t>
      </w:r>
      <w:r>
        <w:rPr>
          <w:rFonts w:ascii="Times New Roman" w:hAnsi="Times New Roman" w:eastAsia="Times New Roman"/>
          <w:spacing w:val="-8"/>
          <w:sz w:val="24"/>
        </w:rPr>
        <w:t>70°-80°</w:t>
      </w:r>
      <w:r>
        <w:rPr>
          <w:spacing w:val="-8"/>
          <w:sz w:val="24"/>
        </w:rPr>
        <w:t>，倾角</w:t>
      </w:r>
      <w:r>
        <w:rPr>
          <w:rFonts w:ascii="Times New Roman" w:hAnsi="Times New Roman" w:eastAsia="Times New Roman"/>
          <w:spacing w:val="-8"/>
          <w:sz w:val="24"/>
        </w:rPr>
        <w:t>55</w:t>
      </w:r>
      <w:r>
        <w:rPr>
          <w:rFonts w:ascii="Times New Roman" w:hAnsi="Times New Roman" w:eastAsia="Times New Roman"/>
          <w:spacing w:val="-8"/>
          <w:position w:val="8"/>
          <w:sz w:val="15"/>
        </w:rPr>
        <w:t>o</w:t>
      </w:r>
      <w:r>
        <w:rPr>
          <w:spacing w:val="-8"/>
          <w:sz w:val="24"/>
        </w:rPr>
        <w:t>左右。</w:t>
      </w:r>
    </w:p>
    <w:p>
      <w:pPr>
        <w:pStyle w:val="13"/>
        <w:numPr>
          <w:ilvl w:val="0"/>
          <w:numId w:val="23"/>
        </w:numPr>
        <w:tabs>
          <w:tab w:val="left" w:pos="2121"/>
        </w:tabs>
        <w:spacing w:before="0" w:after="0" w:line="364" w:lineRule="auto"/>
        <w:ind w:left="1040" w:right="1072" w:firstLine="480"/>
        <w:jc w:val="left"/>
        <w:rPr>
          <w:sz w:val="24"/>
        </w:rPr>
      </w:pPr>
      <w:r>
        <w:rPr>
          <w:rFonts w:ascii="Times New Roman" w:hAnsi="Times New Roman" w:eastAsia="Times New Roman"/>
          <w:sz w:val="24"/>
        </w:rPr>
        <w:t>F1</w:t>
      </w:r>
      <w:r>
        <w:rPr>
          <w:spacing w:val="-13"/>
          <w:sz w:val="24"/>
        </w:rPr>
        <w:t>号断层：走向北东，倾向南、倾角</w:t>
      </w:r>
      <w:r>
        <w:rPr>
          <w:rFonts w:ascii="Times New Roman" w:hAnsi="Times New Roman" w:eastAsia="Times New Roman"/>
          <w:spacing w:val="-13"/>
          <w:sz w:val="24"/>
        </w:rPr>
        <w:t>70°</w:t>
      </w:r>
      <w:r>
        <w:rPr>
          <w:spacing w:val="-7"/>
          <w:sz w:val="24"/>
        </w:rPr>
        <w:t>，由</w:t>
      </w:r>
      <w:r>
        <w:rPr>
          <w:rFonts w:ascii="Times New Roman" w:hAnsi="Times New Roman" w:eastAsia="Times New Roman"/>
          <w:sz w:val="24"/>
        </w:rPr>
        <w:t>90-4</w:t>
      </w:r>
      <w:r>
        <w:rPr>
          <w:sz w:val="24"/>
        </w:rPr>
        <w:t>号钻孔第五勘探线</w:t>
      </w:r>
      <w:r>
        <w:rPr>
          <w:rFonts w:ascii="Times New Roman" w:hAnsi="Times New Roman" w:eastAsia="Times New Roman"/>
          <w:spacing w:val="-5"/>
          <w:sz w:val="24"/>
        </w:rPr>
        <w:t>90-2</w:t>
      </w:r>
      <w:r>
        <w:rPr>
          <w:sz w:val="24"/>
        </w:rPr>
        <w:t>号孔、</w:t>
      </w:r>
      <w:r>
        <w:rPr>
          <w:rFonts w:ascii="Times New Roman" w:hAnsi="Times New Roman" w:eastAsia="Times New Roman"/>
          <w:sz w:val="24"/>
        </w:rPr>
        <w:t>90-7</w:t>
      </w:r>
      <w:r>
        <w:rPr>
          <w:sz w:val="24"/>
        </w:rPr>
        <w:t>号孔推定。落差大于</w:t>
      </w:r>
      <w:r>
        <w:rPr>
          <w:rFonts w:ascii="Times New Roman" w:hAnsi="Times New Roman" w:eastAsia="Times New Roman"/>
          <w:sz w:val="24"/>
        </w:rPr>
        <w:t>200</w:t>
      </w:r>
      <w:r>
        <w:rPr>
          <w:sz w:val="24"/>
        </w:rPr>
        <w:t>米，属推断断层。</w:t>
      </w:r>
    </w:p>
    <w:p>
      <w:pPr>
        <w:pStyle w:val="13"/>
        <w:numPr>
          <w:ilvl w:val="0"/>
          <w:numId w:val="23"/>
        </w:numPr>
        <w:tabs>
          <w:tab w:val="left" w:pos="2121"/>
        </w:tabs>
        <w:spacing w:before="0" w:after="0" w:line="362" w:lineRule="auto"/>
        <w:ind w:left="1040" w:right="1077" w:firstLine="480"/>
        <w:jc w:val="left"/>
        <w:rPr>
          <w:sz w:val="24"/>
        </w:rPr>
      </w:pPr>
      <w:r>
        <w:rPr>
          <w:rFonts w:ascii="Times New Roman" w:hAnsi="Times New Roman" w:eastAsia="Times New Roman"/>
          <w:sz w:val="24"/>
        </w:rPr>
        <w:t>F2</w:t>
      </w:r>
      <w:r>
        <w:rPr>
          <w:spacing w:val="-7"/>
          <w:sz w:val="24"/>
        </w:rPr>
        <w:t>断层：走向近东西，倾向南、倾角</w:t>
      </w:r>
      <w:r>
        <w:rPr>
          <w:rFonts w:ascii="Times New Roman" w:hAnsi="Times New Roman" w:eastAsia="Times New Roman"/>
          <w:spacing w:val="-4"/>
          <w:sz w:val="24"/>
        </w:rPr>
        <w:t>70°</w:t>
      </w:r>
      <w:r>
        <w:rPr>
          <w:spacing w:val="-5"/>
          <w:sz w:val="24"/>
        </w:rPr>
        <w:t>，为逆冲断层，北盘为城子河</w:t>
      </w:r>
      <w:r>
        <w:rPr>
          <w:sz w:val="24"/>
        </w:rPr>
        <w:t>组、穆棱组地层，南盘为基底花岗岩，落差</w:t>
      </w:r>
      <w:r>
        <w:rPr>
          <w:rFonts w:ascii="Times New Roman" w:hAnsi="Times New Roman" w:eastAsia="Times New Roman"/>
          <w:sz w:val="24"/>
        </w:rPr>
        <w:t>500</w:t>
      </w:r>
      <w:r>
        <w:rPr>
          <w:sz w:val="24"/>
        </w:rPr>
        <w:t>米，属推断断层。</w:t>
      </w:r>
    </w:p>
    <w:p>
      <w:pPr>
        <w:pStyle w:val="13"/>
        <w:numPr>
          <w:ilvl w:val="0"/>
          <w:numId w:val="23"/>
        </w:numPr>
        <w:tabs>
          <w:tab w:val="left" w:pos="2121"/>
        </w:tabs>
        <w:spacing w:before="1" w:after="0" w:line="240" w:lineRule="auto"/>
        <w:ind w:left="2121" w:right="0" w:hanging="601"/>
        <w:jc w:val="left"/>
        <w:rPr>
          <w:sz w:val="24"/>
        </w:rPr>
      </w:pPr>
      <w:r>
        <w:rPr>
          <w:rFonts w:ascii="Times New Roman" w:hAnsi="Times New Roman" w:eastAsia="Times New Roman"/>
          <w:sz w:val="24"/>
        </w:rPr>
        <w:t>F3</w:t>
      </w:r>
      <w:r>
        <w:rPr>
          <w:spacing w:val="-5"/>
          <w:sz w:val="24"/>
        </w:rPr>
        <w:t>断层：走向北西，倾向北东、倾角</w:t>
      </w:r>
      <w:r>
        <w:rPr>
          <w:rFonts w:ascii="Times New Roman" w:hAnsi="Times New Roman" w:eastAsia="Times New Roman"/>
          <w:sz w:val="24"/>
        </w:rPr>
        <w:t>70°</w:t>
      </w:r>
      <w:r>
        <w:rPr>
          <w:spacing w:val="-2"/>
          <w:sz w:val="24"/>
        </w:rPr>
        <w:t>，为正断层，落差</w:t>
      </w:r>
      <w:r>
        <w:rPr>
          <w:rFonts w:ascii="Times New Roman" w:hAnsi="Times New Roman" w:eastAsia="Times New Roman"/>
          <w:sz w:val="24"/>
        </w:rPr>
        <w:t>350-380</w:t>
      </w:r>
      <w:r>
        <w:rPr>
          <w:sz w:val="24"/>
        </w:rPr>
        <w:t>米，</w:t>
      </w:r>
    </w:p>
    <w:p>
      <w:pPr>
        <w:spacing w:after="0" w:line="240" w:lineRule="auto"/>
        <w:jc w:val="left"/>
        <w:rPr>
          <w:sz w:val="24"/>
        </w:rPr>
        <w:sectPr>
          <w:pgSz w:w="11910" w:h="16840"/>
          <w:pgMar w:top="1080" w:right="720" w:bottom="1160" w:left="760" w:header="0" w:footer="89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71" name="组合 46"/>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70" name="直线 47"/>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46"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u2gi7UAAAAAwEAAA8AAAAAAAAAAQAgAAAAIgAAAGRycy9kb3ducmV2Lnht&#10;bFBLAQIUABQAAAAIAIdO4kC5VoLmNgIAALYEAAAOAAAAAAAAAAEAIAAAACMBAABkcnMvZTJvRG9j&#10;LnhtbFBLBQYAAAAABgAGAFkBAADLBQAAAAA=&#10;">
                <o:lock v:ext="edit" aspectratio="f"/>
                <v:line id="直线 47" o:spid="_x0000_s1026" o:spt="20" style="position:absolute;left:0;top:7;height:0;width:8306;" filled="f" stroked="t" coordsize="21600,21600" o:gfxdata="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ySjV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pStyle w:val="6"/>
        <w:spacing w:before="5"/>
        <w:rPr>
          <w:sz w:val="19"/>
        </w:rPr>
      </w:pPr>
    </w:p>
    <w:p>
      <w:pPr>
        <w:pStyle w:val="6"/>
        <w:spacing w:before="74" w:line="364" w:lineRule="auto"/>
        <w:ind w:left="1040" w:right="955"/>
      </w:pPr>
      <w:r>
        <w:t>东南端由</w:t>
      </w:r>
      <w:r>
        <w:rPr>
          <w:rFonts w:ascii="Times New Roman" w:eastAsia="Times New Roman"/>
        </w:rPr>
        <w:t>2000-4</w:t>
      </w:r>
      <w:r>
        <w:t>和</w:t>
      </w:r>
      <w:r>
        <w:rPr>
          <w:rFonts w:ascii="Times New Roman" w:eastAsia="Times New Roman"/>
        </w:rPr>
        <w:t>90-2</w:t>
      </w:r>
      <w:r>
        <w:rPr>
          <w:spacing w:val="-10"/>
        </w:rPr>
        <w:t>号孔控制，北西端双鸭山矿务局长山六井报告</w:t>
      </w:r>
      <w:r>
        <w:rPr>
          <w:rFonts w:ascii="Times New Roman" w:eastAsia="Times New Roman"/>
        </w:rPr>
        <w:t>87-7</w:t>
      </w:r>
      <w:r>
        <w:rPr>
          <w:spacing w:val="-4"/>
        </w:rPr>
        <w:t>号钻孔、</w:t>
      </w:r>
      <w:r>
        <w:t>顺达补勘</w:t>
      </w:r>
      <w:r>
        <w:rPr>
          <w:rFonts w:ascii="Times New Roman" w:eastAsia="Times New Roman"/>
        </w:rPr>
        <w:t>2000-3</w:t>
      </w:r>
      <w:r>
        <w:t>号钻孔控制，属较可靠。为本次核实新推断断层。</w:t>
      </w:r>
    </w:p>
    <w:p>
      <w:pPr>
        <w:pStyle w:val="13"/>
        <w:numPr>
          <w:ilvl w:val="0"/>
          <w:numId w:val="23"/>
        </w:numPr>
        <w:tabs>
          <w:tab w:val="left" w:pos="2130"/>
        </w:tabs>
        <w:spacing w:before="0" w:after="0" w:line="364" w:lineRule="auto"/>
        <w:ind w:left="1040" w:right="1075" w:firstLine="480"/>
        <w:jc w:val="left"/>
        <w:rPr>
          <w:sz w:val="24"/>
        </w:rPr>
      </w:pPr>
      <w:r>
        <w:rPr>
          <w:rFonts w:ascii="Times New Roman" w:eastAsia="Times New Roman"/>
          <w:sz w:val="24"/>
        </w:rPr>
        <w:t>F4</w:t>
      </w:r>
      <w:r>
        <w:rPr>
          <w:sz w:val="24"/>
        </w:rPr>
        <w:t>号断层：走向北西，倾向东，由</w:t>
      </w:r>
      <w:r>
        <w:rPr>
          <w:rFonts w:ascii="Times New Roman" w:eastAsia="Times New Roman"/>
          <w:sz w:val="24"/>
        </w:rPr>
        <w:t>90-1</w:t>
      </w:r>
      <w:r>
        <w:rPr>
          <w:sz w:val="24"/>
        </w:rPr>
        <w:t>、</w:t>
      </w:r>
      <w:r>
        <w:rPr>
          <w:rFonts w:ascii="Times New Roman" w:eastAsia="Times New Roman"/>
          <w:sz w:val="24"/>
        </w:rPr>
        <w:t>90-2</w:t>
      </w:r>
      <w:r>
        <w:rPr>
          <w:sz w:val="24"/>
        </w:rPr>
        <w:t>孔推定。同一水平，西盘为城子河组，东盘为穆棱组地层。落差不详，属推断断层。</w:t>
      </w:r>
    </w:p>
    <w:p>
      <w:pPr>
        <w:pStyle w:val="13"/>
        <w:numPr>
          <w:ilvl w:val="0"/>
          <w:numId w:val="23"/>
        </w:numPr>
        <w:tabs>
          <w:tab w:val="left" w:pos="2121"/>
        </w:tabs>
        <w:spacing w:before="0" w:after="0" w:line="364" w:lineRule="auto"/>
        <w:ind w:left="1040" w:right="1072" w:firstLine="480"/>
        <w:jc w:val="left"/>
        <w:rPr>
          <w:sz w:val="24"/>
        </w:rPr>
      </w:pPr>
      <w:r>
        <w:rPr>
          <w:rFonts w:ascii="Times New Roman" w:eastAsia="Times New Roman"/>
          <w:sz w:val="24"/>
        </w:rPr>
        <w:t>F5</w:t>
      </w:r>
      <w:r>
        <w:rPr>
          <w:spacing w:val="-4"/>
          <w:sz w:val="24"/>
        </w:rPr>
        <w:t>号地层：走向北东，倾向南东，落差</w:t>
      </w:r>
      <w:r>
        <w:rPr>
          <w:rFonts w:ascii="Times New Roman" w:eastAsia="Times New Roman"/>
          <w:sz w:val="24"/>
        </w:rPr>
        <w:t>15-30</w:t>
      </w:r>
      <w:r>
        <w:rPr>
          <w:sz w:val="24"/>
        </w:rPr>
        <w:t>米，</w:t>
      </w:r>
      <w:r>
        <w:rPr>
          <w:rFonts w:ascii="Times New Roman" w:eastAsia="Times New Roman"/>
          <w:sz w:val="24"/>
        </w:rPr>
        <w:t>90-1</w:t>
      </w:r>
      <w:r>
        <w:rPr>
          <w:spacing w:val="-3"/>
          <w:sz w:val="24"/>
        </w:rPr>
        <w:t>号钻孔控制，一</w:t>
      </w:r>
      <w:r>
        <w:rPr>
          <w:sz w:val="24"/>
        </w:rPr>
        <w:t>井东部巷道控制，属较可靠。</w:t>
      </w:r>
    </w:p>
    <w:p>
      <w:pPr>
        <w:pStyle w:val="13"/>
        <w:numPr>
          <w:ilvl w:val="0"/>
          <w:numId w:val="23"/>
        </w:numPr>
        <w:tabs>
          <w:tab w:val="left" w:pos="2125"/>
        </w:tabs>
        <w:spacing w:before="0" w:after="0" w:line="364" w:lineRule="auto"/>
        <w:ind w:left="1040" w:right="1077" w:firstLine="480"/>
        <w:jc w:val="left"/>
        <w:rPr>
          <w:sz w:val="24"/>
        </w:rPr>
      </w:pPr>
      <w:r>
        <w:rPr>
          <w:rFonts w:ascii="Times New Roman" w:eastAsia="Times New Roman"/>
          <w:sz w:val="24"/>
        </w:rPr>
        <w:t>F6</w:t>
      </w:r>
      <w:r>
        <w:rPr>
          <w:sz w:val="24"/>
        </w:rPr>
        <w:t>号断层：走向北东，倾向北西、落差</w:t>
      </w:r>
      <w:r>
        <w:rPr>
          <w:rFonts w:ascii="Times New Roman" w:eastAsia="Times New Roman"/>
          <w:sz w:val="24"/>
        </w:rPr>
        <w:t>0-20</w:t>
      </w:r>
      <w:r>
        <w:rPr>
          <w:sz w:val="24"/>
        </w:rPr>
        <w:t>米，由长胜井、二井巷道实见，属可靠。</w:t>
      </w:r>
    </w:p>
    <w:p>
      <w:pPr>
        <w:pStyle w:val="13"/>
        <w:numPr>
          <w:ilvl w:val="0"/>
          <w:numId w:val="23"/>
        </w:numPr>
        <w:tabs>
          <w:tab w:val="left" w:pos="2121"/>
        </w:tabs>
        <w:spacing w:before="0" w:after="0" w:line="362" w:lineRule="auto"/>
        <w:ind w:left="1040" w:right="1077" w:firstLine="480"/>
        <w:jc w:val="left"/>
        <w:rPr>
          <w:sz w:val="24"/>
        </w:rPr>
      </w:pPr>
      <w:r>
        <w:rPr>
          <w:rFonts w:ascii="Times New Roman" w:eastAsia="Times New Roman"/>
          <w:sz w:val="24"/>
        </w:rPr>
        <w:t>F7</w:t>
      </w:r>
      <w:r>
        <w:rPr>
          <w:sz w:val="24"/>
        </w:rPr>
        <w:t>号断层：走向北东东，倾向北西、落差</w:t>
      </w:r>
      <w:r>
        <w:rPr>
          <w:rFonts w:ascii="Times New Roman" w:eastAsia="Times New Roman"/>
          <w:sz w:val="24"/>
        </w:rPr>
        <w:t>20</w:t>
      </w:r>
      <w:r>
        <w:rPr>
          <w:spacing w:val="-2"/>
          <w:sz w:val="24"/>
        </w:rPr>
        <w:t>米，由三井巷道实见，属</w:t>
      </w:r>
      <w:r>
        <w:rPr>
          <w:sz w:val="24"/>
        </w:rPr>
        <w:t>可靠。</w:t>
      </w:r>
    </w:p>
    <w:p>
      <w:pPr>
        <w:pStyle w:val="13"/>
        <w:numPr>
          <w:ilvl w:val="0"/>
          <w:numId w:val="23"/>
        </w:numPr>
        <w:tabs>
          <w:tab w:val="left" w:pos="2121"/>
        </w:tabs>
        <w:spacing w:before="0" w:after="0" w:line="240" w:lineRule="auto"/>
        <w:ind w:left="2121" w:right="0" w:hanging="601"/>
        <w:jc w:val="left"/>
        <w:rPr>
          <w:sz w:val="24"/>
        </w:rPr>
      </w:pPr>
      <w:r>
        <w:rPr>
          <w:rFonts w:ascii="Times New Roman" w:hAnsi="Times New Roman" w:eastAsia="Times New Roman"/>
          <w:sz w:val="24"/>
        </w:rPr>
        <w:t>R5</w:t>
      </w:r>
      <w:r>
        <w:rPr>
          <w:sz w:val="24"/>
        </w:rPr>
        <w:t>号断层：逆断层，倾向</w:t>
      </w:r>
      <w:r>
        <w:rPr>
          <w:rFonts w:ascii="Times New Roman" w:hAnsi="Times New Roman" w:eastAsia="Times New Roman"/>
          <w:sz w:val="24"/>
        </w:rPr>
        <w:t>60°</w:t>
      </w:r>
      <w:r>
        <w:rPr>
          <w:sz w:val="24"/>
        </w:rPr>
        <w:t>南东，落差</w:t>
      </w:r>
      <w:r>
        <w:rPr>
          <w:rFonts w:ascii="Times New Roman" w:hAnsi="Times New Roman" w:eastAsia="Times New Roman"/>
          <w:sz w:val="24"/>
        </w:rPr>
        <w:t>6</w:t>
      </w:r>
      <w:r>
        <w:rPr>
          <w:sz w:val="24"/>
        </w:rPr>
        <w:t>米，九井实见，属于可靠。</w:t>
      </w:r>
    </w:p>
    <w:p>
      <w:pPr>
        <w:pStyle w:val="13"/>
        <w:numPr>
          <w:ilvl w:val="0"/>
          <w:numId w:val="23"/>
        </w:numPr>
        <w:tabs>
          <w:tab w:val="left" w:pos="2243"/>
        </w:tabs>
        <w:spacing w:before="161" w:after="0" w:line="364" w:lineRule="auto"/>
        <w:ind w:left="1040" w:right="1075" w:firstLine="480"/>
        <w:jc w:val="left"/>
        <w:rPr>
          <w:sz w:val="24"/>
        </w:rPr>
      </w:pPr>
      <w:r>
        <w:rPr>
          <w:rFonts w:ascii="Times New Roman" w:hAnsi="Times New Roman" w:eastAsia="Times New Roman"/>
          <w:spacing w:val="-4"/>
          <w:sz w:val="24"/>
        </w:rPr>
        <w:t>R11</w:t>
      </w:r>
      <w:r>
        <w:rPr>
          <w:sz w:val="24"/>
        </w:rPr>
        <w:t>号断层：逆断层，倾向南东，倾角</w:t>
      </w:r>
      <w:r>
        <w:rPr>
          <w:rFonts w:ascii="Times New Roman" w:hAnsi="Times New Roman" w:eastAsia="Times New Roman"/>
          <w:sz w:val="24"/>
        </w:rPr>
        <w:t>60°</w:t>
      </w:r>
      <w:r>
        <w:rPr>
          <w:sz w:val="24"/>
        </w:rPr>
        <w:t>，落差</w:t>
      </w:r>
      <w:r>
        <w:rPr>
          <w:rFonts w:ascii="Times New Roman" w:hAnsi="Times New Roman" w:eastAsia="Times New Roman"/>
          <w:sz w:val="24"/>
        </w:rPr>
        <w:t>100</w:t>
      </w:r>
      <w:r>
        <w:rPr>
          <w:spacing w:val="-2"/>
          <w:sz w:val="24"/>
        </w:rPr>
        <w:t xml:space="preserve">米，钻孔控制， </w:t>
      </w:r>
      <w:r>
        <w:rPr>
          <w:sz w:val="24"/>
        </w:rPr>
        <w:t>较可靠。</w:t>
      </w:r>
    </w:p>
    <w:p>
      <w:pPr>
        <w:pStyle w:val="13"/>
        <w:numPr>
          <w:ilvl w:val="0"/>
          <w:numId w:val="23"/>
        </w:numPr>
        <w:tabs>
          <w:tab w:val="left" w:pos="2232"/>
        </w:tabs>
        <w:spacing w:before="0" w:after="0" w:line="364" w:lineRule="auto"/>
        <w:ind w:left="1040" w:right="955" w:firstLine="480"/>
        <w:jc w:val="left"/>
        <w:rPr>
          <w:sz w:val="24"/>
        </w:rPr>
      </w:pPr>
      <w:r>
        <w:rPr>
          <w:rFonts w:ascii="Times New Roman" w:hAnsi="Times New Roman" w:eastAsia="Times New Roman"/>
          <w:sz w:val="24"/>
        </w:rPr>
        <w:t>F12</w:t>
      </w:r>
      <w:r>
        <w:rPr>
          <w:spacing w:val="-6"/>
          <w:sz w:val="24"/>
        </w:rPr>
        <w:t>号断层：逆断层，倾向南，倾角</w:t>
      </w:r>
      <w:r>
        <w:rPr>
          <w:rFonts w:ascii="Times New Roman" w:hAnsi="Times New Roman" w:eastAsia="Times New Roman"/>
          <w:spacing w:val="-3"/>
          <w:sz w:val="24"/>
        </w:rPr>
        <w:t>60°</w:t>
      </w:r>
      <w:r>
        <w:rPr>
          <w:spacing w:val="-2"/>
          <w:sz w:val="24"/>
        </w:rPr>
        <w:t>，落差大于</w:t>
      </w:r>
      <w:r>
        <w:rPr>
          <w:rFonts w:ascii="Times New Roman" w:hAnsi="Times New Roman" w:eastAsia="Times New Roman"/>
          <w:sz w:val="24"/>
        </w:rPr>
        <w:t>500</w:t>
      </w:r>
      <w:r>
        <w:rPr>
          <w:spacing w:val="-5"/>
          <w:sz w:val="24"/>
        </w:rPr>
        <w:t xml:space="preserve">米，钻孔控制， </w:t>
      </w:r>
      <w:r>
        <w:rPr>
          <w:sz w:val="24"/>
        </w:rPr>
        <w:t>较可靠。</w:t>
      </w:r>
    </w:p>
    <w:p>
      <w:pPr>
        <w:pStyle w:val="6"/>
        <w:spacing w:line="306" w:lineRule="exact"/>
        <w:ind w:left="1520"/>
      </w:pPr>
      <w:r>
        <w:t>大顺煤矿扩储后，整个井田断层特征见表</w:t>
      </w:r>
      <w:r>
        <w:rPr>
          <w:rFonts w:ascii="Times New Roman" w:eastAsia="Times New Roman"/>
        </w:rPr>
        <w:t>3.3-7</w:t>
      </w:r>
      <w:r>
        <w:t>。</w:t>
      </w:r>
    </w:p>
    <w:p>
      <w:pPr>
        <w:pStyle w:val="5"/>
        <w:tabs>
          <w:tab w:val="left" w:pos="1433"/>
        </w:tabs>
        <w:spacing w:before="159"/>
        <w:ind w:left="452"/>
        <w:jc w:val="center"/>
      </w:pPr>
      <w:r>
        <w:t>表</w:t>
      </w:r>
      <w:r>
        <w:rPr>
          <w:rFonts w:ascii="Times New Roman" w:eastAsia="Times New Roman"/>
        </w:rPr>
        <w:t>3.3-7</w:t>
      </w:r>
      <w:r>
        <w:rPr>
          <w:rFonts w:ascii="Times New Roman" w:eastAsia="Times New Roman"/>
        </w:rPr>
        <w:tab/>
      </w:r>
      <w:r>
        <w:t>双鸭山大顺煤矿井区内主要断层表</w:t>
      </w:r>
    </w:p>
    <w:p>
      <w:pPr>
        <w:pStyle w:val="6"/>
        <w:spacing w:before="4"/>
        <w:rPr>
          <w:b/>
          <w:sz w:val="12"/>
        </w:rPr>
      </w:pPr>
    </w:p>
    <w:tbl>
      <w:tblPr>
        <w:tblStyle w:val="10"/>
        <w:tblW w:w="0" w:type="auto"/>
        <w:tblInd w:w="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01"/>
        <w:gridCol w:w="757"/>
        <w:gridCol w:w="989"/>
        <w:gridCol w:w="1556"/>
        <w:gridCol w:w="992"/>
        <w:gridCol w:w="38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01" w:type="dxa"/>
          </w:tcPr>
          <w:p>
            <w:pPr>
              <w:pStyle w:val="14"/>
              <w:spacing w:before="21"/>
              <w:ind w:left="389"/>
              <w:jc w:val="left"/>
              <w:rPr>
                <w:sz w:val="21"/>
              </w:rPr>
            </w:pPr>
            <w:r>
              <w:rPr>
                <w:sz w:val="21"/>
              </w:rPr>
              <w:t>范围</w:t>
            </w:r>
          </w:p>
        </w:tc>
        <w:tc>
          <w:tcPr>
            <w:tcW w:w="757" w:type="dxa"/>
          </w:tcPr>
          <w:p>
            <w:pPr>
              <w:pStyle w:val="14"/>
              <w:spacing w:before="21"/>
              <w:ind w:left="146" w:right="141"/>
              <w:rPr>
                <w:sz w:val="21"/>
              </w:rPr>
            </w:pPr>
            <w:r>
              <w:rPr>
                <w:sz w:val="21"/>
              </w:rPr>
              <w:t>编号</w:t>
            </w:r>
          </w:p>
        </w:tc>
        <w:tc>
          <w:tcPr>
            <w:tcW w:w="989" w:type="dxa"/>
          </w:tcPr>
          <w:p>
            <w:pPr>
              <w:pStyle w:val="14"/>
              <w:spacing w:before="21"/>
              <w:ind w:left="157" w:right="151"/>
              <w:rPr>
                <w:sz w:val="21"/>
              </w:rPr>
            </w:pPr>
            <w:r>
              <w:rPr>
                <w:sz w:val="21"/>
              </w:rPr>
              <w:t>性质</w:t>
            </w:r>
          </w:p>
        </w:tc>
        <w:tc>
          <w:tcPr>
            <w:tcW w:w="1556" w:type="dxa"/>
          </w:tcPr>
          <w:p>
            <w:pPr>
              <w:pStyle w:val="14"/>
              <w:spacing w:before="21"/>
              <w:ind w:left="137" w:right="129"/>
              <w:rPr>
                <w:sz w:val="21"/>
              </w:rPr>
            </w:pPr>
            <w:r>
              <w:rPr>
                <w:sz w:val="21"/>
              </w:rPr>
              <w:t>倾向倾角</w:t>
            </w:r>
          </w:p>
        </w:tc>
        <w:tc>
          <w:tcPr>
            <w:tcW w:w="992" w:type="dxa"/>
          </w:tcPr>
          <w:p>
            <w:pPr>
              <w:pStyle w:val="14"/>
              <w:spacing w:before="21"/>
              <w:ind w:left="54" w:right="46"/>
              <w:rPr>
                <w:rFonts w:ascii="Times New Roman" w:eastAsia="Times New Roman"/>
                <w:sz w:val="21"/>
              </w:rPr>
            </w:pPr>
            <w:r>
              <w:rPr>
                <w:sz w:val="21"/>
              </w:rPr>
              <w:t>落差</w:t>
            </w:r>
            <w:r>
              <w:rPr>
                <w:rFonts w:ascii="Times New Roman" w:eastAsia="Times New Roman"/>
                <w:sz w:val="21"/>
              </w:rPr>
              <w:t>(m)</w:t>
            </w:r>
          </w:p>
        </w:tc>
        <w:tc>
          <w:tcPr>
            <w:tcW w:w="3849" w:type="dxa"/>
          </w:tcPr>
          <w:p>
            <w:pPr>
              <w:pStyle w:val="14"/>
              <w:spacing w:before="21"/>
              <w:ind w:left="115" w:right="109"/>
              <w:rPr>
                <w:sz w:val="21"/>
              </w:rPr>
            </w:pPr>
            <w:r>
              <w:rPr>
                <w:sz w:val="21"/>
              </w:rPr>
              <w:t>控制程度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01" w:type="dxa"/>
            <w:vMerge w:val="restart"/>
          </w:tcPr>
          <w:p>
            <w:pPr>
              <w:pStyle w:val="14"/>
              <w:jc w:val="left"/>
              <w:rPr>
                <w:b/>
                <w:sz w:val="20"/>
              </w:rPr>
            </w:pPr>
          </w:p>
          <w:p>
            <w:pPr>
              <w:pStyle w:val="14"/>
              <w:jc w:val="left"/>
              <w:rPr>
                <w:b/>
                <w:sz w:val="20"/>
              </w:rPr>
            </w:pPr>
          </w:p>
          <w:p>
            <w:pPr>
              <w:pStyle w:val="14"/>
              <w:spacing w:before="4"/>
              <w:jc w:val="left"/>
              <w:rPr>
                <w:b/>
                <w:sz w:val="24"/>
              </w:rPr>
            </w:pPr>
          </w:p>
          <w:p>
            <w:pPr>
              <w:pStyle w:val="14"/>
              <w:spacing w:line="278" w:lineRule="auto"/>
              <w:ind w:left="180" w:right="170"/>
              <w:jc w:val="left"/>
              <w:rPr>
                <w:sz w:val="21"/>
              </w:rPr>
            </w:pPr>
            <w:r>
              <w:rPr>
                <w:sz w:val="21"/>
              </w:rPr>
              <w:t>原大顺煤矿范围内</w:t>
            </w:r>
          </w:p>
        </w:tc>
        <w:tc>
          <w:tcPr>
            <w:tcW w:w="757" w:type="dxa"/>
          </w:tcPr>
          <w:p>
            <w:pPr>
              <w:pStyle w:val="14"/>
              <w:spacing w:before="34"/>
              <w:ind w:left="146" w:right="137"/>
              <w:rPr>
                <w:rFonts w:ascii="Times New Roman"/>
                <w:sz w:val="21"/>
              </w:rPr>
            </w:pPr>
            <w:r>
              <w:rPr>
                <w:rFonts w:ascii="Times New Roman"/>
                <w:sz w:val="21"/>
              </w:rPr>
              <w:t>F4</w:t>
            </w:r>
          </w:p>
        </w:tc>
        <w:tc>
          <w:tcPr>
            <w:tcW w:w="989" w:type="dxa"/>
          </w:tcPr>
          <w:p>
            <w:pPr>
              <w:pStyle w:val="14"/>
              <w:spacing w:before="20"/>
              <w:ind w:left="157" w:right="151"/>
              <w:rPr>
                <w:sz w:val="21"/>
              </w:rPr>
            </w:pPr>
            <w:r>
              <w:rPr>
                <w:sz w:val="21"/>
              </w:rPr>
              <w:t>正断层</w:t>
            </w:r>
          </w:p>
        </w:tc>
        <w:tc>
          <w:tcPr>
            <w:tcW w:w="1556" w:type="dxa"/>
          </w:tcPr>
          <w:p>
            <w:pPr>
              <w:pStyle w:val="14"/>
              <w:spacing w:before="20"/>
              <w:ind w:left="138" w:right="129"/>
              <w:rPr>
                <w:rFonts w:ascii="Times New Roman" w:hAnsi="Times New Roman" w:eastAsia="Times New Roman"/>
                <w:sz w:val="21"/>
              </w:rPr>
            </w:pPr>
            <w:r>
              <w:rPr>
                <w:sz w:val="21"/>
              </w:rPr>
              <w:t xml:space="preserve">倾向北东 </w:t>
            </w:r>
            <w:r>
              <w:rPr>
                <w:rFonts w:ascii="Times New Roman" w:hAnsi="Times New Roman" w:eastAsia="Times New Roman"/>
                <w:sz w:val="21"/>
              </w:rPr>
              <w:t>70°</w:t>
            </w:r>
          </w:p>
        </w:tc>
        <w:tc>
          <w:tcPr>
            <w:tcW w:w="992" w:type="dxa"/>
          </w:tcPr>
          <w:p>
            <w:pPr>
              <w:pStyle w:val="14"/>
              <w:spacing w:before="20"/>
              <w:ind w:left="52" w:right="46"/>
              <w:rPr>
                <w:sz w:val="21"/>
              </w:rPr>
            </w:pPr>
            <w:r>
              <w:rPr>
                <w:sz w:val="21"/>
              </w:rPr>
              <w:t>不详</w:t>
            </w:r>
          </w:p>
        </w:tc>
        <w:tc>
          <w:tcPr>
            <w:tcW w:w="3849" w:type="dxa"/>
          </w:tcPr>
          <w:p>
            <w:pPr>
              <w:pStyle w:val="14"/>
              <w:spacing w:before="20"/>
              <w:ind w:left="117" w:right="106"/>
              <w:rPr>
                <w:sz w:val="21"/>
              </w:rPr>
            </w:pPr>
            <w:r>
              <w:rPr>
                <w:rFonts w:ascii="Times New Roman" w:eastAsia="Times New Roman"/>
                <w:sz w:val="21"/>
              </w:rPr>
              <w:t>90-2</w:t>
            </w:r>
            <w:r>
              <w:rPr>
                <w:sz w:val="21"/>
              </w:rPr>
              <w:t>、</w:t>
            </w:r>
            <w:r>
              <w:rPr>
                <w:rFonts w:ascii="Times New Roman" w:eastAsia="Times New Roman"/>
                <w:sz w:val="21"/>
              </w:rPr>
              <w:t xml:space="preserve">90-1 </w:t>
            </w:r>
            <w:r>
              <w:rPr>
                <w:sz w:val="21"/>
              </w:rPr>
              <w:t>钻孔推定。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01" w:type="dxa"/>
            <w:vMerge w:val="continue"/>
            <w:tcBorders>
              <w:top w:val="nil"/>
            </w:tcBorders>
          </w:tcPr>
          <w:p>
            <w:pPr>
              <w:rPr>
                <w:sz w:val="2"/>
                <w:szCs w:val="2"/>
              </w:rPr>
            </w:pPr>
          </w:p>
        </w:tc>
        <w:tc>
          <w:tcPr>
            <w:tcW w:w="757" w:type="dxa"/>
          </w:tcPr>
          <w:p>
            <w:pPr>
              <w:pStyle w:val="14"/>
              <w:spacing w:before="34"/>
              <w:ind w:left="146" w:right="137"/>
              <w:rPr>
                <w:rFonts w:ascii="Times New Roman"/>
                <w:sz w:val="21"/>
              </w:rPr>
            </w:pPr>
            <w:r>
              <w:rPr>
                <w:rFonts w:ascii="Times New Roman"/>
                <w:sz w:val="21"/>
              </w:rPr>
              <w:t>F5</w:t>
            </w:r>
          </w:p>
        </w:tc>
        <w:tc>
          <w:tcPr>
            <w:tcW w:w="989" w:type="dxa"/>
          </w:tcPr>
          <w:p>
            <w:pPr>
              <w:pStyle w:val="14"/>
              <w:spacing w:before="20"/>
              <w:ind w:left="157" w:right="151"/>
              <w:rPr>
                <w:sz w:val="21"/>
              </w:rPr>
            </w:pPr>
            <w:r>
              <w:rPr>
                <w:sz w:val="21"/>
              </w:rPr>
              <w:t>正断层</w:t>
            </w:r>
          </w:p>
        </w:tc>
        <w:tc>
          <w:tcPr>
            <w:tcW w:w="1556" w:type="dxa"/>
          </w:tcPr>
          <w:p>
            <w:pPr>
              <w:pStyle w:val="14"/>
              <w:spacing w:before="20"/>
              <w:ind w:left="138" w:right="129"/>
              <w:rPr>
                <w:rFonts w:ascii="Times New Roman" w:hAnsi="Times New Roman" w:eastAsia="Times New Roman"/>
                <w:sz w:val="21"/>
              </w:rPr>
            </w:pPr>
            <w:r>
              <w:rPr>
                <w:sz w:val="21"/>
              </w:rPr>
              <w:t xml:space="preserve">倾向南东 </w:t>
            </w:r>
            <w:r>
              <w:rPr>
                <w:rFonts w:ascii="Times New Roman" w:hAnsi="Times New Roman" w:eastAsia="Times New Roman"/>
                <w:sz w:val="21"/>
              </w:rPr>
              <w:t>70°</w:t>
            </w:r>
          </w:p>
        </w:tc>
        <w:tc>
          <w:tcPr>
            <w:tcW w:w="992" w:type="dxa"/>
          </w:tcPr>
          <w:p>
            <w:pPr>
              <w:pStyle w:val="14"/>
              <w:spacing w:before="34"/>
              <w:ind w:left="56" w:right="46"/>
              <w:rPr>
                <w:rFonts w:ascii="Times New Roman"/>
                <w:sz w:val="21"/>
              </w:rPr>
            </w:pPr>
            <w:r>
              <w:rPr>
                <w:rFonts w:ascii="Times New Roman"/>
                <w:sz w:val="21"/>
              </w:rPr>
              <w:t>15-30</w:t>
            </w:r>
          </w:p>
        </w:tc>
        <w:tc>
          <w:tcPr>
            <w:tcW w:w="3849" w:type="dxa"/>
          </w:tcPr>
          <w:p>
            <w:pPr>
              <w:pStyle w:val="14"/>
              <w:spacing w:before="20"/>
              <w:ind w:left="117" w:right="106"/>
              <w:rPr>
                <w:sz w:val="21"/>
              </w:rPr>
            </w:pPr>
            <w:r>
              <w:rPr>
                <w:rFonts w:ascii="Times New Roman" w:eastAsia="Times New Roman"/>
                <w:sz w:val="21"/>
              </w:rPr>
              <w:t>90</w:t>
            </w:r>
            <w:r>
              <w:rPr>
                <w:sz w:val="21"/>
              </w:rPr>
              <w:t>－</w:t>
            </w:r>
            <w:r>
              <w:rPr>
                <w:rFonts w:ascii="Times New Roman" w:eastAsia="Times New Roman"/>
                <w:sz w:val="21"/>
              </w:rPr>
              <w:t xml:space="preserve">1 </w:t>
            </w:r>
            <w:r>
              <w:rPr>
                <w:sz w:val="21"/>
              </w:rPr>
              <w:t>钻孔及一井片盘之间实见</w:t>
            </w:r>
            <w:r>
              <w:rPr>
                <w:rFonts w:ascii="Times New Roman" w:eastAsia="Times New Roman"/>
                <w:sz w:val="21"/>
              </w:rPr>
              <w:t>,</w:t>
            </w:r>
            <w:r>
              <w:rPr>
                <w:sz w:val="21"/>
              </w:rPr>
              <w:t>较可靠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01" w:type="dxa"/>
            <w:vMerge w:val="continue"/>
            <w:tcBorders>
              <w:top w:val="nil"/>
            </w:tcBorders>
          </w:tcPr>
          <w:p>
            <w:pPr>
              <w:rPr>
                <w:sz w:val="2"/>
                <w:szCs w:val="2"/>
              </w:rPr>
            </w:pPr>
          </w:p>
        </w:tc>
        <w:tc>
          <w:tcPr>
            <w:tcW w:w="757" w:type="dxa"/>
          </w:tcPr>
          <w:p>
            <w:pPr>
              <w:pStyle w:val="14"/>
              <w:spacing w:before="33"/>
              <w:ind w:left="146" w:right="137"/>
              <w:rPr>
                <w:rFonts w:ascii="Times New Roman"/>
                <w:sz w:val="21"/>
              </w:rPr>
            </w:pPr>
            <w:r>
              <w:rPr>
                <w:rFonts w:ascii="Times New Roman"/>
                <w:sz w:val="21"/>
              </w:rPr>
              <w:t>F6</w:t>
            </w:r>
          </w:p>
        </w:tc>
        <w:tc>
          <w:tcPr>
            <w:tcW w:w="989" w:type="dxa"/>
          </w:tcPr>
          <w:p>
            <w:pPr>
              <w:pStyle w:val="14"/>
              <w:spacing w:before="20"/>
              <w:ind w:left="157" w:right="151"/>
              <w:rPr>
                <w:sz w:val="21"/>
              </w:rPr>
            </w:pPr>
            <w:r>
              <w:rPr>
                <w:sz w:val="21"/>
              </w:rPr>
              <w:t>正断层</w:t>
            </w:r>
          </w:p>
        </w:tc>
        <w:tc>
          <w:tcPr>
            <w:tcW w:w="1556" w:type="dxa"/>
          </w:tcPr>
          <w:p>
            <w:pPr>
              <w:pStyle w:val="14"/>
              <w:spacing w:before="20"/>
              <w:ind w:left="138" w:right="129"/>
              <w:rPr>
                <w:rFonts w:ascii="Times New Roman" w:hAnsi="Times New Roman" w:eastAsia="Times New Roman"/>
                <w:sz w:val="21"/>
              </w:rPr>
            </w:pPr>
            <w:r>
              <w:rPr>
                <w:sz w:val="21"/>
              </w:rPr>
              <w:t xml:space="preserve">倾向北西 </w:t>
            </w:r>
            <w:r>
              <w:rPr>
                <w:rFonts w:ascii="Times New Roman" w:hAnsi="Times New Roman" w:eastAsia="Times New Roman"/>
                <w:sz w:val="21"/>
              </w:rPr>
              <w:t>70°</w:t>
            </w:r>
          </w:p>
        </w:tc>
        <w:tc>
          <w:tcPr>
            <w:tcW w:w="992" w:type="dxa"/>
          </w:tcPr>
          <w:p>
            <w:pPr>
              <w:pStyle w:val="14"/>
              <w:spacing w:before="33"/>
              <w:ind w:left="56" w:right="46"/>
              <w:rPr>
                <w:rFonts w:ascii="Times New Roman"/>
                <w:sz w:val="21"/>
              </w:rPr>
            </w:pPr>
            <w:r>
              <w:rPr>
                <w:rFonts w:ascii="Times New Roman"/>
                <w:sz w:val="21"/>
              </w:rPr>
              <w:t>0-20</w:t>
            </w:r>
          </w:p>
        </w:tc>
        <w:tc>
          <w:tcPr>
            <w:tcW w:w="3849" w:type="dxa"/>
          </w:tcPr>
          <w:p>
            <w:pPr>
              <w:pStyle w:val="14"/>
              <w:spacing w:before="20"/>
              <w:ind w:left="117" w:right="109"/>
              <w:rPr>
                <w:sz w:val="21"/>
              </w:rPr>
            </w:pPr>
            <w:r>
              <w:rPr>
                <w:sz w:val="21"/>
              </w:rPr>
              <w:t>由长胜井、二井巷道实见</w:t>
            </w:r>
            <w:r>
              <w:rPr>
                <w:rFonts w:ascii="Times New Roman" w:eastAsia="Times New Roman"/>
                <w:sz w:val="21"/>
              </w:rPr>
              <w:t>,</w:t>
            </w:r>
            <w:r>
              <w:rPr>
                <w:sz w:val="21"/>
              </w:rPr>
              <w:t>可靠。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01" w:type="dxa"/>
            <w:vMerge w:val="continue"/>
            <w:tcBorders>
              <w:top w:val="nil"/>
            </w:tcBorders>
          </w:tcPr>
          <w:p>
            <w:pPr>
              <w:rPr>
                <w:sz w:val="2"/>
                <w:szCs w:val="2"/>
              </w:rPr>
            </w:pPr>
          </w:p>
        </w:tc>
        <w:tc>
          <w:tcPr>
            <w:tcW w:w="757" w:type="dxa"/>
          </w:tcPr>
          <w:p>
            <w:pPr>
              <w:pStyle w:val="14"/>
              <w:spacing w:before="33"/>
              <w:ind w:left="146" w:right="137"/>
              <w:rPr>
                <w:rFonts w:ascii="Times New Roman"/>
                <w:sz w:val="21"/>
              </w:rPr>
            </w:pPr>
            <w:r>
              <w:rPr>
                <w:rFonts w:ascii="Times New Roman"/>
                <w:sz w:val="21"/>
              </w:rPr>
              <w:t>F7</w:t>
            </w:r>
          </w:p>
        </w:tc>
        <w:tc>
          <w:tcPr>
            <w:tcW w:w="989" w:type="dxa"/>
          </w:tcPr>
          <w:p>
            <w:pPr>
              <w:pStyle w:val="14"/>
              <w:spacing w:before="19"/>
              <w:ind w:left="157" w:right="151"/>
              <w:rPr>
                <w:sz w:val="21"/>
              </w:rPr>
            </w:pPr>
            <w:r>
              <w:rPr>
                <w:sz w:val="21"/>
              </w:rPr>
              <w:t>正断层</w:t>
            </w:r>
          </w:p>
        </w:tc>
        <w:tc>
          <w:tcPr>
            <w:tcW w:w="1556" w:type="dxa"/>
          </w:tcPr>
          <w:p>
            <w:pPr>
              <w:pStyle w:val="14"/>
              <w:spacing w:before="19"/>
              <w:ind w:left="138" w:right="129"/>
              <w:rPr>
                <w:rFonts w:ascii="Times New Roman" w:hAnsi="Times New Roman" w:eastAsia="Times New Roman"/>
                <w:sz w:val="21"/>
              </w:rPr>
            </w:pPr>
            <w:r>
              <w:rPr>
                <w:sz w:val="21"/>
              </w:rPr>
              <w:t xml:space="preserve">倾向北西 </w:t>
            </w:r>
            <w:r>
              <w:rPr>
                <w:rFonts w:ascii="Times New Roman" w:hAnsi="Times New Roman" w:eastAsia="Times New Roman"/>
                <w:sz w:val="21"/>
              </w:rPr>
              <w:t>70°</w:t>
            </w:r>
          </w:p>
        </w:tc>
        <w:tc>
          <w:tcPr>
            <w:tcW w:w="992" w:type="dxa"/>
          </w:tcPr>
          <w:p>
            <w:pPr>
              <w:pStyle w:val="14"/>
              <w:spacing w:before="33"/>
              <w:ind w:left="56" w:right="46"/>
              <w:rPr>
                <w:rFonts w:ascii="Times New Roman"/>
                <w:sz w:val="21"/>
              </w:rPr>
            </w:pPr>
            <w:r>
              <w:rPr>
                <w:rFonts w:ascii="Times New Roman"/>
                <w:sz w:val="21"/>
              </w:rPr>
              <w:t>20</w:t>
            </w:r>
          </w:p>
        </w:tc>
        <w:tc>
          <w:tcPr>
            <w:tcW w:w="3849" w:type="dxa"/>
          </w:tcPr>
          <w:p>
            <w:pPr>
              <w:pStyle w:val="14"/>
              <w:spacing w:before="19"/>
              <w:ind w:left="117" w:right="109"/>
              <w:rPr>
                <w:sz w:val="21"/>
              </w:rPr>
            </w:pPr>
            <w:r>
              <w:rPr>
                <w:sz w:val="21"/>
              </w:rPr>
              <w:t>三井实见</w:t>
            </w:r>
            <w:r>
              <w:rPr>
                <w:rFonts w:ascii="Times New Roman" w:eastAsia="Times New Roman"/>
                <w:sz w:val="21"/>
              </w:rPr>
              <w:t>,</w:t>
            </w:r>
            <w:r>
              <w:rPr>
                <w:sz w:val="21"/>
              </w:rPr>
              <w:t>可靠。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01" w:type="dxa"/>
            <w:vMerge w:val="continue"/>
            <w:tcBorders>
              <w:top w:val="nil"/>
            </w:tcBorders>
          </w:tcPr>
          <w:p>
            <w:pPr>
              <w:rPr>
                <w:sz w:val="2"/>
                <w:szCs w:val="2"/>
              </w:rPr>
            </w:pPr>
          </w:p>
        </w:tc>
        <w:tc>
          <w:tcPr>
            <w:tcW w:w="757" w:type="dxa"/>
          </w:tcPr>
          <w:p>
            <w:pPr>
              <w:pStyle w:val="14"/>
              <w:spacing w:before="33"/>
              <w:ind w:left="146" w:right="137"/>
              <w:rPr>
                <w:rFonts w:ascii="Times New Roman"/>
                <w:sz w:val="21"/>
              </w:rPr>
            </w:pPr>
            <w:r>
              <w:rPr>
                <w:rFonts w:ascii="Times New Roman"/>
                <w:sz w:val="21"/>
              </w:rPr>
              <w:t>F1</w:t>
            </w:r>
          </w:p>
        </w:tc>
        <w:tc>
          <w:tcPr>
            <w:tcW w:w="989" w:type="dxa"/>
          </w:tcPr>
          <w:p>
            <w:pPr>
              <w:pStyle w:val="14"/>
              <w:spacing w:before="19"/>
              <w:ind w:left="157" w:right="151"/>
              <w:rPr>
                <w:sz w:val="21"/>
              </w:rPr>
            </w:pPr>
            <w:r>
              <w:rPr>
                <w:sz w:val="21"/>
              </w:rPr>
              <w:t>正断层</w:t>
            </w:r>
          </w:p>
        </w:tc>
        <w:tc>
          <w:tcPr>
            <w:tcW w:w="1556" w:type="dxa"/>
          </w:tcPr>
          <w:p>
            <w:pPr>
              <w:pStyle w:val="14"/>
              <w:spacing w:before="19"/>
              <w:ind w:left="136" w:right="129"/>
              <w:rPr>
                <w:rFonts w:ascii="Times New Roman" w:hAnsi="Times New Roman" w:eastAsia="Times New Roman"/>
                <w:sz w:val="21"/>
              </w:rPr>
            </w:pPr>
            <w:r>
              <w:rPr>
                <w:sz w:val="21"/>
              </w:rPr>
              <w:t xml:space="preserve">倾向北 </w:t>
            </w:r>
            <w:r>
              <w:rPr>
                <w:rFonts w:ascii="Times New Roman" w:hAnsi="Times New Roman" w:eastAsia="Times New Roman"/>
                <w:sz w:val="21"/>
              </w:rPr>
              <w:t>70°</w:t>
            </w:r>
          </w:p>
        </w:tc>
        <w:tc>
          <w:tcPr>
            <w:tcW w:w="992" w:type="dxa"/>
          </w:tcPr>
          <w:p>
            <w:pPr>
              <w:pStyle w:val="14"/>
              <w:spacing w:before="33"/>
              <w:ind w:left="56" w:right="46"/>
              <w:rPr>
                <w:rFonts w:ascii="Times New Roman"/>
                <w:sz w:val="21"/>
              </w:rPr>
            </w:pPr>
            <w:r>
              <w:rPr>
                <w:rFonts w:ascii="Times New Roman"/>
                <w:sz w:val="21"/>
              </w:rPr>
              <w:t>200-250</w:t>
            </w:r>
          </w:p>
        </w:tc>
        <w:tc>
          <w:tcPr>
            <w:tcW w:w="3849" w:type="dxa"/>
          </w:tcPr>
          <w:p>
            <w:pPr>
              <w:pStyle w:val="14"/>
              <w:spacing w:before="19"/>
              <w:ind w:left="117" w:right="109"/>
              <w:rPr>
                <w:sz w:val="21"/>
              </w:rPr>
            </w:pPr>
            <w:r>
              <w:rPr>
                <w:rFonts w:ascii="Times New Roman" w:eastAsia="Times New Roman"/>
                <w:sz w:val="21"/>
              </w:rPr>
              <w:t>90-4</w:t>
            </w:r>
            <w:r>
              <w:rPr>
                <w:sz w:val="21"/>
              </w:rPr>
              <w:t>、</w:t>
            </w:r>
            <w:r>
              <w:rPr>
                <w:rFonts w:ascii="Times New Roman" w:eastAsia="Times New Roman"/>
                <w:sz w:val="21"/>
              </w:rPr>
              <w:t xml:space="preserve">90-7 </w:t>
            </w:r>
            <w:r>
              <w:rPr>
                <w:sz w:val="21"/>
              </w:rPr>
              <w:t>号钻孔控制，较可靠。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01" w:type="dxa"/>
            <w:vMerge w:val="continue"/>
            <w:tcBorders>
              <w:top w:val="nil"/>
            </w:tcBorders>
          </w:tcPr>
          <w:p>
            <w:pPr>
              <w:rPr>
                <w:sz w:val="2"/>
                <w:szCs w:val="2"/>
              </w:rPr>
            </w:pPr>
          </w:p>
        </w:tc>
        <w:tc>
          <w:tcPr>
            <w:tcW w:w="757" w:type="dxa"/>
          </w:tcPr>
          <w:p>
            <w:pPr>
              <w:pStyle w:val="14"/>
              <w:spacing w:before="191"/>
              <w:ind w:left="146" w:right="137"/>
              <w:rPr>
                <w:rFonts w:ascii="Times New Roman"/>
                <w:sz w:val="21"/>
              </w:rPr>
            </w:pPr>
            <w:r>
              <w:rPr>
                <w:rFonts w:ascii="Times New Roman"/>
                <w:sz w:val="21"/>
              </w:rPr>
              <w:t>F2</w:t>
            </w:r>
          </w:p>
        </w:tc>
        <w:tc>
          <w:tcPr>
            <w:tcW w:w="989" w:type="dxa"/>
          </w:tcPr>
          <w:p>
            <w:pPr>
              <w:pStyle w:val="14"/>
              <w:spacing w:before="177"/>
              <w:ind w:left="157" w:right="151"/>
              <w:rPr>
                <w:sz w:val="21"/>
              </w:rPr>
            </w:pPr>
            <w:r>
              <w:rPr>
                <w:sz w:val="21"/>
              </w:rPr>
              <w:t>逆断层</w:t>
            </w:r>
          </w:p>
        </w:tc>
        <w:tc>
          <w:tcPr>
            <w:tcW w:w="1556" w:type="dxa"/>
          </w:tcPr>
          <w:p>
            <w:pPr>
              <w:pStyle w:val="14"/>
              <w:spacing w:before="177"/>
              <w:ind w:left="136" w:right="129"/>
              <w:rPr>
                <w:rFonts w:ascii="Times New Roman" w:hAnsi="Times New Roman" w:eastAsia="Times New Roman"/>
                <w:sz w:val="21"/>
              </w:rPr>
            </w:pPr>
            <w:r>
              <w:rPr>
                <w:sz w:val="21"/>
              </w:rPr>
              <w:t xml:space="preserve">倾向南 </w:t>
            </w:r>
            <w:r>
              <w:rPr>
                <w:rFonts w:ascii="Times New Roman" w:hAnsi="Times New Roman" w:eastAsia="Times New Roman"/>
                <w:sz w:val="21"/>
              </w:rPr>
              <w:t>70°</w:t>
            </w:r>
          </w:p>
        </w:tc>
        <w:tc>
          <w:tcPr>
            <w:tcW w:w="992" w:type="dxa"/>
          </w:tcPr>
          <w:p>
            <w:pPr>
              <w:pStyle w:val="14"/>
              <w:spacing w:before="191"/>
              <w:ind w:left="56" w:right="46"/>
              <w:rPr>
                <w:rFonts w:ascii="Times New Roman"/>
                <w:sz w:val="21"/>
              </w:rPr>
            </w:pPr>
            <w:r>
              <w:rPr>
                <w:rFonts w:ascii="Times New Roman"/>
                <w:sz w:val="21"/>
              </w:rPr>
              <w:t>500</w:t>
            </w:r>
          </w:p>
        </w:tc>
        <w:tc>
          <w:tcPr>
            <w:tcW w:w="3849" w:type="dxa"/>
          </w:tcPr>
          <w:p>
            <w:pPr>
              <w:pStyle w:val="14"/>
              <w:spacing w:before="21"/>
              <w:ind w:left="115" w:right="109"/>
              <w:rPr>
                <w:sz w:val="21"/>
              </w:rPr>
            </w:pPr>
            <w:r>
              <w:rPr>
                <w:sz w:val="21"/>
              </w:rPr>
              <w:t>北盘为城子河组，南盘为基底花岗岩，</w:t>
            </w:r>
          </w:p>
          <w:p>
            <w:pPr>
              <w:pStyle w:val="14"/>
              <w:spacing w:before="43"/>
              <w:ind w:left="117" w:right="109"/>
              <w:rPr>
                <w:sz w:val="21"/>
              </w:rPr>
            </w:pPr>
            <w:r>
              <w:rPr>
                <w:sz w:val="21"/>
              </w:rPr>
              <w:t>属于推断断层。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01" w:type="dxa"/>
            <w:vMerge w:val="restart"/>
          </w:tcPr>
          <w:p>
            <w:pPr>
              <w:pStyle w:val="14"/>
              <w:spacing w:before="25"/>
              <w:ind w:left="180"/>
              <w:jc w:val="left"/>
              <w:rPr>
                <w:sz w:val="21"/>
              </w:rPr>
            </w:pPr>
            <w:r>
              <w:rPr>
                <w:sz w:val="21"/>
              </w:rPr>
              <w:t>顺达煤矿</w:t>
            </w:r>
          </w:p>
          <w:p>
            <w:pPr>
              <w:pStyle w:val="14"/>
              <w:spacing w:before="43"/>
              <w:ind w:left="283"/>
              <w:jc w:val="left"/>
              <w:rPr>
                <w:sz w:val="21"/>
              </w:rPr>
            </w:pPr>
            <w:r>
              <w:rPr>
                <w:sz w:val="21"/>
              </w:rPr>
              <w:t>范围内</w:t>
            </w:r>
          </w:p>
        </w:tc>
        <w:tc>
          <w:tcPr>
            <w:tcW w:w="757" w:type="dxa"/>
          </w:tcPr>
          <w:p>
            <w:pPr>
              <w:pStyle w:val="14"/>
              <w:spacing w:before="34"/>
              <w:ind w:left="146" w:right="137"/>
              <w:rPr>
                <w:rFonts w:ascii="Times New Roman"/>
                <w:sz w:val="21"/>
              </w:rPr>
            </w:pPr>
            <w:r>
              <w:rPr>
                <w:rFonts w:ascii="Times New Roman"/>
                <w:sz w:val="21"/>
              </w:rPr>
              <w:t>R5</w:t>
            </w:r>
          </w:p>
        </w:tc>
        <w:tc>
          <w:tcPr>
            <w:tcW w:w="989" w:type="dxa"/>
          </w:tcPr>
          <w:p>
            <w:pPr>
              <w:pStyle w:val="14"/>
              <w:spacing w:before="20"/>
              <w:ind w:left="157" w:right="151"/>
              <w:rPr>
                <w:sz w:val="21"/>
              </w:rPr>
            </w:pPr>
            <w:r>
              <w:rPr>
                <w:sz w:val="21"/>
              </w:rPr>
              <w:t>逆断层</w:t>
            </w:r>
          </w:p>
        </w:tc>
        <w:tc>
          <w:tcPr>
            <w:tcW w:w="1556" w:type="dxa"/>
          </w:tcPr>
          <w:p>
            <w:pPr>
              <w:pStyle w:val="14"/>
              <w:spacing w:before="20"/>
              <w:ind w:left="138" w:right="129"/>
              <w:rPr>
                <w:rFonts w:ascii="Times New Roman" w:hAnsi="Times New Roman" w:eastAsia="Times New Roman"/>
                <w:sz w:val="21"/>
              </w:rPr>
            </w:pPr>
            <w:r>
              <w:rPr>
                <w:sz w:val="21"/>
              </w:rPr>
              <w:t xml:space="preserve">倾向南东 </w:t>
            </w:r>
            <w:r>
              <w:rPr>
                <w:rFonts w:ascii="Times New Roman" w:hAnsi="Times New Roman" w:eastAsia="Times New Roman"/>
                <w:sz w:val="21"/>
              </w:rPr>
              <w:t>60°</w:t>
            </w:r>
          </w:p>
        </w:tc>
        <w:tc>
          <w:tcPr>
            <w:tcW w:w="992" w:type="dxa"/>
          </w:tcPr>
          <w:p>
            <w:pPr>
              <w:pStyle w:val="14"/>
              <w:spacing w:before="34"/>
              <w:ind w:left="10"/>
              <w:rPr>
                <w:rFonts w:ascii="Times New Roman"/>
                <w:sz w:val="21"/>
              </w:rPr>
            </w:pPr>
            <w:r>
              <w:rPr>
                <w:rFonts w:ascii="Times New Roman"/>
                <w:w w:val="99"/>
                <w:sz w:val="21"/>
              </w:rPr>
              <w:t>6</w:t>
            </w:r>
          </w:p>
        </w:tc>
        <w:tc>
          <w:tcPr>
            <w:tcW w:w="3849" w:type="dxa"/>
          </w:tcPr>
          <w:p>
            <w:pPr>
              <w:pStyle w:val="14"/>
              <w:spacing w:before="20"/>
              <w:ind w:left="115" w:right="109"/>
              <w:rPr>
                <w:sz w:val="21"/>
              </w:rPr>
            </w:pPr>
            <w:r>
              <w:rPr>
                <w:sz w:val="21"/>
              </w:rPr>
              <w:t>九井实见，可靠。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01" w:type="dxa"/>
            <w:vMerge w:val="continue"/>
            <w:tcBorders>
              <w:top w:val="nil"/>
            </w:tcBorders>
          </w:tcPr>
          <w:p>
            <w:pPr>
              <w:rPr>
                <w:sz w:val="2"/>
                <w:szCs w:val="2"/>
              </w:rPr>
            </w:pPr>
          </w:p>
        </w:tc>
        <w:tc>
          <w:tcPr>
            <w:tcW w:w="757" w:type="dxa"/>
          </w:tcPr>
          <w:p>
            <w:pPr>
              <w:pStyle w:val="14"/>
              <w:spacing w:before="34"/>
              <w:ind w:left="146" w:right="137"/>
              <w:rPr>
                <w:rFonts w:ascii="Times New Roman"/>
                <w:sz w:val="21"/>
              </w:rPr>
            </w:pPr>
            <w:r>
              <w:rPr>
                <w:rFonts w:ascii="Times New Roman"/>
                <w:sz w:val="21"/>
              </w:rPr>
              <w:t>R11</w:t>
            </w:r>
          </w:p>
        </w:tc>
        <w:tc>
          <w:tcPr>
            <w:tcW w:w="989" w:type="dxa"/>
          </w:tcPr>
          <w:p>
            <w:pPr>
              <w:pStyle w:val="14"/>
              <w:spacing w:before="20"/>
              <w:ind w:left="157" w:right="151"/>
              <w:rPr>
                <w:sz w:val="21"/>
              </w:rPr>
            </w:pPr>
            <w:r>
              <w:rPr>
                <w:sz w:val="21"/>
              </w:rPr>
              <w:t>逆断层</w:t>
            </w:r>
          </w:p>
        </w:tc>
        <w:tc>
          <w:tcPr>
            <w:tcW w:w="1556" w:type="dxa"/>
          </w:tcPr>
          <w:p>
            <w:pPr>
              <w:pStyle w:val="14"/>
              <w:spacing w:before="20"/>
              <w:ind w:left="138" w:right="129"/>
              <w:rPr>
                <w:rFonts w:ascii="Times New Roman" w:hAnsi="Times New Roman" w:eastAsia="Times New Roman"/>
                <w:sz w:val="21"/>
              </w:rPr>
            </w:pPr>
            <w:r>
              <w:rPr>
                <w:sz w:val="21"/>
              </w:rPr>
              <w:t xml:space="preserve">倾向南东 </w:t>
            </w:r>
            <w:r>
              <w:rPr>
                <w:rFonts w:ascii="Times New Roman" w:hAnsi="Times New Roman" w:eastAsia="Times New Roman"/>
                <w:sz w:val="21"/>
              </w:rPr>
              <w:t>60°</w:t>
            </w:r>
          </w:p>
        </w:tc>
        <w:tc>
          <w:tcPr>
            <w:tcW w:w="992" w:type="dxa"/>
          </w:tcPr>
          <w:p>
            <w:pPr>
              <w:pStyle w:val="14"/>
              <w:spacing w:before="34"/>
              <w:ind w:left="56" w:right="46"/>
              <w:rPr>
                <w:rFonts w:ascii="Times New Roman"/>
                <w:sz w:val="21"/>
              </w:rPr>
            </w:pPr>
            <w:r>
              <w:rPr>
                <w:rFonts w:ascii="Times New Roman"/>
                <w:sz w:val="21"/>
              </w:rPr>
              <w:t>100</w:t>
            </w:r>
          </w:p>
        </w:tc>
        <w:tc>
          <w:tcPr>
            <w:tcW w:w="3849" w:type="dxa"/>
          </w:tcPr>
          <w:p>
            <w:pPr>
              <w:pStyle w:val="14"/>
              <w:spacing w:before="20"/>
              <w:ind w:left="115" w:right="109"/>
              <w:rPr>
                <w:sz w:val="21"/>
              </w:rPr>
            </w:pPr>
            <w:r>
              <w:rPr>
                <w:sz w:val="21"/>
              </w:rPr>
              <w:t>钻孔控制，较可靠。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01" w:type="dxa"/>
          </w:tcPr>
          <w:p>
            <w:pPr>
              <w:pStyle w:val="14"/>
              <w:spacing w:before="19"/>
              <w:ind w:left="159" w:right="152"/>
              <w:rPr>
                <w:sz w:val="21"/>
              </w:rPr>
            </w:pPr>
            <w:r>
              <w:rPr>
                <w:sz w:val="21"/>
              </w:rPr>
              <w:t>两矿井之</w:t>
            </w:r>
          </w:p>
          <w:p>
            <w:pPr>
              <w:pStyle w:val="14"/>
              <w:spacing w:before="43"/>
              <w:ind w:left="7"/>
              <w:rPr>
                <w:sz w:val="21"/>
              </w:rPr>
            </w:pPr>
            <w:r>
              <w:rPr>
                <w:w w:val="99"/>
                <w:sz w:val="21"/>
              </w:rPr>
              <w:t>间</w:t>
            </w:r>
          </w:p>
        </w:tc>
        <w:tc>
          <w:tcPr>
            <w:tcW w:w="757" w:type="dxa"/>
          </w:tcPr>
          <w:p>
            <w:pPr>
              <w:pStyle w:val="14"/>
              <w:spacing w:before="189"/>
              <w:ind w:left="146" w:right="137"/>
              <w:rPr>
                <w:rFonts w:ascii="Times New Roman"/>
                <w:sz w:val="21"/>
              </w:rPr>
            </w:pPr>
            <w:r>
              <w:rPr>
                <w:rFonts w:ascii="Times New Roman"/>
                <w:sz w:val="21"/>
              </w:rPr>
              <w:t>F12</w:t>
            </w:r>
          </w:p>
        </w:tc>
        <w:tc>
          <w:tcPr>
            <w:tcW w:w="989" w:type="dxa"/>
          </w:tcPr>
          <w:p>
            <w:pPr>
              <w:pStyle w:val="14"/>
              <w:spacing w:before="175"/>
              <w:ind w:left="157" w:right="151"/>
              <w:rPr>
                <w:sz w:val="21"/>
              </w:rPr>
            </w:pPr>
            <w:r>
              <w:rPr>
                <w:sz w:val="21"/>
              </w:rPr>
              <w:t>逆断层</w:t>
            </w:r>
          </w:p>
        </w:tc>
        <w:tc>
          <w:tcPr>
            <w:tcW w:w="1556" w:type="dxa"/>
          </w:tcPr>
          <w:p>
            <w:pPr>
              <w:pStyle w:val="14"/>
              <w:spacing w:before="175"/>
              <w:ind w:left="136" w:right="129"/>
              <w:rPr>
                <w:rFonts w:ascii="Times New Roman" w:hAnsi="Times New Roman" w:eastAsia="Times New Roman"/>
                <w:sz w:val="21"/>
              </w:rPr>
            </w:pPr>
            <w:r>
              <w:rPr>
                <w:sz w:val="21"/>
              </w:rPr>
              <w:t xml:space="preserve">倾向南 </w:t>
            </w:r>
            <w:r>
              <w:rPr>
                <w:rFonts w:ascii="Times New Roman" w:hAnsi="Times New Roman" w:eastAsia="Times New Roman"/>
                <w:sz w:val="21"/>
              </w:rPr>
              <w:t>60°</w:t>
            </w:r>
          </w:p>
        </w:tc>
        <w:tc>
          <w:tcPr>
            <w:tcW w:w="992" w:type="dxa"/>
          </w:tcPr>
          <w:p>
            <w:pPr>
              <w:pStyle w:val="14"/>
              <w:spacing w:before="175"/>
              <w:ind w:left="56" w:right="46"/>
              <w:rPr>
                <w:rFonts w:ascii="Times New Roman" w:eastAsia="Times New Roman"/>
                <w:sz w:val="21"/>
              </w:rPr>
            </w:pPr>
            <w:r>
              <w:rPr>
                <w:sz w:val="21"/>
              </w:rPr>
              <w:t xml:space="preserve">大于 </w:t>
            </w:r>
            <w:r>
              <w:rPr>
                <w:rFonts w:ascii="Times New Roman" w:eastAsia="Times New Roman"/>
                <w:sz w:val="21"/>
              </w:rPr>
              <w:t>500</w:t>
            </w:r>
          </w:p>
        </w:tc>
        <w:tc>
          <w:tcPr>
            <w:tcW w:w="3849" w:type="dxa"/>
          </w:tcPr>
          <w:p>
            <w:pPr>
              <w:pStyle w:val="14"/>
              <w:spacing w:before="19"/>
              <w:ind w:left="115" w:right="109"/>
              <w:rPr>
                <w:sz w:val="21"/>
              </w:rPr>
            </w:pPr>
            <w:r>
              <w:rPr>
                <w:sz w:val="21"/>
              </w:rPr>
              <w:t>由岭东区顺达煤井与原大顺煤矿之间煤</w:t>
            </w:r>
          </w:p>
          <w:p>
            <w:pPr>
              <w:pStyle w:val="14"/>
              <w:spacing w:before="43"/>
              <w:ind w:left="117" w:right="109"/>
              <w:rPr>
                <w:sz w:val="21"/>
              </w:rPr>
            </w:pPr>
            <w:r>
              <w:rPr>
                <w:sz w:val="21"/>
              </w:rPr>
              <w:t>层不连续推断。较可靠。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01" w:type="dxa"/>
          </w:tcPr>
          <w:p>
            <w:pPr>
              <w:pStyle w:val="14"/>
              <w:spacing w:before="19"/>
              <w:ind w:left="180"/>
              <w:jc w:val="left"/>
              <w:rPr>
                <w:sz w:val="21"/>
              </w:rPr>
            </w:pPr>
            <w:r>
              <w:rPr>
                <w:sz w:val="21"/>
              </w:rPr>
              <w:t>本次新推</w:t>
            </w:r>
          </w:p>
          <w:p>
            <w:pPr>
              <w:pStyle w:val="14"/>
              <w:spacing w:before="43"/>
              <w:ind w:left="283"/>
              <w:jc w:val="left"/>
              <w:rPr>
                <w:sz w:val="21"/>
              </w:rPr>
            </w:pPr>
            <w:r>
              <w:rPr>
                <w:sz w:val="21"/>
              </w:rPr>
              <w:t>断断层</w:t>
            </w:r>
          </w:p>
        </w:tc>
        <w:tc>
          <w:tcPr>
            <w:tcW w:w="757" w:type="dxa"/>
          </w:tcPr>
          <w:p>
            <w:pPr>
              <w:pStyle w:val="14"/>
              <w:spacing w:before="189"/>
              <w:ind w:left="146" w:right="137"/>
              <w:rPr>
                <w:rFonts w:ascii="Times New Roman"/>
                <w:sz w:val="21"/>
              </w:rPr>
            </w:pPr>
            <w:r>
              <w:rPr>
                <w:rFonts w:ascii="Times New Roman"/>
                <w:sz w:val="21"/>
              </w:rPr>
              <w:t>F3</w:t>
            </w:r>
          </w:p>
        </w:tc>
        <w:tc>
          <w:tcPr>
            <w:tcW w:w="989" w:type="dxa"/>
          </w:tcPr>
          <w:p>
            <w:pPr>
              <w:pStyle w:val="14"/>
              <w:spacing w:before="175"/>
              <w:ind w:left="157" w:right="151"/>
              <w:rPr>
                <w:sz w:val="21"/>
              </w:rPr>
            </w:pPr>
            <w:r>
              <w:rPr>
                <w:sz w:val="21"/>
              </w:rPr>
              <w:t>正断层</w:t>
            </w:r>
          </w:p>
        </w:tc>
        <w:tc>
          <w:tcPr>
            <w:tcW w:w="1556" w:type="dxa"/>
          </w:tcPr>
          <w:p>
            <w:pPr>
              <w:pStyle w:val="14"/>
              <w:spacing w:before="175"/>
              <w:ind w:left="138" w:right="129"/>
              <w:rPr>
                <w:rFonts w:ascii="Times New Roman" w:hAnsi="Times New Roman" w:eastAsia="Times New Roman"/>
                <w:sz w:val="21"/>
              </w:rPr>
            </w:pPr>
            <w:r>
              <w:rPr>
                <w:sz w:val="21"/>
              </w:rPr>
              <w:t xml:space="preserve">倾向北东 </w:t>
            </w:r>
            <w:r>
              <w:rPr>
                <w:rFonts w:ascii="Times New Roman" w:hAnsi="Times New Roman" w:eastAsia="Times New Roman"/>
                <w:sz w:val="21"/>
              </w:rPr>
              <w:t>70°</w:t>
            </w:r>
          </w:p>
        </w:tc>
        <w:tc>
          <w:tcPr>
            <w:tcW w:w="992" w:type="dxa"/>
          </w:tcPr>
          <w:p>
            <w:pPr>
              <w:pStyle w:val="14"/>
              <w:spacing w:before="189"/>
              <w:ind w:left="56" w:right="46"/>
              <w:rPr>
                <w:rFonts w:ascii="Times New Roman"/>
                <w:sz w:val="21"/>
              </w:rPr>
            </w:pPr>
            <w:r>
              <w:rPr>
                <w:rFonts w:ascii="Times New Roman"/>
                <w:sz w:val="21"/>
              </w:rPr>
              <w:t>350-380</w:t>
            </w:r>
          </w:p>
        </w:tc>
        <w:tc>
          <w:tcPr>
            <w:tcW w:w="3849" w:type="dxa"/>
          </w:tcPr>
          <w:p>
            <w:pPr>
              <w:pStyle w:val="14"/>
              <w:spacing w:before="19"/>
              <w:ind w:left="117" w:right="106"/>
              <w:rPr>
                <w:sz w:val="21"/>
              </w:rPr>
            </w:pPr>
            <w:r>
              <w:rPr>
                <w:sz w:val="21"/>
              </w:rPr>
              <w:t xml:space="preserve">由 </w:t>
            </w:r>
            <w:r>
              <w:rPr>
                <w:rFonts w:ascii="Times New Roman" w:eastAsia="Times New Roman"/>
                <w:sz w:val="21"/>
              </w:rPr>
              <w:t xml:space="preserve">2000-4 </w:t>
            </w:r>
            <w:r>
              <w:rPr>
                <w:sz w:val="21"/>
              </w:rPr>
              <w:t xml:space="preserve">和 </w:t>
            </w:r>
            <w:r>
              <w:rPr>
                <w:rFonts w:ascii="Times New Roman" w:eastAsia="Times New Roman"/>
                <w:sz w:val="21"/>
              </w:rPr>
              <w:t xml:space="preserve">90-2 </w:t>
            </w:r>
            <w:r>
              <w:rPr>
                <w:sz w:val="21"/>
              </w:rPr>
              <w:t xml:space="preserve">号孔控制和 </w:t>
            </w:r>
            <w:r>
              <w:rPr>
                <w:rFonts w:ascii="Times New Roman" w:eastAsia="Times New Roman"/>
                <w:sz w:val="21"/>
              </w:rPr>
              <w:t>87-7</w:t>
            </w:r>
            <w:r>
              <w:rPr>
                <w:sz w:val="21"/>
              </w:rPr>
              <w:t>、</w:t>
            </w:r>
          </w:p>
          <w:p>
            <w:pPr>
              <w:pStyle w:val="14"/>
              <w:spacing w:before="43"/>
              <w:ind w:left="115" w:right="109"/>
              <w:rPr>
                <w:sz w:val="21"/>
              </w:rPr>
            </w:pPr>
            <w:r>
              <w:rPr>
                <w:rFonts w:ascii="Times New Roman" w:eastAsia="Times New Roman"/>
                <w:sz w:val="21"/>
              </w:rPr>
              <w:t xml:space="preserve">2000-3 </w:t>
            </w:r>
            <w:r>
              <w:rPr>
                <w:sz w:val="21"/>
              </w:rPr>
              <w:t>号钻孔控制，较可靠。</w:t>
            </w:r>
          </w:p>
        </w:tc>
      </w:tr>
    </w:tbl>
    <w:p>
      <w:pPr>
        <w:pStyle w:val="6"/>
        <w:spacing w:before="1"/>
        <w:ind w:left="1520"/>
      </w:pPr>
      <w:r>
        <w:rPr>
          <w:rFonts w:ascii="Times New Roman" w:eastAsia="Times New Roman"/>
        </w:rPr>
        <w:t>3</w:t>
      </w:r>
      <w:r>
        <w:t>、岩浆岩</w:t>
      </w:r>
    </w:p>
    <w:p>
      <w:pPr>
        <w:pStyle w:val="6"/>
        <w:spacing w:before="160" w:line="362" w:lineRule="auto"/>
        <w:ind w:left="1040" w:right="1075" w:firstLine="480"/>
      </w:pPr>
      <w:r>
        <w:rPr>
          <w:spacing w:val="-11"/>
        </w:rPr>
        <w:t>该区岩浆岩活动很弱，在位于大顺煤矿西部的原劳教所三井已掘进的巷道中</w:t>
      </w:r>
      <w:r>
        <w:t>只见一条北东</w:t>
      </w:r>
      <w:r>
        <w:rPr>
          <w:rFonts w:ascii="Times New Roman" w:hAnsi="Times New Roman" w:eastAsia="Times New Roman"/>
        </w:rPr>
        <w:t>70°</w:t>
      </w:r>
      <w:r>
        <w:rPr>
          <w:spacing w:val="-5"/>
        </w:rPr>
        <w:t>、出露宽度</w:t>
      </w:r>
      <w:r>
        <w:rPr>
          <w:rFonts w:ascii="Times New Roman" w:hAnsi="Times New Roman" w:eastAsia="Times New Roman"/>
        </w:rPr>
        <w:t>4</w:t>
      </w:r>
      <w:r>
        <w:rPr>
          <w:spacing w:val="-7"/>
        </w:rPr>
        <w:t>米的岩浆岩，呈岩墙侵入到煤层中，岩性为闪长玢</w:t>
      </w:r>
    </w:p>
    <w:p>
      <w:pPr>
        <w:spacing w:after="0" w:line="362" w:lineRule="auto"/>
        <w:sectPr>
          <w:footerReference r:id="rId9" w:type="default"/>
          <w:pgSz w:w="11910" w:h="16840"/>
          <w:pgMar w:top="1080" w:right="720" w:bottom="1160" w:left="760" w:header="0" w:footer="971" w:gutter="0"/>
          <w:pgNumType w:start="4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73" name="组合 48"/>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72" name="直线 49"/>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48"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7toIu1AAAAAMBAAAPAAAAAAAAAAEAIAAAACIAAABkcnMvZG93bnJldi54bWxQ&#10;SwECFAAUAAAACACHTuJAlHFZIjQCAAC2BAAADgAAAAAAAAABACAAAAAjAQAAZHJzL2Uyb0RvYy54&#10;bWxQSwUGAAAAAAYABgBZAQAAyQUAAAAA&#10;">
                <o:lock v:ext="edit" aspectratio="f"/>
                <v:line id="直线 49" o:spid="_x0000_s1026" o:spt="20" style="position:absolute;left:0;top:7;height:0;width:8306;" filled="f" stroked="t" coordsize="21600,21600" o:gfxdata="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1cTOb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6"/>
        <w:spacing w:before="5"/>
        <w:rPr>
          <w:sz w:val="19"/>
        </w:rPr>
      </w:pPr>
    </w:p>
    <w:p>
      <w:pPr>
        <w:pStyle w:val="6"/>
        <w:spacing w:before="74" w:line="364" w:lineRule="auto"/>
        <w:ind w:left="1040" w:right="1077"/>
      </w:pPr>
      <w:r>
        <w:rPr>
          <w:spacing w:val="-7"/>
        </w:rPr>
        <w:t>岩，岩墙宽度</w:t>
      </w:r>
      <w:r>
        <w:rPr>
          <w:rFonts w:ascii="Times New Roman" w:eastAsia="Times New Roman"/>
        </w:rPr>
        <w:t>3</w:t>
      </w:r>
      <w:r>
        <w:t>－</w:t>
      </w:r>
      <w:r>
        <w:rPr>
          <w:rFonts w:ascii="Times New Roman" w:eastAsia="Times New Roman"/>
        </w:rPr>
        <w:t>5</w:t>
      </w:r>
      <w:r>
        <w:rPr>
          <w:spacing w:val="-6"/>
        </w:rPr>
        <w:t>米，煤层同岩墙接触处有</w:t>
      </w:r>
      <w:r>
        <w:rPr>
          <w:rFonts w:ascii="Times New Roman" w:eastAsia="Times New Roman"/>
        </w:rPr>
        <w:t>0.5</w:t>
      </w:r>
      <w:r>
        <w:t>－</w:t>
      </w:r>
      <w:r>
        <w:rPr>
          <w:rFonts w:ascii="Times New Roman" w:eastAsia="Times New Roman"/>
        </w:rPr>
        <w:t>1.20</w:t>
      </w:r>
      <w:r>
        <w:rPr>
          <w:spacing w:val="-5"/>
        </w:rPr>
        <w:t>米宽的煤层变为天然焦。对</w:t>
      </w:r>
      <w:r>
        <w:t>采区的布置及开采均有一定影响。</w:t>
      </w:r>
    </w:p>
    <w:p>
      <w:pPr>
        <w:pStyle w:val="6"/>
        <w:spacing w:line="364" w:lineRule="auto"/>
        <w:ind w:left="1040" w:right="957" w:firstLine="480"/>
      </w:pPr>
      <w:r>
        <w:rPr>
          <w:spacing w:val="-4"/>
        </w:rPr>
        <w:t>西北部邻井岭东区顺达煤井中仅见一条贯穿南北的岩墙。南北两侧厚度只有</w:t>
      </w:r>
      <w:r>
        <w:rPr>
          <w:rFonts w:ascii="Times New Roman" w:hAnsi="Times New Roman" w:eastAsia="Times New Roman"/>
          <w:spacing w:val="-4"/>
        </w:rPr>
        <w:t>0-30</w:t>
      </w:r>
      <w:r>
        <w:rPr>
          <w:spacing w:val="-7"/>
        </w:rPr>
        <w:t>米，中间较厚，最厚可达</w:t>
      </w:r>
      <w:r>
        <w:rPr>
          <w:rFonts w:ascii="Times New Roman" w:hAnsi="Times New Roman" w:eastAsia="Times New Roman"/>
        </w:rPr>
        <w:t>30</w:t>
      </w:r>
      <w:r>
        <w:rPr>
          <w:spacing w:val="-4"/>
        </w:rPr>
        <w:t>米，向南部分叉出二条小的岩脉，岩性为中性闪</w:t>
      </w:r>
      <w:r>
        <w:rPr>
          <w:spacing w:val="-11"/>
        </w:rPr>
        <w:t>长玢岩类。对煤质有影响，同岩浆岩接触处煤层变成天然焦或无烟煤，影响范围一般在</w:t>
      </w:r>
      <w:r>
        <w:rPr>
          <w:rFonts w:ascii="Times New Roman" w:hAnsi="Times New Roman" w:eastAsia="Times New Roman"/>
          <w:spacing w:val="-11"/>
        </w:rPr>
        <w:t>2—3</w:t>
      </w:r>
      <w:r>
        <w:rPr>
          <w:spacing w:val="-18"/>
        </w:rPr>
        <w:t xml:space="preserve">米，在岩浆岩接触处煤厚稍有压薄现象。在右十四片中见有两条岩脉， </w:t>
      </w:r>
      <w:r>
        <w:t>并下延到本次扩大区</w:t>
      </w:r>
      <w:r>
        <w:rPr>
          <w:rFonts w:ascii="Times New Roman" w:hAnsi="Times New Roman" w:eastAsia="Times New Roman"/>
        </w:rPr>
        <w:t>20#</w:t>
      </w:r>
      <w:r>
        <w:t>煤层范围内，对煤层煤质影响不大。</w:t>
      </w:r>
    </w:p>
    <w:p>
      <w:pPr>
        <w:pStyle w:val="6"/>
        <w:spacing w:line="306" w:lineRule="exact"/>
        <w:ind w:left="1520"/>
      </w:pPr>
      <w:r>
        <w:t>大顺煤矿扩大区内</w:t>
      </w:r>
      <w:r>
        <w:rPr>
          <w:rFonts w:ascii="Times New Roman" w:eastAsia="Times New Roman"/>
        </w:rPr>
        <w:t>90-6</w:t>
      </w:r>
      <w:r>
        <w:t>号孔</w:t>
      </w:r>
      <w:r>
        <w:rPr>
          <w:rFonts w:ascii="Times New Roman" w:eastAsia="Times New Roman"/>
        </w:rPr>
        <w:t>15</w:t>
      </w:r>
      <w:r>
        <w:t>煤层以下</w:t>
      </w:r>
      <w:r>
        <w:rPr>
          <w:rFonts w:ascii="Times New Roman" w:eastAsia="Times New Roman"/>
        </w:rPr>
        <w:t>20</w:t>
      </w:r>
      <w:r>
        <w:t>米见</w:t>
      </w:r>
      <w:r>
        <w:rPr>
          <w:rFonts w:ascii="Times New Roman" w:eastAsia="Times New Roman"/>
        </w:rPr>
        <w:t>26</w:t>
      </w:r>
      <w:r>
        <w:t>米的闪长玢岩，在</w:t>
      </w:r>
      <w:r>
        <w:rPr>
          <w:rFonts w:ascii="Times New Roman" w:eastAsia="Times New Roman"/>
        </w:rPr>
        <w:t>90-1</w:t>
      </w:r>
      <w:r>
        <w:t>号孔</w:t>
      </w:r>
    </w:p>
    <w:p>
      <w:pPr>
        <w:pStyle w:val="6"/>
        <w:spacing w:before="160" w:line="362" w:lineRule="auto"/>
        <w:ind w:left="1520" w:right="957" w:hanging="480"/>
      </w:pPr>
      <w:r>
        <w:rPr>
          <w:rFonts w:ascii="Times New Roman" w:eastAsia="Times New Roman"/>
        </w:rPr>
        <w:t>10</w:t>
      </w:r>
      <w:r>
        <w:t>煤层以上</w:t>
      </w:r>
      <w:r>
        <w:rPr>
          <w:rFonts w:ascii="Times New Roman" w:eastAsia="Times New Roman"/>
        </w:rPr>
        <w:t>30</w:t>
      </w:r>
      <w:r>
        <w:t>米见</w:t>
      </w:r>
      <w:r>
        <w:rPr>
          <w:rFonts w:ascii="Times New Roman" w:eastAsia="Times New Roman"/>
        </w:rPr>
        <w:t>2</w:t>
      </w:r>
      <w:r>
        <w:rPr>
          <w:spacing w:val="-10"/>
        </w:rPr>
        <w:t>米厚的闪长玢岩，以岩脉的形式产出，对煤层煤质影响不大。</w:t>
      </w:r>
      <w:r>
        <w:rPr>
          <w:spacing w:val="-14"/>
        </w:rPr>
        <w:t>井区内断层相互交叉切割不多，井区南部发育一向斜，区内岩浆岩活动微弱，</w:t>
      </w:r>
    </w:p>
    <w:p>
      <w:pPr>
        <w:pStyle w:val="6"/>
        <w:spacing w:before="2" w:line="364" w:lineRule="auto"/>
        <w:ind w:left="1040" w:right="1077"/>
      </w:pPr>
      <w:r>
        <w:rPr>
          <w:spacing w:val="-7"/>
        </w:rPr>
        <w:t>对煤层煤质影响不大。根据本矿整体构造形态，以及褶曲、断层、岩浆岩发育情</w:t>
      </w:r>
      <w:r>
        <w:t>况，确定本矿构造复杂程度为中等。</w:t>
      </w:r>
    </w:p>
    <w:p>
      <w:pPr>
        <w:pStyle w:val="6"/>
        <w:spacing w:before="1"/>
        <w:ind w:left="1520"/>
      </w:pPr>
      <w:r>
        <w:rPr>
          <w:rFonts w:ascii="Times New Roman" w:eastAsia="Times New Roman"/>
        </w:rPr>
        <w:t>4</w:t>
      </w:r>
      <w:r>
        <w:t>、煤层及煤质</w:t>
      </w:r>
    </w:p>
    <w:p>
      <w:pPr>
        <w:pStyle w:val="6"/>
        <w:spacing w:before="158" w:line="364" w:lineRule="auto"/>
        <w:ind w:left="1040" w:right="957" w:firstLine="480"/>
      </w:pPr>
      <w:r>
        <w:t>大顺煤矿原界批准开采</w:t>
      </w:r>
      <w:r>
        <w:rPr>
          <w:rFonts w:ascii="Times New Roman" w:eastAsia="Times New Roman"/>
        </w:rPr>
        <w:t>10</w:t>
      </w:r>
      <w:r>
        <w:rPr>
          <w:spacing w:val="-44"/>
        </w:rPr>
        <w:t>、</w:t>
      </w:r>
      <w:r>
        <w:rPr>
          <w:rFonts w:ascii="Times New Roman" w:eastAsia="Times New Roman"/>
        </w:rPr>
        <w:t>15</w:t>
      </w:r>
      <w:r>
        <w:rPr>
          <w:spacing w:val="-44"/>
        </w:rPr>
        <w:t>、</w:t>
      </w:r>
      <w:r>
        <w:rPr>
          <w:rFonts w:ascii="Times New Roman" w:eastAsia="Times New Roman"/>
        </w:rPr>
        <w:t>30</w:t>
      </w:r>
      <w:r>
        <w:rPr>
          <w:spacing w:val="-7"/>
        </w:rPr>
        <w:t>号三个煤层，本次扩大</w:t>
      </w:r>
      <w:r>
        <w:rPr>
          <w:rFonts w:ascii="Times New Roman" w:eastAsia="Times New Roman"/>
        </w:rPr>
        <w:t>10</w:t>
      </w:r>
      <w:r>
        <w:rPr>
          <w:spacing w:val="-44"/>
        </w:rPr>
        <w:t>、</w:t>
      </w:r>
      <w:r>
        <w:rPr>
          <w:rFonts w:ascii="Times New Roman" w:eastAsia="Times New Roman"/>
        </w:rPr>
        <w:t>15</w:t>
      </w:r>
      <w:r>
        <w:rPr>
          <w:spacing w:val="-44"/>
        </w:rPr>
        <w:t>、</w:t>
      </w:r>
      <w:r>
        <w:rPr>
          <w:rFonts w:ascii="Times New Roman" w:eastAsia="Times New Roman"/>
        </w:rPr>
        <w:t>30</w:t>
      </w:r>
      <w:r>
        <w:rPr>
          <w:spacing w:val="-3"/>
        </w:rPr>
        <w:t xml:space="preserve">号煤层， </w:t>
      </w:r>
      <w:r>
        <w:t>增扩</w:t>
      </w:r>
      <w:r>
        <w:rPr>
          <w:rFonts w:ascii="Times New Roman" w:eastAsia="Times New Roman"/>
        </w:rPr>
        <w:t>20</w:t>
      </w:r>
      <w:r>
        <w:rPr>
          <w:spacing w:val="-5"/>
        </w:rPr>
        <w:t>煤层。扩大矿区范围后开采</w:t>
      </w:r>
      <w:r>
        <w:rPr>
          <w:rFonts w:ascii="Times New Roman" w:eastAsia="Times New Roman"/>
        </w:rPr>
        <w:t>10</w:t>
      </w:r>
      <w:r>
        <w:rPr>
          <w:spacing w:val="-20"/>
        </w:rPr>
        <w:t>、</w:t>
      </w:r>
      <w:r>
        <w:rPr>
          <w:rFonts w:ascii="Times New Roman" w:eastAsia="Times New Roman"/>
        </w:rPr>
        <w:t>15</w:t>
      </w:r>
      <w:r>
        <w:rPr>
          <w:spacing w:val="-17"/>
        </w:rPr>
        <w:t>、</w:t>
      </w:r>
      <w:r>
        <w:rPr>
          <w:rFonts w:ascii="Times New Roman" w:eastAsia="Times New Roman"/>
        </w:rPr>
        <w:t>20</w:t>
      </w:r>
      <w:r>
        <w:rPr>
          <w:spacing w:val="-20"/>
        </w:rPr>
        <w:t>、</w:t>
      </w:r>
      <w:r>
        <w:rPr>
          <w:rFonts w:ascii="Times New Roman" w:eastAsia="Times New Roman"/>
        </w:rPr>
        <w:t>30</w:t>
      </w:r>
      <w:r>
        <w:rPr>
          <w:spacing w:val="-3"/>
        </w:rPr>
        <w:t>号等四个煤层。各煤层基本特征叙述如下：</w:t>
      </w:r>
    </w:p>
    <w:p>
      <w:pPr>
        <w:pStyle w:val="6"/>
        <w:spacing w:line="307" w:lineRule="exact"/>
        <w:ind w:left="1520"/>
      </w:pPr>
      <w:r>
        <w:rPr>
          <w:rFonts w:ascii="Times New Roman" w:eastAsia="Times New Roman"/>
        </w:rPr>
        <w:t>10</w:t>
      </w:r>
      <w:r>
        <w:t>号煤层</w:t>
      </w:r>
    </w:p>
    <w:p>
      <w:pPr>
        <w:pStyle w:val="6"/>
        <w:spacing w:before="159" w:line="364" w:lineRule="auto"/>
        <w:ind w:left="1040" w:right="1075" w:firstLine="480"/>
        <w:jc w:val="both"/>
      </w:pPr>
      <w:r>
        <w:rPr>
          <w:spacing w:val="-8"/>
        </w:rPr>
        <w:t>是该地区最上部的一层可采煤层。暗煤和半亮型煤，层状构造，夹有细条带</w:t>
      </w:r>
      <w:r>
        <w:rPr>
          <w:spacing w:val="1"/>
        </w:rPr>
        <w:t>状亮煤或镜煤、半暗型煤。煤层单一结构；煤层厚度</w:t>
      </w:r>
      <w:r>
        <w:rPr>
          <w:rFonts w:ascii="Times New Roman" w:eastAsia="Times New Roman"/>
          <w:spacing w:val="2"/>
        </w:rPr>
        <w:t>0</w:t>
      </w:r>
      <w:r>
        <w:rPr>
          <w:spacing w:val="2"/>
        </w:rPr>
        <w:t>－</w:t>
      </w:r>
      <w:r>
        <w:rPr>
          <w:rFonts w:ascii="Times New Roman" w:eastAsia="Times New Roman"/>
          <w:spacing w:val="2"/>
        </w:rPr>
        <w:t>1.30</w:t>
      </w:r>
      <w:r>
        <w:rPr>
          <w:spacing w:val="4"/>
        </w:rPr>
        <w:t>米，平均厚度</w:t>
      </w:r>
      <w:r>
        <w:rPr>
          <w:rFonts w:ascii="Times New Roman" w:eastAsia="Times New Roman"/>
        </w:rPr>
        <w:t xml:space="preserve">0.75 </w:t>
      </w:r>
      <w:r>
        <w:rPr>
          <w:spacing w:val="-1"/>
        </w:rPr>
        <w:t>米。其中：大顺煤矿原范围内煤层厚度</w:t>
      </w:r>
      <w:r>
        <w:rPr>
          <w:rFonts w:ascii="Times New Roman" w:eastAsia="Times New Roman"/>
        </w:rPr>
        <w:t>0.40-1.30</w:t>
      </w:r>
      <w:r>
        <w:t>米，平均</w:t>
      </w:r>
      <w:r>
        <w:rPr>
          <w:rFonts w:ascii="Times New Roman" w:eastAsia="Times New Roman"/>
        </w:rPr>
        <w:t>0.79</w:t>
      </w:r>
      <w:r>
        <w:rPr>
          <w:spacing w:val="-2"/>
        </w:rPr>
        <w:t>米；扩大区煤层厚</w:t>
      </w:r>
      <w:r>
        <w:t>度</w:t>
      </w:r>
      <w:r>
        <w:rPr>
          <w:rFonts w:ascii="Times New Roman" w:eastAsia="Times New Roman"/>
        </w:rPr>
        <w:t>0-0.91</w:t>
      </w:r>
      <w:r>
        <w:t>米，平均</w:t>
      </w:r>
      <w:r>
        <w:rPr>
          <w:rFonts w:ascii="Times New Roman" w:eastAsia="Times New Roman"/>
        </w:rPr>
        <w:t>0.71</w:t>
      </w:r>
      <w:r>
        <w:t>米。煤层顶板岩性为深灰色粉砂岩，层理不发育；底板岩</w:t>
      </w:r>
      <w:r>
        <w:rPr>
          <w:spacing w:val="-6"/>
        </w:rPr>
        <w:t>性是以深灰色粉砂岩为主与灰白色细砂岩互层，具有水平层理。扩大区西北部不</w:t>
      </w:r>
      <w:r>
        <w:t>可采，为大部可采，属较稳定煤层。</w:t>
      </w:r>
    </w:p>
    <w:p>
      <w:pPr>
        <w:pStyle w:val="6"/>
        <w:spacing w:line="306" w:lineRule="exact"/>
        <w:ind w:left="1520"/>
      </w:pPr>
      <w:r>
        <w:rPr>
          <w:rFonts w:ascii="Times New Roman" w:eastAsia="Times New Roman"/>
        </w:rPr>
        <w:t>15</w:t>
      </w:r>
      <w:r>
        <w:t>号煤层</w:t>
      </w:r>
    </w:p>
    <w:p>
      <w:pPr>
        <w:pStyle w:val="6"/>
        <w:spacing w:before="158" w:line="364" w:lineRule="auto"/>
        <w:ind w:left="1040" w:right="892" w:firstLine="480"/>
      </w:pPr>
      <w:r>
        <w:t>位于</w:t>
      </w:r>
      <w:r>
        <w:rPr>
          <w:rFonts w:ascii="Times New Roman" w:eastAsia="Times New Roman"/>
        </w:rPr>
        <w:t>10</w:t>
      </w:r>
      <w:r>
        <w:t>号煤层之下</w:t>
      </w:r>
      <w:r>
        <w:rPr>
          <w:rFonts w:ascii="Times New Roman" w:eastAsia="Times New Roman"/>
        </w:rPr>
        <w:t>20</w:t>
      </w:r>
      <w:r>
        <w:t>－</w:t>
      </w:r>
      <w:r>
        <w:rPr>
          <w:rFonts w:ascii="Times New Roman" w:eastAsia="Times New Roman"/>
        </w:rPr>
        <w:t>35</w:t>
      </w:r>
      <w:r>
        <w:t>米。以亮煤为主，夹条带状镜煤及细条带状暗煤， 层状构造，半亮型煤。煤层单一结构；煤层厚度</w:t>
      </w:r>
      <w:r>
        <w:rPr>
          <w:rFonts w:ascii="Times New Roman" w:eastAsia="Times New Roman"/>
        </w:rPr>
        <w:t>0-1.70</w:t>
      </w:r>
      <w:r>
        <w:t>米，平均煤层厚度</w:t>
      </w:r>
      <w:r>
        <w:rPr>
          <w:rFonts w:ascii="Times New Roman" w:eastAsia="Times New Roman"/>
        </w:rPr>
        <w:t>1.24</w:t>
      </w:r>
      <w:r>
        <w:t>米。其中：大顺煤矿原范围内煤层厚度</w:t>
      </w:r>
      <w:r>
        <w:rPr>
          <w:rFonts w:ascii="Times New Roman" w:eastAsia="Times New Roman"/>
        </w:rPr>
        <w:t>1.50</w:t>
      </w:r>
      <w:r>
        <w:t>米；扩大区煤层厚度</w:t>
      </w:r>
      <w:r>
        <w:rPr>
          <w:rFonts w:ascii="Times New Roman" w:eastAsia="Times New Roman"/>
        </w:rPr>
        <w:t>0-1.70</w:t>
      </w:r>
      <w:r>
        <w:t>米，平均厚度</w:t>
      </w:r>
      <w:r>
        <w:rPr>
          <w:rFonts w:ascii="Times New Roman" w:eastAsia="Times New Roman"/>
        </w:rPr>
        <w:t>1.23</w:t>
      </w:r>
      <w:r>
        <w:t>米。煤层厚度西南厚，由西向东、北逐渐变薄。其中：西南部煤厚为</w:t>
      </w:r>
      <w:r>
        <w:rPr>
          <w:rFonts w:ascii="Times New Roman" w:eastAsia="Times New Roman"/>
        </w:rPr>
        <w:t>1.60</w:t>
      </w:r>
      <w:r>
        <w:t>－</w:t>
      </w:r>
    </w:p>
    <w:p>
      <w:pPr>
        <w:pStyle w:val="13"/>
        <w:numPr>
          <w:ilvl w:val="1"/>
          <w:numId w:val="24"/>
        </w:numPr>
        <w:tabs>
          <w:tab w:val="left" w:pos="1463"/>
        </w:tabs>
        <w:spacing w:before="0" w:after="0" w:line="364" w:lineRule="auto"/>
        <w:ind w:left="1040" w:right="985" w:firstLine="0"/>
        <w:jc w:val="left"/>
        <w:rPr>
          <w:sz w:val="24"/>
        </w:rPr>
      </w:pPr>
      <w:r>
        <w:rPr>
          <w:sz w:val="24"/>
        </w:rPr>
        <w:t>米，东北部煤厚为</w:t>
      </w:r>
      <w:r>
        <w:rPr>
          <w:rFonts w:ascii="Times New Roman" w:eastAsia="Times New Roman"/>
          <w:sz w:val="24"/>
        </w:rPr>
        <w:t>0.85</w:t>
      </w:r>
      <w:r>
        <w:rPr>
          <w:sz w:val="24"/>
        </w:rPr>
        <w:t>－</w:t>
      </w:r>
      <w:r>
        <w:rPr>
          <w:rFonts w:ascii="Times New Roman" w:eastAsia="Times New Roman"/>
          <w:sz w:val="24"/>
        </w:rPr>
        <w:t>1.30</w:t>
      </w:r>
      <w:r>
        <w:rPr>
          <w:sz w:val="24"/>
        </w:rPr>
        <w:t>米，西北部不可采。顶板岩性为灰色细砂岩， 具有波状及水平层理；底板岩性为深灰色粉砂岩。</w:t>
      </w:r>
      <w:r>
        <w:rPr>
          <w:rFonts w:ascii="Times New Roman" w:eastAsia="Times New Roman"/>
          <w:sz w:val="24"/>
        </w:rPr>
        <w:t>15</w:t>
      </w:r>
      <w:r>
        <w:rPr>
          <w:spacing w:val="-2"/>
          <w:sz w:val="24"/>
        </w:rPr>
        <w:t>号煤层为该矿区的主采层，</w:t>
      </w:r>
    </w:p>
    <w:p>
      <w:pPr>
        <w:spacing w:after="0" w:line="364" w:lineRule="auto"/>
        <w:jc w:val="left"/>
        <w:rPr>
          <w:sz w:val="24"/>
        </w:rPr>
        <w:sectPr>
          <w:pgSz w:w="11910" w:h="16840"/>
          <w:pgMar w:top="1080" w:right="720" w:bottom="1160" w:left="760" w:header="0" w:footer="97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77" name="组合 50"/>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76" name="直线 51"/>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50"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7toIu1AAAAAMBAAAPAAAAAAAAAAEAIAAAACIAAABkcnMvZG93bnJldi54bWxQ&#10;SwECFAAUAAAACACHTuJA23eoIzQCAAC2BAAADgAAAAAAAAABACAAAAAjAQAAZHJzL2Uyb0RvYy54&#10;bWxQSwUGAAAAAAYABgBZAQAAyQUAAAAA&#10;">
                <o:lock v:ext="edit" aspectratio="f"/>
                <v:line id="直线 51" o:spid="_x0000_s1026" o:spt="20" style="position:absolute;left:0;top:7;height:0;width:8306;" filled="f" stroked="t" coordsize="21600,21600" o:gfxdata="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GwVOr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6"/>
        <w:rPr>
          <w:sz w:val="20"/>
        </w:rPr>
      </w:pPr>
    </w:p>
    <w:p>
      <w:pPr>
        <w:pStyle w:val="6"/>
        <w:spacing w:before="66"/>
        <w:ind w:left="1040"/>
      </w:pPr>
      <w:r>
        <w:t>为大部可采煤层，属较稳定煤层。</w:t>
      </w:r>
    </w:p>
    <w:p>
      <w:pPr>
        <w:pStyle w:val="6"/>
        <w:spacing w:before="161"/>
        <w:ind w:left="1520"/>
      </w:pPr>
      <w:r>
        <w:rPr>
          <w:rFonts w:ascii="Times New Roman" w:eastAsia="Times New Roman"/>
        </w:rPr>
        <w:t>20</w:t>
      </w:r>
      <w:r>
        <w:t>号煤层</w:t>
      </w:r>
    </w:p>
    <w:p>
      <w:pPr>
        <w:pStyle w:val="6"/>
        <w:spacing w:before="158" w:line="364" w:lineRule="auto"/>
        <w:ind w:left="1040" w:right="957" w:firstLine="480"/>
      </w:pPr>
      <w:r>
        <w:t>与</w:t>
      </w:r>
      <w:r>
        <w:rPr>
          <w:rFonts w:ascii="Times New Roman" w:eastAsia="Times New Roman"/>
        </w:rPr>
        <w:t>15</w:t>
      </w:r>
      <w:r>
        <w:t>号煤层间距</w:t>
      </w:r>
      <w:r>
        <w:rPr>
          <w:rFonts w:ascii="Times New Roman" w:eastAsia="Times New Roman"/>
        </w:rPr>
        <w:t>25</w:t>
      </w:r>
      <w:r>
        <w:rPr>
          <w:spacing w:val="-16"/>
        </w:rPr>
        <w:t>米，以亮煤为主，夹有条带状暗煤，层状构造，半亮型煤。</w:t>
      </w:r>
      <w:r>
        <w:rPr>
          <w:spacing w:val="-5"/>
        </w:rPr>
        <w:t>煤层简单结构，含一层夹矸，夹矸厚度</w:t>
      </w:r>
      <w:r>
        <w:rPr>
          <w:rFonts w:ascii="Times New Roman" w:eastAsia="Times New Roman"/>
        </w:rPr>
        <w:t>0.10-0.20</w:t>
      </w:r>
      <w:r>
        <w:rPr>
          <w:spacing w:val="-4"/>
        </w:rPr>
        <w:t>米，夹矸岩性一般是深灰色粉砂岩。煤层厚度</w:t>
      </w:r>
      <w:r>
        <w:rPr>
          <w:rFonts w:ascii="Times New Roman" w:eastAsia="Times New Roman"/>
          <w:spacing w:val="-4"/>
        </w:rPr>
        <w:t>0.39-1.22</w:t>
      </w:r>
      <w:r>
        <w:rPr>
          <w:spacing w:val="-4"/>
        </w:rPr>
        <w:t>米，平均煤层厚度</w:t>
      </w:r>
      <w:r>
        <w:rPr>
          <w:rFonts w:ascii="Times New Roman" w:eastAsia="Times New Roman"/>
          <w:spacing w:val="-4"/>
        </w:rPr>
        <w:t>0.84</w:t>
      </w:r>
      <w:r>
        <w:rPr>
          <w:spacing w:val="-4"/>
        </w:rPr>
        <w:t>米。煤层顶、底板岩性为灰色粉砂岩。</w:t>
      </w:r>
      <w:r>
        <w:rPr>
          <w:rFonts w:ascii="Times New Roman" w:eastAsia="Times New Roman"/>
          <w:spacing w:val="-4"/>
        </w:rPr>
        <w:t>F12</w:t>
      </w:r>
      <w:r>
        <w:rPr>
          <w:spacing w:val="-4"/>
        </w:rPr>
        <w:t>断层以南不发育，仅在扩大区范围内及西部、北部发育，属局部可采煤</w:t>
      </w:r>
      <w:r>
        <w:rPr>
          <w:spacing w:val="-10"/>
        </w:rPr>
        <w:t>层，在扩大区范围内煤层较稳定，《双鸭山煤田岭东煤矿九斜井勘探区地质勘探</w:t>
      </w:r>
      <w:r>
        <w:rPr>
          <w:spacing w:val="-16"/>
        </w:rPr>
        <w:t>最终报告》</w:t>
      </w:r>
      <w:r>
        <w:rPr>
          <w:spacing w:val="-3"/>
        </w:rPr>
        <w:t>（</w:t>
      </w:r>
      <w:r>
        <w:t>精查</w:t>
      </w:r>
      <w:r>
        <w:rPr>
          <w:spacing w:val="-20"/>
        </w:rPr>
        <w:t>）</w:t>
      </w:r>
      <w:r>
        <w:rPr>
          <w:spacing w:val="-5"/>
        </w:rPr>
        <w:t>和《双鸭山市岭东区顺达煤井生产补充勘探地质报告》及邻井双鸭山市岭东兴旺煤矿对</w:t>
      </w:r>
      <w:r>
        <w:rPr>
          <w:rFonts w:ascii="Times New Roman" w:eastAsia="Times New Roman"/>
          <w:spacing w:val="-5"/>
        </w:rPr>
        <w:t>20</w:t>
      </w:r>
      <w:r>
        <w:rPr>
          <w:spacing w:val="-5"/>
        </w:rPr>
        <w:t>号煤层均进行了控制。</w:t>
      </w:r>
    </w:p>
    <w:p>
      <w:pPr>
        <w:pStyle w:val="6"/>
        <w:spacing w:line="304" w:lineRule="exact"/>
        <w:ind w:left="1520"/>
      </w:pPr>
      <w:r>
        <w:rPr>
          <w:rFonts w:ascii="Times New Roman" w:eastAsia="Times New Roman"/>
        </w:rPr>
        <w:t>30</w:t>
      </w:r>
      <w:r>
        <w:t>号煤层</w:t>
      </w:r>
    </w:p>
    <w:p>
      <w:pPr>
        <w:pStyle w:val="6"/>
        <w:spacing w:before="158" w:line="364" w:lineRule="auto"/>
        <w:ind w:left="1040" w:right="1077" w:firstLine="480"/>
        <w:jc w:val="both"/>
      </w:pPr>
      <w:r>
        <w:t>与上部</w:t>
      </w:r>
      <w:r>
        <w:rPr>
          <w:rFonts w:ascii="Times New Roman" w:eastAsia="Times New Roman"/>
        </w:rPr>
        <w:t>20</w:t>
      </w:r>
      <w:r>
        <w:t>号煤层间距</w:t>
      </w:r>
      <w:r>
        <w:rPr>
          <w:rFonts w:ascii="Times New Roman" w:eastAsia="Times New Roman"/>
        </w:rPr>
        <w:t>35</w:t>
      </w:r>
      <w:r>
        <w:t>－</w:t>
      </w:r>
      <w:r>
        <w:rPr>
          <w:rFonts w:ascii="Times New Roman" w:eastAsia="Times New Roman"/>
        </w:rPr>
        <w:t>45</w:t>
      </w:r>
      <w:r>
        <w:rPr>
          <w:spacing w:val="-11"/>
        </w:rPr>
        <w:t>米。以亮煤主，夹条带状暗煤，半亮型煤，层状</w:t>
      </w:r>
      <w:r>
        <w:t>构造。煤层单一结构。煤层厚度</w:t>
      </w:r>
      <w:r>
        <w:rPr>
          <w:rFonts w:ascii="Times New Roman" w:eastAsia="Times New Roman"/>
        </w:rPr>
        <w:t>0-0.80</w:t>
      </w:r>
      <w:r>
        <w:t>米，平均煤层厚度</w:t>
      </w:r>
      <w:r>
        <w:rPr>
          <w:rFonts w:ascii="Times New Roman" w:eastAsia="Times New Roman"/>
        </w:rPr>
        <w:t>0.62</w:t>
      </w:r>
      <w:r>
        <w:t>米。其中：大顺煤矿原范围内厚度</w:t>
      </w:r>
      <w:r>
        <w:rPr>
          <w:rFonts w:ascii="Times New Roman" w:eastAsia="Times New Roman"/>
        </w:rPr>
        <w:t>0.50</w:t>
      </w:r>
      <w:r>
        <w:rPr>
          <w:spacing w:val="-7"/>
        </w:rPr>
        <w:t>米；扩大区煤层厚度</w:t>
      </w:r>
      <w:r>
        <w:rPr>
          <w:rFonts w:ascii="Times New Roman" w:eastAsia="Times New Roman"/>
        </w:rPr>
        <w:t>0-0.80</w:t>
      </w:r>
      <w:r>
        <w:rPr>
          <w:spacing w:val="-7"/>
        </w:rPr>
        <w:t>米，平均厚度</w:t>
      </w:r>
      <w:r>
        <w:rPr>
          <w:rFonts w:ascii="Times New Roman" w:eastAsia="Times New Roman"/>
        </w:rPr>
        <w:t>0.65</w:t>
      </w:r>
      <w:r>
        <w:rPr>
          <w:spacing w:val="-10"/>
        </w:rPr>
        <w:t>米。该煤层向东</w:t>
      </w:r>
      <w:r>
        <w:rPr>
          <w:spacing w:val="-8"/>
        </w:rPr>
        <w:t>南和西北变薄不可采，属局部可采煤层，较稳定。煤层顶、底板岩性均是灰白色</w:t>
      </w:r>
      <w:r>
        <w:t>细砂岩，厚层状，具有波状层理。各煤层赋存情况见表</w:t>
      </w:r>
      <w:r>
        <w:rPr>
          <w:rFonts w:ascii="Times New Roman" w:eastAsia="Times New Roman"/>
        </w:rPr>
        <w:t>3.3-8</w:t>
      </w:r>
      <w:r>
        <w:t>。</w:t>
      </w:r>
    </w:p>
    <w:p>
      <w:pPr>
        <w:pStyle w:val="5"/>
        <w:spacing w:before="1"/>
        <w:ind w:left="2633"/>
        <w:jc w:val="both"/>
      </w:pPr>
      <w:r>
        <w:t xml:space="preserve">表 </w:t>
      </w:r>
      <w:r>
        <w:rPr>
          <w:rFonts w:ascii="Times New Roman" w:eastAsia="Times New Roman"/>
        </w:rPr>
        <w:t xml:space="preserve">3.3-8  </w:t>
      </w:r>
      <w:r>
        <w:t>大顺矿业有限公司扩后煤层情况一览表</w:t>
      </w:r>
    </w:p>
    <w:tbl>
      <w:tblPr>
        <w:tblStyle w:val="10"/>
        <w:tblW w:w="0" w:type="auto"/>
        <w:tblInd w:w="1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4"/>
        <w:gridCol w:w="708"/>
        <w:gridCol w:w="708"/>
        <w:gridCol w:w="975"/>
        <w:gridCol w:w="850"/>
        <w:gridCol w:w="851"/>
        <w:gridCol w:w="850"/>
        <w:gridCol w:w="851"/>
        <w:gridCol w:w="709"/>
        <w:gridCol w:w="1277"/>
        <w:gridCol w:w="17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74" w:type="dxa"/>
            <w:vMerge w:val="restart"/>
          </w:tcPr>
          <w:p>
            <w:pPr>
              <w:pStyle w:val="14"/>
              <w:spacing w:before="26"/>
              <w:ind w:left="126"/>
              <w:jc w:val="left"/>
              <w:rPr>
                <w:sz w:val="21"/>
              </w:rPr>
            </w:pPr>
            <w:r>
              <w:rPr>
                <w:spacing w:val="-1"/>
                <w:w w:val="95"/>
                <w:sz w:val="21"/>
              </w:rPr>
              <w:t>煤层</w:t>
            </w:r>
          </w:p>
          <w:p>
            <w:pPr>
              <w:pStyle w:val="14"/>
              <w:spacing w:before="43"/>
              <w:ind w:left="126"/>
              <w:jc w:val="left"/>
              <w:rPr>
                <w:sz w:val="21"/>
              </w:rPr>
            </w:pPr>
            <w:r>
              <w:rPr>
                <w:spacing w:val="-1"/>
                <w:w w:val="95"/>
                <w:sz w:val="21"/>
              </w:rPr>
              <w:t>编号</w:t>
            </w:r>
          </w:p>
        </w:tc>
        <w:tc>
          <w:tcPr>
            <w:tcW w:w="2391" w:type="dxa"/>
            <w:gridSpan w:val="3"/>
          </w:tcPr>
          <w:p>
            <w:pPr>
              <w:pStyle w:val="14"/>
              <w:spacing w:before="21"/>
              <w:ind w:left="600"/>
              <w:jc w:val="left"/>
              <w:rPr>
                <w:rFonts w:ascii="Times New Roman" w:eastAsia="Times New Roman"/>
                <w:sz w:val="21"/>
              </w:rPr>
            </w:pPr>
            <w:r>
              <w:rPr>
                <w:sz w:val="21"/>
              </w:rPr>
              <w:t>煤层厚度</w:t>
            </w:r>
            <w:r>
              <w:rPr>
                <w:rFonts w:ascii="Times New Roman" w:eastAsia="Times New Roman"/>
                <w:sz w:val="21"/>
              </w:rPr>
              <w:t>(</w:t>
            </w:r>
            <w:r>
              <w:rPr>
                <w:sz w:val="21"/>
              </w:rPr>
              <w:t>米</w:t>
            </w:r>
            <w:r>
              <w:rPr>
                <w:rFonts w:ascii="Times New Roman" w:eastAsia="Times New Roman"/>
                <w:sz w:val="21"/>
              </w:rPr>
              <w:t>)</w:t>
            </w:r>
          </w:p>
        </w:tc>
        <w:tc>
          <w:tcPr>
            <w:tcW w:w="2551" w:type="dxa"/>
            <w:gridSpan w:val="3"/>
          </w:tcPr>
          <w:p>
            <w:pPr>
              <w:pStyle w:val="14"/>
              <w:spacing w:before="21"/>
              <w:ind w:left="681"/>
              <w:jc w:val="left"/>
              <w:rPr>
                <w:rFonts w:ascii="Times New Roman" w:eastAsia="Times New Roman"/>
                <w:sz w:val="21"/>
              </w:rPr>
            </w:pPr>
            <w:r>
              <w:rPr>
                <w:sz w:val="21"/>
              </w:rPr>
              <w:t>煤层间距</w:t>
            </w:r>
            <w:r>
              <w:rPr>
                <w:rFonts w:ascii="Times New Roman" w:eastAsia="Times New Roman"/>
                <w:sz w:val="21"/>
              </w:rPr>
              <w:t>(</w:t>
            </w:r>
            <w:r>
              <w:rPr>
                <w:sz w:val="21"/>
              </w:rPr>
              <w:t>米</w:t>
            </w:r>
            <w:r>
              <w:rPr>
                <w:rFonts w:ascii="Times New Roman" w:eastAsia="Times New Roman"/>
                <w:sz w:val="21"/>
              </w:rPr>
              <w:t>)</w:t>
            </w:r>
          </w:p>
        </w:tc>
        <w:tc>
          <w:tcPr>
            <w:tcW w:w="851" w:type="dxa"/>
            <w:vMerge w:val="restart"/>
          </w:tcPr>
          <w:p>
            <w:pPr>
              <w:pStyle w:val="14"/>
              <w:spacing w:before="26"/>
              <w:ind w:left="215"/>
              <w:jc w:val="left"/>
              <w:rPr>
                <w:sz w:val="21"/>
              </w:rPr>
            </w:pPr>
            <w:r>
              <w:rPr>
                <w:spacing w:val="-1"/>
                <w:w w:val="95"/>
                <w:sz w:val="21"/>
              </w:rPr>
              <w:t>稳定</w:t>
            </w:r>
          </w:p>
          <w:p>
            <w:pPr>
              <w:pStyle w:val="14"/>
              <w:spacing w:before="43"/>
              <w:ind w:left="215"/>
              <w:jc w:val="left"/>
              <w:rPr>
                <w:sz w:val="21"/>
              </w:rPr>
            </w:pPr>
            <w:r>
              <w:rPr>
                <w:spacing w:val="-1"/>
                <w:w w:val="95"/>
                <w:sz w:val="21"/>
              </w:rPr>
              <w:t>程度</w:t>
            </w:r>
          </w:p>
        </w:tc>
        <w:tc>
          <w:tcPr>
            <w:tcW w:w="709" w:type="dxa"/>
            <w:vMerge w:val="restart"/>
          </w:tcPr>
          <w:p>
            <w:pPr>
              <w:pStyle w:val="14"/>
              <w:spacing w:before="26"/>
              <w:ind w:left="144"/>
              <w:jc w:val="left"/>
              <w:rPr>
                <w:sz w:val="21"/>
              </w:rPr>
            </w:pPr>
            <w:r>
              <w:rPr>
                <w:spacing w:val="-1"/>
                <w:w w:val="95"/>
                <w:sz w:val="21"/>
              </w:rPr>
              <w:t>可采</w:t>
            </w:r>
          </w:p>
          <w:p>
            <w:pPr>
              <w:pStyle w:val="14"/>
              <w:spacing w:before="43"/>
              <w:ind w:left="144"/>
              <w:jc w:val="left"/>
              <w:rPr>
                <w:sz w:val="21"/>
              </w:rPr>
            </w:pPr>
            <w:r>
              <w:rPr>
                <w:spacing w:val="-1"/>
                <w:w w:val="95"/>
                <w:sz w:val="21"/>
              </w:rPr>
              <w:t>范围</w:t>
            </w:r>
          </w:p>
        </w:tc>
        <w:tc>
          <w:tcPr>
            <w:tcW w:w="1277" w:type="dxa"/>
            <w:vMerge w:val="restart"/>
          </w:tcPr>
          <w:p>
            <w:pPr>
              <w:pStyle w:val="14"/>
              <w:spacing w:before="2"/>
              <w:jc w:val="left"/>
              <w:rPr>
                <w:b/>
                <w:sz w:val="14"/>
              </w:rPr>
            </w:pPr>
          </w:p>
          <w:p>
            <w:pPr>
              <w:pStyle w:val="14"/>
              <w:spacing w:before="1"/>
              <w:ind w:left="218"/>
              <w:jc w:val="left"/>
              <w:rPr>
                <w:sz w:val="21"/>
              </w:rPr>
            </w:pPr>
            <w:r>
              <w:rPr>
                <w:sz w:val="21"/>
              </w:rPr>
              <w:t>煤层结构</w:t>
            </w:r>
          </w:p>
        </w:tc>
        <w:tc>
          <w:tcPr>
            <w:tcW w:w="1701" w:type="dxa"/>
            <w:vMerge w:val="restart"/>
          </w:tcPr>
          <w:p>
            <w:pPr>
              <w:pStyle w:val="14"/>
              <w:spacing w:before="26"/>
              <w:ind w:left="94" w:right="87"/>
              <w:rPr>
                <w:sz w:val="21"/>
              </w:rPr>
            </w:pPr>
            <w:r>
              <w:rPr>
                <w:sz w:val="21"/>
              </w:rPr>
              <w:t>顶底板</w:t>
            </w:r>
          </w:p>
          <w:p>
            <w:pPr>
              <w:pStyle w:val="14"/>
              <w:spacing w:before="43"/>
              <w:ind w:left="94" w:right="87"/>
              <w:rPr>
                <w:sz w:val="21"/>
              </w:rPr>
            </w:pPr>
            <w:r>
              <w:rPr>
                <w:sz w:val="21"/>
              </w:rPr>
              <w:t>岩性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74" w:type="dxa"/>
            <w:vMerge w:val="continue"/>
            <w:tcBorders>
              <w:top w:val="nil"/>
            </w:tcBorders>
          </w:tcPr>
          <w:p>
            <w:pPr>
              <w:rPr>
                <w:sz w:val="2"/>
                <w:szCs w:val="2"/>
              </w:rPr>
            </w:pPr>
          </w:p>
        </w:tc>
        <w:tc>
          <w:tcPr>
            <w:tcW w:w="708" w:type="dxa"/>
          </w:tcPr>
          <w:p>
            <w:pPr>
              <w:pStyle w:val="14"/>
              <w:spacing w:before="21"/>
              <w:ind w:left="122" w:right="114"/>
              <w:rPr>
                <w:sz w:val="21"/>
              </w:rPr>
            </w:pPr>
            <w:r>
              <w:rPr>
                <w:sz w:val="21"/>
              </w:rPr>
              <w:t>最小</w:t>
            </w:r>
          </w:p>
        </w:tc>
        <w:tc>
          <w:tcPr>
            <w:tcW w:w="708" w:type="dxa"/>
          </w:tcPr>
          <w:p>
            <w:pPr>
              <w:pStyle w:val="14"/>
              <w:spacing w:before="21"/>
              <w:ind w:left="122" w:right="114"/>
              <w:rPr>
                <w:sz w:val="21"/>
              </w:rPr>
            </w:pPr>
            <w:r>
              <w:rPr>
                <w:sz w:val="21"/>
              </w:rPr>
              <w:t>最大</w:t>
            </w:r>
          </w:p>
        </w:tc>
        <w:tc>
          <w:tcPr>
            <w:tcW w:w="975" w:type="dxa"/>
          </w:tcPr>
          <w:p>
            <w:pPr>
              <w:pStyle w:val="14"/>
              <w:spacing w:before="21"/>
              <w:ind w:left="144" w:right="139"/>
              <w:rPr>
                <w:sz w:val="21"/>
              </w:rPr>
            </w:pPr>
            <w:r>
              <w:rPr>
                <w:sz w:val="21"/>
              </w:rPr>
              <w:t>平均</w:t>
            </w:r>
          </w:p>
        </w:tc>
        <w:tc>
          <w:tcPr>
            <w:tcW w:w="850" w:type="dxa"/>
          </w:tcPr>
          <w:p>
            <w:pPr>
              <w:pStyle w:val="14"/>
              <w:spacing w:before="21"/>
              <w:ind w:left="159" w:right="151"/>
              <w:rPr>
                <w:sz w:val="21"/>
              </w:rPr>
            </w:pPr>
            <w:r>
              <w:rPr>
                <w:sz w:val="21"/>
              </w:rPr>
              <w:t>最小</w:t>
            </w:r>
          </w:p>
        </w:tc>
        <w:tc>
          <w:tcPr>
            <w:tcW w:w="851" w:type="dxa"/>
          </w:tcPr>
          <w:p>
            <w:pPr>
              <w:pStyle w:val="14"/>
              <w:spacing w:before="21"/>
              <w:ind w:left="215"/>
              <w:jc w:val="left"/>
              <w:rPr>
                <w:sz w:val="21"/>
              </w:rPr>
            </w:pPr>
            <w:r>
              <w:rPr>
                <w:sz w:val="21"/>
              </w:rPr>
              <w:t>最大</w:t>
            </w:r>
          </w:p>
        </w:tc>
        <w:tc>
          <w:tcPr>
            <w:tcW w:w="850" w:type="dxa"/>
          </w:tcPr>
          <w:p>
            <w:pPr>
              <w:pStyle w:val="14"/>
              <w:spacing w:before="21"/>
              <w:ind w:left="156" w:right="151"/>
              <w:rPr>
                <w:sz w:val="21"/>
              </w:rPr>
            </w:pPr>
            <w:r>
              <w:rPr>
                <w:sz w:val="21"/>
              </w:rPr>
              <w:t>平均</w:t>
            </w:r>
          </w:p>
        </w:tc>
        <w:tc>
          <w:tcPr>
            <w:tcW w:w="851" w:type="dxa"/>
            <w:vMerge w:val="continue"/>
            <w:tcBorders>
              <w:top w:val="nil"/>
            </w:tcBorders>
          </w:tcPr>
          <w:p>
            <w:pPr>
              <w:rPr>
                <w:sz w:val="2"/>
                <w:szCs w:val="2"/>
              </w:rPr>
            </w:pPr>
          </w:p>
        </w:tc>
        <w:tc>
          <w:tcPr>
            <w:tcW w:w="709"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170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74" w:type="dxa"/>
          </w:tcPr>
          <w:p>
            <w:pPr>
              <w:pStyle w:val="14"/>
              <w:spacing w:before="190"/>
              <w:ind w:left="105" w:right="94"/>
              <w:rPr>
                <w:rFonts w:ascii="Times New Roman"/>
                <w:sz w:val="21"/>
              </w:rPr>
            </w:pPr>
            <w:r>
              <w:rPr>
                <w:rFonts w:ascii="Times New Roman"/>
                <w:sz w:val="21"/>
              </w:rPr>
              <w:t>10</w:t>
            </w:r>
          </w:p>
        </w:tc>
        <w:tc>
          <w:tcPr>
            <w:tcW w:w="708" w:type="dxa"/>
          </w:tcPr>
          <w:p>
            <w:pPr>
              <w:pStyle w:val="14"/>
              <w:spacing w:before="190"/>
              <w:ind w:left="6"/>
              <w:rPr>
                <w:rFonts w:ascii="Times New Roman"/>
                <w:sz w:val="21"/>
              </w:rPr>
            </w:pPr>
            <w:r>
              <w:rPr>
                <w:rFonts w:ascii="Times New Roman"/>
                <w:w w:val="99"/>
                <w:sz w:val="21"/>
              </w:rPr>
              <w:t>0</w:t>
            </w:r>
          </w:p>
        </w:tc>
        <w:tc>
          <w:tcPr>
            <w:tcW w:w="708" w:type="dxa"/>
          </w:tcPr>
          <w:p>
            <w:pPr>
              <w:pStyle w:val="14"/>
              <w:spacing w:before="190"/>
              <w:ind w:left="122" w:right="111"/>
              <w:rPr>
                <w:rFonts w:ascii="Times New Roman"/>
                <w:sz w:val="21"/>
              </w:rPr>
            </w:pPr>
            <w:r>
              <w:rPr>
                <w:rFonts w:ascii="Times New Roman"/>
                <w:sz w:val="21"/>
              </w:rPr>
              <w:t>1.30</w:t>
            </w:r>
          </w:p>
        </w:tc>
        <w:tc>
          <w:tcPr>
            <w:tcW w:w="975" w:type="dxa"/>
          </w:tcPr>
          <w:p>
            <w:pPr>
              <w:pStyle w:val="14"/>
              <w:spacing w:before="190"/>
              <w:ind w:left="150" w:right="139"/>
              <w:rPr>
                <w:rFonts w:ascii="Times New Roman"/>
                <w:sz w:val="21"/>
              </w:rPr>
            </w:pPr>
            <w:r>
              <w:rPr>
                <w:rFonts w:ascii="Times New Roman"/>
                <w:sz w:val="21"/>
              </w:rPr>
              <w:t>0.75/18</w:t>
            </w:r>
          </w:p>
        </w:tc>
        <w:tc>
          <w:tcPr>
            <w:tcW w:w="850" w:type="dxa"/>
          </w:tcPr>
          <w:p>
            <w:pPr>
              <w:pStyle w:val="14"/>
              <w:jc w:val="left"/>
              <w:rPr>
                <w:rFonts w:ascii="Times New Roman"/>
                <w:sz w:val="22"/>
              </w:rPr>
            </w:pPr>
          </w:p>
        </w:tc>
        <w:tc>
          <w:tcPr>
            <w:tcW w:w="851" w:type="dxa"/>
          </w:tcPr>
          <w:p>
            <w:pPr>
              <w:pStyle w:val="14"/>
              <w:jc w:val="left"/>
              <w:rPr>
                <w:rFonts w:ascii="Times New Roman"/>
                <w:sz w:val="22"/>
              </w:rPr>
            </w:pPr>
          </w:p>
        </w:tc>
        <w:tc>
          <w:tcPr>
            <w:tcW w:w="850" w:type="dxa"/>
          </w:tcPr>
          <w:p>
            <w:pPr>
              <w:pStyle w:val="14"/>
              <w:jc w:val="left"/>
              <w:rPr>
                <w:rFonts w:ascii="Times New Roman"/>
                <w:sz w:val="22"/>
              </w:rPr>
            </w:pPr>
          </w:p>
        </w:tc>
        <w:tc>
          <w:tcPr>
            <w:tcW w:w="851" w:type="dxa"/>
          </w:tcPr>
          <w:p>
            <w:pPr>
              <w:pStyle w:val="14"/>
              <w:spacing w:before="176"/>
              <w:ind w:left="89" w:right="81"/>
              <w:rPr>
                <w:sz w:val="21"/>
              </w:rPr>
            </w:pPr>
            <w:r>
              <w:rPr>
                <w:sz w:val="21"/>
              </w:rPr>
              <w:t>较稳定</w:t>
            </w:r>
          </w:p>
        </w:tc>
        <w:tc>
          <w:tcPr>
            <w:tcW w:w="709" w:type="dxa"/>
          </w:tcPr>
          <w:p>
            <w:pPr>
              <w:pStyle w:val="14"/>
              <w:spacing w:before="176"/>
              <w:ind w:left="123" w:right="115"/>
              <w:rPr>
                <w:sz w:val="21"/>
              </w:rPr>
            </w:pPr>
            <w:r>
              <w:rPr>
                <w:sz w:val="21"/>
              </w:rPr>
              <w:t>局部</w:t>
            </w:r>
          </w:p>
        </w:tc>
        <w:tc>
          <w:tcPr>
            <w:tcW w:w="1277" w:type="dxa"/>
          </w:tcPr>
          <w:p>
            <w:pPr>
              <w:pStyle w:val="14"/>
              <w:spacing w:before="176"/>
              <w:ind w:left="92" w:right="85"/>
              <w:rPr>
                <w:sz w:val="21"/>
              </w:rPr>
            </w:pPr>
            <w:r>
              <w:rPr>
                <w:sz w:val="21"/>
              </w:rPr>
              <w:t>单一结构。</w:t>
            </w:r>
          </w:p>
        </w:tc>
        <w:tc>
          <w:tcPr>
            <w:tcW w:w="1701" w:type="dxa"/>
          </w:tcPr>
          <w:p>
            <w:pPr>
              <w:pStyle w:val="14"/>
              <w:spacing w:before="20"/>
              <w:ind w:left="114"/>
              <w:jc w:val="left"/>
              <w:rPr>
                <w:sz w:val="21"/>
              </w:rPr>
            </w:pPr>
            <w:r>
              <w:rPr>
                <w:w w:val="95"/>
                <w:sz w:val="21"/>
              </w:rPr>
              <w:t>顶板粉砂岩，底</w:t>
            </w:r>
          </w:p>
          <w:p>
            <w:pPr>
              <w:pStyle w:val="14"/>
              <w:spacing w:before="43"/>
              <w:ind w:left="114"/>
              <w:jc w:val="left"/>
              <w:rPr>
                <w:sz w:val="21"/>
              </w:rPr>
            </w:pPr>
            <w:r>
              <w:rPr>
                <w:w w:val="95"/>
                <w:sz w:val="21"/>
              </w:rPr>
              <w:t>板粉砂岩或互层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74" w:type="dxa"/>
          </w:tcPr>
          <w:p>
            <w:pPr>
              <w:pStyle w:val="14"/>
              <w:spacing w:before="190"/>
              <w:ind w:left="105" w:right="94"/>
              <w:rPr>
                <w:rFonts w:ascii="Times New Roman"/>
                <w:sz w:val="21"/>
              </w:rPr>
            </w:pPr>
            <w:r>
              <w:rPr>
                <w:rFonts w:ascii="Times New Roman"/>
                <w:sz w:val="21"/>
              </w:rPr>
              <w:t>15</w:t>
            </w:r>
          </w:p>
        </w:tc>
        <w:tc>
          <w:tcPr>
            <w:tcW w:w="708" w:type="dxa"/>
          </w:tcPr>
          <w:p>
            <w:pPr>
              <w:pStyle w:val="14"/>
              <w:spacing w:before="190"/>
              <w:ind w:left="6"/>
              <w:rPr>
                <w:rFonts w:ascii="Times New Roman"/>
                <w:sz w:val="21"/>
              </w:rPr>
            </w:pPr>
            <w:r>
              <w:rPr>
                <w:rFonts w:ascii="Times New Roman"/>
                <w:w w:val="99"/>
                <w:sz w:val="21"/>
              </w:rPr>
              <w:t>0</w:t>
            </w:r>
          </w:p>
        </w:tc>
        <w:tc>
          <w:tcPr>
            <w:tcW w:w="708" w:type="dxa"/>
          </w:tcPr>
          <w:p>
            <w:pPr>
              <w:pStyle w:val="14"/>
              <w:spacing w:before="190"/>
              <w:ind w:left="122" w:right="113"/>
              <w:rPr>
                <w:rFonts w:ascii="Times New Roman"/>
                <w:sz w:val="21"/>
              </w:rPr>
            </w:pPr>
            <w:r>
              <w:rPr>
                <w:rFonts w:ascii="Times New Roman"/>
                <w:sz w:val="21"/>
              </w:rPr>
              <w:t>1.70</w:t>
            </w:r>
          </w:p>
        </w:tc>
        <w:tc>
          <w:tcPr>
            <w:tcW w:w="975" w:type="dxa"/>
          </w:tcPr>
          <w:p>
            <w:pPr>
              <w:pStyle w:val="14"/>
              <w:spacing w:before="190"/>
              <w:ind w:left="150" w:right="139"/>
              <w:rPr>
                <w:rFonts w:ascii="Times New Roman"/>
                <w:sz w:val="21"/>
              </w:rPr>
            </w:pPr>
            <w:r>
              <w:rPr>
                <w:rFonts w:ascii="Times New Roman"/>
                <w:sz w:val="21"/>
              </w:rPr>
              <w:t>1.24/19</w:t>
            </w:r>
          </w:p>
        </w:tc>
        <w:tc>
          <w:tcPr>
            <w:tcW w:w="850" w:type="dxa"/>
          </w:tcPr>
          <w:p>
            <w:pPr>
              <w:pStyle w:val="14"/>
              <w:spacing w:before="190"/>
              <w:ind w:left="159" w:right="149"/>
              <w:rPr>
                <w:rFonts w:ascii="Times New Roman"/>
                <w:sz w:val="21"/>
              </w:rPr>
            </w:pPr>
            <w:r>
              <w:rPr>
                <w:rFonts w:ascii="Times New Roman"/>
                <w:sz w:val="21"/>
              </w:rPr>
              <w:t>20.95</w:t>
            </w:r>
          </w:p>
        </w:tc>
        <w:tc>
          <w:tcPr>
            <w:tcW w:w="851" w:type="dxa"/>
          </w:tcPr>
          <w:p>
            <w:pPr>
              <w:pStyle w:val="14"/>
              <w:spacing w:before="190"/>
              <w:ind w:left="188"/>
              <w:jc w:val="left"/>
              <w:rPr>
                <w:rFonts w:ascii="Times New Roman"/>
                <w:sz w:val="21"/>
              </w:rPr>
            </w:pPr>
            <w:r>
              <w:rPr>
                <w:rFonts w:ascii="Times New Roman"/>
                <w:sz w:val="21"/>
              </w:rPr>
              <w:t>21.70</w:t>
            </w:r>
          </w:p>
        </w:tc>
        <w:tc>
          <w:tcPr>
            <w:tcW w:w="850" w:type="dxa"/>
          </w:tcPr>
          <w:p>
            <w:pPr>
              <w:pStyle w:val="14"/>
              <w:spacing w:before="190"/>
              <w:ind w:left="159" w:right="151"/>
              <w:rPr>
                <w:rFonts w:ascii="Times New Roman"/>
                <w:sz w:val="21"/>
              </w:rPr>
            </w:pPr>
            <w:r>
              <w:rPr>
                <w:rFonts w:ascii="Times New Roman"/>
                <w:sz w:val="21"/>
              </w:rPr>
              <w:t>20-35</w:t>
            </w:r>
          </w:p>
        </w:tc>
        <w:tc>
          <w:tcPr>
            <w:tcW w:w="851" w:type="dxa"/>
          </w:tcPr>
          <w:p>
            <w:pPr>
              <w:pStyle w:val="14"/>
              <w:spacing w:before="176"/>
              <w:ind w:left="89" w:right="81"/>
              <w:rPr>
                <w:sz w:val="21"/>
              </w:rPr>
            </w:pPr>
            <w:r>
              <w:rPr>
                <w:sz w:val="21"/>
              </w:rPr>
              <w:t>较稳定</w:t>
            </w:r>
          </w:p>
        </w:tc>
        <w:tc>
          <w:tcPr>
            <w:tcW w:w="709" w:type="dxa"/>
          </w:tcPr>
          <w:p>
            <w:pPr>
              <w:pStyle w:val="14"/>
              <w:spacing w:before="176"/>
              <w:ind w:left="123" w:right="115"/>
              <w:rPr>
                <w:sz w:val="21"/>
              </w:rPr>
            </w:pPr>
            <w:r>
              <w:rPr>
                <w:sz w:val="21"/>
              </w:rPr>
              <w:t>局部</w:t>
            </w:r>
          </w:p>
        </w:tc>
        <w:tc>
          <w:tcPr>
            <w:tcW w:w="1277" w:type="dxa"/>
          </w:tcPr>
          <w:p>
            <w:pPr>
              <w:pStyle w:val="14"/>
              <w:spacing w:before="176"/>
              <w:ind w:left="92" w:right="85"/>
              <w:rPr>
                <w:sz w:val="21"/>
              </w:rPr>
            </w:pPr>
            <w:r>
              <w:rPr>
                <w:sz w:val="21"/>
              </w:rPr>
              <w:t>单一结构。</w:t>
            </w:r>
          </w:p>
        </w:tc>
        <w:tc>
          <w:tcPr>
            <w:tcW w:w="1701" w:type="dxa"/>
          </w:tcPr>
          <w:p>
            <w:pPr>
              <w:pStyle w:val="14"/>
              <w:spacing w:before="20"/>
              <w:ind w:left="94" w:right="87"/>
              <w:rPr>
                <w:sz w:val="21"/>
              </w:rPr>
            </w:pPr>
            <w:r>
              <w:rPr>
                <w:sz w:val="21"/>
              </w:rPr>
              <w:t>顶板细砂岩，底</w:t>
            </w:r>
          </w:p>
          <w:p>
            <w:pPr>
              <w:pStyle w:val="14"/>
              <w:spacing w:before="43"/>
              <w:ind w:left="92" w:right="87"/>
              <w:rPr>
                <w:sz w:val="21"/>
              </w:rPr>
            </w:pPr>
            <w:r>
              <w:rPr>
                <w:sz w:val="21"/>
              </w:rPr>
              <w:t>板粉砂岩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74" w:type="dxa"/>
          </w:tcPr>
          <w:p>
            <w:pPr>
              <w:pStyle w:val="14"/>
              <w:spacing w:before="192"/>
              <w:ind w:left="105" w:right="94"/>
              <w:rPr>
                <w:rFonts w:ascii="Times New Roman"/>
                <w:sz w:val="21"/>
              </w:rPr>
            </w:pPr>
            <w:r>
              <w:rPr>
                <w:rFonts w:ascii="Times New Roman"/>
                <w:sz w:val="21"/>
              </w:rPr>
              <w:t>20</w:t>
            </w:r>
          </w:p>
        </w:tc>
        <w:tc>
          <w:tcPr>
            <w:tcW w:w="708" w:type="dxa"/>
          </w:tcPr>
          <w:p>
            <w:pPr>
              <w:pStyle w:val="14"/>
              <w:spacing w:before="192"/>
              <w:ind w:left="122" w:right="113"/>
              <w:rPr>
                <w:rFonts w:ascii="Times New Roman"/>
                <w:sz w:val="21"/>
              </w:rPr>
            </w:pPr>
            <w:r>
              <w:rPr>
                <w:rFonts w:ascii="Times New Roman"/>
                <w:sz w:val="21"/>
              </w:rPr>
              <w:t>0.39</w:t>
            </w:r>
          </w:p>
        </w:tc>
        <w:tc>
          <w:tcPr>
            <w:tcW w:w="708" w:type="dxa"/>
          </w:tcPr>
          <w:p>
            <w:pPr>
              <w:pStyle w:val="14"/>
              <w:spacing w:before="192"/>
              <w:ind w:left="122" w:right="111"/>
              <w:rPr>
                <w:rFonts w:ascii="Times New Roman"/>
                <w:sz w:val="21"/>
              </w:rPr>
            </w:pPr>
            <w:r>
              <w:rPr>
                <w:rFonts w:ascii="Times New Roman"/>
                <w:sz w:val="21"/>
              </w:rPr>
              <w:t>1.22</w:t>
            </w:r>
          </w:p>
        </w:tc>
        <w:tc>
          <w:tcPr>
            <w:tcW w:w="975" w:type="dxa"/>
          </w:tcPr>
          <w:p>
            <w:pPr>
              <w:pStyle w:val="14"/>
              <w:spacing w:before="192"/>
              <w:ind w:left="145" w:right="139"/>
              <w:rPr>
                <w:rFonts w:ascii="Times New Roman"/>
                <w:sz w:val="21"/>
              </w:rPr>
            </w:pPr>
            <w:r>
              <w:rPr>
                <w:rFonts w:ascii="Times New Roman"/>
                <w:sz w:val="21"/>
              </w:rPr>
              <w:t>0.84/9</w:t>
            </w:r>
          </w:p>
        </w:tc>
        <w:tc>
          <w:tcPr>
            <w:tcW w:w="850" w:type="dxa"/>
          </w:tcPr>
          <w:p>
            <w:pPr>
              <w:pStyle w:val="14"/>
              <w:spacing w:before="192"/>
              <w:ind w:left="159" w:right="149"/>
              <w:rPr>
                <w:rFonts w:ascii="Times New Roman"/>
                <w:sz w:val="21"/>
              </w:rPr>
            </w:pPr>
            <w:r>
              <w:rPr>
                <w:rFonts w:ascii="Times New Roman"/>
                <w:sz w:val="21"/>
              </w:rPr>
              <w:t>21.50</w:t>
            </w:r>
          </w:p>
        </w:tc>
        <w:tc>
          <w:tcPr>
            <w:tcW w:w="851" w:type="dxa"/>
          </w:tcPr>
          <w:p>
            <w:pPr>
              <w:pStyle w:val="14"/>
              <w:spacing w:before="192"/>
              <w:ind w:left="188"/>
              <w:jc w:val="left"/>
              <w:rPr>
                <w:rFonts w:ascii="Times New Roman"/>
                <w:sz w:val="21"/>
              </w:rPr>
            </w:pPr>
            <w:r>
              <w:rPr>
                <w:rFonts w:ascii="Times New Roman"/>
                <w:sz w:val="21"/>
              </w:rPr>
              <w:t>26.39</w:t>
            </w:r>
          </w:p>
        </w:tc>
        <w:tc>
          <w:tcPr>
            <w:tcW w:w="850" w:type="dxa"/>
          </w:tcPr>
          <w:p>
            <w:pPr>
              <w:pStyle w:val="14"/>
              <w:spacing w:before="192"/>
              <w:ind w:left="159" w:right="151"/>
              <w:rPr>
                <w:rFonts w:ascii="Times New Roman"/>
                <w:sz w:val="21"/>
              </w:rPr>
            </w:pPr>
            <w:r>
              <w:rPr>
                <w:rFonts w:ascii="Times New Roman"/>
                <w:sz w:val="21"/>
              </w:rPr>
              <w:t>25</w:t>
            </w:r>
          </w:p>
        </w:tc>
        <w:tc>
          <w:tcPr>
            <w:tcW w:w="851" w:type="dxa"/>
          </w:tcPr>
          <w:p>
            <w:pPr>
              <w:pStyle w:val="14"/>
              <w:spacing w:before="178"/>
              <w:ind w:left="89" w:right="81"/>
              <w:rPr>
                <w:sz w:val="21"/>
              </w:rPr>
            </w:pPr>
            <w:r>
              <w:rPr>
                <w:sz w:val="21"/>
              </w:rPr>
              <w:t>较稳定</w:t>
            </w:r>
          </w:p>
        </w:tc>
        <w:tc>
          <w:tcPr>
            <w:tcW w:w="709" w:type="dxa"/>
          </w:tcPr>
          <w:p>
            <w:pPr>
              <w:pStyle w:val="14"/>
              <w:spacing w:before="178"/>
              <w:ind w:left="123" w:right="115"/>
              <w:rPr>
                <w:sz w:val="21"/>
              </w:rPr>
            </w:pPr>
            <w:r>
              <w:rPr>
                <w:sz w:val="21"/>
              </w:rPr>
              <w:t>局部</w:t>
            </w:r>
          </w:p>
        </w:tc>
        <w:tc>
          <w:tcPr>
            <w:tcW w:w="1277" w:type="dxa"/>
          </w:tcPr>
          <w:p>
            <w:pPr>
              <w:pStyle w:val="14"/>
              <w:spacing w:before="22"/>
              <w:ind w:left="112"/>
              <w:jc w:val="left"/>
              <w:rPr>
                <w:sz w:val="21"/>
              </w:rPr>
            </w:pPr>
            <w:r>
              <w:rPr>
                <w:w w:val="95"/>
                <w:sz w:val="21"/>
              </w:rPr>
              <w:t>简单结构，</w:t>
            </w:r>
          </w:p>
          <w:p>
            <w:pPr>
              <w:pStyle w:val="14"/>
              <w:spacing w:before="43"/>
              <w:ind w:left="112"/>
              <w:jc w:val="left"/>
              <w:rPr>
                <w:sz w:val="21"/>
              </w:rPr>
            </w:pPr>
            <w:r>
              <w:rPr>
                <w:w w:val="95"/>
                <w:sz w:val="21"/>
              </w:rPr>
              <w:t>有一层夹石</w:t>
            </w:r>
          </w:p>
        </w:tc>
        <w:tc>
          <w:tcPr>
            <w:tcW w:w="1701" w:type="dxa"/>
          </w:tcPr>
          <w:p>
            <w:pPr>
              <w:pStyle w:val="14"/>
              <w:spacing w:before="22"/>
              <w:ind w:left="94" w:right="87"/>
              <w:rPr>
                <w:sz w:val="21"/>
              </w:rPr>
            </w:pPr>
            <w:r>
              <w:rPr>
                <w:sz w:val="21"/>
              </w:rPr>
              <w:t>顶板粉砂岩，底</w:t>
            </w:r>
          </w:p>
          <w:p>
            <w:pPr>
              <w:pStyle w:val="14"/>
              <w:spacing w:before="43"/>
              <w:ind w:left="92" w:right="87"/>
              <w:rPr>
                <w:sz w:val="21"/>
              </w:rPr>
            </w:pPr>
            <w:r>
              <w:rPr>
                <w:sz w:val="21"/>
              </w:rPr>
              <w:t>板粉砂岩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74" w:type="dxa"/>
          </w:tcPr>
          <w:p>
            <w:pPr>
              <w:pStyle w:val="14"/>
              <w:spacing w:before="191"/>
              <w:ind w:left="105" w:right="94"/>
              <w:rPr>
                <w:rFonts w:ascii="Times New Roman"/>
                <w:sz w:val="21"/>
              </w:rPr>
            </w:pPr>
            <w:r>
              <w:rPr>
                <w:rFonts w:ascii="Times New Roman"/>
                <w:sz w:val="21"/>
              </w:rPr>
              <w:t>30</w:t>
            </w:r>
          </w:p>
        </w:tc>
        <w:tc>
          <w:tcPr>
            <w:tcW w:w="708" w:type="dxa"/>
          </w:tcPr>
          <w:p>
            <w:pPr>
              <w:pStyle w:val="14"/>
              <w:spacing w:before="191"/>
              <w:ind w:left="6"/>
              <w:rPr>
                <w:rFonts w:ascii="Times New Roman"/>
                <w:sz w:val="21"/>
              </w:rPr>
            </w:pPr>
            <w:r>
              <w:rPr>
                <w:rFonts w:ascii="Times New Roman"/>
                <w:w w:val="99"/>
                <w:sz w:val="21"/>
              </w:rPr>
              <w:t>0</w:t>
            </w:r>
          </w:p>
        </w:tc>
        <w:tc>
          <w:tcPr>
            <w:tcW w:w="708" w:type="dxa"/>
          </w:tcPr>
          <w:p>
            <w:pPr>
              <w:pStyle w:val="14"/>
              <w:spacing w:before="191"/>
              <w:ind w:left="122" w:right="111"/>
              <w:rPr>
                <w:rFonts w:ascii="Times New Roman"/>
                <w:sz w:val="21"/>
              </w:rPr>
            </w:pPr>
            <w:r>
              <w:rPr>
                <w:rFonts w:ascii="Times New Roman"/>
                <w:sz w:val="21"/>
              </w:rPr>
              <w:t>0.80</w:t>
            </w:r>
          </w:p>
        </w:tc>
        <w:tc>
          <w:tcPr>
            <w:tcW w:w="975" w:type="dxa"/>
          </w:tcPr>
          <w:p>
            <w:pPr>
              <w:pStyle w:val="14"/>
              <w:spacing w:before="191"/>
              <w:ind w:left="150" w:right="139"/>
              <w:rPr>
                <w:rFonts w:ascii="Times New Roman"/>
                <w:sz w:val="21"/>
              </w:rPr>
            </w:pPr>
            <w:r>
              <w:rPr>
                <w:rFonts w:ascii="Times New Roman"/>
                <w:sz w:val="21"/>
              </w:rPr>
              <w:t>0.62/11</w:t>
            </w:r>
          </w:p>
        </w:tc>
        <w:tc>
          <w:tcPr>
            <w:tcW w:w="850" w:type="dxa"/>
          </w:tcPr>
          <w:p>
            <w:pPr>
              <w:pStyle w:val="14"/>
              <w:spacing w:before="191"/>
              <w:ind w:left="159" w:right="149"/>
              <w:rPr>
                <w:rFonts w:ascii="Times New Roman"/>
                <w:sz w:val="21"/>
              </w:rPr>
            </w:pPr>
            <w:r>
              <w:rPr>
                <w:rFonts w:ascii="Times New Roman"/>
                <w:sz w:val="21"/>
              </w:rPr>
              <w:t>39.50</w:t>
            </w:r>
          </w:p>
        </w:tc>
        <w:tc>
          <w:tcPr>
            <w:tcW w:w="851" w:type="dxa"/>
          </w:tcPr>
          <w:p>
            <w:pPr>
              <w:pStyle w:val="14"/>
              <w:spacing w:before="191"/>
              <w:ind w:left="188"/>
              <w:jc w:val="left"/>
              <w:rPr>
                <w:rFonts w:ascii="Times New Roman"/>
                <w:sz w:val="21"/>
              </w:rPr>
            </w:pPr>
            <w:r>
              <w:rPr>
                <w:rFonts w:ascii="Times New Roman"/>
                <w:sz w:val="21"/>
              </w:rPr>
              <w:t>48.30</w:t>
            </w:r>
          </w:p>
        </w:tc>
        <w:tc>
          <w:tcPr>
            <w:tcW w:w="850" w:type="dxa"/>
          </w:tcPr>
          <w:p>
            <w:pPr>
              <w:pStyle w:val="14"/>
              <w:spacing w:before="191"/>
              <w:ind w:left="159" w:right="151"/>
              <w:rPr>
                <w:rFonts w:ascii="Times New Roman"/>
                <w:sz w:val="21"/>
              </w:rPr>
            </w:pPr>
            <w:r>
              <w:rPr>
                <w:rFonts w:ascii="Times New Roman"/>
                <w:sz w:val="21"/>
              </w:rPr>
              <w:t>35-45</w:t>
            </w:r>
          </w:p>
        </w:tc>
        <w:tc>
          <w:tcPr>
            <w:tcW w:w="851" w:type="dxa"/>
          </w:tcPr>
          <w:p>
            <w:pPr>
              <w:pStyle w:val="14"/>
              <w:spacing w:before="177"/>
              <w:ind w:left="89" w:right="81"/>
              <w:rPr>
                <w:sz w:val="21"/>
              </w:rPr>
            </w:pPr>
            <w:r>
              <w:rPr>
                <w:sz w:val="21"/>
              </w:rPr>
              <w:t>较稳定</w:t>
            </w:r>
          </w:p>
        </w:tc>
        <w:tc>
          <w:tcPr>
            <w:tcW w:w="709" w:type="dxa"/>
          </w:tcPr>
          <w:p>
            <w:pPr>
              <w:pStyle w:val="14"/>
              <w:spacing w:before="177"/>
              <w:ind w:left="123" w:right="115"/>
              <w:rPr>
                <w:sz w:val="21"/>
              </w:rPr>
            </w:pPr>
            <w:r>
              <w:rPr>
                <w:sz w:val="21"/>
              </w:rPr>
              <w:t>局部</w:t>
            </w:r>
          </w:p>
        </w:tc>
        <w:tc>
          <w:tcPr>
            <w:tcW w:w="1277" w:type="dxa"/>
          </w:tcPr>
          <w:p>
            <w:pPr>
              <w:pStyle w:val="14"/>
              <w:spacing w:before="177"/>
              <w:ind w:left="92" w:right="85"/>
              <w:rPr>
                <w:sz w:val="21"/>
              </w:rPr>
            </w:pPr>
            <w:r>
              <w:rPr>
                <w:sz w:val="21"/>
              </w:rPr>
              <w:t>单一结构</w:t>
            </w:r>
          </w:p>
        </w:tc>
        <w:tc>
          <w:tcPr>
            <w:tcW w:w="1701" w:type="dxa"/>
          </w:tcPr>
          <w:p>
            <w:pPr>
              <w:pStyle w:val="14"/>
              <w:spacing w:before="22"/>
              <w:ind w:left="94" w:right="87"/>
              <w:rPr>
                <w:sz w:val="21"/>
              </w:rPr>
            </w:pPr>
            <w:r>
              <w:rPr>
                <w:sz w:val="21"/>
              </w:rPr>
              <w:t>顶板细砂岩，底</w:t>
            </w:r>
          </w:p>
          <w:p>
            <w:pPr>
              <w:pStyle w:val="14"/>
              <w:spacing w:before="42"/>
              <w:ind w:left="92" w:right="87"/>
              <w:rPr>
                <w:sz w:val="21"/>
              </w:rPr>
            </w:pPr>
            <w:r>
              <w:rPr>
                <w:sz w:val="21"/>
              </w:rPr>
              <w:t>板细砂岩</w:t>
            </w:r>
          </w:p>
        </w:tc>
      </w:tr>
    </w:tbl>
    <w:p>
      <w:pPr>
        <w:pStyle w:val="6"/>
        <w:spacing w:before="1"/>
        <w:ind w:left="1520"/>
      </w:pPr>
      <w:r>
        <w:t>（三）煤质</w:t>
      </w:r>
    </w:p>
    <w:p>
      <w:pPr>
        <w:pStyle w:val="6"/>
        <w:spacing w:before="160" w:line="364" w:lineRule="auto"/>
        <w:ind w:left="1040" w:right="1077" w:firstLine="480"/>
        <w:jc w:val="both"/>
      </w:pPr>
      <w:r>
        <w:rPr>
          <w:spacing w:val="-9"/>
        </w:rPr>
        <w:t>依据《双鸭山市横头山区小井勘探地质报告》、《东煤公司双鸭山矿务局岭</w:t>
      </w:r>
      <w:r>
        <w:rPr>
          <w:spacing w:val="-8"/>
        </w:rPr>
        <w:t>东六井长山扩大区地质勘探报告》和《双鸭山市岭东区顺达煤井生产补充勘探地</w:t>
      </w:r>
      <w:r>
        <w:t>质报告》的煤质测试成果，具体如下。</w:t>
      </w:r>
    </w:p>
    <w:p>
      <w:pPr>
        <w:pStyle w:val="6"/>
        <w:spacing w:line="305" w:lineRule="exact"/>
        <w:ind w:left="1520"/>
      </w:pPr>
      <w:r>
        <w:rPr>
          <w:rFonts w:ascii="Times New Roman" w:eastAsia="Times New Roman"/>
        </w:rPr>
        <w:t>1</w:t>
      </w:r>
      <w:r>
        <w:t>、煤的物理性质特征</w:t>
      </w:r>
    </w:p>
    <w:p>
      <w:pPr>
        <w:pStyle w:val="6"/>
        <w:spacing w:before="161" w:line="364" w:lineRule="auto"/>
        <w:ind w:left="1040" w:right="1077" w:firstLine="480"/>
      </w:pPr>
      <w:r>
        <w:t>该区宏观煤岩类型以光亮</w:t>
      </w:r>
      <w:r>
        <w:rPr>
          <w:rFonts w:ascii="Times New Roman" w:eastAsia="Times New Roman"/>
        </w:rPr>
        <w:t>-</w:t>
      </w:r>
      <w:r>
        <w:t>半亮煤为主，黑色，条痕为黑褐色。其组分以亮</w:t>
      </w:r>
      <w:r>
        <w:rPr>
          <w:spacing w:val="-11"/>
        </w:rPr>
        <w:t>煤为主。呈线状、层状构造，煤层硬度较高，且较为致密。显微镜下观察，煤岩</w:t>
      </w:r>
    </w:p>
    <w:p>
      <w:pPr>
        <w:spacing w:after="0" w:line="364" w:lineRule="auto"/>
        <w:sectPr>
          <w:pgSz w:w="11910" w:h="16840"/>
          <w:pgMar w:top="1080" w:right="720" w:bottom="1160" w:left="760" w:header="0" w:footer="97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79" name="组合 52"/>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78" name="直线 53"/>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52"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aCLtQAAAADAQAADwAAAAAAAAABACAAAAAiAAAAZHJzL2Rvd25yZXYueG1s&#10;UEsBAhQAFAAAAAgAh07iQPS1q2U1AgAAtgQAAA4AAAAAAAAAAQAgAAAAIwEAAGRycy9lMm9Eb2Mu&#10;eG1sUEsFBgAAAAAGAAYAWQEAAMoFAAAAAA==&#10;">
                <o:lock v:ext="edit" aspectratio="f"/>
                <v:line id="直线 53" o:spid="_x0000_s1026" o:spt="20" style="position:absolute;left:0;top:7;height:0;width:8306;" filled="f" stroked="t" coordsize="21600,21600" o:gfxdata="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vyTT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pStyle w:val="6"/>
        <w:spacing w:before="5"/>
        <w:rPr>
          <w:sz w:val="19"/>
        </w:rPr>
      </w:pPr>
    </w:p>
    <w:p>
      <w:pPr>
        <w:pStyle w:val="6"/>
        <w:spacing w:before="74" w:line="364" w:lineRule="auto"/>
        <w:ind w:left="1040" w:right="957"/>
        <w:jc w:val="both"/>
      </w:pPr>
      <w:r>
        <w:t>组分，无结构镜煤为主，其次为凝胶化基质体，含量占</w:t>
      </w:r>
      <w:r>
        <w:rPr>
          <w:rFonts w:ascii="Times New Roman" w:hAnsi="Times New Roman" w:eastAsia="Times New Roman"/>
        </w:rPr>
        <w:t>76%</w:t>
      </w:r>
      <w:r>
        <w:t xml:space="preserve">，半凝胶化基质体， </w:t>
      </w:r>
      <w:r>
        <w:rPr>
          <w:spacing w:val="-1"/>
        </w:rPr>
        <w:t>半镜煤体，木质结构镜煤占</w:t>
      </w:r>
      <w:r>
        <w:rPr>
          <w:rFonts w:ascii="Times New Roman" w:hAnsi="Times New Roman" w:eastAsia="Times New Roman"/>
        </w:rPr>
        <w:t>7%</w:t>
      </w:r>
      <w:r>
        <w:rPr>
          <w:spacing w:val="-1"/>
        </w:rPr>
        <w:t>，丝炭、半丝炭及镜煤丝炭占</w:t>
      </w:r>
      <w:r>
        <w:rPr>
          <w:rFonts w:ascii="Times New Roman" w:hAnsi="Times New Roman" w:eastAsia="Times New Roman"/>
        </w:rPr>
        <w:t>6%</w:t>
      </w:r>
      <w:r>
        <w:t>，稳定组分包括胶质层，孢子体占</w:t>
      </w:r>
      <w:r>
        <w:rPr>
          <w:rFonts w:ascii="Times New Roman" w:hAnsi="Times New Roman" w:eastAsia="Times New Roman"/>
          <w:spacing w:val="2"/>
        </w:rPr>
        <w:t>1%</w:t>
      </w:r>
      <w:r>
        <w:t>，矿物杂质主要为黏土，硫酸岩，石英占</w:t>
      </w:r>
      <w:r>
        <w:rPr>
          <w:rFonts w:ascii="Times New Roman" w:hAnsi="Times New Roman" w:eastAsia="Times New Roman"/>
        </w:rPr>
        <w:t>10%</w:t>
      </w:r>
      <w:r>
        <w:t>，初步确定</w:t>
      </w:r>
      <w:r>
        <w:rPr>
          <w:spacing w:val="-6"/>
        </w:rPr>
        <w:t>显微煤岩类型为腐植煤类，亮煤型混合煤种。反射率</w:t>
      </w:r>
      <w:r>
        <w:rPr>
          <w:rFonts w:ascii="Times New Roman" w:hAnsi="Times New Roman" w:eastAsia="Times New Roman"/>
          <w:spacing w:val="-7"/>
        </w:rPr>
        <w:t>0.95%</w:t>
      </w:r>
      <w:r>
        <w:rPr>
          <w:spacing w:val="-5"/>
        </w:rPr>
        <w:t>，变质程度为Ⅲ阶段。</w:t>
      </w:r>
    </w:p>
    <w:p>
      <w:pPr>
        <w:pStyle w:val="6"/>
        <w:spacing w:line="305" w:lineRule="exact"/>
        <w:ind w:left="1520"/>
      </w:pPr>
      <w:r>
        <w:t>煤的物理性质特征见表</w:t>
      </w:r>
      <w:r>
        <w:rPr>
          <w:rFonts w:ascii="Times New Roman" w:eastAsia="Times New Roman"/>
        </w:rPr>
        <w:t>3.3-9</w:t>
      </w:r>
      <w:r>
        <w:t>。</w:t>
      </w:r>
    </w:p>
    <w:p>
      <w:pPr>
        <w:pStyle w:val="5"/>
        <w:spacing w:before="161"/>
        <w:ind w:left="1553" w:right="1106"/>
        <w:jc w:val="center"/>
      </w:pPr>
      <w:r>
        <w:t>表</w:t>
      </w:r>
      <w:r>
        <w:rPr>
          <w:rFonts w:ascii="Times New Roman" w:eastAsia="Times New Roman"/>
        </w:rPr>
        <w:t>3.3-9</w:t>
      </w:r>
      <w:r>
        <w:t>煤的物理性质特征表</w:t>
      </w:r>
    </w:p>
    <w:p>
      <w:pPr>
        <w:pStyle w:val="6"/>
        <w:spacing w:before="3"/>
        <w:rPr>
          <w:b/>
          <w:sz w:val="12"/>
        </w:rPr>
      </w:pPr>
    </w:p>
    <w:tbl>
      <w:tblPr>
        <w:tblStyle w:val="10"/>
        <w:tblW w:w="0" w:type="auto"/>
        <w:tblInd w:w="9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75"/>
        <w:gridCol w:w="1876"/>
        <w:gridCol w:w="1877"/>
        <w:gridCol w:w="1876"/>
        <w:gridCol w:w="18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1875" w:type="dxa"/>
          </w:tcPr>
          <w:p>
            <w:pPr>
              <w:pStyle w:val="14"/>
              <w:spacing w:before="95"/>
              <w:ind w:left="600" w:right="594"/>
              <w:rPr>
                <w:sz w:val="21"/>
              </w:rPr>
            </w:pPr>
            <w:r>
              <w:rPr>
                <w:sz w:val="21"/>
              </w:rPr>
              <w:t>稳质组</w:t>
            </w:r>
          </w:p>
        </w:tc>
        <w:tc>
          <w:tcPr>
            <w:tcW w:w="1876" w:type="dxa"/>
          </w:tcPr>
          <w:p>
            <w:pPr>
              <w:pStyle w:val="14"/>
              <w:spacing w:before="95"/>
              <w:ind w:left="495" w:right="489"/>
              <w:rPr>
                <w:sz w:val="21"/>
              </w:rPr>
            </w:pPr>
            <w:r>
              <w:rPr>
                <w:sz w:val="21"/>
              </w:rPr>
              <w:t>半稳质组</w:t>
            </w:r>
          </w:p>
        </w:tc>
        <w:tc>
          <w:tcPr>
            <w:tcW w:w="1877" w:type="dxa"/>
          </w:tcPr>
          <w:p>
            <w:pPr>
              <w:pStyle w:val="14"/>
              <w:spacing w:before="95"/>
              <w:ind w:left="601" w:right="596"/>
              <w:rPr>
                <w:sz w:val="21"/>
              </w:rPr>
            </w:pPr>
            <w:r>
              <w:rPr>
                <w:sz w:val="21"/>
              </w:rPr>
              <w:t>丝质组</w:t>
            </w:r>
          </w:p>
        </w:tc>
        <w:tc>
          <w:tcPr>
            <w:tcW w:w="1876" w:type="dxa"/>
          </w:tcPr>
          <w:p>
            <w:pPr>
              <w:pStyle w:val="14"/>
              <w:spacing w:before="95"/>
              <w:ind w:left="495" w:right="485"/>
              <w:rPr>
                <w:sz w:val="21"/>
              </w:rPr>
            </w:pPr>
            <w:r>
              <w:rPr>
                <w:sz w:val="21"/>
              </w:rPr>
              <w:t>稳定组</w:t>
            </w:r>
          </w:p>
        </w:tc>
        <w:tc>
          <w:tcPr>
            <w:tcW w:w="1876" w:type="dxa"/>
          </w:tcPr>
          <w:p>
            <w:pPr>
              <w:pStyle w:val="14"/>
              <w:spacing w:before="95"/>
              <w:ind w:left="494" w:right="490"/>
              <w:rPr>
                <w:sz w:val="21"/>
              </w:rPr>
            </w:pPr>
            <w:r>
              <w:rPr>
                <w:sz w:val="21"/>
              </w:rPr>
              <w:t>岩矿杂质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875" w:type="dxa"/>
          </w:tcPr>
          <w:p>
            <w:pPr>
              <w:pStyle w:val="14"/>
              <w:spacing w:before="118"/>
              <w:ind w:left="600" w:right="590"/>
              <w:rPr>
                <w:rFonts w:ascii="Times New Roman"/>
                <w:sz w:val="21"/>
              </w:rPr>
            </w:pPr>
            <w:r>
              <w:rPr>
                <w:rFonts w:ascii="Times New Roman"/>
                <w:sz w:val="21"/>
              </w:rPr>
              <w:t>76.03</w:t>
            </w:r>
          </w:p>
        </w:tc>
        <w:tc>
          <w:tcPr>
            <w:tcW w:w="1876" w:type="dxa"/>
          </w:tcPr>
          <w:p>
            <w:pPr>
              <w:pStyle w:val="14"/>
              <w:spacing w:before="118"/>
              <w:ind w:left="495" w:right="487"/>
              <w:rPr>
                <w:rFonts w:ascii="Times New Roman"/>
                <w:sz w:val="21"/>
              </w:rPr>
            </w:pPr>
            <w:r>
              <w:rPr>
                <w:rFonts w:ascii="Times New Roman"/>
                <w:sz w:val="21"/>
              </w:rPr>
              <w:t>7.19</w:t>
            </w:r>
          </w:p>
        </w:tc>
        <w:tc>
          <w:tcPr>
            <w:tcW w:w="1877" w:type="dxa"/>
          </w:tcPr>
          <w:p>
            <w:pPr>
              <w:pStyle w:val="14"/>
              <w:spacing w:before="118"/>
              <w:ind w:left="601" w:right="593"/>
              <w:rPr>
                <w:rFonts w:ascii="Times New Roman"/>
                <w:sz w:val="21"/>
              </w:rPr>
            </w:pPr>
            <w:r>
              <w:rPr>
                <w:rFonts w:ascii="Times New Roman"/>
                <w:sz w:val="21"/>
              </w:rPr>
              <w:t>5.82</w:t>
            </w:r>
          </w:p>
        </w:tc>
        <w:tc>
          <w:tcPr>
            <w:tcW w:w="1876" w:type="dxa"/>
          </w:tcPr>
          <w:p>
            <w:pPr>
              <w:pStyle w:val="14"/>
              <w:spacing w:before="118"/>
              <w:ind w:left="495" w:right="486"/>
              <w:rPr>
                <w:rFonts w:ascii="Times New Roman"/>
                <w:sz w:val="21"/>
              </w:rPr>
            </w:pPr>
            <w:r>
              <w:rPr>
                <w:rFonts w:ascii="Times New Roman"/>
                <w:sz w:val="21"/>
              </w:rPr>
              <w:t>1.20</w:t>
            </w:r>
          </w:p>
        </w:tc>
        <w:tc>
          <w:tcPr>
            <w:tcW w:w="1876" w:type="dxa"/>
          </w:tcPr>
          <w:p>
            <w:pPr>
              <w:pStyle w:val="14"/>
              <w:spacing w:before="118"/>
              <w:ind w:left="495" w:right="485"/>
              <w:rPr>
                <w:rFonts w:ascii="Times New Roman"/>
                <w:sz w:val="21"/>
              </w:rPr>
            </w:pPr>
            <w:r>
              <w:rPr>
                <w:rFonts w:ascii="Times New Roman"/>
                <w:sz w:val="21"/>
              </w:rPr>
              <w:t>11.13</w:t>
            </w:r>
          </w:p>
        </w:tc>
      </w:tr>
    </w:tbl>
    <w:p>
      <w:pPr>
        <w:pStyle w:val="6"/>
        <w:spacing w:before="3"/>
        <w:ind w:left="1520"/>
      </w:pPr>
      <w:r>
        <w:rPr>
          <w:rFonts w:ascii="Times New Roman" w:eastAsia="Times New Roman"/>
        </w:rPr>
        <w:t>2</w:t>
      </w:r>
      <w:r>
        <w:t>、煤的化学性质特征和工艺性能</w:t>
      </w:r>
    </w:p>
    <w:p>
      <w:pPr>
        <w:pStyle w:val="13"/>
        <w:numPr>
          <w:ilvl w:val="2"/>
          <w:numId w:val="24"/>
        </w:numPr>
        <w:tabs>
          <w:tab w:val="left" w:pos="2121"/>
        </w:tabs>
        <w:spacing w:before="158" w:after="0" w:line="240" w:lineRule="auto"/>
        <w:ind w:left="2121" w:right="0" w:hanging="601"/>
        <w:jc w:val="left"/>
        <w:rPr>
          <w:sz w:val="24"/>
        </w:rPr>
      </w:pPr>
      <w:r>
        <w:rPr>
          <w:sz w:val="24"/>
        </w:rPr>
        <w:t>挥发分</w:t>
      </w:r>
    </w:p>
    <w:p>
      <w:pPr>
        <w:pStyle w:val="6"/>
        <w:spacing w:before="160"/>
        <w:ind w:left="1520"/>
      </w:pPr>
      <w:r>
        <w:rPr>
          <w:rFonts w:ascii="Times New Roman" w:eastAsia="Times New Roman"/>
        </w:rPr>
        <w:t>10</w:t>
      </w:r>
      <w:r>
        <w:t>煤层</w:t>
      </w:r>
    </w:p>
    <w:p>
      <w:pPr>
        <w:pStyle w:val="6"/>
        <w:spacing w:before="159"/>
        <w:ind w:left="1520"/>
      </w:pPr>
      <w:r>
        <w:t>挥发分变化小，原煤挥发分</w:t>
      </w:r>
      <w:r>
        <w:rPr>
          <w:rFonts w:ascii="Times New Roman" w:hAnsi="Times New Roman" w:eastAsia="Times New Roman"/>
        </w:rPr>
        <w:t>31.22%—38.71%</w:t>
      </w:r>
      <w:r>
        <w:t>，平均</w:t>
      </w:r>
      <w:r>
        <w:rPr>
          <w:rFonts w:ascii="Times New Roman" w:hAnsi="Times New Roman" w:eastAsia="Times New Roman"/>
        </w:rPr>
        <w:t>36.88%</w:t>
      </w:r>
      <w:r>
        <w:t>；精煤挥发分为</w:t>
      </w:r>
    </w:p>
    <w:p>
      <w:pPr>
        <w:pStyle w:val="6"/>
        <w:spacing w:before="160"/>
        <w:ind w:left="1040"/>
      </w:pPr>
      <w:r>
        <w:rPr>
          <w:rFonts w:ascii="Times New Roman" w:hAnsi="Times New Roman" w:eastAsia="Times New Roman"/>
        </w:rPr>
        <w:t>32.19%—38.65%</w:t>
      </w:r>
      <w:r>
        <w:t>，平均</w:t>
      </w:r>
      <w:r>
        <w:rPr>
          <w:rFonts w:ascii="Times New Roman" w:hAnsi="Times New Roman" w:eastAsia="Times New Roman"/>
        </w:rPr>
        <w:t>36.35%</w:t>
      </w:r>
      <w:r>
        <w:t>。</w:t>
      </w:r>
    </w:p>
    <w:p>
      <w:pPr>
        <w:pStyle w:val="6"/>
        <w:spacing w:before="158"/>
        <w:ind w:left="1520"/>
      </w:pPr>
      <w:r>
        <w:rPr>
          <w:rFonts w:ascii="Times New Roman" w:eastAsia="Times New Roman"/>
        </w:rPr>
        <w:t>15</w:t>
      </w:r>
      <w:r>
        <w:t>煤层</w:t>
      </w:r>
    </w:p>
    <w:p>
      <w:pPr>
        <w:pStyle w:val="6"/>
        <w:spacing w:before="161" w:line="362" w:lineRule="auto"/>
        <w:ind w:left="1040" w:right="1077" w:firstLine="480"/>
      </w:pPr>
      <w:r>
        <w:t>挥发分变化不大，原煤挥发分</w:t>
      </w:r>
      <w:r>
        <w:rPr>
          <w:rFonts w:ascii="Times New Roman" w:hAnsi="Times New Roman" w:eastAsia="Times New Roman"/>
        </w:rPr>
        <w:t>33.15%—35.73%</w:t>
      </w:r>
      <w:r>
        <w:t>，平均为</w:t>
      </w:r>
      <w:r>
        <w:rPr>
          <w:rFonts w:ascii="Times New Roman" w:hAnsi="Times New Roman" w:eastAsia="Times New Roman"/>
        </w:rPr>
        <w:t>34.18%</w:t>
      </w:r>
      <w:r>
        <w:t>，精煤挥发分为</w:t>
      </w:r>
      <w:r>
        <w:rPr>
          <w:rFonts w:ascii="Times New Roman" w:hAnsi="Times New Roman" w:eastAsia="Times New Roman"/>
        </w:rPr>
        <w:t>31.71%—35.54%</w:t>
      </w:r>
      <w:r>
        <w:t>，平均</w:t>
      </w:r>
      <w:r>
        <w:rPr>
          <w:rFonts w:ascii="Times New Roman" w:hAnsi="Times New Roman" w:eastAsia="Times New Roman"/>
        </w:rPr>
        <w:t>33.51%</w:t>
      </w:r>
      <w:r>
        <w:t>。</w:t>
      </w:r>
    </w:p>
    <w:p>
      <w:pPr>
        <w:pStyle w:val="6"/>
        <w:spacing w:before="5"/>
        <w:ind w:left="1520"/>
      </w:pPr>
      <w:r>
        <w:rPr>
          <w:rFonts w:ascii="Times New Roman" w:eastAsia="Times New Roman"/>
        </w:rPr>
        <w:t>20</w:t>
      </w:r>
      <w:r>
        <w:t>煤层</w:t>
      </w:r>
    </w:p>
    <w:p>
      <w:pPr>
        <w:pStyle w:val="6"/>
        <w:spacing w:before="158"/>
        <w:ind w:left="1520"/>
      </w:pPr>
      <w:r>
        <w:t xml:space="preserve">原 煤 挥 发 分 为 </w:t>
      </w:r>
      <w:r>
        <w:rPr>
          <w:rFonts w:ascii="Times New Roman" w:hAnsi="Times New Roman" w:eastAsia="Times New Roman"/>
        </w:rPr>
        <w:t xml:space="preserve">34.52%—36.79 </w:t>
      </w:r>
      <w:r>
        <w:t xml:space="preserve">％ ， 平 均 </w:t>
      </w:r>
      <w:r>
        <w:rPr>
          <w:rFonts w:ascii="Times New Roman" w:hAnsi="Times New Roman" w:eastAsia="Times New Roman"/>
        </w:rPr>
        <w:t xml:space="preserve">35.68 </w:t>
      </w:r>
      <w:r>
        <w:t>％ ， 精 煤 挥 发 分 为</w:t>
      </w:r>
    </w:p>
    <w:p>
      <w:pPr>
        <w:pStyle w:val="6"/>
        <w:spacing w:before="160"/>
        <w:ind w:left="1040"/>
      </w:pPr>
      <w:r>
        <w:rPr>
          <w:rFonts w:ascii="Times New Roman" w:hAnsi="Times New Roman" w:eastAsia="Times New Roman"/>
        </w:rPr>
        <w:t>35.72%—36.76%</w:t>
      </w:r>
      <w:r>
        <w:t>，平均为</w:t>
      </w:r>
      <w:r>
        <w:rPr>
          <w:rFonts w:ascii="Times New Roman" w:hAnsi="Times New Roman" w:eastAsia="Times New Roman"/>
        </w:rPr>
        <w:t>36.38%</w:t>
      </w:r>
      <w:r>
        <w:t>。</w:t>
      </w:r>
    </w:p>
    <w:p>
      <w:pPr>
        <w:pStyle w:val="6"/>
        <w:spacing w:before="158"/>
        <w:ind w:left="1520"/>
      </w:pPr>
      <w:r>
        <w:rPr>
          <w:rFonts w:ascii="Times New Roman" w:eastAsia="Times New Roman"/>
        </w:rPr>
        <w:t>30</w:t>
      </w:r>
      <w:r>
        <w:t>煤层</w:t>
      </w:r>
    </w:p>
    <w:p>
      <w:pPr>
        <w:pStyle w:val="6"/>
        <w:spacing w:before="161"/>
        <w:ind w:left="1520"/>
      </w:pPr>
      <w:r>
        <w:t xml:space="preserve">原 煤 挥 发 分 为 </w:t>
      </w:r>
      <w:r>
        <w:rPr>
          <w:rFonts w:ascii="Times New Roman" w:hAnsi="Times New Roman" w:eastAsia="Times New Roman"/>
        </w:rPr>
        <w:t xml:space="preserve">33.61%—34.43% </w:t>
      </w:r>
      <w:r>
        <w:t xml:space="preserve">， 平 均 为 </w:t>
      </w:r>
      <w:r>
        <w:rPr>
          <w:rFonts w:ascii="Times New Roman" w:hAnsi="Times New Roman" w:eastAsia="Times New Roman"/>
        </w:rPr>
        <w:t xml:space="preserve">34.13% </w:t>
      </w:r>
      <w:r>
        <w:t>， 精 煤 挥 发 分 为</w:t>
      </w:r>
    </w:p>
    <w:p>
      <w:pPr>
        <w:pStyle w:val="6"/>
        <w:spacing w:before="158"/>
        <w:ind w:left="1040"/>
      </w:pPr>
      <w:r>
        <w:rPr>
          <w:rFonts w:ascii="Times New Roman" w:hAnsi="Times New Roman" w:eastAsia="Times New Roman"/>
        </w:rPr>
        <w:t>34.37%—35.33%</w:t>
      </w:r>
      <w:r>
        <w:t>，平均为</w:t>
      </w:r>
      <w:r>
        <w:rPr>
          <w:rFonts w:ascii="Times New Roman" w:hAnsi="Times New Roman" w:eastAsia="Times New Roman"/>
        </w:rPr>
        <w:t>34.75%</w:t>
      </w:r>
      <w:r>
        <w:t>。</w:t>
      </w:r>
    </w:p>
    <w:p>
      <w:pPr>
        <w:pStyle w:val="13"/>
        <w:numPr>
          <w:ilvl w:val="2"/>
          <w:numId w:val="24"/>
        </w:numPr>
        <w:tabs>
          <w:tab w:val="left" w:pos="2121"/>
        </w:tabs>
        <w:spacing w:before="160" w:after="0" w:line="240" w:lineRule="auto"/>
        <w:ind w:left="2121" w:right="0" w:hanging="601"/>
        <w:jc w:val="left"/>
        <w:rPr>
          <w:sz w:val="24"/>
        </w:rPr>
      </w:pPr>
      <w:r>
        <w:rPr>
          <w:sz w:val="24"/>
        </w:rPr>
        <w:t>有害成分</w:t>
      </w:r>
    </w:p>
    <w:p>
      <w:pPr>
        <w:pStyle w:val="6"/>
        <w:spacing w:before="161"/>
        <w:ind w:left="1520"/>
      </w:pPr>
      <w:r>
        <w:t>①灰分</w:t>
      </w:r>
    </w:p>
    <w:p>
      <w:pPr>
        <w:pStyle w:val="6"/>
        <w:spacing w:before="158"/>
        <w:ind w:left="1520"/>
      </w:pPr>
      <w:r>
        <w:rPr>
          <w:rFonts w:ascii="Times New Roman" w:eastAsia="Times New Roman"/>
        </w:rPr>
        <w:t>10</w:t>
      </w:r>
      <w:r>
        <w:t>煤层</w:t>
      </w:r>
    </w:p>
    <w:p>
      <w:pPr>
        <w:pStyle w:val="6"/>
        <w:spacing w:before="161"/>
        <w:ind w:left="1520"/>
      </w:pPr>
      <w:r>
        <w:t>原煤灰分为</w:t>
      </w:r>
      <w:r>
        <w:rPr>
          <w:rFonts w:ascii="Times New Roman" w:hAnsi="Times New Roman" w:eastAsia="Times New Roman"/>
        </w:rPr>
        <w:t>38.15%—45.17%</w:t>
      </w:r>
      <w:r>
        <w:t>，平均为</w:t>
      </w:r>
      <w:r>
        <w:rPr>
          <w:rFonts w:ascii="Times New Roman" w:hAnsi="Times New Roman" w:eastAsia="Times New Roman"/>
        </w:rPr>
        <w:t>42.12%</w:t>
      </w:r>
      <w:r>
        <w:t>，为高灰分煤，精煤灰分为</w:t>
      </w:r>
    </w:p>
    <w:p>
      <w:pPr>
        <w:pStyle w:val="6"/>
        <w:spacing w:before="158"/>
        <w:ind w:left="1040"/>
      </w:pPr>
      <w:r>
        <w:rPr>
          <w:rFonts w:ascii="Times New Roman" w:hAnsi="Times New Roman" w:eastAsia="Times New Roman"/>
        </w:rPr>
        <w:t>6.97%—23.99%</w:t>
      </w:r>
      <w:r>
        <w:t>，平均</w:t>
      </w:r>
      <w:r>
        <w:rPr>
          <w:rFonts w:ascii="Times New Roman" w:hAnsi="Times New Roman" w:eastAsia="Times New Roman"/>
        </w:rPr>
        <w:t>15.46%</w:t>
      </w:r>
      <w:r>
        <w:t>。</w:t>
      </w:r>
    </w:p>
    <w:p>
      <w:pPr>
        <w:pStyle w:val="6"/>
        <w:spacing w:before="158"/>
        <w:ind w:left="1520"/>
      </w:pPr>
      <w:r>
        <w:rPr>
          <w:rFonts w:ascii="Times New Roman" w:eastAsia="Times New Roman"/>
        </w:rPr>
        <w:t>15</w:t>
      </w:r>
      <w:r>
        <w:t>煤层</w:t>
      </w:r>
    </w:p>
    <w:p>
      <w:pPr>
        <w:pStyle w:val="6"/>
        <w:spacing w:before="160"/>
        <w:ind w:left="1520"/>
      </w:pPr>
      <w:r>
        <w:t xml:space="preserve">原煤灰分 </w:t>
      </w:r>
      <w:r>
        <w:rPr>
          <w:rFonts w:ascii="Times New Roman" w:hAnsi="Times New Roman" w:eastAsia="Times New Roman"/>
        </w:rPr>
        <w:t xml:space="preserve">8.43%—9.71% </w:t>
      </w:r>
      <w:r>
        <w:t xml:space="preserve">， 平均为 </w:t>
      </w:r>
      <w:r>
        <w:rPr>
          <w:rFonts w:ascii="Times New Roman" w:hAnsi="Times New Roman" w:eastAsia="Times New Roman"/>
        </w:rPr>
        <w:t xml:space="preserve">9.16% </w:t>
      </w:r>
      <w:r>
        <w:t>， 为低灰分煤。 精煤灰分为</w:t>
      </w:r>
    </w:p>
    <w:p>
      <w:pPr>
        <w:pStyle w:val="6"/>
        <w:spacing w:before="161"/>
        <w:ind w:left="1040"/>
      </w:pPr>
      <w:r>
        <w:rPr>
          <w:rFonts w:ascii="Times New Roman" w:hAnsi="Times New Roman" w:eastAsia="Times New Roman"/>
        </w:rPr>
        <w:t>5.96%—8.46%</w:t>
      </w:r>
      <w:r>
        <w:t>，平均为</w:t>
      </w:r>
      <w:r>
        <w:rPr>
          <w:rFonts w:ascii="Times New Roman" w:hAnsi="Times New Roman" w:eastAsia="Times New Roman"/>
        </w:rPr>
        <w:t>6.79%</w:t>
      </w:r>
      <w:r>
        <w:t>。</w:t>
      </w:r>
    </w:p>
    <w:p>
      <w:pPr>
        <w:spacing w:after="0"/>
        <w:sectPr>
          <w:pgSz w:w="11910" w:h="16840"/>
          <w:pgMar w:top="1080" w:right="720" w:bottom="1160" w:left="760" w:header="0" w:footer="97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81" name="组合 54"/>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80" name="直线 55"/>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54"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aCLtQAAAADAQAADwAAAAAAAAABACAAAAAiAAAAZHJzL2Rvd25yZXYueG1s&#10;UEsBAhQAFAAAAAgAh07iQKOSRzg1AgAAtgQAAA4AAAAAAAAAAQAgAAAAIwEAAGRycy9lMm9Eb2Mu&#10;eG1sUEsFBgAAAAAGAAYAWQEAAMoFAAAAAA==&#10;">
                <o:lock v:ext="edit" aspectratio="f"/>
                <v:line id="直线 55" o:spid="_x0000_s1026" o:spt="20" style="position:absolute;left:0;top:7;height:0;width:8306;" filled="f" stroked="t" coordsize="21600,21600" o:gfxdata="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HFjy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pStyle w:val="6"/>
        <w:spacing w:before="5"/>
        <w:rPr>
          <w:sz w:val="19"/>
        </w:rPr>
      </w:pPr>
    </w:p>
    <w:p>
      <w:pPr>
        <w:pStyle w:val="6"/>
        <w:spacing w:before="74"/>
        <w:ind w:left="1520"/>
      </w:pPr>
      <w:r>
        <w:rPr>
          <w:rFonts w:ascii="Times New Roman" w:eastAsia="Times New Roman"/>
        </w:rPr>
        <w:t>20</w:t>
      </w:r>
      <w:r>
        <w:t>煤层</w:t>
      </w:r>
    </w:p>
    <w:p>
      <w:pPr>
        <w:pStyle w:val="6"/>
        <w:spacing w:before="161"/>
        <w:ind w:left="1520"/>
        <w:rPr>
          <w:rFonts w:ascii="Times New Roman" w:eastAsia="Times New Roman"/>
        </w:rPr>
      </w:pPr>
      <w:r>
        <w:t>原煤灰分为</w:t>
      </w:r>
      <w:r>
        <w:rPr>
          <w:rFonts w:ascii="Times New Roman" w:eastAsia="Times New Roman"/>
        </w:rPr>
        <w:t>31.46</w:t>
      </w:r>
      <w:r>
        <w:rPr>
          <w:rFonts w:ascii="Times New Roman" w:eastAsia="Times New Roman"/>
          <w:spacing w:val="-1"/>
        </w:rPr>
        <w:t>%</w:t>
      </w:r>
      <w:r>
        <w:t>－</w:t>
      </w:r>
      <w:r>
        <w:rPr>
          <w:rFonts w:ascii="Times New Roman" w:eastAsia="Times New Roman"/>
        </w:rPr>
        <w:t>36.63</w:t>
      </w:r>
      <w:r>
        <w:rPr>
          <w:spacing w:val="-26"/>
        </w:rPr>
        <w:t>％，平均</w:t>
      </w:r>
      <w:r>
        <w:rPr>
          <w:rFonts w:ascii="Times New Roman" w:eastAsia="Times New Roman"/>
        </w:rPr>
        <w:t>33.19</w:t>
      </w:r>
      <w:r>
        <w:rPr>
          <w:spacing w:val="-17"/>
        </w:rPr>
        <w:t>％，为中高灰分煤。精煤灰分为</w:t>
      </w:r>
      <w:r>
        <w:rPr>
          <w:rFonts w:ascii="Times New Roman" w:eastAsia="Times New Roman"/>
        </w:rPr>
        <w:t>10.61</w:t>
      </w:r>
    </w:p>
    <w:p>
      <w:pPr>
        <w:pStyle w:val="6"/>
        <w:spacing w:before="158"/>
        <w:ind w:left="1040"/>
      </w:pPr>
      <w:r>
        <w:t>－</w:t>
      </w:r>
      <w:r>
        <w:rPr>
          <w:rFonts w:ascii="Times New Roman" w:eastAsia="Times New Roman"/>
        </w:rPr>
        <w:t>11.10</w:t>
      </w:r>
      <w:r>
        <w:t>％，平均为</w:t>
      </w:r>
      <w:r>
        <w:rPr>
          <w:rFonts w:ascii="Times New Roman" w:eastAsia="Times New Roman"/>
        </w:rPr>
        <w:t>10.80</w:t>
      </w:r>
      <w:r>
        <w:t>％。</w:t>
      </w:r>
    </w:p>
    <w:p>
      <w:pPr>
        <w:pStyle w:val="6"/>
        <w:spacing w:before="160"/>
        <w:ind w:left="1520"/>
      </w:pPr>
      <w:r>
        <w:rPr>
          <w:rFonts w:ascii="Times New Roman" w:eastAsia="Times New Roman"/>
        </w:rPr>
        <w:t>30</w:t>
      </w:r>
      <w:r>
        <w:t>煤层</w:t>
      </w:r>
    </w:p>
    <w:p>
      <w:pPr>
        <w:pStyle w:val="6"/>
        <w:spacing w:before="158"/>
        <w:ind w:left="1520"/>
      </w:pPr>
      <w:r>
        <w:rPr>
          <w:spacing w:val="19"/>
        </w:rPr>
        <w:t>原煤灰分为</w:t>
      </w:r>
      <w:r>
        <w:rPr>
          <w:rFonts w:ascii="Times New Roman" w:eastAsia="Times New Roman"/>
          <w:spacing w:val="6"/>
        </w:rPr>
        <w:t>13.63%</w:t>
      </w:r>
      <w:r>
        <w:rPr>
          <w:spacing w:val="6"/>
        </w:rPr>
        <w:t>－</w:t>
      </w:r>
      <w:r>
        <w:rPr>
          <w:rFonts w:ascii="Times New Roman" w:eastAsia="Times New Roman"/>
          <w:spacing w:val="6"/>
        </w:rPr>
        <w:t>18.00</w:t>
      </w:r>
      <w:r>
        <w:rPr>
          <w:spacing w:val="12"/>
        </w:rPr>
        <w:t>％，平均</w:t>
      </w:r>
      <w:r>
        <w:rPr>
          <w:rFonts w:ascii="Times New Roman" w:eastAsia="Times New Roman"/>
        </w:rPr>
        <w:t xml:space="preserve">14.80 </w:t>
      </w:r>
      <w:r>
        <w:rPr>
          <w:spacing w:val="17"/>
        </w:rPr>
        <w:t>％，为低中灰煤，精煤灰分为</w:t>
      </w:r>
    </w:p>
    <w:p>
      <w:pPr>
        <w:pStyle w:val="6"/>
        <w:spacing w:before="161"/>
        <w:ind w:left="1040"/>
      </w:pPr>
      <w:r>
        <w:rPr>
          <w:rFonts w:ascii="Times New Roman" w:hAnsi="Times New Roman" w:eastAsia="Times New Roman"/>
        </w:rPr>
        <w:t>7.34%—8.11</w:t>
      </w:r>
      <w:r>
        <w:t>％，平均为</w:t>
      </w:r>
      <w:r>
        <w:rPr>
          <w:rFonts w:ascii="Times New Roman" w:hAnsi="Times New Roman" w:eastAsia="Times New Roman"/>
        </w:rPr>
        <w:t>7.63</w:t>
      </w:r>
      <w:r>
        <w:t>％。</w:t>
      </w:r>
    </w:p>
    <w:p>
      <w:pPr>
        <w:pStyle w:val="6"/>
        <w:spacing w:before="158"/>
        <w:ind w:left="1520"/>
      </w:pPr>
      <w:r>
        <w:t>②硫、磷含量</w:t>
      </w:r>
    </w:p>
    <w:p>
      <w:pPr>
        <w:pStyle w:val="6"/>
        <w:spacing w:before="161" w:line="364" w:lineRule="auto"/>
        <w:ind w:left="1040" w:right="1075" w:firstLine="480"/>
        <w:jc w:val="both"/>
      </w:pPr>
      <w:r>
        <w:rPr>
          <w:spacing w:val="-4"/>
        </w:rPr>
        <w:t>各煤层硫含量均很低，原煤全硫量含量为</w:t>
      </w:r>
      <w:r>
        <w:rPr>
          <w:rFonts w:ascii="Times New Roman" w:eastAsia="Times New Roman"/>
          <w:spacing w:val="-4"/>
        </w:rPr>
        <w:t>0.12%</w:t>
      </w:r>
      <w:r>
        <w:rPr>
          <w:spacing w:val="-4"/>
        </w:rPr>
        <w:t>－</w:t>
      </w:r>
      <w:r>
        <w:rPr>
          <w:rFonts w:ascii="Times New Roman" w:eastAsia="Times New Roman"/>
          <w:spacing w:val="-4"/>
        </w:rPr>
        <w:t>0.44</w:t>
      </w:r>
      <w:r>
        <w:rPr>
          <w:spacing w:val="-3"/>
        </w:rPr>
        <w:t>％，平均为</w:t>
      </w:r>
      <w:r>
        <w:rPr>
          <w:rFonts w:ascii="Times New Roman" w:eastAsia="Times New Roman"/>
          <w:spacing w:val="-7"/>
        </w:rPr>
        <w:t>0.28</w:t>
      </w:r>
      <w:r>
        <w:rPr>
          <w:spacing w:val="-10"/>
        </w:rPr>
        <w:t>％，属</w:t>
      </w:r>
      <w:r>
        <w:t>特低硫；磷含量</w:t>
      </w:r>
      <w:r>
        <w:rPr>
          <w:rFonts w:ascii="Times New Roman" w:eastAsia="Times New Roman"/>
        </w:rPr>
        <w:t>0.002%-0.015</w:t>
      </w:r>
      <w:r>
        <w:t>％，平均为</w:t>
      </w:r>
      <w:r>
        <w:rPr>
          <w:rFonts w:ascii="Times New Roman" w:eastAsia="Times New Roman"/>
        </w:rPr>
        <w:t>0.0038</w:t>
      </w:r>
      <w:r>
        <w:t>％，属低磷煤。其中：</w:t>
      </w:r>
      <w:r>
        <w:rPr>
          <w:rFonts w:ascii="Times New Roman" w:eastAsia="Times New Roman"/>
        </w:rPr>
        <w:t>10</w:t>
      </w:r>
      <w:r>
        <w:t>号煤层</w:t>
      </w:r>
      <w:r>
        <w:rPr>
          <w:spacing w:val="7"/>
        </w:rPr>
        <w:t>全硫量含量为</w:t>
      </w:r>
      <w:r>
        <w:rPr>
          <w:rFonts w:ascii="Times New Roman" w:eastAsia="Times New Roman"/>
          <w:spacing w:val="3"/>
        </w:rPr>
        <w:t>0.30%</w:t>
      </w:r>
      <w:r>
        <w:rPr>
          <w:spacing w:val="3"/>
        </w:rPr>
        <w:t>－</w:t>
      </w:r>
      <w:r>
        <w:rPr>
          <w:rFonts w:ascii="Times New Roman" w:eastAsia="Times New Roman"/>
          <w:spacing w:val="3"/>
        </w:rPr>
        <w:t>0.36</w:t>
      </w:r>
      <w:r>
        <w:rPr>
          <w:spacing w:val="5"/>
        </w:rPr>
        <w:t>％，平均为</w:t>
      </w:r>
      <w:r>
        <w:rPr>
          <w:rFonts w:ascii="Times New Roman" w:eastAsia="Times New Roman"/>
          <w:spacing w:val="3"/>
        </w:rPr>
        <w:t>0.33</w:t>
      </w:r>
      <w:r>
        <w:rPr>
          <w:spacing w:val="5"/>
        </w:rPr>
        <w:t>％；磷含量</w:t>
      </w:r>
      <w:r>
        <w:rPr>
          <w:rFonts w:ascii="Times New Roman" w:eastAsia="Times New Roman"/>
        </w:rPr>
        <w:t>0.002%-0.015</w:t>
      </w:r>
      <w:r>
        <w:rPr>
          <w:spacing w:val="2"/>
        </w:rPr>
        <w:t>％，平均为</w:t>
      </w:r>
      <w:r>
        <w:rPr>
          <w:rFonts w:ascii="Times New Roman" w:eastAsia="Times New Roman"/>
          <w:spacing w:val="2"/>
        </w:rPr>
        <w:t>0.007</w:t>
      </w:r>
      <w:r>
        <w:rPr>
          <w:rFonts w:ascii="Times New Roman" w:eastAsia="Times New Roman"/>
          <w:spacing w:val="-32"/>
        </w:rPr>
        <w:t xml:space="preserve"> </w:t>
      </w:r>
      <w:r>
        <w:rPr>
          <w:spacing w:val="-21"/>
        </w:rPr>
        <w:t>％ 。</w:t>
      </w:r>
      <w:r>
        <w:rPr>
          <w:rFonts w:ascii="Times New Roman" w:eastAsia="Times New Roman"/>
        </w:rPr>
        <w:t>15</w:t>
      </w:r>
      <w:r>
        <w:rPr>
          <w:rFonts w:ascii="Times New Roman" w:eastAsia="Times New Roman"/>
          <w:spacing w:val="-29"/>
        </w:rPr>
        <w:t xml:space="preserve"> </w:t>
      </w:r>
      <w:r>
        <w:rPr>
          <w:spacing w:val="28"/>
        </w:rPr>
        <w:t>号煤层全硫量含量为</w:t>
      </w:r>
      <w:r>
        <w:rPr>
          <w:rFonts w:ascii="Times New Roman" w:eastAsia="Times New Roman"/>
        </w:rPr>
        <w:t>0.12%</w:t>
      </w:r>
      <w:r>
        <w:rPr>
          <w:rFonts w:ascii="Times New Roman" w:eastAsia="Times New Roman"/>
          <w:spacing w:val="-30"/>
        </w:rPr>
        <w:t xml:space="preserve"> </w:t>
      </w:r>
      <w:r>
        <w:rPr>
          <w:spacing w:val="-46"/>
        </w:rPr>
        <w:t xml:space="preserve">－ </w:t>
      </w:r>
      <w:r>
        <w:rPr>
          <w:rFonts w:ascii="Times New Roman" w:eastAsia="Times New Roman"/>
        </w:rPr>
        <w:t>0.30</w:t>
      </w:r>
      <w:r>
        <w:rPr>
          <w:rFonts w:ascii="Times New Roman" w:eastAsia="Times New Roman"/>
          <w:spacing w:val="-29"/>
        </w:rPr>
        <w:t xml:space="preserve"> </w:t>
      </w:r>
      <w:r>
        <w:rPr>
          <w:spacing w:val="-15"/>
        </w:rPr>
        <w:t>％ ， 平均为</w:t>
      </w:r>
      <w:r>
        <w:rPr>
          <w:rFonts w:ascii="Times New Roman" w:eastAsia="Times New Roman"/>
        </w:rPr>
        <w:t>0.20</w:t>
      </w:r>
      <w:r>
        <w:rPr>
          <w:rFonts w:ascii="Times New Roman" w:eastAsia="Times New Roman"/>
          <w:spacing w:val="-32"/>
        </w:rPr>
        <w:t xml:space="preserve"> </w:t>
      </w:r>
      <w:r>
        <w:rPr>
          <w:spacing w:val="-19"/>
        </w:rPr>
        <w:t>％ ； 磷含量</w:t>
      </w:r>
    </w:p>
    <w:p>
      <w:pPr>
        <w:pStyle w:val="6"/>
        <w:spacing w:line="364" w:lineRule="auto"/>
        <w:ind w:left="1040" w:right="964"/>
      </w:pPr>
      <w:r>
        <w:rPr>
          <w:rFonts w:ascii="Times New Roman" w:eastAsia="Times New Roman"/>
        </w:rPr>
        <w:t>0.002%-0.008</w:t>
      </w:r>
      <w:r>
        <w:t>％，平均为</w:t>
      </w:r>
      <w:r>
        <w:rPr>
          <w:rFonts w:ascii="Times New Roman" w:eastAsia="Times New Roman"/>
        </w:rPr>
        <w:t>0.0032</w:t>
      </w:r>
      <w:r>
        <w:t>％。</w:t>
      </w:r>
      <w:r>
        <w:rPr>
          <w:rFonts w:ascii="Times New Roman" w:eastAsia="Times New Roman"/>
        </w:rPr>
        <w:t>20</w:t>
      </w:r>
      <w:r>
        <w:t>号煤层全硫量含量为</w:t>
      </w:r>
      <w:r>
        <w:rPr>
          <w:rFonts w:ascii="Times New Roman" w:eastAsia="Times New Roman"/>
        </w:rPr>
        <w:t>0.16%</w:t>
      </w:r>
      <w:r>
        <w:t>－</w:t>
      </w:r>
      <w:r>
        <w:rPr>
          <w:rFonts w:ascii="Times New Roman" w:eastAsia="Times New Roman"/>
        </w:rPr>
        <w:t>0.36</w:t>
      </w:r>
      <w:r>
        <w:t>％，平均为</w:t>
      </w:r>
      <w:r>
        <w:rPr>
          <w:rFonts w:ascii="Times New Roman" w:eastAsia="Times New Roman"/>
        </w:rPr>
        <w:t>0.25</w:t>
      </w:r>
      <w:r>
        <w:t>％；磷含量</w:t>
      </w:r>
      <w:r>
        <w:rPr>
          <w:rFonts w:ascii="Times New Roman" w:eastAsia="Times New Roman"/>
        </w:rPr>
        <w:t>0.002</w:t>
      </w:r>
      <w:r>
        <w:t>。</w:t>
      </w:r>
      <w:r>
        <w:rPr>
          <w:rFonts w:ascii="Times New Roman" w:eastAsia="Times New Roman"/>
        </w:rPr>
        <w:t>30</w:t>
      </w:r>
      <w:r>
        <w:t>号煤层全硫量含量为</w:t>
      </w:r>
      <w:r>
        <w:rPr>
          <w:rFonts w:ascii="Times New Roman" w:eastAsia="Times New Roman"/>
        </w:rPr>
        <w:t>0.40%</w:t>
      </w:r>
      <w:r>
        <w:t>－</w:t>
      </w:r>
      <w:r>
        <w:rPr>
          <w:rFonts w:ascii="Times New Roman" w:eastAsia="Times New Roman"/>
        </w:rPr>
        <w:t>0.44</w:t>
      </w:r>
      <w:r>
        <w:t>％，平均为</w:t>
      </w:r>
      <w:r>
        <w:rPr>
          <w:rFonts w:ascii="Times New Roman" w:eastAsia="Times New Roman"/>
        </w:rPr>
        <w:t>0.42</w:t>
      </w:r>
      <w:r>
        <w:t>％； 磷含量</w:t>
      </w:r>
      <w:r>
        <w:rPr>
          <w:rFonts w:ascii="Times New Roman" w:eastAsia="Times New Roman"/>
        </w:rPr>
        <w:t>0.002%</w:t>
      </w:r>
      <w:r>
        <w:t>。氯磷含量</w:t>
      </w:r>
      <w:r>
        <w:rPr>
          <w:rFonts w:ascii="Times New Roman" w:eastAsia="Times New Roman"/>
        </w:rPr>
        <w:t>0.004</w:t>
      </w:r>
      <w:r>
        <w:t>％，平均为</w:t>
      </w:r>
      <w:r>
        <w:rPr>
          <w:rFonts w:ascii="Times New Roman" w:eastAsia="Times New Roman"/>
        </w:rPr>
        <w:t>0.004</w:t>
      </w:r>
      <w:r>
        <w:t>％，属特低氯煤。</w:t>
      </w:r>
    </w:p>
    <w:p>
      <w:pPr>
        <w:pStyle w:val="13"/>
        <w:numPr>
          <w:ilvl w:val="2"/>
          <w:numId w:val="24"/>
        </w:numPr>
        <w:tabs>
          <w:tab w:val="left" w:pos="2121"/>
        </w:tabs>
        <w:spacing w:before="0" w:after="0" w:line="307" w:lineRule="exact"/>
        <w:ind w:left="2121" w:right="0" w:hanging="601"/>
        <w:jc w:val="left"/>
        <w:rPr>
          <w:sz w:val="24"/>
        </w:rPr>
      </w:pPr>
      <w:r>
        <w:rPr>
          <w:sz w:val="24"/>
        </w:rPr>
        <w:t>发热量</w:t>
      </w:r>
    </w:p>
    <w:p>
      <w:pPr>
        <w:pStyle w:val="6"/>
        <w:spacing w:before="155" w:line="364" w:lineRule="auto"/>
        <w:ind w:left="1040" w:right="1081" w:firstLine="480"/>
      </w:pPr>
      <w:r>
        <w:t>《双鸭山市岭东区顺达煤井生产补充勘探地质报告》</w:t>
      </w:r>
      <w:r>
        <w:rPr>
          <w:rFonts w:ascii="Times New Roman" w:eastAsia="Times New Roman"/>
        </w:rPr>
        <w:t>5</w:t>
      </w:r>
      <w:r>
        <w:t>个钻孔共做了</w:t>
      </w:r>
      <w:r>
        <w:rPr>
          <w:rFonts w:ascii="Times New Roman" w:eastAsia="Times New Roman"/>
        </w:rPr>
        <w:t>17</w:t>
      </w:r>
      <w:r>
        <w:t>个发热量测试，煤的发热量与灰分负相关，灰分越大，煤的发热量越低。</w:t>
      </w:r>
    </w:p>
    <w:p>
      <w:pPr>
        <w:pStyle w:val="6"/>
        <w:spacing w:line="306" w:lineRule="exact"/>
        <w:ind w:left="1520"/>
      </w:pPr>
      <w:r>
        <w:rPr>
          <w:rFonts w:ascii="Times New Roman" w:eastAsia="Times New Roman"/>
        </w:rPr>
        <w:t>10</w:t>
      </w:r>
      <w:r>
        <w:t>煤层</w:t>
      </w:r>
      <w:r>
        <w:rPr>
          <w:rFonts w:ascii="Times New Roman" w:eastAsia="Times New Roman"/>
        </w:rPr>
        <w:t>Qnet.ar</w:t>
      </w:r>
      <w:r>
        <w:t>为</w:t>
      </w:r>
      <w:r>
        <w:rPr>
          <w:rFonts w:ascii="Times New Roman" w:eastAsia="Times New Roman"/>
        </w:rPr>
        <w:t>17.39</w:t>
      </w:r>
      <w:r>
        <w:t>－</w:t>
      </w:r>
      <w:r>
        <w:rPr>
          <w:rFonts w:ascii="Times New Roman" w:eastAsia="Times New Roman"/>
        </w:rPr>
        <w:t>20.90 MJ/kg</w:t>
      </w:r>
      <w:r>
        <w:t>，平均</w:t>
      </w:r>
      <w:r>
        <w:rPr>
          <w:rFonts w:ascii="Times New Roman" w:eastAsia="Times New Roman"/>
        </w:rPr>
        <w:t>19.00MJ/kg</w:t>
      </w:r>
      <w:r>
        <w:t>。属于中热值煤。</w:t>
      </w:r>
    </w:p>
    <w:p>
      <w:pPr>
        <w:pStyle w:val="6"/>
        <w:spacing w:before="161"/>
        <w:ind w:left="1520"/>
      </w:pPr>
      <w:r>
        <w:rPr>
          <w:rFonts w:ascii="Times New Roman" w:hAnsi="Times New Roman" w:eastAsia="Times New Roman"/>
          <w:spacing w:val="-1"/>
        </w:rPr>
        <w:t>15</w:t>
      </w:r>
      <w:r>
        <w:rPr>
          <w:spacing w:val="-1"/>
        </w:rPr>
        <w:t>煤层</w:t>
      </w:r>
      <w:r>
        <w:rPr>
          <w:rFonts w:ascii="Times New Roman" w:hAnsi="Times New Roman" w:eastAsia="Times New Roman"/>
          <w:spacing w:val="-1"/>
        </w:rPr>
        <w:t>Qnet.ar</w:t>
      </w:r>
      <w:r>
        <w:t>为</w:t>
      </w:r>
      <w:r>
        <w:rPr>
          <w:rFonts w:ascii="Times New Roman" w:hAnsi="Times New Roman" w:eastAsia="Times New Roman"/>
        </w:rPr>
        <w:t>30.28—31.12MJ/kg</w:t>
      </w:r>
      <w:r>
        <w:t>，平均</w:t>
      </w:r>
      <w:r>
        <w:rPr>
          <w:rFonts w:ascii="Times New Roman" w:hAnsi="Times New Roman" w:eastAsia="Times New Roman"/>
        </w:rPr>
        <w:t>30.82MJ/kg</w:t>
      </w:r>
      <w:r>
        <w:t>。属于特高热值煤。</w:t>
      </w:r>
    </w:p>
    <w:p>
      <w:pPr>
        <w:pStyle w:val="6"/>
        <w:spacing w:before="158"/>
        <w:ind w:left="1520"/>
      </w:pPr>
      <w:r>
        <w:rPr>
          <w:rFonts w:ascii="Times New Roman" w:hAnsi="Times New Roman" w:eastAsia="Times New Roman"/>
          <w:spacing w:val="-1"/>
        </w:rPr>
        <w:t>20</w:t>
      </w:r>
      <w:r>
        <w:rPr>
          <w:spacing w:val="-1"/>
        </w:rPr>
        <w:t>煤层</w:t>
      </w:r>
      <w:r>
        <w:rPr>
          <w:rFonts w:ascii="Times New Roman" w:hAnsi="Times New Roman" w:eastAsia="Times New Roman"/>
          <w:spacing w:val="-1"/>
        </w:rPr>
        <w:t>Qnet.ar</w:t>
      </w:r>
      <w:r>
        <w:t>为</w:t>
      </w:r>
      <w:r>
        <w:rPr>
          <w:rFonts w:ascii="Times New Roman" w:hAnsi="Times New Roman" w:eastAsia="Times New Roman"/>
        </w:rPr>
        <w:t>21.25—23.18MJ/kg</w:t>
      </w:r>
      <w:r>
        <w:t>，平均</w:t>
      </w:r>
      <w:r>
        <w:rPr>
          <w:rFonts w:ascii="Times New Roman" w:hAnsi="Times New Roman" w:eastAsia="Times New Roman"/>
        </w:rPr>
        <w:t>22.38MJ/kg</w:t>
      </w:r>
      <w:r>
        <w:t>。属于中高热值煤。</w:t>
      </w:r>
    </w:p>
    <w:p>
      <w:pPr>
        <w:pStyle w:val="6"/>
        <w:spacing w:before="160"/>
        <w:ind w:left="1520"/>
      </w:pPr>
      <w:r>
        <w:rPr>
          <w:rFonts w:ascii="Times New Roman" w:hAnsi="Times New Roman" w:eastAsia="Times New Roman"/>
          <w:spacing w:val="-1"/>
        </w:rPr>
        <w:t>30</w:t>
      </w:r>
      <w:r>
        <w:rPr>
          <w:spacing w:val="-1"/>
        </w:rPr>
        <w:t>煤层</w:t>
      </w:r>
      <w:r>
        <w:rPr>
          <w:rFonts w:ascii="Times New Roman" w:hAnsi="Times New Roman" w:eastAsia="Times New Roman"/>
          <w:spacing w:val="-1"/>
        </w:rPr>
        <w:t>Qnet.ar</w:t>
      </w:r>
      <w:r>
        <w:t>为</w:t>
      </w:r>
      <w:r>
        <w:rPr>
          <w:rFonts w:ascii="Times New Roman" w:hAnsi="Times New Roman" w:eastAsia="Times New Roman"/>
        </w:rPr>
        <w:t>27.80—29.43MJ/kg</w:t>
      </w:r>
      <w:r>
        <w:t>，平均</w:t>
      </w:r>
      <w:r>
        <w:rPr>
          <w:rFonts w:ascii="Times New Roman" w:hAnsi="Times New Roman" w:eastAsia="Times New Roman"/>
        </w:rPr>
        <w:t>28.70MJ/kg</w:t>
      </w:r>
      <w:r>
        <w:t>。属于特高热值煤。</w:t>
      </w:r>
    </w:p>
    <w:p>
      <w:pPr>
        <w:pStyle w:val="13"/>
        <w:numPr>
          <w:ilvl w:val="2"/>
          <w:numId w:val="24"/>
        </w:numPr>
        <w:tabs>
          <w:tab w:val="left" w:pos="2121"/>
        </w:tabs>
        <w:spacing w:before="158" w:after="0" w:line="240" w:lineRule="auto"/>
        <w:ind w:left="2121" w:right="0" w:hanging="601"/>
        <w:jc w:val="left"/>
        <w:rPr>
          <w:sz w:val="24"/>
        </w:rPr>
      </w:pPr>
      <w:r>
        <w:rPr>
          <w:sz w:val="24"/>
        </w:rPr>
        <w:t>粘结指数</w:t>
      </w:r>
    </w:p>
    <w:p>
      <w:pPr>
        <w:pStyle w:val="6"/>
        <w:spacing w:before="161"/>
        <w:ind w:left="1520"/>
      </w:pPr>
      <w:r>
        <w:rPr>
          <w:rFonts w:ascii="Times New Roman" w:hAnsi="Times New Roman" w:eastAsia="Times New Roman"/>
        </w:rPr>
        <w:t>10</w:t>
      </w:r>
      <w:r>
        <w:t>煤层粘结指数</w:t>
      </w:r>
      <w:r>
        <w:rPr>
          <w:rFonts w:ascii="Times New Roman" w:hAnsi="Times New Roman" w:eastAsia="Times New Roman"/>
        </w:rPr>
        <w:t>79—87</w:t>
      </w:r>
      <w:r>
        <w:t>，平均</w:t>
      </w:r>
      <w:r>
        <w:rPr>
          <w:rFonts w:ascii="Times New Roman" w:hAnsi="Times New Roman" w:eastAsia="Times New Roman"/>
        </w:rPr>
        <w:t>82.33</w:t>
      </w:r>
      <w:r>
        <w:t>。</w:t>
      </w:r>
      <w:r>
        <w:rPr>
          <w:rFonts w:ascii="Times New Roman" w:hAnsi="Times New Roman" w:eastAsia="Times New Roman"/>
        </w:rPr>
        <w:t>15</w:t>
      </w:r>
      <w:r>
        <w:t>煤层粘结指数</w:t>
      </w:r>
      <w:r>
        <w:rPr>
          <w:rFonts w:ascii="Times New Roman" w:hAnsi="Times New Roman" w:eastAsia="Times New Roman"/>
        </w:rPr>
        <w:t>79—89</w:t>
      </w:r>
      <w:r>
        <w:t>，平均</w:t>
      </w:r>
      <w:r>
        <w:rPr>
          <w:rFonts w:ascii="Times New Roman" w:hAnsi="Times New Roman" w:eastAsia="Times New Roman"/>
        </w:rPr>
        <w:t>84.75</w:t>
      </w:r>
      <w:r>
        <w:t>。</w:t>
      </w:r>
    </w:p>
    <w:p>
      <w:pPr>
        <w:pStyle w:val="6"/>
        <w:spacing w:before="160"/>
        <w:ind w:left="1040"/>
      </w:pPr>
      <w:r>
        <w:rPr>
          <w:rFonts w:ascii="Times New Roman" w:hAnsi="Times New Roman" w:eastAsia="Times New Roman"/>
        </w:rPr>
        <w:t>20</w:t>
      </w:r>
      <w:r>
        <w:t>煤层粘结指数。</w:t>
      </w:r>
      <w:r>
        <w:rPr>
          <w:rFonts w:ascii="Times New Roman" w:hAnsi="Times New Roman" w:eastAsia="Times New Roman"/>
        </w:rPr>
        <w:t>30</w:t>
      </w:r>
      <w:r>
        <w:t>煤层粘结指数</w:t>
      </w:r>
      <w:r>
        <w:rPr>
          <w:rFonts w:ascii="Times New Roman" w:hAnsi="Times New Roman" w:eastAsia="Times New Roman"/>
        </w:rPr>
        <w:t>84—88</w:t>
      </w:r>
      <w:r>
        <w:t>，平均</w:t>
      </w:r>
      <w:r>
        <w:rPr>
          <w:rFonts w:ascii="Times New Roman" w:hAnsi="Times New Roman" w:eastAsia="Times New Roman"/>
        </w:rPr>
        <w:t>86</w:t>
      </w:r>
      <w:r>
        <w:t>。</w:t>
      </w:r>
    </w:p>
    <w:p>
      <w:pPr>
        <w:pStyle w:val="13"/>
        <w:numPr>
          <w:ilvl w:val="2"/>
          <w:numId w:val="24"/>
        </w:numPr>
        <w:tabs>
          <w:tab w:val="left" w:pos="2121"/>
        </w:tabs>
        <w:spacing w:before="159" w:after="0" w:line="240" w:lineRule="auto"/>
        <w:ind w:left="2121" w:right="0" w:hanging="601"/>
        <w:jc w:val="left"/>
        <w:rPr>
          <w:sz w:val="24"/>
        </w:rPr>
      </w:pPr>
      <w:r>
        <w:rPr>
          <w:sz w:val="24"/>
        </w:rPr>
        <w:t>元素分析</w:t>
      </w:r>
    </w:p>
    <w:p>
      <w:pPr>
        <w:pStyle w:val="6"/>
        <w:spacing w:before="158" w:line="364" w:lineRule="auto"/>
        <w:ind w:left="1040" w:right="997" w:firstLine="480"/>
      </w:pPr>
      <w:r>
        <w:t>共做了</w:t>
      </w:r>
      <w:r>
        <w:rPr>
          <w:rFonts w:ascii="Times New Roman" w:eastAsia="Times New Roman"/>
        </w:rPr>
        <w:t>5</w:t>
      </w:r>
      <w:r>
        <w:t>个层点，氢（</w:t>
      </w:r>
      <w:r>
        <w:rPr>
          <w:rFonts w:ascii="Times New Roman" w:eastAsia="Times New Roman"/>
        </w:rPr>
        <w:t>Hr</w:t>
      </w:r>
      <w:r>
        <w:t>）</w:t>
      </w:r>
      <w:r>
        <w:rPr>
          <w:rFonts w:ascii="Times New Roman" w:eastAsia="Times New Roman"/>
        </w:rPr>
        <w:t>10</w:t>
      </w:r>
      <w:r>
        <w:t>煤层含量为</w:t>
      </w:r>
      <w:r>
        <w:rPr>
          <w:rFonts w:ascii="Times New Roman" w:eastAsia="Times New Roman"/>
        </w:rPr>
        <w:t>5.69%</w:t>
      </w:r>
      <w:r>
        <w:t>－</w:t>
      </w:r>
      <w:r>
        <w:rPr>
          <w:rFonts w:ascii="Times New Roman" w:eastAsia="Times New Roman"/>
        </w:rPr>
        <w:t>5.71</w:t>
      </w:r>
      <w:r>
        <w:t>％，氢（</w:t>
      </w:r>
      <w:r>
        <w:rPr>
          <w:rFonts w:ascii="Times New Roman" w:eastAsia="Times New Roman"/>
        </w:rPr>
        <w:t>Hr</w:t>
      </w:r>
      <w:r>
        <w:t>）</w:t>
      </w:r>
      <w:r>
        <w:rPr>
          <w:rFonts w:ascii="Times New Roman" w:eastAsia="Times New Roman"/>
        </w:rPr>
        <w:t>20</w:t>
      </w:r>
      <w:r>
        <w:t>煤层含量为</w:t>
      </w:r>
      <w:r>
        <w:rPr>
          <w:rFonts w:ascii="Times New Roman" w:eastAsia="Times New Roman"/>
        </w:rPr>
        <w:t>5.57%</w:t>
      </w:r>
      <w:r>
        <w:t>－</w:t>
      </w:r>
      <w:r>
        <w:rPr>
          <w:rFonts w:ascii="Times New Roman" w:eastAsia="Times New Roman"/>
        </w:rPr>
        <w:t>5.68</w:t>
      </w:r>
      <w:r>
        <w:t>％，从碳氢含量变化表明，煤的元素组成稳定。</w:t>
      </w:r>
    </w:p>
    <w:p>
      <w:pPr>
        <w:pStyle w:val="6"/>
        <w:spacing w:line="306" w:lineRule="exact"/>
        <w:ind w:left="1520"/>
      </w:pPr>
      <w:r>
        <w:rPr>
          <w:rFonts w:ascii="Times New Roman" w:eastAsia="Times New Roman"/>
        </w:rPr>
        <w:t>3</w:t>
      </w:r>
      <w:r>
        <w:t>、煤类</w:t>
      </w:r>
    </w:p>
    <w:p>
      <w:pPr>
        <w:pStyle w:val="6"/>
        <w:spacing w:before="160" w:line="364" w:lineRule="auto"/>
        <w:ind w:left="1040" w:right="1075" w:firstLine="480"/>
      </w:pPr>
      <w:r>
        <w:t>根据中国煤炭分类国家标准</w:t>
      </w:r>
      <w:r>
        <w:rPr>
          <w:rFonts w:ascii="Times New Roman" w:eastAsia="Times New Roman"/>
        </w:rPr>
        <w:t>(GB5751-2009)</w:t>
      </w:r>
      <w:r>
        <w:t>，确定本区煤种为气煤和</w:t>
      </w:r>
      <w:r>
        <w:rPr>
          <w:rFonts w:ascii="Times New Roman" w:eastAsia="Times New Roman"/>
        </w:rPr>
        <w:t>1/3</w:t>
      </w:r>
      <w:r>
        <w:t>焦煤。其中：</w:t>
      </w:r>
      <w:r>
        <w:rPr>
          <w:rFonts w:ascii="Times New Roman" w:eastAsia="Times New Roman"/>
        </w:rPr>
        <w:t>10</w:t>
      </w:r>
      <w:r>
        <w:t>号煤层为气煤和</w:t>
      </w:r>
      <w:r>
        <w:rPr>
          <w:rFonts w:ascii="Times New Roman" w:eastAsia="Times New Roman"/>
        </w:rPr>
        <w:t>1/3</w:t>
      </w:r>
      <w:r>
        <w:t>焦煤，其它各煤层均为</w:t>
      </w:r>
      <w:r>
        <w:rPr>
          <w:rFonts w:ascii="Times New Roman" w:eastAsia="Times New Roman"/>
        </w:rPr>
        <w:t>1/3</w:t>
      </w:r>
      <w:r>
        <w:t>焦煤。</w:t>
      </w:r>
    </w:p>
    <w:p>
      <w:pPr>
        <w:spacing w:after="0" w:line="364" w:lineRule="auto"/>
        <w:sectPr>
          <w:pgSz w:w="11910" w:h="16840"/>
          <w:pgMar w:top="1080" w:right="720" w:bottom="1160" w:left="760" w:header="0" w:footer="97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51" name="组合 56"/>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50" name="直线 57"/>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56"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u2gi7UAAAAAwEAAA8AAAAAAAAAAQAgAAAAIgAAAGRycy9kb3ducmV2Lnht&#10;bFBLAQIUABQAAAAIAIdO4kBe7LxxNgIAALYEAAAOAAAAAAAAAAEAIAAAACMBAABkcnMvZTJvRG9j&#10;LnhtbFBLBQYAAAAABgAGAFkBAADLBQAAAAA=&#10;">
                <o:lock v:ext="edit" aspectratio="f"/>
                <v:line id="直线 57" o:spid="_x0000_s1026" o:spt="20" style="position:absolute;left:0;top:7;height:0;width:8306;" filled="f" stroked="t" coordsize="21600,21600" o:gfxdata="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fHS1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pStyle w:val="6"/>
        <w:spacing w:before="5"/>
        <w:rPr>
          <w:sz w:val="19"/>
        </w:rPr>
      </w:pPr>
    </w:p>
    <w:p>
      <w:pPr>
        <w:pStyle w:val="6"/>
        <w:spacing w:before="74" w:line="364" w:lineRule="auto"/>
        <w:ind w:left="1040" w:right="997" w:firstLine="480"/>
      </w:pPr>
      <w:r>
        <w:t>综上所述，本区煤为低灰分、特低硫、低磷、中</w:t>
      </w:r>
      <w:r>
        <w:rPr>
          <w:rFonts w:ascii="Times New Roman" w:eastAsia="Times New Roman"/>
        </w:rPr>
        <w:t>-</w:t>
      </w:r>
      <w:r>
        <w:t>中高</w:t>
      </w:r>
      <w:r>
        <w:rPr>
          <w:rFonts w:ascii="Times New Roman" w:eastAsia="Times New Roman"/>
        </w:rPr>
        <w:t>-</w:t>
      </w:r>
      <w:r>
        <w:t>特高发热量的</w:t>
      </w:r>
      <w:r>
        <w:rPr>
          <w:rFonts w:ascii="Times New Roman" w:eastAsia="Times New Roman"/>
        </w:rPr>
        <w:t>1/3</w:t>
      </w:r>
      <w:r>
        <w:t>焦煤为主，</w:t>
      </w:r>
      <w:r>
        <w:rPr>
          <w:rFonts w:ascii="Times New Roman" w:eastAsia="Times New Roman"/>
        </w:rPr>
        <w:t>10</w:t>
      </w:r>
      <w:r>
        <w:t>煤层局部有气煤。</w:t>
      </w:r>
    </w:p>
    <w:p>
      <w:pPr>
        <w:pStyle w:val="6"/>
        <w:spacing w:line="306" w:lineRule="exact"/>
        <w:ind w:left="1520"/>
      </w:pPr>
      <w:r>
        <w:t>各煤层化学性质见表</w:t>
      </w:r>
      <w:r>
        <w:rPr>
          <w:rFonts w:ascii="Times New Roman" w:eastAsia="Times New Roman"/>
        </w:rPr>
        <w:t>3.3-10</w:t>
      </w:r>
      <w:r>
        <w:t>。</w:t>
      </w:r>
    </w:p>
    <w:p>
      <w:pPr>
        <w:pStyle w:val="5"/>
        <w:tabs>
          <w:tab w:val="left" w:pos="1558"/>
        </w:tabs>
        <w:spacing w:before="161"/>
        <w:ind w:left="457"/>
        <w:jc w:val="center"/>
      </w:pPr>
      <w:r>
        <w:t>表</w:t>
      </w:r>
      <w:r>
        <w:rPr>
          <w:rFonts w:ascii="Times New Roman" w:eastAsia="Times New Roman"/>
        </w:rPr>
        <w:t>3.3-10</w:t>
      </w:r>
      <w:r>
        <w:rPr>
          <w:rFonts w:ascii="Times New Roman" w:eastAsia="Times New Roman"/>
        </w:rPr>
        <w:tab/>
      </w:r>
      <w:r>
        <w:t>双鸭山市大顺煤矿煤质主要指标统计一览表</w:t>
      </w:r>
    </w:p>
    <w:p>
      <w:pPr>
        <w:pStyle w:val="6"/>
        <w:spacing w:before="4"/>
        <w:rPr>
          <w:b/>
          <w:sz w:val="12"/>
        </w:rPr>
      </w:pPr>
    </w:p>
    <w:tbl>
      <w:tblPr>
        <w:tblStyle w:val="10"/>
        <w:tblW w:w="0" w:type="auto"/>
        <w:tblInd w:w="4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1"/>
        <w:gridCol w:w="1275"/>
        <w:gridCol w:w="1276"/>
        <w:gridCol w:w="1134"/>
        <w:gridCol w:w="1276"/>
        <w:gridCol w:w="992"/>
        <w:gridCol w:w="980"/>
        <w:gridCol w:w="1005"/>
        <w:gridCol w:w="9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9" w:hRule="atLeast"/>
        </w:trPr>
        <w:tc>
          <w:tcPr>
            <w:tcW w:w="581" w:type="dxa"/>
          </w:tcPr>
          <w:p>
            <w:pPr>
              <w:pStyle w:val="14"/>
              <w:jc w:val="left"/>
              <w:rPr>
                <w:b/>
                <w:sz w:val="22"/>
              </w:rPr>
            </w:pPr>
          </w:p>
          <w:p>
            <w:pPr>
              <w:pStyle w:val="14"/>
              <w:spacing w:line="278" w:lineRule="auto"/>
              <w:ind w:left="184" w:right="175"/>
              <w:jc w:val="left"/>
              <w:rPr>
                <w:sz w:val="21"/>
              </w:rPr>
            </w:pPr>
            <w:r>
              <w:rPr>
                <w:sz w:val="21"/>
              </w:rPr>
              <w:t>煤层</w:t>
            </w:r>
          </w:p>
        </w:tc>
        <w:tc>
          <w:tcPr>
            <w:tcW w:w="1275" w:type="dxa"/>
          </w:tcPr>
          <w:p>
            <w:pPr>
              <w:pStyle w:val="14"/>
              <w:jc w:val="left"/>
              <w:rPr>
                <w:b/>
                <w:sz w:val="22"/>
              </w:rPr>
            </w:pPr>
          </w:p>
          <w:p>
            <w:pPr>
              <w:pStyle w:val="14"/>
              <w:spacing w:before="156"/>
              <w:ind w:left="186"/>
              <w:jc w:val="left"/>
              <w:rPr>
                <w:rFonts w:ascii="Times New Roman" w:eastAsia="Times New Roman"/>
                <w:sz w:val="21"/>
              </w:rPr>
            </w:pPr>
            <w:r>
              <w:rPr>
                <w:sz w:val="21"/>
              </w:rPr>
              <w:t xml:space="preserve">原煤 </w:t>
            </w:r>
            <w:r>
              <w:rPr>
                <w:rFonts w:ascii="Times New Roman" w:eastAsia="Times New Roman"/>
                <w:sz w:val="21"/>
              </w:rPr>
              <w:t>Ad%</w:t>
            </w:r>
          </w:p>
        </w:tc>
        <w:tc>
          <w:tcPr>
            <w:tcW w:w="1276" w:type="dxa"/>
          </w:tcPr>
          <w:p>
            <w:pPr>
              <w:pStyle w:val="14"/>
              <w:jc w:val="left"/>
              <w:rPr>
                <w:b/>
                <w:sz w:val="22"/>
              </w:rPr>
            </w:pPr>
          </w:p>
          <w:p>
            <w:pPr>
              <w:pStyle w:val="14"/>
              <w:spacing w:before="156"/>
              <w:ind w:left="108"/>
              <w:jc w:val="left"/>
              <w:rPr>
                <w:rFonts w:ascii="Times New Roman" w:eastAsia="Times New Roman"/>
                <w:sz w:val="21"/>
              </w:rPr>
            </w:pPr>
            <w:r>
              <w:rPr>
                <w:sz w:val="21"/>
              </w:rPr>
              <w:t>浮煤</w:t>
            </w:r>
            <w:r>
              <w:rPr>
                <w:rFonts w:ascii="Times New Roman" w:eastAsia="Times New Roman"/>
                <w:sz w:val="21"/>
              </w:rPr>
              <w:t>Vdaf%</w:t>
            </w:r>
          </w:p>
        </w:tc>
        <w:tc>
          <w:tcPr>
            <w:tcW w:w="1134" w:type="dxa"/>
          </w:tcPr>
          <w:p>
            <w:pPr>
              <w:pStyle w:val="14"/>
              <w:jc w:val="left"/>
              <w:rPr>
                <w:b/>
                <w:sz w:val="22"/>
              </w:rPr>
            </w:pPr>
          </w:p>
          <w:p>
            <w:pPr>
              <w:pStyle w:val="14"/>
              <w:ind w:left="109"/>
              <w:jc w:val="left"/>
              <w:rPr>
                <w:sz w:val="21"/>
              </w:rPr>
            </w:pPr>
            <w:r>
              <w:rPr>
                <w:sz w:val="21"/>
              </w:rPr>
              <w:t>全硫</w:t>
            </w:r>
            <w:r>
              <w:rPr>
                <w:spacing w:val="-5"/>
                <w:sz w:val="21"/>
              </w:rPr>
              <w:t>（</w:t>
            </w:r>
            <w:r>
              <w:rPr>
                <w:rFonts w:ascii="Times New Roman" w:eastAsia="Times New Roman"/>
                <w:spacing w:val="-5"/>
                <w:sz w:val="21"/>
              </w:rPr>
              <w:t>St</w:t>
            </w:r>
            <w:r>
              <w:rPr>
                <w:spacing w:val="-5"/>
                <w:sz w:val="21"/>
              </w:rPr>
              <w:t>，</w:t>
            </w:r>
          </w:p>
          <w:p>
            <w:pPr>
              <w:pStyle w:val="14"/>
              <w:spacing w:before="43"/>
              <w:ind w:left="60" w:right="53"/>
              <w:rPr>
                <w:sz w:val="21"/>
              </w:rPr>
            </w:pPr>
            <w:r>
              <w:rPr>
                <w:rFonts w:ascii="Times New Roman" w:eastAsia="Times New Roman"/>
                <w:sz w:val="21"/>
              </w:rPr>
              <w:t>d</w:t>
            </w:r>
            <w:r>
              <w:rPr>
                <w:sz w:val="21"/>
              </w:rPr>
              <w:t>）</w:t>
            </w:r>
          </w:p>
        </w:tc>
        <w:tc>
          <w:tcPr>
            <w:tcW w:w="1276" w:type="dxa"/>
          </w:tcPr>
          <w:p>
            <w:pPr>
              <w:pStyle w:val="14"/>
              <w:spacing w:before="1"/>
              <w:jc w:val="left"/>
              <w:rPr>
                <w:b/>
                <w:sz w:val="23"/>
              </w:rPr>
            </w:pPr>
          </w:p>
          <w:p>
            <w:pPr>
              <w:pStyle w:val="14"/>
              <w:spacing w:line="309" w:lineRule="auto"/>
              <w:ind w:left="370" w:right="296" w:hanging="44"/>
              <w:jc w:val="left"/>
              <w:rPr>
                <w:rFonts w:ascii="Times New Roman"/>
                <w:sz w:val="21"/>
              </w:rPr>
            </w:pPr>
            <w:r>
              <w:rPr>
                <w:rFonts w:ascii="Times New Roman"/>
                <w:sz w:val="21"/>
              </w:rPr>
              <w:t>Qnet,ar MJ/kg</w:t>
            </w:r>
          </w:p>
        </w:tc>
        <w:tc>
          <w:tcPr>
            <w:tcW w:w="992" w:type="dxa"/>
          </w:tcPr>
          <w:p>
            <w:pPr>
              <w:pStyle w:val="14"/>
              <w:jc w:val="left"/>
              <w:rPr>
                <w:b/>
                <w:sz w:val="22"/>
              </w:rPr>
            </w:pPr>
          </w:p>
          <w:p>
            <w:pPr>
              <w:pStyle w:val="14"/>
              <w:spacing w:line="278" w:lineRule="auto"/>
              <w:ind w:left="284" w:right="277"/>
              <w:jc w:val="left"/>
              <w:rPr>
                <w:sz w:val="21"/>
              </w:rPr>
            </w:pPr>
            <w:r>
              <w:rPr>
                <w:sz w:val="21"/>
              </w:rPr>
              <w:t>粘结指数</w:t>
            </w:r>
          </w:p>
        </w:tc>
        <w:tc>
          <w:tcPr>
            <w:tcW w:w="980" w:type="dxa"/>
          </w:tcPr>
          <w:p>
            <w:pPr>
              <w:pStyle w:val="14"/>
              <w:jc w:val="left"/>
              <w:rPr>
                <w:b/>
                <w:sz w:val="22"/>
              </w:rPr>
            </w:pPr>
          </w:p>
          <w:p>
            <w:pPr>
              <w:pStyle w:val="14"/>
              <w:ind w:left="90" w:right="80"/>
              <w:rPr>
                <w:sz w:val="21"/>
              </w:rPr>
            </w:pPr>
            <w:r>
              <w:rPr>
                <w:sz w:val="21"/>
              </w:rPr>
              <w:t>胶质层</w:t>
            </w:r>
          </w:p>
          <w:p>
            <w:pPr>
              <w:pStyle w:val="14"/>
              <w:spacing w:before="57"/>
              <w:ind w:left="7"/>
              <w:rPr>
                <w:rFonts w:ascii="Times New Roman"/>
                <w:sz w:val="21"/>
              </w:rPr>
            </w:pPr>
            <w:r>
              <w:rPr>
                <w:rFonts w:ascii="Times New Roman"/>
                <w:w w:val="99"/>
                <w:sz w:val="21"/>
              </w:rPr>
              <w:t>Y</w:t>
            </w:r>
          </w:p>
        </w:tc>
        <w:tc>
          <w:tcPr>
            <w:tcW w:w="1005" w:type="dxa"/>
          </w:tcPr>
          <w:p>
            <w:pPr>
              <w:pStyle w:val="14"/>
              <w:jc w:val="left"/>
              <w:rPr>
                <w:b/>
                <w:sz w:val="22"/>
              </w:rPr>
            </w:pPr>
          </w:p>
          <w:p>
            <w:pPr>
              <w:pStyle w:val="14"/>
              <w:ind w:left="186"/>
              <w:jc w:val="left"/>
              <w:rPr>
                <w:sz w:val="21"/>
              </w:rPr>
            </w:pPr>
            <w:r>
              <w:rPr>
                <w:sz w:val="21"/>
              </w:rPr>
              <w:t>视密度</w:t>
            </w:r>
          </w:p>
          <w:p>
            <w:pPr>
              <w:pStyle w:val="14"/>
              <w:spacing w:before="43"/>
              <w:ind w:left="107"/>
              <w:jc w:val="left"/>
              <w:rPr>
                <w:sz w:val="21"/>
              </w:rPr>
            </w:pPr>
            <w:r>
              <w:rPr>
                <w:sz w:val="21"/>
              </w:rPr>
              <w:t>（</w:t>
            </w:r>
            <w:r>
              <w:rPr>
                <w:rFonts w:ascii="Times New Roman" w:eastAsia="Times New Roman"/>
                <w:sz w:val="21"/>
              </w:rPr>
              <w:t>t/m3</w:t>
            </w:r>
            <w:r>
              <w:rPr>
                <w:sz w:val="21"/>
              </w:rPr>
              <w:t>）</w:t>
            </w:r>
          </w:p>
        </w:tc>
        <w:tc>
          <w:tcPr>
            <w:tcW w:w="919" w:type="dxa"/>
          </w:tcPr>
          <w:p>
            <w:pPr>
              <w:pStyle w:val="14"/>
              <w:jc w:val="left"/>
              <w:rPr>
                <w:b/>
                <w:sz w:val="20"/>
              </w:rPr>
            </w:pPr>
          </w:p>
          <w:p>
            <w:pPr>
              <w:pStyle w:val="14"/>
              <w:spacing w:before="2"/>
              <w:jc w:val="left"/>
              <w:rPr>
                <w:b/>
                <w:sz w:val="14"/>
              </w:rPr>
            </w:pPr>
          </w:p>
          <w:p>
            <w:pPr>
              <w:pStyle w:val="14"/>
              <w:ind w:left="247"/>
              <w:jc w:val="left"/>
              <w:rPr>
                <w:sz w:val="21"/>
              </w:rPr>
            </w:pPr>
            <w:r>
              <w:rPr>
                <w:sz w:val="21"/>
              </w:rPr>
              <w:t>煤种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9" w:hRule="atLeast"/>
        </w:trPr>
        <w:tc>
          <w:tcPr>
            <w:tcW w:w="581" w:type="dxa"/>
          </w:tcPr>
          <w:p>
            <w:pPr>
              <w:pStyle w:val="14"/>
              <w:jc w:val="left"/>
              <w:rPr>
                <w:b/>
                <w:sz w:val="22"/>
              </w:rPr>
            </w:pPr>
          </w:p>
          <w:p>
            <w:pPr>
              <w:pStyle w:val="14"/>
              <w:spacing w:before="11"/>
              <w:jc w:val="left"/>
              <w:rPr>
                <w:b/>
                <w:sz w:val="21"/>
              </w:rPr>
            </w:pPr>
          </w:p>
          <w:p>
            <w:pPr>
              <w:pStyle w:val="14"/>
              <w:ind w:left="164" w:right="157"/>
              <w:rPr>
                <w:rFonts w:ascii="Times New Roman"/>
                <w:sz w:val="21"/>
              </w:rPr>
            </w:pPr>
            <w:r>
              <w:rPr>
                <w:rFonts w:ascii="Times New Roman"/>
                <w:sz w:val="21"/>
              </w:rPr>
              <w:t>10</w:t>
            </w:r>
          </w:p>
        </w:tc>
        <w:tc>
          <w:tcPr>
            <w:tcW w:w="1275" w:type="dxa"/>
          </w:tcPr>
          <w:p>
            <w:pPr>
              <w:pStyle w:val="14"/>
              <w:spacing w:before="9"/>
              <w:jc w:val="left"/>
              <w:rPr>
                <w:b/>
                <w:sz w:val="31"/>
              </w:rPr>
            </w:pPr>
          </w:p>
          <w:p>
            <w:pPr>
              <w:pStyle w:val="14"/>
              <w:ind w:left="110" w:right="99"/>
              <w:rPr>
                <w:rFonts w:ascii="Times New Roman"/>
                <w:sz w:val="21"/>
              </w:rPr>
            </w:pPr>
            <w:r>
              <w:rPr>
                <w:rFonts w:ascii="Times New Roman"/>
                <w:sz w:val="21"/>
              </w:rPr>
              <w:t>16.99-45.15</w:t>
            </w:r>
          </w:p>
          <w:p>
            <w:pPr>
              <w:pStyle w:val="14"/>
              <w:spacing w:before="57"/>
              <w:ind w:left="104" w:right="99"/>
              <w:rPr>
                <w:sz w:val="21"/>
              </w:rPr>
            </w:pPr>
            <w:r>
              <w:rPr>
                <w:rFonts w:ascii="Times New Roman" w:hAnsi="Times New Roman"/>
                <w:sz w:val="21"/>
              </w:rPr>
              <w:t>/34.27</w:t>
            </w:r>
            <w:r>
              <w:rPr>
                <w:sz w:val="21"/>
              </w:rPr>
              <w:t>⑦</w:t>
            </w:r>
          </w:p>
        </w:tc>
        <w:tc>
          <w:tcPr>
            <w:tcW w:w="1276" w:type="dxa"/>
          </w:tcPr>
          <w:p>
            <w:pPr>
              <w:pStyle w:val="14"/>
              <w:spacing w:before="9"/>
              <w:jc w:val="left"/>
              <w:rPr>
                <w:b/>
                <w:sz w:val="31"/>
              </w:rPr>
            </w:pPr>
          </w:p>
          <w:p>
            <w:pPr>
              <w:pStyle w:val="14"/>
              <w:ind w:left="110" w:right="99"/>
              <w:rPr>
                <w:rFonts w:ascii="Times New Roman"/>
                <w:sz w:val="21"/>
              </w:rPr>
            </w:pPr>
            <w:r>
              <w:rPr>
                <w:rFonts w:ascii="Times New Roman"/>
                <w:sz w:val="21"/>
              </w:rPr>
              <w:t>32.19-38.65</w:t>
            </w:r>
          </w:p>
          <w:p>
            <w:pPr>
              <w:pStyle w:val="14"/>
              <w:spacing w:before="57"/>
              <w:ind w:left="108" w:right="100"/>
              <w:rPr>
                <w:sz w:val="21"/>
              </w:rPr>
            </w:pPr>
            <w:r>
              <w:rPr>
                <w:rFonts w:ascii="Times New Roman" w:hAnsi="Times New Roman"/>
                <w:sz w:val="21"/>
              </w:rPr>
              <w:t>/36.35</w:t>
            </w:r>
            <w:r>
              <w:rPr>
                <w:sz w:val="21"/>
              </w:rPr>
              <w:t>⑦</w:t>
            </w:r>
          </w:p>
        </w:tc>
        <w:tc>
          <w:tcPr>
            <w:tcW w:w="1134" w:type="dxa"/>
          </w:tcPr>
          <w:p>
            <w:pPr>
              <w:pStyle w:val="14"/>
              <w:spacing w:before="9"/>
              <w:jc w:val="left"/>
              <w:rPr>
                <w:b/>
                <w:sz w:val="31"/>
              </w:rPr>
            </w:pPr>
          </w:p>
          <w:p>
            <w:pPr>
              <w:pStyle w:val="14"/>
              <w:ind w:left="64" w:right="52"/>
              <w:rPr>
                <w:rFonts w:ascii="Times New Roman"/>
                <w:sz w:val="21"/>
              </w:rPr>
            </w:pPr>
            <w:r>
              <w:rPr>
                <w:rFonts w:ascii="Times New Roman"/>
                <w:sz w:val="21"/>
              </w:rPr>
              <w:t>0.30-0.36/</w:t>
            </w:r>
          </w:p>
          <w:p>
            <w:pPr>
              <w:pStyle w:val="14"/>
              <w:spacing w:before="57"/>
              <w:ind w:left="60" w:right="53"/>
              <w:rPr>
                <w:sz w:val="21"/>
              </w:rPr>
            </w:pPr>
            <w:r>
              <w:rPr>
                <w:rFonts w:ascii="Times New Roman" w:hAnsi="Times New Roman"/>
                <w:sz w:val="21"/>
              </w:rPr>
              <w:t>0.33</w:t>
            </w:r>
            <w:r>
              <w:rPr>
                <w:sz w:val="21"/>
              </w:rPr>
              <w:t>④</w:t>
            </w:r>
          </w:p>
        </w:tc>
        <w:tc>
          <w:tcPr>
            <w:tcW w:w="1276" w:type="dxa"/>
          </w:tcPr>
          <w:p>
            <w:pPr>
              <w:pStyle w:val="14"/>
              <w:spacing w:before="9"/>
              <w:jc w:val="left"/>
              <w:rPr>
                <w:b/>
                <w:sz w:val="31"/>
              </w:rPr>
            </w:pPr>
          </w:p>
          <w:p>
            <w:pPr>
              <w:pStyle w:val="14"/>
              <w:ind w:left="110" w:right="100"/>
              <w:rPr>
                <w:rFonts w:ascii="Times New Roman"/>
                <w:sz w:val="21"/>
              </w:rPr>
            </w:pPr>
            <w:r>
              <w:rPr>
                <w:rFonts w:ascii="Times New Roman"/>
                <w:sz w:val="21"/>
              </w:rPr>
              <w:t>17.39-20.90</w:t>
            </w:r>
          </w:p>
          <w:p>
            <w:pPr>
              <w:pStyle w:val="14"/>
              <w:spacing w:before="57"/>
              <w:ind w:left="107" w:right="100"/>
              <w:rPr>
                <w:sz w:val="21"/>
              </w:rPr>
            </w:pPr>
            <w:r>
              <w:rPr>
                <w:rFonts w:ascii="Times New Roman" w:hAnsi="Times New Roman"/>
                <w:sz w:val="21"/>
              </w:rPr>
              <w:t>/19.00</w:t>
            </w:r>
            <w:r>
              <w:rPr>
                <w:sz w:val="21"/>
              </w:rPr>
              <w:t>④</w:t>
            </w:r>
          </w:p>
        </w:tc>
        <w:tc>
          <w:tcPr>
            <w:tcW w:w="992" w:type="dxa"/>
          </w:tcPr>
          <w:p>
            <w:pPr>
              <w:pStyle w:val="14"/>
              <w:spacing w:before="9"/>
              <w:jc w:val="left"/>
              <w:rPr>
                <w:b/>
                <w:sz w:val="31"/>
              </w:rPr>
            </w:pPr>
          </w:p>
          <w:p>
            <w:pPr>
              <w:pStyle w:val="14"/>
              <w:ind w:left="54" w:right="46"/>
              <w:rPr>
                <w:rFonts w:ascii="Times New Roman"/>
                <w:sz w:val="21"/>
              </w:rPr>
            </w:pPr>
            <w:r>
              <w:rPr>
                <w:rFonts w:ascii="Times New Roman"/>
                <w:sz w:val="21"/>
              </w:rPr>
              <w:t>72-87/82</w:t>
            </w:r>
          </w:p>
          <w:p>
            <w:pPr>
              <w:pStyle w:val="14"/>
              <w:spacing w:before="57"/>
              <w:ind w:left="55" w:right="46"/>
              <w:rPr>
                <w:sz w:val="21"/>
              </w:rPr>
            </w:pPr>
            <w:r>
              <w:rPr>
                <w:rFonts w:ascii="Times New Roman" w:hAnsi="Times New Roman"/>
                <w:sz w:val="21"/>
              </w:rPr>
              <w:t>.33</w:t>
            </w:r>
            <w:r>
              <w:rPr>
                <w:sz w:val="21"/>
              </w:rPr>
              <w:t>⑥</w:t>
            </w:r>
          </w:p>
        </w:tc>
        <w:tc>
          <w:tcPr>
            <w:tcW w:w="980" w:type="dxa"/>
          </w:tcPr>
          <w:p>
            <w:pPr>
              <w:pStyle w:val="14"/>
              <w:spacing w:before="9"/>
              <w:jc w:val="left"/>
              <w:rPr>
                <w:b/>
                <w:sz w:val="31"/>
              </w:rPr>
            </w:pPr>
          </w:p>
          <w:p>
            <w:pPr>
              <w:pStyle w:val="14"/>
              <w:ind w:left="90" w:right="81"/>
              <w:rPr>
                <w:rFonts w:ascii="Times New Roman"/>
                <w:sz w:val="21"/>
              </w:rPr>
            </w:pPr>
            <w:r>
              <w:rPr>
                <w:rFonts w:ascii="Times New Roman"/>
                <w:sz w:val="21"/>
              </w:rPr>
              <w:t>13-18/14</w:t>
            </w:r>
          </w:p>
          <w:p>
            <w:pPr>
              <w:pStyle w:val="14"/>
              <w:spacing w:before="57"/>
              <w:ind w:left="89" w:right="81"/>
              <w:rPr>
                <w:sz w:val="21"/>
              </w:rPr>
            </w:pPr>
            <w:r>
              <w:rPr>
                <w:rFonts w:ascii="Times New Roman" w:hAnsi="Times New Roman"/>
                <w:sz w:val="21"/>
              </w:rPr>
              <w:t>.8</w:t>
            </w:r>
            <w:r>
              <w:rPr>
                <w:sz w:val="21"/>
              </w:rPr>
              <w:t>⑤</w:t>
            </w:r>
          </w:p>
        </w:tc>
        <w:tc>
          <w:tcPr>
            <w:tcW w:w="1005" w:type="dxa"/>
          </w:tcPr>
          <w:p>
            <w:pPr>
              <w:pStyle w:val="14"/>
              <w:spacing w:before="9"/>
              <w:jc w:val="left"/>
              <w:rPr>
                <w:b/>
                <w:sz w:val="31"/>
              </w:rPr>
            </w:pPr>
          </w:p>
          <w:p>
            <w:pPr>
              <w:pStyle w:val="14"/>
              <w:ind w:left="153"/>
              <w:jc w:val="left"/>
              <w:rPr>
                <w:rFonts w:ascii="Times New Roman"/>
                <w:sz w:val="21"/>
              </w:rPr>
            </w:pPr>
            <w:r>
              <w:rPr>
                <w:rFonts w:ascii="Times New Roman"/>
                <w:sz w:val="21"/>
              </w:rPr>
              <w:t>1.41-1.6</w:t>
            </w:r>
          </w:p>
          <w:p>
            <w:pPr>
              <w:pStyle w:val="14"/>
              <w:spacing w:before="57"/>
              <w:ind w:left="131"/>
              <w:jc w:val="left"/>
              <w:rPr>
                <w:sz w:val="21"/>
              </w:rPr>
            </w:pPr>
            <w:r>
              <w:rPr>
                <w:rFonts w:ascii="Times New Roman" w:hAnsi="Times New Roman"/>
                <w:sz w:val="21"/>
              </w:rPr>
              <w:t>2/1.56</w:t>
            </w:r>
            <w:r>
              <w:rPr>
                <w:sz w:val="21"/>
              </w:rPr>
              <w:t>⑤</w:t>
            </w:r>
          </w:p>
        </w:tc>
        <w:tc>
          <w:tcPr>
            <w:tcW w:w="919" w:type="dxa"/>
          </w:tcPr>
          <w:p>
            <w:pPr>
              <w:pStyle w:val="14"/>
              <w:spacing w:before="5"/>
              <w:jc w:val="left"/>
              <w:rPr>
                <w:b/>
                <w:sz w:val="18"/>
              </w:rPr>
            </w:pPr>
          </w:p>
          <w:p>
            <w:pPr>
              <w:pStyle w:val="14"/>
              <w:spacing w:before="1" w:line="278" w:lineRule="auto"/>
              <w:ind w:left="144" w:right="133"/>
              <w:rPr>
                <w:sz w:val="21"/>
              </w:rPr>
            </w:pPr>
            <w:r>
              <w:rPr>
                <w:sz w:val="21"/>
              </w:rPr>
              <w:t>气煤、</w:t>
            </w:r>
            <w:r>
              <w:rPr>
                <w:rFonts w:ascii="Times New Roman" w:eastAsia="Times New Roman"/>
                <w:sz w:val="21"/>
              </w:rPr>
              <w:t xml:space="preserve">1/3 </w:t>
            </w:r>
            <w:r>
              <w:rPr>
                <w:sz w:val="21"/>
              </w:rPr>
              <w:t>焦煤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3" w:hRule="atLeast"/>
        </w:trPr>
        <w:tc>
          <w:tcPr>
            <w:tcW w:w="581" w:type="dxa"/>
          </w:tcPr>
          <w:p>
            <w:pPr>
              <w:pStyle w:val="14"/>
              <w:jc w:val="left"/>
              <w:rPr>
                <w:b/>
                <w:sz w:val="22"/>
              </w:rPr>
            </w:pPr>
          </w:p>
          <w:p>
            <w:pPr>
              <w:pStyle w:val="14"/>
              <w:spacing w:before="11"/>
              <w:jc w:val="left"/>
              <w:rPr>
                <w:b/>
                <w:sz w:val="20"/>
              </w:rPr>
            </w:pPr>
          </w:p>
          <w:p>
            <w:pPr>
              <w:pStyle w:val="14"/>
              <w:ind w:left="164" w:right="157"/>
              <w:rPr>
                <w:rFonts w:ascii="Times New Roman"/>
                <w:sz w:val="21"/>
              </w:rPr>
            </w:pPr>
            <w:r>
              <w:rPr>
                <w:rFonts w:ascii="Times New Roman"/>
                <w:sz w:val="21"/>
              </w:rPr>
              <w:t>15</w:t>
            </w:r>
          </w:p>
        </w:tc>
        <w:tc>
          <w:tcPr>
            <w:tcW w:w="1275" w:type="dxa"/>
          </w:tcPr>
          <w:p>
            <w:pPr>
              <w:pStyle w:val="14"/>
              <w:spacing w:before="8"/>
              <w:jc w:val="left"/>
              <w:rPr>
                <w:b/>
                <w:sz w:val="30"/>
              </w:rPr>
            </w:pPr>
          </w:p>
          <w:p>
            <w:pPr>
              <w:pStyle w:val="14"/>
              <w:ind w:left="109" w:right="99"/>
              <w:rPr>
                <w:rFonts w:ascii="Times New Roman"/>
                <w:sz w:val="21"/>
              </w:rPr>
            </w:pPr>
            <w:r>
              <w:rPr>
                <w:rFonts w:ascii="Times New Roman"/>
                <w:sz w:val="21"/>
              </w:rPr>
              <w:t>8.43-14.76/</w:t>
            </w:r>
          </w:p>
          <w:p>
            <w:pPr>
              <w:pStyle w:val="14"/>
              <w:spacing w:before="57"/>
              <w:ind w:left="107" w:right="99"/>
              <w:rPr>
                <w:sz w:val="21"/>
              </w:rPr>
            </w:pPr>
            <w:r>
              <w:rPr>
                <w:rFonts w:ascii="Times New Roman" w:hAnsi="Times New Roman"/>
                <w:sz w:val="21"/>
              </w:rPr>
              <w:t>10.52</w:t>
            </w:r>
            <w:r>
              <w:rPr>
                <w:sz w:val="21"/>
              </w:rPr>
              <w:t>⑦</w:t>
            </w:r>
          </w:p>
        </w:tc>
        <w:tc>
          <w:tcPr>
            <w:tcW w:w="1276" w:type="dxa"/>
          </w:tcPr>
          <w:p>
            <w:pPr>
              <w:pStyle w:val="14"/>
              <w:spacing w:before="8"/>
              <w:jc w:val="left"/>
              <w:rPr>
                <w:b/>
                <w:sz w:val="30"/>
              </w:rPr>
            </w:pPr>
          </w:p>
          <w:p>
            <w:pPr>
              <w:pStyle w:val="14"/>
              <w:ind w:left="110" w:right="99"/>
              <w:rPr>
                <w:rFonts w:ascii="Times New Roman"/>
                <w:sz w:val="21"/>
              </w:rPr>
            </w:pPr>
            <w:r>
              <w:rPr>
                <w:rFonts w:ascii="Times New Roman"/>
                <w:sz w:val="21"/>
              </w:rPr>
              <w:t>31.71-34.87</w:t>
            </w:r>
          </w:p>
          <w:p>
            <w:pPr>
              <w:pStyle w:val="14"/>
              <w:spacing w:before="57"/>
              <w:ind w:left="108" w:right="100"/>
              <w:rPr>
                <w:sz w:val="21"/>
              </w:rPr>
            </w:pPr>
            <w:r>
              <w:rPr>
                <w:rFonts w:ascii="Times New Roman" w:hAnsi="Times New Roman"/>
                <w:sz w:val="21"/>
              </w:rPr>
              <w:t>/33.51</w:t>
            </w:r>
            <w:r>
              <w:rPr>
                <w:sz w:val="21"/>
              </w:rPr>
              <w:t>⑦</w:t>
            </w:r>
          </w:p>
        </w:tc>
        <w:tc>
          <w:tcPr>
            <w:tcW w:w="1134" w:type="dxa"/>
          </w:tcPr>
          <w:p>
            <w:pPr>
              <w:pStyle w:val="14"/>
              <w:spacing w:before="8"/>
              <w:jc w:val="left"/>
              <w:rPr>
                <w:b/>
                <w:sz w:val="30"/>
              </w:rPr>
            </w:pPr>
          </w:p>
          <w:p>
            <w:pPr>
              <w:pStyle w:val="14"/>
              <w:ind w:left="64" w:right="52"/>
              <w:rPr>
                <w:rFonts w:ascii="Times New Roman"/>
                <w:sz w:val="21"/>
              </w:rPr>
            </w:pPr>
            <w:r>
              <w:rPr>
                <w:rFonts w:ascii="Times New Roman"/>
                <w:sz w:val="21"/>
              </w:rPr>
              <w:t>0.12-0.30/</w:t>
            </w:r>
          </w:p>
          <w:p>
            <w:pPr>
              <w:pStyle w:val="14"/>
              <w:spacing w:before="57"/>
              <w:ind w:left="60" w:right="53"/>
              <w:rPr>
                <w:sz w:val="21"/>
              </w:rPr>
            </w:pPr>
            <w:r>
              <w:rPr>
                <w:rFonts w:ascii="Times New Roman" w:hAnsi="Times New Roman"/>
                <w:sz w:val="21"/>
              </w:rPr>
              <w:t>0.20</w:t>
            </w:r>
            <w:r>
              <w:rPr>
                <w:sz w:val="21"/>
              </w:rPr>
              <w:t>⑦</w:t>
            </w:r>
          </w:p>
        </w:tc>
        <w:tc>
          <w:tcPr>
            <w:tcW w:w="1276" w:type="dxa"/>
          </w:tcPr>
          <w:p>
            <w:pPr>
              <w:pStyle w:val="14"/>
              <w:spacing w:before="8"/>
              <w:jc w:val="left"/>
              <w:rPr>
                <w:b/>
                <w:sz w:val="30"/>
              </w:rPr>
            </w:pPr>
          </w:p>
          <w:p>
            <w:pPr>
              <w:pStyle w:val="14"/>
              <w:ind w:left="110" w:right="100"/>
              <w:rPr>
                <w:rFonts w:ascii="Times New Roman"/>
                <w:sz w:val="21"/>
              </w:rPr>
            </w:pPr>
            <w:r>
              <w:rPr>
                <w:rFonts w:ascii="Times New Roman"/>
                <w:sz w:val="21"/>
              </w:rPr>
              <w:t>30.28-31.12</w:t>
            </w:r>
          </w:p>
          <w:p>
            <w:pPr>
              <w:pStyle w:val="14"/>
              <w:spacing w:before="57"/>
              <w:ind w:left="107" w:right="100"/>
              <w:rPr>
                <w:sz w:val="21"/>
              </w:rPr>
            </w:pPr>
            <w:r>
              <w:rPr>
                <w:rFonts w:ascii="Times New Roman" w:hAnsi="Times New Roman"/>
                <w:sz w:val="21"/>
              </w:rPr>
              <w:t>/30.82</w:t>
            </w:r>
            <w:r>
              <w:rPr>
                <w:sz w:val="21"/>
              </w:rPr>
              <w:t>④</w:t>
            </w:r>
          </w:p>
        </w:tc>
        <w:tc>
          <w:tcPr>
            <w:tcW w:w="992" w:type="dxa"/>
          </w:tcPr>
          <w:p>
            <w:pPr>
              <w:pStyle w:val="14"/>
              <w:spacing w:before="8"/>
              <w:jc w:val="left"/>
              <w:rPr>
                <w:b/>
                <w:sz w:val="30"/>
              </w:rPr>
            </w:pPr>
          </w:p>
          <w:p>
            <w:pPr>
              <w:pStyle w:val="14"/>
              <w:ind w:left="54" w:right="46"/>
              <w:rPr>
                <w:rFonts w:ascii="Times New Roman"/>
                <w:sz w:val="21"/>
              </w:rPr>
            </w:pPr>
            <w:r>
              <w:rPr>
                <w:rFonts w:ascii="Times New Roman"/>
                <w:sz w:val="21"/>
              </w:rPr>
              <w:t>79-89/84</w:t>
            </w:r>
          </w:p>
          <w:p>
            <w:pPr>
              <w:pStyle w:val="14"/>
              <w:spacing w:before="57"/>
              <w:ind w:left="55" w:right="46"/>
              <w:rPr>
                <w:sz w:val="21"/>
              </w:rPr>
            </w:pPr>
            <w:r>
              <w:rPr>
                <w:rFonts w:ascii="Times New Roman" w:hAnsi="Times New Roman"/>
                <w:sz w:val="21"/>
              </w:rPr>
              <w:t>.75</w:t>
            </w:r>
            <w:r>
              <w:rPr>
                <w:sz w:val="21"/>
              </w:rPr>
              <w:t>④</w:t>
            </w:r>
          </w:p>
        </w:tc>
        <w:tc>
          <w:tcPr>
            <w:tcW w:w="980" w:type="dxa"/>
          </w:tcPr>
          <w:p>
            <w:pPr>
              <w:pStyle w:val="14"/>
              <w:spacing w:before="6"/>
              <w:jc w:val="left"/>
              <w:rPr>
                <w:b/>
                <w:sz w:val="18"/>
              </w:rPr>
            </w:pPr>
          </w:p>
          <w:p>
            <w:pPr>
              <w:pStyle w:val="14"/>
              <w:ind w:left="90" w:right="81"/>
              <w:rPr>
                <w:rFonts w:ascii="Times New Roman"/>
                <w:sz w:val="21"/>
              </w:rPr>
            </w:pPr>
            <w:r>
              <w:rPr>
                <w:rFonts w:ascii="Times New Roman"/>
                <w:sz w:val="21"/>
              </w:rPr>
              <w:t>13.5-16.</w:t>
            </w:r>
          </w:p>
          <w:p>
            <w:pPr>
              <w:pStyle w:val="14"/>
              <w:spacing w:before="71"/>
              <w:ind w:left="90" w:right="81"/>
              <w:rPr>
                <w:rFonts w:ascii="Times New Roman"/>
                <w:sz w:val="21"/>
              </w:rPr>
            </w:pPr>
            <w:r>
              <w:rPr>
                <w:rFonts w:ascii="Times New Roman"/>
                <w:sz w:val="21"/>
              </w:rPr>
              <w:t>5/14.67</w:t>
            </w:r>
          </w:p>
          <w:p>
            <w:pPr>
              <w:pStyle w:val="14"/>
              <w:spacing w:before="56"/>
              <w:ind w:left="8"/>
              <w:rPr>
                <w:sz w:val="21"/>
              </w:rPr>
            </w:pPr>
            <w:r>
              <w:rPr>
                <w:w w:val="99"/>
                <w:sz w:val="21"/>
              </w:rPr>
              <w:t>③</w:t>
            </w:r>
          </w:p>
        </w:tc>
        <w:tc>
          <w:tcPr>
            <w:tcW w:w="1005" w:type="dxa"/>
          </w:tcPr>
          <w:p>
            <w:pPr>
              <w:pStyle w:val="14"/>
              <w:spacing w:before="8"/>
              <w:jc w:val="left"/>
              <w:rPr>
                <w:b/>
                <w:sz w:val="30"/>
              </w:rPr>
            </w:pPr>
          </w:p>
          <w:p>
            <w:pPr>
              <w:pStyle w:val="14"/>
              <w:ind w:left="153"/>
              <w:jc w:val="left"/>
              <w:rPr>
                <w:rFonts w:ascii="Times New Roman"/>
                <w:sz w:val="21"/>
              </w:rPr>
            </w:pPr>
            <w:r>
              <w:rPr>
                <w:rFonts w:ascii="Times New Roman"/>
                <w:sz w:val="21"/>
              </w:rPr>
              <w:t>1.28-1.3</w:t>
            </w:r>
          </w:p>
          <w:p>
            <w:pPr>
              <w:pStyle w:val="14"/>
              <w:spacing w:before="57"/>
              <w:ind w:left="131"/>
              <w:jc w:val="left"/>
              <w:rPr>
                <w:sz w:val="21"/>
              </w:rPr>
            </w:pPr>
            <w:r>
              <w:rPr>
                <w:rFonts w:ascii="Times New Roman" w:hAnsi="Times New Roman"/>
                <w:sz w:val="21"/>
              </w:rPr>
              <w:t>4/1.30</w:t>
            </w:r>
            <w:r>
              <w:rPr>
                <w:sz w:val="21"/>
              </w:rPr>
              <w:t>⑥</w:t>
            </w:r>
          </w:p>
        </w:tc>
        <w:tc>
          <w:tcPr>
            <w:tcW w:w="919" w:type="dxa"/>
          </w:tcPr>
          <w:p>
            <w:pPr>
              <w:pStyle w:val="14"/>
              <w:spacing w:before="7"/>
              <w:jc w:val="left"/>
              <w:rPr>
                <w:b/>
                <w:sz w:val="29"/>
              </w:rPr>
            </w:pPr>
          </w:p>
          <w:p>
            <w:pPr>
              <w:pStyle w:val="14"/>
              <w:spacing w:line="278" w:lineRule="auto"/>
              <w:ind w:left="353" w:right="184" w:hanging="159"/>
              <w:jc w:val="left"/>
              <w:rPr>
                <w:sz w:val="21"/>
              </w:rPr>
            </w:pPr>
            <w:r>
              <w:rPr>
                <w:rFonts w:ascii="Times New Roman" w:eastAsia="Times New Roman"/>
                <w:sz w:val="21"/>
              </w:rPr>
              <w:t xml:space="preserve">1/3 </w:t>
            </w:r>
            <w:r>
              <w:rPr>
                <w:sz w:val="21"/>
              </w:rPr>
              <w:t>焦煤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6" w:hRule="atLeast"/>
        </w:trPr>
        <w:tc>
          <w:tcPr>
            <w:tcW w:w="581" w:type="dxa"/>
          </w:tcPr>
          <w:p>
            <w:pPr>
              <w:pStyle w:val="14"/>
              <w:jc w:val="left"/>
              <w:rPr>
                <w:b/>
                <w:sz w:val="22"/>
              </w:rPr>
            </w:pPr>
          </w:p>
          <w:p>
            <w:pPr>
              <w:pStyle w:val="14"/>
              <w:spacing w:before="159"/>
              <w:ind w:left="164" w:right="157"/>
              <w:rPr>
                <w:rFonts w:ascii="Times New Roman"/>
                <w:sz w:val="21"/>
              </w:rPr>
            </w:pPr>
            <w:r>
              <w:rPr>
                <w:rFonts w:ascii="Times New Roman"/>
                <w:sz w:val="21"/>
              </w:rPr>
              <w:t>20</w:t>
            </w:r>
          </w:p>
        </w:tc>
        <w:tc>
          <w:tcPr>
            <w:tcW w:w="1275" w:type="dxa"/>
          </w:tcPr>
          <w:p>
            <w:pPr>
              <w:pStyle w:val="14"/>
              <w:spacing w:before="2"/>
              <w:jc w:val="left"/>
              <w:rPr>
                <w:b/>
                <w:sz w:val="22"/>
              </w:rPr>
            </w:pPr>
          </w:p>
          <w:p>
            <w:pPr>
              <w:pStyle w:val="14"/>
              <w:spacing w:before="1"/>
              <w:ind w:left="110" w:right="99"/>
              <w:rPr>
                <w:rFonts w:ascii="Times New Roman"/>
                <w:sz w:val="21"/>
              </w:rPr>
            </w:pPr>
            <w:r>
              <w:rPr>
                <w:rFonts w:ascii="Times New Roman"/>
                <w:sz w:val="21"/>
              </w:rPr>
              <w:t>31.46-36.63</w:t>
            </w:r>
          </w:p>
          <w:p>
            <w:pPr>
              <w:pStyle w:val="14"/>
              <w:spacing w:before="56"/>
              <w:ind w:left="104" w:right="99"/>
              <w:rPr>
                <w:sz w:val="21"/>
              </w:rPr>
            </w:pPr>
            <w:r>
              <w:rPr>
                <w:rFonts w:ascii="Times New Roman" w:hAnsi="Times New Roman"/>
                <w:sz w:val="21"/>
              </w:rPr>
              <w:t>/33.19</w:t>
            </w:r>
            <w:r>
              <w:rPr>
                <w:sz w:val="21"/>
              </w:rPr>
              <w:t>⑤</w:t>
            </w:r>
          </w:p>
        </w:tc>
        <w:tc>
          <w:tcPr>
            <w:tcW w:w="1276" w:type="dxa"/>
          </w:tcPr>
          <w:p>
            <w:pPr>
              <w:pStyle w:val="14"/>
              <w:spacing w:before="2"/>
              <w:jc w:val="left"/>
              <w:rPr>
                <w:b/>
                <w:sz w:val="22"/>
              </w:rPr>
            </w:pPr>
          </w:p>
          <w:p>
            <w:pPr>
              <w:pStyle w:val="14"/>
              <w:spacing w:before="1"/>
              <w:ind w:left="110" w:right="99"/>
              <w:rPr>
                <w:rFonts w:ascii="Times New Roman"/>
                <w:sz w:val="21"/>
              </w:rPr>
            </w:pPr>
            <w:r>
              <w:rPr>
                <w:rFonts w:ascii="Times New Roman"/>
                <w:sz w:val="21"/>
              </w:rPr>
              <w:t>35.72-36.76</w:t>
            </w:r>
          </w:p>
          <w:p>
            <w:pPr>
              <w:pStyle w:val="14"/>
              <w:spacing w:before="56"/>
              <w:ind w:left="108" w:right="100"/>
              <w:rPr>
                <w:sz w:val="21"/>
              </w:rPr>
            </w:pPr>
            <w:r>
              <w:rPr>
                <w:rFonts w:ascii="Times New Roman" w:hAnsi="Times New Roman"/>
                <w:sz w:val="21"/>
              </w:rPr>
              <w:t>/36.38</w:t>
            </w:r>
            <w:r>
              <w:rPr>
                <w:sz w:val="21"/>
              </w:rPr>
              <w:t>⑤</w:t>
            </w:r>
          </w:p>
        </w:tc>
        <w:tc>
          <w:tcPr>
            <w:tcW w:w="1134" w:type="dxa"/>
          </w:tcPr>
          <w:p>
            <w:pPr>
              <w:pStyle w:val="14"/>
              <w:spacing w:before="2"/>
              <w:jc w:val="left"/>
              <w:rPr>
                <w:b/>
                <w:sz w:val="22"/>
              </w:rPr>
            </w:pPr>
          </w:p>
          <w:p>
            <w:pPr>
              <w:pStyle w:val="14"/>
              <w:spacing w:before="1"/>
              <w:ind w:left="64" w:right="52"/>
              <w:rPr>
                <w:rFonts w:ascii="Times New Roman"/>
                <w:sz w:val="21"/>
              </w:rPr>
            </w:pPr>
            <w:r>
              <w:rPr>
                <w:rFonts w:ascii="Times New Roman"/>
                <w:sz w:val="21"/>
              </w:rPr>
              <w:t>0.16-0.36/</w:t>
            </w:r>
          </w:p>
          <w:p>
            <w:pPr>
              <w:pStyle w:val="14"/>
              <w:spacing w:before="56"/>
              <w:ind w:left="60" w:right="53"/>
              <w:rPr>
                <w:sz w:val="21"/>
              </w:rPr>
            </w:pPr>
            <w:r>
              <w:rPr>
                <w:rFonts w:ascii="Times New Roman" w:hAnsi="Times New Roman"/>
                <w:sz w:val="21"/>
              </w:rPr>
              <w:t>0.25</w:t>
            </w:r>
            <w:r>
              <w:rPr>
                <w:sz w:val="21"/>
              </w:rPr>
              <w:t>⑤</w:t>
            </w:r>
          </w:p>
        </w:tc>
        <w:tc>
          <w:tcPr>
            <w:tcW w:w="1276" w:type="dxa"/>
          </w:tcPr>
          <w:p>
            <w:pPr>
              <w:pStyle w:val="14"/>
              <w:spacing w:before="2"/>
              <w:jc w:val="left"/>
              <w:rPr>
                <w:b/>
                <w:sz w:val="22"/>
              </w:rPr>
            </w:pPr>
          </w:p>
          <w:p>
            <w:pPr>
              <w:pStyle w:val="14"/>
              <w:spacing w:before="1"/>
              <w:ind w:left="110" w:right="100"/>
              <w:rPr>
                <w:rFonts w:ascii="Times New Roman"/>
                <w:sz w:val="21"/>
              </w:rPr>
            </w:pPr>
            <w:r>
              <w:rPr>
                <w:rFonts w:ascii="Times New Roman"/>
                <w:sz w:val="21"/>
              </w:rPr>
              <w:t>21.25-23.18</w:t>
            </w:r>
          </w:p>
          <w:p>
            <w:pPr>
              <w:pStyle w:val="14"/>
              <w:spacing w:before="56"/>
              <w:ind w:left="107" w:right="100"/>
              <w:rPr>
                <w:sz w:val="21"/>
              </w:rPr>
            </w:pPr>
            <w:r>
              <w:rPr>
                <w:rFonts w:ascii="Times New Roman" w:hAnsi="Times New Roman"/>
                <w:sz w:val="21"/>
              </w:rPr>
              <w:t>/22.38</w:t>
            </w:r>
            <w:r>
              <w:rPr>
                <w:sz w:val="21"/>
              </w:rPr>
              <w:t>⑤</w:t>
            </w:r>
          </w:p>
        </w:tc>
        <w:tc>
          <w:tcPr>
            <w:tcW w:w="992" w:type="dxa"/>
          </w:tcPr>
          <w:p>
            <w:pPr>
              <w:pStyle w:val="14"/>
              <w:spacing w:before="2"/>
              <w:jc w:val="left"/>
              <w:rPr>
                <w:b/>
                <w:sz w:val="22"/>
              </w:rPr>
            </w:pPr>
          </w:p>
          <w:p>
            <w:pPr>
              <w:pStyle w:val="14"/>
              <w:spacing w:before="1"/>
              <w:ind w:left="54" w:right="46"/>
              <w:rPr>
                <w:rFonts w:ascii="Times New Roman"/>
                <w:sz w:val="21"/>
              </w:rPr>
            </w:pPr>
            <w:r>
              <w:rPr>
                <w:rFonts w:ascii="Times New Roman"/>
                <w:sz w:val="21"/>
              </w:rPr>
              <w:t>85-89/86</w:t>
            </w:r>
          </w:p>
          <w:p>
            <w:pPr>
              <w:pStyle w:val="14"/>
              <w:spacing w:before="56"/>
              <w:ind w:left="53" w:right="46"/>
              <w:rPr>
                <w:sz w:val="21"/>
              </w:rPr>
            </w:pPr>
            <w:r>
              <w:rPr>
                <w:rFonts w:ascii="Times New Roman" w:hAnsi="Times New Roman"/>
                <w:sz w:val="21"/>
              </w:rPr>
              <w:t>.4</w:t>
            </w:r>
            <w:r>
              <w:rPr>
                <w:sz w:val="21"/>
              </w:rPr>
              <w:t>⑤</w:t>
            </w:r>
          </w:p>
        </w:tc>
        <w:tc>
          <w:tcPr>
            <w:tcW w:w="980" w:type="dxa"/>
          </w:tcPr>
          <w:p>
            <w:pPr>
              <w:pStyle w:val="14"/>
              <w:jc w:val="left"/>
              <w:rPr>
                <w:rFonts w:ascii="Times New Roman"/>
                <w:sz w:val="22"/>
              </w:rPr>
            </w:pPr>
          </w:p>
        </w:tc>
        <w:tc>
          <w:tcPr>
            <w:tcW w:w="1005" w:type="dxa"/>
          </w:tcPr>
          <w:p>
            <w:pPr>
              <w:pStyle w:val="14"/>
              <w:jc w:val="left"/>
              <w:rPr>
                <w:b/>
                <w:sz w:val="22"/>
              </w:rPr>
            </w:pPr>
          </w:p>
          <w:p>
            <w:pPr>
              <w:pStyle w:val="14"/>
              <w:spacing w:before="145"/>
              <w:ind w:left="192" w:right="184"/>
              <w:rPr>
                <w:sz w:val="21"/>
              </w:rPr>
            </w:pPr>
            <w:r>
              <w:rPr>
                <w:rFonts w:ascii="Times New Roman" w:hAnsi="Times New Roman"/>
                <w:sz w:val="21"/>
              </w:rPr>
              <w:t>1.50</w:t>
            </w:r>
            <w:r>
              <w:rPr>
                <w:sz w:val="21"/>
              </w:rPr>
              <w:t>①</w:t>
            </w:r>
          </w:p>
        </w:tc>
        <w:tc>
          <w:tcPr>
            <w:tcW w:w="919" w:type="dxa"/>
          </w:tcPr>
          <w:p>
            <w:pPr>
              <w:pStyle w:val="14"/>
              <w:spacing w:before="1"/>
              <w:jc w:val="left"/>
              <w:rPr>
                <w:b/>
                <w:sz w:val="21"/>
              </w:rPr>
            </w:pPr>
          </w:p>
          <w:p>
            <w:pPr>
              <w:pStyle w:val="14"/>
              <w:spacing w:line="278" w:lineRule="auto"/>
              <w:ind w:left="353" w:right="184" w:hanging="159"/>
              <w:jc w:val="left"/>
              <w:rPr>
                <w:sz w:val="21"/>
              </w:rPr>
            </w:pPr>
            <w:r>
              <w:rPr>
                <w:rFonts w:ascii="Times New Roman" w:eastAsia="Times New Roman"/>
                <w:sz w:val="21"/>
              </w:rPr>
              <w:t xml:space="preserve">1/3 </w:t>
            </w:r>
            <w:r>
              <w:rPr>
                <w:sz w:val="21"/>
              </w:rPr>
              <w:t>焦煤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4" w:hRule="atLeast"/>
        </w:trPr>
        <w:tc>
          <w:tcPr>
            <w:tcW w:w="581" w:type="dxa"/>
          </w:tcPr>
          <w:p>
            <w:pPr>
              <w:pStyle w:val="14"/>
              <w:jc w:val="left"/>
              <w:rPr>
                <w:b/>
                <w:sz w:val="22"/>
              </w:rPr>
            </w:pPr>
          </w:p>
          <w:p>
            <w:pPr>
              <w:pStyle w:val="14"/>
              <w:spacing w:before="169"/>
              <w:ind w:left="164" w:right="157"/>
              <w:rPr>
                <w:rFonts w:ascii="Times New Roman"/>
                <w:sz w:val="21"/>
              </w:rPr>
            </w:pPr>
            <w:r>
              <w:rPr>
                <w:rFonts w:ascii="Times New Roman"/>
                <w:sz w:val="21"/>
              </w:rPr>
              <w:t>30</w:t>
            </w:r>
          </w:p>
        </w:tc>
        <w:tc>
          <w:tcPr>
            <w:tcW w:w="1275" w:type="dxa"/>
          </w:tcPr>
          <w:p>
            <w:pPr>
              <w:pStyle w:val="14"/>
              <w:jc w:val="left"/>
              <w:rPr>
                <w:b/>
                <w:sz w:val="23"/>
              </w:rPr>
            </w:pPr>
          </w:p>
          <w:p>
            <w:pPr>
              <w:pStyle w:val="14"/>
              <w:ind w:left="110" w:right="99"/>
              <w:rPr>
                <w:rFonts w:ascii="Times New Roman"/>
                <w:sz w:val="21"/>
              </w:rPr>
            </w:pPr>
            <w:r>
              <w:rPr>
                <w:rFonts w:ascii="Times New Roman"/>
                <w:sz w:val="21"/>
              </w:rPr>
              <w:t>13.45-18.00</w:t>
            </w:r>
          </w:p>
          <w:p>
            <w:pPr>
              <w:pStyle w:val="14"/>
              <w:spacing w:before="57"/>
              <w:ind w:left="104" w:right="99"/>
              <w:rPr>
                <w:sz w:val="21"/>
              </w:rPr>
            </w:pPr>
            <w:r>
              <w:rPr>
                <w:rFonts w:ascii="Times New Roman" w:hAnsi="Times New Roman"/>
                <w:sz w:val="21"/>
              </w:rPr>
              <w:t>/14.80</w:t>
            </w:r>
            <w:r>
              <w:rPr>
                <w:sz w:val="21"/>
              </w:rPr>
              <w:t>④</w:t>
            </w:r>
          </w:p>
        </w:tc>
        <w:tc>
          <w:tcPr>
            <w:tcW w:w="1276" w:type="dxa"/>
          </w:tcPr>
          <w:p>
            <w:pPr>
              <w:pStyle w:val="14"/>
              <w:jc w:val="left"/>
              <w:rPr>
                <w:b/>
                <w:sz w:val="23"/>
              </w:rPr>
            </w:pPr>
          </w:p>
          <w:p>
            <w:pPr>
              <w:pStyle w:val="14"/>
              <w:ind w:left="110" w:right="99"/>
              <w:rPr>
                <w:rFonts w:ascii="Times New Roman"/>
                <w:sz w:val="21"/>
              </w:rPr>
            </w:pPr>
            <w:r>
              <w:rPr>
                <w:rFonts w:ascii="Times New Roman"/>
                <w:sz w:val="21"/>
              </w:rPr>
              <w:t>34.37-35.33</w:t>
            </w:r>
          </w:p>
          <w:p>
            <w:pPr>
              <w:pStyle w:val="14"/>
              <w:spacing w:before="57"/>
              <w:ind w:left="108" w:right="100"/>
              <w:rPr>
                <w:sz w:val="21"/>
              </w:rPr>
            </w:pPr>
            <w:r>
              <w:rPr>
                <w:rFonts w:ascii="Times New Roman" w:hAnsi="Times New Roman"/>
                <w:sz w:val="21"/>
              </w:rPr>
              <w:t>/34.75</w:t>
            </w:r>
            <w:r>
              <w:rPr>
                <w:sz w:val="21"/>
              </w:rPr>
              <w:t>④</w:t>
            </w:r>
          </w:p>
        </w:tc>
        <w:tc>
          <w:tcPr>
            <w:tcW w:w="1134" w:type="dxa"/>
          </w:tcPr>
          <w:p>
            <w:pPr>
              <w:pStyle w:val="14"/>
              <w:jc w:val="left"/>
              <w:rPr>
                <w:b/>
                <w:sz w:val="23"/>
              </w:rPr>
            </w:pPr>
          </w:p>
          <w:p>
            <w:pPr>
              <w:pStyle w:val="14"/>
              <w:ind w:left="64" w:right="52"/>
              <w:rPr>
                <w:rFonts w:ascii="Times New Roman"/>
                <w:sz w:val="21"/>
              </w:rPr>
            </w:pPr>
            <w:r>
              <w:rPr>
                <w:rFonts w:ascii="Times New Roman"/>
                <w:sz w:val="21"/>
              </w:rPr>
              <w:t>0.40-0.44/</w:t>
            </w:r>
          </w:p>
          <w:p>
            <w:pPr>
              <w:pStyle w:val="14"/>
              <w:spacing w:before="57"/>
              <w:ind w:left="60" w:right="53"/>
              <w:rPr>
                <w:sz w:val="21"/>
              </w:rPr>
            </w:pPr>
            <w:r>
              <w:rPr>
                <w:rFonts w:ascii="Times New Roman" w:hAnsi="Times New Roman"/>
                <w:sz w:val="21"/>
              </w:rPr>
              <w:t>0.42</w:t>
            </w:r>
            <w:r>
              <w:rPr>
                <w:sz w:val="21"/>
              </w:rPr>
              <w:t>④</w:t>
            </w:r>
          </w:p>
        </w:tc>
        <w:tc>
          <w:tcPr>
            <w:tcW w:w="1276" w:type="dxa"/>
          </w:tcPr>
          <w:p>
            <w:pPr>
              <w:pStyle w:val="14"/>
              <w:jc w:val="left"/>
              <w:rPr>
                <w:b/>
                <w:sz w:val="23"/>
              </w:rPr>
            </w:pPr>
          </w:p>
          <w:p>
            <w:pPr>
              <w:pStyle w:val="14"/>
              <w:ind w:left="110" w:right="100"/>
              <w:rPr>
                <w:rFonts w:ascii="Times New Roman"/>
                <w:sz w:val="21"/>
              </w:rPr>
            </w:pPr>
            <w:r>
              <w:rPr>
                <w:rFonts w:ascii="Times New Roman"/>
                <w:sz w:val="21"/>
              </w:rPr>
              <w:t>27.80-29.43</w:t>
            </w:r>
          </w:p>
          <w:p>
            <w:pPr>
              <w:pStyle w:val="14"/>
              <w:spacing w:before="57"/>
              <w:ind w:left="107" w:right="100"/>
              <w:rPr>
                <w:sz w:val="21"/>
              </w:rPr>
            </w:pPr>
            <w:r>
              <w:rPr>
                <w:rFonts w:ascii="Times New Roman" w:hAnsi="Times New Roman"/>
                <w:sz w:val="21"/>
              </w:rPr>
              <w:t>/.70</w:t>
            </w:r>
            <w:r>
              <w:rPr>
                <w:sz w:val="21"/>
              </w:rPr>
              <w:t>④</w:t>
            </w:r>
          </w:p>
        </w:tc>
        <w:tc>
          <w:tcPr>
            <w:tcW w:w="992" w:type="dxa"/>
          </w:tcPr>
          <w:p>
            <w:pPr>
              <w:pStyle w:val="14"/>
              <w:jc w:val="left"/>
              <w:rPr>
                <w:b/>
                <w:sz w:val="23"/>
              </w:rPr>
            </w:pPr>
          </w:p>
          <w:p>
            <w:pPr>
              <w:pStyle w:val="14"/>
              <w:ind w:left="54" w:right="46"/>
              <w:rPr>
                <w:rFonts w:ascii="Times New Roman"/>
                <w:sz w:val="21"/>
              </w:rPr>
            </w:pPr>
            <w:r>
              <w:rPr>
                <w:rFonts w:ascii="Times New Roman"/>
                <w:sz w:val="21"/>
              </w:rPr>
              <w:t>84-88/86</w:t>
            </w:r>
          </w:p>
          <w:p>
            <w:pPr>
              <w:pStyle w:val="14"/>
              <w:spacing w:before="57"/>
              <w:ind w:left="7"/>
              <w:rPr>
                <w:sz w:val="21"/>
              </w:rPr>
            </w:pPr>
            <w:r>
              <w:rPr>
                <w:w w:val="99"/>
                <w:sz w:val="21"/>
              </w:rPr>
              <w:t>④</w:t>
            </w:r>
          </w:p>
        </w:tc>
        <w:tc>
          <w:tcPr>
            <w:tcW w:w="980" w:type="dxa"/>
          </w:tcPr>
          <w:p>
            <w:pPr>
              <w:pStyle w:val="14"/>
              <w:jc w:val="left"/>
              <w:rPr>
                <w:rFonts w:ascii="Times New Roman"/>
                <w:sz w:val="22"/>
              </w:rPr>
            </w:pPr>
          </w:p>
        </w:tc>
        <w:tc>
          <w:tcPr>
            <w:tcW w:w="1005" w:type="dxa"/>
          </w:tcPr>
          <w:p>
            <w:pPr>
              <w:pStyle w:val="14"/>
              <w:jc w:val="left"/>
              <w:rPr>
                <w:b/>
                <w:sz w:val="22"/>
              </w:rPr>
            </w:pPr>
          </w:p>
          <w:p>
            <w:pPr>
              <w:pStyle w:val="14"/>
              <w:spacing w:before="155"/>
              <w:ind w:left="192" w:right="184"/>
              <w:rPr>
                <w:sz w:val="21"/>
              </w:rPr>
            </w:pPr>
            <w:r>
              <w:rPr>
                <w:rFonts w:ascii="Times New Roman" w:hAnsi="Times New Roman"/>
                <w:sz w:val="21"/>
              </w:rPr>
              <w:t>1.34</w:t>
            </w:r>
            <w:r>
              <w:rPr>
                <w:sz w:val="21"/>
              </w:rPr>
              <w:t>①</w:t>
            </w:r>
          </w:p>
        </w:tc>
        <w:tc>
          <w:tcPr>
            <w:tcW w:w="919" w:type="dxa"/>
          </w:tcPr>
          <w:p>
            <w:pPr>
              <w:pStyle w:val="14"/>
              <w:spacing w:before="11"/>
              <w:jc w:val="left"/>
              <w:rPr>
                <w:b/>
                <w:sz w:val="21"/>
              </w:rPr>
            </w:pPr>
          </w:p>
          <w:p>
            <w:pPr>
              <w:pStyle w:val="14"/>
              <w:spacing w:before="1" w:line="278" w:lineRule="auto"/>
              <w:ind w:left="353" w:right="184" w:hanging="159"/>
              <w:jc w:val="left"/>
              <w:rPr>
                <w:sz w:val="21"/>
              </w:rPr>
            </w:pPr>
            <w:r>
              <w:rPr>
                <w:rFonts w:ascii="Times New Roman" w:eastAsia="Times New Roman"/>
                <w:sz w:val="21"/>
              </w:rPr>
              <w:t xml:space="preserve">1/3 </w:t>
            </w:r>
            <w:r>
              <w:rPr>
                <w:sz w:val="21"/>
              </w:rPr>
              <w:t>焦煤</w:t>
            </w:r>
          </w:p>
        </w:tc>
      </w:tr>
    </w:tbl>
    <w:p>
      <w:pPr>
        <w:pStyle w:val="6"/>
        <w:spacing w:before="2"/>
        <w:ind w:left="1520"/>
      </w:pPr>
      <w:r>
        <w:rPr>
          <w:rFonts w:ascii="Times New Roman" w:eastAsia="Times New Roman"/>
        </w:rPr>
        <w:t>4</w:t>
      </w:r>
      <w:r>
        <w:t>、煤的工业用途</w:t>
      </w:r>
    </w:p>
    <w:p>
      <w:pPr>
        <w:pStyle w:val="6"/>
        <w:spacing w:before="158" w:line="364" w:lineRule="auto"/>
        <w:ind w:left="1040" w:right="955" w:firstLine="480"/>
      </w:pPr>
      <w:r>
        <w:t>本区煤种主要为</w:t>
      </w:r>
      <w:r>
        <w:rPr>
          <w:rFonts w:ascii="Times New Roman" w:eastAsia="Times New Roman"/>
        </w:rPr>
        <w:t>1/3</w:t>
      </w:r>
      <w:r>
        <w:rPr>
          <w:spacing w:val="-13"/>
        </w:rPr>
        <w:t>焦煤，局部有少量气煤，灰分低</w:t>
      </w:r>
      <w:r>
        <w:rPr>
          <w:rFonts w:ascii="Times New Roman" w:eastAsia="Times New Roman"/>
        </w:rPr>
        <w:t>-</w:t>
      </w:r>
      <w:r>
        <w:t>中高</w:t>
      </w:r>
      <w:r>
        <w:rPr>
          <w:rFonts w:ascii="Times New Roman" w:eastAsia="Times New Roman"/>
        </w:rPr>
        <w:t>-</w:t>
      </w:r>
      <w:r>
        <w:rPr>
          <w:spacing w:val="-11"/>
        </w:rPr>
        <w:t xml:space="preserve">高灰煤，粘结性好， </w:t>
      </w:r>
      <w:r>
        <w:t>是理想的炼焦用煤。</w:t>
      </w:r>
    </w:p>
    <w:p>
      <w:pPr>
        <w:pStyle w:val="5"/>
        <w:numPr>
          <w:ilvl w:val="3"/>
          <w:numId w:val="20"/>
        </w:numPr>
        <w:tabs>
          <w:tab w:val="left" w:pos="1760"/>
        </w:tabs>
        <w:spacing w:before="0" w:after="0" w:line="306" w:lineRule="exact"/>
        <w:ind w:left="1760" w:right="0" w:hanging="720"/>
        <w:jc w:val="left"/>
      </w:pPr>
      <w:r>
        <w:t>井田开拓与开采</w:t>
      </w:r>
    </w:p>
    <w:p>
      <w:pPr>
        <w:pStyle w:val="6"/>
        <w:spacing w:before="160"/>
        <w:ind w:left="1520"/>
      </w:pPr>
      <w:r>
        <w:rPr>
          <w:rFonts w:ascii="Times New Roman" w:eastAsia="Times New Roman"/>
        </w:rPr>
        <w:t>1</w:t>
      </w:r>
      <w:r>
        <w:t>、井田开拓方式</w:t>
      </w:r>
    </w:p>
    <w:p>
      <w:pPr>
        <w:pStyle w:val="6"/>
        <w:spacing w:before="158" w:line="364" w:lineRule="auto"/>
        <w:ind w:left="1040" w:right="1072" w:firstLine="480"/>
        <w:jc w:val="both"/>
      </w:pPr>
      <w:r>
        <w:rPr>
          <w:spacing w:val="-7"/>
        </w:rPr>
        <w:t>矿井仍采用斜井开拓方式，改扩建后共有三条直通地面的井筒。矿井划分一</w:t>
      </w:r>
      <w:r>
        <w:t>个水平，第一水平标高</w:t>
      </w:r>
      <w:r>
        <w:rPr>
          <w:rFonts w:ascii="Times New Roman" w:eastAsia="Times New Roman"/>
        </w:rPr>
        <w:t>-30m</w:t>
      </w:r>
      <w:r>
        <w:t>，回风水平标高</w:t>
      </w:r>
      <w:r>
        <w:rPr>
          <w:rFonts w:ascii="Times New Roman" w:eastAsia="Times New Roman"/>
        </w:rPr>
        <w:t>-30m</w:t>
      </w:r>
      <w:r>
        <w:t>。大巷主要运输方式为胶带机连续化运输，大巷辅助运输方式为矿车。</w:t>
      </w:r>
    </w:p>
    <w:p>
      <w:pPr>
        <w:pStyle w:val="6"/>
        <w:spacing w:line="307" w:lineRule="exact"/>
        <w:ind w:left="1520"/>
      </w:pPr>
      <w:r>
        <w:t>井上下对照图见附图。</w:t>
      </w:r>
    </w:p>
    <w:p>
      <w:pPr>
        <w:pStyle w:val="6"/>
        <w:spacing w:before="161"/>
        <w:ind w:left="1536"/>
      </w:pPr>
      <w:r>
        <w:rPr>
          <w:rFonts w:ascii="Times New Roman" w:eastAsia="Times New Roman"/>
        </w:rPr>
        <w:t>2</w:t>
      </w:r>
      <w:r>
        <w:t>、井口数目</w:t>
      </w:r>
    </w:p>
    <w:p>
      <w:pPr>
        <w:pStyle w:val="6"/>
        <w:spacing w:before="158" w:line="364" w:lineRule="auto"/>
        <w:ind w:left="1040" w:right="917" w:firstLine="480"/>
      </w:pPr>
      <w:r>
        <w:t xml:space="preserve">本矿井改扩建后布置 </w:t>
      </w:r>
      <w:r>
        <w:rPr>
          <w:rFonts w:ascii="Times New Roman" w:eastAsia="Times New Roman"/>
        </w:rPr>
        <w:t xml:space="preserve">3 </w:t>
      </w:r>
      <w:r>
        <w:t>条井筒，分别为主井、副井、风井。主井井筒新建， 副井、风井井筒均为原有井筒改造。</w:t>
      </w:r>
    </w:p>
    <w:p>
      <w:pPr>
        <w:spacing w:after="0" w:line="364" w:lineRule="auto"/>
        <w:sectPr>
          <w:pgSz w:w="11910" w:h="16840"/>
          <w:pgMar w:top="1080" w:right="720" w:bottom="1160" w:left="760" w:header="0" w:footer="97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228" name="组合 58"/>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227" name="直线 59"/>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58"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7toIu1AAAAAMBAAAPAAAAAAAAAAEAIAAAACIAAABkcnMvZG93bnJldi54bWxQ&#10;SwECFAAUAAAACACHTuJAdpNfFzQCAAC2BAAADgAAAAAAAAABACAAAAAjAQAAZHJzL2Uyb0RvYy54&#10;bWxQSwUGAAAAAAYABgBZAQAAyQUAAAAA&#10;">
                <o:lock v:ext="edit" aspectratio="f"/>
                <v:line id="直线 59" o:spid="_x0000_s1026" o:spt="20" style="position:absolute;left:0;top:7;height:0;width:8306;" filled="f" stroked="t" coordsize="21600,21600" o:gfxdata="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tv7A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pStyle w:val="6"/>
        <w:spacing w:before="5"/>
        <w:rPr>
          <w:sz w:val="19"/>
        </w:rPr>
      </w:pPr>
    </w:p>
    <w:p>
      <w:pPr>
        <w:pStyle w:val="6"/>
        <w:spacing w:before="74"/>
        <w:ind w:left="1520"/>
      </w:pPr>
      <w:r>
        <w:rPr>
          <w:rFonts w:ascii="Times New Roman" w:eastAsia="Times New Roman"/>
        </w:rPr>
        <w:t>3</w:t>
      </w:r>
      <w:r>
        <w:t>、井筒用途、装备及布置</w:t>
      </w:r>
    </w:p>
    <w:p>
      <w:pPr>
        <w:pStyle w:val="13"/>
        <w:numPr>
          <w:ilvl w:val="0"/>
          <w:numId w:val="25"/>
        </w:numPr>
        <w:tabs>
          <w:tab w:val="left" w:pos="2121"/>
        </w:tabs>
        <w:spacing w:before="161" w:after="0" w:line="364" w:lineRule="auto"/>
        <w:ind w:left="1040" w:right="1072" w:firstLine="480"/>
        <w:jc w:val="both"/>
        <w:rPr>
          <w:sz w:val="24"/>
        </w:rPr>
      </w:pPr>
      <w:r>
        <w:rPr>
          <w:sz w:val="24"/>
        </w:rPr>
        <w:t>主井：为新开凿的斜井，担负全矿井的煤炭运输任务；同时兼做矿井</w:t>
      </w:r>
      <w:r>
        <w:rPr>
          <w:spacing w:val="-7"/>
          <w:sz w:val="24"/>
        </w:rPr>
        <w:t xml:space="preserve">的入风和安全出口。井筒内铺设一台 </w:t>
      </w:r>
      <w:r>
        <w:rPr>
          <w:rFonts w:ascii="Times New Roman" w:eastAsia="Times New Roman"/>
          <w:sz w:val="24"/>
        </w:rPr>
        <w:t>800m</w:t>
      </w:r>
      <w:r>
        <w:rPr>
          <w:sz w:val="24"/>
        </w:rPr>
        <w:t>，</w:t>
      </w:r>
      <w:r>
        <w:rPr>
          <w:rFonts w:ascii="Times New Roman" w:eastAsia="Times New Roman"/>
          <w:sz w:val="24"/>
        </w:rPr>
        <w:t>ST/S2000</w:t>
      </w:r>
      <w:r>
        <w:rPr>
          <w:rFonts w:ascii="Times New Roman" w:eastAsia="Times New Roman"/>
          <w:spacing w:val="-9"/>
          <w:sz w:val="24"/>
        </w:rPr>
        <w:t xml:space="preserve"> </w:t>
      </w:r>
      <w:r>
        <w:rPr>
          <w:spacing w:val="-2"/>
          <w:sz w:val="24"/>
        </w:rPr>
        <w:t>型胶带输送机型强力胶带</w:t>
      </w:r>
      <w:r>
        <w:rPr>
          <w:sz w:val="24"/>
        </w:rPr>
        <w:t>输送机，井筒内同时敷设台阶、扶手以及照明、动力、通讯电缆等。</w:t>
      </w:r>
    </w:p>
    <w:p>
      <w:pPr>
        <w:pStyle w:val="13"/>
        <w:numPr>
          <w:ilvl w:val="0"/>
          <w:numId w:val="25"/>
        </w:numPr>
        <w:tabs>
          <w:tab w:val="left" w:pos="2123"/>
        </w:tabs>
        <w:spacing w:before="0" w:after="0" w:line="364" w:lineRule="auto"/>
        <w:ind w:left="1040" w:right="955" w:firstLine="480"/>
        <w:jc w:val="left"/>
        <w:rPr>
          <w:sz w:val="24"/>
        </w:rPr>
      </w:pPr>
      <w:r>
        <w:rPr>
          <w:sz w:val="24"/>
        </w:rPr>
        <w:t>副井：用原有主提升斜井改造为副井，担负全矿井的人员、材料、设</w:t>
      </w:r>
      <w:r>
        <w:rPr>
          <w:spacing w:val="-10"/>
          <w:sz w:val="24"/>
        </w:rPr>
        <w:t>备、矸石升降任务，兼做矿井进风和矿井的安全出口。规划对副井井筒进行开帮</w:t>
      </w:r>
      <w:r>
        <w:rPr>
          <w:spacing w:val="-18"/>
          <w:sz w:val="24"/>
        </w:rPr>
        <w:t xml:space="preserve">改造，并安装一套架空乘人装置，担负矿井人员升降任务。井筒断面为半圆拱形， </w:t>
      </w:r>
      <w:r>
        <w:rPr>
          <w:spacing w:val="-11"/>
          <w:sz w:val="24"/>
        </w:rPr>
        <w:t xml:space="preserve">井筒倾角为 </w:t>
      </w:r>
      <w:r>
        <w:rPr>
          <w:rFonts w:ascii="Times New Roman" w:hAnsi="Times New Roman" w:eastAsia="Times New Roman"/>
          <w:sz w:val="24"/>
        </w:rPr>
        <w:t>20°</w:t>
      </w:r>
      <w:r>
        <w:rPr>
          <w:spacing w:val="-15"/>
          <w:sz w:val="24"/>
        </w:rPr>
        <w:t xml:space="preserve">，斜长 </w:t>
      </w:r>
      <w:r>
        <w:rPr>
          <w:rFonts w:ascii="Times New Roman" w:hAnsi="Times New Roman" w:eastAsia="Times New Roman"/>
          <w:sz w:val="24"/>
        </w:rPr>
        <w:t>950m</w:t>
      </w:r>
      <w:r>
        <w:rPr>
          <w:spacing w:val="-15"/>
          <w:sz w:val="24"/>
        </w:rPr>
        <w:t xml:space="preserve">，铺设 </w:t>
      </w:r>
      <w:r>
        <w:rPr>
          <w:rFonts w:ascii="Times New Roman" w:hAnsi="Times New Roman" w:eastAsia="Times New Roman"/>
          <w:sz w:val="24"/>
        </w:rPr>
        <w:t>30kg/m</w:t>
      </w:r>
      <w:r>
        <w:rPr>
          <w:rFonts w:ascii="Times New Roman" w:hAnsi="Times New Roman" w:eastAsia="Times New Roman"/>
          <w:spacing w:val="2"/>
          <w:sz w:val="24"/>
        </w:rPr>
        <w:t xml:space="preserve"> </w:t>
      </w:r>
      <w:r>
        <w:rPr>
          <w:sz w:val="24"/>
        </w:rPr>
        <w:t>钢轨。表土段采用混凝土发碹支护， 基岩段采用锚喷支护。</w:t>
      </w:r>
    </w:p>
    <w:p>
      <w:pPr>
        <w:pStyle w:val="13"/>
        <w:numPr>
          <w:ilvl w:val="0"/>
          <w:numId w:val="25"/>
        </w:numPr>
        <w:tabs>
          <w:tab w:val="left" w:pos="2123"/>
        </w:tabs>
        <w:spacing w:before="0" w:after="0" w:line="364" w:lineRule="auto"/>
        <w:ind w:left="1040" w:right="1075" w:firstLine="480"/>
        <w:jc w:val="both"/>
        <w:rPr>
          <w:sz w:val="24"/>
        </w:rPr>
      </w:pPr>
      <w:r>
        <w:rPr>
          <w:sz w:val="24"/>
        </w:rPr>
        <w:t>风井：利用矿井原有副井，担负全矿井的回风任务，并兼作另一个安</w:t>
      </w:r>
      <w:r>
        <w:rPr>
          <w:spacing w:val="-10"/>
          <w:sz w:val="24"/>
        </w:rPr>
        <w:t xml:space="preserve">全出口。规划对回风井部分巷道进行改造，扩大回风断面积。井筒断面为半圆拱形，井筒倾角为 </w:t>
      </w:r>
      <w:r>
        <w:rPr>
          <w:rFonts w:ascii="Times New Roman" w:hAnsi="Times New Roman" w:eastAsia="Times New Roman"/>
          <w:sz w:val="24"/>
        </w:rPr>
        <w:t>20°</w:t>
      </w:r>
      <w:r>
        <w:rPr>
          <w:spacing w:val="-4"/>
          <w:sz w:val="24"/>
        </w:rPr>
        <w:t>。表土段采用混凝土发碹支护，基岩段采用锚喷支护。装备</w:t>
      </w:r>
      <w:r>
        <w:rPr>
          <w:sz w:val="24"/>
        </w:rPr>
        <w:t>通讯备用线路、台阶、扶手等。</w:t>
      </w:r>
    </w:p>
    <w:p>
      <w:pPr>
        <w:pStyle w:val="5"/>
        <w:numPr>
          <w:ilvl w:val="3"/>
          <w:numId w:val="20"/>
        </w:numPr>
        <w:tabs>
          <w:tab w:val="left" w:pos="1760"/>
        </w:tabs>
        <w:spacing w:before="0" w:after="0" w:line="305" w:lineRule="exact"/>
        <w:ind w:left="1760" w:right="0" w:hanging="720"/>
        <w:jc w:val="both"/>
      </w:pPr>
      <w:r>
        <w:t>矿井通风</w:t>
      </w:r>
    </w:p>
    <w:p>
      <w:pPr>
        <w:pStyle w:val="6"/>
        <w:spacing w:before="155" w:line="364" w:lineRule="auto"/>
        <w:ind w:left="1040" w:right="1077" w:firstLine="480"/>
        <w:jc w:val="both"/>
      </w:pPr>
      <w:r>
        <w:rPr>
          <w:spacing w:val="-10"/>
        </w:rPr>
        <w:t xml:space="preserve">根据开拓部署，针对本矿井地质情况，采用主斜井、副井、风井 </w:t>
      </w:r>
      <w:r>
        <w:rPr>
          <w:rFonts w:ascii="Times New Roman" w:eastAsia="Times New Roman"/>
        </w:rPr>
        <w:t xml:space="preserve">3 </w:t>
      </w:r>
      <w:r>
        <w:rPr>
          <w:spacing w:val="-5"/>
        </w:rPr>
        <w:t>条井筒开</w:t>
      </w:r>
      <w:r>
        <w:rPr>
          <w:spacing w:val="-11"/>
        </w:rPr>
        <w:t>拓方式的特点，结合矿井的开拓布局，设计矿井初期通风系统仍采用现有的通风</w:t>
      </w:r>
      <w:r>
        <w:t>系统，即中央并列式，即矿井主、副井入风，风井回风。</w:t>
      </w:r>
    </w:p>
    <w:p>
      <w:pPr>
        <w:pStyle w:val="6"/>
        <w:spacing w:line="364" w:lineRule="auto"/>
        <w:ind w:left="1040" w:right="1069" w:firstLine="480"/>
        <w:jc w:val="both"/>
      </w:pPr>
      <w:r>
        <w:rPr>
          <w:spacing w:val="11"/>
        </w:rPr>
        <w:t>大顺煤矿在工业场地内设有集中压风机站，布置选压风机二台。型号为</w:t>
      </w:r>
      <w:r>
        <w:rPr>
          <w:rFonts w:ascii="Times New Roman" w:eastAsia="Times New Roman"/>
          <w:spacing w:val="-4"/>
        </w:rPr>
        <w:t>SF-110D</w:t>
      </w:r>
      <w:r>
        <w:rPr>
          <w:spacing w:val="-11"/>
        </w:rPr>
        <w:t xml:space="preserve">，一台工作，一台备用，额定排气量 </w:t>
      </w:r>
      <w:r>
        <w:rPr>
          <w:rFonts w:ascii="Times New Roman" w:eastAsia="Times New Roman"/>
        </w:rPr>
        <w:t>18.5m</w:t>
      </w:r>
      <w:r>
        <w:rPr>
          <w:rFonts w:ascii="Times New Roman" w:eastAsia="Times New Roman"/>
          <w:position w:val="8"/>
          <w:sz w:val="15"/>
        </w:rPr>
        <w:t>3</w:t>
      </w:r>
      <w:r>
        <w:rPr>
          <w:rFonts w:ascii="Times New Roman" w:eastAsia="Times New Roman"/>
        </w:rPr>
        <w:t>/min</w:t>
      </w:r>
      <w:r>
        <w:rPr>
          <w:spacing w:val="-10"/>
        </w:rPr>
        <w:t xml:space="preserve">，额定压力 </w:t>
      </w:r>
      <w:r>
        <w:rPr>
          <w:rFonts w:ascii="Times New Roman" w:eastAsia="Times New Roman"/>
          <w:spacing w:val="-3"/>
        </w:rPr>
        <w:t>0.8MPa</w:t>
      </w:r>
      <w:r>
        <w:rPr>
          <w:spacing w:val="-7"/>
        </w:rPr>
        <w:t>，电</w:t>
      </w:r>
      <w:r>
        <w:rPr>
          <w:spacing w:val="-2"/>
        </w:rPr>
        <w:t>动机功率，</w:t>
      </w:r>
      <w:r>
        <w:rPr>
          <w:rFonts w:ascii="Times New Roman" w:eastAsia="Times New Roman"/>
          <w:spacing w:val="-6"/>
        </w:rPr>
        <w:t>110kW</w:t>
      </w:r>
      <w:r>
        <w:rPr>
          <w:spacing w:val="-7"/>
        </w:rPr>
        <w:t>。经计算，一台压风机工作即可满足生产和灾害防治时所需要的压风供气量。</w:t>
      </w:r>
    </w:p>
    <w:p>
      <w:pPr>
        <w:pStyle w:val="5"/>
        <w:numPr>
          <w:ilvl w:val="3"/>
          <w:numId w:val="20"/>
        </w:numPr>
        <w:tabs>
          <w:tab w:val="left" w:pos="1760"/>
        </w:tabs>
        <w:spacing w:before="74" w:after="0" w:line="240" w:lineRule="auto"/>
        <w:ind w:left="1760" w:right="0" w:hanging="720"/>
        <w:jc w:val="both"/>
      </w:pPr>
      <w:r>
        <w:t>矿井地面生产系统</w:t>
      </w:r>
    </w:p>
    <w:p>
      <w:pPr>
        <w:pStyle w:val="13"/>
        <w:numPr>
          <w:ilvl w:val="0"/>
          <w:numId w:val="26"/>
        </w:numPr>
        <w:tabs>
          <w:tab w:val="left" w:pos="2121"/>
        </w:tabs>
        <w:spacing w:before="161" w:after="0" w:line="240" w:lineRule="auto"/>
        <w:ind w:left="2121" w:right="0" w:hanging="601"/>
        <w:jc w:val="left"/>
        <w:rPr>
          <w:sz w:val="24"/>
        </w:rPr>
      </w:pPr>
      <w:r>
        <w:rPr>
          <w:sz w:val="24"/>
        </w:rPr>
        <w:t>主井生产系统</w:t>
      </w:r>
    </w:p>
    <w:p>
      <w:pPr>
        <w:pStyle w:val="6"/>
        <w:spacing w:before="160"/>
        <w:ind w:left="1520"/>
      </w:pPr>
      <w:r>
        <w:t>主井（新建）生产系统包括：皮带主机房、煤仓，运煤走廊。</w:t>
      </w:r>
    </w:p>
    <w:p>
      <w:pPr>
        <w:pStyle w:val="6"/>
        <w:spacing w:before="161" w:line="364" w:lineRule="auto"/>
        <w:ind w:left="1040" w:right="1077" w:firstLine="480"/>
        <w:jc w:val="both"/>
      </w:pPr>
      <w:r>
        <w:rPr>
          <w:spacing w:val="-7"/>
        </w:rPr>
        <w:t>主斜井井底设一座井底煤仓。原煤经仓下给煤机、主斜井提升带式输送机提出的原煤在筛分拣矸车间筛分，经筛分后分别由块煤带式输送机、中块煤带式输</w:t>
      </w:r>
      <w:r>
        <w:rPr>
          <w:spacing w:val="-10"/>
        </w:rPr>
        <w:t>送机、末煤带式输送机，运输至存煤场地装车外运。电子汽车衡计量，汽车公路</w:t>
      </w:r>
      <w:r>
        <w:t>外运销售。</w:t>
      </w:r>
    </w:p>
    <w:p>
      <w:pPr>
        <w:pStyle w:val="13"/>
        <w:numPr>
          <w:ilvl w:val="0"/>
          <w:numId w:val="26"/>
        </w:numPr>
        <w:tabs>
          <w:tab w:val="left" w:pos="2121"/>
        </w:tabs>
        <w:spacing w:before="0" w:after="0" w:line="231" w:lineRule="exact"/>
        <w:ind w:left="2121" w:right="0" w:hanging="601"/>
        <w:jc w:val="left"/>
        <w:rPr>
          <w:sz w:val="24"/>
        </w:rPr>
      </w:pPr>
      <w:r>
        <w:rPr>
          <w:sz w:val="24"/>
        </w:rPr>
        <w:t>副井生产系统包括：栈桥、材料库、设备库、翻矸机房、绞车房等。</w:t>
      </w:r>
    </w:p>
    <w:p>
      <w:pPr>
        <w:pStyle w:val="13"/>
        <w:numPr>
          <w:ilvl w:val="0"/>
          <w:numId w:val="26"/>
        </w:numPr>
        <w:tabs>
          <w:tab w:val="left" w:pos="2121"/>
        </w:tabs>
        <w:spacing w:before="160" w:after="0" w:line="240" w:lineRule="auto"/>
        <w:ind w:left="2121" w:right="0" w:hanging="601"/>
        <w:jc w:val="left"/>
        <w:rPr>
          <w:sz w:val="24"/>
        </w:rPr>
      </w:pPr>
      <w:r>
        <w:rPr>
          <w:sz w:val="24"/>
        </w:rPr>
        <w:t>矿井联合建筑包括：办公、洗浴、更衣、烘干、食堂等生活设施。</w:t>
      </w:r>
    </w:p>
    <w:p>
      <w:pPr>
        <w:spacing w:after="0" w:line="240" w:lineRule="auto"/>
        <w:jc w:val="left"/>
        <w:rPr>
          <w:sz w:val="24"/>
        </w:rPr>
        <w:sectPr>
          <w:pgSz w:w="11910" w:h="16840"/>
          <w:pgMar w:top="1080" w:right="720" w:bottom="1160" w:left="760" w:header="0" w:footer="97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232" name="组合 60"/>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231" name="直线 61"/>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60"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u2gi7UAAAAAwEAAA8AAAAAAAAAAQAgAAAAIgAAAGRycy9kb3ducmV2LnhtbFBL&#10;AQIUABQAAAAIAIdO4kAJeEQbMwIAALYEAAAOAAAAAAAAAAEAIAAAACMBAABkcnMvZTJvRG9jLnht&#10;bFBLBQYAAAAABgAGAFkBAADIBQAAAAA=&#10;">
                <o:lock v:ext="edit" aspectratio="f"/>
                <v:line id="直线 61" o:spid="_x0000_s1026" o:spt="20" style="position:absolute;left:0;top:7;height:0;width:8306;" filled="f" stroked="t" coordsize="21600,21600" o:gfxdata="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ylXy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pStyle w:val="6"/>
        <w:spacing w:before="8"/>
        <w:rPr>
          <w:sz w:val="25"/>
        </w:rPr>
      </w:pPr>
    </w:p>
    <w:p>
      <w:pPr>
        <w:pStyle w:val="13"/>
        <w:numPr>
          <w:ilvl w:val="0"/>
          <w:numId w:val="26"/>
        </w:numPr>
        <w:tabs>
          <w:tab w:val="left" w:pos="2121"/>
        </w:tabs>
        <w:spacing w:before="74" w:after="0" w:line="240" w:lineRule="auto"/>
        <w:ind w:left="2121" w:right="0" w:hanging="601"/>
        <w:jc w:val="left"/>
        <w:rPr>
          <w:sz w:val="24"/>
        </w:rPr>
      </w:pPr>
      <w:r>
        <w:rPr>
          <w:sz w:val="24"/>
        </w:rPr>
        <w:t>辅助设施</w:t>
      </w:r>
    </w:p>
    <w:p>
      <w:pPr>
        <w:pStyle w:val="6"/>
        <w:spacing w:before="81" w:line="364" w:lineRule="auto"/>
        <w:ind w:left="1040" w:right="1077" w:firstLine="480"/>
      </w:pPr>
      <w:r>
        <w:rPr>
          <w:spacing w:val="-7"/>
        </w:rPr>
        <w:t>辅助生产系统及配套设施包括：机修车间、坑木加工车间、压风机房、主扇</w:t>
      </w:r>
      <w:r>
        <w:t>房、变电所、暖风机房等。</w:t>
      </w:r>
    </w:p>
    <w:p>
      <w:pPr>
        <w:pStyle w:val="6"/>
        <w:spacing w:line="306" w:lineRule="exact"/>
        <w:ind w:left="1520"/>
      </w:pPr>
      <w:r>
        <w:t>①修理车间</w:t>
      </w:r>
    </w:p>
    <w:p>
      <w:pPr>
        <w:pStyle w:val="6"/>
        <w:spacing w:before="160" w:line="362" w:lineRule="auto"/>
        <w:ind w:left="1040" w:right="1077" w:firstLine="480"/>
      </w:pPr>
      <w:r>
        <w:rPr>
          <w:spacing w:val="-11"/>
        </w:rPr>
        <w:t>根据《煤炭工业矿井设计规范》规定：矿井修理车间承担本矿机电设备的日</w:t>
      </w:r>
      <w:r>
        <w:t>常检修和维护，并承担矿车及拱形金属支架的修理。</w:t>
      </w:r>
    </w:p>
    <w:p>
      <w:pPr>
        <w:pStyle w:val="6"/>
        <w:spacing w:before="5" w:line="364" w:lineRule="auto"/>
        <w:ind w:left="1040" w:right="1077" w:firstLine="480"/>
        <w:jc w:val="both"/>
      </w:pPr>
      <w:r>
        <w:rPr>
          <w:spacing w:val="-10"/>
        </w:rPr>
        <w:t>该矿在工业广场内，设置矿井修理车间，主要承担该矿机电设备的小修和日常维护、保养，亦可承担部分难度不大的中修任务及矿车、拱形金属支架等材料</w:t>
      </w:r>
      <w:r>
        <w:rPr>
          <w:spacing w:val="-1"/>
        </w:rPr>
        <w:t>性设备的修理,难度较大的设备大修及中修工作全部外委修理。维修中所需的标</w:t>
      </w:r>
      <w:r>
        <w:rPr>
          <w:spacing w:val="-10"/>
        </w:rPr>
        <w:t>准件外购，非标准件中容易加工的零件自制，其余精度高、加工难度大的零件外</w:t>
      </w:r>
      <w:r>
        <w:t>委加工。</w:t>
      </w:r>
    </w:p>
    <w:p>
      <w:pPr>
        <w:pStyle w:val="6"/>
        <w:spacing w:line="303" w:lineRule="exact"/>
        <w:ind w:left="1520"/>
        <w:jc w:val="both"/>
      </w:pPr>
      <w:r>
        <w:t xml:space="preserve">修理车间主要设备和厂房建筑面积配置可参照表 </w:t>
      </w:r>
      <w:r>
        <w:rPr>
          <w:rFonts w:ascii="Times New Roman" w:eastAsia="Times New Roman"/>
        </w:rPr>
        <w:t xml:space="preserve">3.3-11 </w:t>
      </w:r>
      <w:r>
        <w:t>配置。</w:t>
      </w:r>
    </w:p>
    <w:p>
      <w:pPr>
        <w:pStyle w:val="5"/>
        <w:tabs>
          <w:tab w:val="left" w:pos="3727"/>
        </w:tabs>
        <w:spacing w:before="161"/>
        <w:ind w:left="2580"/>
      </w:pPr>
      <w:r>
        <w:t>表</w:t>
      </w:r>
      <w:r>
        <w:rPr>
          <w:spacing w:val="-65"/>
        </w:rPr>
        <w:t xml:space="preserve"> </w:t>
      </w:r>
      <w:r>
        <w:rPr>
          <w:rFonts w:ascii="Times New Roman" w:eastAsia="Times New Roman"/>
        </w:rPr>
        <w:t>3.3-11</w:t>
      </w:r>
      <w:r>
        <w:rPr>
          <w:rFonts w:ascii="Times New Roman" w:eastAsia="Times New Roman"/>
        </w:rPr>
        <w:tab/>
      </w:r>
      <w:r>
        <w:t>矿井修理车间主要设备和厂房建筑面积</w:t>
      </w:r>
    </w:p>
    <w:p>
      <w:pPr>
        <w:pStyle w:val="6"/>
        <w:spacing w:before="4" w:after="1"/>
        <w:rPr>
          <w:b/>
          <w:sz w:val="12"/>
        </w:rPr>
      </w:pPr>
    </w:p>
    <w:tbl>
      <w:tblPr>
        <w:tblStyle w:val="10"/>
        <w:tblW w:w="0" w:type="auto"/>
        <w:tblInd w:w="9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27"/>
        <w:gridCol w:w="2127"/>
        <w:gridCol w:w="2128"/>
        <w:gridCol w:w="21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127" w:type="dxa"/>
          </w:tcPr>
          <w:p>
            <w:pPr>
              <w:pStyle w:val="14"/>
              <w:spacing w:before="173"/>
              <w:ind w:left="200" w:right="196"/>
              <w:rPr>
                <w:sz w:val="21"/>
              </w:rPr>
            </w:pPr>
            <w:r>
              <w:rPr>
                <w:sz w:val="21"/>
              </w:rPr>
              <w:t>序号</w:t>
            </w:r>
          </w:p>
        </w:tc>
        <w:tc>
          <w:tcPr>
            <w:tcW w:w="2127" w:type="dxa"/>
          </w:tcPr>
          <w:p>
            <w:pPr>
              <w:pStyle w:val="14"/>
              <w:spacing w:before="173"/>
              <w:ind w:left="201" w:right="196"/>
              <w:rPr>
                <w:sz w:val="21"/>
              </w:rPr>
            </w:pPr>
            <w:r>
              <w:rPr>
                <w:sz w:val="21"/>
              </w:rPr>
              <w:t>名称规格</w:t>
            </w:r>
          </w:p>
        </w:tc>
        <w:tc>
          <w:tcPr>
            <w:tcW w:w="2128" w:type="dxa"/>
          </w:tcPr>
          <w:p>
            <w:pPr>
              <w:pStyle w:val="14"/>
              <w:spacing w:before="173"/>
              <w:ind w:left="724" w:right="719"/>
              <w:rPr>
                <w:sz w:val="21"/>
              </w:rPr>
            </w:pPr>
            <w:r>
              <w:rPr>
                <w:sz w:val="21"/>
              </w:rPr>
              <w:t>单位</w:t>
            </w:r>
          </w:p>
        </w:tc>
        <w:tc>
          <w:tcPr>
            <w:tcW w:w="2140" w:type="dxa"/>
          </w:tcPr>
          <w:p>
            <w:pPr>
              <w:pStyle w:val="14"/>
              <w:spacing w:before="173"/>
              <w:ind w:left="837" w:right="833"/>
              <w:rPr>
                <w:sz w:val="21"/>
              </w:rPr>
            </w:pPr>
            <w:r>
              <w:rPr>
                <w:sz w:val="21"/>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127" w:type="dxa"/>
          </w:tcPr>
          <w:p>
            <w:pPr>
              <w:pStyle w:val="14"/>
              <w:spacing w:before="187"/>
              <w:ind w:left="7"/>
              <w:rPr>
                <w:rFonts w:ascii="Times New Roman"/>
                <w:sz w:val="21"/>
              </w:rPr>
            </w:pPr>
            <w:r>
              <w:rPr>
                <w:rFonts w:ascii="Times New Roman"/>
                <w:w w:val="99"/>
                <w:sz w:val="21"/>
              </w:rPr>
              <w:t>1</w:t>
            </w:r>
          </w:p>
        </w:tc>
        <w:tc>
          <w:tcPr>
            <w:tcW w:w="2127" w:type="dxa"/>
          </w:tcPr>
          <w:p>
            <w:pPr>
              <w:pStyle w:val="14"/>
              <w:spacing w:before="173"/>
              <w:ind w:left="201" w:right="194"/>
              <w:rPr>
                <w:sz w:val="21"/>
              </w:rPr>
            </w:pPr>
            <w:r>
              <w:rPr>
                <w:sz w:val="21"/>
              </w:rPr>
              <w:t>金属切削机床</w:t>
            </w:r>
          </w:p>
        </w:tc>
        <w:tc>
          <w:tcPr>
            <w:tcW w:w="2128" w:type="dxa"/>
          </w:tcPr>
          <w:p>
            <w:pPr>
              <w:pStyle w:val="14"/>
              <w:spacing w:before="173"/>
              <w:ind w:left="8"/>
              <w:rPr>
                <w:sz w:val="21"/>
              </w:rPr>
            </w:pPr>
            <w:r>
              <w:rPr>
                <w:w w:val="99"/>
                <w:sz w:val="21"/>
              </w:rPr>
              <w:t>台</w:t>
            </w:r>
          </w:p>
        </w:tc>
        <w:tc>
          <w:tcPr>
            <w:tcW w:w="2140" w:type="dxa"/>
          </w:tcPr>
          <w:p>
            <w:pPr>
              <w:pStyle w:val="14"/>
              <w:spacing w:before="187"/>
              <w:ind w:left="8"/>
              <w:rPr>
                <w:rFonts w:ascii="Times New Roman"/>
                <w:sz w:val="21"/>
              </w:rPr>
            </w:pPr>
            <w:r>
              <w:rPr>
                <w:rFonts w:ascii="Times New Roman"/>
                <w:w w:val="99"/>
                <w:sz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127" w:type="dxa"/>
          </w:tcPr>
          <w:p>
            <w:pPr>
              <w:pStyle w:val="14"/>
              <w:spacing w:before="186"/>
              <w:ind w:left="7"/>
              <w:rPr>
                <w:rFonts w:ascii="Times New Roman"/>
                <w:sz w:val="21"/>
              </w:rPr>
            </w:pPr>
            <w:r>
              <w:rPr>
                <w:rFonts w:ascii="Times New Roman"/>
                <w:w w:val="99"/>
                <w:sz w:val="21"/>
              </w:rPr>
              <w:t>2</w:t>
            </w:r>
          </w:p>
        </w:tc>
        <w:tc>
          <w:tcPr>
            <w:tcW w:w="2127" w:type="dxa"/>
          </w:tcPr>
          <w:p>
            <w:pPr>
              <w:pStyle w:val="14"/>
              <w:spacing w:before="172"/>
              <w:ind w:left="201" w:right="196"/>
              <w:rPr>
                <w:sz w:val="21"/>
              </w:rPr>
            </w:pPr>
            <w:r>
              <w:rPr>
                <w:sz w:val="21"/>
              </w:rPr>
              <w:t>锻压机床</w:t>
            </w:r>
          </w:p>
        </w:tc>
        <w:tc>
          <w:tcPr>
            <w:tcW w:w="2128" w:type="dxa"/>
          </w:tcPr>
          <w:p>
            <w:pPr>
              <w:pStyle w:val="14"/>
              <w:spacing w:before="103"/>
              <w:ind w:left="8"/>
              <w:rPr>
                <w:sz w:val="21"/>
              </w:rPr>
            </w:pPr>
            <w:r>
              <w:rPr>
                <w:w w:val="99"/>
                <w:sz w:val="21"/>
              </w:rPr>
              <w:t>台</w:t>
            </w:r>
          </w:p>
        </w:tc>
        <w:tc>
          <w:tcPr>
            <w:tcW w:w="2140" w:type="dxa"/>
          </w:tcPr>
          <w:p>
            <w:pPr>
              <w:pStyle w:val="14"/>
              <w:spacing w:before="186"/>
              <w:ind w:left="8"/>
              <w:rPr>
                <w:rFonts w:ascii="Times New Roman"/>
                <w:sz w:val="21"/>
              </w:rPr>
            </w:pPr>
            <w:r>
              <w:rPr>
                <w:rFonts w:ascii="Times New Roman"/>
                <w:w w:val="99"/>
                <w:sz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127" w:type="dxa"/>
          </w:tcPr>
          <w:p>
            <w:pPr>
              <w:pStyle w:val="14"/>
              <w:spacing w:before="186"/>
              <w:ind w:left="7"/>
              <w:rPr>
                <w:rFonts w:ascii="Times New Roman"/>
                <w:sz w:val="21"/>
              </w:rPr>
            </w:pPr>
            <w:r>
              <w:rPr>
                <w:rFonts w:ascii="Times New Roman"/>
                <w:w w:val="99"/>
                <w:sz w:val="21"/>
              </w:rPr>
              <w:t>3</w:t>
            </w:r>
          </w:p>
        </w:tc>
        <w:tc>
          <w:tcPr>
            <w:tcW w:w="2127" w:type="dxa"/>
          </w:tcPr>
          <w:p>
            <w:pPr>
              <w:pStyle w:val="14"/>
              <w:spacing w:before="172"/>
              <w:ind w:left="201" w:right="194"/>
              <w:rPr>
                <w:sz w:val="21"/>
              </w:rPr>
            </w:pPr>
            <w:r>
              <w:rPr>
                <w:sz w:val="21"/>
              </w:rPr>
              <w:t>电焊机</w:t>
            </w:r>
          </w:p>
        </w:tc>
        <w:tc>
          <w:tcPr>
            <w:tcW w:w="2128" w:type="dxa"/>
          </w:tcPr>
          <w:p>
            <w:pPr>
              <w:pStyle w:val="14"/>
              <w:spacing w:before="105"/>
              <w:ind w:left="8"/>
              <w:rPr>
                <w:sz w:val="21"/>
              </w:rPr>
            </w:pPr>
            <w:r>
              <w:rPr>
                <w:w w:val="99"/>
                <w:sz w:val="21"/>
              </w:rPr>
              <w:t>台</w:t>
            </w:r>
          </w:p>
        </w:tc>
        <w:tc>
          <w:tcPr>
            <w:tcW w:w="2140" w:type="dxa"/>
          </w:tcPr>
          <w:p>
            <w:pPr>
              <w:pStyle w:val="14"/>
              <w:spacing w:before="186"/>
              <w:ind w:left="8"/>
              <w:rPr>
                <w:rFonts w:ascii="Times New Roman"/>
                <w:sz w:val="21"/>
              </w:rPr>
            </w:pPr>
            <w:r>
              <w:rPr>
                <w:rFonts w:ascii="Times New Roman"/>
                <w:w w:val="99"/>
                <w:sz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127" w:type="dxa"/>
          </w:tcPr>
          <w:p>
            <w:pPr>
              <w:pStyle w:val="14"/>
              <w:spacing w:before="188"/>
              <w:ind w:left="7"/>
              <w:rPr>
                <w:rFonts w:ascii="Times New Roman"/>
                <w:sz w:val="21"/>
              </w:rPr>
            </w:pPr>
            <w:r>
              <w:rPr>
                <w:rFonts w:ascii="Times New Roman"/>
                <w:w w:val="99"/>
                <w:sz w:val="21"/>
              </w:rPr>
              <w:t>4</w:t>
            </w:r>
          </w:p>
        </w:tc>
        <w:tc>
          <w:tcPr>
            <w:tcW w:w="2127" w:type="dxa"/>
          </w:tcPr>
          <w:p>
            <w:pPr>
              <w:pStyle w:val="14"/>
              <w:spacing w:before="174"/>
              <w:ind w:left="201" w:right="196"/>
              <w:rPr>
                <w:sz w:val="21"/>
              </w:rPr>
            </w:pPr>
            <w:r>
              <w:rPr>
                <w:sz w:val="21"/>
              </w:rPr>
              <w:t>矿车修理专用设备</w:t>
            </w:r>
          </w:p>
        </w:tc>
        <w:tc>
          <w:tcPr>
            <w:tcW w:w="2128" w:type="dxa"/>
          </w:tcPr>
          <w:p>
            <w:pPr>
              <w:pStyle w:val="14"/>
              <w:spacing w:before="104"/>
              <w:ind w:left="8"/>
              <w:rPr>
                <w:sz w:val="21"/>
              </w:rPr>
            </w:pPr>
            <w:r>
              <w:rPr>
                <w:w w:val="99"/>
                <w:sz w:val="21"/>
              </w:rPr>
              <w:t>台</w:t>
            </w:r>
          </w:p>
        </w:tc>
        <w:tc>
          <w:tcPr>
            <w:tcW w:w="2140" w:type="dxa"/>
          </w:tcPr>
          <w:p>
            <w:pPr>
              <w:pStyle w:val="14"/>
              <w:spacing w:before="188"/>
              <w:ind w:left="8"/>
              <w:rPr>
                <w:rFonts w:ascii="Times New Roman"/>
                <w:sz w:val="21"/>
              </w:rPr>
            </w:pPr>
            <w:r>
              <w:rPr>
                <w:rFonts w:ascii="Times New Roman"/>
                <w:w w:val="99"/>
                <w:sz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2127" w:type="dxa"/>
          </w:tcPr>
          <w:p>
            <w:pPr>
              <w:pStyle w:val="14"/>
              <w:spacing w:before="187"/>
              <w:ind w:left="7"/>
              <w:rPr>
                <w:rFonts w:ascii="Times New Roman"/>
                <w:sz w:val="21"/>
              </w:rPr>
            </w:pPr>
            <w:r>
              <w:rPr>
                <w:rFonts w:ascii="Times New Roman"/>
                <w:w w:val="99"/>
                <w:sz w:val="21"/>
              </w:rPr>
              <w:t>5</w:t>
            </w:r>
          </w:p>
        </w:tc>
        <w:tc>
          <w:tcPr>
            <w:tcW w:w="2127" w:type="dxa"/>
          </w:tcPr>
          <w:p>
            <w:pPr>
              <w:pStyle w:val="14"/>
              <w:spacing w:before="173"/>
              <w:ind w:left="201" w:right="194"/>
              <w:rPr>
                <w:sz w:val="21"/>
              </w:rPr>
            </w:pPr>
            <w:r>
              <w:rPr>
                <w:sz w:val="21"/>
              </w:rPr>
              <w:t>电动单梁起重机</w:t>
            </w:r>
          </w:p>
        </w:tc>
        <w:tc>
          <w:tcPr>
            <w:tcW w:w="2128" w:type="dxa"/>
          </w:tcPr>
          <w:p>
            <w:pPr>
              <w:pStyle w:val="14"/>
              <w:spacing w:before="104"/>
              <w:ind w:left="8"/>
              <w:rPr>
                <w:sz w:val="21"/>
              </w:rPr>
            </w:pPr>
            <w:r>
              <w:rPr>
                <w:w w:val="99"/>
                <w:sz w:val="21"/>
              </w:rPr>
              <w:t>台</w:t>
            </w:r>
          </w:p>
        </w:tc>
        <w:tc>
          <w:tcPr>
            <w:tcW w:w="2140" w:type="dxa"/>
          </w:tcPr>
          <w:p>
            <w:pPr>
              <w:pStyle w:val="14"/>
              <w:spacing w:before="187"/>
              <w:ind w:left="8"/>
              <w:rPr>
                <w:rFonts w:ascii="Times New Roman"/>
                <w:sz w:val="21"/>
              </w:rPr>
            </w:pPr>
            <w:r>
              <w:rPr>
                <w:rFonts w:ascii="Times New Roman"/>
                <w:w w:val="99"/>
                <w:sz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127" w:type="dxa"/>
          </w:tcPr>
          <w:p>
            <w:pPr>
              <w:pStyle w:val="14"/>
              <w:spacing w:before="187"/>
              <w:ind w:left="7"/>
              <w:rPr>
                <w:rFonts w:ascii="Times New Roman"/>
                <w:sz w:val="21"/>
              </w:rPr>
            </w:pPr>
            <w:r>
              <w:rPr>
                <w:rFonts w:ascii="Times New Roman"/>
                <w:w w:val="99"/>
                <w:sz w:val="21"/>
              </w:rPr>
              <w:t>6</w:t>
            </w:r>
          </w:p>
        </w:tc>
        <w:tc>
          <w:tcPr>
            <w:tcW w:w="2127" w:type="dxa"/>
          </w:tcPr>
          <w:p>
            <w:pPr>
              <w:pStyle w:val="14"/>
              <w:spacing w:before="173"/>
              <w:ind w:left="201" w:right="194"/>
              <w:rPr>
                <w:sz w:val="21"/>
              </w:rPr>
            </w:pPr>
            <w:r>
              <w:rPr>
                <w:sz w:val="21"/>
              </w:rPr>
              <w:t>厂房建筑面积</w:t>
            </w:r>
          </w:p>
        </w:tc>
        <w:tc>
          <w:tcPr>
            <w:tcW w:w="2128" w:type="dxa"/>
          </w:tcPr>
          <w:p>
            <w:pPr>
              <w:pStyle w:val="14"/>
              <w:spacing w:before="103"/>
              <w:ind w:left="729" w:right="719"/>
              <w:rPr>
                <w:sz w:val="21"/>
              </w:rPr>
            </w:pPr>
            <w:r>
              <w:rPr>
                <w:sz w:val="21"/>
              </w:rPr>
              <w:t>平方米</w:t>
            </w:r>
          </w:p>
        </w:tc>
        <w:tc>
          <w:tcPr>
            <w:tcW w:w="2140" w:type="dxa"/>
          </w:tcPr>
          <w:p>
            <w:pPr>
              <w:pStyle w:val="14"/>
              <w:spacing w:before="187"/>
              <w:ind w:left="837" w:right="829"/>
              <w:rPr>
                <w:rFonts w:ascii="Times New Roman"/>
                <w:sz w:val="21"/>
              </w:rPr>
            </w:pPr>
            <w:r>
              <w:rPr>
                <w:rFonts w:ascii="Times New Roman"/>
                <w:sz w:val="21"/>
              </w:rPr>
              <w:t>650</w:t>
            </w:r>
          </w:p>
        </w:tc>
      </w:tr>
    </w:tbl>
    <w:p>
      <w:pPr>
        <w:pStyle w:val="6"/>
        <w:spacing w:before="1"/>
        <w:ind w:left="1520"/>
      </w:pPr>
      <w:r>
        <w:t>②矿井坑木加工房</w:t>
      </w:r>
    </w:p>
    <w:p>
      <w:pPr>
        <w:pStyle w:val="6"/>
        <w:spacing w:before="158" w:line="364" w:lineRule="auto"/>
        <w:ind w:left="1040" w:right="1077" w:firstLine="480"/>
      </w:pPr>
      <w:r>
        <w:rPr>
          <w:spacing w:val="-7"/>
        </w:rPr>
        <w:t>承担矿井坑木材料的加工任务。根据矿井坑木加工房承担的加工任务，坑木</w:t>
      </w:r>
      <w:r>
        <w:rPr>
          <w:spacing w:val="-3"/>
        </w:rPr>
        <w:t xml:space="preserve">加工房主要设备和厂房建筑面积配置可参照表 </w:t>
      </w:r>
      <w:r>
        <w:rPr>
          <w:rFonts w:ascii="Times New Roman" w:eastAsia="Times New Roman"/>
        </w:rPr>
        <w:t xml:space="preserve">3.3-12 </w:t>
      </w:r>
      <w:r>
        <w:t>配置。</w:t>
      </w:r>
    </w:p>
    <w:p>
      <w:pPr>
        <w:pStyle w:val="5"/>
        <w:spacing w:before="2"/>
        <w:ind w:left="2513"/>
      </w:pPr>
      <w:r>
        <w:t xml:space="preserve">表 </w:t>
      </w:r>
      <w:r>
        <w:rPr>
          <w:rFonts w:ascii="Times New Roman" w:eastAsia="Times New Roman"/>
        </w:rPr>
        <w:t xml:space="preserve">3.3-12  </w:t>
      </w:r>
      <w:r>
        <w:t>矿井坑木加工房主要设备和厂房建筑面积</w:t>
      </w:r>
    </w:p>
    <w:p>
      <w:pPr>
        <w:pStyle w:val="6"/>
        <w:spacing w:before="3" w:after="1"/>
        <w:rPr>
          <w:b/>
          <w:sz w:val="12"/>
        </w:rPr>
      </w:pPr>
    </w:p>
    <w:tbl>
      <w:tblPr>
        <w:tblStyle w:val="10"/>
        <w:tblW w:w="0" w:type="auto"/>
        <w:tblInd w:w="10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2375"/>
        <w:gridCol w:w="2237"/>
        <w:gridCol w:w="28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955" w:type="dxa"/>
          </w:tcPr>
          <w:p>
            <w:pPr>
              <w:pStyle w:val="14"/>
              <w:spacing w:before="174"/>
              <w:ind w:left="244" w:right="240"/>
              <w:rPr>
                <w:sz w:val="21"/>
              </w:rPr>
            </w:pPr>
            <w:r>
              <w:rPr>
                <w:sz w:val="21"/>
              </w:rPr>
              <w:t>序号</w:t>
            </w:r>
          </w:p>
        </w:tc>
        <w:tc>
          <w:tcPr>
            <w:tcW w:w="2375" w:type="dxa"/>
          </w:tcPr>
          <w:p>
            <w:pPr>
              <w:pStyle w:val="14"/>
              <w:spacing w:before="174"/>
              <w:ind w:left="535" w:right="527"/>
              <w:rPr>
                <w:sz w:val="21"/>
              </w:rPr>
            </w:pPr>
            <w:r>
              <w:rPr>
                <w:sz w:val="21"/>
              </w:rPr>
              <w:t>名称规格</w:t>
            </w:r>
          </w:p>
        </w:tc>
        <w:tc>
          <w:tcPr>
            <w:tcW w:w="2237" w:type="dxa"/>
          </w:tcPr>
          <w:p>
            <w:pPr>
              <w:pStyle w:val="14"/>
              <w:spacing w:before="174"/>
              <w:ind w:left="886" w:right="880"/>
              <w:rPr>
                <w:sz w:val="21"/>
              </w:rPr>
            </w:pPr>
            <w:r>
              <w:rPr>
                <w:sz w:val="21"/>
              </w:rPr>
              <w:t>单位</w:t>
            </w:r>
          </w:p>
        </w:tc>
        <w:tc>
          <w:tcPr>
            <w:tcW w:w="2825" w:type="dxa"/>
          </w:tcPr>
          <w:p>
            <w:pPr>
              <w:pStyle w:val="14"/>
              <w:spacing w:before="174"/>
              <w:ind w:left="1179" w:right="1176"/>
              <w:rPr>
                <w:sz w:val="21"/>
              </w:rPr>
            </w:pPr>
            <w:r>
              <w:rPr>
                <w:sz w:val="21"/>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955" w:type="dxa"/>
          </w:tcPr>
          <w:p>
            <w:pPr>
              <w:pStyle w:val="14"/>
              <w:spacing w:before="187"/>
              <w:ind w:left="8"/>
              <w:rPr>
                <w:rFonts w:ascii="Times New Roman"/>
                <w:sz w:val="21"/>
              </w:rPr>
            </w:pPr>
            <w:r>
              <w:rPr>
                <w:rFonts w:ascii="Times New Roman"/>
                <w:w w:val="99"/>
                <w:sz w:val="21"/>
              </w:rPr>
              <w:t>1</w:t>
            </w:r>
          </w:p>
        </w:tc>
        <w:tc>
          <w:tcPr>
            <w:tcW w:w="2375" w:type="dxa"/>
          </w:tcPr>
          <w:p>
            <w:pPr>
              <w:pStyle w:val="14"/>
              <w:spacing w:before="173"/>
              <w:ind w:left="535" w:right="530"/>
              <w:rPr>
                <w:sz w:val="21"/>
              </w:rPr>
            </w:pPr>
            <w:r>
              <w:rPr>
                <w:sz w:val="21"/>
              </w:rPr>
              <w:t>木材加工击床</w:t>
            </w:r>
          </w:p>
        </w:tc>
        <w:tc>
          <w:tcPr>
            <w:tcW w:w="2237" w:type="dxa"/>
          </w:tcPr>
          <w:p>
            <w:pPr>
              <w:pStyle w:val="14"/>
              <w:spacing w:before="173"/>
              <w:ind w:left="9"/>
              <w:rPr>
                <w:sz w:val="21"/>
              </w:rPr>
            </w:pPr>
            <w:r>
              <w:rPr>
                <w:w w:val="99"/>
                <w:sz w:val="21"/>
              </w:rPr>
              <w:t>台</w:t>
            </w:r>
          </w:p>
        </w:tc>
        <w:tc>
          <w:tcPr>
            <w:tcW w:w="2825" w:type="dxa"/>
          </w:tcPr>
          <w:p>
            <w:pPr>
              <w:pStyle w:val="14"/>
              <w:spacing w:before="187"/>
              <w:ind w:left="7"/>
              <w:rPr>
                <w:rFonts w:ascii="Times New Roman"/>
                <w:sz w:val="21"/>
              </w:rPr>
            </w:pPr>
            <w:r>
              <w:rPr>
                <w:rFonts w:ascii="Times New Roman"/>
                <w:w w:val="99"/>
                <w:sz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955" w:type="dxa"/>
          </w:tcPr>
          <w:p>
            <w:pPr>
              <w:pStyle w:val="14"/>
              <w:spacing w:before="187"/>
              <w:ind w:left="8"/>
              <w:rPr>
                <w:rFonts w:ascii="Times New Roman"/>
                <w:sz w:val="21"/>
              </w:rPr>
            </w:pPr>
            <w:r>
              <w:rPr>
                <w:rFonts w:ascii="Times New Roman"/>
                <w:w w:val="99"/>
                <w:sz w:val="21"/>
              </w:rPr>
              <w:t>2</w:t>
            </w:r>
          </w:p>
        </w:tc>
        <w:tc>
          <w:tcPr>
            <w:tcW w:w="2375" w:type="dxa"/>
          </w:tcPr>
          <w:p>
            <w:pPr>
              <w:pStyle w:val="14"/>
              <w:spacing w:before="173"/>
              <w:ind w:left="535" w:right="527"/>
              <w:rPr>
                <w:sz w:val="21"/>
              </w:rPr>
            </w:pPr>
            <w:r>
              <w:rPr>
                <w:sz w:val="21"/>
              </w:rPr>
              <w:t>修磨设备</w:t>
            </w:r>
          </w:p>
        </w:tc>
        <w:tc>
          <w:tcPr>
            <w:tcW w:w="2237" w:type="dxa"/>
          </w:tcPr>
          <w:p>
            <w:pPr>
              <w:pStyle w:val="14"/>
              <w:spacing w:before="173"/>
              <w:ind w:left="9"/>
              <w:rPr>
                <w:sz w:val="21"/>
              </w:rPr>
            </w:pPr>
            <w:r>
              <w:rPr>
                <w:w w:val="99"/>
                <w:sz w:val="21"/>
              </w:rPr>
              <w:t>台</w:t>
            </w:r>
          </w:p>
        </w:tc>
        <w:tc>
          <w:tcPr>
            <w:tcW w:w="2825" w:type="dxa"/>
          </w:tcPr>
          <w:p>
            <w:pPr>
              <w:pStyle w:val="14"/>
              <w:spacing w:before="187"/>
              <w:ind w:left="7"/>
              <w:rPr>
                <w:rFonts w:ascii="Times New Roman"/>
                <w:sz w:val="21"/>
              </w:rPr>
            </w:pPr>
            <w:r>
              <w:rPr>
                <w:rFonts w:ascii="Times New Roman"/>
                <w:w w:val="99"/>
                <w:sz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955" w:type="dxa"/>
          </w:tcPr>
          <w:p>
            <w:pPr>
              <w:pStyle w:val="14"/>
              <w:spacing w:before="187"/>
              <w:ind w:left="8"/>
              <w:rPr>
                <w:rFonts w:ascii="Times New Roman"/>
                <w:sz w:val="21"/>
              </w:rPr>
            </w:pPr>
            <w:r>
              <w:rPr>
                <w:rFonts w:ascii="Times New Roman"/>
                <w:w w:val="99"/>
                <w:sz w:val="21"/>
              </w:rPr>
              <w:t>3</w:t>
            </w:r>
          </w:p>
        </w:tc>
        <w:tc>
          <w:tcPr>
            <w:tcW w:w="2375" w:type="dxa"/>
          </w:tcPr>
          <w:p>
            <w:pPr>
              <w:pStyle w:val="14"/>
              <w:spacing w:before="173"/>
              <w:ind w:left="535" w:right="530"/>
              <w:rPr>
                <w:sz w:val="21"/>
              </w:rPr>
            </w:pPr>
            <w:r>
              <w:rPr>
                <w:sz w:val="21"/>
              </w:rPr>
              <w:t>厂房建筑面积</w:t>
            </w:r>
          </w:p>
        </w:tc>
        <w:tc>
          <w:tcPr>
            <w:tcW w:w="2237" w:type="dxa"/>
          </w:tcPr>
          <w:p>
            <w:pPr>
              <w:pStyle w:val="14"/>
              <w:spacing w:before="189"/>
              <w:ind w:left="886" w:right="879"/>
              <w:rPr>
                <w:rFonts w:ascii="Times New Roman"/>
                <w:sz w:val="13"/>
              </w:rPr>
            </w:pPr>
            <w:r>
              <w:rPr>
                <w:rFonts w:ascii="Times New Roman"/>
                <w:position w:val="-6"/>
                <w:sz w:val="21"/>
              </w:rPr>
              <w:t>m</w:t>
            </w:r>
            <w:r>
              <w:rPr>
                <w:rFonts w:ascii="Times New Roman"/>
                <w:sz w:val="13"/>
              </w:rPr>
              <w:t>2</w:t>
            </w:r>
          </w:p>
        </w:tc>
        <w:tc>
          <w:tcPr>
            <w:tcW w:w="2825" w:type="dxa"/>
          </w:tcPr>
          <w:p>
            <w:pPr>
              <w:pStyle w:val="14"/>
              <w:spacing w:before="187"/>
              <w:ind w:left="1179" w:right="1167"/>
              <w:rPr>
                <w:rFonts w:ascii="Times New Roman"/>
                <w:sz w:val="21"/>
              </w:rPr>
            </w:pPr>
            <w:r>
              <w:rPr>
                <w:rFonts w:ascii="Times New Roman"/>
                <w:sz w:val="21"/>
              </w:rPr>
              <w:t>120</w:t>
            </w:r>
          </w:p>
        </w:tc>
      </w:tr>
    </w:tbl>
    <w:p>
      <w:pPr>
        <w:spacing w:after="0"/>
        <w:rPr>
          <w:rFonts w:ascii="Times New Roman"/>
          <w:sz w:val="21"/>
        </w:rPr>
        <w:sectPr>
          <w:pgSz w:w="11910" w:h="16840"/>
          <w:pgMar w:top="1080" w:right="720" w:bottom="1160" w:left="760" w:header="0" w:footer="97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234" name="组合 62"/>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233" name="直线 63"/>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62"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7toIu1AAAAAMBAAAPAAAAAAAAAAEAIAAAACIAAABkcnMvZG93bnJldi54bWxQ&#10;SwECFAAUAAAACACHTuJAUnL50zQCAAC2BAAADgAAAAAAAAABACAAAAAjAQAAZHJzL2Uyb0RvYy54&#10;bWxQSwUGAAAAAAYABgBZAQAAyQUAAAAA&#10;">
                <o:lock v:ext="edit" aspectratio="f"/>
                <v:line id="直线 63" o:spid="_x0000_s1026" o:spt="20" style="position:absolute;left:0;top:7;height:0;width:8306;" filled="f" stroked="t" coordsize="21600,21600" o:gfxdata="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VG4e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pStyle w:val="6"/>
        <w:spacing w:before="9"/>
        <w:rPr>
          <w:b/>
          <w:sz w:val="19"/>
        </w:rPr>
      </w:pPr>
    </w:p>
    <w:p>
      <w:pPr>
        <w:pStyle w:val="13"/>
        <w:numPr>
          <w:ilvl w:val="2"/>
          <w:numId w:val="16"/>
        </w:numPr>
        <w:tabs>
          <w:tab w:val="left" w:pos="1669"/>
        </w:tabs>
        <w:spacing w:before="71" w:after="0" w:line="240" w:lineRule="auto"/>
        <w:ind w:left="1668" w:right="0" w:hanging="629"/>
        <w:jc w:val="left"/>
        <w:rPr>
          <w:b/>
          <w:sz w:val="28"/>
        </w:rPr>
      </w:pPr>
      <w:bookmarkStart w:id="100" w:name="3.3.3场外道路工程"/>
      <w:bookmarkEnd w:id="100"/>
      <w:bookmarkStart w:id="101" w:name="3.3.3场外道路工程"/>
      <w:bookmarkEnd w:id="101"/>
      <w:r>
        <w:rPr>
          <w:b/>
          <w:sz w:val="28"/>
        </w:rPr>
        <w:t>场外道路工程</w:t>
      </w:r>
    </w:p>
    <w:p>
      <w:pPr>
        <w:pStyle w:val="6"/>
        <w:spacing w:before="265"/>
        <w:ind w:left="1520"/>
      </w:pPr>
      <w:r>
        <w:rPr>
          <w:rFonts w:ascii="Times New Roman" w:eastAsia="Times New Roman"/>
        </w:rPr>
        <w:t>1</w:t>
      </w:r>
      <w:r>
        <w:t>、场内道路</w:t>
      </w:r>
    </w:p>
    <w:p>
      <w:pPr>
        <w:pStyle w:val="6"/>
        <w:spacing w:before="160" w:line="364" w:lineRule="auto"/>
        <w:ind w:left="1040" w:right="1075" w:firstLine="480"/>
      </w:pPr>
      <w:r>
        <w:rPr>
          <w:spacing w:val="-8"/>
        </w:rPr>
        <w:t xml:space="preserve">场内道路宽度为 </w:t>
      </w:r>
      <w:r>
        <w:rPr>
          <w:rFonts w:ascii="Times New Roman" w:eastAsia="Times New Roman"/>
        </w:rPr>
        <w:t xml:space="preserve">6m </w:t>
      </w:r>
      <w:r>
        <w:rPr>
          <w:spacing w:val="-31"/>
        </w:rPr>
        <w:t xml:space="preserve">和 </w:t>
      </w:r>
      <w:r>
        <w:rPr>
          <w:rFonts w:ascii="Times New Roman" w:eastAsia="Times New Roman"/>
        </w:rPr>
        <w:t>4.5m</w:t>
      </w:r>
      <w:r>
        <w:rPr>
          <w:spacing w:val="-4"/>
        </w:rPr>
        <w:t xml:space="preserve">，路面为泥结碎石路面，最大纵坡为 </w:t>
      </w:r>
      <w:r>
        <w:rPr>
          <w:rFonts w:ascii="Times New Roman" w:eastAsia="Times New Roman"/>
        </w:rPr>
        <w:t>3%</w:t>
      </w:r>
      <w:r>
        <w:rPr>
          <w:spacing w:val="-6"/>
        </w:rPr>
        <w:t>，最小</w:t>
      </w:r>
      <w:r>
        <w:rPr>
          <w:spacing w:val="-11"/>
        </w:rPr>
        <w:t xml:space="preserve">曲线半径为 </w:t>
      </w:r>
      <w:r>
        <w:rPr>
          <w:rFonts w:ascii="Times New Roman" w:eastAsia="Times New Roman"/>
        </w:rPr>
        <w:t>6m</w:t>
      </w:r>
      <w:r>
        <w:t>。</w:t>
      </w:r>
      <w:r>
        <w:rPr>
          <w:rFonts w:ascii="Times New Roman" w:eastAsia="Times New Roman"/>
        </w:rPr>
        <w:t xml:space="preserve">6m </w:t>
      </w:r>
      <w:r>
        <w:t>道路用于煤炭运输和生活区主干线，</w:t>
      </w:r>
      <w:r>
        <w:rPr>
          <w:rFonts w:ascii="Times New Roman" w:eastAsia="Times New Roman"/>
        </w:rPr>
        <w:t xml:space="preserve">4.5m </w:t>
      </w:r>
      <w:r>
        <w:t>为普通道路。</w:t>
      </w:r>
    </w:p>
    <w:p>
      <w:pPr>
        <w:pStyle w:val="6"/>
        <w:spacing w:before="1"/>
        <w:ind w:left="1520"/>
      </w:pPr>
      <w:r>
        <w:rPr>
          <w:rFonts w:ascii="Times New Roman" w:eastAsia="Times New Roman"/>
        </w:rPr>
        <w:t>2</w:t>
      </w:r>
      <w:r>
        <w:t>、场外道路</w:t>
      </w:r>
    </w:p>
    <w:p>
      <w:pPr>
        <w:pStyle w:val="6"/>
        <w:spacing w:before="161" w:line="364" w:lineRule="auto"/>
        <w:ind w:left="1040" w:right="1077" w:firstLine="480"/>
      </w:pPr>
      <w:r>
        <w:rPr>
          <w:spacing w:val="-5"/>
        </w:rPr>
        <w:t xml:space="preserve">本矿井煤炭运输和生活区外接 </w:t>
      </w:r>
      <w:r>
        <w:rPr>
          <w:rFonts w:ascii="Times New Roman" w:eastAsia="Times New Roman"/>
        </w:rPr>
        <w:t xml:space="preserve">6m </w:t>
      </w:r>
      <w:r>
        <w:rPr>
          <w:spacing w:val="-6"/>
        </w:rPr>
        <w:t>现有道路，进出便捷，路况较好，能够满</w:t>
      </w:r>
      <w:r>
        <w:t>足矿井改造后煤炭外运的要求。</w:t>
      </w:r>
    </w:p>
    <w:p>
      <w:pPr>
        <w:pStyle w:val="4"/>
        <w:numPr>
          <w:ilvl w:val="2"/>
          <w:numId w:val="16"/>
        </w:numPr>
        <w:tabs>
          <w:tab w:val="left" w:pos="1669"/>
        </w:tabs>
        <w:spacing w:before="0" w:after="0" w:line="282" w:lineRule="exact"/>
        <w:ind w:left="1668" w:right="0" w:hanging="629"/>
        <w:jc w:val="left"/>
      </w:pPr>
      <w:bookmarkStart w:id="102" w:name="3.3.4给排水、供热与能耗"/>
      <w:bookmarkEnd w:id="102"/>
      <w:bookmarkStart w:id="103" w:name="3.3.4给排水、供热与能耗"/>
      <w:bookmarkEnd w:id="103"/>
      <w:r>
        <w:t>给排水、供热与能耗</w:t>
      </w:r>
    </w:p>
    <w:p>
      <w:pPr>
        <w:pStyle w:val="5"/>
        <w:numPr>
          <w:ilvl w:val="3"/>
          <w:numId w:val="27"/>
        </w:numPr>
        <w:tabs>
          <w:tab w:val="left" w:pos="1820"/>
        </w:tabs>
        <w:spacing w:before="264" w:after="0" w:line="240" w:lineRule="auto"/>
        <w:ind w:left="1820" w:right="0" w:hanging="780"/>
        <w:jc w:val="left"/>
      </w:pPr>
      <w:r>
        <w:t>给排水</w:t>
      </w:r>
    </w:p>
    <w:p>
      <w:pPr>
        <w:pStyle w:val="13"/>
        <w:numPr>
          <w:ilvl w:val="4"/>
          <w:numId w:val="27"/>
        </w:numPr>
        <w:tabs>
          <w:tab w:val="left" w:pos="2124"/>
        </w:tabs>
        <w:spacing w:before="161" w:after="0" w:line="240" w:lineRule="auto"/>
        <w:ind w:left="2123" w:right="0" w:hanging="602"/>
        <w:jc w:val="left"/>
        <w:rPr>
          <w:sz w:val="24"/>
        </w:rPr>
      </w:pPr>
      <w:r>
        <w:rPr>
          <w:sz w:val="24"/>
        </w:rPr>
        <w:t>用水量</w:t>
      </w:r>
    </w:p>
    <w:p>
      <w:pPr>
        <w:pStyle w:val="6"/>
        <w:spacing w:before="160" w:line="364" w:lineRule="auto"/>
        <w:ind w:left="1040" w:right="1077" w:firstLine="480"/>
      </w:pPr>
      <w:r>
        <w:rPr>
          <w:spacing w:val="-7"/>
        </w:rPr>
        <w:t>本项目主要为地面生活用水、食堂用水、洗浴用水和产尘环节洒水等，井下</w:t>
      </w:r>
      <w:r>
        <w:t>消防洒水等。</w:t>
      </w:r>
    </w:p>
    <w:p>
      <w:pPr>
        <w:pStyle w:val="6"/>
        <w:spacing w:before="1" w:line="364" w:lineRule="auto"/>
        <w:ind w:left="1040" w:right="1075" w:firstLine="480"/>
        <w:jc w:val="both"/>
      </w:pPr>
      <w:r>
        <w:rPr>
          <w:spacing w:val="-3"/>
        </w:rPr>
        <w:t xml:space="preserve">地面消防用水量：工业场地室外消防用水标准为 </w:t>
      </w:r>
      <w:r>
        <w:rPr>
          <w:rFonts w:ascii="Times New Roman" w:eastAsia="Times New Roman"/>
        </w:rPr>
        <w:t>20L/s</w:t>
      </w:r>
      <w:r>
        <w:rPr>
          <w:spacing w:val="-2"/>
        </w:rPr>
        <w:t>，居住区消防一次灭</w:t>
      </w:r>
      <w:r>
        <w:rPr>
          <w:spacing w:val="-10"/>
        </w:rPr>
        <w:t xml:space="preserve">火用水量为 </w:t>
      </w:r>
      <w:r>
        <w:rPr>
          <w:rFonts w:ascii="Times New Roman" w:eastAsia="Times New Roman"/>
        </w:rPr>
        <w:t>15L/s</w:t>
      </w:r>
      <w:r>
        <w:rPr>
          <w:spacing w:val="-14"/>
        </w:rPr>
        <w:t xml:space="preserve">，均按 </w:t>
      </w:r>
      <w:r>
        <w:rPr>
          <w:rFonts w:ascii="Times New Roman" w:eastAsia="Times New Roman"/>
        </w:rPr>
        <w:t xml:space="preserve">2 </w:t>
      </w:r>
      <w:r>
        <w:rPr>
          <w:spacing w:val="-1"/>
        </w:rPr>
        <w:t>小时计算火灾延续时间。井下消防消火栓系统消防水</w:t>
      </w:r>
      <w:r>
        <w:rPr>
          <w:spacing w:val="-20"/>
        </w:rPr>
        <w:t xml:space="preserve">量为 </w:t>
      </w:r>
      <w:r>
        <w:rPr>
          <w:rFonts w:ascii="Times New Roman" w:eastAsia="Times New Roman"/>
          <w:spacing w:val="-4"/>
        </w:rPr>
        <w:t>7.5L/s</w:t>
      </w:r>
      <w:r>
        <w:rPr>
          <w:spacing w:val="-8"/>
        </w:rPr>
        <w:t xml:space="preserve">，火灾延续时间为 </w:t>
      </w:r>
      <w:r>
        <w:rPr>
          <w:rFonts w:ascii="Times New Roman" w:eastAsia="Times New Roman"/>
          <w:spacing w:val="-9"/>
        </w:rPr>
        <w:t>6h</w:t>
      </w:r>
      <w:r>
        <w:rPr>
          <w:spacing w:val="-9"/>
        </w:rPr>
        <w:t>；自动喷洒系统、水喷雾隔火装置、泡沫灭火系</w:t>
      </w:r>
      <w:r>
        <w:rPr>
          <w:spacing w:val="5"/>
        </w:rPr>
        <w:t xml:space="preserve">统的消防水量为 </w:t>
      </w:r>
      <w:r>
        <w:rPr>
          <w:rFonts w:ascii="Times New Roman" w:eastAsia="Times New Roman"/>
          <w:spacing w:val="4"/>
        </w:rPr>
        <w:t>34.4L/s</w:t>
      </w:r>
      <w:r>
        <w:rPr>
          <w:spacing w:val="5"/>
        </w:rPr>
        <w:t xml:space="preserve">，火灾延续时间为 </w:t>
      </w:r>
      <w:r>
        <w:rPr>
          <w:rFonts w:ascii="Times New Roman" w:eastAsia="Times New Roman"/>
          <w:spacing w:val="8"/>
        </w:rPr>
        <w:t>2h</w:t>
      </w:r>
      <w:r>
        <w:rPr>
          <w:spacing w:val="14"/>
        </w:rPr>
        <w:t>。井下消防一次火灾用水量为</w:t>
      </w:r>
      <w:r>
        <w:rPr>
          <w:rFonts w:ascii="Times New Roman" w:eastAsia="Times New Roman"/>
          <w:spacing w:val="14"/>
        </w:rPr>
        <w:t>355.7m</w:t>
      </w:r>
      <w:r>
        <w:rPr>
          <w:rFonts w:ascii="Times New Roman" w:eastAsia="Times New Roman"/>
          <w:spacing w:val="14"/>
          <w:position w:val="8"/>
          <w:sz w:val="15"/>
        </w:rPr>
        <w:t>3</w:t>
      </w:r>
      <w:r>
        <w:rPr>
          <w:spacing w:val="14"/>
        </w:rPr>
        <w:t>。</w:t>
      </w:r>
    </w:p>
    <w:p>
      <w:pPr>
        <w:pStyle w:val="6"/>
        <w:spacing w:before="3" w:line="364" w:lineRule="auto"/>
        <w:ind w:left="1040" w:right="1077" w:firstLine="480"/>
        <w:jc w:val="both"/>
      </w:pPr>
      <w:r>
        <w:t>根据《煤炭工业给水排水设计规范》（</w:t>
      </w:r>
      <w:r>
        <w:rPr>
          <w:rFonts w:ascii="Times New Roman" w:eastAsia="Times New Roman"/>
        </w:rPr>
        <w:t>GB50810-2012</w:t>
      </w:r>
      <w:r>
        <w:t>）和黑龙江省地方标准《用水定额》（</w:t>
      </w:r>
      <w:r>
        <w:rPr>
          <w:rFonts w:ascii="Times New Roman" w:eastAsia="Times New Roman"/>
        </w:rPr>
        <w:t>DB727-2017</w:t>
      </w:r>
      <w:r>
        <w:t xml:space="preserve">），地面生产生活用水量见表见表 </w:t>
      </w:r>
      <w:r>
        <w:rPr>
          <w:rFonts w:ascii="Times New Roman" w:eastAsia="Times New Roman"/>
        </w:rPr>
        <w:t>3.3-13</w:t>
      </w:r>
      <w:r>
        <w:t>。</w:t>
      </w:r>
    </w:p>
    <w:p>
      <w:pPr>
        <w:pStyle w:val="5"/>
        <w:spacing w:line="232" w:lineRule="exact"/>
        <w:ind w:left="3593"/>
      </w:pPr>
      <w:r>
        <w:t xml:space="preserve">表 </w:t>
      </w:r>
      <w:r>
        <w:rPr>
          <w:rFonts w:ascii="Times New Roman" w:eastAsia="Times New Roman"/>
        </w:rPr>
        <w:t xml:space="preserve">3.3-13  </w:t>
      </w:r>
      <w:r>
        <w:t>地面生产生活用水量</w:t>
      </w:r>
    </w:p>
    <w:tbl>
      <w:tblPr>
        <w:tblStyle w:val="10"/>
        <w:tblW w:w="0" w:type="auto"/>
        <w:tblInd w:w="9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2"/>
        <w:gridCol w:w="1844"/>
        <w:gridCol w:w="1555"/>
        <w:gridCol w:w="1386"/>
        <w:gridCol w:w="1427"/>
        <w:gridCol w:w="16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92" w:type="dxa"/>
          </w:tcPr>
          <w:p>
            <w:pPr>
              <w:pStyle w:val="14"/>
              <w:spacing w:line="253" w:lineRule="exact"/>
              <w:ind w:left="107"/>
              <w:jc w:val="left"/>
              <w:rPr>
                <w:sz w:val="21"/>
              </w:rPr>
            </w:pPr>
            <w:r>
              <w:rPr>
                <w:sz w:val="21"/>
              </w:rPr>
              <w:t>序号</w:t>
            </w:r>
          </w:p>
        </w:tc>
        <w:tc>
          <w:tcPr>
            <w:tcW w:w="1844" w:type="dxa"/>
          </w:tcPr>
          <w:p>
            <w:pPr>
              <w:pStyle w:val="14"/>
              <w:spacing w:line="253" w:lineRule="exact"/>
              <w:ind w:left="106"/>
              <w:jc w:val="left"/>
              <w:rPr>
                <w:sz w:val="21"/>
              </w:rPr>
            </w:pPr>
            <w:r>
              <w:rPr>
                <w:sz w:val="21"/>
              </w:rPr>
              <w:t>用水项目</w:t>
            </w:r>
          </w:p>
        </w:tc>
        <w:tc>
          <w:tcPr>
            <w:tcW w:w="1555" w:type="dxa"/>
          </w:tcPr>
          <w:p>
            <w:pPr>
              <w:pStyle w:val="14"/>
              <w:spacing w:line="253" w:lineRule="exact"/>
              <w:ind w:left="108"/>
              <w:jc w:val="left"/>
              <w:rPr>
                <w:sz w:val="21"/>
              </w:rPr>
            </w:pPr>
            <w:r>
              <w:rPr>
                <w:sz w:val="21"/>
              </w:rPr>
              <w:t>用水标准</w:t>
            </w:r>
          </w:p>
        </w:tc>
        <w:tc>
          <w:tcPr>
            <w:tcW w:w="2813" w:type="dxa"/>
            <w:gridSpan w:val="2"/>
          </w:tcPr>
          <w:p>
            <w:pPr>
              <w:pStyle w:val="14"/>
              <w:spacing w:line="253" w:lineRule="exact"/>
              <w:ind w:left="108"/>
              <w:jc w:val="left"/>
              <w:rPr>
                <w:sz w:val="21"/>
              </w:rPr>
            </w:pPr>
            <w:r>
              <w:rPr>
                <w:sz w:val="21"/>
              </w:rPr>
              <w:t>用水量（</w:t>
            </w:r>
            <w:r>
              <w:rPr>
                <w:rFonts w:ascii="Times New Roman" w:eastAsia="Times New Roman"/>
                <w:sz w:val="21"/>
              </w:rPr>
              <w:t>m</w:t>
            </w:r>
            <w:r>
              <w:rPr>
                <w:rFonts w:ascii="Times New Roman" w:eastAsia="Times New Roman"/>
                <w:position w:val="7"/>
                <w:sz w:val="13"/>
              </w:rPr>
              <w:t>3</w:t>
            </w:r>
            <w:r>
              <w:rPr>
                <w:rFonts w:ascii="Times New Roman" w:eastAsia="Times New Roman"/>
                <w:sz w:val="21"/>
              </w:rPr>
              <w:t>/d</w:t>
            </w:r>
            <w:r>
              <w:rPr>
                <w:sz w:val="21"/>
              </w:rPr>
              <w:t>）</w:t>
            </w:r>
          </w:p>
        </w:tc>
        <w:tc>
          <w:tcPr>
            <w:tcW w:w="1619" w:type="dxa"/>
          </w:tcPr>
          <w:p>
            <w:pPr>
              <w:pStyle w:val="14"/>
              <w:spacing w:line="253" w:lineRule="exact"/>
              <w:ind w:left="106"/>
              <w:jc w:val="left"/>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92" w:type="dxa"/>
          </w:tcPr>
          <w:p>
            <w:pPr>
              <w:pStyle w:val="14"/>
              <w:spacing w:before="14" w:line="238" w:lineRule="exact"/>
              <w:ind w:left="107"/>
              <w:jc w:val="left"/>
              <w:rPr>
                <w:rFonts w:ascii="Times New Roman"/>
                <w:sz w:val="21"/>
              </w:rPr>
            </w:pPr>
            <w:r>
              <w:rPr>
                <w:rFonts w:ascii="Times New Roman"/>
                <w:w w:val="99"/>
                <w:sz w:val="21"/>
              </w:rPr>
              <w:t>1</w:t>
            </w:r>
          </w:p>
        </w:tc>
        <w:tc>
          <w:tcPr>
            <w:tcW w:w="1844" w:type="dxa"/>
          </w:tcPr>
          <w:p>
            <w:pPr>
              <w:pStyle w:val="14"/>
              <w:spacing w:line="252" w:lineRule="exact"/>
              <w:ind w:left="106"/>
              <w:jc w:val="left"/>
              <w:rPr>
                <w:sz w:val="21"/>
              </w:rPr>
            </w:pPr>
            <w:r>
              <w:rPr>
                <w:sz w:val="21"/>
              </w:rPr>
              <w:t>职工生活</w:t>
            </w:r>
          </w:p>
        </w:tc>
        <w:tc>
          <w:tcPr>
            <w:tcW w:w="1555" w:type="dxa"/>
          </w:tcPr>
          <w:p>
            <w:pPr>
              <w:pStyle w:val="14"/>
              <w:spacing w:line="252" w:lineRule="exact"/>
              <w:ind w:left="108"/>
              <w:jc w:val="left"/>
              <w:rPr>
                <w:rFonts w:ascii="Times New Roman" w:hAnsi="Times New Roman" w:eastAsia="Times New Roman"/>
                <w:sz w:val="21"/>
              </w:rPr>
            </w:pPr>
            <w:r>
              <w:rPr>
                <w:rFonts w:ascii="Times New Roman" w:hAnsi="Times New Roman" w:eastAsia="Times New Roman"/>
                <w:sz w:val="21"/>
              </w:rPr>
              <w:t>30L/</w:t>
            </w:r>
            <w:r>
              <w:rPr>
                <w:sz w:val="21"/>
              </w:rPr>
              <w:t>人</w:t>
            </w:r>
            <w:r>
              <w:rPr>
                <w:rFonts w:ascii="Times New Roman" w:hAnsi="Times New Roman" w:eastAsia="Times New Roman"/>
                <w:sz w:val="21"/>
              </w:rPr>
              <w:t>·d</w:t>
            </w:r>
          </w:p>
        </w:tc>
        <w:tc>
          <w:tcPr>
            <w:tcW w:w="2813" w:type="dxa"/>
            <w:gridSpan w:val="2"/>
          </w:tcPr>
          <w:p>
            <w:pPr>
              <w:pStyle w:val="14"/>
              <w:spacing w:before="14" w:line="238" w:lineRule="exact"/>
              <w:ind w:left="108"/>
              <w:jc w:val="left"/>
              <w:rPr>
                <w:rFonts w:ascii="Times New Roman"/>
                <w:sz w:val="21"/>
              </w:rPr>
            </w:pPr>
            <w:r>
              <w:rPr>
                <w:rFonts w:ascii="Times New Roman"/>
                <w:sz w:val="21"/>
              </w:rPr>
              <w:t>19.95</w:t>
            </w:r>
          </w:p>
        </w:tc>
        <w:tc>
          <w:tcPr>
            <w:tcW w:w="1619" w:type="dxa"/>
          </w:tcPr>
          <w:p>
            <w:pPr>
              <w:pStyle w:val="14"/>
              <w:spacing w:line="252" w:lineRule="exact"/>
              <w:ind w:left="106"/>
              <w:jc w:val="left"/>
              <w:rPr>
                <w:sz w:val="21"/>
              </w:rPr>
            </w:pPr>
            <w:r>
              <w:rPr>
                <w:sz w:val="21"/>
              </w:rPr>
              <w:t xml:space="preserve">合计 </w:t>
            </w:r>
            <w:r>
              <w:rPr>
                <w:rFonts w:ascii="Times New Roman" w:eastAsia="Times New Roman"/>
                <w:sz w:val="21"/>
              </w:rPr>
              <w:t xml:space="preserve">665 </w:t>
            </w:r>
            <w:r>
              <w:rPr>
                <w:sz w:val="21"/>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692" w:type="dxa"/>
          </w:tcPr>
          <w:p>
            <w:pPr>
              <w:pStyle w:val="14"/>
              <w:spacing w:before="150"/>
              <w:ind w:left="107"/>
              <w:jc w:val="left"/>
              <w:rPr>
                <w:rFonts w:ascii="Times New Roman"/>
                <w:sz w:val="21"/>
              </w:rPr>
            </w:pPr>
            <w:r>
              <w:rPr>
                <w:rFonts w:ascii="Times New Roman"/>
                <w:w w:val="99"/>
                <w:sz w:val="21"/>
              </w:rPr>
              <w:t>2</w:t>
            </w:r>
          </w:p>
        </w:tc>
        <w:tc>
          <w:tcPr>
            <w:tcW w:w="1844" w:type="dxa"/>
          </w:tcPr>
          <w:p>
            <w:pPr>
              <w:pStyle w:val="14"/>
              <w:spacing w:before="136"/>
              <w:ind w:left="106"/>
              <w:jc w:val="left"/>
              <w:rPr>
                <w:sz w:val="21"/>
              </w:rPr>
            </w:pPr>
            <w:r>
              <w:rPr>
                <w:sz w:val="21"/>
              </w:rPr>
              <w:t>职工食堂</w:t>
            </w:r>
          </w:p>
        </w:tc>
        <w:tc>
          <w:tcPr>
            <w:tcW w:w="1555" w:type="dxa"/>
          </w:tcPr>
          <w:p>
            <w:pPr>
              <w:pStyle w:val="14"/>
              <w:spacing w:before="136"/>
              <w:ind w:left="108"/>
              <w:jc w:val="left"/>
              <w:rPr>
                <w:sz w:val="21"/>
              </w:rPr>
            </w:pPr>
            <w:r>
              <w:rPr>
                <w:rFonts w:ascii="Times New Roman" w:hAnsi="Times New Roman" w:eastAsia="Times New Roman"/>
                <w:sz w:val="21"/>
              </w:rPr>
              <w:t>20L/</w:t>
            </w:r>
            <w:r>
              <w:rPr>
                <w:sz w:val="21"/>
              </w:rPr>
              <w:t>人</w:t>
            </w:r>
            <w:r>
              <w:rPr>
                <w:rFonts w:ascii="Times New Roman" w:hAnsi="Times New Roman" w:eastAsia="Times New Roman"/>
                <w:sz w:val="21"/>
              </w:rPr>
              <w:t>·</w:t>
            </w:r>
            <w:r>
              <w:rPr>
                <w:sz w:val="21"/>
              </w:rPr>
              <w:t>餐</w:t>
            </w:r>
          </w:p>
        </w:tc>
        <w:tc>
          <w:tcPr>
            <w:tcW w:w="2813" w:type="dxa"/>
            <w:gridSpan w:val="2"/>
          </w:tcPr>
          <w:p>
            <w:pPr>
              <w:pStyle w:val="14"/>
              <w:spacing w:before="150"/>
              <w:ind w:left="108"/>
              <w:jc w:val="left"/>
              <w:rPr>
                <w:rFonts w:ascii="Times New Roman"/>
                <w:sz w:val="21"/>
              </w:rPr>
            </w:pPr>
            <w:r>
              <w:rPr>
                <w:rFonts w:ascii="Times New Roman"/>
                <w:sz w:val="21"/>
              </w:rPr>
              <w:t>26.6</w:t>
            </w:r>
          </w:p>
        </w:tc>
        <w:tc>
          <w:tcPr>
            <w:tcW w:w="1619" w:type="dxa"/>
          </w:tcPr>
          <w:p>
            <w:pPr>
              <w:pStyle w:val="14"/>
              <w:spacing w:before="1"/>
              <w:ind w:left="106"/>
              <w:jc w:val="left"/>
              <w:rPr>
                <w:rFonts w:ascii="Times New Roman" w:eastAsia="Times New Roman"/>
                <w:sz w:val="21"/>
              </w:rPr>
            </w:pPr>
            <w:r>
              <w:rPr>
                <w:rFonts w:ascii="Times New Roman" w:eastAsia="Times New Roman"/>
                <w:w w:val="99"/>
                <w:sz w:val="21"/>
              </w:rPr>
              <w:t>2</w:t>
            </w:r>
            <w:r>
              <w:rPr>
                <w:rFonts w:ascii="Times New Roman" w:eastAsia="Times New Roman"/>
                <w:spacing w:val="-11"/>
                <w:sz w:val="21"/>
              </w:rPr>
              <w:t xml:space="preserve"> </w:t>
            </w:r>
            <w:r>
              <w:rPr>
                <w:spacing w:val="2"/>
                <w:w w:val="99"/>
                <w:sz w:val="21"/>
              </w:rPr>
              <w:t>餐</w:t>
            </w:r>
            <w:r>
              <w:rPr>
                <w:rFonts w:ascii="Times New Roman" w:eastAsia="Times New Roman"/>
                <w:spacing w:val="-1"/>
                <w:w w:val="99"/>
                <w:sz w:val="21"/>
              </w:rPr>
              <w:t>/</w:t>
            </w:r>
            <w:r>
              <w:rPr>
                <w:rFonts w:ascii="Times New Roman" w:eastAsia="Times New Roman"/>
                <w:spacing w:val="1"/>
                <w:w w:val="99"/>
                <w:sz w:val="21"/>
              </w:rPr>
              <w:t>d</w:t>
            </w:r>
            <w:r>
              <w:rPr>
                <w:spacing w:val="-36"/>
                <w:w w:val="99"/>
                <w:sz w:val="21"/>
              </w:rPr>
              <w:t>，合计</w:t>
            </w:r>
            <w:r>
              <w:rPr>
                <w:spacing w:val="-60"/>
                <w:sz w:val="21"/>
              </w:rPr>
              <w:t xml:space="preserve"> </w:t>
            </w:r>
            <w:r>
              <w:rPr>
                <w:rFonts w:ascii="Times New Roman" w:eastAsia="Times New Roman"/>
                <w:spacing w:val="1"/>
                <w:w w:val="99"/>
                <w:sz w:val="21"/>
              </w:rPr>
              <w:t>6</w:t>
            </w:r>
            <w:r>
              <w:rPr>
                <w:rFonts w:ascii="Times New Roman" w:eastAsia="Times New Roman"/>
                <w:spacing w:val="-2"/>
                <w:w w:val="99"/>
                <w:sz w:val="21"/>
              </w:rPr>
              <w:t>6</w:t>
            </w:r>
            <w:r>
              <w:rPr>
                <w:rFonts w:ascii="Times New Roman" w:eastAsia="Times New Roman"/>
                <w:w w:val="99"/>
                <w:sz w:val="21"/>
              </w:rPr>
              <w:t>5</w:t>
            </w:r>
          </w:p>
          <w:p>
            <w:pPr>
              <w:pStyle w:val="14"/>
              <w:spacing w:before="2" w:line="252" w:lineRule="exact"/>
              <w:ind w:left="106"/>
              <w:jc w:val="left"/>
              <w:rPr>
                <w:sz w:val="21"/>
              </w:rPr>
            </w:pPr>
            <w:r>
              <w:rPr>
                <w:w w:val="99"/>
                <w:sz w:val="21"/>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92" w:type="dxa"/>
          </w:tcPr>
          <w:p>
            <w:pPr>
              <w:pStyle w:val="14"/>
              <w:spacing w:before="15" w:line="237" w:lineRule="exact"/>
              <w:ind w:left="107"/>
              <w:jc w:val="left"/>
              <w:rPr>
                <w:rFonts w:ascii="Times New Roman"/>
                <w:sz w:val="21"/>
              </w:rPr>
            </w:pPr>
            <w:r>
              <w:rPr>
                <w:rFonts w:ascii="Times New Roman"/>
                <w:w w:val="99"/>
                <w:sz w:val="21"/>
              </w:rPr>
              <w:t>3</w:t>
            </w:r>
          </w:p>
        </w:tc>
        <w:tc>
          <w:tcPr>
            <w:tcW w:w="1844" w:type="dxa"/>
          </w:tcPr>
          <w:p>
            <w:pPr>
              <w:pStyle w:val="14"/>
              <w:spacing w:before="1" w:line="251" w:lineRule="exact"/>
              <w:ind w:left="106"/>
              <w:jc w:val="left"/>
              <w:rPr>
                <w:sz w:val="21"/>
              </w:rPr>
            </w:pPr>
            <w:r>
              <w:rPr>
                <w:sz w:val="21"/>
              </w:rPr>
              <w:t>浴室、洗衣</w:t>
            </w:r>
          </w:p>
        </w:tc>
        <w:tc>
          <w:tcPr>
            <w:tcW w:w="1555" w:type="dxa"/>
          </w:tcPr>
          <w:p>
            <w:pPr>
              <w:pStyle w:val="14"/>
              <w:spacing w:before="1" w:line="251" w:lineRule="exact"/>
              <w:ind w:left="108"/>
              <w:jc w:val="left"/>
              <w:rPr>
                <w:rFonts w:ascii="Times New Roman" w:hAnsi="Times New Roman" w:eastAsia="Times New Roman"/>
                <w:sz w:val="21"/>
              </w:rPr>
            </w:pPr>
            <w:r>
              <w:rPr>
                <w:rFonts w:ascii="Times New Roman" w:hAnsi="Times New Roman" w:eastAsia="Times New Roman"/>
                <w:sz w:val="21"/>
              </w:rPr>
              <w:t>150L/</w:t>
            </w:r>
            <w:r>
              <w:rPr>
                <w:sz w:val="21"/>
              </w:rPr>
              <w:t>人</w:t>
            </w:r>
            <w:r>
              <w:rPr>
                <w:rFonts w:ascii="Times New Roman" w:hAnsi="Times New Roman" w:eastAsia="Times New Roman"/>
                <w:sz w:val="21"/>
              </w:rPr>
              <w:t>·d</w:t>
            </w:r>
          </w:p>
        </w:tc>
        <w:tc>
          <w:tcPr>
            <w:tcW w:w="2813" w:type="dxa"/>
            <w:gridSpan w:val="2"/>
          </w:tcPr>
          <w:p>
            <w:pPr>
              <w:pStyle w:val="14"/>
              <w:spacing w:before="15" w:line="237" w:lineRule="exact"/>
              <w:ind w:left="108"/>
              <w:jc w:val="left"/>
              <w:rPr>
                <w:rFonts w:ascii="Times New Roman"/>
                <w:sz w:val="21"/>
              </w:rPr>
            </w:pPr>
            <w:r>
              <w:rPr>
                <w:rFonts w:ascii="Times New Roman"/>
                <w:sz w:val="21"/>
              </w:rPr>
              <w:t>62.1</w:t>
            </w:r>
          </w:p>
        </w:tc>
        <w:tc>
          <w:tcPr>
            <w:tcW w:w="1619" w:type="dxa"/>
          </w:tcPr>
          <w:p>
            <w:pPr>
              <w:pStyle w:val="14"/>
              <w:spacing w:before="1" w:line="251" w:lineRule="exact"/>
              <w:ind w:left="106"/>
              <w:jc w:val="left"/>
              <w:rPr>
                <w:sz w:val="21"/>
              </w:rPr>
            </w:pPr>
            <w:r>
              <w:rPr>
                <w:sz w:val="21"/>
              </w:rPr>
              <w:t xml:space="preserve">合计 </w:t>
            </w:r>
            <w:r>
              <w:rPr>
                <w:rFonts w:ascii="Times New Roman" w:eastAsia="Times New Roman"/>
                <w:sz w:val="21"/>
              </w:rPr>
              <w:t xml:space="preserve">414 </w:t>
            </w:r>
            <w:r>
              <w:rPr>
                <w:sz w:val="21"/>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692" w:type="dxa"/>
          </w:tcPr>
          <w:p>
            <w:pPr>
              <w:pStyle w:val="14"/>
              <w:spacing w:before="150"/>
              <w:ind w:left="107"/>
              <w:jc w:val="left"/>
              <w:rPr>
                <w:rFonts w:ascii="Times New Roman"/>
                <w:sz w:val="21"/>
              </w:rPr>
            </w:pPr>
            <w:r>
              <w:rPr>
                <w:rFonts w:ascii="Times New Roman"/>
                <w:w w:val="99"/>
                <w:sz w:val="21"/>
              </w:rPr>
              <w:t>4</w:t>
            </w:r>
          </w:p>
        </w:tc>
        <w:tc>
          <w:tcPr>
            <w:tcW w:w="1844" w:type="dxa"/>
          </w:tcPr>
          <w:p>
            <w:pPr>
              <w:pStyle w:val="14"/>
              <w:spacing w:before="136"/>
              <w:ind w:left="106"/>
              <w:jc w:val="left"/>
              <w:rPr>
                <w:sz w:val="21"/>
              </w:rPr>
            </w:pPr>
            <w:r>
              <w:rPr>
                <w:sz w:val="21"/>
              </w:rPr>
              <w:t>锅炉补充水</w:t>
            </w:r>
          </w:p>
        </w:tc>
        <w:tc>
          <w:tcPr>
            <w:tcW w:w="1555" w:type="dxa"/>
          </w:tcPr>
          <w:p>
            <w:pPr>
              <w:pStyle w:val="14"/>
              <w:jc w:val="left"/>
              <w:rPr>
                <w:rFonts w:ascii="Times New Roman"/>
                <w:sz w:val="22"/>
              </w:rPr>
            </w:pPr>
          </w:p>
        </w:tc>
        <w:tc>
          <w:tcPr>
            <w:tcW w:w="1386" w:type="dxa"/>
          </w:tcPr>
          <w:p>
            <w:pPr>
              <w:pStyle w:val="14"/>
              <w:spacing w:before="136"/>
              <w:ind w:left="108"/>
              <w:jc w:val="left"/>
              <w:rPr>
                <w:sz w:val="21"/>
              </w:rPr>
            </w:pPr>
            <w:r>
              <w:rPr>
                <w:rFonts w:ascii="Times New Roman" w:eastAsia="Times New Roman"/>
                <w:spacing w:val="-15"/>
                <w:sz w:val="21"/>
              </w:rPr>
              <w:t>1.5</w:t>
            </w:r>
            <w:r>
              <w:rPr>
                <w:spacing w:val="-15"/>
                <w:sz w:val="21"/>
              </w:rPr>
              <w:t>（</w:t>
            </w:r>
            <w:r>
              <w:rPr>
                <w:sz w:val="21"/>
              </w:rPr>
              <w:t>采暖期）</w:t>
            </w:r>
          </w:p>
        </w:tc>
        <w:tc>
          <w:tcPr>
            <w:tcW w:w="1427" w:type="dxa"/>
          </w:tcPr>
          <w:p>
            <w:pPr>
              <w:pStyle w:val="14"/>
              <w:spacing w:before="1" w:line="270" w:lineRule="atLeast"/>
              <w:ind w:left="88" w:right="186"/>
              <w:jc w:val="left"/>
              <w:rPr>
                <w:sz w:val="21"/>
              </w:rPr>
            </w:pPr>
            <w:r>
              <w:rPr>
                <w:rFonts w:ascii="Times New Roman" w:eastAsia="Times New Roman"/>
                <w:sz w:val="21"/>
              </w:rPr>
              <w:t>0.5</w:t>
            </w:r>
            <w:r>
              <w:rPr>
                <w:sz w:val="21"/>
              </w:rPr>
              <w:t>（非采暖期）</w:t>
            </w:r>
          </w:p>
        </w:tc>
        <w:tc>
          <w:tcPr>
            <w:tcW w:w="1619" w:type="dxa"/>
          </w:tcPr>
          <w:p>
            <w:pPr>
              <w:pStyle w:val="14"/>
              <w:spacing w:before="2"/>
              <w:ind w:left="106"/>
              <w:jc w:val="left"/>
              <w:rPr>
                <w:rFonts w:ascii="Times New Roman" w:eastAsia="Times New Roman"/>
                <w:sz w:val="21"/>
              </w:rPr>
            </w:pPr>
            <w:r>
              <w:rPr>
                <w:sz w:val="21"/>
              </w:rPr>
              <w:t xml:space="preserve">采暖期按 </w:t>
            </w:r>
            <w:r>
              <w:rPr>
                <w:rFonts w:ascii="Times New Roman" w:eastAsia="Times New Roman"/>
                <w:sz w:val="21"/>
              </w:rPr>
              <w:t>180</w:t>
            </w:r>
          </w:p>
          <w:p>
            <w:pPr>
              <w:pStyle w:val="14"/>
              <w:spacing w:before="2" w:line="252" w:lineRule="exact"/>
              <w:ind w:left="106"/>
              <w:jc w:val="left"/>
              <w:rPr>
                <w:sz w:val="21"/>
              </w:rPr>
            </w:pPr>
            <w:r>
              <w:rPr>
                <w:w w:val="99"/>
                <w:sz w:val="21"/>
              </w:rPr>
              <w:t>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692" w:type="dxa"/>
          </w:tcPr>
          <w:p>
            <w:pPr>
              <w:pStyle w:val="14"/>
              <w:spacing w:before="150"/>
              <w:ind w:left="107"/>
              <w:jc w:val="left"/>
              <w:rPr>
                <w:rFonts w:ascii="Times New Roman"/>
                <w:sz w:val="21"/>
              </w:rPr>
            </w:pPr>
            <w:r>
              <w:rPr>
                <w:rFonts w:ascii="Times New Roman"/>
                <w:w w:val="99"/>
                <w:sz w:val="21"/>
              </w:rPr>
              <w:t>5</w:t>
            </w:r>
          </w:p>
        </w:tc>
        <w:tc>
          <w:tcPr>
            <w:tcW w:w="1844" w:type="dxa"/>
          </w:tcPr>
          <w:p>
            <w:pPr>
              <w:pStyle w:val="14"/>
              <w:spacing w:line="268" w:lineRule="exact"/>
              <w:ind w:left="106"/>
              <w:jc w:val="left"/>
              <w:rPr>
                <w:sz w:val="21"/>
              </w:rPr>
            </w:pPr>
            <w:r>
              <w:rPr>
                <w:sz w:val="21"/>
              </w:rPr>
              <w:t>绿化及其它用水</w:t>
            </w:r>
          </w:p>
          <w:p>
            <w:pPr>
              <w:pStyle w:val="14"/>
              <w:spacing w:before="4" w:line="251" w:lineRule="exact"/>
              <w:ind w:left="106"/>
              <w:jc w:val="left"/>
              <w:rPr>
                <w:sz w:val="21"/>
              </w:rPr>
            </w:pPr>
            <w:r>
              <w:rPr>
                <w:w w:val="99"/>
                <w:sz w:val="21"/>
              </w:rPr>
              <w:t>量</w:t>
            </w:r>
          </w:p>
        </w:tc>
        <w:tc>
          <w:tcPr>
            <w:tcW w:w="1555" w:type="dxa"/>
          </w:tcPr>
          <w:p>
            <w:pPr>
              <w:pStyle w:val="14"/>
              <w:spacing w:before="150"/>
              <w:ind w:left="108"/>
              <w:jc w:val="left"/>
              <w:rPr>
                <w:rFonts w:ascii="Times New Roman"/>
                <w:sz w:val="13"/>
              </w:rPr>
            </w:pPr>
            <w:r>
              <w:rPr>
                <w:rFonts w:ascii="Times New Roman"/>
                <w:sz w:val="21"/>
              </w:rPr>
              <w:t>1L/m</w:t>
            </w:r>
            <w:r>
              <w:rPr>
                <w:rFonts w:ascii="Times New Roman"/>
                <w:position w:val="7"/>
                <w:sz w:val="13"/>
              </w:rPr>
              <w:t>2</w:t>
            </w:r>
          </w:p>
        </w:tc>
        <w:tc>
          <w:tcPr>
            <w:tcW w:w="2813" w:type="dxa"/>
            <w:gridSpan w:val="2"/>
          </w:tcPr>
          <w:p>
            <w:pPr>
              <w:pStyle w:val="14"/>
              <w:spacing w:before="136"/>
              <w:ind w:left="108"/>
              <w:jc w:val="left"/>
              <w:rPr>
                <w:sz w:val="21"/>
              </w:rPr>
            </w:pPr>
            <w:r>
              <w:rPr>
                <w:rFonts w:ascii="Times New Roman" w:eastAsia="Times New Roman"/>
                <w:sz w:val="21"/>
              </w:rPr>
              <w:t>7.44</w:t>
            </w:r>
            <w:r>
              <w:rPr>
                <w:sz w:val="21"/>
              </w:rPr>
              <w:t>（夏季）</w:t>
            </w:r>
          </w:p>
        </w:tc>
        <w:tc>
          <w:tcPr>
            <w:tcW w:w="1619" w:type="dxa"/>
          </w:tcPr>
          <w:p>
            <w:pPr>
              <w:pStyle w:val="14"/>
              <w:spacing w:before="136"/>
              <w:ind w:left="106"/>
              <w:jc w:val="left"/>
              <w:rPr>
                <w:sz w:val="21"/>
              </w:rPr>
            </w:pPr>
            <w:r>
              <w:rPr>
                <w:sz w:val="21"/>
              </w:rPr>
              <w:t xml:space="preserve">夏季按 </w:t>
            </w:r>
            <w:r>
              <w:rPr>
                <w:rFonts w:ascii="Times New Roman" w:eastAsia="Times New Roman"/>
                <w:sz w:val="21"/>
              </w:rPr>
              <w:t xml:space="preserve">60 </w:t>
            </w:r>
            <w:r>
              <w:rPr>
                <w:sz w:val="21"/>
              </w:rPr>
              <w:t>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92" w:type="dxa"/>
          </w:tcPr>
          <w:p>
            <w:pPr>
              <w:pStyle w:val="14"/>
              <w:spacing w:before="16" w:line="237" w:lineRule="exact"/>
              <w:ind w:left="107"/>
              <w:jc w:val="left"/>
              <w:rPr>
                <w:rFonts w:ascii="Times New Roman"/>
                <w:sz w:val="21"/>
              </w:rPr>
            </w:pPr>
            <w:r>
              <w:rPr>
                <w:rFonts w:ascii="Times New Roman"/>
                <w:w w:val="99"/>
                <w:sz w:val="21"/>
              </w:rPr>
              <w:t>6</w:t>
            </w:r>
          </w:p>
        </w:tc>
        <w:tc>
          <w:tcPr>
            <w:tcW w:w="1844" w:type="dxa"/>
          </w:tcPr>
          <w:p>
            <w:pPr>
              <w:pStyle w:val="14"/>
              <w:spacing w:before="2" w:line="251" w:lineRule="exact"/>
              <w:ind w:left="106"/>
              <w:jc w:val="left"/>
              <w:rPr>
                <w:sz w:val="21"/>
              </w:rPr>
            </w:pPr>
            <w:r>
              <w:rPr>
                <w:sz w:val="21"/>
              </w:rPr>
              <w:t>道路洒水</w:t>
            </w:r>
          </w:p>
        </w:tc>
        <w:tc>
          <w:tcPr>
            <w:tcW w:w="1555" w:type="dxa"/>
          </w:tcPr>
          <w:p>
            <w:pPr>
              <w:pStyle w:val="14"/>
              <w:spacing w:before="16" w:line="237" w:lineRule="exact"/>
              <w:ind w:left="108"/>
              <w:jc w:val="left"/>
              <w:rPr>
                <w:rFonts w:ascii="Times New Roman"/>
                <w:sz w:val="13"/>
              </w:rPr>
            </w:pPr>
            <w:r>
              <w:rPr>
                <w:rFonts w:ascii="Times New Roman"/>
                <w:sz w:val="21"/>
              </w:rPr>
              <w:t>2L/m</w:t>
            </w:r>
            <w:r>
              <w:rPr>
                <w:rFonts w:ascii="Times New Roman"/>
                <w:position w:val="7"/>
                <w:sz w:val="13"/>
              </w:rPr>
              <w:t>2</w:t>
            </w:r>
          </w:p>
        </w:tc>
        <w:tc>
          <w:tcPr>
            <w:tcW w:w="2813" w:type="dxa"/>
            <w:gridSpan w:val="2"/>
          </w:tcPr>
          <w:p>
            <w:pPr>
              <w:pStyle w:val="14"/>
              <w:spacing w:before="16" w:line="237" w:lineRule="exact"/>
              <w:ind w:left="108"/>
              <w:jc w:val="left"/>
              <w:rPr>
                <w:rFonts w:ascii="Times New Roman"/>
                <w:sz w:val="21"/>
              </w:rPr>
            </w:pPr>
            <w:r>
              <w:rPr>
                <w:rFonts w:ascii="Times New Roman"/>
                <w:w w:val="99"/>
                <w:sz w:val="21"/>
              </w:rPr>
              <w:t>4</w:t>
            </w:r>
          </w:p>
        </w:tc>
        <w:tc>
          <w:tcPr>
            <w:tcW w:w="1619" w:type="dxa"/>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92" w:type="dxa"/>
          </w:tcPr>
          <w:p>
            <w:pPr>
              <w:pStyle w:val="14"/>
              <w:spacing w:line="252" w:lineRule="exact"/>
              <w:ind w:left="107"/>
              <w:jc w:val="left"/>
              <w:rPr>
                <w:sz w:val="21"/>
              </w:rPr>
            </w:pPr>
            <w:r>
              <w:rPr>
                <w:sz w:val="21"/>
              </w:rPr>
              <w:t>合计</w:t>
            </w:r>
          </w:p>
        </w:tc>
        <w:tc>
          <w:tcPr>
            <w:tcW w:w="1844" w:type="dxa"/>
          </w:tcPr>
          <w:p>
            <w:pPr>
              <w:pStyle w:val="14"/>
              <w:jc w:val="left"/>
              <w:rPr>
                <w:rFonts w:ascii="Times New Roman"/>
                <w:sz w:val="20"/>
              </w:rPr>
            </w:pPr>
          </w:p>
        </w:tc>
        <w:tc>
          <w:tcPr>
            <w:tcW w:w="1555" w:type="dxa"/>
          </w:tcPr>
          <w:p>
            <w:pPr>
              <w:pStyle w:val="14"/>
              <w:jc w:val="left"/>
              <w:rPr>
                <w:rFonts w:ascii="Times New Roman"/>
                <w:sz w:val="20"/>
              </w:rPr>
            </w:pPr>
          </w:p>
        </w:tc>
        <w:tc>
          <w:tcPr>
            <w:tcW w:w="1386" w:type="dxa"/>
          </w:tcPr>
          <w:p>
            <w:pPr>
              <w:pStyle w:val="14"/>
              <w:spacing w:before="13" w:line="238" w:lineRule="exact"/>
              <w:ind w:left="108"/>
              <w:jc w:val="left"/>
              <w:rPr>
                <w:rFonts w:ascii="Times New Roman"/>
                <w:sz w:val="21"/>
              </w:rPr>
            </w:pPr>
            <w:r>
              <w:rPr>
                <w:rFonts w:ascii="Times New Roman"/>
                <w:sz w:val="21"/>
              </w:rPr>
              <w:t>121.59</w:t>
            </w:r>
          </w:p>
        </w:tc>
        <w:tc>
          <w:tcPr>
            <w:tcW w:w="1427" w:type="dxa"/>
          </w:tcPr>
          <w:p>
            <w:pPr>
              <w:pStyle w:val="14"/>
              <w:spacing w:before="13" w:line="238" w:lineRule="exact"/>
              <w:ind w:left="126"/>
              <w:jc w:val="left"/>
              <w:rPr>
                <w:rFonts w:ascii="Times New Roman"/>
                <w:sz w:val="21"/>
              </w:rPr>
            </w:pPr>
            <w:r>
              <w:rPr>
                <w:rFonts w:ascii="Times New Roman"/>
                <w:sz w:val="21"/>
              </w:rPr>
              <w:t>113.15</w:t>
            </w:r>
          </w:p>
        </w:tc>
        <w:tc>
          <w:tcPr>
            <w:tcW w:w="1619" w:type="dxa"/>
          </w:tcPr>
          <w:p>
            <w:pPr>
              <w:pStyle w:val="14"/>
              <w:jc w:val="left"/>
              <w:rPr>
                <w:rFonts w:ascii="Times New Roman"/>
                <w:sz w:val="20"/>
              </w:rPr>
            </w:pPr>
          </w:p>
        </w:tc>
      </w:tr>
    </w:tbl>
    <w:p>
      <w:pPr>
        <w:pStyle w:val="6"/>
        <w:spacing w:before="2" w:line="242" w:lineRule="auto"/>
        <w:ind w:left="1040" w:right="1075" w:firstLine="480"/>
        <w:jc w:val="both"/>
      </w:pPr>
      <w:r>
        <w:t>根据</w:t>
      </w:r>
      <w:r>
        <w:fldChar w:fldCharType="begin"/>
      </w:r>
      <w:r>
        <w:instrText xml:space="preserve"> HYPERLINK "https://www.baidu.com/link?url=6R0e9_Q0nQCHGTa42N6vEQBrpScvN7En7ZufSBL6_9P0_HsjHKaRwNRQNlCG6tWGcBZCHxQ6LYQTp5cIOmmfOq&amp;amp;wd&amp;amp;eqid=9b7eb14f000100d2000000035f3d198d" \h </w:instrText>
      </w:r>
      <w:r>
        <w:fldChar w:fldCharType="separate"/>
      </w:r>
      <w:r>
        <w:t>《煤矿井下消防、洒水设计规范》（</w:t>
      </w:r>
      <w:r>
        <w:rPr>
          <w:rFonts w:ascii="Times New Roman" w:eastAsia="Times New Roman"/>
        </w:rPr>
        <w:t>GB50383-2016</w:t>
      </w:r>
      <w:r>
        <w:rPr>
          <w:rFonts w:ascii="Times New Roman" w:eastAsia="Times New Roman"/>
        </w:rPr>
        <w:fldChar w:fldCharType="end"/>
      </w:r>
      <w:r>
        <w:t xml:space="preserve">），初步保守估计本项目井下生产用水量见表 </w:t>
      </w:r>
      <w:r>
        <w:rPr>
          <w:rFonts w:ascii="Times New Roman" w:eastAsia="Times New Roman"/>
        </w:rPr>
        <w:t>3.3-14</w:t>
      </w:r>
      <w:r>
        <w:t>。</w:t>
      </w:r>
    </w:p>
    <w:p>
      <w:pPr>
        <w:pStyle w:val="5"/>
        <w:spacing w:before="3" w:after="3"/>
        <w:ind w:left="3473"/>
      </w:pPr>
      <w:r>
        <w:t xml:space="preserve">表 </w:t>
      </w:r>
      <w:r>
        <w:rPr>
          <w:rFonts w:ascii="Times New Roman" w:eastAsia="Times New Roman"/>
        </w:rPr>
        <w:t xml:space="preserve">3.3-14  </w:t>
      </w:r>
      <w:r>
        <w:t>本项目井下生产用水量</w:t>
      </w:r>
    </w:p>
    <w:tbl>
      <w:tblPr>
        <w:tblStyle w:val="10"/>
        <w:tblW w:w="0" w:type="auto"/>
        <w:tblInd w:w="10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1520"/>
        <w:gridCol w:w="1100"/>
        <w:gridCol w:w="1258"/>
        <w:gridCol w:w="1487"/>
        <w:gridCol w:w="1433"/>
        <w:gridCol w:w="9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506" w:type="dxa"/>
          </w:tcPr>
          <w:p>
            <w:pPr>
              <w:pStyle w:val="14"/>
              <w:spacing w:before="19"/>
              <w:ind w:left="5"/>
              <w:jc w:val="left"/>
              <w:rPr>
                <w:sz w:val="21"/>
              </w:rPr>
            </w:pPr>
            <w:r>
              <w:rPr>
                <w:sz w:val="21"/>
              </w:rPr>
              <w:t>序号</w:t>
            </w:r>
          </w:p>
        </w:tc>
        <w:tc>
          <w:tcPr>
            <w:tcW w:w="1520" w:type="dxa"/>
          </w:tcPr>
          <w:p>
            <w:pPr>
              <w:pStyle w:val="14"/>
              <w:spacing w:before="22" w:line="268" w:lineRule="exact"/>
              <w:ind w:left="444"/>
              <w:jc w:val="left"/>
              <w:rPr>
                <w:sz w:val="21"/>
              </w:rPr>
            </w:pPr>
            <w:r>
              <w:rPr>
                <w:sz w:val="21"/>
              </w:rPr>
              <w:t>用水项</w:t>
            </w:r>
          </w:p>
        </w:tc>
        <w:tc>
          <w:tcPr>
            <w:tcW w:w="1100" w:type="dxa"/>
          </w:tcPr>
          <w:p>
            <w:pPr>
              <w:pStyle w:val="14"/>
              <w:spacing w:before="22" w:line="268" w:lineRule="exact"/>
              <w:ind w:left="4"/>
              <w:jc w:val="left"/>
              <w:rPr>
                <w:sz w:val="21"/>
              </w:rPr>
            </w:pPr>
            <w:r>
              <w:rPr>
                <w:sz w:val="21"/>
              </w:rPr>
              <w:t>用水标准</w:t>
            </w:r>
          </w:p>
        </w:tc>
        <w:tc>
          <w:tcPr>
            <w:tcW w:w="1258" w:type="dxa"/>
          </w:tcPr>
          <w:p>
            <w:pPr>
              <w:pStyle w:val="14"/>
              <w:spacing w:before="22" w:line="268" w:lineRule="exact"/>
              <w:ind w:left="208"/>
              <w:jc w:val="left"/>
              <w:rPr>
                <w:sz w:val="21"/>
              </w:rPr>
            </w:pPr>
            <w:r>
              <w:rPr>
                <w:sz w:val="21"/>
              </w:rPr>
              <w:t>用水单位</w:t>
            </w:r>
          </w:p>
        </w:tc>
        <w:tc>
          <w:tcPr>
            <w:tcW w:w="1487" w:type="dxa"/>
          </w:tcPr>
          <w:p>
            <w:pPr>
              <w:pStyle w:val="14"/>
              <w:spacing w:before="22" w:line="268" w:lineRule="exact"/>
              <w:ind w:left="3"/>
              <w:jc w:val="left"/>
              <w:rPr>
                <w:sz w:val="21"/>
              </w:rPr>
            </w:pPr>
            <w:r>
              <w:rPr>
                <w:sz w:val="21"/>
              </w:rPr>
              <w:t>用水时间（</w:t>
            </w:r>
            <w:r>
              <w:rPr>
                <w:rFonts w:ascii="Times New Roman" w:eastAsia="Times New Roman"/>
                <w:sz w:val="21"/>
              </w:rPr>
              <w:t>h</w:t>
            </w:r>
            <w:r>
              <w:rPr>
                <w:sz w:val="21"/>
              </w:rPr>
              <w:t>）</w:t>
            </w:r>
          </w:p>
        </w:tc>
        <w:tc>
          <w:tcPr>
            <w:tcW w:w="1433" w:type="dxa"/>
          </w:tcPr>
          <w:p>
            <w:pPr>
              <w:pStyle w:val="14"/>
              <w:spacing w:before="19"/>
              <w:ind w:left="4" w:right="-29"/>
              <w:jc w:val="left"/>
              <w:rPr>
                <w:sz w:val="21"/>
              </w:rPr>
            </w:pPr>
            <w:r>
              <w:rPr>
                <w:sz w:val="21"/>
              </w:rPr>
              <w:t>用水量</w:t>
            </w:r>
            <w:r>
              <w:rPr>
                <w:spacing w:val="-2"/>
                <w:sz w:val="21"/>
              </w:rPr>
              <w:t>（</w:t>
            </w:r>
            <w:r>
              <w:rPr>
                <w:rFonts w:ascii="Times New Roman" w:eastAsia="Times New Roman"/>
                <w:spacing w:val="-2"/>
                <w:sz w:val="21"/>
              </w:rPr>
              <w:t>m</w:t>
            </w:r>
            <w:r>
              <w:rPr>
                <w:rFonts w:ascii="Times New Roman" w:eastAsia="Times New Roman"/>
                <w:spacing w:val="-2"/>
                <w:position w:val="7"/>
                <w:sz w:val="13"/>
              </w:rPr>
              <w:t>3</w:t>
            </w:r>
            <w:r>
              <w:rPr>
                <w:rFonts w:ascii="Times New Roman" w:eastAsia="Times New Roman"/>
                <w:spacing w:val="-2"/>
                <w:sz w:val="21"/>
              </w:rPr>
              <w:t>/d</w:t>
            </w:r>
            <w:r>
              <w:rPr>
                <w:spacing w:val="-2"/>
                <w:sz w:val="21"/>
              </w:rPr>
              <w:t>）</w:t>
            </w:r>
          </w:p>
        </w:tc>
        <w:tc>
          <w:tcPr>
            <w:tcW w:w="922" w:type="dxa"/>
          </w:tcPr>
          <w:p>
            <w:pPr>
              <w:pStyle w:val="14"/>
              <w:spacing w:before="19"/>
              <w:ind w:left="4"/>
              <w:jc w:val="left"/>
              <w:rPr>
                <w:sz w:val="21"/>
              </w:rPr>
            </w:pPr>
            <w:r>
              <w:rPr>
                <w:sz w:val="21"/>
              </w:rPr>
              <w:t>备注</w:t>
            </w:r>
          </w:p>
        </w:tc>
      </w:tr>
    </w:tbl>
    <w:p>
      <w:pPr>
        <w:spacing w:after="0"/>
        <w:jc w:val="left"/>
        <w:rPr>
          <w:sz w:val="21"/>
        </w:rPr>
        <w:sectPr>
          <w:pgSz w:w="11910" w:h="16840"/>
          <w:pgMar w:top="1080" w:right="720" w:bottom="1160" w:left="760" w:header="0" w:footer="97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236" name="组合 64"/>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235" name="直线 65"/>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64"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7toIu1AAAAAMBAAAPAAAAAAAAAAEAIAAAACIAAABkcnMvZG93bnJldi54bWxQ&#10;SwECFAAUAAAACACHTuJA9yQMZTQCAAC2BAAADgAAAAAAAAABACAAAAAjAQAAZHJzL2Uyb0RvYy54&#10;bWxQSwUGAAAAAAYABgBZAQAAyQUAAAAA&#10;">
                <o:lock v:ext="edit" aspectratio="f"/>
                <v:line id="直线 65" o:spid="_x0000_s1026" o:spt="20" style="position:absolute;left:0;top:7;height:0;width:8306;" filled="f" stroked="t" coordsize="21600,21600" o:gfxdata="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T8b4A&#10;AADcAAAADwAAAAAAAAABACAAAAAiAAAAZHJzL2Rvd25yZXYueG1sUEsBAhQAFAAAAAgAh07iQDMv&#10;BZ47AAAAOQAAABAAAAAAAAAAAQAgAAAADQEAAGRycy9zaGFwZXhtbC54bWxQSwUGAAAAAAYABgBb&#10;AQAAtwMAAAAA&#10;">
                  <v:fill on="f" focussize="0,0"/>
                  <v:stroke weight="0.72pt" color="#000000" joinstyle="round"/>
                  <v:imagedata o:title=""/>
                  <o:lock v:ext="edit" aspectratio="f"/>
                </v:line>
                <w10:wrap type="none"/>
                <w10:anchorlock/>
              </v:group>
            </w:pict>
          </mc:Fallback>
        </mc:AlternateContent>
      </w:r>
    </w:p>
    <w:p>
      <w:pPr>
        <w:pStyle w:val="6"/>
        <w:spacing w:before="1"/>
        <w:rPr>
          <w:b/>
          <w:sz w:val="25"/>
        </w:rPr>
      </w:pPr>
    </w:p>
    <w:tbl>
      <w:tblPr>
        <w:tblStyle w:val="10"/>
        <w:tblW w:w="0" w:type="auto"/>
        <w:tblInd w:w="10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1520"/>
        <w:gridCol w:w="1100"/>
        <w:gridCol w:w="1258"/>
        <w:gridCol w:w="1487"/>
        <w:gridCol w:w="1433"/>
        <w:gridCol w:w="9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06" w:type="dxa"/>
          </w:tcPr>
          <w:p>
            <w:pPr>
              <w:pStyle w:val="14"/>
              <w:spacing w:before="35"/>
              <w:ind w:left="5"/>
              <w:jc w:val="left"/>
              <w:rPr>
                <w:rFonts w:ascii="Times New Roman"/>
                <w:sz w:val="21"/>
              </w:rPr>
            </w:pPr>
            <w:r>
              <w:rPr>
                <w:rFonts w:ascii="Times New Roman"/>
                <w:w w:val="99"/>
                <w:sz w:val="21"/>
              </w:rPr>
              <w:t>1</w:t>
            </w:r>
          </w:p>
        </w:tc>
        <w:tc>
          <w:tcPr>
            <w:tcW w:w="1520" w:type="dxa"/>
          </w:tcPr>
          <w:p>
            <w:pPr>
              <w:pStyle w:val="14"/>
              <w:spacing w:before="21"/>
              <w:ind w:left="5"/>
              <w:jc w:val="left"/>
              <w:rPr>
                <w:sz w:val="21"/>
              </w:rPr>
            </w:pPr>
            <w:r>
              <w:rPr>
                <w:sz w:val="21"/>
              </w:rPr>
              <w:t>给水栓</w:t>
            </w:r>
          </w:p>
        </w:tc>
        <w:tc>
          <w:tcPr>
            <w:tcW w:w="1100" w:type="dxa"/>
          </w:tcPr>
          <w:p>
            <w:pPr>
              <w:pStyle w:val="14"/>
              <w:spacing w:before="35"/>
              <w:ind w:left="4"/>
              <w:jc w:val="left"/>
              <w:rPr>
                <w:rFonts w:ascii="Times New Roman"/>
                <w:sz w:val="21"/>
              </w:rPr>
            </w:pPr>
            <w:r>
              <w:rPr>
                <w:rFonts w:ascii="Times New Roman"/>
                <w:sz w:val="21"/>
              </w:rPr>
              <w:t>20L/min</w:t>
            </w:r>
          </w:p>
        </w:tc>
        <w:tc>
          <w:tcPr>
            <w:tcW w:w="1258" w:type="dxa"/>
          </w:tcPr>
          <w:p>
            <w:pPr>
              <w:pStyle w:val="14"/>
              <w:spacing w:before="21"/>
              <w:ind w:left="4" w:right="-15"/>
              <w:jc w:val="left"/>
              <w:rPr>
                <w:sz w:val="21"/>
              </w:rPr>
            </w:pPr>
            <w:r>
              <w:rPr>
                <w:spacing w:val="-13"/>
                <w:sz w:val="21"/>
              </w:rPr>
              <w:t xml:space="preserve">同时使用 </w:t>
            </w:r>
            <w:r>
              <w:rPr>
                <w:rFonts w:ascii="Times New Roman" w:eastAsia="Times New Roman"/>
                <w:sz w:val="21"/>
              </w:rPr>
              <w:t>9</w:t>
            </w:r>
            <w:r>
              <w:rPr>
                <w:rFonts w:ascii="Times New Roman" w:eastAsia="Times New Roman"/>
                <w:spacing w:val="-5"/>
                <w:sz w:val="21"/>
              </w:rPr>
              <w:t xml:space="preserve"> </w:t>
            </w:r>
            <w:r>
              <w:rPr>
                <w:sz w:val="21"/>
              </w:rPr>
              <w:t>个</w:t>
            </w:r>
          </w:p>
        </w:tc>
        <w:tc>
          <w:tcPr>
            <w:tcW w:w="1487" w:type="dxa"/>
          </w:tcPr>
          <w:p>
            <w:pPr>
              <w:pStyle w:val="14"/>
              <w:spacing w:before="35"/>
              <w:ind w:left="3"/>
              <w:jc w:val="left"/>
              <w:rPr>
                <w:rFonts w:ascii="Times New Roman"/>
                <w:sz w:val="21"/>
              </w:rPr>
            </w:pPr>
            <w:r>
              <w:rPr>
                <w:rFonts w:ascii="Times New Roman"/>
                <w:w w:val="99"/>
                <w:sz w:val="21"/>
              </w:rPr>
              <w:t>3</w:t>
            </w:r>
          </w:p>
        </w:tc>
        <w:tc>
          <w:tcPr>
            <w:tcW w:w="1433" w:type="dxa"/>
          </w:tcPr>
          <w:p>
            <w:pPr>
              <w:pStyle w:val="14"/>
              <w:spacing w:before="35"/>
              <w:ind w:left="4"/>
              <w:jc w:val="left"/>
              <w:rPr>
                <w:rFonts w:ascii="Times New Roman"/>
                <w:sz w:val="21"/>
              </w:rPr>
            </w:pPr>
            <w:r>
              <w:rPr>
                <w:rFonts w:ascii="Times New Roman"/>
                <w:sz w:val="21"/>
              </w:rPr>
              <w:t>32.4</w:t>
            </w:r>
          </w:p>
        </w:tc>
        <w:tc>
          <w:tcPr>
            <w:tcW w:w="922" w:type="dxa"/>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06" w:type="dxa"/>
          </w:tcPr>
          <w:p>
            <w:pPr>
              <w:pStyle w:val="14"/>
              <w:spacing w:before="34"/>
              <w:ind w:left="5"/>
              <w:jc w:val="left"/>
              <w:rPr>
                <w:rFonts w:ascii="Times New Roman"/>
                <w:sz w:val="21"/>
              </w:rPr>
            </w:pPr>
            <w:r>
              <w:rPr>
                <w:rFonts w:ascii="Times New Roman"/>
                <w:w w:val="99"/>
                <w:sz w:val="21"/>
              </w:rPr>
              <w:t>2</w:t>
            </w:r>
          </w:p>
        </w:tc>
        <w:tc>
          <w:tcPr>
            <w:tcW w:w="1520" w:type="dxa"/>
          </w:tcPr>
          <w:p>
            <w:pPr>
              <w:pStyle w:val="14"/>
              <w:spacing w:before="20"/>
              <w:ind w:left="5"/>
              <w:jc w:val="left"/>
              <w:rPr>
                <w:sz w:val="21"/>
              </w:rPr>
            </w:pPr>
            <w:r>
              <w:rPr>
                <w:sz w:val="21"/>
              </w:rPr>
              <w:t>采煤机内外喷雾</w:t>
            </w:r>
          </w:p>
        </w:tc>
        <w:tc>
          <w:tcPr>
            <w:tcW w:w="1100" w:type="dxa"/>
          </w:tcPr>
          <w:p>
            <w:pPr>
              <w:pStyle w:val="14"/>
              <w:spacing w:before="34"/>
              <w:ind w:left="4"/>
              <w:jc w:val="left"/>
              <w:rPr>
                <w:rFonts w:ascii="Times New Roman"/>
                <w:sz w:val="21"/>
              </w:rPr>
            </w:pPr>
            <w:r>
              <w:rPr>
                <w:rFonts w:ascii="Times New Roman"/>
                <w:sz w:val="21"/>
              </w:rPr>
              <w:t>125L/min</w:t>
            </w:r>
          </w:p>
        </w:tc>
        <w:tc>
          <w:tcPr>
            <w:tcW w:w="1258" w:type="dxa"/>
          </w:tcPr>
          <w:p>
            <w:pPr>
              <w:pStyle w:val="14"/>
              <w:spacing w:before="20"/>
              <w:ind w:left="4"/>
              <w:jc w:val="left"/>
              <w:rPr>
                <w:sz w:val="21"/>
              </w:rPr>
            </w:pPr>
            <w:r>
              <w:rPr>
                <w:rFonts w:ascii="Times New Roman" w:eastAsia="Times New Roman"/>
                <w:sz w:val="21"/>
              </w:rPr>
              <w:t xml:space="preserve">2 </w:t>
            </w:r>
            <w:r>
              <w:rPr>
                <w:sz w:val="21"/>
              </w:rPr>
              <w:t>台</w:t>
            </w:r>
          </w:p>
        </w:tc>
        <w:tc>
          <w:tcPr>
            <w:tcW w:w="1487" w:type="dxa"/>
          </w:tcPr>
          <w:p>
            <w:pPr>
              <w:pStyle w:val="14"/>
              <w:spacing w:before="34"/>
              <w:ind w:left="3"/>
              <w:jc w:val="left"/>
              <w:rPr>
                <w:rFonts w:ascii="Times New Roman"/>
                <w:sz w:val="21"/>
              </w:rPr>
            </w:pPr>
            <w:r>
              <w:rPr>
                <w:rFonts w:ascii="Times New Roman"/>
                <w:sz w:val="21"/>
              </w:rPr>
              <w:t>10</w:t>
            </w:r>
          </w:p>
        </w:tc>
        <w:tc>
          <w:tcPr>
            <w:tcW w:w="1433" w:type="dxa"/>
          </w:tcPr>
          <w:p>
            <w:pPr>
              <w:pStyle w:val="14"/>
              <w:spacing w:before="34"/>
              <w:ind w:left="4"/>
              <w:jc w:val="left"/>
              <w:rPr>
                <w:rFonts w:ascii="Times New Roman"/>
                <w:sz w:val="21"/>
              </w:rPr>
            </w:pPr>
            <w:r>
              <w:rPr>
                <w:rFonts w:ascii="Times New Roman"/>
                <w:sz w:val="21"/>
              </w:rPr>
              <w:t>150</w:t>
            </w:r>
          </w:p>
        </w:tc>
        <w:tc>
          <w:tcPr>
            <w:tcW w:w="922" w:type="dxa"/>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06" w:type="dxa"/>
          </w:tcPr>
          <w:p>
            <w:pPr>
              <w:pStyle w:val="14"/>
              <w:spacing w:before="34"/>
              <w:ind w:left="5"/>
              <w:jc w:val="left"/>
              <w:rPr>
                <w:rFonts w:ascii="Times New Roman"/>
                <w:sz w:val="21"/>
              </w:rPr>
            </w:pPr>
            <w:r>
              <w:rPr>
                <w:rFonts w:ascii="Times New Roman"/>
                <w:w w:val="99"/>
                <w:sz w:val="21"/>
              </w:rPr>
              <w:t>3</w:t>
            </w:r>
          </w:p>
        </w:tc>
        <w:tc>
          <w:tcPr>
            <w:tcW w:w="1520" w:type="dxa"/>
          </w:tcPr>
          <w:p>
            <w:pPr>
              <w:pStyle w:val="14"/>
              <w:spacing w:before="20"/>
              <w:ind w:left="5"/>
              <w:jc w:val="left"/>
              <w:rPr>
                <w:sz w:val="21"/>
              </w:rPr>
            </w:pPr>
            <w:r>
              <w:rPr>
                <w:sz w:val="21"/>
              </w:rPr>
              <w:t>掘进工作面喷雾</w:t>
            </w:r>
          </w:p>
        </w:tc>
        <w:tc>
          <w:tcPr>
            <w:tcW w:w="1100" w:type="dxa"/>
          </w:tcPr>
          <w:p>
            <w:pPr>
              <w:pStyle w:val="14"/>
              <w:spacing w:before="34"/>
              <w:ind w:left="4"/>
              <w:jc w:val="left"/>
              <w:rPr>
                <w:rFonts w:ascii="Times New Roman"/>
                <w:sz w:val="21"/>
              </w:rPr>
            </w:pPr>
            <w:r>
              <w:rPr>
                <w:rFonts w:ascii="Times New Roman"/>
                <w:sz w:val="21"/>
              </w:rPr>
              <w:t>75L/min</w:t>
            </w:r>
          </w:p>
        </w:tc>
        <w:tc>
          <w:tcPr>
            <w:tcW w:w="1258" w:type="dxa"/>
          </w:tcPr>
          <w:p>
            <w:pPr>
              <w:pStyle w:val="14"/>
              <w:spacing w:before="20"/>
              <w:ind w:left="4"/>
              <w:jc w:val="left"/>
              <w:rPr>
                <w:sz w:val="21"/>
              </w:rPr>
            </w:pPr>
            <w:r>
              <w:rPr>
                <w:rFonts w:ascii="Times New Roman" w:eastAsia="Times New Roman"/>
                <w:sz w:val="21"/>
              </w:rPr>
              <w:t xml:space="preserve">6 </w:t>
            </w:r>
            <w:r>
              <w:rPr>
                <w:sz w:val="21"/>
              </w:rPr>
              <w:t>套</w:t>
            </w:r>
          </w:p>
        </w:tc>
        <w:tc>
          <w:tcPr>
            <w:tcW w:w="1487" w:type="dxa"/>
          </w:tcPr>
          <w:p>
            <w:pPr>
              <w:pStyle w:val="14"/>
              <w:spacing w:before="34"/>
              <w:ind w:left="3"/>
              <w:jc w:val="left"/>
              <w:rPr>
                <w:rFonts w:ascii="Times New Roman"/>
                <w:sz w:val="21"/>
              </w:rPr>
            </w:pPr>
            <w:r>
              <w:rPr>
                <w:rFonts w:ascii="Times New Roman"/>
                <w:w w:val="99"/>
                <w:sz w:val="21"/>
              </w:rPr>
              <w:t>2</w:t>
            </w:r>
          </w:p>
        </w:tc>
        <w:tc>
          <w:tcPr>
            <w:tcW w:w="1433" w:type="dxa"/>
          </w:tcPr>
          <w:p>
            <w:pPr>
              <w:pStyle w:val="14"/>
              <w:spacing w:before="34"/>
              <w:ind w:left="4"/>
              <w:jc w:val="left"/>
              <w:rPr>
                <w:rFonts w:ascii="Times New Roman"/>
                <w:sz w:val="21"/>
              </w:rPr>
            </w:pPr>
            <w:r>
              <w:rPr>
                <w:rFonts w:ascii="Times New Roman"/>
                <w:sz w:val="21"/>
              </w:rPr>
              <w:t>54</w:t>
            </w:r>
          </w:p>
        </w:tc>
        <w:tc>
          <w:tcPr>
            <w:tcW w:w="922" w:type="dxa"/>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06" w:type="dxa"/>
          </w:tcPr>
          <w:p>
            <w:pPr>
              <w:pStyle w:val="14"/>
              <w:spacing w:before="34"/>
              <w:ind w:left="5"/>
              <w:jc w:val="left"/>
              <w:rPr>
                <w:rFonts w:ascii="Times New Roman"/>
                <w:sz w:val="21"/>
              </w:rPr>
            </w:pPr>
            <w:r>
              <w:rPr>
                <w:rFonts w:ascii="Times New Roman"/>
                <w:w w:val="99"/>
                <w:sz w:val="21"/>
              </w:rPr>
              <w:t>4</w:t>
            </w:r>
          </w:p>
        </w:tc>
        <w:tc>
          <w:tcPr>
            <w:tcW w:w="1520" w:type="dxa"/>
          </w:tcPr>
          <w:p>
            <w:pPr>
              <w:pStyle w:val="14"/>
              <w:spacing w:before="20"/>
              <w:ind w:left="5"/>
              <w:jc w:val="left"/>
              <w:rPr>
                <w:sz w:val="21"/>
              </w:rPr>
            </w:pPr>
            <w:r>
              <w:rPr>
                <w:sz w:val="21"/>
              </w:rPr>
              <w:t>风动凿岩机</w:t>
            </w:r>
          </w:p>
        </w:tc>
        <w:tc>
          <w:tcPr>
            <w:tcW w:w="1100" w:type="dxa"/>
          </w:tcPr>
          <w:p>
            <w:pPr>
              <w:pStyle w:val="14"/>
              <w:spacing w:before="34"/>
              <w:ind w:left="4"/>
              <w:jc w:val="left"/>
              <w:rPr>
                <w:rFonts w:ascii="Times New Roman"/>
                <w:sz w:val="21"/>
              </w:rPr>
            </w:pPr>
            <w:r>
              <w:rPr>
                <w:rFonts w:ascii="Times New Roman"/>
                <w:sz w:val="21"/>
              </w:rPr>
              <w:t>5L/min</w:t>
            </w:r>
          </w:p>
        </w:tc>
        <w:tc>
          <w:tcPr>
            <w:tcW w:w="1258" w:type="dxa"/>
          </w:tcPr>
          <w:p>
            <w:pPr>
              <w:pStyle w:val="14"/>
              <w:spacing w:before="20"/>
              <w:ind w:left="4"/>
              <w:jc w:val="left"/>
              <w:rPr>
                <w:sz w:val="21"/>
              </w:rPr>
            </w:pPr>
            <w:r>
              <w:rPr>
                <w:rFonts w:ascii="Times New Roman" w:eastAsia="Times New Roman"/>
                <w:sz w:val="21"/>
              </w:rPr>
              <w:t xml:space="preserve">12 </w:t>
            </w:r>
            <w:r>
              <w:rPr>
                <w:sz w:val="21"/>
              </w:rPr>
              <w:t>台</w:t>
            </w:r>
          </w:p>
        </w:tc>
        <w:tc>
          <w:tcPr>
            <w:tcW w:w="1487" w:type="dxa"/>
          </w:tcPr>
          <w:p>
            <w:pPr>
              <w:pStyle w:val="14"/>
              <w:spacing w:before="34"/>
              <w:ind w:left="3"/>
              <w:jc w:val="left"/>
              <w:rPr>
                <w:rFonts w:ascii="Times New Roman"/>
                <w:sz w:val="21"/>
              </w:rPr>
            </w:pPr>
            <w:r>
              <w:rPr>
                <w:rFonts w:ascii="Times New Roman"/>
                <w:w w:val="99"/>
                <w:sz w:val="21"/>
              </w:rPr>
              <w:t>8</w:t>
            </w:r>
          </w:p>
        </w:tc>
        <w:tc>
          <w:tcPr>
            <w:tcW w:w="1433" w:type="dxa"/>
          </w:tcPr>
          <w:p>
            <w:pPr>
              <w:pStyle w:val="14"/>
              <w:spacing w:before="34"/>
              <w:ind w:left="4"/>
              <w:jc w:val="left"/>
              <w:rPr>
                <w:rFonts w:ascii="Times New Roman"/>
                <w:sz w:val="21"/>
              </w:rPr>
            </w:pPr>
            <w:r>
              <w:rPr>
                <w:rFonts w:ascii="Times New Roman"/>
                <w:sz w:val="21"/>
              </w:rPr>
              <w:t>28.8</w:t>
            </w:r>
          </w:p>
        </w:tc>
        <w:tc>
          <w:tcPr>
            <w:tcW w:w="922" w:type="dxa"/>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06" w:type="dxa"/>
          </w:tcPr>
          <w:p>
            <w:pPr>
              <w:pStyle w:val="14"/>
              <w:spacing w:before="36"/>
              <w:ind w:left="5"/>
              <w:jc w:val="left"/>
              <w:rPr>
                <w:rFonts w:ascii="Times New Roman"/>
                <w:sz w:val="21"/>
              </w:rPr>
            </w:pPr>
            <w:r>
              <w:rPr>
                <w:rFonts w:ascii="Times New Roman"/>
                <w:w w:val="99"/>
                <w:sz w:val="21"/>
              </w:rPr>
              <w:t>5</w:t>
            </w:r>
          </w:p>
        </w:tc>
        <w:tc>
          <w:tcPr>
            <w:tcW w:w="1520" w:type="dxa"/>
          </w:tcPr>
          <w:p>
            <w:pPr>
              <w:pStyle w:val="14"/>
              <w:spacing w:before="22"/>
              <w:ind w:left="5"/>
              <w:jc w:val="left"/>
              <w:rPr>
                <w:sz w:val="21"/>
              </w:rPr>
            </w:pPr>
            <w:r>
              <w:rPr>
                <w:sz w:val="21"/>
              </w:rPr>
              <w:t>自动喷雾装置</w:t>
            </w:r>
          </w:p>
        </w:tc>
        <w:tc>
          <w:tcPr>
            <w:tcW w:w="1100" w:type="dxa"/>
          </w:tcPr>
          <w:p>
            <w:pPr>
              <w:pStyle w:val="14"/>
              <w:spacing w:before="36"/>
              <w:ind w:left="4"/>
              <w:jc w:val="left"/>
              <w:rPr>
                <w:rFonts w:ascii="Times New Roman"/>
                <w:sz w:val="21"/>
              </w:rPr>
            </w:pPr>
            <w:r>
              <w:rPr>
                <w:rFonts w:ascii="Times New Roman"/>
                <w:sz w:val="21"/>
              </w:rPr>
              <w:t>3.75L/min</w:t>
            </w:r>
          </w:p>
        </w:tc>
        <w:tc>
          <w:tcPr>
            <w:tcW w:w="1258" w:type="dxa"/>
          </w:tcPr>
          <w:p>
            <w:pPr>
              <w:pStyle w:val="14"/>
              <w:spacing w:before="22"/>
              <w:ind w:left="4"/>
              <w:jc w:val="left"/>
              <w:rPr>
                <w:sz w:val="21"/>
              </w:rPr>
            </w:pPr>
            <w:r>
              <w:rPr>
                <w:rFonts w:ascii="Times New Roman" w:eastAsia="Times New Roman"/>
                <w:sz w:val="21"/>
              </w:rPr>
              <w:t xml:space="preserve">34 </w:t>
            </w:r>
            <w:r>
              <w:rPr>
                <w:sz w:val="21"/>
              </w:rPr>
              <w:t>个喷头</w:t>
            </w:r>
          </w:p>
        </w:tc>
        <w:tc>
          <w:tcPr>
            <w:tcW w:w="1487" w:type="dxa"/>
          </w:tcPr>
          <w:p>
            <w:pPr>
              <w:pStyle w:val="14"/>
              <w:spacing w:before="36"/>
              <w:ind w:left="3"/>
              <w:jc w:val="left"/>
              <w:rPr>
                <w:rFonts w:ascii="Times New Roman"/>
                <w:sz w:val="21"/>
              </w:rPr>
            </w:pPr>
            <w:r>
              <w:rPr>
                <w:rFonts w:ascii="Times New Roman"/>
                <w:sz w:val="21"/>
              </w:rPr>
              <w:t>12</w:t>
            </w:r>
          </w:p>
        </w:tc>
        <w:tc>
          <w:tcPr>
            <w:tcW w:w="1433" w:type="dxa"/>
          </w:tcPr>
          <w:p>
            <w:pPr>
              <w:pStyle w:val="14"/>
              <w:spacing w:before="36"/>
              <w:ind w:left="4"/>
              <w:jc w:val="left"/>
              <w:rPr>
                <w:rFonts w:ascii="Times New Roman"/>
                <w:sz w:val="21"/>
              </w:rPr>
            </w:pPr>
            <w:r>
              <w:rPr>
                <w:rFonts w:ascii="Times New Roman"/>
                <w:sz w:val="21"/>
              </w:rPr>
              <w:t>91.8</w:t>
            </w:r>
          </w:p>
        </w:tc>
        <w:tc>
          <w:tcPr>
            <w:tcW w:w="922" w:type="dxa"/>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06" w:type="dxa"/>
          </w:tcPr>
          <w:p>
            <w:pPr>
              <w:pStyle w:val="14"/>
              <w:spacing w:before="35"/>
              <w:ind w:left="5"/>
              <w:jc w:val="left"/>
              <w:rPr>
                <w:rFonts w:ascii="Times New Roman"/>
                <w:sz w:val="21"/>
              </w:rPr>
            </w:pPr>
            <w:r>
              <w:rPr>
                <w:rFonts w:ascii="Times New Roman"/>
                <w:w w:val="99"/>
                <w:sz w:val="21"/>
              </w:rPr>
              <w:t>6</w:t>
            </w:r>
          </w:p>
        </w:tc>
        <w:tc>
          <w:tcPr>
            <w:tcW w:w="1520" w:type="dxa"/>
          </w:tcPr>
          <w:p>
            <w:pPr>
              <w:pStyle w:val="14"/>
              <w:spacing w:before="21"/>
              <w:ind w:left="5"/>
              <w:jc w:val="left"/>
              <w:rPr>
                <w:sz w:val="21"/>
              </w:rPr>
            </w:pPr>
            <w:r>
              <w:rPr>
                <w:sz w:val="21"/>
              </w:rPr>
              <w:t>风流净化水幕</w:t>
            </w:r>
          </w:p>
        </w:tc>
        <w:tc>
          <w:tcPr>
            <w:tcW w:w="1100" w:type="dxa"/>
          </w:tcPr>
          <w:p>
            <w:pPr>
              <w:pStyle w:val="14"/>
              <w:spacing w:before="35"/>
              <w:ind w:left="4"/>
              <w:jc w:val="left"/>
              <w:rPr>
                <w:rFonts w:ascii="Times New Roman"/>
                <w:sz w:val="21"/>
              </w:rPr>
            </w:pPr>
            <w:r>
              <w:rPr>
                <w:rFonts w:ascii="Times New Roman"/>
                <w:sz w:val="21"/>
              </w:rPr>
              <w:t>3.75L/min</w:t>
            </w:r>
          </w:p>
        </w:tc>
        <w:tc>
          <w:tcPr>
            <w:tcW w:w="1258" w:type="dxa"/>
          </w:tcPr>
          <w:p>
            <w:pPr>
              <w:pStyle w:val="14"/>
              <w:spacing w:before="21"/>
              <w:ind w:left="4"/>
              <w:jc w:val="left"/>
              <w:rPr>
                <w:sz w:val="21"/>
              </w:rPr>
            </w:pPr>
            <w:r>
              <w:rPr>
                <w:rFonts w:ascii="Times New Roman" w:eastAsia="Times New Roman"/>
                <w:sz w:val="21"/>
              </w:rPr>
              <w:t xml:space="preserve">12 </w:t>
            </w:r>
            <w:r>
              <w:rPr>
                <w:sz w:val="21"/>
              </w:rPr>
              <w:t>个喷头</w:t>
            </w:r>
          </w:p>
        </w:tc>
        <w:tc>
          <w:tcPr>
            <w:tcW w:w="1487" w:type="dxa"/>
          </w:tcPr>
          <w:p>
            <w:pPr>
              <w:pStyle w:val="14"/>
              <w:spacing w:before="35"/>
              <w:ind w:left="3"/>
              <w:jc w:val="left"/>
              <w:rPr>
                <w:rFonts w:ascii="Times New Roman"/>
                <w:sz w:val="21"/>
              </w:rPr>
            </w:pPr>
            <w:r>
              <w:rPr>
                <w:rFonts w:ascii="Times New Roman"/>
                <w:sz w:val="21"/>
              </w:rPr>
              <w:t>16</w:t>
            </w:r>
          </w:p>
        </w:tc>
        <w:tc>
          <w:tcPr>
            <w:tcW w:w="1433" w:type="dxa"/>
          </w:tcPr>
          <w:p>
            <w:pPr>
              <w:pStyle w:val="14"/>
              <w:spacing w:before="35"/>
              <w:ind w:left="4"/>
              <w:jc w:val="left"/>
              <w:rPr>
                <w:rFonts w:ascii="Times New Roman"/>
                <w:sz w:val="21"/>
              </w:rPr>
            </w:pPr>
            <w:r>
              <w:rPr>
                <w:rFonts w:ascii="Times New Roman"/>
                <w:sz w:val="21"/>
              </w:rPr>
              <w:t>43.2</w:t>
            </w:r>
          </w:p>
        </w:tc>
        <w:tc>
          <w:tcPr>
            <w:tcW w:w="922" w:type="dxa"/>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506" w:type="dxa"/>
          </w:tcPr>
          <w:p>
            <w:pPr>
              <w:pStyle w:val="14"/>
              <w:spacing w:before="2" w:line="250" w:lineRule="exact"/>
              <w:ind w:left="5"/>
              <w:jc w:val="left"/>
              <w:rPr>
                <w:sz w:val="21"/>
              </w:rPr>
            </w:pPr>
            <w:r>
              <w:rPr>
                <w:sz w:val="21"/>
              </w:rPr>
              <w:t>合计</w:t>
            </w:r>
          </w:p>
        </w:tc>
        <w:tc>
          <w:tcPr>
            <w:tcW w:w="1520" w:type="dxa"/>
          </w:tcPr>
          <w:p>
            <w:pPr>
              <w:pStyle w:val="14"/>
              <w:jc w:val="left"/>
              <w:rPr>
                <w:rFonts w:ascii="Times New Roman"/>
                <w:sz w:val="20"/>
              </w:rPr>
            </w:pPr>
          </w:p>
        </w:tc>
        <w:tc>
          <w:tcPr>
            <w:tcW w:w="1100" w:type="dxa"/>
          </w:tcPr>
          <w:p>
            <w:pPr>
              <w:pStyle w:val="14"/>
              <w:jc w:val="left"/>
              <w:rPr>
                <w:rFonts w:ascii="Times New Roman"/>
                <w:sz w:val="20"/>
              </w:rPr>
            </w:pPr>
          </w:p>
        </w:tc>
        <w:tc>
          <w:tcPr>
            <w:tcW w:w="1258" w:type="dxa"/>
          </w:tcPr>
          <w:p>
            <w:pPr>
              <w:pStyle w:val="14"/>
              <w:jc w:val="left"/>
              <w:rPr>
                <w:rFonts w:ascii="Times New Roman"/>
                <w:sz w:val="20"/>
              </w:rPr>
            </w:pPr>
          </w:p>
        </w:tc>
        <w:tc>
          <w:tcPr>
            <w:tcW w:w="1487" w:type="dxa"/>
          </w:tcPr>
          <w:p>
            <w:pPr>
              <w:pStyle w:val="14"/>
              <w:jc w:val="left"/>
              <w:rPr>
                <w:rFonts w:ascii="Times New Roman"/>
                <w:sz w:val="20"/>
              </w:rPr>
            </w:pPr>
          </w:p>
        </w:tc>
        <w:tc>
          <w:tcPr>
            <w:tcW w:w="1433" w:type="dxa"/>
          </w:tcPr>
          <w:p>
            <w:pPr>
              <w:pStyle w:val="14"/>
              <w:spacing w:before="16" w:line="236" w:lineRule="exact"/>
              <w:ind w:left="4"/>
              <w:jc w:val="left"/>
              <w:rPr>
                <w:rFonts w:ascii="Times New Roman"/>
                <w:sz w:val="21"/>
              </w:rPr>
            </w:pPr>
            <w:r>
              <w:rPr>
                <w:rFonts w:ascii="Times New Roman"/>
                <w:sz w:val="21"/>
              </w:rPr>
              <w:t>400.2</w:t>
            </w:r>
          </w:p>
        </w:tc>
        <w:tc>
          <w:tcPr>
            <w:tcW w:w="922" w:type="dxa"/>
          </w:tcPr>
          <w:p>
            <w:pPr>
              <w:pStyle w:val="14"/>
              <w:jc w:val="left"/>
              <w:rPr>
                <w:rFonts w:ascii="Times New Roman"/>
                <w:sz w:val="20"/>
              </w:rPr>
            </w:pPr>
          </w:p>
        </w:tc>
      </w:tr>
    </w:tbl>
    <w:p>
      <w:pPr>
        <w:pStyle w:val="6"/>
        <w:spacing w:before="81" w:line="364" w:lineRule="auto"/>
        <w:ind w:left="1040" w:right="1075" w:firstLine="480"/>
      </w:pPr>
      <w:r>
        <w:rPr>
          <w:spacing w:val="-6"/>
        </w:rPr>
        <w:t xml:space="preserve">经计算矿井采暖期总用水量 </w:t>
      </w:r>
      <w:r>
        <w:rPr>
          <w:rFonts w:ascii="Times New Roman" w:eastAsia="Times New Roman"/>
        </w:rPr>
        <w:t>521.79m</w:t>
      </w:r>
      <w:r>
        <w:rPr>
          <w:rFonts w:ascii="Times New Roman" w:eastAsia="Times New Roman"/>
          <w:position w:val="8"/>
          <w:sz w:val="15"/>
        </w:rPr>
        <w:t>3</w:t>
      </w:r>
      <w:r>
        <w:rPr>
          <w:rFonts w:ascii="Times New Roman" w:eastAsia="Times New Roman"/>
        </w:rPr>
        <w:t>/d</w:t>
      </w:r>
      <w:r>
        <w:rPr>
          <w:spacing w:val="-10"/>
        </w:rPr>
        <w:t xml:space="preserve">，其中生活用水 </w:t>
      </w:r>
      <w:r>
        <w:rPr>
          <w:rFonts w:ascii="Times New Roman" w:eastAsia="Times New Roman"/>
        </w:rPr>
        <w:t>108.65m</w:t>
      </w:r>
      <w:r>
        <w:rPr>
          <w:rFonts w:ascii="Times New Roman" w:eastAsia="Times New Roman"/>
          <w:position w:val="8"/>
          <w:sz w:val="15"/>
        </w:rPr>
        <w:t>3</w:t>
      </w:r>
      <w:r>
        <w:rPr>
          <w:rFonts w:ascii="Times New Roman" w:eastAsia="Times New Roman"/>
        </w:rPr>
        <w:t>/d</w:t>
      </w:r>
      <w:r>
        <w:rPr>
          <w:spacing w:val="-4"/>
        </w:rPr>
        <w:t>；非采暖</w:t>
      </w:r>
      <w:r>
        <w:rPr>
          <w:spacing w:val="-10"/>
        </w:rPr>
        <w:t xml:space="preserve">期总用水量 </w:t>
      </w:r>
      <w:r>
        <w:rPr>
          <w:rFonts w:ascii="Times New Roman" w:eastAsia="Times New Roman"/>
        </w:rPr>
        <w:t>513.35m</w:t>
      </w:r>
      <w:r>
        <w:rPr>
          <w:rFonts w:ascii="Times New Roman" w:eastAsia="Times New Roman"/>
          <w:position w:val="8"/>
          <w:sz w:val="15"/>
        </w:rPr>
        <w:t>3</w:t>
      </w:r>
      <w:r>
        <w:rPr>
          <w:rFonts w:ascii="Times New Roman" w:eastAsia="Times New Roman"/>
        </w:rPr>
        <w:t>/d</w:t>
      </w:r>
      <w:r>
        <w:rPr>
          <w:spacing w:val="-8"/>
        </w:rPr>
        <w:t xml:space="preserve">，其中生活用水 </w:t>
      </w:r>
      <w:r>
        <w:rPr>
          <w:rFonts w:ascii="Times New Roman" w:eastAsia="Times New Roman"/>
        </w:rPr>
        <w:t>108.65m</w:t>
      </w:r>
      <w:r>
        <w:rPr>
          <w:rFonts w:ascii="Times New Roman" w:eastAsia="Times New Roman"/>
          <w:position w:val="8"/>
          <w:sz w:val="15"/>
        </w:rPr>
        <w:t>3</w:t>
      </w:r>
      <w:r>
        <w:rPr>
          <w:rFonts w:ascii="Times New Roman" w:eastAsia="Times New Roman"/>
        </w:rPr>
        <w:t>/d</w:t>
      </w:r>
      <w:r>
        <w:t>。</w:t>
      </w:r>
    </w:p>
    <w:p>
      <w:pPr>
        <w:pStyle w:val="13"/>
        <w:numPr>
          <w:ilvl w:val="4"/>
          <w:numId w:val="27"/>
        </w:numPr>
        <w:tabs>
          <w:tab w:val="left" w:pos="2121"/>
        </w:tabs>
        <w:spacing w:before="1" w:after="0" w:line="240" w:lineRule="auto"/>
        <w:ind w:left="2121" w:right="0" w:hanging="601"/>
        <w:jc w:val="left"/>
        <w:rPr>
          <w:sz w:val="24"/>
        </w:rPr>
      </w:pPr>
      <w:r>
        <w:rPr>
          <w:sz w:val="24"/>
        </w:rPr>
        <w:t>给水系统</w:t>
      </w:r>
    </w:p>
    <w:p>
      <w:pPr>
        <w:pStyle w:val="6"/>
        <w:spacing w:before="161"/>
        <w:ind w:left="1520"/>
      </w:pPr>
      <w:r>
        <w:t>①水源选择</w:t>
      </w:r>
    </w:p>
    <w:p>
      <w:pPr>
        <w:pStyle w:val="6"/>
        <w:spacing w:before="81" w:line="364" w:lineRule="auto"/>
        <w:ind w:left="1040" w:right="1075" w:firstLine="480"/>
      </w:pPr>
      <w:r>
        <w:rPr>
          <w:spacing w:val="-5"/>
        </w:rPr>
        <w:t>生产用水由本矿井涌水经过矿井水净化车间处理，供给矿井生产、生活、消</w:t>
      </w:r>
      <w:r>
        <w:t>防用水。生活饮用水为外部购置达标饮用水。</w:t>
      </w:r>
    </w:p>
    <w:p>
      <w:pPr>
        <w:pStyle w:val="6"/>
        <w:spacing w:line="306" w:lineRule="exact"/>
        <w:ind w:left="1520"/>
      </w:pPr>
      <w:r>
        <w:t>②给水系统</w:t>
      </w:r>
    </w:p>
    <w:p>
      <w:pPr>
        <w:pStyle w:val="6"/>
        <w:spacing w:before="7"/>
        <w:rPr>
          <w:sz w:val="18"/>
        </w:rPr>
      </w:pPr>
    </w:p>
    <w:p>
      <w:pPr>
        <w:pStyle w:val="6"/>
        <w:spacing w:line="364" w:lineRule="auto"/>
        <w:ind w:left="1040" w:right="1077" w:firstLine="480"/>
        <w:jc w:val="both"/>
      </w:pPr>
      <w:r>
        <w:rPr>
          <w:spacing w:val="-6"/>
        </w:rPr>
        <w:t>本矿井从水源处至工业场地铺设一趟饮水管线，供矿井地面生产、生活及消</w:t>
      </w:r>
      <w:r>
        <w:rPr>
          <w:spacing w:val="-7"/>
        </w:rPr>
        <w:t xml:space="preserve">防用水，管径为 </w:t>
      </w:r>
      <w:r>
        <w:rPr>
          <w:rFonts w:ascii="Times New Roman" w:eastAsia="Times New Roman"/>
        </w:rPr>
        <w:t>DN200</w:t>
      </w:r>
      <w:r>
        <w:rPr>
          <w:spacing w:val="-5"/>
        </w:rPr>
        <w:t xml:space="preserve">。在矿井工业场地建 </w:t>
      </w:r>
      <w:r>
        <w:t>1</w:t>
      </w:r>
      <w:r>
        <w:rPr>
          <w:spacing w:val="-10"/>
        </w:rPr>
        <w:t xml:space="preserve"> 座生产、生活供水水池和 </w:t>
      </w:r>
      <w:r>
        <w:t>1</w:t>
      </w:r>
      <w:r>
        <w:rPr>
          <w:spacing w:val="-17"/>
        </w:rPr>
        <w:t xml:space="preserve"> 座供</w:t>
      </w:r>
      <w:r>
        <w:rPr>
          <w:spacing w:val="-21"/>
        </w:rPr>
        <w:t xml:space="preserve">水泵房，水池有效容积为 </w:t>
      </w:r>
      <w:r>
        <w:rPr>
          <w:rFonts w:ascii="Times New Roman" w:eastAsia="Times New Roman"/>
        </w:rPr>
        <w:t>1000m</w:t>
      </w:r>
      <w:r>
        <w:rPr>
          <w:rFonts w:ascii="Times New Roman" w:eastAsia="Times New Roman"/>
          <w:position w:val="8"/>
          <w:sz w:val="15"/>
        </w:rPr>
        <w:t>3</w:t>
      </w:r>
      <w:r>
        <w:t>。</w:t>
      </w:r>
    </w:p>
    <w:p>
      <w:pPr>
        <w:pStyle w:val="6"/>
        <w:spacing w:before="2" w:line="364" w:lineRule="auto"/>
        <w:ind w:left="1040" w:right="1077" w:firstLine="480"/>
        <w:jc w:val="both"/>
      </w:pPr>
      <w:r>
        <w:rPr>
          <w:spacing w:val="-8"/>
        </w:rPr>
        <w:t>工业场地内设有生产、生活及消防合用供水管网，呈环状布置，管材为钢丝</w:t>
      </w:r>
      <w:r>
        <w:rPr>
          <w:spacing w:val="-4"/>
        </w:rPr>
        <w:t xml:space="preserve">骨架塑料复合管，电热熔连接，管道压力为 </w:t>
      </w:r>
      <w:r>
        <w:rPr>
          <w:rFonts w:ascii="Times New Roman" w:eastAsia="Times New Roman"/>
        </w:rPr>
        <w:t>1.25MPa</w:t>
      </w:r>
      <w:r>
        <w:rPr>
          <w:spacing w:val="-9"/>
        </w:rPr>
        <w:t xml:space="preserve">，干管管径为 </w:t>
      </w:r>
      <w:r>
        <w:rPr>
          <w:rFonts w:ascii="Times New Roman" w:eastAsia="Times New Roman"/>
        </w:rPr>
        <w:t>DN100</w:t>
      </w:r>
      <w:r>
        <w:t>。</w:t>
      </w:r>
    </w:p>
    <w:p>
      <w:pPr>
        <w:pStyle w:val="6"/>
        <w:spacing w:before="1" w:line="364" w:lineRule="auto"/>
        <w:ind w:left="1040" w:right="1075" w:firstLine="480"/>
        <w:jc w:val="both"/>
      </w:pPr>
      <w:r>
        <w:rPr>
          <w:spacing w:val="-6"/>
        </w:rPr>
        <w:t>工业场地内设有绿化洒水回用水管网，呈支状布置，管材采用内外涂环氧树</w:t>
      </w:r>
      <w:r>
        <w:rPr>
          <w:spacing w:val="-10"/>
        </w:rPr>
        <w:t xml:space="preserve">脂复合钢管，干管管径为 </w:t>
      </w:r>
      <w:r>
        <w:rPr>
          <w:rFonts w:ascii="Times New Roman" w:eastAsia="Times New Roman"/>
        </w:rPr>
        <w:t>DN80</w:t>
      </w:r>
      <w:r>
        <w:rPr>
          <w:spacing w:val="-11"/>
        </w:rPr>
        <w:t xml:space="preserve">。在运煤干道处及主要的绿化地带，每隔 </w:t>
      </w:r>
      <w:r>
        <w:rPr>
          <w:rFonts w:ascii="Times New Roman" w:eastAsia="Times New Roman"/>
        </w:rPr>
        <w:t xml:space="preserve">30m </w:t>
      </w:r>
      <w:r>
        <w:rPr>
          <w:spacing w:val="-15"/>
        </w:rPr>
        <w:t>设</w:t>
      </w:r>
      <w:r>
        <w:t>置一处摇臂式洒水喷头，供绿化及地面防尘使用。</w:t>
      </w:r>
    </w:p>
    <w:p>
      <w:pPr>
        <w:pStyle w:val="13"/>
        <w:numPr>
          <w:ilvl w:val="4"/>
          <w:numId w:val="27"/>
        </w:numPr>
        <w:tabs>
          <w:tab w:val="left" w:pos="2121"/>
        </w:tabs>
        <w:spacing w:before="2" w:after="0" w:line="240" w:lineRule="auto"/>
        <w:ind w:left="2121" w:right="0" w:hanging="601"/>
        <w:jc w:val="left"/>
        <w:rPr>
          <w:sz w:val="24"/>
        </w:rPr>
      </w:pPr>
      <w:r>
        <w:rPr>
          <w:sz w:val="24"/>
        </w:rPr>
        <w:t>排水系统</w:t>
      </w:r>
    </w:p>
    <w:p>
      <w:pPr>
        <w:pStyle w:val="6"/>
        <w:spacing w:before="160" w:line="364" w:lineRule="auto"/>
        <w:ind w:left="1040" w:right="1077" w:firstLine="480"/>
      </w:pPr>
      <w:r>
        <w:rPr>
          <w:spacing w:val="-7"/>
        </w:rPr>
        <w:t>矿井的污水来源为工业场地的生活污、废水，处理后的污、废水回用于矿井</w:t>
      </w:r>
      <w:r>
        <w:t>生产用水、消防用水及工业场地绿化洒水用水，多余外排扁石河。</w:t>
      </w:r>
    </w:p>
    <w:p>
      <w:pPr>
        <w:pStyle w:val="6"/>
        <w:spacing w:before="1" w:line="364" w:lineRule="auto"/>
        <w:ind w:left="1520" w:right="957"/>
      </w:pPr>
      <w:r>
        <w:rPr>
          <w:spacing w:val="-6"/>
        </w:rPr>
        <w:t>达到设计投产规模</w:t>
      </w:r>
      <w:r>
        <w:rPr>
          <w:spacing w:val="-3"/>
        </w:rPr>
        <w:t>（</w:t>
      </w:r>
      <w:r>
        <w:rPr>
          <w:spacing w:val="-20"/>
        </w:rPr>
        <w:t xml:space="preserve">矿井 </w:t>
      </w:r>
      <w:r>
        <w:rPr>
          <w:rFonts w:ascii="Times New Roman" w:eastAsia="Times New Roman"/>
        </w:rPr>
        <w:t xml:space="preserve">30 </w:t>
      </w:r>
      <w:r>
        <w:rPr>
          <w:spacing w:val="-30"/>
        </w:rPr>
        <w:t xml:space="preserve">万 </w:t>
      </w:r>
      <w:r>
        <w:rPr>
          <w:rFonts w:ascii="Times New Roman" w:eastAsia="Times New Roman"/>
          <w:spacing w:val="-11"/>
        </w:rPr>
        <w:t>t/a</w:t>
      </w:r>
      <w:r>
        <w:rPr>
          <w:spacing w:val="-11"/>
        </w:rPr>
        <w:t xml:space="preserve">）时，工业场地生活污水量为 </w:t>
      </w:r>
      <w:r>
        <w:rPr>
          <w:rFonts w:ascii="Times New Roman" w:eastAsia="Times New Roman"/>
        </w:rPr>
        <w:t>108.65m</w:t>
      </w:r>
      <w:r>
        <w:rPr>
          <w:rFonts w:ascii="Times New Roman" w:eastAsia="Times New Roman"/>
          <w:position w:val="8"/>
          <w:sz w:val="15"/>
        </w:rPr>
        <w:t>3</w:t>
      </w:r>
      <w:r>
        <w:rPr>
          <w:rFonts w:ascii="Times New Roman" w:eastAsia="Times New Roman"/>
        </w:rPr>
        <w:t>/d</w:t>
      </w:r>
      <w:r>
        <w:rPr>
          <w:spacing w:val="-15"/>
        </w:rPr>
        <w:t>。</w:t>
      </w:r>
      <w:r>
        <w:rPr>
          <w:spacing w:val="-8"/>
        </w:rPr>
        <w:t>地面生产系统冲洗废水较少，将冲洗废水收集送至矿井水处理站统一处理后</w:t>
      </w:r>
    </w:p>
    <w:p>
      <w:pPr>
        <w:pStyle w:val="6"/>
        <w:spacing w:before="1"/>
        <w:ind w:left="1040"/>
      </w:pPr>
      <w:r>
        <w:t>回用。</w:t>
      </w:r>
    </w:p>
    <w:p>
      <w:pPr>
        <w:pStyle w:val="6"/>
        <w:spacing w:before="161"/>
        <w:ind w:left="1520"/>
      </w:pPr>
      <w:r>
        <w:t>冲洗废水收集及处理回用建、构筑物如下：</w:t>
      </w:r>
    </w:p>
    <w:p>
      <w:pPr>
        <w:pStyle w:val="6"/>
        <w:spacing w:before="160" w:line="364" w:lineRule="auto"/>
        <w:ind w:left="1040" w:right="1069" w:firstLine="480"/>
        <w:jc w:val="both"/>
        <w:rPr>
          <w:rFonts w:ascii="Times New Roman" w:hAnsi="Times New Roman" w:eastAsia="Times New Roman"/>
        </w:rPr>
      </w:pPr>
      <w:r>
        <w:rPr>
          <w:spacing w:val="-11"/>
        </w:rPr>
        <w:t xml:space="preserve">集水池：在井口房及煤仓底部各设置 </w:t>
      </w:r>
      <w:r>
        <w:rPr>
          <w:rFonts w:ascii="Times New Roman" w:hAnsi="Times New Roman" w:eastAsia="Times New Roman"/>
        </w:rPr>
        <w:t xml:space="preserve">1 </w:t>
      </w:r>
      <w:r>
        <w:rPr>
          <w:spacing w:val="-7"/>
        </w:rPr>
        <w:t>个集水池。皮带机走廊的冲洗废水沿</w:t>
      </w:r>
      <w:r>
        <w:rPr>
          <w:spacing w:val="-6"/>
        </w:rPr>
        <w:t xml:space="preserve">楼板坡度排至集水池内。集水池平面尺寸为 </w:t>
      </w:r>
      <w:r>
        <w:rPr>
          <w:rFonts w:ascii="Times New Roman" w:hAnsi="Times New Roman" w:eastAsia="Times New Roman"/>
        </w:rPr>
        <w:t>L×B×H=2.40×1.50×1.50 m</w:t>
      </w:r>
      <w:r>
        <w:t>，内设置</w:t>
      </w:r>
      <w:r>
        <w:rPr>
          <w:rFonts w:ascii="Times New Roman" w:hAnsi="Times New Roman" w:eastAsia="Times New Roman"/>
        </w:rPr>
        <w:t xml:space="preserve">50WQ15-20-2.2 </w:t>
      </w:r>
      <w:r>
        <w:rPr>
          <w:spacing w:val="-1"/>
        </w:rPr>
        <w:t>型潜污泵，</w:t>
      </w:r>
      <w:r>
        <w:rPr>
          <w:rFonts w:ascii="Times New Roman" w:hAnsi="Times New Roman" w:eastAsia="Times New Roman"/>
          <w:spacing w:val="-3"/>
        </w:rPr>
        <w:t>Q=15.00 m</w:t>
      </w:r>
      <w:r>
        <w:rPr>
          <w:rFonts w:ascii="Times New Roman" w:hAnsi="Times New Roman" w:eastAsia="Times New Roman"/>
          <w:spacing w:val="-3"/>
          <w:position w:val="8"/>
          <w:sz w:val="15"/>
        </w:rPr>
        <w:t>3</w:t>
      </w:r>
      <w:r>
        <w:rPr>
          <w:rFonts w:ascii="Times New Roman" w:hAnsi="Times New Roman" w:eastAsia="Times New Roman"/>
          <w:spacing w:val="-3"/>
        </w:rPr>
        <w:t>/h</w:t>
      </w:r>
      <w:r>
        <w:rPr>
          <w:spacing w:val="-3"/>
        </w:rPr>
        <w:t>，</w:t>
      </w:r>
      <w:r>
        <w:rPr>
          <w:rFonts w:ascii="Times New Roman" w:hAnsi="Times New Roman" w:eastAsia="Times New Roman"/>
          <w:spacing w:val="-3"/>
        </w:rPr>
        <w:t>H=0.20MPa</w:t>
      </w:r>
      <w:r>
        <w:rPr>
          <w:spacing w:val="-10"/>
        </w:rPr>
        <w:t xml:space="preserve">，配套电动机 </w:t>
      </w:r>
      <w:r>
        <w:rPr>
          <w:rFonts w:ascii="Times New Roman" w:hAnsi="Times New Roman" w:eastAsia="Times New Roman"/>
        </w:rPr>
        <w:t>2.2kW</w:t>
      </w:r>
      <w:r>
        <w:t>，</w:t>
      </w:r>
      <w:r>
        <w:rPr>
          <w:rFonts w:ascii="Times New Roman" w:hAnsi="Times New Roman" w:eastAsia="Times New Roman"/>
        </w:rPr>
        <w:t>380</w:t>
      </w:r>
    </w:p>
    <w:p>
      <w:pPr>
        <w:spacing w:after="0" w:line="364" w:lineRule="auto"/>
        <w:jc w:val="both"/>
        <w:rPr>
          <w:rFonts w:ascii="Times New Roman" w:hAnsi="Times New Roman" w:eastAsia="Times New Roman"/>
        </w:rPr>
        <w:sectPr>
          <w:pgSz w:w="11910" w:h="16840"/>
          <w:pgMar w:top="1080" w:right="720" w:bottom="1160" w:left="760" w:header="0" w:footer="971" w:gutter="0"/>
        </w:sectPr>
      </w:pPr>
    </w:p>
    <w:p>
      <w:pPr>
        <w:pStyle w:val="6"/>
        <w:spacing w:line="20" w:lineRule="exact"/>
        <w:ind w:left="1032"/>
        <w:rPr>
          <w:rFonts w:ascii="Times New Roman"/>
          <w:sz w:val="2"/>
        </w:rPr>
      </w:pPr>
      <w:r>
        <w:rPr>
          <w:rFonts w:ascii="Times New Roman"/>
          <w:sz w:val="2"/>
        </w:rPr>
        <mc:AlternateContent>
          <mc:Choice Requires="wpg">
            <w:drawing>
              <wp:inline distT="0" distB="0" distL="114300" distR="114300">
                <wp:extent cx="5274310" cy="9525"/>
                <wp:effectExtent l="0" t="0" r="0" b="0"/>
                <wp:docPr id="238" name="组合 66"/>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237" name="直线 67"/>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66"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u2gi7UAAAAAwEAAA8AAAAAAAAAAQAgAAAAIgAAAGRycy9kb3ducmV2LnhtbFBL&#10;AQIUABQAAAAIAIdO4kClYPKZMwIAALYEAAAOAAAAAAAAAAEAIAAAACMBAABkcnMvZTJvRG9jLnht&#10;bFBLBQYAAAAABgAGAFkBAADIBQAAAAA=&#10;">
                <o:lock v:ext="edit" aspectratio="f"/>
                <v:line id="直线 67" o:spid="_x0000_s1026" o:spt="20" style="position:absolute;left:0;top:7;height:0;width:8306;" filled="f" stroked="t" coordsize="21600,21600" o:gfxdata="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b2gd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pStyle w:val="6"/>
        <w:spacing w:before="6"/>
        <w:rPr>
          <w:rFonts w:ascii="Times New Roman"/>
          <w:sz w:val="28"/>
        </w:rPr>
      </w:pPr>
    </w:p>
    <w:p>
      <w:pPr>
        <w:pStyle w:val="6"/>
        <w:spacing w:before="74" w:line="364" w:lineRule="auto"/>
        <w:ind w:left="1040" w:right="1077"/>
      </w:pPr>
      <w:r>
        <w:rPr>
          <w:rFonts w:ascii="Times New Roman" w:eastAsia="Times New Roman"/>
        </w:rPr>
        <w:t>V</w:t>
      </w:r>
      <w:r>
        <w:t>，</w:t>
      </w:r>
      <w:r>
        <w:rPr>
          <w:rFonts w:ascii="Times New Roman" w:eastAsia="Times New Roman"/>
        </w:rPr>
        <w:t xml:space="preserve">2 </w:t>
      </w:r>
      <w:r>
        <w:t>台，</w:t>
      </w:r>
      <w:r>
        <w:rPr>
          <w:rFonts w:ascii="Times New Roman" w:eastAsia="Times New Roman"/>
        </w:rPr>
        <w:t xml:space="preserve">1 </w:t>
      </w:r>
      <w:r>
        <w:t xml:space="preserve">用 </w:t>
      </w:r>
      <w:r>
        <w:rPr>
          <w:rFonts w:ascii="Times New Roman" w:eastAsia="Times New Roman"/>
        </w:rPr>
        <w:t xml:space="preserve">1 </w:t>
      </w:r>
      <w:r>
        <w:t>备。潜污泵将集水池的煤泥水分别提升至矿井水处理站的污泥池集中处理。</w:t>
      </w:r>
    </w:p>
    <w:p>
      <w:pPr>
        <w:pStyle w:val="13"/>
        <w:numPr>
          <w:ilvl w:val="4"/>
          <w:numId w:val="27"/>
        </w:numPr>
        <w:tabs>
          <w:tab w:val="left" w:pos="2121"/>
        </w:tabs>
        <w:spacing w:before="1" w:after="0" w:line="240" w:lineRule="auto"/>
        <w:ind w:left="2121" w:right="0" w:hanging="601"/>
        <w:jc w:val="left"/>
        <w:rPr>
          <w:sz w:val="24"/>
        </w:rPr>
      </w:pPr>
      <w:r>
        <w:rPr>
          <w:sz w:val="24"/>
        </w:rPr>
        <w:t>水量平衡分析</w:t>
      </w:r>
    </w:p>
    <w:p>
      <w:pPr>
        <w:pStyle w:val="6"/>
        <w:spacing w:before="161"/>
        <w:ind w:left="1520"/>
      </w:pPr>
      <w:r>
        <w:t xml:space="preserve">本项目工业场地水量平衡见图 </w:t>
      </w:r>
      <w:r>
        <w:rPr>
          <w:rFonts w:ascii="Times New Roman" w:eastAsia="Times New Roman"/>
        </w:rPr>
        <w:t>3.3-1</w:t>
      </w:r>
      <w:r>
        <w:t>。</w:t>
      </w:r>
    </w:p>
    <w:p>
      <w:pPr>
        <w:pStyle w:val="6"/>
        <w:spacing w:before="9"/>
        <w:rPr>
          <w:sz w:val="21"/>
        </w:rPr>
      </w:pPr>
      <w:r>
        <w:drawing>
          <wp:anchor distT="0" distB="0" distL="0" distR="0" simplePos="0" relativeHeight="1024" behindDoc="0" locked="0" layoutInCell="1" allowOverlap="1">
            <wp:simplePos x="0" y="0"/>
            <wp:positionH relativeFrom="page">
              <wp:posOffset>1627505</wp:posOffset>
            </wp:positionH>
            <wp:positionV relativeFrom="paragraph">
              <wp:posOffset>201295</wp:posOffset>
            </wp:positionV>
            <wp:extent cx="4060190" cy="291465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38" cstate="print"/>
                    <a:stretch>
                      <a:fillRect/>
                    </a:stretch>
                  </pic:blipFill>
                  <pic:spPr>
                    <a:xfrm>
                      <a:off x="0" y="0"/>
                      <a:ext cx="4060133" cy="2914650"/>
                    </a:xfrm>
                    <a:prstGeom prst="rect">
                      <a:avLst/>
                    </a:prstGeom>
                  </pic:spPr>
                </pic:pic>
              </a:graphicData>
            </a:graphic>
          </wp:anchor>
        </w:drawing>
      </w:r>
    </w:p>
    <w:p>
      <w:pPr>
        <w:pStyle w:val="6"/>
        <w:spacing w:before="9"/>
        <w:rPr>
          <w:sz w:val="10"/>
        </w:rPr>
      </w:pPr>
    </w:p>
    <w:p>
      <w:pPr>
        <w:pStyle w:val="5"/>
        <w:spacing w:before="78"/>
        <w:ind w:left="1553" w:right="1581"/>
        <w:jc w:val="center"/>
        <w:rPr>
          <w:rFonts w:ascii="Times New Roman" w:eastAsia="Times New Roman"/>
        </w:rPr>
      </w:pPr>
      <w:r>
        <w:t xml:space="preserve">图 </w:t>
      </w:r>
      <w:r>
        <w:rPr>
          <w:rFonts w:ascii="Times New Roman" w:eastAsia="Times New Roman"/>
        </w:rPr>
        <w:t xml:space="preserve">3.3-1 </w:t>
      </w:r>
      <w:r>
        <w:t xml:space="preserve">水量平衡图 </w:t>
      </w:r>
      <w:r>
        <w:rPr>
          <w:rFonts w:ascii="Times New Roman" w:eastAsia="Times New Roman"/>
        </w:rPr>
        <w:t>m</w:t>
      </w:r>
      <w:r>
        <w:rPr>
          <w:rFonts w:ascii="Times New Roman" w:eastAsia="Times New Roman"/>
          <w:position w:val="8"/>
          <w:sz w:val="15"/>
        </w:rPr>
        <w:t>3</w:t>
      </w:r>
      <w:r>
        <w:rPr>
          <w:rFonts w:ascii="Times New Roman" w:eastAsia="Times New Roman"/>
        </w:rPr>
        <w:t>/d</w:t>
      </w:r>
    </w:p>
    <w:p>
      <w:pPr>
        <w:pStyle w:val="13"/>
        <w:numPr>
          <w:ilvl w:val="3"/>
          <w:numId w:val="27"/>
        </w:numPr>
        <w:tabs>
          <w:tab w:val="left" w:pos="1820"/>
        </w:tabs>
        <w:spacing w:before="161" w:after="0" w:line="240" w:lineRule="auto"/>
        <w:ind w:left="1820" w:right="0" w:hanging="780"/>
        <w:jc w:val="left"/>
        <w:rPr>
          <w:b/>
          <w:sz w:val="24"/>
        </w:rPr>
      </w:pPr>
      <w:r>
        <w:rPr>
          <w:b/>
          <w:sz w:val="24"/>
        </w:rPr>
        <w:t>采暖供热</w:t>
      </w:r>
    </w:p>
    <w:p>
      <w:pPr>
        <w:pStyle w:val="13"/>
        <w:numPr>
          <w:ilvl w:val="0"/>
          <w:numId w:val="28"/>
        </w:numPr>
        <w:tabs>
          <w:tab w:val="left" w:pos="2121"/>
        </w:tabs>
        <w:spacing w:before="160" w:after="0" w:line="240" w:lineRule="auto"/>
        <w:ind w:left="2121" w:right="0" w:hanging="601"/>
        <w:jc w:val="left"/>
        <w:rPr>
          <w:sz w:val="24"/>
        </w:rPr>
      </w:pPr>
      <w:r>
        <w:rPr>
          <w:sz w:val="24"/>
        </w:rPr>
        <w:t>采暖</w:t>
      </w:r>
    </w:p>
    <w:p>
      <w:pPr>
        <w:pStyle w:val="6"/>
        <w:spacing w:before="161" w:line="364" w:lineRule="auto"/>
        <w:ind w:left="1040" w:right="1077" w:firstLine="480"/>
      </w:pPr>
      <w:r>
        <w:rPr>
          <w:spacing w:val="-5"/>
        </w:rPr>
        <w:t xml:space="preserve">工业场地的锅炉房设备选用 </w:t>
      </w:r>
      <w:r>
        <w:rPr>
          <w:rFonts w:ascii="Times New Roman" w:eastAsia="Times New Roman"/>
        </w:rPr>
        <w:t xml:space="preserve">1 </w:t>
      </w:r>
      <w:r>
        <w:rPr>
          <w:spacing w:val="-30"/>
        </w:rPr>
        <w:t xml:space="preserve">台 </w:t>
      </w:r>
      <w:r>
        <w:rPr>
          <w:rFonts w:ascii="Times New Roman" w:eastAsia="Times New Roman"/>
        </w:rPr>
        <w:t xml:space="preserve">1.4MW </w:t>
      </w:r>
      <w:r>
        <w:rPr>
          <w:spacing w:val="-2"/>
        </w:rPr>
        <w:t>热水锅炉，全年运行，用于地面建</w:t>
      </w:r>
      <w:r>
        <w:t>筑采暖、员工洗浴、干燥。</w:t>
      </w:r>
    </w:p>
    <w:p>
      <w:pPr>
        <w:pStyle w:val="13"/>
        <w:numPr>
          <w:ilvl w:val="0"/>
          <w:numId w:val="28"/>
        </w:numPr>
        <w:tabs>
          <w:tab w:val="left" w:pos="2121"/>
        </w:tabs>
        <w:spacing w:before="1" w:after="0" w:line="240" w:lineRule="auto"/>
        <w:ind w:left="2121" w:right="0" w:hanging="601"/>
        <w:jc w:val="left"/>
        <w:rPr>
          <w:sz w:val="24"/>
        </w:rPr>
      </w:pPr>
      <w:r>
        <w:rPr>
          <w:sz w:val="24"/>
        </w:rPr>
        <w:t>井筒防冻</w:t>
      </w:r>
    </w:p>
    <w:p>
      <w:pPr>
        <w:pStyle w:val="6"/>
        <w:spacing w:before="160"/>
        <w:ind w:left="1520"/>
      </w:pPr>
      <w:r>
        <w:t xml:space="preserve">设置 </w:t>
      </w:r>
      <w:r>
        <w:rPr>
          <w:rFonts w:ascii="Times New Roman" w:eastAsia="Times New Roman"/>
        </w:rPr>
        <w:t xml:space="preserve">1 </w:t>
      </w:r>
      <w:r>
        <w:t xml:space="preserve">台 </w:t>
      </w:r>
      <w:r>
        <w:rPr>
          <w:rFonts w:ascii="Times New Roman" w:eastAsia="Times New Roman"/>
        </w:rPr>
        <w:t xml:space="preserve">4.2MW </w:t>
      </w:r>
      <w:r>
        <w:t>热风炉，冬季运行，用于井筒防冻。</w:t>
      </w:r>
    </w:p>
    <w:p>
      <w:pPr>
        <w:pStyle w:val="13"/>
        <w:numPr>
          <w:ilvl w:val="0"/>
          <w:numId w:val="28"/>
        </w:numPr>
        <w:tabs>
          <w:tab w:val="left" w:pos="2121"/>
        </w:tabs>
        <w:spacing w:before="161" w:after="0" w:line="240" w:lineRule="auto"/>
        <w:ind w:left="2121" w:right="0" w:hanging="601"/>
        <w:jc w:val="left"/>
        <w:rPr>
          <w:sz w:val="24"/>
        </w:rPr>
      </w:pPr>
      <w:r>
        <w:rPr>
          <w:sz w:val="24"/>
        </w:rPr>
        <w:t>燃料</w:t>
      </w:r>
    </w:p>
    <w:p>
      <w:pPr>
        <w:pStyle w:val="6"/>
        <w:spacing w:before="160"/>
        <w:ind w:left="1520"/>
      </w:pPr>
      <w:r>
        <w:t>锅炉和热风炉燃料均为生物质燃料。</w:t>
      </w:r>
    </w:p>
    <w:p>
      <w:pPr>
        <w:pStyle w:val="4"/>
        <w:numPr>
          <w:ilvl w:val="2"/>
          <w:numId w:val="16"/>
        </w:numPr>
        <w:tabs>
          <w:tab w:val="left" w:pos="1669"/>
        </w:tabs>
        <w:spacing w:before="82" w:after="0" w:line="240" w:lineRule="auto"/>
        <w:ind w:left="1668" w:right="0" w:hanging="629"/>
        <w:jc w:val="left"/>
      </w:pPr>
      <w:bookmarkStart w:id="104" w:name="3.3.5供电"/>
      <w:bookmarkEnd w:id="104"/>
      <w:bookmarkStart w:id="105" w:name="3.3.5供电"/>
      <w:bookmarkEnd w:id="105"/>
      <w:r>
        <w:t>供电</w:t>
      </w:r>
    </w:p>
    <w:p>
      <w:pPr>
        <w:pStyle w:val="6"/>
        <w:spacing w:before="265" w:line="364" w:lineRule="auto"/>
        <w:ind w:left="1040" w:right="1077" w:firstLine="480"/>
        <w:jc w:val="both"/>
      </w:pPr>
      <w:r>
        <w:rPr>
          <w:spacing w:val="2"/>
        </w:rPr>
        <w:t>双电源来自双鸭集团岭东供电公司东三甲线和由来自双鸭集团岭东供电公</w:t>
      </w:r>
      <w:r>
        <w:rPr>
          <w:spacing w:val="-9"/>
        </w:rPr>
        <w:t xml:space="preserve">司东七乙线 </w:t>
      </w:r>
      <w:r>
        <w:rPr>
          <w:rFonts w:ascii="Times New Roman" w:eastAsia="Times New Roman"/>
        </w:rPr>
        <w:t xml:space="preserve">10kV </w:t>
      </w:r>
      <w:r>
        <w:rPr>
          <w:spacing w:val="-5"/>
        </w:rPr>
        <w:t xml:space="preserve">高压架空线，经地面变电所 </w:t>
      </w:r>
      <w:r>
        <w:rPr>
          <w:rFonts w:ascii="Times New Roman" w:eastAsia="Times New Roman"/>
        </w:rPr>
        <w:t xml:space="preserve">4 </w:t>
      </w:r>
      <w:r>
        <w:rPr>
          <w:spacing w:val="-28"/>
        </w:rPr>
        <w:t xml:space="preserve">台 </w:t>
      </w:r>
      <w:r>
        <w:rPr>
          <w:rFonts w:ascii="Times New Roman" w:eastAsia="Times New Roman"/>
        </w:rPr>
        <w:t>S9-400/10</w:t>
      </w:r>
      <w:r>
        <w:t>，两台变压器降压</w:t>
      </w:r>
      <w:r>
        <w:rPr>
          <w:spacing w:val="-27"/>
        </w:rPr>
        <w:t xml:space="preserve">后 </w:t>
      </w:r>
      <w:r>
        <w:rPr>
          <w:rFonts w:ascii="Times New Roman" w:eastAsia="Times New Roman"/>
        </w:rPr>
        <w:t xml:space="preserve">380V </w:t>
      </w:r>
      <w:r>
        <w:rPr>
          <w:spacing w:val="-3"/>
        </w:rPr>
        <w:t xml:space="preserve">进入地面各用电地点，两台进入井下变压器降压后 </w:t>
      </w:r>
      <w:r>
        <w:rPr>
          <w:rFonts w:ascii="Times New Roman" w:eastAsia="Times New Roman"/>
        </w:rPr>
        <w:t xml:space="preserve">660V </w:t>
      </w:r>
      <w:r>
        <w:t>入井进入各用电地点。</w:t>
      </w:r>
    </w:p>
    <w:p>
      <w:pPr>
        <w:spacing w:after="0" w:line="364" w:lineRule="auto"/>
        <w:jc w:val="both"/>
        <w:sectPr>
          <w:footerReference r:id="rId10" w:type="default"/>
          <w:pgSz w:w="11910" w:h="16840"/>
          <w:pgMar w:top="1080" w:right="720" w:bottom="1160" w:left="760" w:header="0" w:footer="971" w:gutter="0"/>
          <w:pgNumType w:start="5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240" name="组合 68"/>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239" name="直线 69"/>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68"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aCLtQAAAADAQAADwAAAAAAAAABACAAAAAiAAAAZHJzL2Rvd25yZXYueG1s&#10;UEsBAhQAFAAAAAgAh07iQCyDjB41AgAAtgQAAA4AAAAAAAAAAQAgAAAAIwEAAGRycy9lMm9Eb2Mu&#10;eG1sUEsFBgAAAAAGAAYAWQEAAMoFAAAAAA==&#10;">
                <o:lock v:ext="edit" aspectratio="f"/>
                <v:line id="直线 69" o:spid="_x0000_s1026" o:spt="20" style="position:absolute;left:0;top:7;height:0;width:8306;" filled="f" stroked="t" coordsize="21600,21600" o:gfxdata="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xZ9L4A&#10;AADcAAAADwAAAAAAAAABACAAAAAiAAAAZHJzL2Rvd25yZXYueG1sUEsBAhQAFAAAAAgAh07iQDMv&#10;BZ47AAAAOQAAABAAAAAAAAAAAQAgAAAADQEAAGRycy9zaGFwZXhtbC54bWxQSwUGAAAAAAYABgBb&#10;AQAAtwMAAAAA&#10;">
                  <v:fill on="f" focussize="0,0"/>
                  <v:stroke weight="0.72pt" color="#000000" joinstyle="round"/>
                  <v:imagedata o:title=""/>
                  <o:lock v:ext="edit" aspectratio="f"/>
                </v:line>
                <w10:wrap type="none"/>
                <w10:anchorlock/>
              </v:group>
            </w:pict>
          </mc:Fallback>
        </mc:AlternateContent>
      </w:r>
    </w:p>
    <w:p>
      <w:pPr>
        <w:pStyle w:val="6"/>
        <w:spacing w:before="1"/>
        <w:rPr>
          <w:sz w:val="29"/>
        </w:rPr>
      </w:pPr>
    </w:p>
    <w:p>
      <w:pPr>
        <w:pStyle w:val="3"/>
        <w:numPr>
          <w:ilvl w:val="1"/>
          <w:numId w:val="29"/>
        </w:numPr>
        <w:tabs>
          <w:tab w:val="left" w:pos="1566"/>
        </w:tabs>
        <w:spacing w:before="70" w:after="0" w:line="240" w:lineRule="auto"/>
        <w:ind w:left="1565" w:right="0" w:hanging="526"/>
        <w:jc w:val="left"/>
      </w:pPr>
      <w:bookmarkStart w:id="106" w:name="3.4 污染源及环境影响因素分析"/>
      <w:bookmarkEnd w:id="106"/>
      <w:bookmarkStart w:id="107" w:name="_bookmark18"/>
      <w:bookmarkEnd w:id="107"/>
      <w:bookmarkStart w:id="108" w:name="_bookmark18"/>
      <w:bookmarkEnd w:id="108"/>
      <w:r>
        <w:t>污染源及环境影响因素分析</w:t>
      </w:r>
    </w:p>
    <w:p>
      <w:pPr>
        <w:pStyle w:val="4"/>
        <w:numPr>
          <w:ilvl w:val="2"/>
          <w:numId w:val="29"/>
        </w:numPr>
        <w:tabs>
          <w:tab w:val="left" w:pos="1669"/>
        </w:tabs>
        <w:spacing w:before="121" w:after="0" w:line="240" w:lineRule="auto"/>
        <w:ind w:left="1668" w:right="0" w:hanging="629"/>
        <w:jc w:val="left"/>
      </w:pPr>
      <w:bookmarkStart w:id="109" w:name="3.4.1原有工程现存的主要环境问题"/>
      <w:bookmarkEnd w:id="109"/>
      <w:bookmarkStart w:id="110" w:name="3.4.1原有工程现存的主要环境问题"/>
      <w:bookmarkEnd w:id="110"/>
      <w:r>
        <w:t>原有工程现存的主要环境问题</w:t>
      </w:r>
    </w:p>
    <w:p>
      <w:pPr>
        <w:pStyle w:val="6"/>
        <w:spacing w:before="182" w:line="364" w:lineRule="auto"/>
        <w:ind w:left="1040" w:right="955" w:firstLine="480"/>
      </w:pPr>
      <w:r>
        <w:rPr>
          <w:rFonts w:ascii="Times New Roman" w:eastAsia="Times New Roman"/>
          <w:position w:val="2"/>
        </w:rPr>
        <w:t>1</w:t>
      </w:r>
      <w:r>
        <w:rPr>
          <w:position w:val="2"/>
        </w:rPr>
        <w:t>、矿区生活污水直接排放，</w:t>
      </w:r>
      <w:r>
        <w:rPr>
          <w:rFonts w:ascii="Times New Roman" w:eastAsia="Times New Roman"/>
          <w:position w:val="2"/>
        </w:rPr>
        <w:t>COD</w:t>
      </w:r>
      <w:r>
        <w:rPr>
          <w:position w:val="2"/>
        </w:rPr>
        <w:t>、</w:t>
      </w:r>
      <w:r>
        <w:rPr>
          <w:rFonts w:ascii="Times New Roman" w:eastAsia="Times New Roman"/>
          <w:position w:val="2"/>
        </w:rPr>
        <w:t>BOD</w:t>
      </w:r>
      <w:r>
        <w:rPr>
          <w:rFonts w:ascii="Times New Roman" w:eastAsia="Times New Roman"/>
          <w:position w:val="2"/>
          <w:vertAlign w:val="subscript"/>
        </w:rPr>
        <w:t>5</w:t>
      </w:r>
      <w:r>
        <w:rPr>
          <w:rFonts w:ascii="Times New Roman" w:eastAsia="Times New Roman"/>
          <w:position w:val="2"/>
          <w:vertAlign w:val="baseline"/>
        </w:rPr>
        <w:t xml:space="preserve"> </w:t>
      </w:r>
      <w:r>
        <w:rPr>
          <w:position w:val="2"/>
          <w:vertAlign w:val="baseline"/>
        </w:rPr>
        <w:t>和氨氮浓度较高，矿井涌水及生</w:t>
      </w:r>
      <w:r>
        <w:rPr>
          <w:spacing w:val="-9"/>
          <w:vertAlign w:val="baseline"/>
        </w:rPr>
        <w:t>活污水排放浓度不能够满足《煤炭工业污染物排放标准》</w:t>
      </w:r>
      <w:r>
        <w:rPr>
          <w:spacing w:val="-4"/>
          <w:vertAlign w:val="baseline"/>
        </w:rPr>
        <w:t>（</w:t>
      </w:r>
      <w:r>
        <w:rPr>
          <w:rFonts w:ascii="Times New Roman" w:eastAsia="Times New Roman"/>
          <w:spacing w:val="-4"/>
          <w:vertAlign w:val="baseline"/>
        </w:rPr>
        <w:t>GB20426-2006</w:t>
      </w:r>
      <w:r>
        <w:rPr>
          <w:spacing w:val="-4"/>
          <w:vertAlign w:val="baseline"/>
        </w:rPr>
        <w:t>）</w:t>
      </w:r>
      <w:r>
        <w:rPr>
          <w:spacing w:val="-29"/>
          <w:vertAlign w:val="baseline"/>
        </w:rPr>
        <w:t xml:space="preserve">表 </w:t>
      </w:r>
      <w:r>
        <w:rPr>
          <w:rFonts w:ascii="Times New Roman" w:eastAsia="Times New Roman"/>
          <w:vertAlign w:val="baseline"/>
        </w:rPr>
        <w:t>1</w:t>
      </w:r>
      <w:r>
        <w:rPr>
          <w:spacing w:val="-15"/>
          <w:vertAlign w:val="baseline"/>
        </w:rPr>
        <w:t>、</w:t>
      </w:r>
      <w:r>
        <w:rPr>
          <w:rFonts w:ascii="Times New Roman" w:eastAsia="Times New Roman"/>
          <w:vertAlign w:val="baseline"/>
        </w:rPr>
        <w:t xml:space="preserve">2 </w:t>
      </w:r>
      <w:r>
        <w:rPr>
          <w:vertAlign w:val="baseline"/>
        </w:rPr>
        <w:t>标准限值。</w:t>
      </w:r>
    </w:p>
    <w:p>
      <w:pPr>
        <w:pStyle w:val="6"/>
        <w:spacing w:line="362" w:lineRule="auto"/>
        <w:ind w:left="1040" w:right="1077" w:firstLine="480"/>
      </w:pPr>
      <w:r>
        <w:rPr>
          <w:rFonts w:ascii="Times New Roman" w:eastAsia="Times New Roman"/>
        </w:rPr>
        <w:t>2</w:t>
      </w:r>
      <w:r>
        <w:t>、煤场、临时矸石堆置场无洒水设施，矸石翻倒时及煤场、临时矸石堆置场产生粉尘，无相应生物收集处理措施，对周围环境有一定影响。</w:t>
      </w:r>
    </w:p>
    <w:p>
      <w:pPr>
        <w:pStyle w:val="6"/>
        <w:spacing w:before="3"/>
        <w:ind w:left="1520"/>
      </w:pPr>
      <w:r>
        <w:rPr>
          <w:rFonts w:ascii="Times New Roman" w:eastAsia="Times New Roman"/>
        </w:rPr>
        <w:t>3</w:t>
      </w:r>
      <w:r>
        <w:t>、燃煤锅炉无除尘设施，烟尘排放浓度达不到《锅炉大气污染物排放标准》</w:t>
      </w:r>
    </w:p>
    <w:p>
      <w:pPr>
        <w:pStyle w:val="6"/>
        <w:spacing w:before="158"/>
        <w:ind w:left="1040"/>
      </w:pPr>
      <w:r>
        <w:t>（</w:t>
      </w:r>
      <w:r>
        <w:rPr>
          <w:rFonts w:ascii="Times New Roman" w:eastAsia="Times New Roman"/>
        </w:rPr>
        <w:t>GB13271-2014</w:t>
      </w:r>
      <w:r>
        <w:t xml:space="preserve">）中表 </w:t>
      </w:r>
      <w:r>
        <w:rPr>
          <w:rFonts w:ascii="Times New Roman" w:eastAsia="Times New Roman"/>
        </w:rPr>
        <w:t xml:space="preserve">1 </w:t>
      </w:r>
      <w:r>
        <w:t>燃煤锅炉排放限值要求。</w:t>
      </w:r>
    </w:p>
    <w:p>
      <w:pPr>
        <w:pStyle w:val="4"/>
        <w:numPr>
          <w:ilvl w:val="2"/>
          <w:numId w:val="29"/>
        </w:numPr>
        <w:tabs>
          <w:tab w:val="left" w:pos="1669"/>
        </w:tabs>
        <w:spacing w:before="161" w:after="0" w:line="240" w:lineRule="auto"/>
        <w:ind w:left="1668" w:right="0" w:hanging="629"/>
        <w:jc w:val="left"/>
      </w:pPr>
      <w:bookmarkStart w:id="111" w:name="3.4.2改扩建后工程污染源分析"/>
      <w:bookmarkEnd w:id="111"/>
      <w:bookmarkStart w:id="112" w:name="3.4.2改扩建后工程污染源分析"/>
      <w:bookmarkEnd w:id="112"/>
      <w:r>
        <w:t>改扩建后工程污染源分析</w:t>
      </w:r>
    </w:p>
    <w:p>
      <w:pPr>
        <w:pStyle w:val="6"/>
        <w:spacing w:before="185"/>
        <w:ind w:left="1520"/>
      </w:pPr>
      <w:r>
        <w:rPr>
          <w:rFonts w:ascii="Times New Roman" w:eastAsia="Times New Roman"/>
        </w:rPr>
        <w:t>1</w:t>
      </w:r>
      <w:r>
        <w:t>、建设期污染影响因素分析</w:t>
      </w:r>
    </w:p>
    <w:p>
      <w:pPr>
        <w:pStyle w:val="13"/>
        <w:numPr>
          <w:ilvl w:val="3"/>
          <w:numId w:val="29"/>
        </w:numPr>
        <w:tabs>
          <w:tab w:val="left" w:pos="2121"/>
        </w:tabs>
        <w:spacing w:before="158" w:after="0" w:line="240" w:lineRule="auto"/>
        <w:ind w:left="2121" w:right="0" w:hanging="601"/>
        <w:jc w:val="left"/>
        <w:rPr>
          <w:sz w:val="24"/>
        </w:rPr>
      </w:pPr>
      <w:r>
        <w:rPr>
          <w:sz w:val="24"/>
        </w:rPr>
        <w:t>大气污染</w:t>
      </w:r>
    </w:p>
    <w:p>
      <w:pPr>
        <w:pStyle w:val="6"/>
        <w:spacing w:before="161" w:line="364" w:lineRule="auto"/>
        <w:ind w:left="1040" w:right="1077" w:firstLine="480"/>
        <w:jc w:val="both"/>
      </w:pPr>
      <w:r>
        <w:rPr>
          <w:spacing w:val="-5"/>
        </w:rPr>
        <w:t>主要为平整场地剥离表土后裸露地表在大风气象条件下的风蚀扬尘，建筑材</w:t>
      </w:r>
      <w:r>
        <w:rPr>
          <w:spacing w:val="-11"/>
        </w:rPr>
        <w:t>料运输、装卸中的扬尘，土方运输车辆行驶产生的扬尘，临时物料堆放场产生的</w:t>
      </w:r>
      <w:r>
        <w:rPr>
          <w:spacing w:val="-10"/>
        </w:rPr>
        <w:t>风蚀扬尘，混凝土搅拌站产生的水泥粉尘等。污染物大多为无组织排放，主要污</w:t>
      </w:r>
      <w:r>
        <w:t>染物为粉尘。</w:t>
      </w:r>
    </w:p>
    <w:p>
      <w:pPr>
        <w:pStyle w:val="13"/>
        <w:numPr>
          <w:ilvl w:val="3"/>
          <w:numId w:val="29"/>
        </w:numPr>
        <w:tabs>
          <w:tab w:val="left" w:pos="2121"/>
        </w:tabs>
        <w:spacing w:before="0" w:after="0" w:line="305" w:lineRule="exact"/>
        <w:ind w:left="2121" w:right="0" w:hanging="601"/>
        <w:jc w:val="left"/>
        <w:rPr>
          <w:sz w:val="24"/>
        </w:rPr>
      </w:pPr>
      <w:r>
        <w:rPr>
          <w:sz w:val="24"/>
        </w:rPr>
        <w:t>水污染</w:t>
      </w:r>
    </w:p>
    <w:p>
      <w:pPr>
        <w:pStyle w:val="6"/>
        <w:spacing w:before="158" w:line="364" w:lineRule="auto"/>
        <w:ind w:left="1040" w:right="1077" w:firstLine="480"/>
        <w:jc w:val="both"/>
      </w:pPr>
      <w:r>
        <w:rPr>
          <w:spacing w:val="-6"/>
        </w:rPr>
        <w:t>主要为施工废水和施工人员日常生活污水。施工废水主要有：地面建筑施工</w:t>
      </w:r>
      <w:r>
        <w:rPr>
          <w:spacing w:val="-10"/>
        </w:rPr>
        <w:t>过程中砖石清洗、砂浆搅拌等产生的废水；矿井井筒施工穿越地下含水层而造成</w:t>
      </w:r>
      <w:r>
        <w:rPr>
          <w:spacing w:val="-3"/>
          <w:position w:val="2"/>
        </w:rPr>
        <w:t xml:space="preserve">的含水层疏干水；生活污水量很少，主要污染物为 </w:t>
      </w:r>
      <w:r>
        <w:rPr>
          <w:rFonts w:ascii="Times New Roman" w:eastAsia="Times New Roman"/>
          <w:position w:val="2"/>
        </w:rPr>
        <w:t>SS</w:t>
      </w:r>
      <w:r>
        <w:rPr>
          <w:position w:val="2"/>
        </w:rPr>
        <w:t>、</w:t>
      </w:r>
      <w:r>
        <w:rPr>
          <w:rFonts w:ascii="Times New Roman" w:eastAsia="Times New Roman"/>
          <w:position w:val="2"/>
        </w:rPr>
        <w:t>BOD</w:t>
      </w:r>
      <w:r>
        <w:rPr>
          <w:rFonts w:ascii="Times New Roman" w:eastAsia="Times New Roman"/>
          <w:position w:val="2"/>
          <w:vertAlign w:val="subscript"/>
        </w:rPr>
        <w:t>5</w:t>
      </w:r>
      <w:r>
        <w:rPr>
          <w:position w:val="2"/>
          <w:vertAlign w:val="baseline"/>
        </w:rPr>
        <w:t>、</w:t>
      </w:r>
      <w:r>
        <w:rPr>
          <w:rFonts w:ascii="Times New Roman" w:eastAsia="Times New Roman"/>
          <w:position w:val="2"/>
          <w:vertAlign w:val="baseline"/>
        </w:rPr>
        <w:t>COD</w:t>
      </w:r>
      <w:r>
        <w:rPr>
          <w:position w:val="2"/>
          <w:vertAlign w:val="baseline"/>
        </w:rPr>
        <w:t>、氨氮。</w:t>
      </w:r>
    </w:p>
    <w:p>
      <w:pPr>
        <w:pStyle w:val="13"/>
        <w:numPr>
          <w:ilvl w:val="3"/>
          <w:numId w:val="29"/>
        </w:numPr>
        <w:tabs>
          <w:tab w:val="left" w:pos="2121"/>
        </w:tabs>
        <w:spacing w:before="0" w:after="0" w:line="302" w:lineRule="exact"/>
        <w:ind w:left="2121" w:right="0" w:hanging="601"/>
        <w:jc w:val="left"/>
        <w:rPr>
          <w:sz w:val="24"/>
        </w:rPr>
      </w:pPr>
      <w:r>
        <w:rPr>
          <w:sz w:val="24"/>
        </w:rPr>
        <w:t>固体废物</w:t>
      </w:r>
    </w:p>
    <w:p>
      <w:pPr>
        <w:pStyle w:val="6"/>
        <w:spacing w:before="161" w:line="364" w:lineRule="auto"/>
        <w:ind w:left="1040" w:right="1077" w:firstLine="480"/>
        <w:jc w:val="both"/>
      </w:pPr>
      <w:r>
        <w:rPr>
          <w:spacing w:val="-11"/>
        </w:rPr>
        <w:t>主要为井筒、井底车场、硐室和大巷开凿排出的岩石；地面建筑物施工过程</w:t>
      </w:r>
      <w:r>
        <w:rPr>
          <w:spacing w:val="-6"/>
        </w:rPr>
        <w:t>中排放的建筑垃圾和少量生活垃圾。如随意堆放将占压土地，雨水冲刷可能污染</w:t>
      </w:r>
      <w:r>
        <w:t>土壤和水体，大风干燥季节可能形成扬尘污染。</w:t>
      </w:r>
    </w:p>
    <w:p>
      <w:pPr>
        <w:pStyle w:val="13"/>
        <w:numPr>
          <w:ilvl w:val="3"/>
          <w:numId w:val="29"/>
        </w:numPr>
        <w:tabs>
          <w:tab w:val="left" w:pos="2121"/>
        </w:tabs>
        <w:spacing w:before="0" w:after="0" w:line="305" w:lineRule="exact"/>
        <w:ind w:left="2121" w:right="0" w:hanging="601"/>
        <w:jc w:val="left"/>
        <w:rPr>
          <w:sz w:val="24"/>
        </w:rPr>
      </w:pPr>
      <w:r>
        <w:rPr>
          <w:sz w:val="24"/>
        </w:rPr>
        <w:t>噪声</w:t>
      </w:r>
    </w:p>
    <w:p>
      <w:pPr>
        <w:pStyle w:val="6"/>
        <w:spacing w:before="160" w:line="362" w:lineRule="auto"/>
        <w:ind w:left="1040" w:right="1077" w:firstLine="480"/>
      </w:pPr>
      <w:r>
        <w:rPr>
          <w:spacing w:val="-8"/>
        </w:rPr>
        <w:t>主要为施工机械，如混凝土搅拌机、提升机、挖掘机、临时风机及汽车运输</w:t>
      </w:r>
      <w:r>
        <w:t>等产生的噪声。</w:t>
      </w:r>
    </w:p>
    <w:p>
      <w:pPr>
        <w:pStyle w:val="6"/>
        <w:spacing w:before="5"/>
        <w:ind w:left="1520"/>
      </w:pPr>
      <w:r>
        <w:rPr>
          <w:rFonts w:ascii="Times New Roman" w:eastAsia="Times New Roman"/>
        </w:rPr>
        <w:t>2</w:t>
      </w:r>
      <w:r>
        <w:t>、运营期污染影响因素分析</w:t>
      </w:r>
    </w:p>
    <w:p>
      <w:pPr>
        <w:pStyle w:val="13"/>
        <w:numPr>
          <w:ilvl w:val="0"/>
          <w:numId w:val="30"/>
        </w:numPr>
        <w:tabs>
          <w:tab w:val="left" w:pos="2121"/>
        </w:tabs>
        <w:spacing w:before="158" w:after="0" w:line="240" w:lineRule="auto"/>
        <w:ind w:left="2121" w:right="0" w:hanging="601"/>
        <w:jc w:val="left"/>
        <w:rPr>
          <w:sz w:val="24"/>
        </w:rPr>
      </w:pPr>
      <w:r>
        <w:rPr>
          <w:sz w:val="24"/>
        </w:rPr>
        <w:t>大气污染</w:t>
      </w:r>
    </w:p>
    <w:p>
      <w:pPr>
        <w:spacing w:after="0" w:line="240" w:lineRule="auto"/>
        <w:jc w:val="left"/>
        <w:rPr>
          <w:sz w:val="24"/>
        </w:rPr>
        <w:sectPr>
          <w:pgSz w:w="11910" w:h="16840"/>
          <w:pgMar w:top="1080" w:right="720" w:bottom="1160" w:left="760" w:header="0" w:footer="97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242" name="组合 70"/>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241" name="直线 71"/>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70"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u2gi7UAAAAAwEAAA8AAAAAAAAAAQAgAAAAIgAAAGRycy9kb3ducmV2LnhtbFBL&#10;AQIUABQAAAAIAIdO4kBkZDejMwIAALYEAAAOAAAAAAAAAAEAIAAAACMBAABkcnMvZTJvRG9jLnht&#10;bFBLBQYAAAAABgAGAFkBAADIBQAAAAA=&#10;">
                <o:lock v:ext="edit" aspectratio="f"/>
                <v:line id="直线 71" o:spid="_x0000_s1026" o:spt="20" style="position:absolute;left:0;top:7;height:0;width:8306;" filled="f" stroked="t" coordsize="21600,21600" o:gfxdata="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zCaP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pStyle w:val="6"/>
        <w:spacing w:before="5"/>
        <w:rPr>
          <w:sz w:val="19"/>
        </w:rPr>
      </w:pPr>
    </w:p>
    <w:p>
      <w:pPr>
        <w:pStyle w:val="6"/>
        <w:spacing w:before="71" w:line="364" w:lineRule="auto"/>
        <w:ind w:left="1040" w:right="1075" w:firstLine="480"/>
        <w:jc w:val="both"/>
      </w:pPr>
      <w:r>
        <w:rPr>
          <w:spacing w:val="-3"/>
          <w:position w:val="2"/>
        </w:rPr>
        <w:t xml:space="preserve">主要污染源为热风炉和锅炉有组织排放的 </w:t>
      </w:r>
      <w:r>
        <w:rPr>
          <w:rFonts w:ascii="Times New Roman" w:eastAsia="Times New Roman"/>
          <w:position w:val="2"/>
        </w:rPr>
        <w:t>SO</w:t>
      </w:r>
      <w:r>
        <w:rPr>
          <w:rFonts w:ascii="Times New Roman" w:eastAsia="Times New Roman"/>
          <w:position w:val="2"/>
          <w:vertAlign w:val="subscript"/>
        </w:rPr>
        <w:t>2</w:t>
      </w:r>
      <w:r>
        <w:rPr>
          <w:position w:val="2"/>
          <w:vertAlign w:val="baseline"/>
        </w:rPr>
        <w:t>、</w:t>
      </w:r>
      <w:r>
        <w:rPr>
          <w:rFonts w:ascii="Times New Roman" w:eastAsia="Times New Roman"/>
          <w:position w:val="2"/>
          <w:vertAlign w:val="baseline"/>
        </w:rPr>
        <w:t xml:space="preserve">NOx </w:t>
      </w:r>
      <w:r>
        <w:rPr>
          <w:position w:val="2"/>
          <w:vertAlign w:val="baseline"/>
        </w:rPr>
        <w:t>和颗粒物（</w:t>
      </w:r>
      <w:r>
        <w:rPr>
          <w:rFonts w:ascii="Times New Roman" w:eastAsia="Times New Roman"/>
          <w:position w:val="2"/>
          <w:vertAlign w:val="baseline"/>
        </w:rPr>
        <w:t>PM10</w:t>
      </w:r>
      <w:r>
        <w:rPr>
          <w:position w:val="2"/>
          <w:vertAlign w:val="baseline"/>
        </w:rPr>
        <w:t xml:space="preserve">）； </w:t>
      </w:r>
      <w:r>
        <w:rPr>
          <w:spacing w:val="-3"/>
          <w:vertAlign w:val="baseline"/>
        </w:rPr>
        <w:t>原煤输送、筛分、储存和装卸无组织排放的颗粒物（</w:t>
      </w:r>
      <w:r>
        <w:rPr>
          <w:rFonts w:ascii="Times New Roman" w:eastAsia="Times New Roman"/>
          <w:spacing w:val="-3"/>
          <w:vertAlign w:val="baseline"/>
        </w:rPr>
        <w:t>TSP</w:t>
      </w:r>
      <w:r>
        <w:rPr>
          <w:spacing w:val="-3"/>
          <w:vertAlign w:val="baseline"/>
        </w:rPr>
        <w:t>）；</w:t>
      </w:r>
      <w:r>
        <w:rPr>
          <w:spacing w:val="-2"/>
          <w:vertAlign w:val="baseline"/>
        </w:rPr>
        <w:t>矸石储存无组织排</w:t>
      </w:r>
      <w:r>
        <w:rPr>
          <w:vertAlign w:val="baseline"/>
        </w:rPr>
        <w:t>放的颗粒物（</w:t>
      </w:r>
      <w:r>
        <w:rPr>
          <w:rFonts w:ascii="Times New Roman" w:eastAsia="Times New Roman"/>
          <w:vertAlign w:val="baseline"/>
        </w:rPr>
        <w:t>TSP</w:t>
      </w:r>
      <w:r>
        <w:rPr>
          <w:vertAlign w:val="baseline"/>
        </w:rPr>
        <w:t>）。</w:t>
      </w:r>
    </w:p>
    <w:p>
      <w:pPr>
        <w:pStyle w:val="13"/>
        <w:numPr>
          <w:ilvl w:val="0"/>
          <w:numId w:val="30"/>
        </w:numPr>
        <w:tabs>
          <w:tab w:val="left" w:pos="2121"/>
        </w:tabs>
        <w:spacing w:before="0" w:after="0" w:line="306" w:lineRule="exact"/>
        <w:ind w:left="2121" w:right="0" w:hanging="601"/>
        <w:jc w:val="left"/>
        <w:rPr>
          <w:sz w:val="24"/>
        </w:rPr>
      </w:pPr>
      <w:r>
        <w:rPr>
          <w:sz w:val="24"/>
        </w:rPr>
        <w:t>水污染</w:t>
      </w:r>
    </w:p>
    <w:p>
      <w:pPr>
        <w:pStyle w:val="6"/>
        <w:spacing w:before="158"/>
        <w:ind w:left="1520"/>
        <w:rPr>
          <w:rFonts w:ascii="Times New Roman" w:eastAsia="Times New Roman"/>
        </w:rPr>
      </w:pPr>
      <w:r>
        <w:t>主要污染源为矿井水和生活污水，其中，矿井水中主要污染物为</w:t>
      </w:r>
      <w:r>
        <w:rPr>
          <w:rFonts w:ascii="Times New Roman" w:eastAsia="Times New Roman"/>
        </w:rPr>
        <w:t>COD</w:t>
      </w:r>
      <w:r>
        <w:t>、</w:t>
      </w:r>
      <w:r>
        <w:rPr>
          <w:rFonts w:ascii="Times New Roman" w:eastAsia="Times New Roman"/>
        </w:rPr>
        <w:t>SS</w:t>
      </w:r>
    </w:p>
    <w:p>
      <w:pPr>
        <w:pStyle w:val="6"/>
        <w:spacing w:before="157"/>
        <w:ind w:left="1040"/>
      </w:pPr>
      <w:r>
        <w:rPr>
          <w:position w:val="2"/>
        </w:rPr>
        <w:t xml:space="preserve">和石油类，生活污水中主要污染物为 </w:t>
      </w:r>
      <w:r>
        <w:rPr>
          <w:rFonts w:ascii="Times New Roman" w:eastAsia="Times New Roman"/>
          <w:position w:val="2"/>
        </w:rPr>
        <w:t>COD</w:t>
      </w:r>
      <w:r>
        <w:rPr>
          <w:position w:val="2"/>
        </w:rPr>
        <w:t>、</w:t>
      </w:r>
      <w:r>
        <w:rPr>
          <w:rFonts w:ascii="Times New Roman" w:eastAsia="Times New Roman"/>
          <w:position w:val="2"/>
        </w:rPr>
        <w:t>BOD</w:t>
      </w:r>
      <w:r>
        <w:rPr>
          <w:rFonts w:ascii="Times New Roman" w:eastAsia="Times New Roman"/>
          <w:position w:val="2"/>
          <w:vertAlign w:val="subscript"/>
        </w:rPr>
        <w:t>5</w:t>
      </w:r>
      <w:r>
        <w:rPr>
          <w:position w:val="2"/>
          <w:vertAlign w:val="baseline"/>
        </w:rPr>
        <w:t>、</w:t>
      </w:r>
      <w:r>
        <w:rPr>
          <w:rFonts w:ascii="Times New Roman" w:eastAsia="Times New Roman"/>
          <w:position w:val="2"/>
          <w:vertAlign w:val="baseline"/>
        </w:rPr>
        <w:t>SS</w:t>
      </w:r>
      <w:r>
        <w:rPr>
          <w:position w:val="2"/>
          <w:vertAlign w:val="baseline"/>
        </w:rPr>
        <w:t>、氨氮和石油类。</w:t>
      </w:r>
    </w:p>
    <w:p>
      <w:pPr>
        <w:pStyle w:val="13"/>
        <w:numPr>
          <w:ilvl w:val="0"/>
          <w:numId w:val="30"/>
        </w:numPr>
        <w:tabs>
          <w:tab w:val="left" w:pos="2121"/>
        </w:tabs>
        <w:spacing w:before="157" w:after="0" w:line="240" w:lineRule="auto"/>
        <w:ind w:left="2121" w:right="0" w:hanging="601"/>
        <w:jc w:val="left"/>
        <w:rPr>
          <w:sz w:val="24"/>
        </w:rPr>
      </w:pPr>
      <w:r>
        <w:rPr>
          <w:sz w:val="24"/>
        </w:rPr>
        <w:t>噪声</w:t>
      </w:r>
    </w:p>
    <w:p>
      <w:pPr>
        <w:pStyle w:val="6"/>
        <w:spacing w:before="161"/>
        <w:ind w:left="1520"/>
      </w:pPr>
      <w:r>
        <w:t>主要是提升绞车、空压机、各类风机和泵等设备噪声。</w:t>
      </w:r>
    </w:p>
    <w:p>
      <w:pPr>
        <w:pStyle w:val="13"/>
        <w:numPr>
          <w:ilvl w:val="0"/>
          <w:numId w:val="30"/>
        </w:numPr>
        <w:tabs>
          <w:tab w:val="left" w:pos="2121"/>
        </w:tabs>
        <w:spacing w:before="160" w:after="0" w:line="240" w:lineRule="auto"/>
        <w:ind w:left="2121" w:right="0" w:hanging="601"/>
        <w:jc w:val="left"/>
        <w:rPr>
          <w:sz w:val="24"/>
        </w:rPr>
      </w:pPr>
      <w:r>
        <w:rPr>
          <w:sz w:val="24"/>
        </w:rPr>
        <w:t>固体废物</w:t>
      </w:r>
    </w:p>
    <w:p>
      <w:pPr>
        <w:pStyle w:val="6"/>
        <w:spacing w:before="158" w:line="362" w:lineRule="auto"/>
        <w:ind w:left="1040" w:right="1077" w:firstLine="480"/>
      </w:pPr>
      <w:r>
        <w:rPr>
          <w:spacing w:val="-12"/>
        </w:rPr>
        <w:t>主要是矸石、灰渣、生活垃圾、矿井水处理站和生活污水设施污泥和废机油</w:t>
      </w:r>
      <w:r>
        <w:t>等。</w:t>
      </w:r>
    </w:p>
    <w:p>
      <w:pPr>
        <w:pStyle w:val="6"/>
        <w:spacing w:before="5"/>
        <w:ind w:left="1520"/>
      </w:pPr>
      <w:r>
        <w:rPr>
          <w:rFonts w:ascii="Times New Roman" w:eastAsia="Times New Roman"/>
        </w:rPr>
        <w:t>3</w:t>
      </w:r>
      <w:r>
        <w:t>、建设期生态影响因素分析</w:t>
      </w:r>
    </w:p>
    <w:p>
      <w:pPr>
        <w:pStyle w:val="6"/>
        <w:spacing w:before="161" w:line="362" w:lineRule="auto"/>
        <w:ind w:left="1040" w:right="957" w:firstLine="480"/>
      </w:pPr>
      <w:r>
        <w:rPr>
          <w:spacing w:val="-4"/>
        </w:rPr>
        <w:t>建设期生态影响主要是施工开始时场地开挖对土地产生扰动影响，堆填土石</w:t>
      </w:r>
      <w:r>
        <w:rPr>
          <w:spacing w:val="-17"/>
        </w:rPr>
        <w:t>方等工程将引起水土流失，植被破坏。由于建设期相对较短，其影响程度也较小。</w:t>
      </w:r>
    </w:p>
    <w:p>
      <w:pPr>
        <w:pStyle w:val="6"/>
        <w:spacing w:before="5"/>
        <w:ind w:left="1520"/>
      </w:pPr>
      <w:r>
        <w:rPr>
          <w:rFonts w:ascii="Times New Roman" w:eastAsia="Times New Roman"/>
        </w:rPr>
        <w:t>4</w:t>
      </w:r>
      <w:r>
        <w:t>、运营期生态影响因素分析</w:t>
      </w:r>
    </w:p>
    <w:p>
      <w:pPr>
        <w:pStyle w:val="6"/>
        <w:spacing w:before="158" w:line="364" w:lineRule="auto"/>
        <w:ind w:left="1040" w:right="1077" w:firstLine="480"/>
        <w:jc w:val="both"/>
      </w:pPr>
      <w:r>
        <w:rPr>
          <w:spacing w:val="-5"/>
        </w:rPr>
        <w:t>运营期生态影响主要是井下煤层采动引起的地表移动变形，同时引起的地表</w:t>
      </w:r>
      <w:r>
        <w:rPr>
          <w:spacing w:val="-7"/>
        </w:rPr>
        <w:t>塌陷对生态环境造成的影响，导致浅层地下水下渗和水土流失。工业场地的占地</w:t>
      </w:r>
      <w:r>
        <w:t>影响。</w:t>
      </w:r>
    </w:p>
    <w:p>
      <w:pPr>
        <w:pStyle w:val="4"/>
        <w:numPr>
          <w:ilvl w:val="2"/>
          <w:numId w:val="29"/>
        </w:numPr>
        <w:tabs>
          <w:tab w:val="left" w:pos="1669"/>
        </w:tabs>
        <w:spacing w:before="0" w:after="0" w:line="240" w:lineRule="auto"/>
        <w:ind w:left="1668" w:right="0" w:hanging="629"/>
        <w:jc w:val="left"/>
      </w:pPr>
      <w:bookmarkStart w:id="113" w:name="3.4.3污染源源强核算"/>
      <w:bookmarkEnd w:id="113"/>
      <w:bookmarkStart w:id="114" w:name="3.4.3污染源源强核算"/>
      <w:bookmarkEnd w:id="114"/>
      <w:r>
        <w:t>污染源源强核算</w:t>
      </w:r>
    </w:p>
    <w:p>
      <w:pPr>
        <w:pStyle w:val="6"/>
        <w:spacing w:before="185"/>
        <w:ind w:left="1520"/>
      </w:pPr>
      <w:r>
        <w:rPr>
          <w:rFonts w:ascii="Times New Roman" w:eastAsia="Times New Roman"/>
        </w:rPr>
        <w:t>1</w:t>
      </w:r>
      <w:r>
        <w:t>、建设期主要污染源及污染物分析</w:t>
      </w:r>
    </w:p>
    <w:p>
      <w:pPr>
        <w:pStyle w:val="13"/>
        <w:numPr>
          <w:ilvl w:val="0"/>
          <w:numId w:val="31"/>
        </w:numPr>
        <w:tabs>
          <w:tab w:val="left" w:pos="2121"/>
        </w:tabs>
        <w:spacing w:before="158" w:after="0" w:line="240" w:lineRule="auto"/>
        <w:ind w:left="2121" w:right="0" w:hanging="601"/>
        <w:jc w:val="left"/>
        <w:rPr>
          <w:sz w:val="24"/>
        </w:rPr>
      </w:pPr>
      <w:r>
        <w:rPr>
          <w:sz w:val="24"/>
        </w:rPr>
        <w:t>建设期污染工序</w:t>
      </w:r>
    </w:p>
    <w:p>
      <w:pPr>
        <w:pStyle w:val="6"/>
        <w:spacing w:before="161"/>
        <w:ind w:left="1520"/>
      </w:pPr>
      <w:r>
        <w:t xml:space="preserve">建设期污染工序见框图 </w:t>
      </w:r>
      <w:r>
        <w:rPr>
          <w:rFonts w:ascii="Times New Roman" w:eastAsia="Times New Roman"/>
        </w:rPr>
        <w:t>3.4-1</w:t>
      </w:r>
      <w:r>
        <w:t>。</w:t>
      </w:r>
    </w:p>
    <w:p>
      <w:pPr>
        <w:spacing w:after="0"/>
        <w:sectPr>
          <w:pgSz w:w="11910" w:h="16840"/>
          <w:pgMar w:top="1080" w:right="720" w:bottom="1160" w:left="760" w:header="0" w:footer="97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00" name="组合 72"/>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99" name="直线 73"/>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72"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aCLtQAAAADAQAADwAAAAAAAAABACAAAAAiAAAAZHJzL2Rvd25yZXYueG1s&#10;UEsBAhQAFAAAAAgAh07iQMKaPew1AgAAtQQAAA4AAAAAAAAAAQAgAAAAIwEAAGRycy9lMm9Eb2Mu&#10;eG1sUEsFBgAAAAAGAAYAWQEAAMoFAAAAAA==&#10;">
                <o:lock v:ext="edit" aspectratio="f"/>
                <v:line id="直线 73" o:spid="_x0000_s1026" o:spt="20" style="position:absolute;left:0;top:7;height:0;width:8306;" filled="f" stroked="t" coordsize="21600,21600" o:gfxdata="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NtbIvQAA&#10;ANs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pStyle w:val="6"/>
        <w:rPr>
          <w:sz w:val="20"/>
        </w:rPr>
      </w:pPr>
    </w:p>
    <w:p>
      <w:pPr>
        <w:pStyle w:val="6"/>
        <w:spacing w:before="7"/>
        <w:rPr>
          <w:sz w:val="10"/>
        </w:rPr>
      </w:pPr>
      <w:r>
        <w:drawing>
          <wp:anchor distT="0" distB="0" distL="0" distR="0" simplePos="0" relativeHeight="1024" behindDoc="0" locked="0" layoutInCell="1" allowOverlap="1">
            <wp:simplePos x="0" y="0"/>
            <wp:positionH relativeFrom="page">
              <wp:posOffset>1233805</wp:posOffset>
            </wp:positionH>
            <wp:positionV relativeFrom="paragraph">
              <wp:posOffset>110490</wp:posOffset>
            </wp:positionV>
            <wp:extent cx="5095875" cy="327152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39" cstate="print"/>
                    <a:stretch>
                      <a:fillRect/>
                    </a:stretch>
                  </pic:blipFill>
                  <pic:spPr>
                    <a:xfrm>
                      <a:off x="0" y="0"/>
                      <a:ext cx="5096120" cy="3271266"/>
                    </a:xfrm>
                    <a:prstGeom prst="rect">
                      <a:avLst/>
                    </a:prstGeom>
                  </pic:spPr>
                </pic:pic>
              </a:graphicData>
            </a:graphic>
          </wp:anchor>
        </w:drawing>
      </w:r>
    </w:p>
    <w:p>
      <w:pPr>
        <w:pStyle w:val="5"/>
        <w:spacing w:before="94"/>
        <w:ind w:left="1553" w:right="1106"/>
        <w:jc w:val="center"/>
      </w:pPr>
      <w:r>
        <w:t xml:space="preserve">图 </w:t>
      </w:r>
      <w:r>
        <w:rPr>
          <w:rFonts w:ascii="Times New Roman" w:eastAsia="Times New Roman"/>
        </w:rPr>
        <w:t xml:space="preserve">3.4-1 </w:t>
      </w:r>
      <w:r>
        <w:t>建设期污染工序框图</w:t>
      </w:r>
    </w:p>
    <w:p>
      <w:pPr>
        <w:pStyle w:val="13"/>
        <w:numPr>
          <w:ilvl w:val="0"/>
          <w:numId w:val="31"/>
        </w:numPr>
        <w:tabs>
          <w:tab w:val="left" w:pos="2121"/>
        </w:tabs>
        <w:spacing w:before="161" w:after="0" w:line="240" w:lineRule="auto"/>
        <w:ind w:left="2121" w:right="0" w:hanging="601"/>
        <w:jc w:val="left"/>
        <w:rPr>
          <w:sz w:val="24"/>
        </w:rPr>
      </w:pPr>
      <w:r>
        <w:rPr>
          <w:sz w:val="24"/>
        </w:rPr>
        <w:t>建设期环境影响分析与防治措施</w:t>
      </w:r>
    </w:p>
    <w:p>
      <w:pPr>
        <w:pStyle w:val="6"/>
        <w:spacing w:before="81"/>
        <w:ind w:left="1520"/>
      </w:pPr>
      <w:r>
        <w:t>①大气主要污染源及污染物</w:t>
      </w:r>
    </w:p>
    <w:p>
      <w:pPr>
        <w:pStyle w:val="6"/>
        <w:spacing w:before="161"/>
        <w:ind w:left="1520"/>
      </w:pPr>
      <w:r>
        <w:t>项目在施工过程中对环境空气的影响主要有下面几个方面：</w:t>
      </w:r>
    </w:p>
    <w:p>
      <w:pPr>
        <w:pStyle w:val="6"/>
        <w:spacing w:before="158" w:line="364" w:lineRule="auto"/>
        <w:ind w:left="1040" w:right="1077" w:firstLine="480"/>
      </w:pPr>
      <w:r>
        <w:rPr>
          <w:spacing w:val="-6"/>
        </w:rPr>
        <w:t>施工作业面和施工交通运输产生的扬尘；散状物料堆放等扬尘；交通工具释</w:t>
      </w:r>
      <w:r>
        <w:t>放的尾气。污染物大多为无组织排放，难以定量。</w:t>
      </w:r>
    </w:p>
    <w:p>
      <w:pPr>
        <w:pStyle w:val="6"/>
        <w:spacing w:line="364" w:lineRule="auto"/>
        <w:ind w:left="1040" w:right="957" w:firstLine="480"/>
      </w:pPr>
      <w:r>
        <w:rPr>
          <w:spacing w:val="-9"/>
        </w:rPr>
        <w:t xml:space="preserve">有关研究表明，施工工地的扬尘 </w:t>
      </w:r>
      <w:r>
        <w:rPr>
          <w:rFonts w:ascii="Times New Roman" w:eastAsia="Times New Roman"/>
        </w:rPr>
        <w:t>60</w:t>
      </w:r>
      <w:r>
        <w:rPr>
          <w:spacing w:val="-1"/>
        </w:rPr>
        <w:t>％以上是施工交通运输引起的道路扬尘。</w:t>
      </w:r>
      <w:r>
        <w:rPr>
          <w:spacing w:val="-7"/>
        </w:rPr>
        <w:t>道路扬尘量的大小与车速、车型、车流量、风速、道路表面积尘量等多种因素有</w:t>
      </w:r>
      <w:r>
        <w:rPr>
          <w:spacing w:val="-9"/>
        </w:rPr>
        <w:t xml:space="preserve">关。一般情况下运输弃土车辆的道路扬尘量约 </w:t>
      </w:r>
      <w:r>
        <w:rPr>
          <w:rFonts w:ascii="Times New Roman" w:eastAsia="Times New Roman"/>
        </w:rPr>
        <w:t>1.37kg/km.</w:t>
      </w:r>
      <w:r>
        <w:rPr>
          <w:spacing w:val="-5"/>
        </w:rPr>
        <w:t>辆，运输车辆在挖土和</w:t>
      </w:r>
      <w:r>
        <w:rPr>
          <w:spacing w:val="-9"/>
        </w:rPr>
        <w:t xml:space="preserve">弃土区现场的道路扬尘量分别为 </w:t>
      </w:r>
      <w:r>
        <w:rPr>
          <w:rFonts w:ascii="Times New Roman" w:eastAsia="Times New Roman"/>
        </w:rPr>
        <w:t>10.42kg/km.</w:t>
      </w:r>
      <w:r>
        <w:rPr>
          <w:spacing w:val="-20"/>
        </w:rPr>
        <w:t xml:space="preserve">辆和 </w:t>
      </w:r>
      <w:r>
        <w:rPr>
          <w:rFonts w:ascii="Times New Roman" w:eastAsia="Times New Roman"/>
        </w:rPr>
        <w:t>7.2kg/km.</w:t>
      </w:r>
      <w:r>
        <w:t>辆。本项目施工区距</w:t>
      </w:r>
      <w:r>
        <w:rPr>
          <w:spacing w:val="-9"/>
        </w:rPr>
        <w:t>离居民区较远，施工区施工对环境敏感点没有影响。运输车辆产生的道路扬尘可能对所经过的村屯大气环境产生一定影响。</w:t>
      </w:r>
    </w:p>
    <w:p>
      <w:pPr>
        <w:pStyle w:val="6"/>
        <w:spacing w:line="364" w:lineRule="auto"/>
        <w:ind w:left="1520" w:right="6745"/>
      </w:pPr>
      <w:r>
        <w:t>②水污染源及污染物地表水环境</w:t>
      </w:r>
    </w:p>
    <w:p>
      <w:pPr>
        <w:pStyle w:val="6"/>
        <w:spacing w:line="362" w:lineRule="auto"/>
        <w:ind w:left="1040" w:right="1075" w:firstLine="480"/>
        <w:jc w:val="both"/>
      </w:pPr>
      <w:r>
        <w:rPr>
          <w:spacing w:val="-5"/>
        </w:rPr>
        <w:t>矿井施工期水环境的主要污染源为巷道护砌过程中产生的泥浆废水，其污染</w:t>
      </w:r>
      <w:r>
        <w:rPr>
          <w:spacing w:val="-12"/>
        </w:rPr>
        <w:t xml:space="preserve">物主要为 </w:t>
      </w:r>
      <w:r>
        <w:rPr>
          <w:rFonts w:ascii="Times New Roman" w:eastAsia="Times New Roman"/>
        </w:rPr>
        <w:t>SS</w:t>
      </w:r>
      <w:r>
        <w:rPr>
          <w:spacing w:val="-12"/>
        </w:rPr>
        <w:t>、</w:t>
      </w:r>
      <w:r>
        <w:rPr>
          <w:rFonts w:ascii="Times New Roman" w:eastAsia="Times New Roman"/>
          <w:spacing w:val="-5"/>
        </w:rPr>
        <w:t>COD</w:t>
      </w:r>
      <w:r>
        <w:rPr>
          <w:spacing w:val="-7"/>
        </w:rPr>
        <w:t xml:space="preserve">；砂砾料冲洗产生的废水，其污染物主要为 </w:t>
      </w:r>
      <w:r>
        <w:rPr>
          <w:rFonts w:ascii="Times New Roman" w:eastAsia="Times New Roman"/>
          <w:spacing w:val="-5"/>
        </w:rPr>
        <w:t>SS</w:t>
      </w:r>
      <w:r>
        <w:rPr>
          <w:spacing w:val="-4"/>
        </w:rPr>
        <w:t>；混凝土拌和</w:t>
      </w:r>
      <w:r>
        <w:rPr>
          <w:spacing w:val="-3"/>
        </w:rPr>
        <w:t>站产生的碱性废水，其污染物主要为碱性物质</w:t>
      </w:r>
      <w:r>
        <w:t>（</w:t>
      </w:r>
      <w:r>
        <w:rPr>
          <w:rFonts w:ascii="Times New Roman" w:eastAsia="Times New Roman"/>
        </w:rPr>
        <w:t xml:space="preserve">pH </w:t>
      </w:r>
      <w:r>
        <w:t>值高</w:t>
      </w:r>
      <w:r>
        <w:rPr>
          <w:spacing w:val="-15"/>
        </w:rPr>
        <w:t>）</w:t>
      </w:r>
      <w:r>
        <w:rPr>
          <w:spacing w:val="-31"/>
        </w:rPr>
        <w:t xml:space="preserve">与 </w:t>
      </w:r>
      <w:r>
        <w:rPr>
          <w:rFonts w:ascii="Times New Roman" w:eastAsia="Times New Roman"/>
          <w:spacing w:val="-5"/>
        </w:rPr>
        <w:t>SS</w:t>
      </w:r>
      <w:r>
        <w:rPr>
          <w:spacing w:val="-4"/>
        </w:rPr>
        <w:t>；施工队伍产生</w:t>
      </w:r>
      <w:r>
        <w:rPr>
          <w:spacing w:val="-5"/>
          <w:position w:val="2"/>
        </w:rPr>
        <w:t xml:space="preserve">的生活污水，其污染物主要为 </w:t>
      </w:r>
      <w:r>
        <w:rPr>
          <w:rFonts w:ascii="Times New Roman" w:eastAsia="Times New Roman"/>
          <w:position w:val="2"/>
        </w:rPr>
        <w:t>SS</w:t>
      </w:r>
      <w:r>
        <w:rPr>
          <w:position w:val="2"/>
        </w:rPr>
        <w:t>、</w:t>
      </w:r>
      <w:r>
        <w:rPr>
          <w:rFonts w:ascii="Times New Roman" w:eastAsia="Times New Roman"/>
          <w:position w:val="2"/>
        </w:rPr>
        <w:t>BOD</w:t>
      </w:r>
      <w:r>
        <w:rPr>
          <w:rFonts w:ascii="Times New Roman" w:eastAsia="Times New Roman"/>
          <w:position w:val="2"/>
          <w:vertAlign w:val="subscript"/>
        </w:rPr>
        <w:t>5</w:t>
      </w:r>
      <w:r>
        <w:rPr>
          <w:position w:val="2"/>
          <w:vertAlign w:val="baseline"/>
        </w:rPr>
        <w:t>、</w:t>
      </w:r>
      <w:r>
        <w:rPr>
          <w:rFonts w:ascii="Times New Roman" w:eastAsia="Times New Roman"/>
          <w:position w:val="2"/>
          <w:vertAlign w:val="baseline"/>
        </w:rPr>
        <w:t xml:space="preserve">COD </w:t>
      </w:r>
      <w:r>
        <w:rPr>
          <w:position w:val="2"/>
          <w:vertAlign w:val="baseline"/>
        </w:rPr>
        <w:t>及氨氮等。</w:t>
      </w:r>
    </w:p>
    <w:p>
      <w:pPr>
        <w:spacing w:after="0" w:line="362" w:lineRule="auto"/>
        <w:jc w:val="both"/>
        <w:sectPr>
          <w:pgSz w:w="11910" w:h="16840"/>
          <w:pgMar w:top="1080" w:right="720" w:bottom="1160" w:left="760" w:header="0" w:footer="97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02" name="组合 74"/>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01" name="直线 75"/>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74"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7toIu1AAAAAMBAAAPAAAAAAAAAAEAIAAAACIAAABkcnMvZG93bnJldi54bWxQ&#10;SwECFAAUAAAACACHTuJAKqyt1zQCAAC2BAAADgAAAAAAAAABACAAAAAjAQAAZHJzL2Uyb0RvYy54&#10;bWxQSwUGAAAAAAYABgBZAQAAyQUAAAAA&#10;">
                <o:lock v:ext="edit" aspectratio="f"/>
                <v:line id="直线 75" o:spid="_x0000_s1026" o:spt="20" style="position:absolute;left:0;top:7;height:0;width:8306;" filled="f" stroked="t" coordsize="21600,21600" o:gfxdata="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g/4zugAAANwA&#10;AAAPAAAAAAAAAAEAIAAAACIAAABkcnMvZG93bnJldi54bWxQSwECFAAUAAAACACHTuJAMy8FnjsA&#10;AAA5AAAAEAAAAAAAAAABACAAAAAJAQAAZHJzL3NoYXBleG1sLnhtbFBLBQYAAAAABgAGAFsBAACz&#10;AwAAAAA=&#10;">
                  <v:fill on="f" focussize="0,0"/>
                  <v:stroke weight="0.72pt" color="#000000" joinstyle="round"/>
                  <v:imagedata o:title=""/>
                  <o:lock v:ext="edit" aspectratio="f"/>
                </v:line>
                <w10:wrap type="none"/>
                <w10:anchorlock/>
              </v:group>
            </w:pict>
          </mc:Fallback>
        </mc:AlternateContent>
      </w:r>
    </w:p>
    <w:p>
      <w:pPr>
        <w:pStyle w:val="6"/>
        <w:rPr>
          <w:sz w:val="20"/>
        </w:rPr>
      </w:pPr>
    </w:p>
    <w:p>
      <w:pPr>
        <w:pStyle w:val="6"/>
        <w:spacing w:before="66" w:line="364" w:lineRule="auto"/>
        <w:ind w:left="1040" w:right="1072" w:firstLine="480"/>
        <w:jc w:val="both"/>
      </w:pPr>
      <w:r>
        <w:t>根据同类工程类比调查，生产废水中的污染物以悬浮物为主，其浓度在</w:t>
      </w:r>
      <w:r>
        <w:rPr>
          <w:rFonts w:ascii="Times New Roman" w:hAnsi="Times New Roman" w:eastAsia="Times New Roman"/>
        </w:rPr>
        <w:t>140mg/L</w:t>
      </w:r>
      <w:r>
        <w:t>～</w:t>
      </w:r>
      <w:r>
        <w:rPr>
          <w:rFonts w:ascii="Times New Roman" w:hAnsi="Times New Roman" w:eastAsia="Times New Roman"/>
        </w:rPr>
        <w:t xml:space="preserve">260mg/L </w:t>
      </w:r>
      <w:r>
        <w:t xml:space="preserve">之间。本矿井施工期施工人员约为 </w:t>
      </w:r>
      <w:r>
        <w:rPr>
          <w:rFonts w:ascii="Times New Roman" w:hAnsi="Times New Roman" w:eastAsia="Times New Roman"/>
        </w:rPr>
        <w:t xml:space="preserve">50 </w:t>
      </w:r>
      <w:r>
        <w:t>人，参照《黑龙江省地方标准用水定额》（</w:t>
      </w:r>
      <w:r>
        <w:rPr>
          <w:rFonts w:ascii="Times New Roman" w:hAnsi="Times New Roman" w:eastAsia="Times New Roman"/>
        </w:rPr>
        <w:t>DB23/T727-2017</w:t>
      </w:r>
      <w:r>
        <w:t xml:space="preserve">），用水量按 </w:t>
      </w:r>
      <w:r>
        <w:rPr>
          <w:rFonts w:ascii="Times New Roman" w:hAnsi="Times New Roman" w:eastAsia="Times New Roman"/>
        </w:rPr>
        <w:t>30L/</w:t>
      </w:r>
      <w:r>
        <w:t>人</w:t>
      </w:r>
      <w:r>
        <w:rPr>
          <w:rFonts w:ascii="Times New Roman" w:hAnsi="Times New Roman" w:eastAsia="Times New Roman"/>
        </w:rPr>
        <w:t xml:space="preserve">·d </w:t>
      </w:r>
      <w:r>
        <w:t xml:space="preserve">计，污水产生量按用水量的 </w:t>
      </w:r>
      <w:r>
        <w:rPr>
          <w:rFonts w:ascii="Times New Roman" w:hAnsi="Times New Roman" w:eastAsia="Times New Roman"/>
        </w:rPr>
        <w:t>80%</w:t>
      </w:r>
      <w:r>
        <w:t xml:space="preserve">计，生活污水产生量为 </w:t>
      </w:r>
      <w:r>
        <w:rPr>
          <w:rFonts w:ascii="Times New Roman" w:hAnsi="Times New Roman" w:eastAsia="Times New Roman"/>
        </w:rPr>
        <w:t>1.2m</w:t>
      </w:r>
      <w:r>
        <w:rPr>
          <w:rFonts w:ascii="Times New Roman" w:hAnsi="Times New Roman" w:eastAsia="Times New Roman"/>
          <w:position w:val="8"/>
          <w:sz w:val="15"/>
        </w:rPr>
        <w:t>3</w:t>
      </w:r>
      <w:r>
        <w:rPr>
          <w:rFonts w:ascii="Times New Roman" w:hAnsi="Times New Roman" w:eastAsia="Times New Roman"/>
        </w:rPr>
        <w:t>/d</w:t>
      </w:r>
      <w:r>
        <w:t>。其中，</w:t>
      </w:r>
      <w:r>
        <w:rPr>
          <w:rFonts w:ascii="Times New Roman" w:hAnsi="Times New Roman" w:eastAsia="Times New Roman"/>
        </w:rPr>
        <w:t xml:space="preserve">CODcr </w:t>
      </w:r>
      <w:r>
        <w:t xml:space="preserve">浓度为 </w:t>
      </w:r>
      <w:r>
        <w:rPr>
          <w:rFonts w:ascii="Times New Roman" w:hAnsi="Times New Roman" w:eastAsia="Times New Roman"/>
        </w:rPr>
        <w:t>300mg/L</w:t>
      </w:r>
      <w:r>
        <w:t xml:space="preserve">， 产生量约为 </w:t>
      </w:r>
      <w:r>
        <w:rPr>
          <w:rFonts w:ascii="Times New Roman" w:hAnsi="Times New Roman" w:eastAsia="Times New Roman"/>
        </w:rPr>
        <w:t>0.36kg/d</w:t>
      </w:r>
      <w:r>
        <w:t>；</w:t>
      </w:r>
      <w:r>
        <w:rPr>
          <w:rFonts w:ascii="Times New Roman" w:hAnsi="Times New Roman" w:eastAsia="Times New Roman"/>
        </w:rPr>
        <w:t xml:space="preserve">SS </w:t>
      </w:r>
      <w:r>
        <w:t xml:space="preserve">浓度为 </w:t>
      </w:r>
      <w:r>
        <w:rPr>
          <w:rFonts w:ascii="Times New Roman" w:hAnsi="Times New Roman" w:eastAsia="Times New Roman"/>
        </w:rPr>
        <w:t>250mg/L</w:t>
      </w:r>
      <w:r>
        <w:t xml:space="preserve">，产生量约为 </w:t>
      </w:r>
      <w:r>
        <w:rPr>
          <w:rFonts w:ascii="Times New Roman" w:hAnsi="Times New Roman" w:eastAsia="Times New Roman"/>
        </w:rPr>
        <w:t>0.3kg/d</w:t>
      </w:r>
      <w:r>
        <w:t>；氨氮浓度为</w:t>
      </w:r>
      <w:r>
        <w:rPr>
          <w:rFonts w:ascii="Times New Roman" w:hAnsi="Times New Roman" w:eastAsia="Times New Roman"/>
        </w:rPr>
        <w:t>35mg/L</w:t>
      </w:r>
      <w:r>
        <w:t xml:space="preserve">，产生量约为 </w:t>
      </w:r>
      <w:r>
        <w:rPr>
          <w:rFonts w:ascii="Times New Roman" w:hAnsi="Times New Roman" w:eastAsia="Times New Roman"/>
        </w:rPr>
        <w:t>0.042kg/d</w:t>
      </w:r>
      <w:r>
        <w:t>。</w:t>
      </w:r>
    </w:p>
    <w:p>
      <w:pPr>
        <w:pStyle w:val="6"/>
        <w:spacing w:line="304" w:lineRule="exact"/>
        <w:ind w:left="1520"/>
      </w:pPr>
      <w:r>
        <w:t>地下水环境</w:t>
      </w:r>
    </w:p>
    <w:p>
      <w:pPr>
        <w:pStyle w:val="6"/>
        <w:spacing w:before="161" w:line="364" w:lineRule="auto"/>
        <w:ind w:left="1040" w:right="1077" w:firstLine="480"/>
        <w:jc w:val="both"/>
      </w:pPr>
      <w:r>
        <w:rPr>
          <w:spacing w:val="-5"/>
        </w:rPr>
        <w:t>本矿井施工期主要完成主工业广场内主井的掘进工作。掘进过程中将抽排地</w:t>
      </w:r>
      <w:r>
        <w:rPr>
          <w:spacing w:val="-10"/>
        </w:rPr>
        <w:t>井下涌水，但是矿井水产生量很少，对矿区地下水资源量影响不明显，基本不会</w:t>
      </w:r>
      <w:r>
        <w:t>对附近村屯饮用水源井水量、水质产生影响。</w:t>
      </w:r>
    </w:p>
    <w:p>
      <w:pPr>
        <w:pStyle w:val="6"/>
        <w:spacing w:line="304" w:lineRule="exact"/>
        <w:ind w:left="1520"/>
      </w:pPr>
      <w:r>
        <w:t>③噪声污染源</w:t>
      </w:r>
    </w:p>
    <w:p>
      <w:pPr>
        <w:pStyle w:val="6"/>
        <w:spacing w:before="160" w:line="364" w:lineRule="auto"/>
        <w:ind w:left="1040" w:right="1077" w:firstLine="480"/>
      </w:pPr>
      <w:r>
        <w:rPr>
          <w:spacing w:val="-5"/>
        </w:rPr>
        <w:t>施工期噪声污染源主要为施工过程中的机械噪声与交通运输噪声。根据类比</w:t>
      </w:r>
      <w:r>
        <w:rPr>
          <w:spacing w:val="-3"/>
        </w:rPr>
        <w:t xml:space="preserve">调查，本项目施工期的主要噪声源与噪声级见表 </w:t>
      </w:r>
      <w:r>
        <w:rPr>
          <w:rFonts w:ascii="Times New Roman" w:eastAsia="Times New Roman"/>
        </w:rPr>
        <w:t>3.4-1</w:t>
      </w:r>
      <w:r>
        <w:t>。</w:t>
      </w:r>
    </w:p>
    <w:p>
      <w:pPr>
        <w:pStyle w:val="5"/>
        <w:tabs>
          <w:tab w:val="left" w:pos="4512"/>
        </w:tabs>
        <w:spacing w:before="2"/>
        <w:ind w:left="3473"/>
      </w:pPr>
      <w:r>
        <w:t>表</w:t>
      </w:r>
      <w:r>
        <w:rPr>
          <w:spacing w:val="-62"/>
        </w:rPr>
        <w:t xml:space="preserve"> </w:t>
      </w:r>
      <w:r>
        <w:rPr>
          <w:rFonts w:ascii="Times New Roman" w:eastAsia="Times New Roman"/>
        </w:rPr>
        <w:t>3.4-1</w:t>
      </w:r>
      <w:r>
        <w:rPr>
          <w:rFonts w:ascii="Times New Roman" w:eastAsia="Times New Roman"/>
        </w:rPr>
        <w:tab/>
      </w:r>
      <w:r>
        <w:t>施工期主要噪声源与噪声级</w:t>
      </w:r>
    </w:p>
    <w:tbl>
      <w:tblPr>
        <w:tblStyle w:val="10"/>
        <w:tblW w:w="0" w:type="auto"/>
        <w:tblInd w:w="7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7"/>
        <w:gridCol w:w="1908"/>
        <w:gridCol w:w="1767"/>
        <w:gridCol w:w="1477"/>
        <w:gridCol w:w="23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307" w:type="dxa"/>
          </w:tcPr>
          <w:p>
            <w:pPr>
              <w:pStyle w:val="14"/>
              <w:spacing w:before="65"/>
              <w:ind w:left="6"/>
              <w:rPr>
                <w:sz w:val="21"/>
              </w:rPr>
            </w:pPr>
            <w:r>
              <w:rPr>
                <w:sz w:val="21"/>
              </w:rPr>
              <w:t>施工阶段</w:t>
            </w:r>
          </w:p>
        </w:tc>
        <w:tc>
          <w:tcPr>
            <w:tcW w:w="1908" w:type="dxa"/>
          </w:tcPr>
          <w:p>
            <w:pPr>
              <w:pStyle w:val="14"/>
              <w:spacing w:before="65"/>
              <w:ind w:left="167" w:right="160"/>
              <w:rPr>
                <w:sz w:val="21"/>
              </w:rPr>
            </w:pPr>
            <w:r>
              <w:rPr>
                <w:sz w:val="21"/>
              </w:rPr>
              <w:t>设备名称</w:t>
            </w:r>
          </w:p>
        </w:tc>
        <w:tc>
          <w:tcPr>
            <w:tcW w:w="1767" w:type="dxa"/>
          </w:tcPr>
          <w:p>
            <w:pPr>
              <w:pStyle w:val="14"/>
              <w:spacing w:before="65"/>
              <w:ind w:left="226" w:right="218"/>
              <w:rPr>
                <w:rFonts w:ascii="Times New Roman" w:eastAsia="Times New Roman"/>
                <w:sz w:val="21"/>
              </w:rPr>
            </w:pPr>
            <w:r>
              <w:rPr>
                <w:sz w:val="21"/>
              </w:rPr>
              <w:t xml:space="preserve">声级值 </w:t>
            </w:r>
            <w:r>
              <w:rPr>
                <w:rFonts w:ascii="Times New Roman" w:eastAsia="Times New Roman"/>
                <w:sz w:val="21"/>
              </w:rPr>
              <w:t>dB(A)</w:t>
            </w:r>
          </w:p>
        </w:tc>
        <w:tc>
          <w:tcPr>
            <w:tcW w:w="1477" w:type="dxa"/>
          </w:tcPr>
          <w:p>
            <w:pPr>
              <w:pStyle w:val="14"/>
              <w:spacing w:before="65"/>
              <w:ind w:left="146" w:right="137"/>
              <w:rPr>
                <w:rFonts w:ascii="Times New Roman" w:eastAsia="Times New Roman"/>
                <w:sz w:val="21"/>
              </w:rPr>
            </w:pPr>
            <w:r>
              <w:rPr>
                <w:sz w:val="21"/>
              </w:rPr>
              <w:t>测点距离</w:t>
            </w:r>
            <w:r>
              <w:rPr>
                <w:rFonts w:ascii="Times New Roman" w:eastAsia="Times New Roman"/>
                <w:sz w:val="21"/>
              </w:rPr>
              <w:t>(m)</w:t>
            </w:r>
          </w:p>
        </w:tc>
        <w:tc>
          <w:tcPr>
            <w:tcW w:w="2361" w:type="dxa"/>
          </w:tcPr>
          <w:p>
            <w:pPr>
              <w:pStyle w:val="14"/>
              <w:spacing w:before="65"/>
              <w:ind w:left="107" w:right="103"/>
              <w:rPr>
                <w:sz w:val="21"/>
              </w:rPr>
            </w:pPr>
            <w:r>
              <w:rPr>
                <w:sz w:val="21"/>
              </w:rPr>
              <w:t>特点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1" w:hRule="atLeast"/>
        </w:trPr>
        <w:tc>
          <w:tcPr>
            <w:tcW w:w="1307" w:type="dxa"/>
          </w:tcPr>
          <w:p>
            <w:pPr>
              <w:pStyle w:val="14"/>
              <w:spacing w:before="12"/>
              <w:jc w:val="left"/>
              <w:rPr>
                <w:b/>
                <w:sz w:val="20"/>
              </w:rPr>
            </w:pPr>
          </w:p>
          <w:p>
            <w:pPr>
              <w:pStyle w:val="14"/>
              <w:tabs>
                <w:tab w:val="left" w:pos="861"/>
              </w:tabs>
              <w:spacing w:line="242" w:lineRule="auto"/>
              <w:ind w:left="232" w:right="224"/>
              <w:jc w:val="left"/>
              <w:rPr>
                <w:sz w:val="21"/>
              </w:rPr>
            </w:pPr>
            <w:r>
              <w:rPr>
                <w:sz w:val="21"/>
              </w:rPr>
              <w:t>基础施</w:t>
            </w:r>
            <w:r>
              <w:rPr>
                <w:spacing w:val="-15"/>
                <w:sz w:val="21"/>
              </w:rPr>
              <w:t>工</w:t>
            </w:r>
            <w:r>
              <w:rPr>
                <w:sz w:val="21"/>
              </w:rPr>
              <w:t>阶</w:t>
            </w:r>
            <w:r>
              <w:rPr>
                <w:sz w:val="21"/>
              </w:rPr>
              <w:tab/>
            </w:r>
            <w:r>
              <w:rPr>
                <w:spacing w:val="-17"/>
                <w:sz w:val="21"/>
              </w:rPr>
              <w:t>段</w:t>
            </w:r>
          </w:p>
        </w:tc>
        <w:tc>
          <w:tcPr>
            <w:tcW w:w="1908" w:type="dxa"/>
          </w:tcPr>
          <w:p>
            <w:pPr>
              <w:pStyle w:val="14"/>
              <w:spacing w:before="132" w:line="242" w:lineRule="auto"/>
              <w:ind w:left="639" w:right="627"/>
              <w:rPr>
                <w:sz w:val="21"/>
              </w:rPr>
            </w:pPr>
            <w:r>
              <w:rPr>
                <w:spacing w:val="-6"/>
                <w:sz w:val="21"/>
              </w:rPr>
              <w:t>挖桩机</w:t>
            </w:r>
            <w:r>
              <w:rPr>
                <w:sz w:val="21"/>
              </w:rPr>
              <w:t xml:space="preserve">吊车 </w:t>
            </w:r>
            <w:r>
              <w:rPr>
                <w:spacing w:val="-6"/>
                <w:sz w:val="21"/>
              </w:rPr>
              <w:t>平地机</w:t>
            </w:r>
          </w:p>
        </w:tc>
        <w:tc>
          <w:tcPr>
            <w:tcW w:w="1767" w:type="dxa"/>
          </w:tcPr>
          <w:p>
            <w:pPr>
              <w:pStyle w:val="14"/>
              <w:spacing w:before="177"/>
              <w:ind w:left="226" w:right="216"/>
              <w:rPr>
                <w:rFonts w:ascii="Times New Roman"/>
                <w:sz w:val="21"/>
              </w:rPr>
            </w:pPr>
            <w:r>
              <w:rPr>
                <w:rFonts w:ascii="Times New Roman"/>
                <w:sz w:val="21"/>
              </w:rPr>
              <w:t>70</w:t>
            </w:r>
          </w:p>
          <w:p>
            <w:pPr>
              <w:pStyle w:val="14"/>
              <w:spacing w:before="1" w:line="241" w:lineRule="exact"/>
              <w:ind w:left="226" w:right="216"/>
              <w:rPr>
                <w:rFonts w:ascii="Times New Roman"/>
                <w:sz w:val="21"/>
              </w:rPr>
            </w:pPr>
            <w:r>
              <w:rPr>
                <w:rFonts w:ascii="Times New Roman"/>
                <w:sz w:val="21"/>
              </w:rPr>
              <w:t>71-76</w:t>
            </w:r>
          </w:p>
          <w:p>
            <w:pPr>
              <w:pStyle w:val="14"/>
              <w:spacing w:line="241" w:lineRule="exact"/>
              <w:ind w:left="226" w:right="216"/>
              <w:rPr>
                <w:rFonts w:ascii="Times New Roman"/>
                <w:sz w:val="21"/>
              </w:rPr>
            </w:pPr>
            <w:r>
              <w:rPr>
                <w:rFonts w:ascii="Times New Roman"/>
                <w:sz w:val="21"/>
              </w:rPr>
              <w:t>86-98</w:t>
            </w:r>
          </w:p>
        </w:tc>
        <w:tc>
          <w:tcPr>
            <w:tcW w:w="1477" w:type="dxa"/>
          </w:tcPr>
          <w:p>
            <w:pPr>
              <w:pStyle w:val="14"/>
              <w:spacing w:before="177"/>
              <w:ind w:left="11"/>
              <w:rPr>
                <w:rFonts w:ascii="Times New Roman"/>
                <w:sz w:val="21"/>
              </w:rPr>
            </w:pPr>
            <w:r>
              <w:rPr>
                <w:rFonts w:ascii="Times New Roman"/>
                <w:w w:val="99"/>
                <w:sz w:val="21"/>
              </w:rPr>
              <w:t>5</w:t>
            </w:r>
          </w:p>
          <w:p>
            <w:pPr>
              <w:pStyle w:val="14"/>
              <w:spacing w:before="1" w:line="241" w:lineRule="exact"/>
              <w:ind w:left="11"/>
              <w:rPr>
                <w:rFonts w:ascii="Times New Roman"/>
                <w:sz w:val="21"/>
              </w:rPr>
            </w:pPr>
            <w:r>
              <w:rPr>
                <w:rFonts w:ascii="Times New Roman"/>
                <w:w w:val="99"/>
                <w:sz w:val="21"/>
              </w:rPr>
              <w:t>5</w:t>
            </w:r>
          </w:p>
          <w:p>
            <w:pPr>
              <w:pStyle w:val="14"/>
              <w:spacing w:line="241" w:lineRule="exact"/>
              <w:ind w:left="11"/>
              <w:rPr>
                <w:rFonts w:ascii="Times New Roman"/>
                <w:sz w:val="21"/>
              </w:rPr>
            </w:pPr>
            <w:r>
              <w:rPr>
                <w:rFonts w:ascii="Times New Roman"/>
                <w:w w:val="99"/>
                <w:sz w:val="21"/>
              </w:rPr>
              <w:t>5</w:t>
            </w:r>
          </w:p>
        </w:tc>
        <w:tc>
          <w:tcPr>
            <w:tcW w:w="2361" w:type="dxa"/>
          </w:tcPr>
          <w:p>
            <w:pPr>
              <w:pStyle w:val="14"/>
              <w:spacing w:before="12"/>
              <w:jc w:val="left"/>
              <w:rPr>
                <w:b/>
                <w:sz w:val="20"/>
              </w:rPr>
            </w:pPr>
          </w:p>
          <w:p>
            <w:pPr>
              <w:pStyle w:val="14"/>
              <w:spacing w:line="242" w:lineRule="auto"/>
              <w:ind w:left="865" w:right="122" w:hanging="737"/>
              <w:jc w:val="left"/>
              <w:rPr>
                <w:sz w:val="21"/>
              </w:rPr>
            </w:pPr>
            <w:r>
              <w:rPr>
                <w:sz w:val="21"/>
              </w:rPr>
              <w:t>该阶段声源主要为固定噪声源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307" w:type="dxa"/>
            <w:tcBorders>
              <w:bottom w:val="nil"/>
            </w:tcBorders>
          </w:tcPr>
          <w:p>
            <w:pPr>
              <w:pStyle w:val="14"/>
              <w:jc w:val="left"/>
              <w:rPr>
                <w:rFonts w:ascii="Times New Roman"/>
                <w:sz w:val="22"/>
              </w:rPr>
            </w:pPr>
          </w:p>
        </w:tc>
        <w:tc>
          <w:tcPr>
            <w:tcW w:w="1908" w:type="dxa"/>
            <w:tcBorders>
              <w:bottom w:val="nil"/>
            </w:tcBorders>
          </w:tcPr>
          <w:p>
            <w:pPr>
              <w:pStyle w:val="14"/>
              <w:spacing w:before="7"/>
              <w:jc w:val="left"/>
              <w:rPr>
                <w:b/>
                <w:sz w:val="19"/>
              </w:rPr>
            </w:pPr>
          </w:p>
          <w:p>
            <w:pPr>
              <w:pStyle w:val="14"/>
              <w:ind w:left="169" w:right="160"/>
              <w:rPr>
                <w:sz w:val="21"/>
              </w:rPr>
            </w:pPr>
            <w:r>
              <w:rPr>
                <w:sz w:val="21"/>
              </w:rPr>
              <w:t>振捣棒</w:t>
            </w:r>
          </w:p>
        </w:tc>
        <w:tc>
          <w:tcPr>
            <w:tcW w:w="1767" w:type="dxa"/>
            <w:tcBorders>
              <w:bottom w:val="nil"/>
            </w:tcBorders>
          </w:tcPr>
          <w:p>
            <w:pPr>
              <w:pStyle w:val="14"/>
              <w:spacing w:before="5"/>
              <w:jc w:val="left"/>
              <w:rPr>
                <w:b/>
                <w:sz w:val="24"/>
              </w:rPr>
            </w:pPr>
          </w:p>
          <w:p>
            <w:pPr>
              <w:pStyle w:val="14"/>
              <w:spacing w:line="217" w:lineRule="exact"/>
              <w:ind w:left="226" w:right="216"/>
              <w:rPr>
                <w:rFonts w:ascii="Times New Roman"/>
                <w:sz w:val="21"/>
              </w:rPr>
            </w:pPr>
            <w:r>
              <w:rPr>
                <w:rFonts w:ascii="Times New Roman"/>
                <w:sz w:val="21"/>
              </w:rPr>
              <w:t>87</w:t>
            </w:r>
          </w:p>
        </w:tc>
        <w:tc>
          <w:tcPr>
            <w:tcW w:w="1477" w:type="dxa"/>
            <w:tcBorders>
              <w:bottom w:val="nil"/>
            </w:tcBorders>
          </w:tcPr>
          <w:p>
            <w:pPr>
              <w:pStyle w:val="14"/>
              <w:spacing w:before="5"/>
              <w:jc w:val="left"/>
              <w:rPr>
                <w:b/>
                <w:sz w:val="24"/>
              </w:rPr>
            </w:pPr>
          </w:p>
          <w:p>
            <w:pPr>
              <w:pStyle w:val="14"/>
              <w:spacing w:line="217" w:lineRule="exact"/>
              <w:ind w:left="11"/>
              <w:rPr>
                <w:rFonts w:ascii="Times New Roman"/>
                <w:sz w:val="21"/>
              </w:rPr>
            </w:pPr>
            <w:r>
              <w:rPr>
                <w:rFonts w:ascii="Times New Roman"/>
                <w:w w:val="99"/>
                <w:sz w:val="21"/>
              </w:rPr>
              <w:t>2</w:t>
            </w:r>
          </w:p>
        </w:tc>
        <w:tc>
          <w:tcPr>
            <w:tcW w:w="2361" w:type="dxa"/>
            <w:vMerge w:val="restart"/>
          </w:tcPr>
          <w:p>
            <w:pPr>
              <w:pStyle w:val="14"/>
              <w:jc w:val="left"/>
              <w:rPr>
                <w:b/>
                <w:sz w:val="20"/>
              </w:rPr>
            </w:pPr>
          </w:p>
          <w:p>
            <w:pPr>
              <w:pStyle w:val="14"/>
              <w:spacing w:before="131" w:line="242" w:lineRule="auto"/>
              <w:ind w:left="107" w:right="-15"/>
              <w:rPr>
                <w:sz w:val="21"/>
              </w:rPr>
            </w:pPr>
            <w:r>
              <w:rPr>
                <w:spacing w:val="-8"/>
                <w:w w:val="95"/>
                <w:sz w:val="21"/>
              </w:rPr>
              <w:t xml:space="preserve">该阶段时间长，设备多， </w:t>
            </w:r>
            <w:r>
              <w:rPr>
                <w:spacing w:val="-8"/>
                <w:sz w:val="21"/>
              </w:rPr>
              <w:t>既有移动声源又有固定声源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5" w:hRule="atLeast"/>
        </w:trPr>
        <w:tc>
          <w:tcPr>
            <w:tcW w:w="1307" w:type="dxa"/>
            <w:tcBorders>
              <w:top w:val="nil"/>
              <w:bottom w:val="nil"/>
            </w:tcBorders>
          </w:tcPr>
          <w:p>
            <w:pPr>
              <w:pStyle w:val="14"/>
              <w:spacing w:line="215" w:lineRule="exact"/>
              <w:ind w:left="6"/>
              <w:rPr>
                <w:sz w:val="21"/>
              </w:rPr>
            </w:pPr>
            <w:r>
              <w:rPr>
                <w:sz w:val="21"/>
              </w:rPr>
              <w:t>结构施工</w:t>
            </w:r>
          </w:p>
        </w:tc>
        <w:tc>
          <w:tcPr>
            <w:tcW w:w="1908" w:type="dxa"/>
            <w:tcBorders>
              <w:top w:val="nil"/>
              <w:bottom w:val="nil"/>
            </w:tcBorders>
          </w:tcPr>
          <w:p>
            <w:pPr>
              <w:pStyle w:val="14"/>
              <w:spacing w:line="215" w:lineRule="exact"/>
              <w:ind w:left="167" w:right="160"/>
              <w:rPr>
                <w:sz w:val="21"/>
              </w:rPr>
            </w:pPr>
            <w:r>
              <w:rPr>
                <w:sz w:val="21"/>
              </w:rPr>
              <w:t>砼搅拌机</w:t>
            </w:r>
          </w:p>
        </w:tc>
        <w:tc>
          <w:tcPr>
            <w:tcW w:w="1767" w:type="dxa"/>
            <w:tcBorders>
              <w:top w:val="nil"/>
              <w:bottom w:val="nil"/>
            </w:tcBorders>
          </w:tcPr>
          <w:p>
            <w:pPr>
              <w:pStyle w:val="14"/>
              <w:spacing w:line="215" w:lineRule="exact"/>
              <w:ind w:left="226" w:right="216"/>
              <w:rPr>
                <w:rFonts w:ascii="Times New Roman"/>
                <w:sz w:val="21"/>
              </w:rPr>
            </w:pPr>
            <w:r>
              <w:rPr>
                <w:rFonts w:ascii="Times New Roman"/>
                <w:sz w:val="21"/>
              </w:rPr>
              <w:t>72-91</w:t>
            </w:r>
          </w:p>
        </w:tc>
        <w:tc>
          <w:tcPr>
            <w:tcW w:w="1477" w:type="dxa"/>
            <w:tcBorders>
              <w:top w:val="nil"/>
              <w:bottom w:val="nil"/>
            </w:tcBorders>
          </w:tcPr>
          <w:p>
            <w:pPr>
              <w:pStyle w:val="14"/>
              <w:spacing w:line="215" w:lineRule="exact"/>
              <w:ind w:left="11"/>
              <w:rPr>
                <w:rFonts w:ascii="Times New Roman"/>
                <w:sz w:val="21"/>
              </w:rPr>
            </w:pPr>
            <w:r>
              <w:rPr>
                <w:rFonts w:ascii="Times New Roman"/>
                <w:w w:val="99"/>
                <w:sz w:val="21"/>
              </w:rPr>
              <w:t>3</w:t>
            </w:r>
          </w:p>
        </w:tc>
        <w:tc>
          <w:tcPr>
            <w:tcW w:w="236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1" w:hRule="atLeast"/>
        </w:trPr>
        <w:tc>
          <w:tcPr>
            <w:tcW w:w="1307" w:type="dxa"/>
            <w:tcBorders>
              <w:top w:val="nil"/>
              <w:bottom w:val="nil"/>
            </w:tcBorders>
          </w:tcPr>
          <w:p>
            <w:pPr>
              <w:pStyle w:val="14"/>
              <w:tabs>
                <w:tab w:val="left" w:pos="635"/>
              </w:tabs>
              <w:spacing w:line="211" w:lineRule="exact"/>
              <w:ind w:left="6"/>
              <w:rPr>
                <w:sz w:val="21"/>
              </w:rPr>
            </w:pPr>
            <w:r>
              <w:rPr>
                <w:sz w:val="21"/>
              </w:rPr>
              <w:t>阶</w:t>
            </w:r>
            <w:r>
              <w:rPr>
                <w:sz w:val="21"/>
              </w:rPr>
              <w:tab/>
            </w:r>
            <w:r>
              <w:rPr>
                <w:sz w:val="21"/>
              </w:rPr>
              <w:t>段</w:t>
            </w:r>
          </w:p>
        </w:tc>
        <w:tc>
          <w:tcPr>
            <w:tcW w:w="1908" w:type="dxa"/>
            <w:tcBorders>
              <w:top w:val="nil"/>
              <w:bottom w:val="nil"/>
            </w:tcBorders>
          </w:tcPr>
          <w:p>
            <w:pPr>
              <w:pStyle w:val="14"/>
              <w:spacing w:line="211" w:lineRule="exact"/>
              <w:ind w:left="164" w:right="160"/>
              <w:rPr>
                <w:sz w:val="21"/>
              </w:rPr>
            </w:pPr>
            <w:r>
              <w:rPr>
                <w:sz w:val="21"/>
              </w:rPr>
              <w:t>电据</w:t>
            </w:r>
          </w:p>
        </w:tc>
        <w:tc>
          <w:tcPr>
            <w:tcW w:w="1767" w:type="dxa"/>
            <w:tcBorders>
              <w:top w:val="nil"/>
              <w:bottom w:val="nil"/>
            </w:tcBorders>
          </w:tcPr>
          <w:p>
            <w:pPr>
              <w:pStyle w:val="14"/>
              <w:spacing w:line="211" w:lineRule="exact"/>
              <w:ind w:left="226" w:right="216"/>
              <w:rPr>
                <w:rFonts w:ascii="Times New Roman"/>
                <w:sz w:val="21"/>
              </w:rPr>
            </w:pPr>
            <w:r>
              <w:rPr>
                <w:rFonts w:ascii="Times New Roman"/>
                <w:sz w:val="21"/>
              </w:rPr>
              <w:t>90-95</w:t>
            </w:r>
          </w:p>
        </w:tc>
        <w:tc>
          <w:tcPr>
            <w:tcW w:w="1477" w:type="dxa"/>
            <w:tcBorders>
              <w:top w:val="nil"/>
              <w:bottom w:val="nil"/>
            </w:tcBorders>
          </w:tcPr>
          <w:p>
            <w:pPr>
              <w:pStyle w:val="14"/>
              <w:spacing w:line="211" w:lineRule="exact"/>
              <w:ind w:left="11"/>
              <w:rPr>
                <w:rFonts w:ascii="Times New Roman"/>
                <w:sz w:val="21"/>
              </w:rPr>
            </w:pPr>
            <w:r>
              <w:rPr>
                <w:rFonts w:ascii="Times New Roman"/>
                <w:w w:val="99"/>
                <w:sz w:val="21"/>
              </w:rPr>
              <w:t>5</w:t>
            </w:r>
          </w:p>
        </w:tc>
        <w:tc>
          <w:tcPr>
            <w:tcW w:w="236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1307" w:type="dxa"/>
            <w:tcBorders>
              <w:top w:val="nil"/>
            </w:tcBorders>
          </w:tcPr>
          <w:p>
            <w:pPr>
              <w:pStyle w:val="14"/>
              <w:jc w:val="left"/>
              <w:rPr>
                <w:rFonts w:ascii="Times New Roman"/>
                <w:sz w:val="22"/>
              </w:rPr>
            </w:pPr>
          </w:p>
        </w:tc>
        <w:tc>
          <w:tcPr>
            <w:tcW w:w="1908" w:type="dxa"/>
            <w:tcBorders>
              <w:top w:val="nil"/>
            </w:tcBorders>
          </w:tcPr>
          <w:p>
            <w:pPr>
              <w:pStyle w:val="14"/>
              <w:spacing w:before="23"/>
              <w:ind w:left="169" w:right="160"/>
              <w:rPr>
                <w:sz w:val="21"/>
              </w:rPr>
            </w:pPr>
            <w:r>
              <w:rPr>
                <w:sz w:val="21"/>
              </w:rPr>
              <w:t>汽车吊车（</w:t>
            </w:r>
            <w:r>
              <w:rPr>
                <w:rFonts w:ascii="Times New Roman" w:eastAsia="Times New Roman"/>
                <w:sz w:val="21"/>
              </w:rPr>
              <w:t>16t</w:t>
            </w:r>
            <w:r>
              <w:rPr>
                <w:sz w:val="21"/>
              </w:rPr>
              <w:t>）</w:t>
            </w:r>
          </w:p>
        </w:tc>
        <w:tc>
          <w:tcPr>
            <w:tcW w:w="1767" w:type="dxa"/>
            <w:tcBorders>
              <w:top w:val="nil"/>
            </w:tcBorders>
          </w:tcPr>
          <w:p>
            <w:pPr>
              <w:pStyle w:val="14"/>
              <w:spacing w:line="231" w:lineRule="exact"/>
              <w:ind w:left="226" w:right="216"/>
              <w:rPr>
                <w:rFonts w:ascii="Times New Roman"/>
                <w:sz w:val="21"/>
              </w:rPr>
            </w:pPr>
            <w:r>
              <w:rPr>
                <w:rFonts w:ascii="Times New Roman"/>
                <w:sz w:val="21"/>
              </w:rPr>
              <w:t>72</w:t>
            </w:r>
          </w:p>
        </w:tc>
        <w:tc>
          <w:tcPr>
            <w:tcW w:w="1477" w:type="dxa"/>
            <w:tcBorders>
              <w:top w:val="nil"/>
            </w:tcBorders>
          </w:tcPr>
          <w:p>
            <w:pPr>
              <w:pStyle w:val="14"/>
              <w:spacing w:line="231" w:lineRule="exact"/>
              <w:ind w:left="11"/>
              <w:rPr>
                <w:rFonts w:ascii="Times New Roman"/>
                <w:sz w:val="21"/>
              </w:rPr>
            </w:pPr>
            <w:r>
              <w:rPr>
                <w:rFonts w:ascii="Times New Roman"/>
                <w:w w:val="99"/>
                <w:sz w:val="21"/>
              </w:rPr>
              <w:t>5</w:t>
            </w:r>
          </w:p>
        </w:tc>
        <w:tc>
          <w:tcPr>
            <w:tcW w:w="2361" w:type="dxa"/>
            <w:vMerge w:val="continue"/>
            <w:tcBorders>
              <w:top w:val="nil"/>
            </w:tcBorders>
          </w:tcPr>
          <w:p>
            <w:pPr>
              <w:rPr>
                <w:sz w:val="2"/>
                <w:szCs w:val="2"/>
              </w:rPr>
            </w:pPr>
          </w:p>
        </w:tc>
      </w:tr>
    </w:tbl>
    <w:p>
      <w:pPr>
        <w:pStyle w:val="6"/>
        <w:spacing w:before="3"/>
        <w:ind w:left="1460"/>
      </w:pPr>
      <w:r>
        <w:t>④固体废物</w:t>
      </w:r>
    </w:p>
    <w:p>
      <w:pPr>
        <w:pStyle w:val="6"/>
        <w:spacing w:before="6"/>
        <w:rPr>
          <w:sz w:val="18"/>
        </w:rPr>
      </w:pPr>
    </w:p>
    <w:p>
      <w:pPr>
        <w:pStyle w:val="6"/>
        <w:spacing w:before="1" w:line="364" w:lineRule="auto"/>
        <w:ind w:left="1040" w:right="985" w:firstLine="480"/>
      </w:pPr>
      <w:r>
        <w:t>施工期排弃的固体废物主要为井底开凿产生的矸石和地面建筑物建设过程中产生的建筑垃圾以及少量生活垃圾。矸石用于工业场地铺垫和场外道路铺设。建筑垃圾与生活垃圾，堆放指定地点，委托环卫部门统一清运处理。</w:t>
      </w:r>
    </w:p>
    <w:p>
      <w:pPr>
        <w:pStyle w:val="6"/>
        <w:spacing w:before="1"/>
        <w:ind w:left="1520"/>
      </w:pPr>
      <w:r>
        <w:t>⑤生态环境影响</w:t>
      </w:r>
    </w:p>
    <w:p>
      <w:pPr>
        <w:pStyle w:val="6"/>
        <w:spacing w:before="161"/>
        <w:ind w:left="1520"/>
      </w:pPr>
      <w:r>
        <w:t>本项目施工位于原工业广场内对生态环境影响不大。</w:t>
      </w:r>
    </w:p>
    <w:p>
      <w:pPr>
        <w:pStyle w:val="6"/>
        <w:spacing w:before="81"/>
        <w:ind w:left="1520"/>
      </w:pPr>
      <w:r>
        <w:rPr>
          <w:rFonts w:ascii="Times New Roman" w:eastAsia="Times New Roman"/>
        </w:rPr>
        <w:t>2</w:t>
      </w:r>
      <w:r>
        <w:t>、运营期主要污染源及污染物分析</w:t>
      </w:r>
    </w:p>
    <w:p>
      <w:pPr>
        <w:pStyle w:val="6"/>
        <w:spacing w:before="161"/>
        <w:ind w:left="1520"/>
      </w:pPr>
      <w:r>
        <w:t>（</w:t>
      </w:r>
      <w:r>
        <w:rPr>
          <w:rFonts w:ascii="Times New Roman" w:eastAsia="Times New Roman"/>
        </w:rPr>
        <w:t>1</w:t>
      </w:r>
      <w:r>
        <w:t>）环境空气污染源及源强分析</w:t>
      </w:r>
    </w:p>
    <w:p>
      <w:pPr>
        <w:pStyle w:val="6"/>
        <w:spacing w:before="158"/>
        <w:ind w:left="1520"/>
      </w:pPr>
      <w:r>
        <w:t>①锅炉及热风炉</w:t>
      </w:r>
    </w:p>
    <w:p>
      <w:pPr>
        <w:spacing w:after="0"/>
        <w:sectPr>
          <w:pgSz w:w="11910" w:h="16840"/>
          <w:pgMar w:top="1080" w:right="720" w:bottom="1160" w:left="760" w:header="0" w:footer="97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04" name="组合 76"/>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03" name="直线 77"/>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76"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aCLtQAAAADAQAADwAAAAAAAAABACAAAAAiAAAAZHJzL2Rvd25yZXYueG1s&#10;UEsBAhQAFAAAAAgAh07iQHGmEB81AgAAtgQAAA4AAAAAAAAAAQAgAAAAIwEAAGRycy9lMm9Eb2Mu&#10;eG1sUEsFBgAAAAAGAAYAWQEAAMoFAAAAAA==&#10;">
                <o:lock v:ext="edit" aspectratio="f"/>
                <v:line id="直线 77" o:spid="_x0000_s1026" o:spt="20" style="position:absolute;left:0;top:7;height:0;width:8306;" filled="f" stroked="t" coordsize="21600,21600" o:gfxdata="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B3F37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6"/>
        <w:spacing w:before="5"/>
        <w:rPr>
          <w:sz w:val="19"/>
        </w:rPr>
      </w:pPr>
    </w:p>
    <w:p>
      <w:pPr>
        <w:pStyle w:val="6"/>
        <w:spacing w:before="74" w:line="364" w:lineRule="auto"/>
        <w:ind w:left="1040" w:right="957" w:firstLine="480"/>
      </w:pPr>
      <w:r>
        <w:rPr>
          <w:spacing w:val="-13"/>
        </w:rPr>
        <w:t xml:space="preserve">地面建筑采暖、员工洗浴、干燥采用 </w:t>
      </w:r>
      <w:r>
        <w:rPr>
          <w:rFonts w:ascii="Times New Roman" w:eastAsia="Times New Roman"/>
        </w:rPr>
        <w:t xml:space="preserve">1 </w:t>
      </w:r>
      <w:r>
        <w:rPr>
          <w:spacing w:val="-30"/>
        </w:rPr>
        <w:t xml:space="preserve">台 </w:t>
      </w:r>
      <w:r>
        <w:rPr>
          <w:rFonts w:ascii="Times New Roman" w:eastAsia="Times New Roman"/>
        </w:rPr>
        <w:t xml:space="preserve">1.4MW </w:t>
      </w:r>
      <w:r>
        <w:rPr>
          <w:spacing w:val="-7"/>
        </w:rPr>
        <w:t xml:space="preserve">热水锅炉，锅炉全年运行， </w:t>
      </w:r>
      <w:r>
        <w:rPr>
          <w:spacing w:val="-9"/>
        </w:rPr>
        <w:t xml:space="preserve">井筒防冻采用 </w:t>
      </w:r>
      <w:r>
        <w:rPr>
          <w:rFonts w:ascii="Times New Roman" w:eastAsia="Times New Roman"/>
        </w:rPr>
        <w:t xml:space="preserve">1 </w:t>
      </w:r>
      <w:r>
        <w:rPr>
          <w:spacing w:val="-30"/>
        </w:rPr>
        <w:t xml:space="preserve">台 </w:t>
      </w:r>
      <w:r>
        <w:rPr>
          <w:rFonts w:ascii="Times New Roman" w:eastAsia="Times New Roman"/>
        </w:rPr>
        <w:t xml:space="preserve">4.2MW </w:t>
      </w:r>
      <w:r>
        <w:t>热风炉，热风炉采暖季运行，燃料均为生物质成型燃</w:t>
      </w:r>
      <w:r>
        <w:rPr>
          <w:spacing w:val="-4"/>
        </w:rPr>
        <w:t xml:space="preserve">料，本项目年生产 </w:t>
      </w:r>
      <w:r>
        <w:rPr>
          <w:rFonts w:ascii="Times New Roman" w:eastAsia="Times New Roman"/>
        </w:rPr>
        <w:t xml:space="preserve">330 </w:t>
      </w:r>
      <w:r>
        <w:rPr>
          <w:spacing w:val="-7"/>
        </w:rPr>
        <w:t xml:space="preserve">天，采暖期 </w:t>
      </w:r>
      <w:r>
        <w:rPr>
          <w:rFonts w:ascii="Times New Roman" w:eastAsia="Times New Roman"/>
        </w:rPr>
        <w:t xml:space="preserve">180 </w:t>
      </w:r>
      <w:r>
        <w:rPr>
          <w:spacing w:val="-6"/>
        </w:rPr>
        <w:t xml:space="preserve">天，非采暖期 </w:t>
      </w:r>
      <w:r>
        <w:rPr>
          <w:rFonts w:ascii="Times New Roman" w:eastAsia="Times New Roman"/>
        </w:rPr>
        <w:t xml:space="preserve">150 </w:t>
      </w:r>
      <w:r>
        <w:rPr>
          <w:spacing w:val="2"/>
        </w:rPr>
        <w:t>天，采暖期每天运行</w:t>
      </w:r>
      <w:r>
        <w:rPr>
          <w:rFonts w:ascii="Times New Roman" w:eastAsia="Times New Roman"/>
          <w:spacing w:val="2"/>
        </w:rPr>
        <w:t>18h</w:t>
      </w:r>
      <w:r>
        <w:rPr>
          <w:spacing w:val="-5"/>
        </w:rPr>
        <w:t xml:space="preserve">，非采暖期每天运行 </w:t>
      </w:r>
      <w:r>
        <w:rPr>
          <w:rFonts w:ascii="Times New Roman" w:eastAsia="Times New Roman"/>
        </w:rPr>
        <w:t>12h</w:t>
      </w:r>
      <w:r>
        <w:t>。根据《双鸭山大顺矿业有限公司改扩建可行性研</w:t>
      </w:r>
      <w:r>
        <w:rPr>
          <w:spacing w:val="-11"/>
        </w:rPr>
        <w:t xml:space="preserve">究报告》，本项目供暖热负荷非采暖季节热负荷 </w:t>
      </w:r>
      <w:r>
        <w:rPr>
          <w:rFonts w:ascii="Times New Roman" w:eastAsia="Times New Roman"/>
          <w:spacing w:val="-5"/>
        </w:rPr>
        <w:t>780kw</w:t>
      </w:r>
      <w:r>
        <w:rPr>
          <w:spacing w:val="-2"/>
        </w:rPr>
        <w:t>，采暖季节井筒防冻热负</w:t>
      </w:r>
      <w:r>
        <w:rPr>
          <w:spacing w:val="2"/>
        </w:rPr>
        <w:t>荷：</w:t>
      </w:r>
      <w:r>
        <w:rPr>
          <w:rFonts w:ascii="Times New Roman" w:eastAsia="Times New Roman"/>
        </w:rPr>
        <w:t>2255kw</w:t>
      </w:r>
      <w:r>
        <w:rPr>
          <w:spacing w:val="-8"/>
        </w:rPr>
        <w:t xml:space="preserve">，热效率为 </w:t>
      </w:r>
      <w:r>
        <w:rPr>
          <w:rFonts w:ascii="Times New Roman" w:eastAsia="Times New Roman"/>
          <w:spacing w:val="2"/>
        </w:rPr>
        <w:t>85%</w:t>
      </w:r>
      <w:r>
        <w:rPr>
          <w:spacing w:val="-4"/>
        </w:rPr>
        <w:t xml:space="preserve">，锅炉年运行时间为 </w:t>
      </w:r>
      <w:r>
        <w:rPr>
          <w:rFonts w:ascii="Times New Roman" w:eastAsia="Times New Roman"/>
        </w:rPr>
        <w:t>5040h</w:t>
      </w:r>
      <w:r>
        <w:rPr>
          <w:spacing w:val="-7"/>
        </w:rPr>
        <w:t xml:space="preserve">，燃料量约为 </w:t>
      </w:r>
      <w:r>
        <w:rPr>
          <w:rFonts w:ascii="Times New Roman" w:eastAsia="Times New Roman"/>
        </w:rPr>
        <w:t>0.24t/h</w:t>
      </w:r>
      <w:r>
        <w:t xml:space="preserve">， </w:t>
      </w:r>
      <w:r>
        <w:rPr>
          <w:rFonts w:ascii="Times New Roman" w:eastAsia="Times New Roman"/>
        </w:rPr>
        <w:t>1206t/a</w:t>
      </w:r>
      <w:r>
        <w:rPr>
          <w:spacing w:val="-7"/>
        </w:rPr>
        <w:t xml:space="preserve">；热风炉年运行时间为 </w:t>
      </w:r>
      <w:r>
        <w:rPr>
          <w:rFonts w:ascii="Times New Roman" w:eastAsia="Times New Roman"/>
        </w:rPr>
        <w:t>3240h</w:t>
      </w:r>
      <w:r>
        <w:rPr>
          <w:spacing w:val="-10"/>
        </w:rPr>
        <w:t xml:space="preserve">，燃料量约为 </w:t>
      </w:r>
      <w:r>
        <w:rPr>
          <w:rFonts w:ascii="Times New Roman" w:eastAsia="Times New Roman"/>
        </w:rPr>
        <w:t>0.69t/h</w:t>
      </w:r>
      <w:r>
        <w:t>，</w:t>
      </w:r>
      <w:r>
        <w:rPr>
          <w:rFonts w:ascii="Times New Roman" w:eastAsia="Times New Roman"/>
        </w:rPr>
        <w:t>2241t/a</w:t>
      </w:r>
      <w:r>
        <w:rPr>
          <w:spacing w:val="-3"/>
        </w:rPr>
        <w:t>。锅炉和热风</w:t>
      </w:r>
      <w:r>
        <w:rPr>
          <w:spacing w:val="-8"/>
        </w:rPr>
        <w:t xml:space="preserve">炉均配套布袋除尘器和高 </w:t>
      </w:r>
      <w:r>
        <w:rPr>
          <w:rFonts w:ascii="Times New Roman" w:eastAsia="Times New Roman"/>
        </w:rPr>
        <w:t xml:space="preserve">35 </w:t>
      </w:r>
      <w:r>
        <w:rPr>
          <w:spacing w:val="-12"/>
        </w:rPr>
        <w:t xml:space="preserve">米、内径 </w:t>
      </w:r>
      <w:r>
        <w:rPr>
          <w:rFonts w:ascii="Times New Roman" w:eastAsia="Times New Roman"/>
        </w:rPr>
        <w:t xml:space="preserve">0.8 </w:t>
      </w:r>
      <w:r>
        <w:t>米的烟囱。</w:t>
      </w:r>
    </w:p>
    <w:p>
      <w:pPr>
        <w:pStyle w:val="6"/>
        <w:spacing w:line="362" w:lineRule="auto"/>
        <w:ind w:left="1040" w:right="1077" w:firstLine="480"/>
      </w:pPr>
      <w:r>
        <w:t>根据《污染源源强核算技术指南 锅炉》（</w:t>
      </w:r>
      <w:r>
        <w:rPr>
          <w:rFonts w:ascii="Times New Roman" w:eastAsia="Times New Roman"/>
        </w:rPr>
        <w:t>HJ991-2018</w:t>
      </w:r>
      <w:r>
        <w:t>）中公式计算烟尘、二氧化硫和氮氧化物排放量。</w:t>
      </w:r>
    </w:p>
    <w:p>
      <w:pPr>
        <w:pStyle w:val="6"/>
        <w:ind w:left="1520"/>
      </w:pPr>
      <w:r>
        <w:t>a 烟尘</w:t>
      </w:r>
    </w:p>
    <w:p>
      <w:pPr>
        <w:pStyle w:val="6"/>
        <w:spacing w:before="5"/>
        <w:rPr>
          <w:sz w:val="9"/>
        </w:rPr>
      </w:pPr>
      <w:r>
        <w:drawing>
          <wp:anchor distT="0" distB="0" distL="0" distR="0" simplePos="0" relativeHeight="1024" behindDoc="0" locked="0" layoutInCell="1" allowOverlap="1">
            <wp:simplePos x="0" y="0"/>
            <wp:positionH relativeFrom="page">
              <wp:posOffset>2580005</wp:posOffset>
            </wp:positionH>
            <wp:positionV relativeFrom="paragraph">
              <wp:posOffset>101600</wp:posOffset>
            </wp:positionV>
            <wp:extent cx="2513965" cy="99060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40" cstate="print"/>
                    <a:stretch>
                      <a:fillRect/>
                    </a:stretch>
                  </pic:blipFill>
                  <pic:spPr>
                    <a:xfrm>
                      <a:off x="0" y="0"/>
                      <a:ext cx="2513694" cy="990600"/>
                    </a:xfrm>
                    <a:prstGeom prst="rect">
                      <a:avLst/>
                    </a:prstGeom>
                  </pic:spPr>
                </pic:pic>
              </a:graphicData>
            </a:graphic>
          </wp:anchor>
        </w:drawing>
      </w:r>
    </w:p>
    <w:p>
      <w:pPr>
        <w:pStyle w:val="6"/>
        <w:spacing w:before="211"/>
        <w:ind w:left="1520"/>
      </w:pPr>
      <w:r>
        <w:rPr>
          <w:position w:val="2"/>
        </w:rPr>
        <w:t>式中：</w:t>
      </w:r>
      <w:r>
        <w:rPr>
          <w:rFonts w:ascii="Times New Roman" w:hAnsi="Times New Roman" w:eastAsia="Times New Roman"/>
          <w:position w:val="2"/>
        </w:rPr>
        <w:t>E</w:t>
      </w:r>
      <w:r>
        <w:rPr>
          <w:rFonts w:ascii="Times New Roman" w:hAnsi="Times New Roman" w:eastAsia="Times New Roman"/>
          <w:position w:val="2"/>
          <w:vertAlign w:val="subscript"/>
        </w:rPr>
        <w:t>A</w:t>
      </w:r>
      <w:r>
        <w:rPr>
          <w:rFonts w:ascii="Times New Roman" w:hAnsi="Times New Roman" w:eastAsia="Times New Roman"/>
          <w:position w:val="2"/>
          <w:vertAlign w:val="baseline"/>
        </w:rPr>
        <w:t>—</w:t>
      </w:r>
      <w:r>
        <w:rPr>
          <w:position w:val="2"/>
          <w:vertAlign w:val="baseline"/>
        </w:rPr>
        <w:t>核算时段内烟尘排放量，</w:t>
      </w:r>
      <w:r>
        <w:rPr>
          <w:rFonts w:ascii="Times New Roman" w:hAnsi="Times New Roman" w:eastAsia="Times New Roman"/>
          <w:position w:val="2"/>
          <w:vertAlign w:val="baseline"/>
        </w:rPr>
        <w:t>t</w:t>
      </w:r>
      <w:r>
        <w:rPr>
          <w:position w:val="2"/>
          <w:vertAlign w:val="baseline"/>
        </w:rPr>
        <w:t>；</w:t>
      </w:r>
    </w:p>
    <w:p>
      <w:pPr>
        <w:pStyle w:val="6"/>
        <w:spacing w:before="159"/>
        <w:ind w:left="1520"/>
      </w:pPr>
      <w:r>
        <w:rPr>
          <w:rFonts w:ascii="Times New Roman" w:hAnsi="Times New Roman" w:eastAsia="Times New Roman"/>
        </w:rPr>
        <w:t>R—</w:t>
      </w:r>
      <w:r>
        <w:t>核算时段内锅炉燃料耗量，</w:t>
      </w:r>
      <w:r>
        <w:rPr>
          <w:rFonts w:ascii="Times New Roman" w:hAnsi="Times New Roman" w:eastAsia="Times New Roman"/>
        </w:rPr>
        <w:t>t</w:t>
      </w:r>
      <w:r>
        <w:t>；</w:t>
      </w:r>
    </w:p>
    <w:p>
      <w:pPr>
        <w:pStyle w:val="6"/>
        <w:spacing w:before="155" w:line="364" w:lineRule="auto"/>
        <w:ind w:left="1520" w:right="4595"/>
      </w:pPr>
      <w:r>
        <w:rPr>
          <w:rFonts w:ascii="Times New Roman" w:hAnsi="Times New Roman" w:eastAsia="Times New Roman"/>
          <w:position w:val="2"/>
        </w:rPr>
        <w:t>η</w:t>
      </w:r>
      <w:r>
        <w:rPr>
          <w:rFonts w:ascii="Times New Roman" w:hAnsi="Times New Roman" w:eastAsia="Times New Roman"/>
          <w:position w:val="2"/>
          <w:vertAlign w:val="subscript"/>
        </w:rPr>
        <w:t>c</w:t>
      </w:r>
      <w:r>
        <w:rPr>
          <w:rFonts w:ascii="Times New Roman" w:hAnsi="Times New Roman" w:eastAsia="Times New Roman"/>
          <w:position w:val="2"/>
          <w:vertAlign w:val="baseline"/>
        </w:rPr>
        <w:t>—</w:t>
      </w:r>
      <w:r>
        <w:rPr>
          <w:position w:val="2"/>
          <w:vertAlign w:val="baseline"/>
        </w:rPr>
        <w:t xml:space="preserve">综合除尘效率，本次预测取 </w:t>
      </w:r>
      <w:r>
        <w:rPr>
          <w:rFonts w:ascii="Times New Roman" w:hAnsi="Times New Roman" w:eastAsia="Times New Roman"/>
          <w:position w:val="2"/>
          <w:vertAlign w:val="baseline"/>
        </w:rPr>
        <w:t>99.9%</w:t>
      </w:r>
      <w:r>
        <w:rPr>
          <w:position w:val="2"/>
          <w:vertAlign w:val="baseline"/>
        </w:rPr>
        <w:t xml:space="preserve">； </w:t>
      </w:r>
      <w:r>
        <w:rPr>
          <w:rFonts w:ascii="Times New Roman" w:hAnsi="Times New Roman" w:eastAsia="Times New Roman"/>
          <w:vertAlign w:val="baseline"/>
        </w:rPr>
        <w:t>Aar—</w:t>
      </w:r>
      <w:r>
        <w:rPr>
          <w:vertAlign w:val="baseline"/>
        </w:rPr>
        <w:t>收到基灰分的质量分数，</w:t>
      </w:r>
      <w:r>
        <w:rPr>
          <w:rFonts w:ascii="Times New Roman" w:hAnsi="Times New Roman" w:eastAsia="Times New Roman"/>
          <w:vertAlign w:val="baseline"/>
        </w:rPr>
        <w:t>%</w:t>
      </w:r>
      <w:r>
        <w:rPr>
          <w:vertAlign w:val="baseline"/>
        </w:rPr>
        <w:t>；</w:t>
      </w:r>
    </w:p>
    <w:p>
      <w:pPr>
        <w:pStyle w:val="6"/>
        <w:spacing w:line="360" w:lineRule="auto"/>
        <w:ind w:left="1520" w:right="3080"/>
      </w:pPr>
      <w:r>
        <w:rPr>
          <w:rFonts w:ascii="Times New Roman" w:hAnsi="Times New Roman" w:eastAsia="Times New Roman"/>
          <w:position w:val="2"/>
        </w:rPr>
        <w:t>d</w:t>
      </w:r>
      <w:r>
        <w:rPr>
          <w:rFonts w:ascii="Times New Roman" w:hAnsi="Times New Roman" w:eastAsia="Times New Roman"/>
          <w:position w:val="2"/>
          <w:vertAlign w:val="subscript"/>
        </w:rPr>
        <w:t>fh</w:t>
      </w:r>
      <w:r>
        <w:rPr>
          <w:rFonts w:ascii="Times New Roman" w:hAnsi="Times New Roman" w:eastAsia="Times New Roman"/>
          <w:position w:val="2"/>
          <w:vertAlign w:val="baseline"/>
        </w:rPr>
        <w:t>—</w:t>
      </w:r>
      <w:r>
        <w:rPr>
          <w:position w:val="2"/>
          <w:vertAlign w:val="baseline"/>
        </w:rPr>
        <w:t>锅炉烟气带出的飞灰份额，</w:t>
      </w:r>
      <w:r>
        <w:rPr>
          <w:rFonts w:ascii="Times New Roman" w:hAnsi="Times New Roman" w:eastAsia="Times New Roman"/>
          <w:position w:val="2"/>
          <w:vertAlign w:val="baseline"/>
        </w:rPr>
        <w:t>%</w:t>
      </w:r>
      <w:r>
        <w:rPr>
          <w:position w:val="2"/>
          <w:vertAlign w:val="baseline"/>
        </w:rPr>
        <w:t xml:space="preserve">，本次预测取 </w:t>
      </w:r>
      <w:r>
        <w:rPr>
          <w:rFonts w:ascii="Times New Roman" w:hAnsi="Times New Roman" w:eastAsia="Times New Roman"/>
          <w:position w:val="2"/>
          <w:vertAlign w:val="baseline"/>
        </w:rPr>
        <w:t>45%</w:t>
      </w:r>
      <w:r>
        <w:rPr>
          <w:position w:val="2"/>
          <w:vertAlign w:val="baseline"/>
        </w:rPr>
        <w:t xml:space="preserve">； </w:t>
      </w:r>
      <w:r>
        <w:rPr>
          <w:rFonts w:ascii="Times New Roman" w:hAnsi="Times New Roman" w:eastAsia="Times New Roman"/>
          <w:position w:val="2"/>
          <w:vertAlign w:val="baseline"/>
        </w:rPr>
        <w:t>C</w:t>
      </w:r>
      <w:r>
        <w:rPr>
          <w:rFonts w:ascii="Times New Roman" w:hAnsi="Times New Roman" w:eastAsia="Times New Roman"/>
          <w:position w:val="2"/>
          <w:vertAlign w:val="subscript"/>
        </w:rPr>
        <w:t>fh</w:t>
      </w:r>
      <w:r>
        <w:rPr>
          <w:rFonts w:ascii="Times New Roman" w:hAnsi="Times New Roman" w:eastAsia="Times New Roman"/>
          <w:position w:val="2"/>
          <w:vertAlign w:val="baseline"/>
        </w:rPr>
        <w:t>—</w:t>
      </w:r>
      <w:r>
        <w:rPr>
          <w:position w:val="2"/>
          <w:vertAlign w:val="baseline"/>
        </w:rPr>
        <w:t>飞灰中的可燃物含量，</w:t>
      </w:r>
      <w:r>
        <w:rPr>
          <w:rFonts w:ascii="Times New Roman" w:hAnsi="Times New Roman" w:eastAsia="Times New Roman"/>
          <w:position w:val="2"/>
          <w:vertAlign w:val="baseline"/>
        </w:rPr>
        <w:t>%</w:t>
      </w:r>
      <w:r>
        <w:rPr>
          <w:position w:val="2"/>
          <w:vertAlign w:val="baseline"/>
        </w:rPr>
        <w:t xml:space="preserve">，本次取 </w:t>
      </w:r>
      <w:r>
        <w:rPr>
          <w:rFonts w:ascii="Times New Roman" w:hAnsi="Times New Roman" w:eastAsia="Times New Roman"/>
          <w:position w:val="2"/>
          <w:vertAlign w:val="baseline"/>
        </w:rPr>
        <w:t>15%</w:t>
      </w:r>
      <w:r>
        <w:rPr>
          <w:position w:val="2"/>
          <w:vertAlign w:val="baseline"/>
        </w:rPr>
        <w:t>；</w:t>
      </w:r>
    </w:p>
    <w:p>
      <w:pPr>
        <w:pStyle w:val="6"/>
        <w:ind w:left="1520"/>
      </w:pPr>
      <w:r>
        <w:rPr>
          <w:rFonts w:ascii="Times New Roman" w:eastAsia="Times New Roman"/>
        </w:rPr>
        <w:t xml:space="preserve">b </w:t>
      </w:r>
      <w:r>
        <w:t>二氧化硫</w:t>
      </w:r>
    </w:p>
    <w:p>
      <w:pPr>
        <w:pStyle w:val="6"/>
        <w:spacing w:before="5"/>
        <w:rPr>
          <w:sz w:val="9"/>
        </w:rPr>
      </w:pPr>
      <w:r>
        <w:drawing>
          <wp:anchor distT="0" distB="0" distL="0" distR="0" simplePos="0" relativeHeight="1024" behindDoc="0" locked="0" layoutInCell="1" allowOverlap="1">
            <wp:simplePos x="0" y="0"/>
            <wp:positionH relativeFrom="page">
              <wp:posOffset>2285365</wp:posOffset>
            </wp:positionH>
            <wp:positionV relativeFrom="paragraph">
              <wp:posOffset>100965</wp:posOffset>
            </wp:positionV>
            <wp:extent cx="3356610" cy="55753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41" cstate="print"/>
                    <a:stretch>
                      <a:fillRect/>
                    </a:stretch>
                  </pic:blipFill>
                  <pic:spPr>
                    <a:xfrm>
                      <a:off x="0" y="0"/>
                      <a:ext cx="3356848" cy="557784"/>
                    </a:xfrm>
                    <a:prstGeom prst="rect">
                      <a:avLst/>
                    </a:prstGeom>
                  </pic:spPr>
                </pic:pic>
              </a:graphicData>
            </a:graphic>
          </wp:anchor>
        </w:drawing>
      </w:r>
    </w:p>
    <w:p>
      <w:pPr>
        <w:pStyle w:val="6"/>
        <w:spacing w:before="103"/>
        <w:ind w:left="1520"/>
      </w:pPr>
      <w:r>
        <w:rPr>
          <w:position w:val="2"/>
        </w:rPr>
        <w:t>式中：</w:t>
      </w:r>
      <w:r>
        <w:rPr>
          <w:rFonts w:ascii="Times New Roman" w:hAnsi="Times New Roman" w:eastAsia="Times New Roman"/>
          <w:position w:val="2"/>
        </w:rPr>
        <w:t>E</w:t>
      </w:r>
      <w:r>
        <w:rPr>
          <w:rFonts w:ascii="Times New Roman" w:hAnsi="Times New Roman" w:eastAsia="Times New Roman"/>
          <w:position w:val="2"/>
          <w:vertAlign w:val="subscript"/>
        </w:rPr>
        <w:t>SO2</w:t>
      </w:r>
      <w:r>
        <w:rPr>
          <w:rFonts w:ascii="Times New Roman" w:hAnsi="Times New Roman" w:eastAsia="Times New Roman"/>
          <w:position w:val="2"/>
          <w:vertAlign w:val="baseline"/>
        </w:rPr>
        <w:t>—</w:t>
      </w:r>
      <w:r>
        <w:rPr>
          <w:position w:val="2"/>
          <w:vertAlign w:val="baseline"/>
        </w:rPr>
        <w:t>核算时段内二氧化硫排放量，</w:t>
      </w:r>
      <w:r>
        <w:rPr>
          <w:rFonts w:ascii="Times New Roman" w:hAnsi="Times New Roman" w:eastAsia="Times New Roman"/>
          <w:position w:val="2"/>
          <w:vertAlign w:val="baseline"/>
        </w:rPr>
        <w:t>t</w:t>
      </w:r>
      <w:r>
        <w:rPr>
          <w:position w:val="2"/>
          <w:vertAlign w:val="baseline"/>
        </w:rPr>
        <w:t>；</w:t>
      </w:r>
    </w:p>
    <w:p>
      <w:pPr>
        <w:pStyle w:val="6"/>
        <w:spacing w:before="157" w:line="362" w:lineRule="auto"/>
        <w:ind w:left="1520" w:right="5303"/>
      </w:pPr>
      <w:r>
        <w:rPr>
          <w:rFonts w:ascii="Times New Roman" w:hAnsi="Times New Roman" w:eastAsia="Times New Roman"/>
        </w:rPr>
        <w:t>R—</w:t>
      </w:r>
      <w:r>
        <w:t>核算时段内锅炉燃料耗量，</w:t>
      </w:r>
      <w:r>
        <w:rPr>
          <w:rFonts w:ascii="Times New Roman" w:hAnsi="Times New Roman" w:eastAsia="Times New Roman"/>
        </w:rPr>
        <w:t>t</w:t>
      </w:r>
      <w:r>
        <w:t xml:space="preserve">； </w:t>
      </w:r>
      <w:r>
        <w:rPr>
          <w:rFonts w:ascii="Times New Roman" w:hAnsi="Times New Roman" w:eastAsia="Times New Roman"/>
          <w:position w:val="2"/>
        </w:rPr>
        <w:t>η</w:t>
      </w:r>
      <w:r>
        <w:rPr>
          <w:rFonts w:ascii="Times New Roman" w:hAnsi="Times New Roman" w:eastAsia="Times New Roman"/>
          <w:position w:val="2"/>
          <w:vertAlign w:val="subscript"/>
        </w:rPr>
        <w:t>s</w:t>
      </w:r>
      <w:r>
        <w:rPr>
          <w:rFonts w:ascii="Times New Roman" w:hAnsi="Times New Roman" w:eastAsia="Times New Roman"/>
          <w:position w:val="2"/>
          <w:vertAlign w:val="baseline"/>
        </w:rPr>
        <w:t>—</w:t>
      </w:r>
      <w:r>
        <w:rPr>
          <w:position w:val="2"/>
          <w:vertAlign w:val="baseline"/>
        </w:rPr>
        <w:t>脱硫效率，</w:t>
      </w:r>
      <w:r>
        <w:rPr>
          <w:rFonts w:ascii="Times New Roman" w:hAnsi="Times New Roman" w:eastAsia="Times New Roman"/>
          <w:position w:val="2"/>
          <w:vertAlign w:val="baseline"/>
        </w:rPr>
        <w:t>%</w:t>
      </w:r>
      <w:r>
        <w:rPr>
          <w:position w:val="2"/>
          <w:vertAlign w:val="baseline"/>
        </w:rPr>
        <w:t>；</w:t>
      </w:r>
    </w:p>
    <w:p>
      <w:pPr>
        <w:pStyle w:val="6"/>
        <w:spacing w:line="362" w:lineRule="auto"/>
        <w:ind w:left="1520" w:right="3372"/>
      </w:pPr>
      <w:r>
        <w:rPr>
          <w:rFonts w:ascii="Times New Roman" w:hAnsi="Times New Roman" w:eastAsia="Times New Roman"/>
          <w:position w:val="2"/>
        </w:rPr>
        <w:t>q</w:t>
      </w:r>
      <w:r>
        <w:rPr>
          <w:rFonts w:ascii="Times New Roman" w:hAnsi="Times New Roman" w:eastAsia="Times New Roman"/>
          <w:position w:val="2"/>
          <w:vertAlign w:val="subscript"/>
        </w:rPr>
        <w:t>4</w:t>
      </w:r>
      <w:r>
        <w:rPr>
          <w:rFonts w:ascii="Times New Roman" w:hAnsi="Times New Roman" w:eastAsia="Times New Roman"/>
          <w:position w:val="2"/>
          <w:vertAlign w:val="baseline"/>
        </w:rPr>
        <w:t>—</w:t>
      </w:r>
      <w:r>
        <w:rPr>
          <w:position w:val="2"/>
          <w:vertAlign w:val="baseline"/>
        </w:rPr>
        <w:t>锅炉机械不完全燃烧热损失，</w:t>
      </w:r>
      <w:r>
        <w:rPr>
          <w:rFonts w:ascii="Times New Roman" w:hAnsi="Times New Roman" w:eastAsia="Times New Roman"/>
          <w:position w:val="2"/>
          <w:vertAlign w:val="baseline"/>
        </w:rPr>
        <w:t>%</w:t>
      </w:r>
      <w:r>
        <w:rPr>
          <w:position w:val="2"/>
          <w:vertAlign w:val="baseline"/>
        </w:rPr>
        <w:t xml:space="preserve">，本次取 </w:t>
      </w:r>
      <w:r>
        <w:rPr>
          <w:rFonts w:ascii="Times New Roman" w:hAnsi="Times New Roman" w:eastAsia="Times New Roman"/>
          <w:position w:val="2"/>
          <w:vertAlign w:val="baseline"/>
        </w:rPr>
        <w:t>10%</w:t>
      </w:r>
      <w:r>
        <w:rPr>
          <w:position w:val="2"/>
          <w:vertAlign w:val="baseline"/>
        </w:rPr>
        <w:t xml:space="preserve">； </w:t>
      </w:r>
      <w:r>
        <w:rPr>
          <w:rFonts w:ascii="Times New Roman" w:hAnsi="Times New Roman" w:eastAsia="Times New Roman"/>
          <w:position w:val="2"/>
          <w:vertAlign w:val="baseline"/>
        </w:rPr>
        <w:t>S</w:t>
      </w:r>
      <w:r>
        <w:rPr>
          <w:rFonts w:ascii="Times New Roman" w:hAnsi="Times New Roman" w:eastAsia="Times New Roman"/>
          <w:position w:val="2"/>
          <w:vertAlign w:val="subscript"/>
        </w:rPr>
        <w:t>ar</w:t>
      </w:r>
      <w:r>
        <w:rPr>
          <w:rFonts w:ascii="Times New Roman" w:hAnsi="Times New Roman" w:eastAsia="Times New Roman"/>
          <w:position w:val="2"/>
          <w:vertAlign w:val="baseline"/>
        </w:rPr>
        <w:t>—</w:t>
      </w:r>
      <w:r>
        <w:rPr>
          <w:position w:val="2"/>
          <w:vertAlign w:val="baseline"/>
        </w:rPr>
        <w:t>收到基硫的质量分数，</w:t>
      </w:r>
      <w:r>
        <w:rPr>
          <w:rFonts w:ascii="Times New Roman" w:hAnsi="Times New Roman" w:eastAsia="Times New Roman"/>
          <w:position w:val="2"/>
          <w:vertAlign w:val="baseline"/>
        </w:rPr>
        <w:t>%</w:t>
      </w:r>
      <w:r>
        <w:rPr>
          <w:position w:val="2"/>
          <w:vertAlign w:val="baseline"/>
        </w:rPr>
        <w:t xml:space="preserve">，本次取 </w:t>
      </w:r>
      <w:r>
        <w:rPr>
          <w:rFonts w:ascii="Times New Roman" w:hAnsi="Times New Roman" w:eastAsia="Times New Roman"/>
          <w:position w:val="2"/>
          <w:vertAlign w:val="baseline"/>
        </w:rPr>
        <w:t>0.02%</w:t>
      </w:r>
      <w:r>
        <w:rPr>
          <w:position w:val="2"/>
          <w:vertAlign w:val="baseline"/>
        </w:rPr>
        <w:t>；</w:t>
      </w:r>
    </w:p>
    <w:p>
      <w:pPr>
        <w:pStyle w:val="6"/>
        <w:spacing w:line="307" w:lineRule="exact"/>
        <w:ind w:left="1520"/>
      </w:pPr>
      <w:r>
        <w:rPr>
          <w:rFonts w:ascii="Times New Roman" w:hAnsi="Times New Roman" w:eastAsia="Times New Roman"/>
        </w:rPr>
        <w:t>K—</w:t>
      </w:r>
      <w:r>
        <w:t xml:space="preserve">燃料中硫燃烧后氧化成二氧化硫的份额，本次取 </w:t>
      </w:r>
      <w:r>
        <w:rPr>
          <w:rFonts w:ascii="Times New Roman" w:hAnsi="Times New Roman" w:eastAsia="Times New Roman"/>
        </w:rPr>
        <w:t>0.40</w:t>
      </w:r>
      <w:r>
        <w:t>。</w:t>
      </w:r>
    </w:p>
    <w:p>
      <w:pPr>
        <w:spacing w:after="0" w:line="307" w:lineRule="exact"/>
        <w:sectPr>
          <w:pgSz w:w="11910" w:h="16840"/>
          <w:pgMar w:top="1080" w:right="720" w:bottom="1160" w:left="760" w:header="0" w:footer="97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06" name="组合 78"/>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05" name="直线 79"/>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78"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7toIu1AAAAAMBAAAPAAAAAAAAAAEAIAAAACIAAABkcnMvZG93bnJldi54bWxQ&#10;SwECFAAUAAAACACHTuJASAGwBDQCAAC2BAAADgAAAAAAAAABACAAAAAjAQAAZHJzL2Uyb0RvYy54&#10;bWxQSwUGAAAAAAYABgBZAQAAyQUAAAAA&#10;">
                <o:lock v:ext="edit" aspectratio="f"/>
                <v:line id="直线 79" o:spid="_x0000_s1026" o:spt="20" style="position:absolute;left:0;top:7;height:0;width:8306;" filled="f" stroked="t" coordsize="21600,21600" o:gfxdata="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Lj4ML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6"/>
        <w:spacing w:before="5"/>
        <w:rPr>
          <w:sz w:val="19"/>
        </w:rPr>
      </w:pPr>
    </w:p>
    <w:p>
      <w:pPr>
        <w:pStyle w:val="6"/>
        <w:spacing w:before="74"/>
        <w:ind w:left="1520"/>
      </w:pPr>
      <w:r>
        <w:rPr>
          <w:rFonts w:ascii="Times New Roman" w:eastAsia="Times New Roman"/>
        </w:rPr>
        <w:t xml:space="preserve">c </w:t>
      </w:r>
      <w:r>
        <w:t>氮氧化物</w:t>
      </w:r>
    </w:p>
    <w:p>
      <w:pPr>
        <w:pStyle w:val="6"/>
        <w:spacing w:before="3"/>
        <w:rPr>
          <w:sz w:val="9"/>
        </w:rPr>
      </w:pPr>
      <w:r>
        <w:drawing>
          <wp:anchor distT="0" distB="0" distL="0" distR="0" simplePos="0" relativeHeight="1024" behindDoc="0" locked="0" layoutInCell="1" allowOverlap="1">
            <wp:simplePos x="0" y="0"/>
            <wp:positionH relativeFrom="page">
              <wp:posOffset>2201545</wp:posOffset>
            </wp:positionH>
            <wp:positionV relativeFrom="paragraph">
              <wp:posOffset>99695</wp:posOffset>
            </wp:positionV>
            <wp:extent cx="3062605" cy="606425"/>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42" cstate="print"/>
                    <a:stretch>
                      <a:fillRect/>
                    </a:stretch>
                  </pic:blipFill>
                  <pic:spPr>
                    <a:xfrm>
                      <a:off x="0" y="0"/>
                      <a:ext cx="3062352" cy="606266"/>
                    </a:xfrm>
                    <a:prstGeom prst="rect">
                      <a:avLst/>
                    </a:prstGeom>
                  </pic:spPr>
                </pic:pic>
              </a:graphicData>
            </a:graphic>
          </wp:anchor>
        </w:drawing>
      </w:r>
    </w:p>
    <w:p>
      <w:pPr>
        <w:pStyle w:val="6"/>
        <w:spacing w:before="111"/>
        <w:ind w:left="1520"/>
      </w:pPr>
      <w:r>
        <w:rPr>
          <w:position w:val="2"/>
        </w:rPr>
        <w:t>式中：</w:t>
      </w:r>
      <w:r>
        <w:rPr>
          <w:rFonts w:ascii="Times New Roman" w:hAnsi="Times New Roman" w:eastAsia="Times New Roman"/>
          <w:position w:val="2"/>
        </w:rPr>
        <w:t>E</w:t>
      </w:r>
      <w:r>
        <w:rPr>
          <w:rFonts w:ascii="Times New Roman" w:hAnsi="Times New Roman" w:eastAsia="Times New Roman"/>
          <w:position w:val="2"/>
          <w:vertAlign w:val="subscript"/>
        </w:rPr>
        <w:t>NOx</w:t>
      </w:r>
      <w:r>
        <w:rPr>
          <w:rFonts w:ascii="Times New Roman" w:hAnsi="Times New Roman" w:eastAsia="Times New Roman"/>
          <w:position w:val="2"/>
          <w:vertAlign w:val="baseline"/>
        </w:rPr>
        <w:t>—</w:t>
      </w:r>
      <w:r>
        <w:rPr>
          <w:position w:val="2"/>
          <w:vertAlign w:val="baseline"/>
        </w:rPr>
        <w:t>核算时段内氮氧化物排放量，</w:t>
      </w:r>
      <w:r>
        <w:rPr>
          <w:rFonts w:ascii="Times New Roman" w:hAnsi="Times New Roman" w:eastAsia="Times New Roman"/>
          <w:position w:val="2"/>
          <w:vertAlign w:val="baseline"/>
        </w:rPr>
        <w:t>t</w:t>
      </w:r>
      <w:r>
        <w:rPr>
          <w:position w:val="2"/>
          <w:vertAlign w:val="baseline"/>
        </w:rPr>
        <w:t>；</w:t>
      </w:r>
    </w:p>
    <w:p>
      <w:pPr>
        <w:pStyle w:val="6"/>
        <w:spacing w:before="156" w:line="362" w:lineRule="auto"/>
        <w:ind w:left="1520" w:right="1605"/>
      </w:pPr>
      <w:r>
        <w:rPr>
          <w:rFonts w:ascii="Times New Roman" w:hAnsi="Times New Roman" w:eastAsia="Times New Roman"/>
          <w:position w:val="2"/>
        </w:rPr>
        <w:t>ρ</w:t>
      </w:r>
      <w:r>
        <w:rPr>
          <w:rFonts w:ascii="Times New Roman" w:hAnsi="Times New Roman" w:eastAsia="Times New Roman"/>
          <w:position w:val="2"/>
          <w:vertAlign w:val="subscript"/>
        </w:rPr>
        <w:t>NOx</w:t>
      </w:r>
      <w:r>
        <w:rPr>
          <w:rFonts w:ascii="Times New Roman" w:hAnsi="Times New Roman" w:eastAsia="Times New Roman"/>
          <w:position w:val="2"/>
          <w:vertAlign w:val="baseline"/>
        </w:rPr>
        <w:t>—</w:t>
      </w:r>
      <w:r>
        <w:rPr>
          <w:spacing w:val="-9"/>
          <w:position w:val="2"/>
          <w:vertAlign w:val="baseline"/>
        </w:rPr>
        <w:t xml:space="preserve">锅炉炉膛出口 </w:t>
      </w:r>
      <w:r>
        <w:rPr>
          <w:rFonts w:ascii="Times New Roman" w:hAnsi="Times New Roman" w:eastAsia="Times New Roman"/>
          <w:position w:val="2"/>
          <w:vertAlign w:val="baseline"/>
        </w:rPr>
        <w:t xml:space="preserve">NOx </w:t>
      </w:r>
      <w:r>
        <w:rPr>
          <w:position w:val="2"/>
          <w:vertAlign w:val="baseline"/>
        </w:rPr>
        <w:t>质量浓度，</w:t>
      </w:r>
      <w:r>
        <w:rPr>
          <w:rFonts w:ascii="Times New Roman" w:hAnsi="Times New Roman" w:eastAsia="Times New Roman"/>
          <w:position w:val="2"/>
          <w:vertAlign w:val="baseline"/>
        </w:rPr>
        <w:t>mg/m</w:t>
      </w:r>
      <w:r>
        <w:rPr>
          <w:rFonts w:ascii="Times New Roman" w:hAnsi="Times New Roman" w:eastAsia="Times New Roman"/>
          <w:position w:val="2"/>
          <w:vertAlign w:val="superscript"/>
        </w:rPr>
        <w:t>3</w:t>
      </w:r>
      <w:r>
        <w:rPr>
          <w:spacing w:val="-8"/>
          <w:position w:val="2"/>
          <w:vertAlign w:val="baseline"/>
        </w:rPr>
        <w:t xml:space="preserve">，本次预测取 </w:t>
      </w:r>
      <w:r>
        <w:rPr>
          <w:rFonts w:ascii="Times New Roman" w:hAnsi="Times New Roman" w:eastAsia="Times New Roman"/>
          <w:spacing w:val="-4"/>
          <w:position w:val="2"/>
          <w:vertAlign w:val="baseline"/>
        </w:rPr>
        <w:t>200mg/m</w:t>
      </w:r>
      <w:r>
        <w:rPr>
          <w:rFonts w:ascii="Times New Roman" w:hAnsi="Times New Roman" w:eastAsia="Times New Roman"/>
          <w:spacing w:val="-4"/>
          <w:position w:val="2"/>
          <w:vertAlign w:val="superscript"/>
        </w:rPr>
        <w:t>3</w:t>
      </w:r>
      <w:r>
        <w:rPr>
          <w:spacing w:val="-4"/>
          <w:position w:val="2"/>
          <w:vertAlign w:val="baseline"/>
        </w:rPr>
        <w:t xml:space="preserve">； </w:t>
      </w:r>
      <w:r>
        <w:rPr>
          <w:rFonts w:ascii="Times New Roman" w:hAnsi="Times New Roman" w:eastAsia="Times New Roman"/>
          <w:vertAlign w:val="baseline"/>
        </w:rPr>
        <w:t>Q—</w:t>
      </w:r>
      <w:r>
        <w:rPr>
          <w:vertAlign w:val="baseline"/>
        </w:rPr>
        <w:t>核算时段内标态干烟气排放量，</w:t>
      </w:r>
      <w:r>
        <w:rPr>
          <w:rFonts w:ascii="Times New Roman" w:hAnsi="Times New Roman" w:eastAsia="Times New Roman"/>
          <w:vertAlign w:val="baseline"/>
        </w:rPr>
        <w:t>m</w:t>
      </w:r>
      <w:r>
        <w:rPr>
          <w:rFonts w:ascii="Times New Roman" w:hAnsi="Times New Roman" w:eastAsia="Times New Roman"/>
          <w:position w:val="8"/>
          <w:sz w:val="15"/>
          <w:vertAlign w:val="baseline"/>
        </w:rPr>
        <w:t>3</w:t>
      </w:r>
      <w:r>
        <w:rPr>
          <w:vertAlign w:val="baseline"/>
        </w:rPr>
        <w:t>；</w:t>
      </w:r>
    </w:p>
    <w:p>
      <w:pPr>
        <w:pStyle w:val="6"/>
        <w:spacing w:line="424" w:lineRule="auto"/>
        <w:ind w:left="1520" w:right="6597"/>
      </w:pPr>
      <w:r>
        <w:rPr>
          <w:rFonts w:ascii="Times New Roman" w:hAnsi="Times New Roman" w:eastAsia="Times New Roman"/>
          <w:position w:val="2"/>
        </w:rPr>
        <w:t>η</w:t>
      </w:r>
      <w:r>
        <w:rPr>
          <w:rFonts w:ascii="Times New Roman" w:hAnsi="Times New Roman" w:eastAsia="Times New Roman"/>
          <w:position w:val="2"/>
          <w:vertAlign w:val="subscript"/>
        </w:rPr>
        <w:t>NOx</w:t>
      </w:r>
      <w:r>
        <w:rPr>
          <w:rFonts w:ascii="Times New Roman" w:hAnsi="Times New Roman" w:eastAsia="Times New Roman"/>
          <w:position w:val="2"/>
          <w:vertAlign w:val="baseline"/>
        </w:rPr>
        <w:t>—</w:t>
      </w:r>
      <w:r>
        <w:rPr>
          <w:position w:val="2"/>
          <w:vertAlign w:val="baseline"/>
        </w:rPr>
        <w:t>脱销效率，</w:t>
      </w:r>
      <w:r>
        <w:rPr>
          <w:rFonts w:ascii="Times New Roman" w:hAnsi="Times New Roman" w:eastAsia="Times New Roman"/>
          <w:position w:val="2"/>
          <w:vertAlign w:val="baseline"/>
        </w:rPr>
        <w:t>%</w:t>
      </w:r>
      <w:r>
        <w:rPr>
          <w:position w:val="2"/>
          <w:vertAlign w:val="baseline"/>
        </w:rPr>
        <w:t>。</w:t>
      </w:r>
      <w:r>
        <w:rPr>
          <w:rFonts w:ascii="Times New Roman" w:hAnsi="Times New Roman" w:eastAsia="Times New Roman"/>
          <w:vertAlign w:val="baseline"/>
        </w:rPr>
        <w:t>d</w:t>
      </w:r>
      <w:r>
        <w:rPr>
          <w:vertAlign w:val="baseline"/>
        </w:rPr>
        <w:t>烟气量</w:t>
      </w:r>
    </w:p>
    <w:p>
      <w:pPr>
        <w:pStyle w:val="6"/>
        <w:spacing w:line="231" w:lineRule="exact"/>
        <w:ind w:left="1520"/>
      </w:pPr>
      <w:r>
        <w:t>根据《污染源源强核算技术指南 锅炉》（</w:t>
      </w:r>
      <w:r>
        <w:rPr>
          <w:rFonts w:ascii="Times New Roman" w:eastAsia="Times New Roman"/>
        </w:rPr>
        <w:t>HJ991-2018</w:t>
      </w:r>
      <w:r>
        <w:t>），没有元素分析时</w:t>
      </w:r>
    </w:p>
    <w:p>
      <w:pPr>
        <w:pStyle w:val="6"/>
        <w:spacing w:before="161" w:line="364" w:lineRule="auto"/>
        <w:ind w:left="1040" w:right="1077"/>
        <w:jc w:val="both"/>
      </w:pPr>
      <w:r>
        <w:drawing>
          <wp:anchor distT="0" distB="0" distL="0" distR="0" simplePos="0" relativeHeight="1024" behindDoc="0" locked="0" layoutInCell="1" allowOverlap="1">
            <wp:simplePos x="0" y="0"/>
            <wp:positionH relativeFrom="page">
              <wp:posOffset>2412365</wp:posOffset>
            </wp:positionH>
            <wp:positionV relativeFrom="paragraph">
              <wp:posOffset>1026160</wp:posOffset>
            </wp:positionV>
            <wp:extent cx="2667635" cy="30480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43" cstate="print"/>
                    <a:stretch>
                      <a:fillRect/>
                    </a:stretch>
                  </pic:blipFill>
                  <pic:spPr>
                    <a:xfrm>
                      <a:off x="0" y="0"/>
                      <a:ext cx="2667334" cy="304800"/>
                    </a:xfrm>
                    <a:prstGeom prst="rect">
                      <a:avLst/>
                    </a:prstGeom>
                  </pic:spPr>
                </pic:pic>
              </a:graphicData>
            </a:graphic>
          </wp:anchor>
        </w:drawing>
      </w:r>
      <w:r>
        <w:t>干烟气排放量的经验公式计算参照</w:t>
      </w:r>
      <w:r>
        <w:rPr>
          <w:rFonts w:ascii="Times New Roman" w:hAnsi="Times New Roman" w:eastAsia="Times New Roman"/>
        </w:rPr>
        <w:t>HJ953</w:t>
      </w:r>
      <w:r>
        <w:t>，根据《排污许可证申请与核发技术规范 锅炉》（</w:t>
      </w:r>
      <w:r>
        <w:rPr>
          <w:rFonts w:ascii="Times New Roman" w:hAnsi="Times New Roman" w:eastAsia="Times New Roman"/>
        </w:rPr>
        <w:t>HJ953-2018</w:t>
      </w:r>
      <w:r>
        <w:t>），燃生物质锅炉</w:t>
      </w:r>
      <w:r>
        <w:rPr>
          <w:rFonts w:ascii="Times New Roman" w:hAnsi="Times New Roman" w:eastAsia="Times New Roman"/>
        </w:rPr>
        <w:t>Qnet</w:t>
      </w:r>
      <w:r>
        <w:t>，</w:t>
      </w:r>
      <w:r>
        <w:rPr>
          <w:rFonts w:ascii="Times New Roman" w:hAnsi="Times New Roman" w:eastAsia="Times New Roman"/>
        </w:rPr>
        <w:t>ar</w:t>
      </w:r>
      <w:r>
        <w:t>≥</w:t>
      </w:r>
      <w:r>
        <w:rPr>
          <w:rFonts w:ascii="Times New Roman" w:hAnsi="Times New Roman" w:eastAsia="Times New Roman"/>
        </w:rPr>
        <w:t>12.54MJ/kg</w:t>
      </w:r>
      <w:r>
        <w:t>且</w:t>
      </w:r>
      <w:r>
        <w:rPr>
          <w:rFonts w:ascii="Times New Roman" w:hAnsi="Times New Roman" w:eastAsia="Times New Roman"/>
        </w:rPr>
        <w:t>V</w:t>
      </w:r>
      <w:r>
        <w:t>≥</w:t>
      </w:r>
      <w:r>
        <w:rPr>
          <w:rFonts w:ascii="Times New Roman" w:hAnsi="Times New Roman" w:eastAsia="Times New Roman"/>
        </w:rPr>
        <w:t>15%</w:t>
      </w:r>
      <w:r>
        <w:t>时基准烟气量经验公式为</w:t>
      </w:r>
    </w:p>
    <w:p>
      <w:pPr>
        <w:pStyle w:val="6"/>
        <w:spacing w:line="362" w:lineRule="auto"/>
        <w:ind w:left="1520" w:right="5140"/>
      </w:pPr>
      <w:r>
        <w:rPr>
          <w:position w:val="2"/>
        </w:rPr>
        <w:t>式中：</w:t>
      </w:r>
      <w:r>
        <w:rPr>
          <w:rFonts w:ascii="Times New Roman" w:hAnsi="Times New Roman" w:eastAsia="Times New Roman"/>
          <w:position w:val="2"/>
        </w:rPr>
        <w:t>V</w:t>
      </w:r>
      <w:r>
        <w:rPr>
          <w:rFonts w:ascii="Times New Roman" w:hAnsi="Times New Roman" w:eastAsia="Times New Roman"/>
          <w:position w:val="2"/>
          <w:vertAlign w:val="subscript"/>
        </w:rPr>
        <w:t>gy</w:t>
      </w:r>
      <w:r>
        <w:rPr>
          <w:rFonts w:ascii="Times New Roman" w:hAnsi="Times New Roman" w:eastAsia="Times New Roman"/>
          <w:position w:val="2"/>
          <w:vertAlign w:val="baseline"/>
        </w:rPr>
        <w:t>—</w:t>
      </w:r>
      <w:r>
        <w:rPr>
          <w:position w:val="2"/>
          <w:vertAlign w:val="baseline"/>
        </w:rPr>
        <w:t>基准烟气量，</w:t>
      </w:r>
      <w:r>
        <w:rPr>
          <w:rFonts w:ascii="Times New Roman" w:hAnsi="Times New Roman" w:eastAsia="Times New Roman"/>
          <w:position w:val="2"/>
          <w:vertAlign w:val="baseline"/>
        </w:rPr>
        <w:t>Nm</w:t>
      </w:r>
      <w:r>
        <w:rPr>
          <w:rFonts w:ascii="Times New Roman" w:hAnsi="Times New Roman" w:eastAsia="Times New Roman"/>
          <w:position w:val="2"/>
          <w:vertAlign w:val="superscript"/>
        </w:rPr>
        <w:t>3</w:t>
      </w:r>
      <w:r>
        <w:rPr>
          <w:rFonts w:ascii="Times New Roman" w:hAnsi="Times New Roman" w:eastAsia="Times New Roman"/>
          <w:position w:val="2"/>
          <w:vertAlign w:val="baseline"/>
        </w:rPr>
        <w:t>/kg</w:t>
      </w:r>
      <w:r>
        <w:rPr>
          <w:position w:val="2"/>
          <w:vertAlign w:val="baseline"/>
        </w:rPr>
        <w:t xml:space="preserve">； </w:t>
      </w:r>
      <w:r>
        <w:rPr>
          <w:vertAlign w:val="baseline"/>
        </w:rPr>
        <w:t xml:space="preserve">本项目生物质分析报告见表 </w:t>
      </w:r>
      <w:r>
        <w:rPr>
          <w:rFonts w:ascii="Times New Roman" w:hAnsi="Times New Roman" w:eastAsia="Times New Roman"/>
          <w:vertAlign w:val="baseline"/>
        </w:rPr>
        <w:t>3.4-2</w:t>
      </w:r>
      <w:r>
        <w:rPr>
          <w:vertAlign w:val="baseline"/>
        </w:rPr>
        <w:t>。</w:t>
      </w:r>
    </w:p>
    <w:p>
      <w:pPr>
        <w:pStyle w:val="5"/>
        <w:tabs>
          <w:tab w:val="left" w:pos="1039"/>
        </w:tabs>
        <w:spacing w:before="3"/>
        <w:ind w:right="30"/>
        <w:jc w:val="center"/>
      </w:pPr>
      <w:r>
        <w:t>表</w:t>
      </w:r>
      <w:r>
        <w:rPr>
          <w:spacing w:val="-62"/>
        </w:rPr>
        <w:t xml:space="preserve"> </w:t>
      </w:r>
      <w:r>
        <w:rPr>
          <w:rFonts w:ascii="Times New Roman" w:eastAsia="Times New Roman"/>
        </w:rPr>
        <w:t>3.4-2</w:t>
      </w:r>
      <w:r>
        <w:rPr>
          <w:rFonts w:ascii="Times New Roman" w:eastAsia="Times New Roman"/>
        </w:rPr>
        <w:tab/>
      </w:r>
      <w:r>
        <w:t>本项目生物质分析报告</w:t>
      </w:r>
    </w:p>
    <w:tbl>
      <w:tblPr>
        <w:tblStyle w:val="10"/>
        <w:tblW w:w="0" w:type="auto"/>
        <w:tblInd w:w="5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9"/>
        <w:gridCol w:w="3709"/>
        <w:gridCol w:w="2136"/>
        <w:gridCol w:w="23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119" w:type="dxa"/>
          </w:tcPr>
          <w:p>
            <w:pPr>
              <w:pStyle w:val="14"/>
              <w:spacing w:before="2" w:line="251" w:lineRule="exact"/>
              <w:ind w:left="327" w:right="320"/>
              <w:rPr>
                <w:b/>
                <w:sz w:val="21"/>
              </w:rPr>
            </w:pPr>
            <w:r>
              <w:rPr>
                <w:b/>
                <w:sz w:val="21"/>
              </w:rPr>
              <w:t>序号</w:t>
            </w:r>
          </w:p>
        </w:tc>
        <w:tc>
          <w:tcPr>
            <w:tcW w:w="3709" w:type="dxa"/>
          </w:tcPr>
          <w:p>
            <w:pPr>
              <w:pStyle w:val="14"/>
              <w:spacing w:before="2" w:line="251" w:lineRule="exact"/>
              <w:ind w:left="1412" w:right="1402"/>
              <w:rPr>
                <w:b/>
                <w:sz w:val="21"/>
              </w:rPr>
            </w:pPr>
            <w:r>
              <w:rPr>
                <w:b/>
                <w:sz w:val="21"/>
              </w:rPr>
              <w:t>检测项目</w:t>
            </w:r>
          </w:p>
        </w:tc>
        <w:tc>
          <w:tcPr>
            <w:tcW w:w="2136" w:type="dxa"/>
          </w:tcPr>
          <w:p>
            <w:pPr>
              <w:pStyle w:val="14"/>
              <w:spacing w:before="2" w:line="251" w:lineRule="exact"/>
              <w:ind w:left="778" w:right="769"/>
              <w:rPr>
                <w:b/>
                <w:sz w:val="21"/>
              </w:rPr>
            </w:pPr>
            <w:r>
              <w:rPr>
                <w:b/>
                <w:sz w:val="21"/>
              </w:rPr>
              <w:t>单位</w:t>
            </w:r>
          </w:p>
        </w:tc>
        <w:tc>
          <w:tcPr>
            <w:tcW w:w="2322" w:type="dxa"/>
          </w:tcPr>
          <w:p>
            <w:pPr>
              <w:pStyle w:val="14"/>
              <w:spacing w:before="2" w:line="251" w:lineRule="exact"/>
              <w:ind w:left="719" w:right="709"/>
              <w:rPr>
                <w:b/>
                <w:sz w:val="21"/>
              </w:rPr>
            </w:pPr>
            <w:r>
              <w:rPr>
                <w:b/>
                <w:sz w:val="21"/>
              </w:rPr>
              <w:t>检测结果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119" w:type="dxa"/>
          </w:tcPr>
          <w:p>
            <w:pPr>
              <w:pStyle w:val="14"/>
              <w:spacing w:before="14" w:line="238" w:lineRule="exact"/>
              <w:ind w:left="8"/>
              <w:rPr>
                <w:rFonts w:ascii="Times New Roman"/>
                <w:sz w:val="21"/>
              </w:rPr>
            </w:pPr>
            <w:r>
              <w:rPr>
                <w:rFonts w:ascii="Times New Roman"/>
                <w:w w:val="99"/>
                <w:sz w:val="21"/>
              </w:rPr>
              <w:t>1</w:t>
            </w:r>
          </w:p>
        </w:tc>
        <w:tc>
          <w:tcPr>
            <w:tcW w:w="3709" w:type="dxa"/>
          </w:tcPr>
          <w:p>
            <w:pPr>
              <w:pStyle w:val="14"/>
              <w:spacing w:line="252" w:lineRule="exact"/>
              <w:ind w:left="1206"/>
              <w:jc w:val="left"/>
              <w:rPr>
                <w:sz w:val="21"/>
              </w:rPr>
            </w:pPr>
            <w:r>
              <w:rPr>
                <w:sz w:val="21"/>
              </w:rPr>
              <w:t>全水分（</w:t>
            </w:r>
            <w:r>
              <w:rPr>
                <w:rFonts w:ascii="Times New Roman" w:eastAsia="Times New Roman"/>
                <w:sz w:val="21"/>
              </w:rPr>
              <w:t>Mt</w:t>
            </w:r>
            <w:r>
              <w:rPr>
                <w:sz w:val="21"/>
              </w:rPr>
              <w:t>）</w:t>
            </w:r>
          </w:p>
        </w:tc>
        <w:tc>
          <w:tcPr>
            <w:tcW w:w="2136" w:type="dxa"/>
          </w:tcPr>
          <w:p>
            <w:pPr>
              <w:pStyle w:val="14"/>
              <w:spacing w:before="14" w:line="238" w:lineRule="exact"/>
              <w:ind w:left="8"/>
              <w:rPr>
                <w:rFonts w:ascii="Times New Roman"/>
                <w:sz w:val="21"/>
              </w:rPr>
            </w:pPr>
            <w:r>
              <w:rPr>
                <w:rFonts w:ascii="Times New Roman"/>
                <w:w w:val="99"/>
                <w:sz w:val="21"/>
              </w:rPr>
              <w:t>%</w:t>
            </w:r>
          </w:p>
        </w:tc>
        <w:tc>
          <w:tcPr>
            <w:tcW w:w="2322" w:type="dxa"/>
          </w:tcPr>
          <w:p>
            <w:pPr>
              <w:pStyle w:val="14"/>
              <w:spacing w:before="14" w:line="238" w:lineRule="exact"/>
              <w:ind w:left="718" w:right="709"/>
              <w:rPr>
                <w:rFonts w:ascii="Times New Roman"/>
                <w:sz w:val="21"/>
              </w:rPr>
            </w:pPr>
            <w:r>
              <w:rPr>
                <w:rFonts w:ascii="Times New Roman"/>
                <w:sz w:val="21"/>
              </w:rPr>
              <w:t>8.88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119" w:type="dxa"/>
          </w:tcPr>
          <w:p>
            <w:pPr>
              <w:pStyle w:val="14"/>
              <w:spacing w:before="15" w:line="237" w:lineRule="exact"/>
              <w:ind w:left="8"/>
              <w:rPr>
                <w:rFonts w:ascii="Times New Roman"/>
                <w:sz w:val="21"/>
              </w:rPr>
            </w:pPr>
            <w:r>
              <w:rPr>
                <w:rFonts w:ascii="Times New Roman"/>
                <w:w w:val="99"/>
                <w:sz w:val="21"/>
              </w:rPr>
              <w:t>2</w:t>
            </w:r>
          </w:p>
        </w:tc>
        <w:tc>
          <w:tcPr>
            <w:tcW w:w="3709" w:type="dxa"/>
          </w:tcPr>
          <w:p>
            <w:pPr>
              <w:pStyle w:val="14"/>
              <w:spacing w:before="1" w:line="251" w:lineRule="exact"/>
              <w:ind w:left="717"/>
              <w:jc w:val="left"/>
              <w:rPr>
                <w:sz w:val="21"/>
              </w:rPr>
            </w:pPr>
            <w:r>
              <w:rPr>
                <w:sz w:val="21"/>
              </w:rPr>
              <w:t>空气干燥基水分（</w:t>
            </w:r>
            <w:r>
              <w:rPr>
                <w:rFonts w:ascii="Times New Roman" w:eastAsia="Times New Roman"/>
                <w:sz w:val="21"/>
              </w:rPr>
              <w:t>Mad</w:t>
            </w:r>
            <w:r>
              <w:rPr>
                <w:sz w:val="21"/>
              </w:rPr>
              <w:t>）</w:t>
            </w:r>
          </w:p>
        </w:tc>
        <w:tc>
          <w:tcPr>
            <w:tcW w:w="2136" w:type="dxa"/>
          </w:tcPr>
          <w:p>
            <w:pPr>
              <w:pStyle w:val="14"/>
              <w:spacing w:before="15" w:line="237" w:lineRule="exact"/>
              <w:ind w:left="8"/>
              <w:rPr>
                <w:rFonts w:ascii="Times New Roman"/>
                <w:sz w:val="21"/>
              </w:rPr>
            </w:pPr>
            <w:r>
              <w:rPr>
                <w:rFonts w:ascii="Times New Roman"/>
                <w:w w:val="99"/>
                <w:sz w:val="21"/>
              </w:rPr>
              <w:t>%</w:t>
            </w:r>
          </w:p>
        </w:tc>
        <w:tc>
          <w:tcPr>
            <w:tcW w:w="2322" w:type="dxa"/>
          </w:tcPr>
          <w:p>
            <w:pPr>
              <w:pStyle w:val="14"/>
              <w:spacing w:before="15" w:line="237" w:lineRule="exact"/>
              <w:ind w:left="718" w:right="709"/>
              <w:rPr>
                <w:rFonts w:ascii="Times New Roman"/>
                <w:sz w:val="21"/>
              </w:rPr>
            </w:pPr>
            <w:r>
              <w:rPr>
                <w:rFonts w:ascii="Times New Roman"/>
                <w:sz w:val="21"/>
              </w:rPr>
              <w:t>8.88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119" w:type="dxa"/>
          </w:tcPr>
          <w:p>
            <w:pPr>
              <w:pStyle w:val="14"/>
              <w:spacing w:before="14" w:line="239" w:lineRule="exact"/>
              <w:ind w:left="8"/>
              <w:rPr>
                <w:rFonts w:ascii="Times New Roman"/>
                <w:sz w:val="21"/>
              </w:rPr>
            </w:pPr>
            <w:r>
              <w:rPr>
                <w:rFonts w:ascii="Times New Roman"/>
                <w:w w:val="99"/>
                <w:sz w:val="21"/>
              </w:rPr>
              <w:t>3</w:t>
            </w:r>
          </w:p>
        </w:tc>
        <w:tc>
          <w:tcPr>
            <w:tcW w:w="3709" w:type="dxa"/>
          </w:tcPr>
          <w:p>
            <w:pPr>
              <w:pStyle w:val="14"/>
              <w:spacing w:line="253" w:lineRule="exact"/>
              <w:ind w:left="990"/>
              <w:jc w:val="left"/>
              <w:rPr>
                <w:sz w:val="21"/>
              </w:rPr>
            </w:pPr>
            <w:r>
              <w:rPr>
                <w:sz w:val="21"/>
              </w:rPr>
              <w:t>干燥基灰分（</w:t>
            </w:r>
            <w:r>
              <w:rPr>
                <w:rFonts w:ascii="Times New Roman" w:eastAsia="Times New Roman"/>
                <w:sz w:val="21"/>
              </w:rPr>
              <w:t>Ad</w:t>
            </w:r>
            <w:r>
              <w:rPr>
                <w:sz w:val="21"/>
              </w:rPr>
              <w:t>）</w:t>
            </w:r>
          </w:p>
        </w:tc>
        <w:tc>
          <w:tcPr>
            <w:tcW w:w="2136" w:type="dxa"/>
          </w:tcPr>
          <w:p>
            <w:pPr>
              <w:pStyle w:val="14"/>
              <w:spacing w:before="14" w:line="239" w:lineRule="exact"/>
              <w:ind w:left="8"/>
              <w:rPr>
                <w:rFonts w:ascii="Times New Roman"/>
                <w:sz w:val="21"/>
              </w:rPr>
            </w:pPr>
            <w:r>
              <w:rPr>
                <w:rFonts w:ascii="Times New Roman"/>
                <w:w w:val="99"/>
                <w:sz w:val="21"/>
              </w:rPr>
              <w:t>%</w:t>
            </w:r>
          </w:p>
        </w:tc>
        <w:tc>
          <w:tcPr>
            <w:tcW w:w="2322" w:type="dxa"/>
          </w:tcPr>
          <w:p>
            <w:pPr>
              <w:pStyle w:val="14"/>
              <w:spacing w:before="14" w:line="239" w:lineRule="exact"/>
              <w:ind w:left="719" w:right="707"/>
              <w:rPr>
                <w:rFonts w:ascii="Times New Roman"/>
                <w:sz w:val="21"/>
              </w:rPr>
            </w:pPr>
            <w:r>
              <w:rPr>
                <w:rFonts w:ascii="Times New Roman"/>
                <w:sz w:val="21"/>
              </w:rPr>
              <w:t>16.97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119" w:type="dxa"/>
          </w:tcPr>
          <w:p>
            <w:pPr>
              <w:pStyle w:val="14"/>
              <w:spacing w:before="14" w:line="238" w:lineRule="exact"/>
              <w:ind w:left="8"/>
              <w:rPr>
                <w:rFonts w:ascii="Times New Roman"/>
                <w:sz w:val="21"/>
              </w:rPr>
            </w:pPr>
            <w:r>
              <w:rPr>
                <w:rFonts w:ascii="Times New Roman"/>
                <w:w w:val="99"/>
                <w:sz w:val="21"/>
              </w:rPr>
              <w:t>4</w:t>
            </w:r>
          </w:p>
        </w:tc>
        <w:tc>
          <w:tcPr>
            <w:tcW w:w="3709" w:type="dxa"/>
          </w:tcPr>
          <w:p>
            <w:pPr>
              <w:pStyle w:val="14"/>
              <w:spacing w:line="252" w:lineRule="exact"/>
              <w:ind w:left="107"/>
              <w:jc w:val="left"/>
              <w:rPr>
                <w:sz w:val="21"/>
              </w:rPr>
            </w:pPr>
            <w:r>
              <w:rPr>
                <w:sz w:val="21"/>
              </w:rPr>
              <w:t>干燥无灰基挥发分（</w:t>
            </w:r>
            <w:r>
              <w:rPr>
                <w:rFonts w:ascii="Times New Roman" w:eastAsia="Times New Roman"/>
                <w:sz w:val="21"/>
              </w:rPr>
              <w:t>Vdaf</w:t>
            </w:r>
            <w:r>
              <w:rPr>
                <w:sz w:val="21"/>
              </w:rPr>
              <w:t>）</w:t>
            </w:r>
          </w:p>
        </w:tc>
        <w:tc>
          <w:tcPr>
            <w:tcW w:w="2136" w:type="dxa"/>
          </w:tcPr>
          <w:p>
            <w:pPr>
              <w:pStyle w:val="14"/>
              <w:spacing w:before="14" w:line="238" w:lineRule="exact"/>
              <w:ind w:left="8"/>
              <w:rPr>
                <w:rFonts w:ascii="Times New Roman"/>
                <w:sz w:val="21"/>
              </w:rPr>
            </w:pPr>
            <w:r>
              <w:rPr>
                <w:rFonts w:ascii="Times New Roman"/>
                <w:w w:val="99"/>
                <w:sz w:val="21"/>
              </w:rPr>
              <w:t>%</w:t>
            </w:r>
          </w:p>
        </w:tc>
        <w:tc>
          <w:tcPr>
            <w:tcW w:w="2322" w:type="dxa"/>
          </w:tcPr>
          <w:p>
            <w:pPr>
              <w:pStyle w:val="14"/>
              <w:spacing w:before="14" w:line="238" w:lineRule="exact"/>
              <w:ind w:left="719" w:right="707"/>
              <w:rPr>
                <w:rFonts w:ascii="Times New Roman"/>
                <w:sz w:val="21"/>
              </w:rPr>
            </w:pPr>
            <w:r>
              <w:rPr>
                <w:rFonts w:ascii="Times New Roman"/>
                <w:sz w:val="21"/>
              </w:rPr>
              <w:t>79.80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119" w:type="dxa"/>
          </w:tcPr>
          <w:p>
            <w:pPr>
              <w:pStyle w:val="14"/>
              <w:spacing w:before="15" w:line="237" w:lineRule="exact"/>
              <w:ind w:left="8"/>
              <w:rPr>
                <w:rFonts w:ascii="Times New Roman"/>
                <w:sz w:val="21"/>
              </w:rPr>
            </w:pPr>
            <w:r>
              <w:rPr>
                <w:rFonts w:ascii="Times New Roman"/>
                <w:w w:val="99"/>
                <w:sz w:val="21"/>
              </w:rPr>
              <w:t>5</w:t>
            </w:r>
          </w:p>
        </w:tc>
        <w:tc>
          <w:tcPr>
            <w:tcW w:w="3709" w:type="dxa"/>
          </w:tcPr>
          <w:p>
            <w:pPr>
              <w:pStyle w:val="14"/>
              <w:spacing w:before="1" w:line="251" w:lineRule="exact"/>
              <w:ind w:left="1084"/>
              <w:jc w:val="left"/>
              <w:rPr>
                <w:sz w:val="21"/>
              </w:rPr>
            </w:pPr>
            <w:r>
              <w:rPr>
                <w:sz w:val="21"/>
              </w:rPr>
              <w:t>粘结特性（</w:t>
            </w:r>
            <w:r>
              <w:rPr>
                <w:rFonts w:ascii="Times New Roman" w:eastAsia="Times New Roman"/>
                <w:sz w:val="21"/>
              </w:rPr>
              <w:t>1-8</w:t>
            </w:r>
            <w:r>
              <w:rPr>
                <w:sz w:val="21"/>
              </w:rPr>
              <w:t>）</w:t>
            </w:r>
          </w:p>
        </w:tc>
        <w:tc>
          <w:tcPr>
            <w:tcW w:w="2136" w:type="dxa"/>
          </w:tcPr>
          <w:p>
            <w:pPr>
              <w:pStyle w:val="14"/>
              <w:spacing w:before="15" w:line="237" w:lineRule="exact"/>
              <w:ind w:left="7"/>
              <w:rPr>
                <w:rFonts w:ascii="Times New Roman"/>
                <w:sz w:val="21"/>
              </w:rPr>
            </w:pPr>
            <w:r>
              <w:rPr>
                <w:rFonts w:ascii="Times New Roman"/>
                <w:w w:val="99"/>
                <w:sz w:val="21"/>
              </w:rPr>
              <w:t>/</w:t>
            </w:r>
          </w:p>
        </w:tc>
        <w:tc>
          <w:tcPr>
            <w:tcW w:w="2322" w:type="dxa"/>
          </w:tcPr>
          <w:p>
            <w:pPr>
              <w:pStyle w:val="14"/>
              <w:spacing w:before="15" w:line="237" w:lineRule="exact"/>
              <w:ind w:left="7"/>
              <w:rPr>
                <w:rFonts w:ascii="Times New Roman"/>
                <w:sz w:val="21"/>
              </w:rPr>
            </w:pPr>
            <w:r>
              <w:rPr>
                <w:rFonts w:ascii="Times New Roman"/>
                <w:w w:val="99"/>
                <w:sz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119" w:type="dxa"/>
          </w:tcPr>
          <w:p>
            <w:pPr>
              <w:pStyle w:val="14"/>
              <w:spacing w:before="14" w:line="239" w:lineRule="exact"/>
              <w:ind w:left="8"/>
              <w:rPr>
                <w:rFonts w:ascii="Times New Roman"/>
                <w:sz w:val="21"/>
              </w:rPr>
            </w:pPr>
            <w:r>
              <w:rPr>
                <w:rFonts w:ascii="Times New Roman"/>
                <w:w w:val="99"/>
                <w:sz w:val="21"/>
              </w:rPr>
              <w:t>6</w:t>
            </w:r>
          </w:p>
        </w:tc>
        <w:tc>
          <w:tcPr>
            <w:tcW w:w="3709" w:type="dxa"/>
          </w:tcPr>
          <w:p>
            <w:pPr>
              <w:pStyle w:val="14"/>
              <w:spacing w:line="253" w:lineRule="exact"/>
              <w:ind w:left="107" w:right="-15"/>
              <w:jc w:val="left"/>
              <w:rPr>
                <w:sz w:val="21"/>
              </w:rPr>
            </w:pPr>
            <w:r>
              <w:rPr>
                <w:spacing w:val="-3"/>
                <w:w w:val="95"/>
                <w:sz w:val="21"/>
              </w:rPr>
              <w:t>空气干燥基恒容高位发热量</w:t>
            </w:r>
            <w:r>
              <w:rPr>
                <w:spacing w:val="-5"/>
                <w:w w:val="95"/>
                <w:sz w:val="21"/>
              </w:rPr>
              <w:t>（</w:t>
            </w:r>
            <w:r>
              <w:rPr>
                <w:rFonts w:ascii="Times New Roman" w:eastAsia="Times New Roman"/>
                <w:spacing w:val="-5"/>
                <w:w w:val="95"/>
                <w:sz w:val="21"/>
              </w:rPr>
              <w:t>Qgr</w:t>
            </w:r>
            <w:r>
              <w:rPr>
                <w:spacing w:val="-5"/>
                <w:w w:val="95"/>
                <w:sz w:val="21"/>
              </w:rPr>
              <w:t>，</w:t>
            </w:r>
            <w:r>
              <w:rPr>
                <w:rFonts w:ascii="Times New Roman" w:eastAsia="Times New Roman"/>
                <w:spacing w:val="-5"/>
                <w:w w:val="95"/>
                <w:sz w:val="21"/>
              </w:rPr>
              <w:t>ad</w:t>
            </w:r>
            <w:r>
              <w:rPr>
                <w:spacing w:val="-5"/>
                <w:w w:val="95"/>
                <w:sz w:val="21"/>
              </w:rPr>
              <w:t>）</w:t>
            </w:r>
          </w:p>
        </w:tc>
        <w:tc>
          <w:tcPr>
            <w:tcW w:w="2136" w:type="dxa"/>
          </w:tcPr>
          <w:p>
            <w:pPr>
              <w:pStyle w:val="14"/>
              <w:spacing w:before="14" w:line="239" w:lineRule="exact"/>
              <w:ind w:left="778" w:right="770"/>
              <w:rPr>
                <w:rFonts w:ascii="Times New Roman"/>
                <w:sz w:val="21"/>
              </w:rPr>
            </w:pPr>
            <w:r>
              <w:rPr>
                <w:rFonts w:ascii="Times New Roman"/>
                <w:sz w:val="21"/>
              </w:rPr>
              <w:t>MJ/kg</w:t>
            </w:r>
          </w:p>
        </w:tc>
        <w:tc>
          <w:tcPr>
            <w:tcW w:w="2322" w:type="dxa"/>
          </w:tcPr>
          <w:p>
            <w:pPr>
              <w:pStyle w:val="14"/>
              <w:spacing w:before="14" w:line="239" w:lineRule="exact"/>
              <w:ind w:left="719" w:right="707"/>
              <w:rPr>
                <w:rFonts w:ascii="Times New Roman"/>
                <w:sz w:val="21"/>
              </w:rPr>
            </w:pPr>
            <w:r>
              <w:rPr>
                <w:rFonts w:ascii="Times New Roman"/>
                <w:sz w:val="21"/>
              </w:rPr>
              <w:t>15.21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119" w:type="dxa"/>
          </w:tcPr>
          <w:p>
            <w:pPr>
              <w:pStyle w:val="14"/>
              <w:spacing w:before="14" w:line="238" w:lineRule="exact"/>
              <w:ind w:left="8"/>
              <w:rPr>
                <w:rFonts w:ascii="Times New Roman"/>
                <w:sz w:val="21"/>
              </w:rPr>
            </w:pPr>
            <w:r>
              <w:rPr>
                <w:rFonts w:ascii="Times New Roman"/>
                <w:w w:val="99"/>
                <w:sz w:val="21"/>
              </w:rPr>
              <w:t>7</w:t>
            </w:r>
          </w:p>
        </w:tc>
        <w:tc>
          <w:tcPr>
            <w:tcW w:w="3709" w:type="dxa"/>
          </w:tcPr>
          <w:p>
            <w:pPr>
              <w:pStyle w:val="14"/>
              <w:spacing w:line="252" w:lineRule="exact"/>
              <w:ind w:left="109" w:right="-15"/>
              <w:jc w:val="left"/>
              <w:rPr>
                <w:sz w:val="21"/>
              </w:rPr>
            </w:pPr>
            <w:r>
              <w:rPr>
                <w:spacing w:val="-1"/>
                <w:w w:val="95"/>
                <w:sz w:val="21"/>
              </w:rPr>
              <w:t>收到基恒容低位发热量</w:t>
            </w:r>
            <w:r>
              <w:rPr>
                <w:w w:val="95"/>
                <w:sz w:val="21"/>
              </w:rPr>
              <w:t>（</w:t>
            </w:r>
            <w:r>
              <w:rPr>
                <w:rFonts w:ascii="Times New Roman" w:eastAsia="Times New Roman"/>
                <w:w w:val="95"/>
                <w:sz w:val="21"/>
              </w:rPr>
              <w:t>Qnet</w:t>
            </w:r>
            <w:r>
              <w:rPr>
                <w:w w:val="95"/>
                <w:sz w:val="21"/>
              </w:rPr>
              <w:t>，</w:t>
            </w:r>
            <w:r>
              <w:rPr>
                <w:rFonts w:ascii="Times New Roman" w:eastAsia="Times New Roman"/>
                <w:w w:val="95"/>
                <w:sz w:val="21"/>
              </w:rPr>
              <w:t>v</w:t>
            </w:r>
            <w:r>
              <w:rPr>
                <w:w w:val="95"/>
                <w:sz w:val="21"/>
              </w:rPr>
              <w:t>，</w:t>
            </w:r>
            <w:r>
              <w:rPr>
                <w:rFonts w:ascii="Times New Roman" w:eastAsia="Times New Roman"/>
                <w:w w:val="95"/>
                <w:sz w:val="21"/>
              </w:rPr>
              <w:t>ar</w:t>
            </w:r>
            <w:r>
              <w:rPr>
                <w:w w:val="95"/>
                <w:sz w:val="21"/>
              </w:rPr>
              <w:t>）</w:t>
            </w:r>
          </w:p>
        </w:tc>
        <w:tc>
          <w:tcPr>
            <w:tcW w:w="2136" w:type="dxa"/>
          </w:tcPr>
          <w:p>
            <w:pPr>
              <w:pStyle w:val="14"/>
              <w:spacing w:before="14" w:line="238" w:lineRule="exact"/>
              <w:ind w:left="778" w:right="770"/>
              <w:rPr>
                <w:rFonts w:ascii="Times New Roman"/>
                <w:sz w:val="21"/>
              </w:rPr>
            </w:pPr>
            <w:r>
              <w:rPr>
                <w:rFonts w:ascii="Times New Roman"/>
                <w:sz w:val="21"/>
              </w:rPr>
              <w:t>MJ/kg</w:t>
            </w:r>
          </w:p>
        </w:tc>
        <w:tc>
          <w:tcPr>
            <w:tcW w:w="2322" w:type="dxa"/>
          </w:tcPr>
          <w:p>
            <w:pPr>
              <w:pStyle w:val="14"/>
              <w:spacing w:before="14" w:line="238" w:lineRule="exact"/>
              <w:ind w:left="719" w:right="707"/>
              <w:rPr>
                <w:rFonts w:ascii="Times New Roman"/>
                <w:sz w:val="21"/>
              </w:rPr>
            </w:pPr>
            <w:r>
              <w:rPr>
                <w:rFonts w:ascii="Times New Roman"/>
                <w:sz w:val="21"/>
              </w:rPr>
              <w:t>13.81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119" w:type="dxa"/>
          </w:tcPr>
          <w:p>
            <w:pPr>
              <w:pStyle w:val="14"/>
              <w:spacing w:before="15" w:line="236" w:lineRule="exact"/>
              <w:ind w:left="8"/>
              <w:rPr>
                <w:rFonts w:ascii="Times New Roman"/>
                <w:sz w:val="21"/>
              </w:rPr>
            </w:pPr>
            <w:r>
              <w:rPr>
                <w:rFonts w:ascii="Times New Roman"/>
                <w:w w:val="99"/>
                <w:sz w:val="21"/>
              </w:rPr>
              <w:t>8</w:t>
            </w:r>
          </w:p>
        </w:tc>
        <w:tc>
          <w:tcPr>
            <w:tcW w:w="3709" w:type="dxa"/>
          </w:tcPr>
          <w:p>
            <w:pPr>
              <w:pStyle w:val="14"/>
              <w:spacing w:before="1" w:line="250" w:lineRule="exact"/>
              <w:ind w:left="618"/>
              <w:jc w:val="left"/>
              <w:rPr>
                <w:sz w:val="21"/>
              </w:rPr>
            </w:pPr>
            <w:r>
              <w:rPr>
                <w:sz w:val="21"/>
              </w:rPr>
              <w:t>空气干燥基全硫（</w:t>
            </w:r>
            <w:r>
              <w:rPr>
                <w:rFonts w:ascii="Times New Roman" w:eastAsia="Times New Roman"/>
                <w:sz w:val="21"/>
              </w:rPr>
              <w:t>St</w:t>
            </w:r>
            <w:r>
              <w:rPr>
                <w:sz w:val="21"/>
              </w:rPr>
              <w:t>，</w:t>
            </w:r>
            <w:r>
              <w:rPr>
                <w:rFonts w:ascii="Times New Roman" w:eastAsia="Times New Roman"/>
                <w:sz w:val="21"/>
              </w:rPr>
              <w:t>ad</w:t>
            </w:r>
            <w:r>
              <w:rPr>
                <w:sz w:val="21"/>
              </w:rPr>
              <w:t>）</w:t>
            </w:r>
          </w:p>
        </w:tc>
        <w:tc>
          <w:tcPr>
            <w:tcW w:w="2136" w:type="dxa"/>
          </w:tcPr>
          <w:p>
            <w:pPr>
              <w:pStyle w:val="14"/>
              <w:spacing w:before="15" w:line="236" w:lineRule="exact"/>
              <w:ind w:left="8"/>
              <w:rPr>
                <w:rFonts w:ascii="Times New Roman"/>
                <w:sz w:val="21"/>
              </w:rPr>
            </w:pPr>
            <w:r>
              <w:rPr>
                <w:rFonts w:ascii="Times New Roman"/>
                <w:w w:val="99"/>
                <w:sz w:val="21"/>
              </w:rPr>
              <w:t>%</w:t>
            </w:r>
          </w:p>
        </w:tc>
        <w:tc>
          <w:tcPr>
            <w:tcW w:w="2322" w:type="dxa"/>
          </w:tcPr>
          <w:p>
            <w:pPr>
              <w:pStyle w:val="14"/>
              <w:spacing w:before="15" w:line="236" w:lineRule="exact"/>
              <w:ind w:left="718" w:right="709"/>
              <w:rPr>
                <w:rFonts w:ascii="Times New Roman"/>
                <w:sz w:val="21"/>
              </w:rPr>
            </w:pPr>
            <w:r>
              <w:rPr>
                <w:rFonts w:ascii="Times New Roman"/>
                <w:sz w:val="21"/>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119" w:type="dxa"/>
          </w:tcPr>
          <w:p>
            <w:pPr>
              <w:pStyle w:val="14"/>
              <w:spacing w:before="14" w:line="239" w:lineRule="exact"/>
              <w:ind w:left="8"/>
              <w:rPr>
                <w:rFonts w:ascii="Times New Roman"/>
                <w:sz w:val="21"/>
              </w:rPr>
            </w:pPr>
            <w:r>
              <w:rPr>
                <w:rFonts w:ascii="Times New Roman"/>
                <w:w w:val="99"/>
                <w:sz w:val="21"/>
              </w:rPr>
              <w:t>9</w:t>
            </w:r>
          </w:p>
        </w:tc>
        <w:tc>
          <w:tcPr>
            <w:tcW w:w="3709" w:type="dxa"/>
          </w:tcPr>
          <w:p>
            <w:pPr>
              <w:pStyle w:val="14"/>
              <w:spacing w:line="253" w:lineRule="exact"/>
              <w:ind w:left="839"/>
              <w:jc w:val="left"/>
              <w:rPr>
                <w:sz w:val="21"/>
              </w:rPr>
            </w:pPr>
            <w:r>
              <w:rPr>
                <w:sz w:val="21"/>
              </w:rPr>
              <w:t>空气干燥基氢（</w:t>
            </w:r>
            <w:r>
              <w:rPr>
                <w:rFonts w:ascii="Times New Roman" w:eastAsia="Times New Roman"/>
                <w:sz w:val="21"/>
              </w:rPr>
              <w:t>Had</w:t>
            </w:r>
            <w:r>
              <w:rPr>
                <w:sz w:val="21"/>
              </w:rPr>
              <w:t>）</w:t>
            </w:r>
          </w:p>
        </w:tc>
        <w:tc>
          <w:tcPr>
            <w:tcW w:w="2136" w:type="dxa"/>
          </w:tcPr>
          <w:p>
            <w:pPr>
              <w:pStyle w:val="14"/>
              <w:spacing w:before="14" w:line="239" w:lineRule="exact"/>
              <w:ind w:left="8"/>
              <w:rPr>
                <w:rFonts w:ascii="Times New Roman"/>
                <w:sz w:val="21"/>
              </w:rPr>
            </w:pPr>
            <w:r>
              <w:rPr>
                <w:rFonts w:ascii="Times New Roman"/>
                <w:w w:val="99"/>
                <w:sz w:val="21"/>
              </w:rPr>
              <w:t>%</w:t>
            </w:r>
          </w:p>
        </w:tc>
        <w:tc>
          <w:tcPr>
            <w:tcW w:w="2322" w:type="dxa"/>
          </w:tcPr>
          <w:p>
            <w:pPr>
              <w:pStyle w:val="14"/>
              <w:spacing w:before="14" w:line="239" w:lineRule="exact"/>
              <w:ind w:left="718" w:right="709"/>
              <w:rPr>
                <w:rFonts w:ascii="Times New Roman"/>
                <w:sz w:val="21"/>
              </w:rPr>
            </w:pPr>
            <w:r>
              <w:rPr>
                <w:rFonts w:ascii="Times New Roman"/>
                <w:sz w:val="21"/>
              </w:rPr>
              <w:t>8.07</w:t>
            </w:r>
          </w:p>
        </w:tc>
      </w:tr>
    </w:tbl>
    <w:p>
      <w:pPr>
        <w:pStyle w:val="6"/>
        <w:spacing w:line="362" w:lineRule="auto"/>
        <w:ind w:left="1040" w:right="943" w:firstLine="480"/>
      </w:pPr>
      <w:r>
        <w:rPr>
          <w:position w:val="2"/>
        </w:rPr>
        <w:t>经计算，锅炉烟尘、</w:t>
      </w:r>
      <w:r>
        <w:rPr>
          <w:rFonts w:ascii="Times New Roman" w:eastAsia="Times New Roman"/>
          <w:position w:val="2"/>
        </w:rPr>
        <w:t>SO</w:t>
      </w:r>
      <w:r>
        <w:rPr>
          <w:rFonts w:ascii="Times New Roman" w:eastAsia="Times New Roman"/>
          <w:position w:val="2"/>
          <w:vertAlign w:val="subscript"/>
        </w:rPr>
        <w:t>2</w:t>
      </w:r>
      <w:r>
        <w:rPr>
          <w:position w:val="2"/>
          <w:vertAlign w:val="baseline"/>
        </w:rPr>
        <w:t>、</w:t>
      </w:r>
      <w:r>
        <w:rPr>
          <w:rFonts w:ascii="Times New Roman" w:eastAsia="Times New Roman"/>
          <w:position w:val="2"/>
          <w:vertAlign w:val="baseline"/>
        </w:rPr>
        <w:t xml:space="preserve">NOx </w:t>
      </w:r>
      <w:r>
        <w:rPr>
          <w:spacing w:val="-8"/>
          <w:position w:val="2"/>
          <w:vertAlign w:val="baseline"/>
        </w:rPr>
        <w:t xml:space="preserve">排放浓度分别为 </w:t>
      </w:r>
      <w:r>
        <w:rPr>
          <w:rFonts w:ascii="Times New Roman" w:eastAsia="Times New Roman"/>
          <w:position w:val="2"/>
          <w:vertAlign w:val="baseline"/>
        </w:rPr>
        <w:t>14.25mg/m</w:t>
      </w:r>
      <w:r>
        <w:rPr>
          <w:rFonts w:ascii="Times New Roman" w:eastAsia="Times New Roman"/>
          <w:position w:val="2"/>
          <w:vertAlign w:val="superscript"/>
        </w:rPr>
        <w:t>3</w:t>
      </w:r>
      <w:r>
        <w:rPr>
          <w:position w:val="2"/>
          <w:vertAlign w:val="baseline"/>
        </w:rPr>
        <w:t>、</w:t>
      </w:r>
      <w:r>
        <w:rPr>
          <w:rFonts w:ascii="Times New Roman" w:eastAsia="Times New Roman"/>
          <w:position w:val="2"/>
          <w:vertAlign w:val="baseline"/>
        </w:rPr>
        <w:t>22.84mg/m</w:t>
      </w:r>
      <w:r>
        <w:rPr>
          <w:rFonts w:ascii="Times New Roman" w:eastAsia="Times New Roman"/>
          <w:position w:val="2"/>
          <w:vertAlign w:val="superscript"/>
        </w:rPr>
        <w:t>3</w:t>
      </w:r>
      <w:r>
        <w:rPr>
          <w:position w:val="2"/>
          <w:vertAlign w:val="baseline"/>
        </w:rPr>
        <w:t>、</w:t>
      </w:r>
      <w:r>
        <w:rPr>
          <w:rFonts w:ascii="Times New Roman" w:eastAsia="Times New Roman"/>
          <w:spacing w:val="-3"/>
          <w:vertAlign w:val="baseline"/>
        </w:rPr>
        <w:t>200mg/m</w:t>
      </w:r>
      <w:r>
        <w:rPr>
          <w:rFonts w:ascii="Times New Roman" w:eastAsia="Times New Roman"/>
          <w:spacing w:val="-3"/>
          <w:position w:val="8"/>
          <w:sz w:val="15"/>
          <w:vertAlign w:val="baseline"/>
        </w:rPr>
        <w:t>3</w:t>
      </w:r>
      <w:r>
        <w:rPr>
          <w:spacing w:val="-6"/>
          <w:vertAlign w:val="baseline"/>
        </w:rPr>
        <w:t>，污染物排放浓度满足《锅炉大气污染物排放标准》</w:t>
      </w:r>
      <w:r>
        <w:rPr>
          <w:vertAlign w:val="baseline"/>
        </w:rPr>
        <w:t>（</w:t>
      </w:r>
      <w:r>
        <w:rPr>
          <w:rFonts w:ascii="Times New Roman" w:eastAsia="Times New Roman"/>
          <w:vertAlign w:val="baseline"/>
        </w:rPr>
        <w:t>GB13271-2014</w:t>
      </w:r>
      <w:r>
        <w:rPr>
          <w:vertAlign w:val="baseline"/>
        </w:rPr>
        <w:t xml:space="preserve">） </w:t>
      </w:r>
      <w:r>
        <w:rPr>
          <w:spacing w:val="-20"/>
          <w:position w:val="2"/>
          <w:vertAlign w:val="baseline"/>
        </w:rPr>
        <w:t xml:space="preserve">烟尘 </w:t>
      </w:r>
      <w:r>
        <w:rPr>
          <w:rFonts w:ascii="Times New Roman" w:eastAsia="Times New Roman"/>
          <w:position w:val="2"/>
          <w:vertAlign w:val="baseline"/>
        </w:rPr>
        <w:t>50mg/m</w:t>
      </w:r>
      <w:r>
        <w:rPr>
          <w:rFonts w:ascii="Times New Roman" w:eastAsia="Times New Roman"/>
          <w:position w:val="2"/>
          <w:vertAlign w:val="superscript"/>
        </w:rPr>
        <w:t>3</w:t>
      </w:r>
      <w:r>
        <w:rPr>
          <w:spacing w:val="-84"/>
          <w:position w:val="2"/>
          <w:vertAlign w:val="baseline"/>
        </w:rPr>
        <w:t>、</w:t>
      </w:r>
      <w:r>
        <w:rPr>
          <w:rFonts w:ascii="Times New Roman" w:eastAsia="Times New Roman"/>
          <w:position w:val="2"/>
          <w:vertAlign w:val="baseline"/>
        </w:rPr>
        <w:t>SO</w:t>
      </w:r>
      <w:r>
        <w:rPr>
          <w:rFonts w:ascii="Times New Roman" w:eastAsia="Times New Roman"/>
          <w:position w:val="2"/>
          <w:vertAlign w:val="subscript"/>
        </w:rPr>
        <w:t>2</w:t>
      </w:r>
      <w:r>
        <w:rPr>
          <w:rFonts w:ascii="Times New Roman" w:eastAsia="Times New Roman"/>
          <w:position w:val="2"/>
          <w:vertAlign w:val="baseline"/>
        </w:rPr>
        <w:t>300mg/m</w:t>
      </w:r>
      <w:r>
        <w:rPr>
          <w:rFonts w:ascii="Times New Roman" w:eastAsia="Times New Roman"/>
          <w:position w:val="2"/>
          <w:vertAlign w:val="superscript"/>
        </w:rPr>
        <w:t>3</w:t>
      </w:r>
      <w:r>
        <w:rPr>
          <w:spacing w:val="-84"/>
          <w:position w:val="2"/>
          <w:vertAlign w:val="baseline"/>
        </w:rPr>
        <w:t>、</w:t>
      </w:r>
      <w:r>
        <w:rPr>
          <w:rFonts w:ascii="Times New Roman" w:eastAsia="Times New Roman"/>
          <w:position w:val="2"/>
          <w:vertAlign w:val="baseline"/>
        </w:rPr>
        <w:t>NOx300mg/m</w:t>
      </w:r>
      <w:r>
        <w:rPr>
          <w:rFonts w:ascii="Times New Roman" w:eastAsia="Times New Roman"/>
          <w:position w:val="2"/>
          <w:vertAlign w:val="superscript"/>
        </w:rPr>
        <w:t>3</w:t>
      </w:r>
      <w:r>
        <w:rPr>
          <w:rFonts w:ascii="Times New Roman" w:eastAsia="Times New Roman"/>
          <w:position w:val="2"/>
          <w:vertAlign w:val="baseline"/>
        </w:rPr>
        <w:t xml:space="preserve"> </w:t>
      </w:r>
      <w:r>
        <w:rPr>
          <w:spacing w:val="-15"/>
          <w:position w:val="2"/>
          <w:vertAlign w:val="baseline"/>
        </w:rPr>
        <w:t>的标准限值要求；热风炉烟尘、</w:t>
      </w:r>
      <w:r>
        <w:rPr>
          <w:rFonts w:ascii="Times New Roman" w:eastAsia="Times New Roman"/>
          <w:position w:val="2"/>
          <w:vertAlign w:val="baseline"/>
        </w:rPr>
        <w:t>SO</w:t>
      </w:r>
      <w:r>
        <w:rPr>
          <w:rFonts w:ascii="Times New Roman" w:eastAsia="Times New Roman"/>
          <w:position w:val="2"/>
          <w:vertAlign w:val="subscript"/>
        </w:rPr>
        <w:t>2</w:t>
      </w:r>
      <w:r>
        <w:rPr>
          <w:spacing w:val="-16"/>
          <w:position w:val="2"/>
          <w:vertAlign w:val="baseline"/>
        </w:rPr>
        <w:t>、</w:t>
      </w:r>
      <w:r>
        <w:rPr>
          <w:rFonts w:ascii="Times New Roman" w:eastAsia="Times New Roman"/>
          <w:vertAlign w:val="baseline"/>
        </w:rPr>
        <w:t xml:space="preserve">NOx </w:t>
      </w:r>
      <w:r>
        <w:rPr>
          <w:spacing w:val="-7"/>
          <w:vertAlign w:val="baseline"/>
        </w:rPr>
        <w:t xml:space="preserve">排放浓度分别为 </w:t>
      </w:r>
      <w:r>
        <w:rPr>
          <w:rFonts w:ascii="Times New Roman" w:eastAsia="Times New Roman"/>
          <w:vertAlign w:val="baseline"/>
        </w:rPr>
        <w:t>14.25mg/m</w:t>
      </w:r>
      <w:r>
        <w:rPr>
          <w:rFonts w:ascii="Times New Roman" w:eastAsia="Times New Roman"/>
          <w:position w:val="8"/>
          <w:sz w:val="15"/>
          <w:vertAlign w:val="baseline"/>
        </w:rPr>
        <w:t>3</w:t>
      </w:r>
      <w:r>
        <w:rPr>
          <w:vertAlign w:val="baseline"/>
        </w:rPr>
        <w:t>、</w:t>
      </w:r>
      <w:r>
        <w:rPr>
          <w:rFonts w:ascii="Times New Roman" w:eastAsia="Times New Roman"/>
          <w:vertAlign w:val="baseline"/>
        </w:rPr>
        <w:t>22.84mg/m</w:t>
      </w:r>
      <w:r>
        <w:rPr>
          <w:rFonts w:ascii="Times New Roman" w:eastAsia="Times New Roman"/>
          <w:position w:val="8"/>
          <w:sz w:val="15"/>
          <w:vertAlign w:val="baseline"/>
        </w:rPr>
        <w:t>3</w:t>
      </w:r>
      <w:r>
        <w:rPr>
          <w:spacing w:val="4"/>
          <w:vertAlign w:val="baseline"/>
        </w:rPr>
        <w:t>、</w:t>
      </w:r>
      <w:r>
        <w:rPr>
          <w:rFonts w:ascii="Times New Roman" w:eastAsia="Times New Roman"/>
          <w:vertAlign w:val="baseline"/>
        </w:rPr>
        <w:t>200mg/m</w:t>
      </w:r>
      <w:r>
        <w:rPr>
          <w:rFonts w:ascii="Times New Roman" w:eastAsia="Times New Roman"/>
          <w:position w:val="8"/>
          <w:sz w:val="15"/>
          <w:vertAlign w:val="baseline"/>
        </w:rPr>
        <w:t>3</w:t>
      </w:r>
      <w:r>
        <w:rPr>
          <w:vertAlign w:val="baseline"/>
        </w:rPr>
        <w:t>，污染物排放浓度满</w:t>
      </w:r>
      <w:r>
        <w:rPr>
          <w:spacing w:val="16"/>
          <w:vertAlign w:val="baseline"/>
        </w:rPr>
        <w:t>足《工业炉窑大气污染物排放标准》</w:t>
      </w:r>
      <w:r>
        <w:rPr>
          <w:spacing w:val="3"/>
          <w:vertAlign w:val="baseline"/>
        </w:rPr>
        <w:t>（</w:t>
      </w:r>
      <w:r>
        <w:rPr>
          <w:rFonts w:ascii="Times New Roman" w:eastAsia="Times New Roman"/>
          <w:spacing w:val="3"/>
          <w:vertAlign w:val="baseline"/>
        </w:rPr>
        <w:t>GB9078-1996</w:t>
      </w:r>
      <w:r>
        <w:rPr>
          <w:spacing w:val="3"/>
          <w:vertAlign w:val="baseline"/>
        </w:rPr>
        <w:t>）</w:t>
      </w:r>
      <w:r>
        <w:rPr>
          <w:spacing w:val="-9"/>
          <w:vertAlign w:val="baseline"/>
        </w:rPr>
        <w:t xml:space="preserve">中表 </w:t>
      </w:r>
      <w:r>
        <w:rPr>
          <w:rFonts w:ascii="Times New Roman" w:eastAsia="Times New Roman"/>
          <w:vertAlign w:val="baseline"/>
        </w:rPr>
        <w:t xml:space="preserve">2 </w:t>
      </w:r>
      <w:r>
        <w:rPr>
          <w:spacing w:val="-9"/>
          <w:vertAlign w:val="baseline"/>
        </w:rPr>
        <w:t xml:space="preserve">及表 </w:t>
      </w:r>
      <w:r>
        <w:rPr>
          <w:rFonts w:ascii="Times New Roman" w:eastAsia="Times New Roman"/>
          <w:vertAlign w:val="baseline"/>
        </w:rPr>
        <w:t xml:space="preserve">4 </w:t>
      </w:r>
      <w:r>
        <w:rPr>
          <w:spacing w:val="10"/>
          <w:vertAlign w:val="baseline"/>
        </w:rPr>
        <w:t>中烟尘</w:t>
      </w:r>
      <w:r>
        <w:rPr>
          <w:rFonts w:ascii="Times New Roman" w:eastAsia="Times New Roman"/>
          <w:spacing w:val="10"/>
          <w:position w:val="2"/>
          <w:vertAlign w:val="baseline"/>
        </w:rPr>
        <w:t>200mg/m</w:t>
      </w:r>
      <w:r>
        <w:rPr>
          <w:rFonts w:ascii="Times New Roman" w:eastAsia="Times New Roman"/>
          <w:spacing w:val="10"/>
          <w:position w:val="2"/>
          <w:vertAlign w:val="superscript"/>
        </w:rPr>
        <w:t>3</w:t>
      </w:r>
      <w:r>
        <w:rPr>
          <w:spacing w:val="10"/>
          <w:position w:val="2"/>
          <w:vertAlign w:val="baseline"/>
        </w:rPr>
        <w:t>、</w:t>
      </w:r>
      <w:r>
        <w:rPr>
          <w:rFonts w:ascii="Times New Roman" w:eastAsia="Times New Roman"/>
          <w:spacing w:val="10"/>
          <w:position w:val="2"/>
          <w:vertAlign w:val="baseline"/>
        </w:rPr>
        <w:t>SO</w:t>
      </w:r>
      <w:r>
        <w:rPr>
          <w:rFonts w:ascii="Times New Roman" w:eastAsia="Times New Roman"/>
          <w:spacing w:val="10"/>
          <w:position w:val="2"/>
          <w:vertAlign w:val="subscript"/>
        </w:rPr>
        <w:t>2</w:t>
      </w:r>
      <w:r>
        <w:rPr>
          <w:rFonts w:ascii="Times New Roman" w:eastAsia="Times New Roman"/>
          <w:spacing w:val="10"/>
          <w:position w:val="2"/>
          <w:vertAlign w:val="baseline"/>
        </w:rPr>
        <w:t>850mg/m</w:t>
      </w:r>
      <w:r>
        <w:rPr>
          <w:rFonts w:ascii="Times New Roman" w:eastAsia="Times New Roman"/>
          <w:spacing w:val="10"/>
          <w:position w:val="2"/>
          <w:vertAlign w:val="superscript"/>
        </w:rPr>
        <w:t>3</w:t>
      </w:r>
      <w:r>
        <w:rPr>
          <w:rFonts w:ascii="Times New Roman" w:eastAsia="Times New Roman"/>
          <w:spacing w:val="10"/>
          <w:position w:val="2"/>
          <w:vertAlign w:val="baseline"/>
        </w:rPr>
        <w:t xml:space="preserve"> </w:t>
      </w:r>
      <w:r>
        <w:rPr>
          <w:position w:val="2"/>
          <w:vertAlign w:val="baseline"/>
        </w:rPr>
        <w:t>的标准限值要求。</w:t>
      </w:r>
    </w:p>
    <w:p>
      <w:pPr>
        <w:pStyle w:val="6"/>
        <w:spacing w:before="5"/>
        <w:ind w:left="1520"/>
      </w:pPr>
      <w:r>
        <w:t>②粉尘</w:t>
      </w:r>
    </w:p>
    <w:p>
      <w:pPr>
        <w:spacing w:after="0"/>
        <w:sectPr>
          <w:pgSz w:w="11910" w:h="16840"/>
          <w:pgMar w:top="1080" w:right="720" w:bottom="1160" w:left="760" w:header="0" w:footer="97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12" name="组合 80"/>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11" name="直线 81"/>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80"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u2gi7UAAAAAwEAAA8AAAAAAAAAAQAgAAAAIgAAAGRycy9kb3ducmV2LnhtbFBL&#10;AQIUABQAAAAIAIdO4kDTHZ5aMwIAALYEAAAOAAAAAAAAAAEAIAAAACMBAABkcnMvZTJvRG9jLnht&#10;bFBLBQYAAAAABgAGAFkBAADIBQAAAAA=&#10;">
                <o:lock v:ext="edit" aspectratio="f"/>
                <v:line id="直线 81" o:spid="_x0000_s1026" o:spt="20" style="position:absolute;left:0;top:7;height:0;width:8306;" filled="f" stroked="t" coordsize="21600,21600" o:gfxdata="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lpo7r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6"/>
        <w:spacing w:before="2"/>
        <w:rPr>
          <w:sz w:val="26"/>
        </w:rPr>
      </w:pPr>
    </w:p>
    <w:p>
      <w:pPr>
        <w:pStyle w:val="6"/>
        <w:spacing w:before="67" w:line="364" w:lineRule="auto"/>
        <w:ind w:left="1040" w:right="1077" w:firstLine="480"/>
      </w:pPr>
      <w:r>
        <w:rPr>
          <w:spacing w:val="-8"/>
        </w:rPr>
        <w:t>从地面工艺流程来看，粉尘主要来源于输送、卸料及筛分环节。煤仓全封闭</w:t>
      </w:r>
      <w:r>
        <w:t>且输送采用全封闭式输送栈桥，煤尘很少。</w:t>
      </w:r>
    </w:p>
    <w:p>
      <w:pPr>
        <w:pStyle w:val="6"/>
        <w:spacing w:before="1"/>
        <w:ind w:left="1520"/>
      </w:pPr>
      <w:r>
        <w:t>本项目原煤筛分车间粉尘产生浓度根据《清洁生产标准 煤炭采选业》</w:t>
      </w:r>
    </w:p>
    <w:p>
      <w:pPr>
        <w:pStyle w:val="6"/>
        <w:spacing w:before="160" w:line="364" w:lineRule="auto"/>
        <w:ind w:left="1040" w:right="957"/>
        <w:jc w:val="both"/>
      </w:pPr>
      <w:r>
        <w:t>（</w:t>
      </w:r>
      <w:r>
        <w:rPr>
          <w:rFonts w:ascii="Times New Roman" w:eastAsia="Times New Roman"/>
        </w:rPr>
        <w:t>HJ446-2008</w:t>
      </w:r>
      <w:r>
        <w:t>）</w:t>
      </w:r>
      <w:r>
        <w:rPr>
          <w:spacing w:val="-6"/>
        </w:rPr>
        <w:t>中对原煤筛分、破碎、转载点前含尘质量浓度的要求，筛分车间</w:t>
      </w:r>
      <w:r>
        <w:rPr>
          <w:spacing w:val="-13"/>
        </w:rPr>
        <w:t xml:space="preserve">粉尘产生浓度取 </w:t>
      </w:r>
      <w:r>
        <w:rPr>
          <w:rFonts w:ascii="Times New Roman" w:eastAsia="Times New Roman"/>
          <w:spacing w:val="-4"/>
        </w:rPr>
        <w:t>4000mg/m</w:t>
      </w:r>
      <w:r>
        <w:rPr>
          <w:rFonts w:ascii="Times New Roman" w:eastAsia="Times New Roman"/>
          <w:spacing w:val="-4"/>
          <w:position w:val="8"/>
          <w:sz w:val="15"/>
        </w:rPr>
        <w:t>3</w:t>
      </w:r>
      <w:r>
        <w:rPr>
          <w:spacing w:val="-4"/>
        </w:rPr>
        <w:t>，本项目在筛分车间设置一套布袋除尘器，经布袋除</w:t>
      </w:r>
      <w:r>
        <w:rPr>
          <w:spacing w:val="-14"/>
        </w:rPr>
        <w:t xml:space="preserve">尘器收处理后由排气筒排放，除尘器除尘效率 </w:t>
      </w:r>
      <w:r>
        <w:rPr>
          <w:rFonts w:ascii="Times New Roman" w:eastAsia="Times New Roman"/>
        </w:rPr>
        <w:t>99%</w:t>
      </w:r>
      <w:r>
        <w:rPr>
          <w:spacing w:val="-17"/>
        </w:rPr>
        <w:t xml:space="preserve">。经计算则排放量为 </w:t>
      </w:r>
      <w:r>
        <w:rPr>
          <w:rFonts w:ascii="Times New Roman" w:eastAsia="Times New Roman"/>
        </w:rPr>
        <w:t>0.02kg/h</w:t>
      </w:r>
      <w:r>
        <w:rPr>
          <w:spacing w:val="-15"/>
        </w:rPr>
        <w:t>。</w:t>
      </w:r>
    </w:p>
    <w:p>
      <w:pPr>
        <w:pStyle w:val="6"/>
        <w:spacing w:line="230" w:lineRule="exact"/>
        <w:ind w:left="1520"/>
      </w:pPr>
      <w:r>
        <w:t>③瓦斯排放</w:t>
      </w:r>
    </w:p>
    <w:p>
      <w:pPr>
        <w:pStyle w:val="6"/>
        <w:spacing w:before="161" w:line="364" w:lineRule="auto"/>
        <w:ind w:left="1040" w:right="1072" w:firstLine="480"/>
        <w:jc w:val="both"/>
      </w:pPr>
      <w:r>
        <w:rPr>
          <w:spacing w:val="-1"/>
        </w:rPr>
        <w:t>依据双鸭山市煤炭生产安全管理局文件</w:t>
      </w:r>
      <w:r>
        <w:t>（</w:t>
      </w:r>
      <w:r>
        <w:rPr>
          <w:spacing w:val="-3"/>
        </w:rPr>
        <w:t>双煤呈〔</w:t>
      </w:r>
      <w:r>
        <w:rPr>
          <w:rFonts w:ascii="Times New Roman" w:eastAsia="Times New Roman"/>
        </w:rPr>
        <w:t>2016</w:t>
      </w:r>
      <w:r>
        <w:rPr>
          <w:spacing w:val="-5"/>
        </w:rPr>
        <w:t>〕</w:t>
      </w:r>
      <w:r>
        <w:rPr>
          <w:rFonts w:ascii="Times New Roman" w:eastAsia="Times New Roman"/>
          <w:spacing w:val="-3"/>
        </w:rPr>
        <w:t xml:space="preserve">117 </w:t>
      </w:r>
      <w:r>
        <w:t>号</w:t>
      </w:r>
      <w:r>
        <w:rPr>
          <w:spacing w:val="-5"/>
        </w:rPr>
        <w:t>）</w:t>
      </w:r>
      <w:r>
        <w:rPr>
          <w:spacing w:val="-3"/>
        </w:rPr>
        <w:t>双鸭山市</w:t>
      </w:r>
      <w:r>
        <w:rPr>
          <w:spacing w:val="-4"/>
        </w:rPr>
        <w:t xml:space="preserve">煤炭生产安全管理局关于呈报 </w:t>
      </w:r>
      <w:r>
        <w:rPr>
          <w:rFonts w:ascii="Times New Roman" w:eastAsia="Times New Roman"/>
        </w:rPr>
        <w:t xml:space="preserve">2016 </w:t>
      </w:r>
      <w:r>
        <w:t>年度第二批矿井瓦斯等级和二氧化碳结果的</w:t>
      </w:r>
      <w:r>
        <w:rPr>
          <w:spacing w:val="-3"/>
        </w:rPr>
        <w:t xml:space="preserve">报告。大顺煤矿矿井绝对瓦斯涌出量 </w:t>
      </w:r>
      <w:r>
        <w:rPr>
          <w:rFonts w:ascii="Times New Roman" w:eastAsia="Times New Roman"/>
        </w:rPr>
        <w:t>0.150m</w:t>
      </w:r>
      <w:r>
        <w:rPr>
          <w:rFonts w:ascii="Times New Roman" w:eastAsia="Times New Roman"/>
          <w:position w:val="8"/>
          <w:sz w:val="15"/>
        </w:rPr>
        <w:t>3</w:t>
      </w:r>
      <w:r>
        <w:rPr>
          <w:rFonts w:ascii="Times New Roman" w:eastAsia="Times New Roman"/>
        </w:rPr>
        <w:t>/min</w:t>
      </w:r>
      <w:r>
        <w:rPr>
          <w:spacing w:val="-6"/>
        </w:rPr>
        <w:t xml:space="preserve">，相对瓦斯涌出量 </w:t>
      </w:r>
      <w:r>
        <w:rPr>
          <w:rFonts w:ascii="Times New Roman" w:eastAsia="Times New Roman"/>
          <w:spacing w:val="-3"/>
        </w:rPr>
        <w:t>5.891m</w:t>
      </w:r>
      <w:r>
        <w:rPr>
          <w:rFonts w:ascii="Times New Roman" w:eastAsia="Times New Roman"/>
          <w:spacing w:val="-3"/>
          <w:position w:val="8"/>
          <w:sz w:val="15"/>
        </w:rPr>
        <w:t>3</w:t>
      </w:r>
      <w:r>
        <w:rPr>
          <w:rFonts w:ascii="Times New Roman" w:eastAsia="Times New Roman"/>
          <w:spacing w:val="-3"/>
        </w:rPr>
        <w:t>/t</w:t>
      </w:r>
      <w:r>
        <w:rPr>
          <w:spacing w:val="-3"/>
        </w:rPr>
        <w:t xml:space="preserve">， </w:t>
      </w:r>
      <w:r>
        <w:t>鉴定为低瓦斯矿井。</w:t>
      </w:r>
    </w:p>
    <w:p>
      <w:pPr>
        <w:pStyle w:val="6"/>
        <w:spacing w:before="139" w:line="374" w:lineRule="auto"/>
        <w:ind w:left="1040" w:right="957" w:firstLine="480"/>
      </w:pPr>
      <w:r>
        <w:rPr>
          <w:spacing w:val="-3"/>
        </w:rPr>
        <w:t xml:space="preserve">本矿井属于低瓦斯矿井，绝对瓦斯涌出量 </w:t>
      </w:r>
      <w:r>
        <w:rPr>
          <w:rFonts w:ascii="Times New Roman" w:eastAsia="Times New Roman"/>
        </w:rPr>
        <w:t>0.150m</w:t>
      </w:r>
      <w:r>
        <w:rPr>
          <w:rFonts w:ascii="Times New Roman" w:eastAsia="Times New Roman"/>
          <w:position w:val="8"/>
          <w:sz w:val="15"/>
        </w:rPr>
        <w:t>3</w:t>
      </w:r>
      <w:r>
        <w:rPr>
          <w:rFonts w:ascii="Times New Roman" w:eastAsia="Times New Roman"/>
        </w:rPr>
        <w:t>/min</w:t>
      </w:r>
      <w:r>
        <w:t>，不需建立地面永久</w:t>
      </w:r>
      <w:r>
        <w:rPr>
          <w:spacing w:val="-12"/>
        </w:rPr>
        <w:t xml:space="preserve">抽放瓦斯系统或井下移动泵站抽放系统，本矿井采用煤矿回风井，通过风排瓦斯， </w:t>
      </w:r>
      <w:r>
        <w:t>能够满足《煤层气（煤矿瓦斯）排放标准（暂行）》（</w:t>
      </w:r>
      <w:r>
        <w:rPr>
          <w:rFonts w:ascii="Times New Roman" w:eastAsia="Times New Roman"/>
        </w:rPr>
        <w:t>GB21522-2008</w:t>
      </w:r>
      <w:r>
        <w:t>）要求。</w:t>
      </w:r>
    </w:p>
    <w:p>
      <w:pPr>
        <w:pStyle w:val="6"/>
        <w:spacing w:line="246" w:lineRule="exact"/>
        <w:ind w:left="1520"/>
      </w:pPr>
      <w:r>
        <w:t>④临时矸石堆产生的扬尘</w:t>
      </w:r>
    </w:p>
    <w:p>
      <w:pPr>
        <w:pStyle w:val="6"/>
        <w:spacing w:before="161" w:line="364" w:lineRule="auto"/>
        <w:ind w:left="1040" w:right="1077" w:firstLine="480"/>
        <w:jc w:val="both"/>
      </w:pPr>
      <w:r>
        <w:rPr>
          <w:spacing w:val="-4"/>
        </w:rPr>
        <w:t>临时矸石堆主要承担初步筛分栈桥产生的矸石和矿井井巷工程废弃矸石。在</w:t>
      </w:r>
      <w:r>
        <w:rPr>
          <w:spacing w:val="-7"/>
        </w:rPr>
        <w:t>矸石堆存期间将会产生装卸、运输引起的扬尘以及堆积存放期间风蚀扬尘，统称</w:t>
      </w:r>
      <w:r>
        <w:rPr>
          <w:spacing w:val="-8"/>
        </w:rPr>
        <w:t>临时矸石堆产生的扬尘，其扬尘产生量采用</w:t>
      </w:r>
      <w:r>
        <w:fldChar w:fldCharType="begin"/>
      </w:r>
      <w:r>
        <w:instrText xml:space="preserve"> HYPERLINK "http://www.mee.gov.cn/gkml/hbb/bgg/201501/W020150107594588131490.pdf" \h </w:instrText>
      </w:r>
      <w:r>
        <w:fldChar w:fldCharType="separate"/>
      </w:r>
      <w:r>
        <w:rPr>
          <w:spacing w:val="-2"/>
        </w:rPr>
        <w:t>《扬尘源颗粒物排放清单编制技术指</w:t>
      </w:r>
      <w:r>
        <w:rPr>
          <w:spacing w:val="-2"/>
        </w:rPr>
        <w:fldChar w:fldCharType="end"/>
      </w:r>
      <w:r>
        <w:t>南（试行）》中堆场扬尘排放量计算方法计算。计算公式如下：</w:t>
      </w:r>
    </w:p>
    <w:p>
      <w:pPr>
        <w:pStyle w:val="6"/>
        <w:spacing w:before="3"/>
        <w:rPr>
          <w:sz w:val="26"/>
        </w:rPr>
      </w:pPr>
      <w:r>
        <w:drawing>
          <wp:anchor distT="0" distB="0" distL="0" distR="0" simplePos="0" relativeHeight="1024" behindDoc="0" locked="0" layoutInCell="1" allowOverlap="1">
            <wp:simplePos x="0" y="0"/>
            <wp:positionH relativeFrom="page">
              <wp:posOffset>1630045</wp:posOffset>
            </wp:positionH>
            <wp:positionV relativeFrom="paragraph">
              <wp:posOffset>238125</wp:posOffset>
            </wp:positionV>
            <wp:extent cx="4301490" cy="51816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44" cstate="print"/>
                    <a:stretch>
                      <a:fillRect/>
                    </a:stretch>
                  </pic:blipFill>
                  <pic:spPr>
                    <a:xfrm>
                      <a:off x="0" y="0"/>
                      <a:ext cx="4301183" cy="518160"/>
                    </a:xfrm>
                    <a:prstGeom prst="rect">
                      <a:avLst/>
                    </a:prstGeom>
                  </pic:spPr>
                </pic:pic>
              </a:graphicData>
            </a:graphic>
          </wp:anchor>
        </w:drawing>
      </w:r>
    </w:p>
    <w:p>
      <w:pPr>
        <w:pStyle w:val="6"/>
        <w:spacing w:before="6"/>
        <w:rPr>
          <w:sz w:val="21"/>
        </w:rPr>
      </w:pPr>
    </w:p>
    <w:p>
      <w:pPr>
        <w:pStyle w:val="6"/>
        <w:spacing w:before="67"/>
        <w:ind w:left="1520"/>
      </w:pPr>
      <w:r>
        <w:t>式中：</w:t>
      </w:r>
    </w:p>
    <w:p>
      <w:pPr>
        <w:pStyle w:val="6"/>
        <w:spacing w:before="157"/>
        <w:ind w:left="1520"/>
      </w:pPr>
      <w:r>
        <w:rPr>
          <w:rFonts w:ascii="Times New Roman" w:eastAsia="Times New Roman"/>
          <w:position w:val="2"/>
        </w:rPr>
        <w:t>W</w:t>
      </w:r>
      <w:r>
        <w:rPr>
          <w:rFonts w:ascii="Times New Roman" w:eastAsia="Times New Roman"/>
          <w:position w:val="2"/>
          <w:vertAlign w:val="subscript"/>
        </w:rPr>
        <w:t>Y</w:t>
      </w:r>
      <w:r>
        <w:rPr>
          <w:rFonts w:ascii="Times New Roman" w:eastAsia="Times New Roman"/>
          <w:position w:val="2"/>
          <w:vertAlign w:val="baseline"/>
        </w:rPr>
        <w:t xml:space="preserve"> </w:t>
      </w:r>
      <w:r>
        <w:rPr>
          <w:position w:val="2"/>
          <w:vertAlign w:val="baseline"/>
        </w:rPr>
        <w:t>为堆场扬尘源中颗粒物总排放量，</w:t>
      </w:r>
      <w:r>
        <w:rPr>
          <w:rFonts w:ascii="Times New Roman" w:eastAsia="Times New Roman"/>
          <w:position w:val="2"/>
          <w:vertAlign w:val="baseline"/>
        </w:rPr>
        <w:t>t/a</w:t>
      </w:r>
      <w:r>
        <w:rPr>
          <w:position w:val="2"/>
          <w:vertAlign w:val="baseline"/>
        </w:rPr>
        <w:t>；</w:t>
      </w:r>
    </w:p>
    <w:p>
      <w:pPr>
        <w:pStyle w:val="6"/>
        <w:spacing w:before="156"/>
        <w:ind w:left="1520"/>
      </w:pPr>
      <w:r>
        <w:rPr>
          <w:rFonts w:ascii="Times New Roman" w:eastAsia="Times New Roman"/>
          <w:position w:val="2"/>
        </w:rPr>
        <w:t>E</w:t>
      </w:r>
      <w:r>
        <w:rPr>
          <w:rFonts w:ascii="Times New Roman" w:eastAsia="Times New Roman"/>
          <w:position w:val="2"/>
          <w:vertAlign w:val="subscript"/>
        </w:rPr>
        <w:t>h</w:t>
      </w:r>
      <w:r>
        <w:rPr>
          <w:rFonts w:ascii="Times New Roman" w:eastAsia="Times New Roman"/>
          <w:position w:val="2"/>
          <w:vertAlign w:val="baseline"/>
        </w:rPr>
        <w:t xml:space="preserve"> </w:t>
      </w:r>
      <w:r>
        <w:rPr>
          <w:position w:val="2"/>
          <w:vertAlign w:val="baseline"/>
        </w:rPr>
        <w:t>为堆场装卸运输过程的扬尘颗粒物排放系数，</w:t>
      </w:r>
      <w:r>
        <w:rPr>
          <w:rFonts w:ascii="Times New Roman" w:eastAsia="Times New Roman"/>
          <w:position w:val="2"/>
          <w:vertAlign w:val="baseline"/>
        </w:rPr>
        <w:t>kg/t</w:t>
      </w:r>
      <w:r>
        <w:rPr>
          <w:position w:val="2"/>
          <w:vertAlign w:val="baseline"/>
        </w:rPr>
        <w:t>；</w:t>
      </w:r>
    </w:p>
    <w:p>
      <w:pPr>
        <w:pStyle w:val="6"/>
        <w:spacing w:before="160"/>
        <w:ind w:left="1520"/>
      </w:pPr>
      <w:r>
        <w:rPr>
          <w:rFonts w:ascii="Times New Roman" w:eastAsia="Times New Roman"/>
        </w:rPr>
        <w:t xml:space="preserve">m </w:t>
      </w:r>
      <w:r>
        <w:t xml:space="preserve">为每年料堆物料装卸总次数，本次评价取 </w:t>
      </w:r>
      <w:r>
        <w:rPr>
          <w:rFonts w:ascii="Times New Roman" w:eastAsia="Times New Roman"/>
        </w:rPr>
        <w:t xml:space="preserve">30000 </w:t>
      </w:r>
      <w:r>
        <w:t>次；</w:t>
      </w:r>
    </w:p>
    <w:p>
      <w:pPr>
        <w:pStyle w:val="6"/>
        <w:spacing w:before="157" w:line="362" w:lineRule="auto"/>
        <w:ind w:left="1520" w:right="1077"/>
      </w:pPr>
      <w:r>
        <w:rPr>
          <w:rFonts w:ascii="Times New Roman" w:eastAsia="Times New Roman"/>
          <w:spacing w:val="-4"/>
          <w:position w:val="2"/>
        </w:rPr>
        <w:t>G</w:t>
      </w:r>
      <w:r>
        <w:rPr>
          <w:rFonts w:ascii="Times New Roman" w:eastAsia="Times New Roman"/>
          <w:spacing w:val="-4"/>
          <w:position w:val="2"/>
          <w:vertAlign w:val="subscript"/>
        </w:rPr>
        <w:t>Yi</w:t>
      </w:r>
      <w:r>
        <w:rPr>
          <w:rFonts w:ascii="Times New Roman" w:eastAsia="Times New Roman"/>
          <w:spacing w:val="-4"/>
          <w:position w:val="2"/>
          <w:vertAlign w:val="baseline"/>
        </w:rPr>
        <w:t xml:space="preserve"> </w:t>
      </w:r>
      <w:r>
        <w:rPr>
          <w:spacing w:val="-20"/>
          <w:position w:val="2"/>
          <w:vertAlign w:val="baseline"/>
        </w:rPr>
        <w:t xml:space="preserve">为第 </w:t>
      </w:r>
      <w:r>
        <w:rPr>
          <w:rFonts w:ascii="Times New Roman" w:eastAsia="Times New Roman"/>
          <w:position w:val="2"/>
          <w:vertAlign w:val="baseline"/>
        </w:rPr>
        <w:t xml:space="preserve">i </w:t>
      </w:r>
      <w:r>
        <w:rPr>
          <w:spacing w:val="-3"/>
          <w:position w:val="2"/>
          <w:vertAlign w:val="baseline"/>
        </w:rPr>
        <w:t xml:space="preserve">次装卸过程的物料装卸量，本次评价取单个井下矿车载重量 </w:t>
      </w:r>
      <w:r>
        <w:rPr>
          <w:rFonts w:ascii="Times New Roman" w:eastAsia="Times New Roman"/>
          <w:spacing w:val="-7"/>
          <w:position w:val="2"/>
          <w:vertAlign w:val="baseline"/>
        </w:rPr>
        <w:t>1t</w:t>
      </w:r>
      <w:r>
        <w:rPr>
          <w:spacing w:val="-7"/>
          <w:position w:val="2"/>
          <w:vertAlign w:val="baseline"/>
        </w:rPr>
        <w:t xml:space="preserve">； </w:t>
      </w:r>
      <w:r>
        <w:rPr>
          <w:rFonts w:ascii="Times New Roman" w:eastAsia="Times New Roman"/>
          <w:position w:val="2"/>
          <w:vertAlign w:val="baseline"/>
        </w:rPr>
        <w:t>E</w:t>
      </w:r>
      <w:r>
        <w:rPr>
          <w:rFonts w:ascii="Times New Roman" w:eastAsia="Times New Roman"/>
          <w:position w:val="2"/>
          <w:vertAlign w:val="subscript"/>
        </w:rPr>
        <w:t>w</w:t>
      </w:r>
      <w:r>
        <w:rPr>
          <w:rFonts w:ascii="Times New Roman" w:eastAsia="Times New Roman"/>
          <w:position w:val="2"/>
          <w:vertAlign w:val="baseline"/>
        </w:rPr>
        <w:t xml:space="preserve"> </w:t>
      </w:r>
      <w:r>
        <w:rPr>
          <w:position w:val="2"/>
          <w:vertAlign w:val="baseline"/>
        </w:rPr>
        <w:t>为料堆受到风蚀作用的颗粒物排放系数，</w:t>
      </w:r>
      <w:r>
        <w:rPr>
          <w:rFonts w:ascii="Times New Roman" w:eastAsia="Times New Roman"/>
          <w:position w:val="2"/>
          <w:vertAlign w:val="baseline"/>
        </w:rPr>
        <w:t>kg/m</w:t>
      </w:r>
      <w:r>
        <w:rPr>
          <w:rFonts w:ascii="Times New Roman" w:eastAsia="Times New Roman"/>
          <w:position w:val="2"/>
          <w:vertAlign w:val="superscript"/>
        </w:rPr>
        <w:t>2</w:t>
      </w:r>
      <w:r>
        <w:rPr>
          <w:position w:val="2"/>
          <w:vertAlign w:val="baseline"/>
        </w:rPr>
        <w:t>；</w:t>
      </w:r>
    </w:p>
    <w:p>
      <w:pPr>
        <w:pStyle w:val="6"/>
        <w:spacing w:line="310" w:lineRule="exact"/>
        <w:ind w:left="1520"/>
      </w:pPr>
      <w:r>
        <w:rPr>
          <w:rFonts w:ascii="Times New Roman" w:eastAsia="Times New Roman"/>
          <w:position w:val="2"/>
        </w:rPr>
        <w:t>A</w:t>
      </w:r>
      <w:r>
        <w:rPr>
          <w:rFonts w:ascii="Times New Roman" w:eastAsia="Times New Roman"/>
          <w:position w:val="2"/>
          <w:vertAlign w:val="subscript"/>
        </w:rPr>
        <w:t>Y</w:t>
      </w:r>
      <w:r>
        <w:rPr>
          <w:rFonts w:ascii="Times New Roman" w:eastAsia="Times New Roman"/>
          <w:position w:val="2"/>
          <w:vertAlign w:val="baseline"/>
        </w:rPr>
        <w:t xml:space="preserve"> </w:t>
      </w:r>
      <w:r>
        <w:rPr>
          <w:position w:val="2"/>
          <w:vertAlign w:val="baseline"/>
        </w:rPr>
        <w:t xml:space="preserve">为料堆表面积，本次评价取 </w:t>
      </w:r>
      <w:r>
        <w:rPr>
          <w:rFonts w:ascii="Times New Roman" w:eastAsia="Times New Roman"/>
          <w:position w:val="2"/>
          <w:vertAlign w:val="baseline"/>
        </w:rPr>
        <w:t>8570m</w:t>
      </w:r>
      <w:r>
        <w:rPr>
          <w:rFonts w:ascii="Times New Roman" w:eastAsia="Times New Roman"/>
          <w:position w:val="2"/>
          <w:vertAlign w:val="superscript"/>
        </w:rPr>
        <w:t>2</w:t>
      </w:r>
      <w:r>
        <w:rPr>
          <w:position w:val="2"/>
          <w:vertAlign w:val="baseline"/>
        </w:rPr>
        <w:t>；</w:t>
      </w:r>
    </w:p>
    <w:p>
      <w:pPr>
        <w:spacing w:after="0" w:line="310" w:lineRule="exact"/>
        <w:sectPr>
          <w:pgSz w:w="11910" w:h="16840"/>
          <w:pgMar w:top="1080" w:right="720" w:bottom="1160" w:left="760" w:header="0" w:footer="97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14" name="组合 82"/>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13" name="直线 83"/>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82"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7toIu1AAAAAMBAAAPAAAAAAAAAAEAIAAAACIAAABkcnMvZG93bnJldi54bWxQ&#10;SwECFAAUAAAACACHTuJAiBcjkjQCAAC2BAAADgAAAAAAAAABACAAAAAjAQAAZHJzL2Uyb0RvYy54&#10;bWxQSwUGAAAAAAYABgBZAQAAyQUAAAAA&#10;">
                <o:lock v:ext="edit" aspectratio="f"/>
                <v:line id="直线 83" o:spid="_x0000_s1026" o:spt="20" style="position:absolute;left:0;top:7;height:0;width:8306;" filled="f" stroked="t" coordsize="21600,21600" o:gfxdata="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cRTAr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6"/>
        <w:spacing w:before="8"/>
        <w:rPr>
          <w:sz w:val="25"/>
        </w:rPr>
      </w:pPr>
    </w:p>
    <w:p>
      <w:pPr>
        <w:pStyle w:val="6"/>
        <w:spacing w:before="70"/>
        <w:ind w:left="1520"/>
      </w:pPr>
      <w:r>
        <w:rPr>
          <w:position w:val="2"/>
        </w:rPr>
        <w:t xml:space="preserve">装卸、运输物料过程扬尘排放系数 </w:t>
      </w:r>
      <w:r>
        <w:rPr>
          <w:rFonts w:ascii="Times New Roman" w:eastAsia="Times New Roman"/>
          <w:position w:val="2"/>
        </w:rPr>
        <w:t>E</w:t>
      </w:r>
      <w:r>
        <w:rPr>
          <w:rFonts w:ascii="Times New Roman" w:eastAsia="Times New Roman"/>
          <w:position w:val="2"/>
          <w:vertAlign w:val="subscript"/>
        </w:rPr>
        <w:t>h</w:t>
      </w:r>
      <w:r>
        <w:rPr>
          <w:rFonts w:ascii="Times New Roman" w:eastAsia="Times New Roman"/>
          <w:position w:val="2"/>
          <w:vertAlign w:val="baseline"/>
        </w:rPr>
        <w:t xml:space="preserve"> </w:t>
      </w:r>
      <w:r>
        <w:rPr>
          <w:position w:val="2"/>
          <w:vertAlign w:val="baseline"/>
        </w:rPr>
        <w:t>的计算方法</w:t>
      </w:r>
    </w:p>
    <w:p>
      <w:pPr>
        <w:pStyle w:val="6"/>
        <w:rPr>
          <w:sz w:val="20"/>
        </w:rPr>
      </w:pPr>
    </w:p>
    <w:p>
      <w:pPr>
        <w:pStyle w:val="6"/>
        <w:spacing w:before="2"/>
        <w:rPr>
          <w:sz w:val="17"/>
        </w:rPr>
      </w:pPr>
      <w:r>
        <w:drawing>
          <wp:anchor distT="0" distB="0" distL="0" distR="0" simplePos="0" relativeHeight="1024" behindDoc="0" locked="0" layoutInCell="1" allowOverlap="1">
            <wp:simplePos x="0" y="0"/>
            <wp:positionH relativeFrom="page">
              <wp:posOffset>2154555</wp:posOffset>
            </wp:positionH>
            <wp:positionV relativeFrom="paragraph">
              <wp:posOffset>164465</wp:posOffset>
            </wp:positionV>
            <wp:extent cx="3267710" cy="1040130"/>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45" cstate="print"/>
                    <a:stretch>
                      <a:fillRect/>
                    </a:stretch>
                  </pic:blipFill>
                  <pic:spPr>
                    <a:xfrm>
                      <a:off x="0" y="0"/>
                      <a:ext cx="3267419" cy="1040129"/>
                    </a:xfrm>
                    <a:prstGeom prst="rect">
                      <a:avLst/>
                    </a:prstGeom>
                  </pic:spPr>
                </pic:pic>
              </a:graphicData>
            </a:graphic>
          </wp:anchor>
        </w:drawing>
      </w:r>
    </w:p>
    <w:p>
      <w:pPr>
        <w:pStyle w:val="6"/>
        <w:spacing w:before="10"/>
        <w:rPr>
          <w:sz w:val="6"/>
        </w:rPr>
      </w:pPr>
    </w:p>
    <w:p>
      <w:pPr>
        <w:pStyle w:val="6"/>
        <w:spacing w:before="71"/>
        <w:ind w:left="1520"/>
      </w:pPr>
      <w:r>
        <w:rPr>
          <w:rFonts w:ascii="Times New Roman" w:eastAsia="Times New Roman"/>
          <w:position w:val="2"/>
        </w:rPr>
        <w:t>E</w:t>
      </w:r>
      <w:r>
        <w:rPr>
          <w:rFonts w:ascii="Times New Roman" w:eastAsia="Times New Roman"/>
          <w:position w:val="2"/>
          <w:vertAlign w:val="subscript"/>
        </w:rPr>
        <w:t>h</w:t>
      </w:r>
      <w:r>
        <w:rPr>
          <w:rFonts w:ascii="Times New Roman" w:eastAsia="Times New Roman"/>
          <w:position w:val="2"/>
          <w:vertAlign w:val="baseline"/>
        </w:rPr>
        <w:t xml:space="preserve"> </w:t>
      </w:r>
      <w:r>
        <w:rPr>
          <w:position w:val="2"/>
          <w:vertAlign w:val="baseline"/>
        </w:rPr>
        <w:t>为堆场装卸扬尘的排放系数，</w:t>
      </w:r>
      <w:r>
        <w:rPr>
          <w:rFonts w:ascii="Times New Roman" w:eastAsia="Times New Roman"/>
          <w:position w:val="2"/>
          <w:vertAlign w:val="baseline"/>
        </w:rPr>
        <w:t>kg/t</w:t>
      </w:r>
      <w:r>
        <w:rPr>
          <w:position w:val="2"/>
          <w:vertAlign w:val="baseline"/>
        </w:rPr>
        <w:t>。</w:t>
      </w:r>
    </w:p>
    <w:p>
      <w:pPr>
        <w:pStyle w:val="6"/>
        <w:spacing w:before="156"/>
        <w:ind w:left="1520"/>
      </w:pPr>
      <w:r>
        <w:rPr>
          <w:rFonts w:ascii="Times New Roman" w:eastAsia="Times New Roman"/>
          <w:position w:val="2"/>
        </w:rPr>
        <w:t>k</w:t>
      </w:r>
      <w:r>
        <w:rPr>
          <w:rFonts w:ascii="Times New Roman" w:eastAsia="Times New Roman"/>
          <w:position w:val="2"/>
          <w:vertAlign w:val="subscript"/>
        </w:rPr>
        <w:t>i</w:t>
      </w:r>
      <w:r>
        <w:rPr>
          <w:rFonts w:ascii="Times New Roman" w:eastAsia="Times New Roman"/>
          <w:position w:val="2"/>
          <w:vertAlign w:val="baseline"/>
        </w:rPr>
        <w:t xml:space="preserve"> </w:t>
      </w:r>
      <w:r>
        <w:rPr>
          <w:position w:val="2"/>
          <w:vertAlign w:val="baseline"/>
        </w:rPr>
        <w:t xml:space="preserve">为物料的粒度乘数，本次评价取 </w:t>
      </w:r>
      <w:r>
        <w:rPr>
          <w:rFonts w:ascii="Times New Roman" w:eastAsia="Times New Roman"/>
          <w:position w:val="2"/>
          <w:vertAlign w:val="baseline"/>
        </w:rPr>
        <w:t>TSP0.74</w:t>
      </w:r>
      <w:r>
        <w:rPr>
          <w:position w:val="2"/>
          <w:vertAlign w:val="baseline"/>
        </w:rPr>
        <w:t>。</w:t>
      </w:r>
    </w:p>
    <w:p>
      <w:pPr>
        <w:pStyle w:val="6"/>
        <w:spacing w:before="159" w:line="364" w:lineRule="auto"/>
        <w:ind w:left="1520" w:right="2670"/>
      </w:pPr>
      <w:r>
        <w:rPr>
          <w:rFonts w:ascii="Times New Roman" w:eastAsia="Times New Roman"/>
        </w:rPr>
        <w:t xml:space="preserve">u </w:t>
      </w:r>
      <w:r>
        <w:t xml:space="preserve">为地面平均风速，本次评价取双鸭山市平均风速 </w:t>
      </w:r>
      <w:r>
        <w:rPr>
          <w:rFonts w:ascii="Times New Roman" w:eastAsia="Times New Roman"/>
        </w:rPr>
        <w:t>4.3m/s</w:t>
      </w:r>
      <w:r>
        <w:t>。</w:t>
      </w:r>
      <w:r>
        <w:rPr>
          <w:rFonts w:ascii="Times New Roman" w:eastAsia="Times New Roman"/>
        </w:rPr>
        <w:t xml:space="preserve">M </w:t>
      </w:r>
      <w:r>
        <w:t xml:space="preserve">为物料含水率，本次评价取 </w:t>
      </w:r>
      <w:r>
        <w:rPr>
          <w:rFonts w:ascii="Times New Roman" w:eastAsia="Times New Roman"/>
        </w:rPr>
        <w:t>6.9%</w:t>
      </w:r>
      <w:r>
        <w:t>。</w:t>
      </w:r>
    </w:p>
    <w:p>
      <w:pPr>
        <w:pStyle w:val="6"/>
        <w:spacing w:before="1" w:line="364" w:lineRule="auto"/>
        <w:ind w:left="1040" w:right="1077" w:firstLine="480"/>
      </w:pPr>
      <w:r>
        <w:rPr>
          <w:rFonts w:ascii="Times New Roman" w:hAnsi="Times New Roman" w:eastAsia="Times New Roman"/>
        </w:rPr>
        <w:t>η</w:t>
      </w:r>
      <w:r>
        <w:t>为污染控制技术对扬尘的去除效率，本次评价取输送点位连续洒水操作</w:t>
      </w:r>
      <w:r>
        <w:rPr>
          <w:rFonts w:ascii="Times New Roman" w:hAnsi="Times New Roman" w:eastAsia="Times New Roman"/>
        </w:rPr>
        <w:t>74%</w:t>
      </w:r>
      <w:r>
        <w:t>。</w:t>
      </w:r>
    </w:p>
    <w:p>
      <w:pPr>
        <w:pStyle w:val="6"/>
        <w:spacing w:before="2"/>
        <w:ind w:left="1520"/>
      </w:pPr>
      <w:r>
        <w:t>堆场风蚀扬尘排放系数的计算方法</w:t>
      </w:r>
    </w:p>
    <w:p>
      <w:pPr>
        <w:pStyle w:val="6"/>
        <w:spacing w:before="6"/>
        <w:rPr>
          <w:sz w:val="25"/>
        </w:rPr>
      </w:pPr>
      <w:r>
        <w:drawing>
          <wp:anchor distT="0" distB="0" distL="0" distR="0" simplePos="0" relativeHeight="1024" behindDoc="0" locked="0" layoutInCell="1" allowOverlap="1">
            <wp:simplePos x="0" y="0"/>
            <wp:positionH relativeFrom="page">
              <wp:posOffset>1381125</wp:posOffset>
            </wp:positionH>
            <wp:positionV relativeFrom="paragraph">
              <wp:posOffset>231775</wp:posOffset>
            </wp:positionV>
            <wp:extent cx="4678045" cy="1618615"/>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46" cstate="print"/>
                    <a:stretch>
                      <a:fillRect/>
                    </a:stretch>
                  </pic:blipFill>
                  <pic:spPr>
                    <a:xfrm>
                      <a:off x="0" y="0"/>
                      <a:ext cx="4677830" cy="1618488"/>
                    </a:xfrm>
                    <a:prstGeom prst="rect">
                      <a:avLst/>
                    </a:prstGeom>
                  </pic:spPr>
                </pic:pic>
              </a:graphicData>
            </a:graphic>
          </wp:anchor>
        </w:drawing>
      </w:r>
    </w:p>
    <w:p>
      <w:pPr>
        <w:pStyle w:val="6"/>
        <w:rPr>
          <w:sz w:val="26"/>
        </w:rPr>
      </w:pPr>
    </w:p>
    <w:p>
      <w:pPr>
        <w:pStyle w:val="6"/>
        <w:spacing w:before="1"/>
        <w:ind w:left="1520"/>
      </w:pPr>
      <w:r>
        <w:rPr>
          <w:rFonts w:ascii="Times New Roman" w:eastAsia="Times New Roman"/>
          <w:position w:val="2"/>
        </w:rPr>
        <w:t>E</w:t>
      </w:r>
      <w:r>
        <w:rPr>
          <w:rFonts w:ascii="Times New Roman" w:eastAsia="Times New Roman"/>
          <w:position w:val="2"/>
          <w:vertAlign w:val="subscript"/>
        </w:rPr>
        <w:t>w</w:t>
      </w:r>
      <w:r>
        <w:rPr>
          <w:rFonts w:ascii="Times New Roman" w:eastAsia="Times New Roman"/>
          <w:position w:val="2"/>
          <w:vertAlign w:val="baseline"/>
        </w:rPr>
        <w:t xml:space="preserve"> </w:t>
      </w:r>
      <w:r>
        <w:rPr>
          <w:position w:val="2"/>
          <w:vertAlign w:val="baseline"/>
        </w:rPr>
        <w:t>为堆场风蚀扬尘的排放系数，</w:t>
      </w:r>
      <w:r>
        <w:rPr>
          <w:rFonts w:ascii="Times New Roman" w:eastAsia="Times New Roman"/>
          <w:position w:val="2"/>
          <w:vertAlign w:val="baseline"/>
        </w:rPr>
        <w:t>kg/m</w:t>
      </w:r>
      <w:r>
        <w:rPr>
          <w:rFonts w:ascii="Times New Roman" w:eastAsia="Times New Roman"/>
          <w:position w:val="2"/>
          <w:vertAlign w:val="superscript"/>
        </w:rPr>
        <w:t>2</w:t>
      </w:r>
      <w:r>
        <w:rPr>
          <w:position w:val="2"/>
          <w:vertAlign w:val="baseline"/>
        </w:rPr>
        <w:t>。</w:t>
      </w:r>
    </w:p>
    <w:p>
      <w:pPr>
        <w:pStyle w:val="6"/>
        <w:spacing w:before="156"/>
        <w:ind w:left="1520"/>
      </w:pPr>
      <w:r>
        <w:rPr>
          <w:rFonts w:ascii="Times New Roman" w:eastAsia="Times New Roman"/>
          <w:position w:val="2"/>
        </w:rPr>
        <w:t>k</w:t>
      </w:r>
      <w:r>
        <w:rPr>
          <w:rFonts w:ascii="Times New Roman" w:eastAsia="Times New Roman"/>
          <w:position w:val="2"/>
          <w:vertAlign w:val="subscript"/>
        </w:rPr>
        <w:t>i</w:t>
      </w:r>
      <w:r>
        <w:rPr>
          <w:rFonts w:ascii="Times New Roman" w:eastAsia="Times New Roman"/>
          <w:position w:val="2"/>
          <w:vertAlign w:val="baseline"/>
        </w:rPr>
        <w:t xml:space="preserve"> </w:t>
      </w:r>
      <w:r>
        <w:rPr>
          <w:position w:val="2"/>
          <w:vertAlign w:val="baseline"/>
        </w:rPr>
        <w:t xml:space="preserve">为物料的粒度乘数，本次评价取 </w:t>
      </w:r>
      <w:r>
        <w:rPr>
          <w:rFonts w:ascii="Times New Roman" w:eastAsia="Times New Roman"/>
          <w:position w:val="2"/>
          <w:vertAlign w:val="baseline"/>
        </w:rPr>
        <w:t>TSP1</w:t>
      </w:r>
      <w:r>
        <w:rPr>
          <w:position w:val="2"/>
          <w:vertAlign w:val="baseline"/>
        </w:rPr>
        <w:t>。</w:t>
      </w:r>
    </w:p>
    <w:p>
      <w:pPr>
        <w:pStyle w:val="6"/>
        <w:spacing w:before="159"/>
        <w:ind w:left="1520"/>
      </w:pPr>
      <w:r>
        <w:rPr>
          <w:rFonts w:ascii="Times New Roman" w:eastAsia="Times New Roman"/>
        </w:rPr>
        <w:t xml:space="preserve">n </w:t>
      </w:r>
      <w:r>
        <w:t xml:space="preserve">为料堆每年受扰动的次数，本次评价取 </w:t>
      </w:r>
      <w:r>
        <w:rPr>
          <w:rFonts w:ascii="Times New Roman" w:eastAsia="Times New Roman"/>
        </w:rPr>
        <w:t xml:space="preserve">30000 </w:t>
      </w:r>
      <w:r>
        <w:t>次。</w:t>
      </w:r>
    </w:p>
    <w:p>
      <w:pPr>
        <w:pStyle w:val="6"/>
        <w:spacing w:before="157"/>
        <w:ind w:left="1520"/>
      </w:pPr>
      <w:r>
        <w:rPr>
          <w:rFonts w:ascii="Times New Roman" w:eastAsia="Times New Roman"/>
          <w:position w:val="2"/>
        </w:rPr>
        <w:t>P</w:t>
      </w:r>
      <w:r>
        <w:rPr>
          <w:rFonts w:ascii="Times New Roman" w:eastAsia="Times New Roman"/>
          <w:position w:val="2"/>
          <w:vertAlign w:val="subscript"/>
        </w:rPr>
        <w:t>i</w:t>
      </w:r>
      <w:r>
        <w:rPr>
          <w:rFonts w:ascii="Times New Roman" w:eastAsia="Times New Roman"/>
          <w:position w:val="2"/>
          <w:vertAlign w:val="baseline"/>
        </w:rPr>
        <w:t xml:space="preserve"> </w:t>
      </w:r>
      <w:r>
        <w:rPr>
          <w:position w:val="2"/>
          <w:vertAlign w:val="baseline"/>
        </w:rPr>
        <w:t xml:space="preserve">为第 </w:t>
      </w:r>
      <w:r>
        <w:rPr>
          <w:rFonts w:ascii="Times New Roman" w:eastAsia="Times New Roman"/>
          <w:position w:val="2"/>
          <w:vertAlign w:val="baseline"/>
        </w:rPr>
        <w:t xml:space="preserve">i </w:t>
      </w:r>
      <w:r>
        <w:rPr>
          <w:position w:val="2"/>
          <w:vertAlign w:val="baseline"/>
        </w:rPr>
        <w:t>次扰动中观测的最大风速的风蚀潜势，</w:t>
      </w:r>
      <w:r>
        <w:rPr>
          <w:rFonts w:ascii="Times New Roman" w:eastAsia="Times New Roman"/>
          <w:position w:val="2"/>
          <w:vertAlign w:val="baseline"/>
        </w:rPr>
        <w:t>g/m</w:t>
      </w:r>
      <w:r>
        <w:rPr>
          <w:rFonts w:ascii="Times New Roman" w:eastAsia="Times New Roman"/>
          <w:position w:val="2"/>
          <w:vertAlign w:val="superscript"/>
        </w:rPr>
        <w:t>2</w:t>
      </w:r>
      <w:r>
        <w:rPr>
          <w:position w:val="2"/>
          <w:vertAlign w:val="baseline"/>
        </w:rPr>
        <w:t>。</w:t>
      </w:r>
    </w:p>
    <w:p>
      <w:pPr>
        <w:pStyle w:val="6"/>
        <w:spacing w:before="160" w:line="364" w:lineRule="auto"/>
        <w:ind w:left="1520" w:right="1252"/>
      </w:pPr>
      <w:r>
        <w:rPr>
          <w:rFonts w:ascii="Times New Roman" w:hAnsi="Times New Roman" w:eastAsia="Times New Roman"/>
        </w:rPr>
        <w:t>η</w:t>
      </w:r>
      <w:r>
        <w:t xml:space="preserve">为污染控制技术对扬尘的去除效率，本次评价取矿料堆定期洒水 </w:t>
      </w:r>
      <w:r>
        <w:rPr>
          <w:rFonts w:ascii="Times New Roman" w:hAnsi="Times New Roman" w:eastAsia="Times New Roman"/>
        </w:rPr>
        <w:t>52%</w:t>
      </w:r>
      <w:r>
        <w:t>。</w:t>
      </w:r>
      <w:r>
        <w:rPr>
          <w:rFonts w:ascii="Times New Roman" w:hAnsi="Times New Roman" w:eastAsia="Times New Roman"/>
        </w:rPr>
        <w:t>u</w:t>
      </w:r>
      <w:r>
        <w:rPr>
          <w:rFonts w:ascii="Times New Roman" w:hAnsi="Times New Roman" w:eastAsia="Times New Roman"/>
          <w:position w:val="8"/>
          <w:sz w:val="15"/>
        </w:rPr>
        <w:t>*</w:t>
      </w:r>
      <w:r>
        <w:t>为摩擦风速，</w:t>
      </w:r>
      <w:r>
        <w:rPr>
          <w:rFonts w:ascii="Times New Roman" w:hAnsi="Times New Roman" w:eastAsia="Times New Roman"/>
        </w:rPr>
        <w:t>m/s</w:t>
      </w:r>
      <w:r>
        <w:t>。</w:t>
      </w:r>
    </w:p>
    <w:p>
      <w:pPr>
        <w:pStyle w:val="6"/>
        <w:spacing w:line="310" w:lineRule="exact"/>
        <w:ind w:left="1520"/>
      </w:pPr>
      <w:r>
        <w:rPr>
          <w:rFonts w:ascii="Times New Roman" w:eastAsia="Times New Roman"/>
          <w:position w:val="2"/>
        </w:rPr>
        <w:t>u</w:t>
      </w:r>
      <w:r>
        <w:rPr>
          <w:rFonts w:ascii="Times New Roman" w:eastAsia="Times New Roman"/>
          <w:position w:val="2"/>
          <w:vertAlign w:val="subscript"/>
        </w:rPr>
        <w:t>t</w:t>
      </w:r>
      <w:r>
        <w:rPr>
          <w:rFonts w:ascii="Times New Roman" w:eastAsia="Times New Roman"/>
          <w:position w:val="2"/>
          <w:vertAlign w:val="superscript"/>
        </w:rPr>
        <w:t>*</w:t>
      </w:r>
      <w:r>
        <w:rPr>
          <w:position w:val="2"/>
          <w:vertAlign w:val="baseline"/>
        </w:rPr>
        <w:t xml:space="preserve">为阈值摩擦风速，即起尘的临界摩擦风速，本次评价取煤矸石 </w:t>
      </w:r>
      <w:r>
        <w:rPr>
          <w:rFonts w:ascii="Times New Roman" w:eastAsia="Times New Roman"/>
          <w:position w:val="2"/>
          <w:vertAlign w:val="baseline"/>
        </w:rPr>
        <w:t>4.8m/s</w:t>
      </w:r>
      <w:r>
        <w:rPr>
          <w:position w:val="2"/>
          <w:vertAlign w:val="baseline"/>
        </w:rPr>
        <w:t>。</w:t>
      </w:r>
    </w:p>
    <w:p>
      <w:pPr>
        <w:pStyle w:val="6"/>
        <w:spacing w:before="12"/>
        <w:rPr>
          <w:sz w:val="13"/>
        </w:rPr>
      </w:pPr>
      <w:r>
        <w:drawing>
          <wp:anchor distT="0" distB="0" distL="0" distR="0" simplePos="0" relativeHeight="1024" behindDoc="0" locked="0" layoutInCell="1" allowOverlap="1">
            <wp:simplePos x="0" y="0"/>
            <wp:positionH relativeFrom="page">
              <wp:posOffset>1782445</wp:posOffset>
            </wp:positionH>
            <wp:positionV relativeFrom="paragraph">
              <wp:posOffset>138430</wp:posOffset>
            </wp:positionV>
            <wp:extent cx="4079240" cy="608965"/>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47" cstate="print"/>
                    <a:stretch>
                      <a:fillRect/>
                    </a:stretch>
                  </pic:blipFill>
                  <pic:spPr>
                    <a:xfrm>
                      <a:off x="0" y="0"/>
                      <a:ext cx="4079181" cy="609219"/>
                    </a:xfrm>
                    <a:prstGeom prst="rect">
                      <a:avLst/>
                    </a:prstGeom>
                  </pic:spPr>
                </pic:pic>
              </a:graphicData>
            </a:graphic>
          </wp:anchor>
        </w:drawing>
      </w:r>
    </w:p>
    <w:p>
      <w:pPr>
        <w:spacing w:after="0"/>
        <w:rPr>
          <w:sz w:val="13"/>
        </w:rPr>
        <w:sectPr>
          <w:pgSz w:w="11910" w:h="16840"/>
          <w:pgMar w:top="1080" w:right="720" w:bottom="1160" w:left="760" w:header="0" w:footer="971" w:gutter="0"/>
        </w:sectPr>
      </w:pPr>
    </w:p>
    <w:p>
      <w:pPr>
        <w:pStyle w:val="6"/>
        <w:spacing w:line="20" w:lineRule="exact"/>
        <w:ind w:left="1032"/>
        <w:rPr>
          <w:sz w:val="2"/>
        </w:rPr>
      </w:pPr>
      <w:r>
        <w:rPr>
          <w:sz w:val="2"/>
        </w:rPr>
        <mc:AlternateContent>
          <mc:Choice Requires="wpg">
            <w:drawing>
              <wp:inline distT="0" distB="0" distL="114300" distR="114300">
                <wp:extent cx="5274310" cy="9525"/>
                <wp:effectExtent l="0" t="0" r="0" b="0"/>
                <wp:docPr id="122" name="组合 84"/>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121" name="直线 85"/>
                        <wps:cNvSp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84"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7toIu1AAAAAMBAAAPAAAAAAAAAAEAIAAAACIAAABkcnMvZG93bnJldi54bWxQ&#10;SwECFAAUAAAACACHTuJAm3jwFjQCAAC2BAAADgAAAAAAAAABACAAAAAjAQAAZHJzL2Uyb0RvYy54&#10;bWxQSwUGAAAAAAYABgBZAQAAyQUAAAAA&#10;">
                <o:lock v:ext="edit" aspectratio="f"/>
                <v:line id="直线 85" o:spid="_x0000_s1026" o:spt="20" style="position:absolute;left:0;top:7;height:0;width:8306;" filled="f" stroked="t" coordsize="21600,21600" o:gfxdata="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DaiU7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6"/>
        <w:spacing w:before="8"/>
        <w:rPr>
          <w:sz w:val="25"/>
        </w:rPr>
      </w:pPr>
    </w:p>
    <w:p>
      <w:pPr>
        <w:pStyle w:val="6"/>
        <w:spacing w:before="74" w:line="364" w:lineRule="auto"/>
        <w:ind w:left="1520" w:right="2951"/>
      </w:pPr>
      <w:r>
        <w:rPr>
          <w:rFonts w:ascii="Times New Roman" w:eastAsia="Times New Roman"/>
        </w:rPr>
        <w:t>u(z)</w:t>
      </w:r>
      <w:r>
        <w:t xml:space="preserve">为地面风速，本次评价取双鸭山市平均风速 </w:t>
      </w:r>
      <w:r>
        <w:rPr>
          <w:rFonts w:ascii="Times New Roman" w:eastAsia="Times New Roman"/>
        </w:rPr>
        <w:t>4.3m/s</w:t>
      </w:r>
      <w:r>
        <w:t>。</w:t>
      </w:r>
      <w:r>
        <w:rPr>
          <w:rFonts w:ascii="Times New Roman" w:eastAsia="Times New Roman"/>
        </w:rPr>
        <w:t xml:space="preserve">z </w:t>
      </w:r>
      <w:r>
        <w:t xml:space="preserve">为地面风速检测高度，本次评价取 </w:t>
      </w:r>
      <w:r>
        <w:rPr>
          <w:rFonts w:ascii="Times New Roman" w:eastAsia="Times New Roman"/>
        </w:rPr>
        <w:t>1.2m</w:t>
      </w:r>
      <w:r>
        <w:t>。</w:t>
      </w:r>
    </w:p>
    <w:p>
      <w:pPr>
        <w:pStyle w:val="6"/>
        <w:spacing w:line="310" w:lineRule="exact"/>
        <w:ind w:left="1520"/>
      </w:pPr>
      <w:r>
        <w:rPr>
          <w:rFonts w:ascii="Times New Roman" w:eastAsia="Times New Roman"/>
          <w:position w:val="2"/>
        </w:rPr>
        <w:t>z</w:t>
      </w:r>
      <w:r>
        <w:rPr>
          <w:rFonts w:ascii="Times New Roman" w:eastAsia="Times New Roman"/>
          <w:position w:val="2"/>
          <w:vertAlign w:val="subscript"/>
        </w:rPr>
        <w:t>0</w:t>
      </w:r>
      <w:r>
        <w:rPr>
          <w:rFonts w:ascii="Times New Roman" w:eastAsia="Times New Roman"/>
          <w:position w:val="2"/>
          <w:vertAlign w:val="baseline"/>
        </w:rPr>
        <w:t xml:space="preserve"> </w:t>
      </w:r>
      <w:r>
        <w:rPr>
          <w:position w:val="2"/>
          <w:vertAlign w:val="baseline"/>
        </w:rPr>
        <w:t xml:space="preserve">为地面粗糙度，本次评价取郊区 </w:t>
      </w:r>
      <w:r>
        <w:rPr>
          <w:rFonts w:ascii="Times New Roman" w:eastAsia="Times New Roman"/>
          <w:position w:val="2"/>
          <w:vertAlign w:val="baseline"/>
        </w:rPr>
        <w:t>0.2m</w:t>
      </w:r>
      <w:r>
        <w:rPr>
          <w:position w:val="2"/>
          <w:vertAlign w:val="baseline"/>
        </w:rPr>
        <w:t>。</w:t>
      </w:r>
    </w:p>
    <w:p>
      <w:pPr>
        <w:pStyle w:val="6"/>
        <w:spacing w:before="159"/>
        <w:ind w:left="1520"/>
      </w:pPr>
      <w:r>
        <w:rPr>
          <w:rFonts w:ascii="Times New Roman" w:eastAsia="Times New Roman"/>
        </w:rPr>
        <w:t xml:space="preserve">0.4 </w:t>
      </w:r>
      <w:r>
        <w:t>为冯卡门常数，无量纲。</w:t>
      </w:r>
    </w:p>
    <w:p>
      <w:pPr>
        <w:pStyle w:val="6"/>
        <w:spacing w:before="225" w:line="374" w:lineRule="auto"/>
        <w:ind w:left="1040" w:right="957" w:firstLine="480"/>
      </w:pPr>
      <w:r>
        <w:rPr>
          <w:spacing w:val="-3"/>
        </w:rPr>
        <w:t xml:space="preserve">经计算，本项目临时矸石堆产生的扬尘为 </w:t>
      </w:r>
      <w:r>
        <w:rPr>
          <w:rFonts w:ascii="Times New Roman" w:eastAsia="Times New Roman"/>
        </w:rPr>
        <w:t>0.09t/a</w:t>
      </w:r>
      <w:r>
        <w:t>（</w:t>
      </w:r>
      <w:r>
        <w:rPr>
          <w:rFonts w:ascii="Times New Roman" w:eastAsia="Times New Roman"/>
        </w:rPr>
        <w:t>0.01kg/h</w:t>
      </w:r>
      <w:r>
        <w:t>），采取洒水控制措施及围挡遮围（</w:t>
      </w:r>
      <w:r>
        <w:rPr>
          <w:spacing w:val="-21"/>
        </w:rPr>
        <w:t xml:space="preserve">效率 </w:t>
      </w:r>
      <w:r>
        <w:rPr>
          <w:rFonts w:ascii="Times New Roman" w:eastAsia="Times New Roman"/>
        </w:rPr>
        <w:t>74%</w:t>
      </w:r>
      <w:r>
        <w:t>），</w:t>
      </w:r>
      <w:r>
        <w:rPr>
          <w:spacing w:val="-6"/>
        </w:rPr>
        <w:t xml:space="preserve">临时矸石堆扬尘排放量 </w:t>
      </w:r>
      <w:r>
        <w:rPr>
          <w:rFonts w:ascii="Times New Roman" w:eastAsia="Times New Roman"/>
        </w:rPr>
        <w:t>0.02t/a</w:t>
      </w:r>
      <w:r>
        <w:t>（</w:t>
      </w:r>
      <w:r>
        <w:rPr>
          <w:rFonts w:ascii="Times New Roman" w:eastAsia="Times New Roman"/>
        </w:rPr>
        <w:t>0.003kg/h</w:t>
      </w:r>
      <w:r>
        <w:t>）</w:t>
      </w:r>
      <w:r>
        <w:rPr>
          <w:spacing w:val="-15"/>
        </w:rPr>
        <w:t>。</w:t>
      </w:r>
    </w:p>
    <w:p>
      <w:pPr>
        <w:pStyle w:val="6"/>
        <w:spacing w:before="13"/>
        <w:ind w:left="1520"/>
      </w:pPr>
      <w:r>
        <w:t>⑤食堂油烟气</w:t>
      </w:r>
    </w:p>
    <w:p>
      <w:pPr>
        <w:pStyle w:val="6"/>
        <w:spacing w:before="160" w:line="362" w:lineRule="auto"/>
        <w:ind w:left="1040" w:right="1077" w:firstLine="480"/>
      </w:pPr>
      <w:r>
        <w:rPr>
          <w:spacing w:val="-7"/>
        </w:rPr>
        <w:t>项目运行期间食堂会产生油烟，油烟废气中含油质、有机质及加热分解或裂</w:t>
      </w:r>
      <w:r>
        <w:rPr>
          <w:spacing w:val="5"/>
        </w:rPr>
        <w:t xml:space="preserve">解产物，本项目食堂设有 </w:t>
      </w:r>
      <w:r>
        <w:rPr>
          <w:rFonts w:ascii="Times New Roman" w:eastAsia="Times New Roman"/>
        </w:rPr>
        <w:t xml:space="preserve">6 </w:t>
      </w:r>
      <w:r>
        <w:rPr>
          <w:spacing w:val="12"/>
        </w:rPr>
        <w:t>个灶头，根据《饮食业油烟排放标准（试行</w:t>
      </w:r>
      <w:r>
        <w:rPr>
          <w:spacing w:val="14"/>
        </w:rPr>
        <w:t>）</w:t>
      </w:r>
      <w:r>
        <w:rPr>
          <w:spacing w:val="-17"/>
        </w:rPr>
        <w:t>》</w:t>
      </w:r>
    </w:p>
    <w:p>
      <w:pPr>
        <w:pStyle w:val="6"/>
        <w:spacing w:before="5" w:line="364" w:lineRule="auto"/>
        <w:ind w:left="1040" w:right="985"/>
      </w:pPr>
      <w:r>
        <w:t>（</w:t>
      </w:r>
      <w:r>
        <w:rPr>
          <w:rFonts w:ascii="Times New Roman" w:hAnsi="Times New Roman" w:eastAsia="Times New Roman"/>
        </w:rPr>
        <w:t>GB18483-2001</w:t>
      </w:r>
      <w:r>
        <w:t xml:space="preserve">），属于大型饮食业单位。根据对居民用油情况的类比调查， </w:t>
      </w:r>
      <w:r>
        <w:rPr>
          <w:spacing w:val="-4"/>
        </w:rPr>
        <w:t xml:space="preserve">目前居民人均日食用油用量约 </w:t>
      </w:r>
      <w:r>
        <w:rPr>
          <w:rFonts w:ascii="Times New Roman" w:hAnsi="Times New Roman" w:eastAsia="Times New Roman"/>
        </w:rPr>
        <w:t>0.03kg/</w:t>
      </w:r>
      <w:r>
        <w:rPr>
          <w:spacing w:val="4"/>
        </w:rPr>
        <w:t>人</w:t>
      </w:r>
      <w:r>
        <w:rPr>
          <w:rFonts w:ascii="Times New Roman" w:hAnsi="Times New Roman" w:eastAsia="Times New Roman"/>
          <w:spacing w:val="2"/>
        </w:rPr>
        <w:t>·d</w:t>
      </w:r>
      <w:r>
        <w:rPr>
          <w:spacing w:val="-6"/>
        </w:rPr>
        <w:t xml:space="preserve">，本项目共有员工 </w:t>
      </w:r>
      <w:r>
        <w:rPr>
          <w:rFonts w:ascii="Times New Roman" w:hAnsi="Times New Roman" w:eastAsia="Times New Roman"/>
        </w:rPr>
        <w:t xml:space="preserve">665 </w:t>
      </w:r>
      <w:r>
        <w:t>人，则食用油</w:t>
      </w:r>
      <w:r>
        <w:rPr>
          <w:spacing w:val="-16"/>
        </w:rPr>
        <w:t xml:space="preserve">用量约 </w:t>
      </w:r>
      <w:r>
        <w:rPr>
          <w:rFonts w:ascii="Times New Roman" w:hAnsi="Times New Roman" w:eastAsia="Times New Roman"/>
        </w:rPr>
        <w:t>19.95kg/d</w:t>
      </w:r>
      <w:r>
        <w:t>，</w:t>
      </w:r>
      <w:r>
        <w:rPr>
          <w:rFonts w:ascii="Times New Roman" w:hAnsi="Times New Roman" w:eastAsia="Times New Roman"/>
        </w:rPr>
        <w:t>6.58t/a</w:t>
      </w:r>
      <w:r>
        <w:rPr>
          <w:spacing w:val="-10"/>
        </w:rPr>
        <w:t xml:space="preserve">。一般油烟挥发量占耗油量的 </w:t>
      </w:r>
      <w:r>
        <w:rPr>
          <w:rFonts w:ascii="Times New Roman" w:hAnsi="Times New Roman" w:eastAsia="Times New Roman"/>
          <w:spacing w:val="-5"/>
        </w:rPr>
        <w:t>2</w:t>
      </w:r>
      <w:r>
        <w:rPr>
          <w:spacing w:val="-5"/>
        </w:rPr>
        <w:t>～</w:t>
      </w:r>
      <w:r>
        <w:rPr>
          <w:rFonts w:ascii="Times New Roman" w:hAnsi="Times New Roman" w:eastAsia="Times New Roman"/>
          <w:spacing w:val="-5"/>
        </w:rPr>
        <w:t>4%</w:t>
      </w:r>
      <w:r>
        <w:rPr>
          <w:spacing w:val="-23"/>
        </w:rPr>
        <w:t xml:space="preserve">，按 </w:t>
      </w:r>
      <w:r>
        <w:rPr>
          <w:rFonts w:ascii="Times New Roman" w:hAnsi="Times New Roman" w:eastAsia="Times New Roman"/>
        </w:rPr>
        <w:t>2.83%</w:t>
      </w:r>
      <w:r>
        <w:rPr>
          <w:spacing w:val="-7"/>
        </w:rPr>
        <w:t>计，油</w:t>
      </w:r>
      <w:r>
        <w:rPr>
          <w:spacing w:val="-19"/>
        </w:rPr>
        <w:t xml:space="preserve">烟产生量 </w:t>
      </w:r>
      <w:r>
        <w:rPr>
          <w:rFonts w:ascii="Times New Roman" w:hAnsi="Times New Roman" w:eastAsia="Times New Roman"/>
        </w:rPr>
        <w:t>0.56kg/d</w:t>
      </w:r>
      <w:r>
        <w:t>，</w:t>
      </w:r>
      <w:r>
        <w:rPr>
          <w:rFonts w:ascii="Times New Roman" w:hAnsi="Times New Roman" w:eastAsia="Times New Roman"/>
        </w:rPr>
        <w:t>0.185t/a</w:t>
      </w:r>
      <w:r>
        <w:rPr>
          <w:spacing w:val="-13"/>
        </w:rPr>
        <w:t xml:space="preserve">。按每日两餐，每餐 </w:t>
      </w:r>
      <w:r>
        <w:rPr>
          <w:rFonts w:ascii="Times New Roman" w:hAnsi="Times New Roman" w:eastAsia="Times New Roman"/>
        </w:rPr>
        <w:t xml:space="preserve">2 </w:t>
      </w:r>
      <w:r>
        <w:rPr>
          <w:spacing w:val="-5"/>
        </w:rPr>
        <w:t>小时计，则该项目油烟产生量</w:t>
      </w:r>
      <w:r>
        <w:rPr>
          <w:rFonts w:ascii="Times New Roman" w:hAnsi="Times New Roman" w:eastAsia="Times New Roman"/>
          <w:spacing w:val="-5"/>
        </w:rPr>
        <w:t>0.14kg/h</w:t>
      </w:r>
      <w:r>
        <w:rPr>
          <w:spacing w:val="-15"/>
        </w:rPr>
        <w:t xml:space="preserve">。风机风量以 </w:t>
      </w:r>
      <w:r>
        <w:rPr>
          <w:rFonts w:ascii="Times New Roman" w:hAnsi="Times New Roman" w:eastAsia="Times New Roman"/>
        </w:rPr>
        <w:t>16000m</w:t>
      </w:r>
      <w:r>
        <w:rPr>
          <w:rFonts w:ascii="Times New Roman" w:hAnsi="Times New Roman" w:eastAsia="Times New Roman"/>
          <w:position w:val="8"/>
          <w:sz w:val="15"/>
        </w:rPr>
        <w:t>3</w:t>
      </w:r>
      <w:r>
        <w:rPr>
          <w:rFonts w:ascii="Times New Roman" w:hAnsi="Times New Roman" w:eastAsia="Times New Roman"/>
        </w:rPr>
        <w:t xml:space="preserve">/h </w:t>
      </w:r>
      <w:r>
        <w:rPr>
          <w:spacing w:val="-12"/>
        </w:rPr>
        <w:t xml:space="preserve">计，油烟产生浓度 </w:t>
      </w:r>
      <w:r>
        <w:rPr>
          <w:rFonts w:ascii="Times New Roman" w:hAnsi="Times New Roman" w:eastAsia="Times New Roman"/>
        </w:rPr>
        <w:t>8.75mg/m</w:t>
      </w:r>
      <w:r>
        <w:rPr>
          <w:rFonts w:ascii="Times New Roman" w:hAnsi="Times New Roman" w:eastAsia="Times New Roman"/>
          <w:position w:val="8"/>
          <w:sz w:val="15"/>
        </w:rPr>
        <w:t>3</w:t>
      </w:r>
      <w:r>
        <w:rPr>
          <w:spacing w:val="-6"/>
        </w:rPr>
        <w:t>。为了防止油烟无</w:t>
      </w:r>
      <w:r>
        <w:rPr>
          <w:spacing w:val="-15"/>
        </w:rPr>
        <w:t xml:space="preserve">组织排放，须安装去除率 </w:t>
      </w:r>
      <w:r>
        <w:rPr>
          <w:rFonts w:ascii="Times New Roman" w:hAnsi="Times New Roman" w:eastAsia="Times New Roman"/>
        </w:rPr>
        <w:t>85%</w:t>
      </w:r>
      <w:r>
        <w:rPr>
          <w:spacing w:val="-6"/>
        </w:rPr>
        <w:t>以上的油烟净化装置，油烟经专用烟道引至屋顶排</w:t>
      </w:r>
      <w:r>
        <w:rPr>
          <w:spacing w:val="-11"/>
        </w:rPr>
        <w:t xml:space="preserve">放，净化后排放浓度为 </w:t>
      </w:r>
      <w:r>
        <w:rPr>
          <w:rFonts w:ascii="Times New Roman" w:hAnsi="Times New Roman" w:eastAsia="Times New Roman"/>
        </w:rPr>
        <w:t>1.31mg/m</w:t>
      </w:r>
      <w:r>
        <w:rPr>
          <w:rFonts w:ascii="Times New Roman" w:hAnsi="Times New Roman" w:eastAsia="Times New Roman"/>
          <w:position w:val="8"/>
          <w:sz w:val="15"/>
        </w:rPr>
        <w:t>3</w:t>
      </w:r>
      <w:r>
        <w:rPr>
          <w:spacing w:val="-12"/>
        </w:rPr>
        <w:t xml:space="preserve">，排放量为 </w:t>
      </w:r>
      <w:r>
        <w:rPr>
          <w:rFonts w:ascii="Times New Roman" w:hAnsi="Times New Roman" w:eastAsia="Times New Roman"/>
        </w:rPr>
        <w:t>27.67kg/a</w:t>
      </w:r>
      <w:r>
        <w:rPr>
          <w:spacing w:val="-4"/>
        </w:rPr>
        <w:t>，可满足《饮食业油烟排放标准（试行）》（</w:t>
      </w:r>
      <w:r>
        <w:rPr>
          <w:rFonts w:ascii="Times New Roman" w:hAnsi="Times New Roman" w:eastAsia="Times New Roman"/>
          <w:spacing w:val="-4"/>
        </w:rPr>
        <w:t>GB18483-2001</w:t>
      </w:r>
      <w:r>
        <w:rPr>
          <w:spacing w:val="-4"/>
        </w:rPr>
        <w:t>）</w:t>
      </w:r>
      <w:r>
        <w:rPr>
          <w:spacing w:val="-8"/>
        </w:rPr>
        <w:t xml:space="preserve">大型饮食业单位的排放浓度 </w:t>
      </w:r>
      <w:r>
        <w:rPr>
          <w:rFonts w:ascii="Times New Roman" w:hAnsi="Times New Roman" w:eastAsia="Times New Roman"/>
        </w:rPr>
        <w:t>2.0mg/m</w:t>
      </w:r>
      <w:r>
        <w:rPr>
          <w:rFonts w:ascii="Times New Roman" w:hAnsi="Times New Roman" w:eastAsia="Times New Roman"/>
          <w:position w:val="8"/>
          <w:sz w:val="15"/>
        </w:rPr>
        <w:t xml:space="preserve">3 </w:t>
      </w:r>
      <w:r>
        <w:t>的标</w:t>
      </w:r>
      <w:r>
        <w:rPr>
          <w:spacing w:val="-1"/>
        </w:rPr>
        <w:t>准要求，处理后的油烟废气经专用烟道通过高于所在建筑物顶部的排气筒排放。</w:t>
      </w:r>
      <w:r>
        <w:t>食堂油烟经净化后满足《饮食业油烟排放标准（</w:t>
      </w:r>
      <w:r>
        <w:rPr>
          <w:spacing w:val="2"/>
        </w:rPr>
        <w:t>试行</w:t>
      </w:r>
      <w:r>
        <w:rPr>
          <w:spacing w:val="4"/>
        </w:rPr>
        <w:t>）</w:t>
      </w:r>
      <w:r>
        <w:t>》（</w:t>
      </w:r>
      <w:r>
        <w:rPr>
          <w:rFonts w:ascii="Times New Roman" w:hAnsi="Times New Roman" w:eastAsia="Times New Roman"/>
        </w:rPr>
        <w:t>GB18483-2001</w:t>
      </w:r>
      <w:r>
        <w:t>）中标准限值。</w:t>
      </w:r>
    </w:p>
    <w:p>
      <w:pPr>
        <w:pStyle w:val="5"/>
        <w:spacing w:line="303" w:lineRule="exact"/>
        <w:ind w:left="1553" w:right="1581"/>
        <w:jc w:val="center"/>
      </w:pPr>
      <w:r>
        <w:t xml:space="preserve">表 </w:t>
      </w:r>
      <w:r>
        <w:rPr>
          <w:rFonts w:ascii="Times New Roman" w:eastAsia="Times New Roman"/>
        </w:rPr>
        <w:t xml:space="preserve">3.4-3 </w:t>
      </w:r>
      <w:r>
        <w:t>油烟废气产生与排放情况</w:t>
      </w:r>
    </w:p>
    <w:tbl>
      <w:tblPr>
        <w:tblStyle w:val="10"/>
        <w:tblW w:w="0" w:type="auto"/>
        <w:tblInd w:w="9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63"/>
        <w:gridCol w:w="1154"/>
        <w:gridCol w:w="800"/>
        <w:gridCol w:w="705"/>
        <w:gridCol w:w="1008"/>
        <w:gridCol w:w="1188"/>
        <w:gridCol w:w="896"/>
        <w:gridCol w:w="1188"/>
        <w:gridCol w:w="8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463" w:type="dxa"/>
            <w:vMerge w:val="restart"/>
          </w:tcPr>
          <w:p>
            <w:pPr>
              <w:pStyle w:val="14"/>
              <w:spacing w:before="7"/>
              <w:jc w:val="left"/>
              <w:rPr>
                <w:b/>
                <w:sz w:val="28"/>
              </w:rPr>
            </w:pPr>
          </w:p>
          <w:p>
            <w:pPr>
              <w:pStyle w:val="14"/>
              <w:ind w:left="56"/>
              <w:jc w:val="left"/>
              <w:rPr>
                <w:sz w:val="21"/>
              </w:rPr>
            </w:pPr>
            <w:r>
              <w:rPr>
                <w:sz w:val="21"/>
              </w:rPr>
              <w:t>类型</w:t>
            </w:r>
          </w:p>
        </w:tc>
        <w:tc>
          <w:tcPr>
            <w:tcW w:w="1154" w:type="dxa"/>
            <w:vMerge w:val="restart"/>
          </w:tcPr>
          <w:p>
            <w:pPr>
              <w:pStyle w:val="14"/>
              <w:jc w:val="left"/>
              <w:rPr>
                <w:b/>
                <w:sz w:val="18"/>
              </w:rPr>
            </w:pPr>
          </w:p>
          <w:p>
            <w:pPr>
              <w:pStyle w:val="14"/>
              <w:spacing w:before="1"/>
              <w:ind w:left="57"/>
              <w:jc w:val="left"/>
              <w:rPr>
                <w:sz w:val="21"/>
              </w:rPr>
            </w:pPr>
            <w:r>
              <w:rPr>
                <w:sz w:val="21"/>
              </w:rPr>
              <w:t>用油指标</w:t>
            </w:r>
          </w:p>
          <w:p>
            <w:pPr>
              <w:pStyle w:val="14"/>
              <w:spacing w:before="2"/>
              <w:ind w:left="57"/>
              <w:jc w:val="left"/>
              <w:rPr>
                <w:sz w:val="21"/>
              </w:rPr>
            </w:pPr>
            <w:r>
              <w:rPr>
                <w:sz w:val="21"/>
              </w:rPr>
              <w:t>（</w:t>
            </w:r>
            <w:r>
              <w:rPr>
                <w:rFonts w:ascii="Times New Roman" w:hAnsi="Times New Roman" w:eastAsia="Times New Roman"/>
                <w:sz w:val="21"/>
              </w:rPr>
              <w:t>kg/</w:t>
            </w:r>
            <w:r>
              <w:rPr>
                <w:sz w:val="21"/>
              </w:rPr>
              <w:t>人</w:t>
            </w:r>
            <w:r>
              <w:rPr>
                <w:rFonts w:ascii="Times New Roman" w:hAnsi="Times New Roman" w:eastAsia="Times New Roman"/>
                <w:sz w:val="21"/>
              </w:rPr>
              <w:t>·d</w:t>
            </w:r>
            <w:r>
              <w:rPr>
                <w:sz w:val="21"/>
              </w:rPr>
              <w:t>）</w:t>
            </w:r>
          </w:p>
        </w:tc>
        <w:tc>
          <w:tcPr>
            <w:tcW w:w="800" w:type="dxa"/>
            <w:vMerge w:val="restart"/>
          </w:tcPr>
          <w:p>
            <w:pPr>
              <w:pStyle w:val="14"/>
              <w:jc w:val="left"/>
              <w:rPr>
                <w:b/>
                <w:sz w:val="18"/>
              </w:rPr>
            </w:pPr>
          </w:p>
          <w:p>
            <w:pPr>
              <w:pStyle w:val="14"/>
              <w:spacing w:before="1"/>
              <w:ind w:left="55"/>
              <w:jc w:val="left"/>
              <w:rPr>
                <w:sz w:val="21"/>
              </w:rPr>
            </w:pPr>
            <w:r>
              <w:rPr>
                <w:w w:val="95"/>
                <w:sz w:val="21"/>
              </w:rPr>
              <w:t>耗油量</w:t>
            </w:r>
          </w:p>
          <w:p>
            <w:pPr>
              <w:pStyle w:val="14"/>
              <w:spacing w:before="2"/>
              <w:ind w:left="55"/>
              <w:jc w:val="left"/>
              <w:rPr>
                <w:sz w:val="21"/>
              </w:rPr>
            </w:pPr>
            <w:r>
              <w:rPr>
                <w:sz w:val="21"/>
              </w:rPr>
              <w:t>（</w:t>
            </w:r>
            <w:r>
              <w:rPr>
                <w:rFonts w:ascii="Times New Roman" w:eastAsia="Times New Roman"/>
                <w:sz w:val="21"/>
              </w:rPr>
              <w:t>t/a</w:t>
            </w:r>
            <w:r>
              <w:rPr>
                <w:sz w:val="21"/>
              </w:rPr>
              <w:t>）</w:t>
            </w:r>
          </w:p>
        </w:tc>
        <w:tc>
          <w:tcPr>
            <w:tcW w:w="705" w:type="dxa"/>
            <w:vMerge w:val="restart"/>
          </w:tcPr>
          <w:p>
            <w:pPr>
              <w:pStyle w:val="14"/>
              <w:jc w:val="left"/>
              <w:rPr>
                <w:b/>
                <w:sz w:val="18"/>
              </w:rPr>
            </w:pPr>
          </w:p>
          <w:p>
            <w:pPr>
              <w:pStyle w:val="14"/>
              <w:spacing w:before="1" w:line="242" w:lineRule="auto"/>
              <w:ind w:left="57" w:right="217"/>
              <w:jc w:val="left"/>
              <w:rPr>
                <w:sz w:val="21"/>
              </w:rPr>
            </w:pPr>
            <w:r>
              <w:rPr>
                <w:sz w:val="21"/>
              </w:rPr>
              <w:t>挥发系数</w:t>
            </w:r>
          </w:p>
        </w:tc>
        <w:tc>
          <w:tcPr>
            <w:tcW w:w="1008" w:type="dxa"/>
            <w:vMerge w:val="restart"/>
          </w:tcPr>
          <w:p>
            <w:pPr>
              <w:pStyle w:val="14"/>
              <w:jc w:val="left"/>
              <w:rPr>
                <w:b/>
                <w:sz w:val="18"/>
              </w:rPr>
            </w:pPr>
          </w:p>
          <w:p>
            <w:pPr>
              <w:pStyle w:val="14"/>
              <w:spacing w:before="1"/>
              <w:ind w:left="55"/>
              <w:jc w:val="left"/>
              <w:rPr>
                <w:sz w:val="21"/>
              </w:rPr>
            </w:pPr>
            <w:r>
              <w:rPr>
                <w:sz w:val="21"/>
              </w:rPr>
              <w:t>风量</w:t>
            </w:r>
          </w:p>
          <w:p>
            <w:pPr>
              <w:pStyle w:val="14"/>
              <w:spacing w:before="2"/>
              <w:ind w:left="55"/>
              <w:jc w:val="left"/>
              <w:rPr>
                <w:sz w:val="21"/>
              </w:rPr>
            </w:pPr>
            <w:r>
              <w:rPr>
                <w:sz w:val="21"/>
              </w:rPr>
              <w:t>（</w:t>
            </w:r>
            <w:r>
              <w:rPr>
                <w:rFonts w:ascii="Times New Roman" w:eastAsia="Times New Roman"/>
                <w:sz w:val="21"/>
              </w:rPr>
              <w:t>m</w:t>
            </w:r>
            <w:r>
              <w:rPr>
                <w:rFonts w:ascii="Times New Roman" w:eastAsia="Times New Roman"/>
                <w:position w:val="7"/>
                <w:sz w:val="13"/>
              </w:rPr>
              <w:t>3</w:t>
            </w:r>
            <w:r>
              <w:rPr>
                <w:rFonts w:ascii="Times New Roman" w:eastAsia="Times New Roman"/>
                <w:sz w:val="21"/>
              </w:rPr>
              <w:t>/h</w:t>
            </w:r>
            <w:r>
              <w:rPr>
                <w:sz w:val="21"/>
              </w:rPr>
              <w:t>）</w:t>
            </w:r>
          </w:p>
        </w:tc>
        <w:tc>
          <w:tcPr>
            <w:tcW w:w="2084" w:type="dxa"/>
            <w:gridSpan w:val="2"/>
          </w:tcPr>
          <w:p>
            <w:pPr>
              <w:pStyle w:val="14"/>
              <w:spacing w:before="90"/>
              <w:ind w:left="55"/>
              <w:jc w:val="left"/>
              <w:rPr>
                <w:sz w:val="21"/>
              </w:rPr>
            </w:pPr>
            <w:r>
              <w:rPr>
                <w:sz w:val="21"/>
              </w:rPr>
              <w:t>油烟治理前</w:t>
            </w:r>
          </w:p>
        </w:tc>
        <w:tc>
          <w:tcPr>
            <w:tcW w:w="2084" w:type="dxa"/>
            <w:gridSpan w:val="2"/>
          </w:tcPr>
          <w:p>
            <w:pPr>
              <w:pStyle w:val="14"/>
              <w:spacing w:before="90"/>
              <w:ind w:left="57"/>
              <w:jc w:val="left"/>
              <w:rPr>
                <w:sz w:val="21"/>
              </w:rPr>
            </w:pPr>
            <w:r>
              <w:rPr>
                <w:sz w:val="21"/>
              </w:rPr>
              <w:t>油烟治理后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1463" w:type="dxa"/>
            <w:vMerge w:val="continue"/>
            <w:tcBorders>
              <w:top w:val="nil"/>
            </w:tcBorders>
          </w:tcPr>
          <w:p>
            <w:pPr>
              <w:rPr>
                <w:sz w:val="2"/>
                <w:szCs w:val="2"/>
              </w:rPr>
            </w:pPr>
          </w:p>
        </w:tc>
        <w:tc>
          <w:tcPr>
            <w:tcW w:w="1154" w:type="dxa"/>
            <w:vMerge w:val="continue"/>
            <w:tcBorders>
              <w:top w:val="nil"/>
            </w:tcBorders>
          </w:tcPr>
          <w:p>
            <w:pPr>
              <w:rPr>
                <w:sz w:val="2"/>
                <w:szCs w:val="2"/>
              </w:rPr>
            </w:pPr>
          </w:p>
        </w:tc>
        <w:tc>
          <w:tcPr>
            <w:tcW w:w="800" w:type="dxa"/>
            <w:vMerge w:val="continue"/>
            <w:tcBorders>
              <w:top w:val="nil"/>
            </w:tcBorders>
          </w:tcPr>
          <w:p>
            <w:pPr>
              <w:rPr>
                <w:sz w:val="2"/>
                <w:szCs w:val="2"/>
              </w:rPr>
            </w:pPr>
          </w:p>
        </w:tc>
        <w:tc>
          <w:tcPr>
            <w:tcW w:w="705" w:type="dxa"/>
            <w:vMerge w:val="continue"/>
            <w:tcBorders>
              <w:top w:val="nil"/>
            </w:tcBorders>
          </w:tcPr>
          <w:p>
            <w:pPr>
              <w:rPr>
                <w:sz w:val="2"/>
                <w:szCs w:val="2"/>
              </w:rPr>
            </w:pPr>
          </w:p>
        </w:tc>
        <w:tc>
          <w:tcPr>
            <w:tcW w:w="1008" w:type="dxa"/>
            <w:vMerge w:val="continue"/>
            <w:tcBorders>
              <w:top w:val="nil"/>
            </w:tcBorders>
          </w:tcPr>
          <w:p>
            <w:pPr>
              <w:rPr>
                <w:sz w:val="2"/>
                <w:szCs w:val="2"/>
              </w:rPr>
            </w:pPr>
          </w:p>
        </w:tc>
        <w:tc>
          <w:tcPr>
            <w:tcW w:w="1188" w:type="dxa"/>
          </w:tcPr>
          <w:p>
            <w:pPr>
              <w:pStyle w:val="14"/>
              <w:ind w:left="55"/>
              <w:jc w:val="left"/>
              <w:rPr>
                <w:sz w:val="21"/>
              </w:rPr>
            </w:pPr>
            <w:r>
              <w:rPr>
                <w:sz w:val="21"/>
              </w:rPr>
              <w:t>浓度</w:t>
            </w:r>
          </w:p>
          <w:p>
            <w:pPr>
              <w:pStyle w:val="14"/>
              <w:spacing w:before="2" w:line="252" w:lineRule="exact"/>
              <w:ind w:left="55"/>
              <w:jc w:val="left"/>
              <w:rPr>
                <w:sz w:val="21"/>
              </w:rPr>
            </w:pPr>
            <w:r>
              <w:rPr>
                <w:sz w:val="21"/>
              </w:rPr>
              <w:t>（</w:t>
            </w:r>
            <w:r>
              <w:rPr>
                <w:rFonts w:ascii="Times New Roman" w:eastAsia="Times New Roman"/>
                <w:sz w:val="21"/>
              </w:rPr>
              <w:t>mg/m</w:t>
            </w:r>
            <w:r>
              <w:rPr>
                <w:rFonts w:ascii="Times New Roman" w:eastAsia="Times New Roman"/>
                <w:position w:val="7"/>
                <w:sz w:val="13"/>
              </w:rPr>
              <w:t>3</w:t>
            </w:r>
            <w:r>
              <w:rPr>
                <w:sz w:val="21"/>
              </w:rPr>
              <w:t>）</w:t>
            </w:r>
          </w:p>
        </w:tc>
        <w:tc>
          <w:tcPr>
            <w:tcW w:w="896" w:type="dxa"/>
          </w:tcPr>
          <w:p>
            <w:pPr>
              <w:pStyle w:val="14"/>
              <w:ind w:left="55"/>
              <w:jc w:val="left"/>
              <w:rPr>
                <w:sz w:val="21"/>
              </w:rPr>
            </w:pPr>
            <w:r>
              <w:rPr>
                <w:sz w:val="21"/>
              </w:rPr>
              <w:t>产生量</w:t>
            </w:r>
          </w:p>
          <w:p>
            <w:pPr>
              <w:pStyle w:val="14"/>
              <w:spacing w:before="2" w:line="252" w:lineRule="exact"/>
              <w:ind w:left="55"/>
              <w:jc w:val="left"/>
              <w:rPr>
                <w:sz w:val="21"/>
              </w:rPr>
            </w:pPr>
            <w:r>
              <w:rPr>
                <w:sz w:val="21"/>
              </w:rPr>
              <w:t>（</w:t>
            </w:r>
            <w:r>
              <w:rPr>
                <w:rFonts w:ascii="Times New Roman" w:eastAsia="Times New Roman"/>
                <w:sz w:val="21"/>
              </w:rPr>
              <w:t>kg/d</w:t>
            </w:r>
            <w:r>
              <w:rPr>
                <w:sz w:val="21"/>
              </w:rPr>
              <w:t>）</w:t>
            </w:r>
          </w:p>
        </w:tc>
        <w:tc>
          <w:tcPr>
            <w:tcW w:w="1188" w:type="dxa"/>
          </w:tcPr>
          <w:p>
            <w:pPr>
              <w:pStyle w:val="14"/>
              <w:ind w:left="57"/>
              <w:jc w:val="left"/>
              <w:rPr>
                <w:sz w:val="21"/>
              </w:rPr>
            </w:pPr>
            <w:r>
              <w:rPr>
                <w:sz w:val="21"/>
              </w:rPr>
              <w:t>排放浓度</w:t>
            </w:r>
          </w:p>
          <w:p>
            <w:pPr>
              <w:pStyle w:val="14"/>
              <w:spacing w:before="2" w:line="252" w:lineRule="exact"/>
              <w:ind w:left="57"/>
              <w:jc w:val="left"/>
              <w:rPr>
                <w:sz w:val="21"/>
              </w:rPr>
            </w:pPr>
            <w:r>
              <w:rPr>
                <w:sz w:val="21"/>
              </w:rPr>
              <w:t>（</w:t>
            </w:r>
            <w:r>
              <w:rPr>
                <w:rFonts w:ascii="Times New Roman" w:eastAsia="Times New Roman"/>
                <w:sz w:val="21"/>
              </w:rPr>
              <w:t>mg/m</w:t>
            </w:r>
            <w:r>
              <w:rPr>
                <w:rFonts w:ascii="Times New Roman" w:eastAsia="Times New Roman"/>
                <w:position w:val="7"/>
                <w:sz w:val="13"/>
              </w:rPr>
              <w:t>3</w:t>
            </w:r>
            <w:r>
              <w:rPr>
                <w:sz w:val="21"/>
              </w:rPr>
              <w:t>）</w:t>
            </w:r>
          </w:p>
        </w:tc>
        <w:tc>
          <w:tcPr>
            <w:tcW w:w="896" w:type="dxa"/>
          </w:tcPr>
          <w:p>
            <w:pPr>
              <w:pStyle w:val="14"/>
              <w:ind w:left="57"/>
              <w:jc w:val="left"/>
              <w:rPr>
                <w:sz w:val="21"/>
              </w:rPr>
            </w:pPr>
            <w:r>
              <w:rPr>
                <w:sz w:val="21"/>
              </w:rPr>
              <w:t>排放量</w:t>
            </w:r>
          </w:p>
          <w:p>
            <w:pPr>
              <w:pStyle w:val="14"/>
              <w:spacing w:before="2" w:line="252" w:lineRule="exact"/>
              <w:ind w:left="57"/>
              <w:jc w:val="left"/>
              <w:rPr>
                <w:sz w:val="21"/>
              </w:rPr>
            </w:pPr>
            <w:r>
              <w:rPr>
                <w:sz w:val="21"/>
              </w:rPr>
              <w:t>（</w:t>
            </w:r>
            <w:r>
              <w:rPr>
                <w:rFonts w:ascii="Times New Roman" w:eastAsia="Times New Roman"/>
                <w:sz w:val="21"/>
              </w:rPr>
              <w:t>kg/d</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463" w:type="dxa"/>
          </w:tcPr>
          <w:p>
            <w:pPr>
              <w:pStyle w:val="14"/>
              <w:spacing w:before="92"/>
              <w:ind w:left="56"/>
              <w:jc w:val="left"/>
              <w:rPr>
                <w:sz w:val="21"/>
              </w:rPr>
            </w:pPr>
            <w:r>
              <w:rPr>
                <w:sz w:val="21"/>
              </w:rPr>
              <w:t>餐厅</w:t>
            </w:r>
          </w:p>
        </w:tc>
        <w:tc>
          <w:tcPr>
            <w:tcW w:w="1154" w:type="dxa"/>
          </w:tcPr>
          <w:p>
            <w:pPr>
              <w:pStyle w:val="14"/>
              <w:spacing w:before="106"/>
              <w:ind w:left="57"/>
              <w:jc w:val="left"/>
              <w:rPr>
                <w:rFonts w:ascii="Times New Roman"/>
                <w:sz w:val="21"/>
              </w:rPr>
            </w:pPr>
            <w:r>
              <w:rPr>
                <w:rFonts w:ascii="Times New Roman"/>
                <w:sz w:val="21"/>
              </w:rPr>
              <w:t>0.03</w:t>
            </w:r>
          </w:p>
        </w:tc>
        <w:tc>
          <w:tcPr>
            <w:tcW w:w="800" w:type="dxa"/>
          </w:tcPr>
          <w:p>
            <w:pPr>
              <w:pStyle w:val="14"/>
              <w:spacing w:before="106"/>
              <w:ind w:left="55"/>
              <w:jc w:val="left"/>
              <w:rPr>
                <w:rFonts w:ascii="Times New Roman"/>
                <w:sz w:val="21"/>
              </w:rPr>
            </w:pPr>
            <w:r>
              <w:rPr>
                <w:rFonts w:ascii="Times New Roman"/>
                <w:sz w:val="21"/>
              </w:rPr>
              <w:t>6.58</w:t>
            </w:r>
          </w:p>
        </w:tc>
        <w:tc>
          <w:tcPr>
            <w:tcW w:w="705" w:type="dxa"/>
          </w:tcPr>
          <w:p>
            <w:pPr>
              <w:pStyle w:val="14"/>
              <w:spacing w:before="106"/>
              <w:ind w:left="57"/>
              <w:jc w:val="left"/>
              <w:rPr>
                <w:rFonts w:ascii="Times New Roman"/>
                <w:sz w:val="21"/>
              </w:rPr>
            </w:pPr>
            <w:r>
              <w:rPr>
                <w:rFonts w:ascii="Times New Roman"/>
                <w:sz w:val="21"/>
              </w:rPr>
              <w:t>2.83%</w:t>
            </w:r>
          </w:p>
        </w:tc>
        <w:tc>
          <w:tcPr>
            <w:tcW w:w="1008" w:type="dxa"/>
          </w:tcPr>
          <w:p>
            <w:pPr>
              <w:pStyle w:val="14"/>
              <w:spacing w:before="106"/>
              <w:ind w:left="55"/>
              <w:jc w:val="left"/>
              <w:rPr>
                <w:rFonts w:ascii="Times New Roman"/>
                <w:sz w:val="21"/>
              </w:rPr>
            </w:pPr>
            <w:r>
              <w:rPr>
                <w:rFonts w:ascii="Times New Roman"/>
                <w:sz w:val="21"/>
              </w:rPr>
              <w:t>16000</w:t>
            </w:r>
          </w:p>
        </w:tc>
        <w:tc>
          <w:tcPr>
            <w:tcW w:w="1188" w:type="dxa"/>
          </w:tcPr>
          <w:p>
            <w:pPr>
              <w:pStyle w:val="14"/>
              <w:spacing w:before="106"/>
              <w:ind w:left="55"/>
              <w:jc w:val="left"/>
              <w:rPr>
                <w:rFonts w:ascii="Times New Roman"/>
                <w:sz w:val="21"/>
              </w:rPr>
            </w:pPr>
            <w:r>
              <w:rPr>
                <w:rFonts w:ascii="Times New Roman"/>
                <w:sz w:val="21"/>
              </w:rPr>
              <w:t>8.75</w:t>
            </w:r>
          </w:p>
        </w:tc>
        <w:tc>
          <w:tcPr>
            <w:tcW w:w="896" w:type="dxa"/>
          </w:tcPr>
          <w:p>
            <w:pPr>
              <w:pStyle w:val="14"/>
              <w:spacing w:before="106"/>
              <w:ind w:left="55"/>
              <w:jc w:val="left"/>
              <w:rPr>
                <w:rFonts w:ascii="Times New Roman"/>
                <w:sz w:val="21"/>
              </w:rPr>
            </w:pPr>
            <w:r>
              <w:rPr>
                <w:rFonts w:ascii="Times New Roman"/>
                <w:sz w:val="21"/>
              </w:rPr>
              <w:t>0.56</w:t>
            </w:r>
          </w:p>
        </w:tc>
        <w:tc>
          <w:tcPr>
            <w:tcW w:w="1188" w:type="dxa"/>
          </w:tcPr>
          <w:p>
            <w:pPr>
              <w:pStyle w:val="14"/>
              <w:spacing w:before="106"/>
              <w:ind w:left="57"/>
              <w:jc w:val="left"/>
              <w:rPr>
                <w:rFonts w:ascii="Times New Roman"/>
                <w:sz w:val="21"/>
              </w:rPr>
            </w:pPr>
            <w:r>
              <w:rPr>
                <w:rFonts w:ascii="Times New Roman"/>
                <w:sz w:val="21"/>
              </w:rPr>
              <w:t>1.31</w:t>
            </w:r>
          </w:p>
        </w:tc>
        <w:tc>
          <w:tcPr>
            <w:tcW w:w="896" w:type="dxa"/>
          </w:tcPr>
          <w:p>
            <w:pPr>
              <w:pStyle w:val="14"/>
              <w:spacing w:before="106"/>
              <w:ind w:left="57"/>
              <w:jc w:val="left"/>
              <w:rPr>
                <w:rFonts w:ascii="Times New Roman"/>
                <w:sz w:val="21"/>
              </w:rPr>
            </w:pPr>
            <w:r>
              <w:rPr>
                <w:rFonts w:ascii="Times New Roman"/>
                <w:sz w:val="21"/>
              </w:rPr>
              <w:t>0.084</w:t>
            </w:r>
          </w:p>
        </w:tc>
      </w:tr>
    </w:tbl>
    <w:p>
      <w:pPr>
        <w:pStyle w:val="6"/>
        <w:rPr>
          <w:b/>
          <w:sz w:val="26"/>
        </w:rPr>
      </w:pPr>
    </w:p>
    <w:p>
      <w:pPr>
        <w:pStyle w:val="6"/>
        <w:spacing w:before="10"/>
        <w:rPr>
          <w:b/>
          <w:sz w:val="22"/>
        </w:rPr>
      </w:pPr>
    </w:p>
    <w:p>
      <w:pPr>
        <w:pStyle w:val="6"/>
        <w:ind w:left="1520"/>
      </w:pPr>
      <w:r>
        <w:t xml:space="preserve">废气污染源源强核算结果及相关参数见表 </w:t>
      </w:r>
      <w:r>
        <w:rPr>
          <w:rFonts w:ascii="Times New Roman" w:eastAsia="Times New Roman"/>
        </w:rPr>
        <w:t>3.4-4</w:t>
      </w:r>
      <w:r>
        <w:t>。</w:t>
      </w:r>
    </w:p>
    <w:p>
      <w:pPr>
        <w:spacing w:after="0"/>
        <w:sectPr>
          <w:pgSz w:w="11910" w:h="16840"/>
          <w:pgMar w:top="1080" w:right="720" w:bottom="1160" w:left="760" w:header="0" w:footer="971" w:gutter="0"/>
        </w:sectPr>
      </w:pPr>
    </w:p>
    <w:p>
      <w:pPr>
        <w:pStyle w:val="6"/>
        <w:spacing w:line="20" w:lineRule="exact"/>
        <w:ind w:left="312"/>
        <w:rPr>
          <w:sz w:val="2"/>
        </w:rPr>
      </w:pPr>
      <w:r>
        <w:rPr>
          <w:sz w:val="2"/>
        </w:rPr>
        <mc:AlternateContent>
          <mc:Choice Requires="wpg">
            <w:drawing>
              <wp:inline distT="0" distB="0" distL="114300" distR="114300">
                <wp:extent cx="8863330" cy="9525"/>
                <wp:effectExtent l="0" t="0" r="0" b="0"/>
                <wp:docPr id="124" name="组合 86"/>
                <wp:cNvGraphicFramePr/>
                <a:graphic xmlns:a="http://schemas.openxmlformats.org/drawingml/2006/main">
                  <a:graphicData uri="http://schemas.microsoft.com/office/word/2010/wordprocessingGroup">
                    <wpg:wgp>
                      <wpg:cNvGrpSpPr/>
                      <wpg:grpSpPr>
                        <a:xfrm>
                          <a:off x="0" y="0"/>
                          <a:ext cx="8863330" cy="9525"/>
                          <a:chOff x="0" y="0"/>
                          <a:chExt cx="13958" cy="15"/>
                        </a:xfrm>
                      </wpg:grpSpPr>
                      <wps:wsp>
                        <wps:cNvPr id="123" name="直线 87"/>
                        <wps:cNvSpPr/>
                        <wps:spPr>
                          <a:xfrm>
                            <a:off x="0" y="7"/>
                            <a:ext cx="13958"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86" o:spid="_x0000_s1026" o:spt="203" style="height:0.75pt;width:697.9pt;" coordsize="13958,15" o:gfxdata="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KU35L1AAAAAQBAAAPAAAAAAAAAAEAIAAAACIAAABkcnMvZG93bnJldi54&#10;bWxQSwECFAAUAAAACACHTuJArRqv+TcCAAC4BAAADgAAAAAAAAABACAAAAAjAQAAZHJzL2Uyb0Rv&#10;Yy54bWxQSwUGAAAAAAYABgBZAQAAzAUAAAAA&#10;">
                <o:lock v:ext="edit" aspectratio="f"/>
                <v:line id="直线 87" o:spid="_x0000_s1026" o:spt="20" style="position:absolute;left:0;top:7;height:0;width:13958;" filled="f" stroked="t" coordsize="21600,21600" o:gfxdata="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6iZv7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6"/>
        <w:rPr>
          <w:sz w:val="20"/>
        </w:rPr>
      </w:pPr>
    </w:p>
    <w:p>
      <w:pPr>
        <w:pStyle w:val="6"/>
        <w:rPr>
          <w:sz w:val="20"/>
        </w:rPr>
      </w:pPr>
    </w:p>
    <w:p>
      <w:pPr>
        <w:pStyle w:val="6"/>
        <w:spacing w:before="9"/>
        <w:rPr>
          <w:sz w:val="16"/>
        </w:rPr>
      </w:pPr>
    </w:p>
    <w:p>
      <w:pPr>
        <w:pStyle w:val="5"/>
        <w:spacing w:before="74"/>
        <w:ind w:left="4508" w:right="4491"/>
        <w:jc w:val="center"/>
      </w:pPr>
      <w:r>
        <w:t xml:space="preserve">表 </w:t>
      </w:r>
      <w:r>
        <w:rPr>
          <w:rFonts w:ascii="Times New Roman" w:eastAsia="Times New Roman"/>
        </w:rPr>
        <w:t xml:space="preserve">3.4-4  </w:t>
      </w:r>
      <w:r>
        <w:t>废气污染源源强核算结果及相关参数一览表</w:t>
      </w:r>
    </w:p>
    <w:p>
      <w:pPr>
        <w:pStyle w:val="6"/>
        <w:rPr>
          <w:b/>
          <w:sz w:val="20"/>
        </w:rPr>
      </w:pPr>
    </w:p>
    <w:p>
      <w:pPr>
        <w:pStyle w:val="6"/>
        <w:spacing w:before="1"/>
        <w:rPr>
          <w:b/>
          <w:sz w:val="10"/>
        </w:rPr>
      </w:pPr>
    </w:p>
    <w:tbl>
      <w:tblPr>
        <w:tblStyle w:val="10"/>
        <w:tblW w:w="0" w:type="auto"/>
        <w:tblInd w:w="13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64"/>
        <w:gridCol w:w="1323"/>
        <w:gridCol w:w="677"/>
        <w:gridCol w:w="1038"/>
        <w:gridCol w:w="1037"/>
        <w:gridCol w:w="1038"/>
        <w:gridCol w:w="1039"/>
        <w:gridCol w:w="1370"/>
        <w:gridCol w:w="914"/>
        <w:gridCol w:w="898"/>
        <w:gridCol w:w="898"/>
        <w:gridCol w:w="897"/>
        <w:gridCol w:w="899"/>
        <w:gridCol w:w="879"/>
        <w:gridCol w:w="87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564" w:type="dxa"/>
            <w:vMerge w:val="restart"/>
            <w:tcBorders>
              <w:bottom w:val="single" w:color="000000" w:sz="4" w:space="0"/>
              <w:right w:val="single" w:color="000000" w:sz="4" w:space="0"/>
            </w:tcBorders>
          </w:tcPr>
          <w:p>
            <w:pPr>
              <w:pStyle w:val="14"/>
              <w:spacing w:before="43" w:line="324" w:lineRule="auto"/>
              <w:ind w:left="190" w:right="176"/>
              <w:jc w:val="both"/>
              <w:rPr>
                <w:sz w:val="18"/>
              </w:rPr>
            </w:pPr>
            <w:r>
              <w:rPr>
                <w:sz w:val="18"/>
              </w:rPr>
              <w:t>污染物类</w:t>
            </w:r>
          </w:p>
          <w:p>
            <w:pPr>
              <w:pStyle w:val="14"/>
              <w:spacing w:before="2"/>
              <w:ind w:left="190"/>
              <w:jc w:val="left"/>
              <w:rPr>
                <w:sz w:val="18"/>
              </w:rPr>
            </w:pPr>
            <w:r>
              <w:rPr>
                <w:sz w:val="18"/>
              </w:rPr>
              <w:t>别</w:t>
            </w:r>
          </w:p>
        </w:tc>
        <w:tc>
          <w:tcPr>
            <w:tcW w:w="1323" w:type="dxa"/>
            <w:vMerge w:val="restart"/>
            <w:tcBorders>
              <w:left w:val="single" w:color="000000" w:sz="4" w:space="0"/>
              <w:bottom w:val="single" w:color="000000" w:sz="4" w:space="0"/>
              <w:right w:val="single" w:color="000000" w:sz="4" w:space="0"/>
            </w:tcBorders>
          </w:tcPr>
          <w:p>
            <w:pPr>
              <w:pStyle w:val="14"/>
              <w:jc w:val="left"/>
              <w:rPr>
                <w:b/>
                <w:sz w:val="18"/>
              </w:rPr>
            </w:pPr>
          </w:p>
          <w:p>
            <w:pPr>
              <w:pStyle w:val="14"/>
              <w:jc w:val="left"/>
              <w:rPr>
                <w:b/>
                <w:sz w:val="18"/>
              </w:rPr>
            </w:pPr>
          </w:p>
          <w:p>
            <w:pPr>
              <w:pStyle w:val="14"/>
              <w:jc w:val="left"/>
              <w:rPr>
                <w:b/>
                <w:sz w:val="16"/>
              </w:rPr>
            </w:pPr>
          </w:p>
          <w:p>
            <w:pPr>
              <w:pStyle w:val="14"/>
              <w:ind w:left="395"/>
              <w:jc w:val="left"/>
              <w:rPr>
                <w:sz w:val="18"/>
              </w:rPr>
            </w:pPr>
            <w:r>
              <w:rPr>
                <w:sz w:val="18"/>
              </w:rPr>
              <w:t>污染源</w:t>
            </w:r>
          </w:p>
        </w:tc>
        <w:tc>
          <w:tcPr>
            <w:tcW w:w="677" w:type="dxa"/>
            <w:vMerge w:val="restart"/>
            <w:tcBorders>
              <w:left w:val="single" w:color="000000" w:sz="4" w:space="0"/>
              <w:bottom w:val="single" w:color="000000" w:sz="4" w:space="0"/>
              <w:right w:val="single" w:color="000000" w:sz="4" w:space="0"/>
            </w:tcBorders>
          </w:tcPr>
          <w:p>
            <w:pPr>
              <w:pStyle w:val="14"/>
              <w:jc w:val="left"/>
              <w:rPr>
                <w:b/>
                <w:sz w:val="18"/>
              </w:rPr>
            </w:pPr>
          </w:p>
          <w:p>
            <w:pPr>
              <w:pStyle w:val="14"/>
              <w:spacing w:before="11"/>
              <w:jc w:val="left"/>
              <w:rPr>
                <w:b/>
                <w:sz w:val="21"/>
              </w:rPr>
            </w:pPr>
          </w:p>
          <w:p>
            <w:pPr>
              <w:pStyle w:val="14"/>
              <w:spacing w:line="324" w:lineRule="auto"/>
              <w:ind w:left="252" w:right="143" w:hanging="92"/>
              <w:jc w:val="left"/>
              <w:rPr>
                <w:sz w:val="18"/>
              </w:rPr>
            </w:pPr>
            <w:r>
              <w:rPr>
                <w:sz w:val="18"/>
              </w:rPr>
              <w:t>污染物</w:t>
            </w:r>
          </w:p>
        </w:tc>
        <w:tc>
          <w:tcPr>
            <w:tcW w:w="4152" w:type="dxa"/>
            <w:gridSpan w:val="4"/>
            <w:tcBorders>
              <w:left w:val="single" w:color="000000" w:sz="4" w:space="0"/>
              <w:bottom w:val="single" w:color="000000" w:sz="4" w:space="0"/>
              <w:right w:val="single" w:color="000000" w:sz="4" w:space="0"/>
            </w:tcBorders>
          </w:tcPr>
          <w:p>
            <w:pPr>
              <w:pStyle w:val="14"/>
              <w:spacing w:before="43"/>
              <w:ind w:left="1430" w:right="1412"/>
              <w:rPr>
                <w:sz w:val="18"/>
              </w:rPr>
            </w:pPr>
            <w:r>
              <w:rPr>
                <w:sz w:val="18"/>
              </w:rPr>
              <w:t>污染物产生情况</w:t>
            </w:r>
          </w:p>
        </w:tc>
        <w:tc>
          <w:tcPr>
            <w:tcW w:w="2284" w:type="dxa"/>
            <w:gridSpan w:val="2"/>
            <w:tcBorders>
              <w:left w:val="single" w:color="000000" w:sz="4" w:space="0"/>
              <w:bottom w:val="single" w:color="000000" w:sz="4" w:space="0"/>
              <w:right w:val="single" w:color="000000" w:sz="4" w:space="0"/>
            </w:tcBorders>
          </w:tcPr>
          <w:p>
            <w:pPr>
              <w:pStyle w:val="14"/>
              <w:spacing w:before="43"/>
              <w:ind w:left="492" w:right="476"/>
              <w:rPr>
                <w:sz w:val="18"/>
              </w:rPr>
            </w:pPr>
            <w:r>
              <w:rPr>
                <w:sz w:val="18"/>
              </w:rPr>
              <w:t>治理措施</w:t>
            </w:r>
          </w:p>
        </w:tc>
        <w:tc>
          <w:tcPr>
            <w:tcW w:w="3592" w:type="dxa"/>
            <w:gridSpan w:val="4"/>
            <w:tcBorders>
              <w:left w:val="single" w:color="000000" w:sz="4" w:space="0"/>
              <w:bottom w:val="single" w:color="000000" w:sz="4" w:space="0"/>
              <w:right w:val="single" w:color="000000" w:sz="4" w:space="0"/>
            </w:tcBorders>
          </w:tcPr>
          <w:p>
            <w:pPr>
              <w:pStyle w:val="14"/>
              <w:spacing w:before="43"/>
              <w:ind w:left="1170"/>
              <w:jc w:val="left"/>
              <w:rPr>
                <w:sz w:val="18"/>
              </w:rPr>
            </w:pPr>
            <w:r>
              <w:rPr>
                <w:sz w:val="18"/>
              </w:rPr>
              <w:t>污染物排放情况</w:t>
            </w:r>
          </w:p>
        </w:tc>
        <w:tc>
          <w:tcPr>
            <w:tcW w:w="879" w:type="dxa"/>
            <w:vMerge w:val="restart"/>
            <w:tcBorders>
              <w:left w:val="single" w:color="000000" w:sz="4" w:space="0"/>
              <w:bottom w:val="single" w:color="000000" w:sz="4" w:space="0"/>
              <w:right w:val="single" w:color="000000" w:sz="4" w:space="0"/>
            </w:tcBorders>
          </w:tcPr>
          <w:p>
            <w:pPr>
              <w:pStyle w:val="14"/>
              <w:jc w:val="left"/>
              <w:rPr>
                <w:b/>
                <w:sz w:val="18"/>
              </w:rPr>
            </w:pPr>
          </w:p>
          <w:p>
            <w:pPr>
              <w:pStyle w:val="14"/>
              <w:spacing w:before="11"/>
              <w:jc w:val="left"/>
              <w:rPr>
                <w:b/>
                <w:sz w:val="21"/>
              </w:rPr>
            </w:pPr>
          </w:p>
          <w:p>
            <w:pPr>
              <w:pStyle w:val="14"/>
              <w:ind w:left="263"/>
              <w:jc w:val="left"/>
              <w:rPr>
                <w:sz w:val="18"/>
              </w:rPr>
            </w:pPr>
            <w:r>
              <w:rPr>
                <w:sz w:val="18"/>
              </w:rPr>
              <w:t>标准</w:t>
            </w:r>
          </w:p>
          <w:p>
            <w:pPr>
              <w:pStyle w:val="14"/>
              <w:spacing w:before="91"/>
              <w:ind w:left="203"/>
              <w:jc w:val="left"/>
              <w:rPr>
                <w:rFonts w:ascii="Times New Roman"/>
                <w:sz w:val="11"/>
              </w:rPr>
            </w:pPr>
            <w:r>
              <w:rPr>
                <w:rFonts w:ascii="Times New Roman"/>
                <w:sz w:val="18"/>
              </w:rPr>
              <w:t>mg/m</w:t>
            </w:r>
            <w:r>
              <w:rPr>
                <w:rFonts w:ascii="Times New Roman"/>
                <w:position w:val="6"/>
                <w:sz w:val="11"/>
              </w:rPr>
              <w:t>3</w:t>
            </w:r>
          </w:p>
        </w:tc>
        <w:tc>
          <w:tcPr>
            <w:tcW w:w="879" w:type="dxa"/>
            <w:vMerge w:val="restart"/>
            <w:tcBorders>
              <w:left w:val="single" w:color="000000" w:sz="4" w:space="0"/>
              <w:bottom w:val="single" w:color="000000" w:sz="4" w:space="0"/>
            </w:tcBorders>
          </w:tcPr>
          <w:p>
            <w:pPr>
              <w:pStyle w:val="14"/>
              <w:jc w:val="left"/>
              <w:rPr>
                <w:b/>
                <w:sz w:val="20"/>
              </w:rPr>
            </w:pPr>
          </w:p>
          <w:p>
            <w:pPr>
              <w:pStyle w:val="14"/>
              <w:spacing w:before="11"/>
              <w:jc w:val="left"/>
              <w:rPr>
                <w:b/>
                <w:sz w:val="19"/>
              </w:rPr>
            </w:pPr>
          </w:p>
          <w:p>
            <w:pPr>
              <w:pStyle w:val="14"/>
              <w:spacing w:line="324" w:lineRule="auto"/>
              <w:ind w:left="287" w:right="147" w:hanging="113"/>
              <w:jc w:val="left"/>
              <w:rPr>
                <w:rFonts w:ascii="Times New Roman" w:eastAsia="Times New Roman"/>
                <w:sz w:val="18"/>
              </w:rPr>
            </w:pPr>
            <w:r>
              <w:rPr>
                <w:sz w:val="18"/>
              </w:rPr>
              <w:t>排放时间</w:t>
            </w:r>
            <w:r>
              <w:rPr>
                <w:rFonts w:ascii="Times New Roman" w:eastAsia="Times New Roman"/>
                <w:sz w:val="18"/>
              </w:rPr>
              <w:t>h</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35" w:hRule="atLeast"/>
        </w:trPr>
        <w:tc>
          <w:tcPr>
            <w:tcW w:w="564" w:type="dxa"/>
            <w:vMerge w:val="continue"/>
            <w:tcBorders>
              <w:top w:val="nil"/>
              <w:bottom w:val="single" w:color="000000" w:sz="4" w:space="0"/>
              <w:right w:val="single" w:color="000000" w:sz="4" w:space="0"/>
            </w:tcBorders>
          </w:tcPr>
          <w:p>
            <w:pPr>
              <w:rPr>
                <w:sz w:val="2"/>
                <w:szCs w:val="2"/>
              </w:rPr>
            </w:pPr>
          </w:p>
        </w:tc>
        <w:tc>
          <w:tcPr>
            <w:tcW w:w="1323" w:type="dxa"/>
            <w:vMerge w:val="continue"/>
            <w:tcBorders>
              <w:top w:val="nil"/>
              <w:left w:val="single" w:color="000000" w:sz="4" w:space="0"/>
              <w:bottom w:val="single" w:color="000000" w:sz="4" w:space="0"/>
              <w:right w:val="single" w:color="000000" w:sz="4" w:space="0"/>
            </w:tcBorders>
          </w:tcPr>
          <w:p>
            <w:pPr>
              <w:rPr>
                <w:sz w:val="2"/>
                <w:szCs w:val="2"/>
              </w:rPr>
            </w:pPr>
          </w:p>
        </w:tc>
        <w:tc>
          <w:tcPr>
            <w:tcW w:w="677" w:type="dxa"/>
            <w:vMerge w:val="continue"/>
            <w:tcBorders>
              <w:top w:val="nil"/>
              <w:left w:val="single" w:color="000000" w:sz="4" w:space="0"/>
              <w:bottom w:val="single" w:color="000000" w:sz="4" w:space="0"/>
              <w:right w:val="single" w:color="000000" w:sz="4" w:space="0"/>
            </w:tcBorders>
          </w:tcPr>
          <w:p>
            <w:pPr>
              <w:rPr>
                <w:sz w:val="2"/>
                <w:szCs w:val="2"/>
              </w:rPr>
            </w:pPr>
          </w:p>
        </w:tc>
        <w:tc>
          <w:tcPr>
            <w:tcW w:w="1038" w:type="dxa"/>
            <w:tcBorders>
              <w:top w:val="single" w:color="000000" w:sz="4" w:space="0"/>
              <w:left w:val="single" w:color="000000" w:sz="4" w:space="0"/>
              <w:bottom w:val="single" w:color="000000" w:sz="4" w:space="0"/>
              <w:right w:val="single" w:color="000000" w:sz="4" w:space="0"/>
            </w:tcBorders>
          </w:tcPr>
          <w:p>
            <w:pPr>
              <w:pStyle w:val="14"/>
              <w:jc w:val="left"/>
              <w:rPr>
                <w:b/>
                <w:sz w:val="18"/>
              </w:rPr>
            </w:pPr>
          </w:p>
          <w:p>
            <w:pPr>
              <w:pStyle w:val="14"/>
              <w:spacing w:before="116" w:line="324" w:lineRule="auto"/>
              <w:ind w:left="343" w:right="322"/>
              <w:jc w:val="left"/>
              <w:rPr>
                <w:sz w:val="18"/>
              </w:rPr>
            </w:pPr>
            <w:r>
              <w:rPr>
                <w:sz w:val="18"/>
              </w:rPr>
              <w:t>核算方法</w:t>
            </w:r>
          </w:p>
        </w:tc>
        <w:tc>
          <w:tcPr>
            <w:tcW w:w="1037" w:type="dxa"/>
            <w:tcBorders>
              <w:top w:val="single" w:color="000000" w:sz="4" w:space="0"/>
              <w:left w:val="single" w:color="000000" w:sz="4" w:space="0"/>
              <w:bottom w:val="single" w:color="000000" w:sz="4" w:space="0"/>
              <w:right w:val="single" w:color="000000" w:sz="4" w:space="0"/>
            </w:tcBorders>
          </w:tcPr>
          <w:p>
            <w:pPr>
              <w:pStyle w:val="14"/>
              <w:jc w:val="left"/>
              <w:rPr>
                <w:b/>
                <w:sz w:val="18"/>
              </w:rPr>
            </w:pPr>
          </w:p>
          <w:p>
            <w:pPr>
              <w:pStyle w:val="14"/>
              <w:spacing w:before="116"/>
              <w:ind w:left="231" w:right="216"/>
              <w:rPr>
                <w:sz w:val="18"/>
              </w:rPr>
            </w:pPr>
            <w:r>
              <w:rPr>
                <w:sz w:val="18"/>
              </w:rPr>
              <w:t>废气量</w:t>
            </w:r>
          </w:p>
          <w:p>
            <w:pPr>
              <w:pStyle w:val="14"/>
              <w:spacing w:before="93"/>
              <w:ind w:left="231" w:right="212"/>
              <w:rPr>
                <w:rFonts w:ascii="Times New Roman"/>
                <w:sz w:val="18"/>
              </w:rPr>
            </w:pPr>
            <w:r>
              <w:rPr>
                <w:rFonts w:ascii="Times New Roman"/>
                <w:sz w:val="18"/>
              </w:rPr>
              <w:t>m</w:t>
            </w:r>
            <w:r>
              <w:rPr>
                <w:rFonts w:ascii="Times New Roman"/>
                <w:position w:val="6"/>
                <w:sz w:val="11"/>
              </w:rPr>
              <w:t>3</w:t>
            </w:r>
            <w:r>
              <w:rPr>
                <w:rFonts w:ascii="Times New Roman"/>
                <w:sz w:val="18"/>
              </w:rPr>
              <w:t>/h</w:t>
            </w:r>
          </w:p>
        </w:tc>
        <w:tc>
          <w:tcPr>
            <w:tcW w:w="1038" w:type="dxa"/>
            <w:tcBorders>
              <w:top w:val="single" w:color="000000" w:sz="4" w:space="0"/>
              <w:left w:val="single" w:color="000000" w:sz="4" w:space="0"/>
              <w:bottom w:val="single" w:color="000000" w:sz="4" w:space="0"/>
              <w:right w:val="single" w:color="000000" w:sz="4" w:space="0"/>
            </w:tcBorders>
          </w:tcPr>
          <w:p>
            <w:pPr>
              <w:pStyle w:val="14"/>
              <w:jc w:val="left"/>
              <w:rPr>
                <w:b/>
                <w:sz w:val="18"/>
              </w:rPr>
            </w:pPr>
          </w:p>
          <w:p>
            <w:pPr>
              <w:pStyle w:val="14"/>
              <w:spacing w:before="116"/>
              <w:ind w:left="140" w:right="124"/>
              <w:rPr>
                <w:sz w:val="18"/>
              </w:rPr>
            </w:pPr>
            <w:r>
              <w:rPr>
                <w:sz w:val="18"/>
              </w:rPr>
              <w:t>产生浓度</w:t>
            </w:r>
          </w:p>
          <w:p>
            <w:pPr>
              <w:pStyle w:val="14"/>
              <w:spacing w:before="93"/>
              <w:ind w:left="142" w:right="123"/>
              <w:rPr>
                <w:rFonts w:ascii="Times New Roman"/>
                <w:sz w:val="11"/>
              </w:rPr>
            </w:pPr>
            <w:r>
              <w:rPr>
                <w:rFonts w:ascii="Times New Roman"/>
                <w:sz w:val="18"/>
              </w:rPr>
              <w:t>mg/m</w:t>
            </w:r>
            <w:r>
              <w:rPr>
                <w:rFonts w:ascii="Times New Roman"/>
                <w:position w:val="6"/>
                <w:sz w:val="11"/>
              </w:rPr>
              <w:t>3</w:t>
            </w:r>
          </w:p>
        </w:tc>
        <w:tc>
          <w:tcPr>
            <w:tcW w:w="1039" w:type="dxa"/>
            <w:tcBorders>
              <w:top w:val="single" w:color="000000" w:sz="4" w:space="0"/>
              <w:left w:val="single" w:color="000000" w:sz="4" w:space="0"/>
              <w:bottom w:val="single" w:color="000000" w:sz="4" w:space="0"/>
              <w:right w:val="single" w:color="000000" w:sz="4" w:space="0"/>
            </w:tcBorders>
          </w:tcPr>
          <w:p>
            <w:pPr>
              <w:pStyle w:val="14"/>
              <w:jc w:val="left"/>
              <w:rPr>
                <w:b/>
                <w:sz w:val="20"/>
              </w:rPr>
            </w:pPr>
          </w:p>
          <w:p>
            <w:pPr>
              <w:pStyle w:val="14"/>
              <w:spacing w:before="2"/>
              <w:jc w:val="left"/>
              <w:rPr>
                <w:b/>
                <w:sz w:val="19"/>
              </w:rPr>
            </w:pPr>
          </w:p>
          <w:p>
            <w:pPr>
              <w:pStyle w:val="14"/>
              <w:spacing w:before="1"/>
              <w:ind w:left="100" w:right="79"/>
              <w:rPr>
                <w:rFonts w:ascii="Times New Roman" w:eastAsia="Times New Roman"/>
                <w:sz w:val="18"/>
              </w:rPr>
            </w:pPr>
            <w:r>
              <w:rPr>
                <w:sz w:val="18"/>
              </w:rPr>
              <w:t xml:space="preserve">产生量 </w:t>
            </w:r>
            <w:r>
              <w:rPr>
                <w:rFonts w:ascii="Times New Roman" w:eastAsia="Times New Roman"/>
                <w:sz w:val="18"/>
              </w:rPr>
              <w:t>t/a</w:t>
            </w:r>
          </w:p>
        </w:tc>
        <w:tc>
          <w:tcPr>
            <w:tcW w:w="1370" w:type="dxa"/>
            <w:tcBorders>
              <w:top w:val="single" w:color="000000" w:sz="4" w:space="0"/>
              <w:left w:val="single" w:color="000000" w:sz="4" w:space="0"/>
              <w:bottom w:val="single" w:color="000000" w:sz="4" w:space="0"/>
              <w:right w:val="single" w:color="000000" w:sz="4" w:space="0"/>
            </w:tcBorders>
          </w:tcPr>
          <w:p>
            <w:pPr>
              <w:pStyle w:val="14"/>
              <w:jc w:val="left"/>
              <w:rPr>
                <w:b/>
                <w:sz w:val="18"/>
              </w:rPr>
            </w:pPr>
          </w:p>
          <w:p>
            <w:pPr>
              <w:pStyle w:val="14"/>
              <w:spacing w:before="2"/>
              <w:jc w:val="left"/>
              <w:rPr>
                <w:b/>
                <w:sz w:val="21"/>
              </w:rPr>
            </w:pPr>
          </w:p>
          <w:p>
            <w:pPr>
              <w:pStyle w:val="14"/>
              <w:spacing w:before="1"/>
              <w:ind w:left="129" w:right="111"/>
              <w:rPr>
                <w:sz w:val="18"/>
              </w:rPr>
            </w:pPr>
            <w:r>
              <w:rPr>
                <w:sz w:val="18"/>
              </w:rPr>
              <w:t>工艺</w:t>
            </w:r>
          </w:p>
        </w:tc>
        <w:tc>
          <w:tcPr>
            <w:tcW w:w="914" w:type="dxa"/>
            <w:tcBorders>
              <w:top w:val="single" w:color="000000" w:sz="4" w:space="0"/>
              <w:left w:val="single" w:color="000000" w:sz="4" w:space="0"/>
              <w:bottom w:val="single" w:color="000000" w:sz="4" w:space="0"/>
              <w:right w:val="single" w:color="000000" w:sz="4" w:space="0"/>
            </w:tcBorders>
          </w:tcPr>
          <w:p>
            <w:pPr>
              <w:pStyle w:val="14"/>
              <w:jc w:val="left"/>
              <w:rPr>
                <w:b/>
                <w:sz w:val="20"/>
              </w:rPr>
            </w:pPr>
          </w:p>
          <w:p>
            <w:pPr>
              <w:pStyle w:val="14"/>
              <w:spacing w:before="2"/>
              <w:jc w:val="left"/>
              <w:rPr>
                <w:b/>
                <w:sz w:val="19"/>
              </w:rPr>
            </w:pPr>
          </w:p>
          <w:p>
            <w:pPr>
              <w:pStyle w:val="14"/>
              <w:spacing w:before="1"/>
              <w:ind w:left="187" w:right="167"/>
              <w:rPr>
                <w:rFonts w:ascii="Times New Roman" w:eastAsia="Times New Roman"/>
                <w:sz w:val="18"/>
              </w:rPr>
            </w:pPr>
            <w:r>
              <w:rPr>
                <w:sz w:val="18"/>
              </w:rPr>
              <w:t>效率</w:t>
            </w:r>
            <w:r>
              <w:rPr>
                <w:rFonts w:ascii="Times New Roman" w:eastAsia="Times New Roman"/>
                <w:sz w:val="18"/>
              </w:rPr>
              <w:t>%</w:t>
            </w:r>
          </w:p>
        </w:tc>
        <w:tc>
          <w:tcPr>
            <w:tcW w:w="898" w:type="dxa"/>
            <w:tcBorders>
              <w:top w:val="single" w:color="000000" w:sz="4" w:space="0"/>
              <w:left w:val="single" w:color="000000" w:sz="4" w:space="0"/>
              <w:bottom w:val="single" w:color="000000" w:sz="4" w:space="0"/>
              <w:right w:val="single" w:color="000000" w:sz="4" w:space="0"/>
            </w:tcBorders>
          </w:tcPr>
          <w:p>
            <w:pPr>
              <w:pStyle w:val="14"/>
              <w:jc w:val="left"/>
              <w:rPr>
                <w:b/>
                <w:sz w:val="18"/>
              </w:rPr>
            </w:pPr>
          </w:p>
          <w:p>
            <w:pPr>
              <w:pStyle w:val="14"/>
              <w:spacing w:before="116"/>
              <w:ind w:left="183"/>
              <w:jc w:val="left"/>
              <w:rPr>
                <w:sz w:val="18"/>
              </w:rPr>
            </w:pPr>
            <w:r>
              <w:rPr>
                <w:sz w:val="18"/>
              </w:rPr>
              <w:t>废气量</w:t>
            </w:r>
          </w:p>
          <w:p>
            <w:pPr>
              <w:pStyle w:val="14"/>
              <w:spacing w:before="93"/>
              <w:ind w:left="224"/>
              <w:jc w:val="left"/>
              <w:rPr>
                <w:rFonts w:ascii="Times New Roman"/>
                <w:sz w:val="18"/>
              </w:rPr>
            </w:pPr>
            <w:r>
              <w:rPr>
                <w:rFonts w:ascii="Times New Roman"/>
                <w:sz w:val="18"/>
              </w:rPr>
              <w:t>(m</w:t>
            </w:r>
            <w:r>
              <w:rPr>
                <w:rFonts w:ascii="Times New Roman"/>
                <w:position w:val="6"/>
                <w:sz w:val="11"/>
              </w:rPr>
              <w:t>3</w:t>
            </w:r>
            <w:r>
              <w:rPr>
                <w:rFonts w:ascii="Times New Roman"/>
                <w:sz w:val="18"/>
              </w:rPr>
              <w:t>/h)</w:t>
            </w:r>
          </w:p>
        </w:tc>
        <w:tc>
          <w:tcPr>
            <w:tcW w:w="898" w:type="dxa"/>
            <w:tcBorders>
              <w:top w:val="single" w:color="000000" w:sz="4" w:space="0"/>
              <w:left w:val="single" w:color="000000" w:sz="4" w:space="0"/>
              <w:bottom w:val="single" w:color="000000" w:sz="4" w:space="0"/>
              <w:right w:val="single" w:color="000000" w:sz="4" w:space="0"/>
            </w:tcBorders>
          </w:tcPr>
          <w:p>
            <w:pPr>
              <w:pStyle w:val="14"/>
              <w:jc w:val="left"/>
              <w:rPr>
                <w:b/>
                <w:sz w:val="27"/>
              </w:rPr>
            </w:pPr>
          </w:p>
          <w:p>
            <w:pPr>
              <w:pStyle w:val="14"/>
              <w:spacing w:line="324" w:lineRule="auto"/>
              <w:ind w:left="111" w:right="93" w:firstLine="72"/>
              <w:jc w:val="left"/>
              <w:rPr>
                <w:rFonts w:ascii="Times New Roman" w:eastAsia="Times New Roman"/>
                <w:sz w:val="11"/>
              </w:rPr>
            </w:pPr>
            <w:r>
              <w:rPr>
                <w:sz w:val="18"/>
              </w:rPr>
              <w:t>排放浓度</w:t>
            </w:r>
            <w:r>
              <w:rPr>
                <w:rFonts w:ascii="Times New Roman" w:eastAsia="Times New Roman"/>
                <w:sz w:val="18"/>
              </w:rPr>
              <w:t>mg/m</w:t>
            </w:r>
            <w:r>
              <w:rPr>
                <w:rFonts w:ascii="Times New Roman" w:eastAsia="Times New Roman"/>
                <w:position w:val="6"/>
                <w:sz w:val="11"/>
              </w:rPr>
              <w:t>3</w:t>
            </w:r>
          </w:p>
        </w:tc>
        <w:tc>
          <w:tcPr>
            <w:tcW w:w="897" w:type="dxa"/>
            <w:tcBorders>
              <w:top w:val="single" w:color="000000" w:sz="4" w:space="0"/>
              <w:left w:val="single" w:color="000000" w:sz="4" w:space="0"/>
              <w:bottom w:val="single" w:color="000000" w:sz="4" w:space="0"/>
              <w:right w:val="single" w:color="000000" w:sz="4" w:space="0"/>
            </w:tcBorders>
          </w:tcPr>
          <w:p>
            <w:pPr>
              <w:pStyle w:val="14"/>
              <w:jc w:val="left"/>
              <w:rPr>
                <w:b/>
                <w:sz w:val="27"/>
              </w:rPr>
            </w:pPr>
          </w:p>
          <w:p>
            <w:pPr>
              <w:pStyle w:val="14"/>
              <w:spacing w:line="324" w:lineRule="auto"/>
              <w:ind w:left="180" w:right="98" w:firstLine="2"/>
              <w:jc w:val="left"/>
              <w:rPr>
                <w:rFonts w:ascii="Times New Roman" w:eastAsia="Times New Roman"/>
                <w:sz w:val="18"/>
              </w:rPr>
            </w:pPr>
            <w:r>
              <w:rPr>
                <w:sz w:val="18"/>
              </w:rPr>
              <w:t xml:space="preserve">排放速率 </w:t>
            </w:r>
            <w:r>
              <w:rPr>
                <w:rFonts w:ascii="Times New Roman" w:eastAsia="Times New Roman"/>
                <w:sz w:val="18"/>
              </w:rPr>
              <w:t>kg/h</w:t>
            </w:r>
          </w:p>
        </w:tc>
        <w:tc>
          <w:tcPr>
            <w:tcW w:w="899" w:type="dxa"/>
            <w:tcBorders>
              <w:top w:val="single" w:color="000000" w:sz="4" w:space="0"/>
              <w:left w:val="single" w:color="000000" w:sz="4" w:space="0"/>
              <w:bottom w:val="single" w:color="000000" w:sz="4" w:space="0"/>
              <w:right w:val="single" w:color="000000" w:sz="4" w:space="0"/>
            </w:tcBorders>
          </w:tcPr>
          <w:p>
            <w:pPr>
              <w:pStyle w:val="14"/>
              <w:jc w:val="left"/>
              <w:rPr>
                <w:b/>
                <w:sz w:val="18"/>
              </w:rPr>
            </w:pPr>
          </w:p>
          <w:p>
            <w:pPr>
              <w:pStyle w:val="14"/>
              <w:spacing w:before="116"/>
              <w:ind w:left="163" w:right="145"/>
              <w:rPr>
                <w:sz w:val="18"/>
              </w:rPr>
            </w:pPr>
            <w:r>
              <w:rPr>
                <w:sz w:val="18"/>
              </w:rPr>
              <w:t>排放量</w:t>
            </w:r>
          </w:p>
          <w:p>
            <w:pPr>
              <w:pStyle w:val="14"/>
              <w:spacing w:before="93"/>
              <w:ind w:left="163" w:right="145"/>
              <w:rPr>
                <w:rFonts w:ascii="Times New Roman"/>
                <w:sz w:val="18"/>
              </w:rPr>
            </w:pPr>
            <w:r>
              <w:rPr>
                <w:rFonts w:ascii="Times New Roman"/>
                <w:sz w:val="18"/>
              </w:rPr>
              <w:t>t/a</w:t>
            </w:r>
          </w:p>
        </w:tc>
        <w:tc>
          <w:tcPr>
            <w:tcW w:w="879" w:type="dxa"/>
            <w:vMerge w:val="continue"/>
            <w:tcBorders>
              <w:top w:val="nil"/>
              <w:left w:val="single" w:color="000000" w:sz="4" w:space="0"/>
              <w:bottom w:val="single" w:color="000000" w:sz="4" w:space="0"/>
              <w:right w:val="single" w:color="000000" w:sz="4" w:space="0"/>
            </w:tcBorders>
          </w:tcPr>
          <w:p>
            <w:pPr>
              <w:rPr>
                <w:sz w:val="2"/>
                <w:szCs w:val="2"/>
              </w:rPr>
            </w:pPr>
          </w:p>
        </w:tc>
        <w:tc>
          <w:tcPr>
            <w:tcW w:w="87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 w:hRule="atLeast"/>
        </w:trPr>
        <w:tc>
          <w:tcPr>
            <w:tcW w:w="564" w:type="dxa"/>
            <w:vMerge w:val="restart"/>
            <w:tcBorders>
              <w:top w:val="single" w:color="000000" w:sz="4" w:space="0"/>
              <w:right w:val="single" w:color="000000" w:sz="4" w:space="0"/>
            </w:tcBorders>
          </w:tcPr>
          <w:p>
            <w:pPr>
              <w:pStyle w:val="14"/>
              <w:jc w:val="left"/>
              <w:rPr>
                <w:b/>
                <w:sz w:val="18"/>
              </w:rPr>
            </w:pPr>
          </w:p>
          <w:p>
            <w:pPr>
              <w:pStyle w:val="14"/>
              <w:jc w:val="left"/>
              <w:rPr>
                <w:b/>
                <w:sz w:val="18"/>
              </w:rPr>
            </w:pPr>
          </w:p>
          <w:p>
            <w:pPr>
              <w:pStyle w:val="14"/>
              <w:jc w:val="left"/>
              <w:rPr>
                <w:b/>
                <w:sz w:val="18"/>
              </w:rPr>
            </w:pPr>
          </w:p>
          <w:p>
            <w:pPr>
              <w:pStyle w:val="14"/>
              <w:jc w:val="left"/>
              <w:rPr>
                <w:b/>
                <w:sz w:val="18"/>
              </w:rPr>
            </w:pPr>
          </w:p>
          <w:p>
            <w:pPr>
              <w:pStyle w:val="14"/>
              <w:jc w:val="left"/>
              <w:rPr>
                <w:b/>
                <w:sz w:val="18"/>
              </w:rPr>
            </w:pPr>
          </w:p>
          <w:p>
            <w:pPr>
              <w:pStyle w:val="14"/>
              <w:jc w:val="left"/>
              <w:rPr>
                <w:b/>
                <w:sz w:val="18"/>
              </w:rPr>
            </w:pPr>
          </w:p>
          <w:p>
            <w:pPr>
              <w:pStyle w:val="14"/>
              <w:spacing w:before="3"/>
              <w:jc w:val="left"/>
              <w:rPr>
                <w:b/>
                <w:sz w:val="20"/>
              </w:rPr>
            </w:pPr>
          </w:p>
          <w:p>
            <w:pPr>
              <w:pStyle w:val="14"/>
              <w:spacing w:line="324" w:lineRule="auto"/>
              <w:ind w:left="190" w:right="176"/>
              <w:jc w:val="left"/>
              <w:rPr>
                <w:sz w:val="18"/>
              </w:rPr>
            </w:pPr>
            <w:r>
              <w:rPr>
                <w:sz w:val="18"/>
              </w:rPr>
              <w:t>废气</w:t>
            </w:r>
          </w:p>
        </w:tc>
        <w:tc>
          <w:tcPr>
            <w:tcW w:w="1323" w:type="dxa"/>
            <w:vMerge w:val="restart"/>
            <w:tcBorders>
              <w:top w:val="single" w:color="000000" w:sz="4" w:space="0"/>
              <w:left w:val="single" w:color="000000" w:sz="4" w:space="0"/>
              <w:bottom w:val="single" w:color="000000" w:sz="4" w:space="0"/>
              <w:right w:val="single" w:color="000000" w:sz="4" w:space="0"/>
            </w:tcBorders>
          </w:tcPr>
          <w:p>
            <w:pPr>
              <w:pStyle w:val="14"/>
              <w:jc w:val="left"/>
              <w:rPr>
                <w:b/>
                <w:sz w:val="18"/>
              </w:rPr>
            </w:pPr>
          </w:p>
          <w:p>
            <w:pPr>
              <w:pStyle w:val="14"/>
              <w:spacing w:before="133"/>
              <w:ind w:left="126"/>
              <w:jc w:val="left"/>
              <w:rPr>
                <w:sz w:val="18"/>
              </w:rPr>
            </w:pPr>
            <w:r>
              <w:rPr>
                <w:sz w:val="18"/>
              </w:rPr>
              <w:t>热风炉房烟囱</w:t>
            </w:r>
          </w:p>
        </w:tc>
        <w:tc>
          <w:tcPr>
            <w:tcW w:w="677" w:type="dxa"/>
            <w:tcBorders>
              <w:top w:val="single" w:color="000000" w:sz="4" w:space="0"/>
              <w:left w:val="single" w:color="000000" w:sz="4" w:space="0"/>
              <w:bottom w:val="single" w:color="000000" w:sz="4" w:space="0"/>
              <w:right w:val="single" w:color="000000" w:sz="4" w:space="0"/>
            </w:tcBorders>
          </w:tcPr>
          <w:p>
            <w:pPr>
              <w:pStyle w:val="14"/>
              <w:spacing w:before="40"/>
              <w:ind w:left="161"/>
              <w:jc w:val="left"/>
              <w:rPr>
                <w:sz w:val="18"/>
              </w:rPr>
            </w:pPr>
            <w:r>
              <w:rPr>
                <w:sz w:val="18"/>
              </w:rPr>
              <w:t>烟尘</w:t>
            </w:r>
          </w:p>
        </w:tc>
        <w:tc>
          <w:tcPr>
            <w:tcW w:w="1038" w:type="dxa"/>
            <w:vMerge w:val="restart"/>
            <w:tcBorders>
              <w:top w:val="single" w:color="000000" w:sz="4" w:space="0"/>
              <w:left w:val="single" w:color="000000" w:sz="4" w:space="0"/>
              <w:bottom w:val="single" w:color="000000" w:sz="4" w:space="0"/>
              <w:right w:val="single" w:color="000000" w:sz="4" w:space="0"/>
            </w:tcBorders>
          </w:tcPr>
          <w:p>
            <w:pPr>
              <w:pStyle w:val="14"/>
              <w:spacing w:before="3"/>
              <w:jc w:val="left"/>
              <w:rPr>
                <w:b/>
                <w:sz w:val="16"/>
              </w:rPr>
            </w:pPr>
          </w:p>
          <w:p>
            <w:pPr>
              <w:pStyle w:val="14"/>
              <w:spacing w:line="324" w:lineRule="auto"/>
              <w:ind w:left="252" w:right="233" w:firstLine="91"/>
              <w:jc w:val="left"/>
              <w:rPr>
                <w:sz w:val="18"/>
              </w:rPr>
            </w:pPr>
            <w:r>
              <w:rPr>
                <w:sz w:val="18"/>
              </w:rPr>
              <w:t>物料衡算法</w:t>
            </w:r>
          </w:p>
        </w:tc>
        <w:tc>
          <w:tcPr>
            <w:tcW w:w="1037" w:type="dxa"/>
            <w:vMerge w:val="restart"/>
            <w:tcBorders>
              <w:top w:val="single" w:color="000000" w:sz="4" w:space="0"/>
              <w:left w:val="single" w:color="000000" w:sz="4" w:space="0"/>
              <w:bottom w:val="single" w:color="000000" w:sz="4" w:space="0"/>
              <w:right w:val="single" w:color="000000" w:sz="4" w:space="0"/>
            </w:tcBorders>
          </w:tcPr>
          <w:p>
            <w:pPr>
              <w:pStyle w:val="14"/>
              <w:spacing w:before="4"/>
              <w:jc w:val="left"/>
              <w:rPr>
                <w:b/>
                <w:sz w:val="29"/>
              </w:rPr>
            </w:pPr>
          </w:p>
          <w:p>
            <w:pPr>
              <w:pStyle w:val="14"/>
              <w:ind w:left="342"/>
              <w:jc w:val="left"/>
              <w:rPr>
                <w:rFonts w:ascii="Times New Roman"/>
                <w:sz w:val="18"/>
              </w:rPr>
            </w:pPr>
            <w:r>
              <w:rPr>
                <w:rFonts w:ascii="Times New Roman"/>
                <w:sz w:val="18"/>
              </w:rPr>
              <w:t>4360</w:t>
            </w:r>
          </w:p>
        </w:tc>
        <w:tc>
          <w:tcPr>
            <w:tcW w:w="1038" w:type="dxa"/>
            <w:tcBorders>
              <w:top w:val="single" w:color="000000" w:sz="4" w:space="0"/>
              <w:left w:val="single" w:color="000000" w:sz="4" w:space="0"/>
              <w:bottom w:val="single" w:color="000000" w:sz="4" w:space="0"/>
              <w:right w:val="single" w:color="000000" w:sz="4" w:space="0"/>
            </w:tcBorders>
          </w:tcPr>
          <w:p>
            <w:pPr>
              <w:pStyle w:val="14"/>
              <w:spacing w:before="52"/>
              <w:ind w:right="276"/>
              <w:jc w:val="right"/>
              <w:rPr>
                <w:rFonts w:ascii="Times New Roman"/>
                <w:sz w:val="18"/>
              </w:rPr>
            </w:pPr>
            <w:r>
              <w:rPr>
                <w:rFonts w:ascii="Times New Roman"/>
                <w:sz w:val="18"/>
              </w:rPr>
              <w:t>14250</w:t>
            </w:r>
          </w:p>
        </w:tc>
        <w:tc>
          <w:tcPr>
            <w:tcW w:w="1039" w:type="dxa"/>
            <w:tcBorders>
              <w:top w:val="single" w:color="000000" w:sz="4" w:space="0"/>
              <w:left w:val="single" w:color="000000" w:sz="4" w:space="0"/>
              <w:bottom w:val="single" w:color="000000" w:sz="4" w:space="0"/>
              <w:right w:val="single" w:color="000000" w:sz="4" w:space="0"/>
            </w:tcBorders>
          </w:tcPr>
          <w:p>
            <w:pPr>
              <w:pStyle w:val="14"/>
              <w:spacing w:before="52"/>
              <w:ind w:left="98" w:right="79"/>
              <w:rPr>
                <w:rFonts w:ascii="Times New Roman"/>
                <w:sz w:val="18"/>
              </w:rPr>
            </w:pPr>
            <w:r>
              <w:rPr>
                <w:rFonts w:ascii="Times New Roman"/>
                <w:sz w:val="18"/>
              </w:rPr>
              <w:t>201</w:t>
            </w:r>
          </w:p>
        </w:tc>
        <w:tc>
          <w:tcPr>
            <w:tcW w:w="1370" w:type="dxa"/>
            <w:tcBorders>
              <w:top w:val="single" w:color="000000" w:sz="4" w:space="0"/>
              <w:left w:val="single" w:color="000000" w:sz="4" w:space="0"/>
              <w:bottom w:val="single" w:color="000000" w:sz="4" w:space="0"/>
              <w:right w:val="single" w:color="000000" w:sz="4" w:space="0"/>
            </w:tcBorders>
          </w:tcPr>
          <w:p>
            <w:pPr>
              <w:pStyle w:val="14"/>
              <w:spacing w:before="42"/>
              <w:ind w:left="129" w:right="108"/>
              <w:rPr>
                <w:sz w:val="18"/>
              </w:rPr>
            </w:pPr>
            <w:r>
              <w:rPr>
                <w:sz w:val="18"/>
              </w:rPr>
              <w:t>布袋除尘器</w:t>
            </w:r>
          </w:p>
        </w:tc>
        <w:tc>
          <w:tcPr>
            <w:tcW w:w="914" w:type="dxa"/>
            <w:tcBorders>
              <w:top w:val="single" w:color="000000" w:sz="4" w:space="0"/>
              <w:left w:val="single" w:color="000000" w:sz="4" w:space="0"/>
              <w:bottom w:val="single" w:color="000000" w:sz="4" w:space="0"/>
              <w:right w:val="single" w:color="000000" w:sz="4" w:space="0"/>
            </w:tcBorders>
          </w:tcPr>
          <w:p>
            <w:pPr>
              <w:pStyle w:val="14"/>
              <w:spacing w:before="52"/>
              <w:ind w:left="185" w:right="167"/>
              <w:rPr>
                <w:rFonts w:ascii="Times New Roman"/>
                <w:sz w:val="18"/>
              </w:rPr>
            </w:pPr>
            <w:r>
              <w:rPr>
                <w:rFonts w:ascii="Times New Roman"/>
                <w:sz w:val="18"/>
              </w:rPr>
              <w:t>99.9</w:t>
            </w:r>
          </w:p>
        </w:tc>
        <w:tc>
          <w:tcPr>
            <w:tcW w:w="898" w:type="dxa"/>
            <w:vMerge w:val="restart"/>
            <w:tcBorders>
              <w:top w:val="single" w:color="000000" w:sz="4" w:space="0"/>
              <w:left w:val="single" w:color="000000" w:sz="4" w:space="0"/>
              <w:bottom w:val="single" w:color="000000" w:sz="4" w:space="0"/>
              <w:right w:val="single" w:color="000000" w:sz="4" w:space="0"/>
            </w:tcBorders>
          </w:tcPr>
          <w:p>
            <w:pPr>
              <w:pStyle w:val="14"/>
              <w:spacing w:before="4"/>
              <w:jc w:val="left"/>
              <w:rPr>
                <w:b/>
                <w:sz w:val="29"/>
              </w:rPr>
            </w:pPr>
          </w:p>
          <w:p>
            <w:pPr>
              <w:pStyle w:val="14"/>
              <w:ind w:left="272"/>
              <w:jc w:val="left"/>
              <w:rPr>
                <w:rFonts w:ascii="Times New Roman"/>
                <w:sz w:val="18"/>
              </w:rPr>
            </w:pPr>
            <w:r>
              <w:rPr>
                <w:rFonts w:ascii="Times New Roman"/>
                <w:sz w:val="18"/>
              </w:rPr>
              <w:t>4360</w:t>
            </w:r>
          </w:p>
        </w:tc>
        <w:tc>
          <w:tcPr>
            <w:tcW w:w="898" w:type="dxa"/>
            <w:tcBorders>
              <w:top w:val="single" w:color="000000" w:sz="4" w:space="0"/>
              <w:left w:val="single" w:color="000000" w:sz="4" w:space="0"/>
              <w:bottom w:val="single" w:color="000000" w:sz="4" w:space="0"/>
              <w:right w:val="single" w:color="000000" w:sz="4" w:space="0"/>
            </w:tcBorders>
          </w:tcPr>
          <w:p>
            <w:pPr>
              <w:pStyle w:val="14"/>
              <w:spacing w:before="52"/>
              <w:ind w:right="228"/>
              <w:jc w:val="right"/>
              <w:rPr>
                <w:rFonts w:ascii="Times New Roman"/>
                <w:sz w:val="18"/>
              </w:rPr>
            </w:pPr>
            <w:r>
              <w:rPr>
                <w:rFonts w:ascii="Times New Roman"/>
                <w:sz w:val="18"/>
              </w:rPr>
              <w:t>14.25</w:t>
            </w:r>
          </w:p>
        </w:tc>
        <w:tc>
          <w:tcPr>
            <w:tcW w:w="897" w:type="dxa"/>
            <w:tcBorders>
              <w:top w:val="single" w:color="000000" w:sz="4" w:space="0"/>
              <w:left w:val="single" w:color="000000" w:sz="4" w:space="0"/>
              <w:bottom w:val="single" w:color="000000" w:sz="4" w:space="0"/>
              <w:right w:val="single" w:color="000000" w:sz="4" w:space="0"/>
            </w:tcBorders>
          </w:tcPr>
          <w:p>
            <w:pPr>
              <w:pStyle w:val="14"/>
              <w:spacing w:before="52"/>
              <w:ind w:left="250"/>
              <w:jc w:val="left"/>
              <w:rPr>
                <w:rFonts w:ascii="Times New Roman"/>
                <w:sz w:val="18"/>
              </w:rPr>
            </w:pPr>
            <w:r>
              <w:rPr>
                <w:rFonts w:ascii="Times New Roman"/>
                <w:sz w:val="18"/>
              </w:rPr>
              <w:t>0.062</w:t>
            </w:r>
          </w:p>
        </w:tc>
        <w:tc>
          <w:tcPr>
            <w:tcW w:w="899" w:type="dxa"/>
            <w:tcBorders>
              <w:top w:val="single" w:color="000000" w:sz="4" w:space="0"/>
              <w:left w:val="single" w:color="000000" w:sz="4" w:space="0"/>
              <w:bottom w:val="single" w:color="000000" w:sz="4" w:space="0"/>
              <w:right w:val="single" w:color="000000" w:sz="4" w:space="0"/>
            </w:tcBorders>
          </w:tcPr>
          <w:p>
            <w:pPr>
              <w:pStyle w:val="14"/>
              <w:spacing w:before="52"/>
              <w:ind w:left="296"/>
              <w:jc w:val="left"/>
              <w:rPr>
                <w:rFonts w:ascii="Times New Roman"/>
                <w:sz w:val="18"/>
              </w:rPr>
            </w:pPr>
            <w:r>
              <w:rPr>
                <w:rFonts w:ascii="Times New Roman"/>
                <w:sz w:val="18"/>
              </w:rPr>
              <w:t>0.20</w:t>
            </w:r>
          </w:p>
        </w:tc>
        <w:tc>
          <w:tcPr>
            <w:tcW w:w="879" w:type="dxa"/>
            <w:tcBorders>
              <w:top w:val="single" w:color="000000" w:sz="4" w:space="0"/>
              <w:left w:val="single" w:color="000000" w:sz="4" w:space="0"/>
              <w:bottom w:val="single" w:color="000000" w:sz="4" w:space="0"/>
              <w:right w:val="single" w:color="000000" w:sz="4" w:space="0"/>
            </w:tcBorders>
          </w:tcPr>
          <w:p>
            <w:pPr>
              <w:pStyle w:val="14"/>
              <w:spacing w:before="52"/>
              <w:ind w:left="287" w:right="270"/>
              <w:rPr>
                <w:rFonts w:ascii="Times New Roman"/>
                <w:sz w:val="18"/>
              </w:rPr>
            </w:pPr>
            <w:r>
              <w:rPr>
                <w:rFonts w:ascii="Times New Roman"/>
                <w:sz w:val="18"/>
              </w:rPr>
              <w:t>50</w:t>
            </w:r>
          </w:p>
        </w:tc>
        <w:tc>
          <w:tcPr>
            <w:tcW w:w="879" w:type="dxa"/>
            <w:vMerge w:val="restart"/>
            <w:tcBorders>
              <w:top w:val="single" w:color="000000" w:sz="4" w:space="0"/>
              <w:left w:val="single" w:color="000000" w:sz="4" w:space="0"/>
              <w:bottom w:val="single" w:color="000000" w:sz="4" w:space="0"/>
            </w:tcBorders>
          </w:tcPr>
          <w:p>
            <w:pPr>
              <w:pStyle w:val="14"/>
              <w:spacing w:before="4"/>
              <w:jc w:val="left"/>
              <w:rPr>
                <w:b/>
                <w:sz w:val="29"/>
              </w:rPr>
            </w:pPr>
          </w:p>
          <w:p>
            <w:pPr>
              <w:pStyle w:val="14"/>
              <w:ind w:left="263"/>
              <w:jc w:val="left"/>
              <w:rPr>
                <w:rFonts w:ascii="Times New Roman"/>
                <w:sz w:val="18"/>
              </w:rPr>
            </w:pPr>
            <w:r>
              <w:rPr>
                <w:rFonts w:ascii="Times New Roman"/>
                <w:sz w:val="18"/>
              </w:rPr>
              <w:t>3240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1" w:hRule="atLeast"/>
        </w:trPr>
        <w:tc>
          <w:tcPr>
            <w:tcW w:w="564" w:type="dxa"/>
            <w:vMerge w:val="continue"/>
            <w:tcBorders>
              <w:top w:val="nil"/>
              <w:right w:val="single" w:color="000000" w:sz="4" w:space="0"/>
            </w:tcBorders>
          </w:tcPr>
          <w:p>
            <w:pPr>
              <w:rPr>
                <w:sz w:val="2"/>
                <w:szCs w:val="2"/>
              </w:rPr>
            </w:pPr>
          </w:p>
        </w:tc>
        <w:tc>
          <w:tcPr>
            <w:tcW w:w="1323" w:type="dxa"/>
            <w:vMerge w:val="continue"/>
            <w:tcBorders>
              <w:top w:val="nil"/>
              <w:left w:val="single" w:color="000000" w:sz="4" w:space="0"/>
              <w:bottom w:val="single" w:color="000000" w:sz="4" w:space="0"/>
              <w:right w:val="single" w:color="000000" w:sz="4" w:space="0"/>
            </w:tcBorders>
          </w:tcPr>
          <w:p>
            <w:pPr>
              <w:rPr>
                <w:sz w:val="2"/>
                <w:szCs w:val="2"/>
              </w:rPr>
            </w:pPr>
          </w:p>
        </w:tc>
        <w:tc>
          <w:tcPr>
            <w:tcW w:w="677" w:type="dxa"/>
            <w:tcBorders>
              <w:top w:val="single" w:color="000000" w:sz="4" w:space="0"/>
              <w:left w:val="single" w:color="000000" w:sz="4" w:space="0"/>
              <w:bottom w:val="single" w:color="000000" w:sz="4" w:space="0"/>
              <w:right w:val="single" w:color="000000" w:sz="4" w:space="0"/>
            </w:tcBorders>
          </w:tcPr>
          <w:p>
            <w:pPr>
              <w:pStyle w:val="14"/>
              <w:spacing w:before="51"/>
              <w:ind w:left="200"/>
              <w:jc w:val="left"/>
              <w:rPr>
                <w:rFonts w:ascii="Times New Roman"/>
                <w:sz w:val="18"/>
              </w:rPr>
            </w:pPr>
            <w:r>
              <w:rPr>
                <w:rFonts w:ascii="Times New Roman"/>
                <w:position w:val="1"/>
                <w:sz w:val="18"/>
              </w:rPr>
              <w:t>SO</w:t>
            </w:r>
            <w:r>
              <w:rPr>
                <w:rFonts w:ascii="Times New Roman"/>
                <w:position w:val="1"/>
                <w:sz w:val="18"/>
                <w:vertAlign w:val="subscript"/>
              </w:rPr>
              <w:t>2</w:t>
            </w:r>
          </w:p>
        </w:tc>
        <w:tc>
          <w:tcPr>
            <w:tcW w:w="1038" w:type="dxa"/>
            <w:vMerge w:val="continue"/>
            <w:tcBorders>
              <w:top w:val="nil"/>
              <w:left w:val="single" w:color="000000" w:sz="4" w:space="0"/>
              <w:bottom w:val="single" w:color="000000" w:sz="4" w:space="0"/>
              <w:right w:val="single" w:color="000000" w:sz="4" w:space="0"/>
            </w:tcBorders>
          </w:tcPr>
          <w:p>
            <w:pPr>
              <w:rPr>
                <w:sz w:val="2"/>
                <w:szCs w:val="2"/>
              </w:rPr>
            </w:pPr>
          </w:p>
        </w:tc>
        <w:tc>
          <w:tcPr>
            <w:tcW w:w="1037" w:type="dxa"/>
            <w:vMerge w:val="continue"/>
            <w:tcBorders>
              <w:top w:val="nil"/>
              <w:left w:val="single" w:color="000000" w:sz="4" w:space="0"/>
              <w:bottom w:val="single" w:color="000000" w:sz="4" w:space="0"/>
              <w:right w:val="single" w:color="000000" w:sz="4" w:space="0"/>
            </w:tcBorders>
          </w:tcPr>
          <w:p>
            <w:pPr>
              <w:rPr>
                <w:sz w:val="2"/>
                <w:szCs w:val="2"/>
              </w:rPr>
            </w:pPr>
          </w:p>
        </w:tc>
        <w:tc>
          <w:tcPr>
            <w:tcW w:w="1038" w:type="dxa"/>
            <w:tcBorders>
              <w:top w:val="single" w:color="000000" w:sz="4" w:space="0"/>
              <w:left w:val="single" w:color="000000" w:sz="4" w:space="0"/>
              <w:bottom w:val="single" w:color="000000" w:sz="4" w:space="0"/>
              <w:right w:val="single" w:color="000000" w:sz="4" w:space="0"/>
            </w:tcBorders>
          </w:tcPr>
          <w:p>
            <w:pPr>
              <w:pStyle w:val="14"/>
              <w:spacing w:before="46"/>
              <w:ind w:right="298"/>
              <w:jc w:val="right"/>
              <w:rPr>
                <w:rFonts w:ascii="Times New Roman"/>
                <w:sz w:val="18"/>
              </w:rPr>
            </w:pPr>
            <w:r>
              <w:rPr>
                <w:rFonts w:ascii="Times New Roman"/>
                <w:sz w:val="18"/>
              </w:rPr>
              <w:t>22.84</w:t>
            </w:r>
          </w:p>
        </w:tc>
        <w:tc>
          <w:tcPr>
            <w:tcW w:w="1039" w:type="dxa"/>
            <w:tcBorders>
              <w:top w:val="single" w:color="000000" w:sz="4" w:space="0"/>
              <w:left w:val="single" w:color="000000" w:sz="4" w:space="0"/>
              <w:bottom w:val="single" w:color="000000" w:sz="4" w:space="0"/>
              <w:right w:val="single" w:color="000000" w:sz="4" w:space="0"/>
            </w:tcBorders>
          </w:tcPr>
          <w:p>
            <w:pPr>
              <w:pStyle w:val="14"/>
              <w:spacing w:before="46"/>
              <w:ind w:left="100" w:right="79"/>
              <w:rPr>
                <w:rFonts w:ascii="Times New Roman"/>
                <w:sz w:val="18"/>
              </w:rPr>
            </w:pPr>
            <w:r>
              <w:rPr>
                <w:rFonts w:ascii="Times New Roman"/>
                <w:sz w:val="18"/>
              </w:rPr>
              <w:t>0.32</w:t>
            </w:r>
          </w:p>
        </w:tc>
        <w:tc>
          <w:tcPr>
            <w:tcW w:w="1370" w:type="dxa"/>
            <w:tcBorders>
              <w:top w:val="single" w:color="000000" w:sz="4" w:space="0"/>
              <w:left w:val="single" w:color="000000" w:sz="4" w:space="0"/>
              <w:bottom w:val="single" w:color="000000" w:sz="4" w:space="0"/>
              <w:right w:val="single" w:color="000000" w:sz="4" w:space="0"/>
            </w:tcBorders>
          </w:tcPr>
          <w:p>
            <w:pPr>
              <w:pStyle w:val="14"/>
              <w:spacing w:before="49"/>
              <w:ind w:left="20"/>
              <w:rPr>
                <w:rFonts w:ascii="Times New Roman"/>
                <w:sz w:val="18"/>
              </w:rPr>
            </w:pPr>
            <w:r>
              <w:rPr>
                <w:rFonts w:ascii="Times New Roman"/>
                <w:sz w:val="18"/>
              </w:rPr>
              <w:t>/</w:t>
            </w:r>
          </w:p>
        </w:tc>
        <w:tc>
          <w:tcPr>
            <w:tcW w:w="914" w:type="dxa"/>
            <w:tcBorders>
              <w:top w:val="single" w:color="000000" w:sz="4" w:space="0"/>
              <w:left w:val="single" w:color="000000" w:sz="4" w:space="0"/>
              <w:bottom w:val="single" w:color="000000" w:sz="4" w:space="0"/>
              <w:right w:val="single" w:color="000000" w:sz="4" w:space="0"/>
            </w:tcBorders>
          </w:tcPr>
          <w:p>
            <w:pPr>
              <w:pStyle w:val="14"/>
              <w:spacing w:before="49"/>
              <w:ind w:left="18"/>
              <w:rPr>
                <w:rFonts w:ascii="Times New Roman"/>
                <w:sz w:val="18"/>
              </w:rPr>
            </w:pPr>
            <w:r>
              <w:rPr>
                <w:rFonts w:ascii="Times New Roman"/>
                <w:sz w:val="18"/>
              </w:rPr>
              <w:t>0</w:t>
            </w:r>
          </w:p>
        </w:tc>
        <w:tc>
          <w:tcPr>
            <w:tcW w:w="898" w:type="dxa"/>
            <w:vMerge w:val="continue"/>
            <w:tcBorders>
              <w:top w:val="nil"/>
              <w:left w:val="single" w:color="000000" w:sz="4" w:space="0"/>
              <w:bottom w:val="single" w:color="000000" w:sz="4" w:space="0"/>
              <w:right w:val="single" w:color="000000" w:sz="4" w:space="0"/>
            </w:tcBorders>
          </w:tcPr>
          <w:p>
            <w:pPr>
              <w:rPr>
                <w:sz w:val="2"/>
                <w:szCs w:val="2"/>
              </w:rPr>
            </w:pPr>
          </w:p>
        </w:tc>
        <w:tc>
          <w:tcPr>
            <w:tcW w:w="898" w:type="dxa"/>
            <w:tcBorders>
              <w:top w:val="single" w:color="000000" w:sz="4" w:space="0"/>
              <w:left w:val="single" w:color="000000" w:sz="4" w:space="0"/>
              <w:bottom w:val="single" w:color="000000" w:sz="4" w:space="0"/>
              <w:right w:val="single" w:color="000000" w:sz="4" w:space="0"/>
            </w:tcBorders>
          </w:tcPr>
          <w:p>
            <w:pPr>
              <w:pStyle w:val="14"/>
              <w:spacing w:before="46"/>
              <w:ind w:right="228"/>
              <w:jc w:val="right"/>
              <w:rPr>
                <w:rFonts w:ascii="Times New Roman"/>
                <w:sz w:val="18"/>
              </w:rPr>
            </w:pPr>
            <w:r>
              <w:rPr>
                <w:rFonts w:ascii="Times New Roman"/>
                <w:sz w:val="18"/>
              </w:rPr>
              <w:t>22.84</w:t>
            </w:r>
          </w:p>
        </w:tc>
        <w:tc>
          <w:tcPr>
            <w:tcW w:w="897" w:type="dxa"/>
            <w:tcBorders>
              <w:top w:val="single" w:color="000000" w:sz="4" w:space="0"/>
              <w:left w:val="single" w:color="000000" w:sz="4" w:space="0"/>
              <w:bottom w:val="single" w:color="000000" w:sz="4" w:space="0"/>
              <w:right w:val="single" w:color="000000" w:sz="4" w:space="0"/>
            </w:tcBorders>
          </w:tcPr>
          <w:p>
            <w:pPr>
              <w:pStyle w:val="14"/>
              <w:spacing w:before="46"/>
              <w:ind w:left="250"/>
              <w:jc w:val="left"/>
              <w:rPr>
                <w:rFonts w:ascii="Times New Roman"/>
                <w:sz w:val="18"/>
              </w:rPr>
            </w:pPr>
            <w:r>
              <w:rPr>
                <w:rFonts w:ascii="Times New Roman"/>
                <w:sz w:val="18"/>
              </w:rPr>
              <w:t>0.099</w:t>
            </w:r>
          </w:p>
        </w:tc>
        <w:tc>
          <w:tcPr>
            <w:tcW w:w="899" w:type="dxa"/>
            <w:tcBorders>
              <w:top w:val="single" w:color="000000" w:sz="4" w:space="0"/>
              <w:left w:val="single" w:color="000000" w:sz="4" w:space="0"/>
              <w:bottom w:val="single" w:color="000000" w:sz="4" w:space="0"/>
              <w:right w:val="single" w:color="000000" w:sz="4" w:space="0"/>
            </w:tcBorders>
          </w:tcPr>
          <w:p>
            <w:pPr>
              <w:pStyle w:val="14"/>
              <w:spacing w:before="46"/>
              <w:ind w:left="296"/>
              <w:jc w:val="left"/>
              <w:rPr>
                <w:rFonts w:ascii="Times New Roman"/>
                <w:sz w:val="18"/>
              </w:rPr>
            </w:pPr>
            <w:r>
              <w:rPr>
                <w:rFonts w:ascii="Times New Roman"/>
                <w:sz w:val="18"/>
              </w:rPr>
              <w:t>0.32</w:t>
            </w:r>
          </w:p>
        </w:tc>
        <w:tc>
          <w:tcPr>
            <w:tcW w:w="879" w:type="dxa"/>
            <w:tcBorders>
              <w:top w:val="single" w:color="000000" w:sz="4" w:space="0"/>
              <w:left w:val="single" w:color="000000" w:sz="4" w:space="0"/>
              <w:bottom w:val="single" w:color="000000" w:sz="4" w:space="0"/>
              <w:right w:val="single" w:color="000000" w:sz="4" w:space="0"/>
            </w:tcBorders>
          </w:tcPr>
          <w:p>
            <w:pPr>
              <w:pStyle w:val="14"/>
              <w:spacing w:before="49"/>
              <w:ind w:left="289" w:right="270"/>
              <w:rPr>
                <w:rFonts w:ascii="Times New Roman"/>
                <w:sz w:val="18"/>
              </w:rPr>
            </w:pPr>
            <w:r>
              <w:rPr>
                <w:rFonts w:ascii="Times New Roman"/>
                <w:sz w:val="18"/>
              </w:rPr>
              <w:t>300</w:t>
            </w:r>
          </w:p>
        </w:tc>
        <w:tc>
          <w:tcPr>
            <w:tcW w:w="87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564" w:type="dxa"/>
            <w:vMerge w:val="continue"/>
            <w:tcBorders>
              <w:top w:val="nil"/>
              <w:right w:val="single" w:color="000000" w:sz="4" w:space="0"/>
            </w:tcBorders>
          </w:tcPr>
          <w:p>
            <w:pPr>
              <w:rPr>
                <w:sz w:val="2"/>
                <w:szCs w:val="2"/>
              </w:rPr>
            </w:pPr>
          </w:p>
        </w:tc>
        <w:tc>
          <w:tcPr>
            <w:tcW w:w="1323" w:type="dxa"/>
            <w:vMerge w:val="continue"/>
            <w:tcBorders>
              <w:top w:val="nil"/>
              <w:left w:val="single" w:color="000000" w:sz="4" w:space="0"/>
              <w:bottom w:val="single" w:color="000000" w:sz="4" w:space="0"/>
              <w:right w:val="single" w:color="000000" w:sz="4" w:space="0"/>
            </w:tcBorders>
          </w:tcPr>
          <w:p>
            <w:pPr>
              <w:rPr>
                <w:sz w:val="2"/>
                <w:szCs w:val="2"/>
              </w:rPr>
            </w:pPr>
          </w:p>
        </w:tc>
        <w:tc>
          <w:tcPr>
            <w:tcW w:w="677" w:type="dxa"/>
            <w:tcBorders>
              <w:top w:val="single" w:color="000000" w:sz="4" w:space="0"/>
              <w:left w:val="single" w:color="000000" w:sz="4" w:space="0"/>
              <w:bottom w:val="single" w:color="000000" w:sz="4" w:space="0"/>
              <w:right w:val="single" w:color="000000" w:sz="4" w:space="0"/>
            </w:tcBorders>
          </w:tcPr>
          <w:p>
            <w:pPr>
              <w:pStyle w:val="14"/>
              <w:spacing w:before="46"/>
              <w:ind w:left="168"/>
              <w:jc w:val="left"/>
              <w:rPr>
                <w:rFonts w:ascii="Times New Roman"/>
                <w:sz w:val="18"/>
              </w:rPr>
            </w:pPr>
            <w:r>
              <w:rPr>
                <w:rFonts w:ascii="Times New Roman"/>
                <w:sz w:val="18"/>
              </w:rPr>
              <w:t>NOx</w:t>
            </w:r>
          </w:p>
        </w:tc>
        <w:tc>
          <w:tcPr>
            <w:tcW w:w="1038" w:type="dxa"/>
            <w:vMerge w:val="continue"/>
            <w:tcBorders>
              <w:top w:val="nil"/>
              <w:left w:val="single" w:color="000000" w:sz="4" w:space="0"/>
              <w:bottom w:val="single" w:color="000000" w:sz="4" w:space="0"/>
              <w:right w:val="single" w:color="000000" w:sz="4" w:space="0"/>
            </w:tcBorders>
          </w:tcPr>
          <w:p>
            <w:pPr>
              <w:rPr>
                <w:sz w:val="2"/>
                <w:szCs w:val="2"/>
              </w:rPr>
            </w:pPr>
          </w:p>
        </w:tc>
        <w:tc>
          <w:tcPr>
            <w:tcW w:w="1037" w:type="dxa"/>
            <w:vMerge w:val="continue"/>
            <w:tcBorders>
              <w:top w:val="nil"/>
              <w:left w:val="single" w:color="000000" w:sz="4" w:space="0"/>
              <w:bottom w:val="single" w:color="000000" w:sz="4" w:space="0"/>
              <w:right w:val="single" w:color="000000" w:sz="4" w:space="0"/>
            </w:tcBorders>
          </w:tcPr>
          <w:p>
            <w:pPr>
              <w:rPr>
                <w:sz w:val="2"/>
                <w:szCs w:val="2"/>
              </w:rPr>
            </w:pPr>
          </w:p>
        </w:tc>
        <w:tc>
          <w:tcPr>
            <w:tcW w:w="1038" w:type="dxa"/>
            <w:tcBorders>
              <w:top w:val="single" w:color="000000" w:sz="4" w:space="0"/>
              <w:left w:val="single" w:color="000000" w:sz="4" w:space="0"/>
              <w:bottom w:val="single" w:color="000000" w:sz="4" w:space="0"/>
              <w:right w:val="single" w:color="000000" w:sz="4" w:space="0"/>
            </w:tcBorders>
          </w:tcPr>
          <w:p>
            <w:pPr>
              <w:pStyle w:val="14"/>
              <w:spacing w:before="46"/>
              <w:ind w:right="368"/>
              <w:jc w:val="right"/>
              <w:rPr>
                <w:rFonts w:ascii="Times New Roman"/>
                <w:sz w:val="18"/>
              </w:rPr>
            </w:pPr>
            <w:r>
              <w:rPr>
                <w:rFonts w:ascii="Times New Roman"/>
                <w:sz w:val="18"/>
              </w:rPr>
              <w:t>200</w:t>
            </w:r>
          </w:p>
        </w:tc>
        <w:tc>
          <w:tcPr>
            <w:tcW w:w="1039" w:type="dxa"/>
            <w:tcBorders>
              <w:top w:val="single" w:color="000000" w:sz="4" w:space="0"/>
              <w:left w:val="single" w:color="000000" w:sz="4" w:space="0"/>
              <w:bottom w:val="single" w:color="000000" w:sz="4" w:space="0"/>
              <w:right w:val="single" w:color="000000" w:sz="4" w:space="0"/>
            </w:tcBorders>
          </w:tcPr>
          <w:p>
            <w:pPr>
              <w:pStyle w:val="14"/>
              <w:spacing w:before="46"/>
              <w:ind w:left="100" w:right="79"/>
              <w:rPr>
                <w:rFonts w:ascii="Times New Roman"/>
                <w:sz w:val="18"/>
              </w:rPr>
            </w:pPr>
            <w:r>
              <w:rPr>
                <w:rFonts w:ascii="Times New Roman"/>
                <w:sz w:val="18"/>
              </w:rPr>
              <w:t>2.83</w:t>
            </w:r>
          </w:p>
        </w:tc>
        <w:tc>
          <w:tcPr>
            <w:tcW w:w="1370" w:type="dxa"/>
            <w:tcBorders>
              <w:top w:val="single" w:color="000000" w:sz="4" w:space="0"/>
              <w:left w:val="single" w:color="000000" w:sz="4" w:space="0"/>
              <w:bottom w:val="single" w:color="000000" w:sz="4" w:space="0"/>
              <w:right w:val="single" w:color="000000" w:sz="4" w:space="0"/>
            </w:tcBorders>
          </w:tcPr>
          <w:p>
            <w:pPr>
              <w:pStyle w:val="14"/>
              <w:spacing w:before="48"/>
              <w:ind w:left="20"/>
              <w:rPr>
                <w:rFonts w:ascii="Times New Roman"/>
                <w:sz w:val="18"/>
              </w:rPr>
            </w:pPr>
            <w:r>
              <w:rPr>
                <w:rFonts w:ascii="Times New Roman"/>
                <w:sz w:val="18"/>
              </w:rPr>
              <w:t>/</w:t>
            </w:r>
          </w:p>
        </w:tc>
        <w:tc>
          <w:tcPr>
            <w:tcW w:w="914" w:type="dxa"/>
            <w:tcBorders>
              <w:top w:val="single" w:color="000000" w:sz="4" w:space="0"/>
              <w:left w:val="single" w:color="000000" w:sz="4" w:space="0"/>
              <w:bottom w:val="single" w:color="000000" w:sz="4" w:space="0"/>
              <w:right w:val="single" w:color="000000" w:sz="4" w:space="0"/>
            </w:tcBorders>
          </w:tcPr>
          <w:p>
            <w:pPr>
              <w:pStyle w:val="14"/>
              <w:spacing w:before="48"/>
              <w:ind w:left="18"/>
              <w:rPr>
                <w:rFonts w:ascii="Times New Roman"/>
                <w:sz w:val="18"/>
              </w:rPr>
            </w:pPr>
            <w:r>
              <w:rPr>
                <w:rFonts w:ascii="Times New Roman"/>
                <w:sz w:val="18"/>
              </w:rPr>
              <w:t>0</w:t>
            </w:r>
          </w:p>
        </w:tc>
        <w:tc>
          <w:tcPr>
            <w:tcW w:w="898" w:type="dxa"/>
            <w:vMerge w:val="continue"/>
            <w:tcBorders>
              <w:top w:val="nil"/>
              <w:left w:val="single" w:color="000000" w:sz="4" w:space="0"/>
              <w:bottom w:val="single" w:color="000000" w:sz="4" w:space="0"/>
              <w:right w:val="single" w:color="000000" w:sz="4" w:space="0"/>
            </w:tcBorders>
          </w:tcPr>
          <w:p>
            <w:pPr>
              <w:rPr>
                <w:sz w:val="2"/>
                <w:szCs w:val="2"/>
              </w:rPr>
            </w:pPr>
          </w:p>
        </w:tc>
        <w:tc>
          <w:tcPr>
            <w:tcW w:w="898" w:type="dxa"/>
            <w:tcBorders>
              <w:top w:val="single" w:color="000000" w:sz="4" w:space="0"/>
              <w:left w:val="single" w:color="000000" w:sz="4" w:space="0"/>
              <w:bottom w:val="single" w:color="000000" w:sz="4" w:space="0"/>
              <w:right w:val="single" w:color="000000" w:sz="4" w:space="0"/>
            </w:tcBorders>
          </w:tcPr>
          <w:p>
            <w:pPr>
              <w:pStyle w:val="14"/>
              <w:spacing w:before="46"/>
              <w:ind w:right="298"/>
              <w:jc w:val="right"/>
              <w:rPr>
                <w:rFonts w:ascii="Times New Roman"/>
                <w:sz w:val="18"/>
              </w:rPr>
            </w:pPr>
            <w:r>
              <w:rPr>
                <w:rFonts w:ascii="Times New Roman"/>
                <w:sz w:val="18"/>
              </w:rPr>
              <w:t>200</w:t>
            </w:r>
          </w:p>
        </w:tc>
        <w:tc>
          <w:tcPr>
            <w:tcW w:w="897" w:type="dxa"/>
            <w:tcBorders>
              <w:top w:val="single" w:color="000000" w:sz="4" w:space="0"/>
              <w:left w:val="single" w:color="000000" w:sz="4" w:space="0"/>
              <w:bottom w:val="single" w:color="000000" w:sz="4" w:space="0"/>
              <w:right w:val="single" w:color="000000" w:sz="4" w:space="0"/>
            </w:tcBorders>
          </w:tcPr>
          <w:p>
            <w:pPr>
              <w:pStyle w:val="14"/>
              <w:spacing w:before="46"/>
              <w:ind w:left="250"/>
              <w:jc w:val="left"/>
              <w:rPr>
                <w:rFonts w:ascii="Times New Roman"/>
                <w:sz w:val="18"/>
              </w:rPr>
            </w:pPr>
            <w:r>
              <w:rPr>
                <w:rFonts w:ascii="Times New Roman"/>
                <w:sz w:val="18"/>
              </w:rPr>
              <w:t>0.872</w:t>
            </w:r>
          </w:p>
        </w:tc>
        <w:tc>
          <w:tcPr>
            <w:tcW w:w="899" w:type="dxa"/>
            <w:tcBorders>
              <w:top w:val="single" w:color="000000" w:sz="4" w:space="0"/>
              <w:left w:val="single" w:color="000000" w:sz="4" w:space="0"/>
              <w:bottom w:val="single" w:color="000000" w:sz="4" w:space="0"/>
              <w:right w:val="single" w:color="000000" w:sz="4" w:space="0"/>
            </w:tcBorders>
          </w:tcPr>
          <w:p>
            <w:pPr>
              <w:pStyle w:val="14"/>
              <w:spacing w:before="46"/>
              <w:ind w:left="296"/>
              <w:jc w:val="left"/>
              <w:rPr>
                <w:rFonts w:ascii="Times New Roman"/>
                <w:sz w:val="18"/>
              </w:rPr>
            </w:pPr>
            <w:r>
              <w:rPr>
                <w:rFonts w:ascii="Times New Roman"/>
                <w:sz w:val="18"/>
              </w:rPr>
              <w:t>2.83</w:t>
            </w:r>
          </w:p>
        </w:tc>
        <w:tc>
          <w:tcPr>
            <w:tcW w:w="879" w:type="dxa"/>
            <w:tcBorders>
              <w:top w:val="single" w:color="000000" w:sz="4" w:space="0"/>
              <w:left w:val="single" w:color="000000" w:sz="4" w:space="0"/>
              <w:bottom w:val="single" w:color="000000" w:sz="4" w:space="0"/>
              <w:right w:val="single" w:color="000000" w:sz="4" w:space="0"/>
            </w:tcBorders>
          </w:tcPr>
          <w:p>
            <w:pPr>
              <w:pStyle w:val="14"/>
              <w:spacing w:before="48"/>
              <w:ind w:left="289" w:right="270"/>
              <w:rPr>
                <w:rFonts w:ascii="Times New Roman"/>
                <w:sz w:val="18"/>
              </w:rPr>
            </w:pPr>
            <w:r>
              <w:rPr>
                <w:rFonts w:ascii="Times New Roman"/>
                <w:sz w:val="18"/>
              </w:rPr>
              <w:t>300</w:t>
            </w:r>
          </w:p>
        </w:tc>
        <w:tc>
          <w:tcPr>
            <w:tcW w:w="87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1" w:hRule="atLeast"/>
        </w:trPr>
        <w:tc>
          <w:tcPr>
            <w:tcW w:w="564" w:type="dxa"/>
            <w:vMerge w:val="continue"/>
            <w:tcBorders>
              <w:top w:val="nil"/>
              <w:right w:val="single" w:color="000000" w:sz="4" w:space="0"/>
            </w:tcBorders>
          </w:tcPr>
          <w:p>
            <w:pPr>
              <w:rPr>
                <w:sz w:val="2"/>
                <w:szCs w:val="2"/>
              </w:rPr>
            </w:pPr>
          </w:p>
        </w:tc>
        <w:tc>
          <w:tcPr>
            <w:tcW w:w="1323" w:type="dxa"/>
            <w:vMerge w:val="restart"/>
            <w:tcBorders>
              <w:top w:val="single" w:color="000000" w:sz="4" w:space="0"/>
              <w:left w:val="single" w:color="000000" w:sz="4" w:space="0"/>
              <w:bottom w:val="single" w:color="000000" w:sz="4" w:space="0"/>
              <w:right w:val="single" w:color="000000" w:sz="4" w:space="0"/>
            </w:tcBorders>
          </w:tcPr>
          <w:p>
            <w:pPr>
              <w:pStyle w:val="14"/>
              <w:jc w:val="left"/>
              <w:rPr>
                <w:b/>
                <w:sz w:val="18"/>
              </w:rPr>
            </w:pPr>
          </w:p>
          <w:p>
            <w:pPr>
              <w:pStyle w:val="14"/>
              <w:spacing w:before="127"/>
              <w:ind w:left="215"/>
              <w:jc w:val="left"/>
              <w:rPr>
                <w:sz w:val="18"/>
              </w:rPr>
            </w:pPr>
            <w:r>
              <w:rPr>
                <w:sz w:val="18"/>
              </w:rPr>
              <w:t>锅炉房烟囱</w:t>
            </w:r>
          </w:p>
        </w:tc>
        <w:tc>
          <w:tcPr>
            <w:tcW w:w="677" w:type="dxa"/>
            <w:tcBorders>
              <w:top w:val="single" w:color="000000" w:sz="4" w:space="0"/>
              <w:left w:val="single" w:color="000000" w:sz="4" w:space="0"/>
              <w:bottom w:val="single" w:color="000000" w:sz="4" w:space="0"/>
              <w:right w:val="single" w:color="000000" w:sz="4" w:space="0"/>
            </w:tcBorders>
          </w:tcPr>
          <w:p>
            <w:pPr>
              <w:pStyle w:val="14"/>
              <w:spacing w:before="36"/>
              <w:ind w:left="161"/>
              <w:jc w:val="left"/>
              <w:rPr>
                <w:sz w:val="18"/>
              </w:rPr>
            </w:pPr>
            <w:r>
              <w:rPr>
                <w:sz w:val="18"/>
              </w:rPr>
              <w:t>烟尘</w:t>
            </w:r>
          </w:p>
        </w:tc>
        <w:tc>
          <w:tcPr>
            <w:tcW w:w="1038" w:type="dxa"/>
            <w:vMerge w:val="restart"/>
            <w:tcBorders>
              <w:top w:val="single" w:color="000000" w:sz="4" w:space="0"/>
              <w:left w:val="single" w:color="000000" w:sz="4" w:space="0"/>
              <w:bottom w:val="single" w:color="000000" w:sz="4" w:space="0"/>
              <w:right w:val="single" w:color="000000" w:sz="4" w:space="0"/>
            </w:tcBorders>
          </w:tcPr>
          <w:p>
            <w:pPr>
              <w:pStyle w:val="14"/>
              <w:spacing w:before="9"/>
              <w:jc w:val="left"/>
              <w:rPr>
                <w:b/>
                <w:sz w:val="15"/>
              </w:rPr>
            </w:pPr>
          </w:p>
          <w:p>
            <w:pPr>
              <w:pStyle w:val="14"/>
              <w:spacing w:line="324" w:lineRule="auto"/>
              <w:ind w:left="252" w:right="233" w:firstLine="91"/>
              <w:jc w:val="left"/>
              <w:rPr>
                <w:sz w:val="18"/>
              </w:rPr>
            </w:pPr>
            <w:r>
              <w:rPr>
                <w:sz w:val="18"/>
              </w:rPr>
              <w:t>物料衡算法</w:t>
            </w:r>
          </w:p>
        </w:tc>
        <w:tc>
          <w:tcPr>
            <w:tcW w:w="1037" w:type="dxa"/>
            <w:vMerge w:val="restart"/>
            <w:tcBorders>
              <w:top w:val="single" w:color="000000" w:sz="4" w:space="0"/>
              <w:left w:val="single" w:color="000000" w:sz="4" w:space="0"/>
              <w:bottom w:val="single" w:color="000000" w:sz="4" w:space="0"/>
              <w:right w:val="single" w:color="000000" w:sz="4" w:space="0"/>
            </w:tcBorders>
          </w:tcPr>
          <w:p>
            <w:pPr>
              <w:pStyle w:val="14"/>
              <w:spacing w:before="11"/>
              <w:jc w:val="left"/>
              <w:rPr>
                <w:b/>
                <w:sz w:val="28"/>
              </w:rPr>
            </w:pPr>
          </w:p>
          <w:p>
            <w:pPr>
              <w:pStyle w:val="14"/>
              <w:ind w:left="342"/>
              <w:jc w:val="left"/>
              <w:rPr>
                <w:rFonts w:ascii="Times New Roman"/>
                <w:sz w:val="18"/>
              </w:rPr>
            </w:pPr>
            <w:r>
              <w:rPr>
                <w:rFonts w:ascii="Times New Roman"/>
                <w:sz w:val="18"/>
              </w:rPr>
              <w:t>1508</w:t>
            </w:r>
          </w:p>
        </w:tc>
        <w:tc>
          <w:tcPr>
            <w:tcW w:w="1038" w:type="dxa"/>
            <w:tcBorders>
              <w:top w:val="single" w:color="000000" w:sz="4" w:space="0"/>
              <w:left w:val="single" w:color="000000" w:sz="4" w:space="0"/>
              <w:bottom w:val="single" w:color="000000" w:sz="4" w:space="0"/>
              <w:right w:val="single" w:color="000000" w:sz="4" w:space="0"/>
            </w:tcBorders>
          </w:tcPr>
          <w:p>
            <w:pPr>
              <w:pStyle w:val="14"/>
              <w:spacing w:before="48"/>
              <w:ind w:right="276"/>
              <w:jc w:val="right"/>
              <w:rPr>
                <w:rFonts w:ascii="Times New Roman"/>
                <w:sz w:val="18"/>
              </w:rPr>
            </w:pPr>
            <w:r>
              <w:rPr>
                <w:rFonts w:ascii="Times New Roman"/>
                <w:sz w:val="18"/>
              </w:rPr>
              <w:t>14250</w:t>
            </w:r>
          </w:p>
        </w:tc>
        <w:tc>
          <w:tcPr>
            <w:tcW w:w="1039" w:type="dxa"/>
            <w:tcBorders>
              <w:top w:val="single" w:color="000000" w:sz="4" w:space="0"/>
              <w:left w:val="single" w:color="000000" w:sz="4" w:space="0"/>
              <w:bottom w:val="single" w:color="000000" w:sz="4" w:space="0"/>
              <w:right w:val="single" w:color="000000" w:sz="4" w:space="0"/>
            </w:tcBorders>
          </w:tcPr>
          <w:p>
            <w:pPr>
              <w:pStyle w:val="14"/>
              <w:spacing w:before="48"/>
              <w:ind w:left="98" w:right="79"/>
              <w:rPr>
                <w:rFonts w:ascii="Times New Roman"/>
                <w:sz w:val="18"/>
              </w:rPr>
            </w:pPr>
            <w:r>
              <w:rPr>
                <w:rFonts w:ascii="Times New Roman"/>
                <w:sz w:val="18"/>
              </w:rPr>
              <w:t>110</w:t>
            </w:r>
          </w:p>
        </w:tc>
        <w:tc>
          <w:tcPr>
            <w:tcW w:w="1370" w:type="dxa"/>
            <w:tcBorders>
              <w:top w:val="single" w:color="000000" w:sz="4" w:space="0"/>
              <w:left w:val="single" w:color="000000" w:sz="4" w:space="0"/>
              <w:bottom w:val="single" w:color="000000" w:sz="4" w:space="0"/>
              <w:right w:val="single" w:color="000000" w:sz="4" w:space="0"/>
            </w:tcBorders>
          </w:tcPr>
          <w:p>
            <w:pPr>
              <w:pStyle w:val="14"/>
              <w:spacing w:before="36"/>
              <w:ind w:left="129" w:right="108"/>
              <w:rPr>
                <w:sz w:val="18"/>
              </w:rPr>
            </w:pPr>
            <w:r>
              <w:rPr>
                <w:sz w:val="18"/>
              </w:rPr>
              <w:t>布袋除尘器</w:t>
            </w:r>
          </w:p>
        </w:tc>
        <w:tc>
          <w:tcPr>
            <w:tcW w:w="914" w:type="dxa"/>
            <w:tcBorders>
              <w:top w:val="single" w:color="000000" w:sz="4" w:space="0"/>
              <w:left w:val="single" w:color="000000" w:sz="4" w:space="0"/>
              <w:bottom w:val="single" w:color="000000" w:sz="4" w:space="0"/>
              <w:right w:val="single" w:color="000000" w:sz="4" w:space="0"/>
            </w:tcBorders>
          </w:tcPr>
          <w:p>
            <w:pPr>
              <w:pStyle w:val="14"/>
              <w:spacing w:before="48"/>
              <w:ind w:left="185" w:right="167"/>
              <w:rPr>
                <w:rFonts w:ascii="Times New Roman"/>
                <w:sz w:val="18"/>
              </w:rPr>
            </w:pPr>
            <w:r>
              <w:rPr>
                <w:rFonts w:ascii="Times New Roman"/>
                <w:sz w:val="18"/>
              </w:rPr>
              <w:t>99.9</w:t>
            </w:r>
          </w:p>
        </w:tc>
        <w:tc>
          <w:tcPr>
            <w:tcW w:w="898" w:type="dxa"/>
            <w:vMerge w:val="restart"/>
            <w:tcBorders>
              <w:top w:val="single" w:color="000000" w:sz="4" w:space="0"/>
              <w:left w:val="single" w:color="000000" w:sz="4" w:space="0"/>
              <w:bottom w:val="single" w:color="000000" w:sz="4" w:space="0"/>
              <w:right w:val="single" w:color="000000" w:sz="4" w:space="0"/>
            </w:tcBorders>
          </w:tcPr>
          <w:p>
            <w:pPr>
              <w:pStyle w:val="14"/>
              <w:spacing w:before="11"/>
              <w:jc w:val="left"/>
              <w:rPr>
                <w:b/>
                <w:sz w:val="28"/>
              </w:rPr>
            </w:pPr>
          </w:p>
          <w:p>
            <w:pPr>
              <w:pStyle w:val="14"/>
              <w:ind w:left="272"/>
              <w:jc w:val="left"/>
              <w:rPr>
                <w:rFonts w:ascii="Times New Roman"/>
                <w:sz w:val="18"/>
              </w:rPr>
            </w:pPr>
            <w:r>
              <w:rPr>
                <w:rFonts w:ascii="Times New Roman"/>
                <w:sz w:val="18"/>
              </w:rPr>
              <w:t>1508</w:t>
            </w:r>
          </w:p>
        </w:tc>
        <w:tc>
          <w:tcPr>
            <w:tcW w:w="898" w:type="dxa"/>
            <w:tcBorders>
              <w:top w:val="single" w:color="000000" w:sz="4" w:space="0"/>
              <w:left w:val="single" w:color="000000" w:sz="4" w:space="0"/>
              <w:bottom w:val="single" w:color="000000" w:sz="4" w:space="0"/>
              <w:right w:val="single" w:color="000000" w:sz="4" w:space="0"/>
            </w:tcBorders>
          </w:tcPr>
          <w:p>
            <w:pPr>
              <w:pStyle w:val="14"/>
              <w:spacing w:before="48"/>
              <w:ind w:right="228"/>
              <w:jc w:val="right"/>
              <w:rPr>
                <w:rFonts w:ascii="Times New Roman"/>
                <w:sz w:val="18"/>
              </w:rPr>
            </w:pPr>
            <w:r>
              <w:rPr>
                <w:rFonts w:ascii="Times New Roman"/>
                <w:sz w:val="18"/>
              </w:rPr>
              <w:t>14.25</w:t>
            </w:r>
          </w:p>
        </w:tc>
        <w:tc>
          <w:tcPr>
            <w:tcW w:w="897" w:type="dxa"/>
            <w:tcBorders>
              <w:top w:val="single" w:color="000000" w:sz="4" w:space="0"/>
              <w:left w:val="single" w:color="000000" w:sz="4" w:space="0"/>
              <w:bottom w:val="single" w:color="000000" w:sz="4" w:space="0"/>
              <w:right w:val="single" w:color="000000" w:sz="4" w:space="0"/>
            </w:tcBorders>
          </w:tcPr>
          <w:p>
            <w:pPr>
              <w:pStyle w:val="14"/>
              <w:spacing w:before="48"/>
              <w:ind w:left="250"/>
              <w:jc w:val="left"/>
              <w:rPr>
                <w:rFonts w:ascii="Times New Roman"/>
                <w:sz w:val="18"/>
              </w:rPr>
            </w:pPr>
            <w:r>
              <w:rPr>
                <w:rFonts w:ascii="Times New Roman"/>
                <w:sz w:val="18"/>
              </w:rPr>
              <w:t>0.021</w:t>
            </w:r>
          </w:p>
        </w:tc>
        <w:tc>
          <w:tcPr>
            <w:tcW w:w="899" w:type="dxa"/>
            <w:tcBorders>
              <w:top w:val="single" w:color="000000" w:sz="4" w:space="0"/>
              <w:left w:val="single" w:color="000000" w:sz="4" w:space="0"/>
              <w:bottom w:val="single" w:color="000000" w:sz="4" w:space="0"/>
              <w:right w:val="single" w:color="000000" w:sz="4" w:space="0"/>
            </w:tcBorders>
          </w:tcPr>
          <w:p>
            <w:pPr>
              <w:pStyle w:val="14"/>
              <w:spacing w:before="48"/>
              <w:ind w:left="298"/>
              <w:jc w:val="left"/>
              <w:rPr>
                <w:rFonts w:ascii="Times New Roman"/>
                <w:sz w:val="18"/>
              </w:rPr>
            </w:pPr>
            <w:r>
              <w:rPr>
                <w:rFonts w:ascii="Times New Roman"/>
                <w:sz w:val="18"/>
              </w:rPr>
              <w:t>0.11</w:t>
            </w:r>
          </w:p>
        </w:tc>
        <w:tc>
          <w:tcPr>
            <w:tcW w:w="879" w:type="dxa"/>
            <w:tcBorders>
              <w:top w:val="single" w:color="000000" w:sz="4" w:space="0"/>
              <w:left w:val="single" w:color="000000" w:sz="4" w:space="0"/>
              <w:bottom w:val="single" w:color="000000" w:sz="4" w:space="0"/>
              <w:right w:val="single" w:color="000000" w:sz="4" w:space="0"/>
            </w:tcBorders>
          </w:tcPr>
          <w:p>
            <w:pPr>
              <w:pStyle w:val="14"/>
              <w:spacing w:before="48"/>
              <w:ind w:left="287" w:right="270"/>
              <w:rPr>
                <w:rFonts w:ascii="Times New Roman"/>
                <w:sz w:val="18"/>
              </w:rPr>
            </w:pPr>
            <w:r>
              <w:rPr>
                <w:rFonts w:ascii="Times New Roman"/>
                <w:sz w:val="18"/>
              </w:rPr>
              <w:t>50</w:t>
            </w:r>
          </w:p>
        </w:tc>
        <w:tc>
          <w:tcPr>
            <w:tcW w:w="879" w:type="dxa"/>
            <w:vMerge w:val="restart"/>
            <w:tcBorders>
              <w:top w:val="single" w:color="000000" w:sz="4" w:space="0"/>
              <w:left w:val="single" w:color="000000" w:sz="4" w:space="0"/>
              <w:bottom w:val="single" w:color="000000" w:sz="4" w:space="0"/>
            </w:tcBorders>
          </w:tcPr>
          <w:p>
            <w:pPr>
              <w:pStyle w:val="14"/>
              <w:spacing w:before="11"/>
              <w:jc w:val="left"/>
              <w:rPr>
                <w:b/>
                <w:sz w:val="28"/>
              </w:rPr>
            </w:pPr>
          </w:p>
          <w:p>
            <w:pPr>
              <w:pStyle w:val="14"/>
              <w:ind w:left="263"/>
              <w:jc w:val="left"/>
              <w:rPr>
                <w:rFonts w:ascii="Times New Roman"/>
                <w:sz w:val="18"/>
              </w:rPr>
            </w:pPr>
            <w:r>
              <w:rPr>
                <w:rFonts w:ascii="Times New Roman"/>
                <w:sz w:val="18"/>
              </w:rPr>
              <w:t>5040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564" w:type="dxa"/>
            <w:vMerge w:val="continue"/>
            <w:tcBorders>
              <w:top w:val="nil"/>
              <w:right w:val="single" w:color="000000" w:sz="4" w:space="0"/>
            </w:tcBorders>
          </w:tcPr>
          <w:p>
            <w:pPr>
              <w:rPr>
                <w:sz w:val="2"/>
                <w:szCs w:val="2"/>
              </w:rPr>
            </w:pPr>
          </w:p>
        </w:tc>
        <w:tc>
          <w:tcPr>
            <w:tcW w:w="1323" w:type="dxa"/>
            <w:vMerge w:val="continue"/>
            <w:tcBorders>
              <w:top w:val="nil"/>
              <w:left w:val="single" w:color="000000" w:sz="4" w:space="0"/>
              <w:bottom w:val="single" w:color="000000" w:sz="4" w:space="0"/>
              <w:right w:val="single" w:color="000000" w:sz="4" w:space="0"/>
            </w:tcBorders>
          </w:tcPr>
          <w:p>
            <w:pPr>
              <w:rPr>
                <w:sz w:val="2"/>
                <w:szCs w:val="2"/>
              </w:rPr>
            </w:pPr>
          </w:p>
        </w:tc>
        <w:tc>
          <w:tcPr>
            <w:tcW w:w="677" w:type="dxa"/>
            <w:tcBorders>
              <w:top w:val="single" w:color="000000" w:sz="4" w:space="0"/>
              <w:left w:val="single" w:color="000000" w:sz="4" w:space="0"/>
              <w:bottom w:val="single" w:color="000000" w:sz="4" w:space="0"/>
              <w:right w:val="single" w:color="000000" w:sz="4" w:space="0"/>
            </w:tcBorders>
          </w:tcPr>
          <w:p>
            <w:pPr>
              <w:pStyle w:val="14"/>
              <w:spacing w:before="52"/>
              <w:ind w:left="200"/>
              <w:jc w:val="left"/>
              <w:rPr>
                <w:rFonts w:ascii="Times New Roman"/>
                <w:sz w:val="18"/>
              </w:rPr>
            </w:pPr>
            <w:r>
              <w:rPr>
                <w:rFonts w:ascii="Times New Roman"/>
                <w:position w:val="1"/>
                <w:sz w:val="18"/>
              </w:rPr>
              <w:t>SO</w:t>
            </w:r>
            <w:r>
              <w:rPr>
                <w:rFonts w:ascii="Times New Roman"/>
                <w:position w:val="1"/>
                <w:sz w:val="18"/>
                <w:vertAlign w:val="subscript"/>
              </w:rPr>
              <w:t>2</w:t>
            </w:r>
          </w:p>
        </w:tc>
        <w:tc>
          <w:tcPr>
            <w:tcW w:w="1038" w:type="dxa"/>
            <w:vMerge w:val="continue"/>
            <w:tcBorders>
              <w:top w:val="nil"/>
              <w:left w:val="single" w:color="000000" w:sz="4" w:space="0"/>
              <w:bottom w:val="single" w:color="000000" w:sz="4" w:space="0"/>
              <w:right w:val="single" w:color="000000" w:sz="4" w:space="0"/>
            </w:tcBorders>
          </w:tcPr>
          <w:p>
            <w:pPr>
              <w:rPr>
                <w:sz w:val="2"/>
                <w:szCs w:val="2"/>
              </w:rPr>
            </w:pPr>
          </w:p>
        </w:tc>
        <w:tc>
          <w:tcPr>
            <w:tcW w:w="1037" w:type="dxa"/>
            <w:vMerge w:val="continue"/>
            <w:tcBorders>
              <w:top w:val="nil"/>
              <w:left w:val="single" w:color="000000" w:sz="4" w:space="0"/>
              <w:bottom w:val="single" w:color="000000" w:sz="4" w:space="0"/>
              <w:right w:val="single" w:color="000000" w:sz="4" w:space="0"/>
            </w:tcBorders>
          </w:tcPr>
          <w:p>
            <w:pPr>
              <w:rPr>
                <w:sz w:val="2"/>
                <w:szCs w:val="2"/>
              </w:rPr>
            </w:pPr>
          </w:p>
        </w:tc>
        <w:tc>
          <w:tcPr>
            <w:tcW w:w="1038" w:type="dxa"/>
            <w:tcBorders>
              <w:top w:val="single" w:color="000000" w:sz="4" w:space="0"/>
              <w:left w:val="single" w:color="000000" w:sz="4" w:space="0"/>
              <w:bottom w:val="single" w:color="000000" w:sz="4" w:space="0"/>
              <w:right w:val="single" w:color="000000" w:sz="4" w:space="0"/>
            </w:tcBorders>
          </w:tcPr>
          <w:p>
            <w:pPr>
              <w:pStyle w:val="14"/>
              <w:spacing w:before="47"/>
              <w:ind w:right="298"/>
              <w:jc w:val="right"/>
              <w:rPr>
                <w:rFonts w:ascii="Times New Roman"/>
                <w:sz w:val="18"/>
              </w:rPr>
            </w:pPr>
            <w:r>
              <w:rPr>
                <w:rFonts w:ascii="Times New Roman"/>
                <w:sz w:val="18"/>
              </w:rPr>
              <w:t>22.84</w:t>
            </w:r>
          </w:p>
        </w:tc>
        <w:tc>
          <w:tcPr>
            <w:tcW w:w="1039" w:type="dxa"/>
            <w:tcBorders>
              <w:top w:val="single" w:color="000000" w:sz="4" w:space="0"/>
              <w:left w:val="single" w:color="000000" w:sz="4" w:space="0"/>
              <w:bottom w:val="single" w:color="000000" w:sz="4" w:space="0"/>
              <w:right w:val="single" w:color="000000" w:sz="4" w:space="0"/>
            </w:tcBorders>
          </w:tcPr>
          <w:p>
            <w:pPr>
              <w:pStyle w:val="14"/>
              <w:spacing w:before="47"/>
              <w:ind w:left="100" w:right="79"/>
              <w:rPr>
                <w:rFonts w:ascii="Times New Roman"/>
                <w:sz w:val="18"/>
              </w:rPr>
            </w:pPr>
            <w:r>
              <w:rPr>
                <w:rFonts w:ascii="Times New Roman"/>
                <w:sz w:val="18"/>
              </w:rPr>
              <w:t>0.17</w:t>
            </w:r>
          </w:p>
        </w:tc>
        <w:tc>
          <w:tcPr>
            <w:tcW w:w="1370" w:type="dxa"/>
            <w:tcBorders>
              <w:top w:val="single" w:color="000000" w:sz="4" w:space="0"/>
              <w:left w:val="single" w:color="000000" w:sz="4" w:space="0"/>
              <w:bottom w:val="single" w:color="000000" w:sz="4" w:space="0"/>
              <w:right w:val="single" w:color="000000" w:sz="4" w:space="0"/>
            </w:tcBorders>
          </w:tcPr>
          <w:p>
            <w:pPr>
              <w:pStyle w:val="14"/>
              <w:spacing w:before="47"/>
              <w:ind w:left="20"/>
              <w:rPr>
                <w:rFonts w:ascii="Times New Roman"/>
                <w:sz w:val="18"/>
              </w:rPr>
            </w:pPr>
            <w:r>
              <w:rPr>
                <w:rFonts w:ascii="Times New Roman"/>
                <w:sz w:val="18"/>
              </w:rPr>
              <w:t>/</w:t>
            </w:r>
          </w:p>
        </w:tc>
        <w:tc>
          <w:tcPr>
            <w:tcW w:w="914" w:type="dxa"/>
            <w:tcBorders>
              <w:top w:val="single" w:color="000000" w:sz="4" w:space="0"/>
              <w:left w:val="single" w:color="000000" w:sz="4" w:space="0"/>
              <w:bottom w:val="single" w:color="000000" w:sz="4" w:space="0"/>
              <w:right w:val="single" w:color="000000" w:sz="4" w:space="0"/>
            </w:tcBorders>
          </w:tcPr>
          <w:p>
            <w:pPr>
              <w:pStyle w:val="14"/>
              <w:spacing w:before="47"/>
              <w:ind w:left="18"/>
              <w:rPr>
                <w:rFonts w:ascii="Times New Roman"/>
                <w:sz w:val="18"/>
              </w:rPr>
            </w:pPr>
            <w:r>
              <w:rPr>
                <w:rFonts w:ascii="Times New Roman"/>
                <w:sz w:val="18"/>
              </w:rPr>
              <w:t>0</w:t>
            </w:r>
          </w:p>
        </w:tc>
        <w:tc>
          <w:tcPr>
            <w:tcW w:w="898" w:type="dxa"/>
            <w:vMerge w:val="continue"/>
            <w:tcBorders>
              <w:top w:val="nil"/>
              <w:left w:val="single" w:color="000000" w:sz="4" w:space="0"/>
              <w:bottom w:val="single" w:color="000000" w:sz="4" w:space="0"/>
              <w:right w:val="single" w:color="000000" w:sz="4" w:space="0"/>
            </w:tcBorders>
          </w:tcPr>
          <w:p>
            <w:pPr>
              <w:rPr>
                <w:sz w:val="2"/>
                <w:szCs w:val="2"/>
              </w:rPr>
            </w:pPr>
          </w:p>
        </w:tc>
        <w:tc>
          <w:tcPr>
            <w:tcW w:w="898" w:type="dxa"/>
            <w:tcBorders>
              <w:top w:val="single" w:color="000000" w:sz="4" w:space="0"/>
              <w:left w:val="single" w:color="000000" w:sz="4" w:space="0"/>
              <w:bottom w:val="single" w:color="000000" w:sz="4" w:space="0"/>
              <w:right w:val="single" w:color="000000" w:sz="4" w:space="0"/>
            </w:tcBorders>
          </w:tcPr>
          <w:p>
            <w:pPr>
              <w:pStyle w:val="14"/>
              <w:spacing w:before="47"/>
              <w:ind w:right="228"/>
              <w:jc w:val="right"/>
              <w:rPr>
                <w:rFonts w:ascii="Times New Roman"/>
                <w:sz w:val="18"/>
              </w:rPr>
            </w:pPr>
            <w:r>
              <w:rPr>
                <w:rFonts w:ascii="Times New Roman"/>
                <w:sz w:val="18"/>
              </w:rPr>
              <w:t>22.84</w:t>
            </w:r>
          </w:p>
        </w:tc>
        <w:tc>
          <w:tcPr>
            <w:tcW w:w="897" w:type="dxa"/>
            <w:tcBorders>
              <w:top w:val="single" w:color="000000" w:sz="4" w:space="0"/>
              <w:left w:val="single" w:color="000000" w:sz="4" w:space="0"/>
              <w:bottom w:val="single" w:color="000000" w:sz="4" w:space="0"/>
              <w:right w:val="single" w:color="000000" w:sz="4" w:space="0"/>
            </w:tcBorders>
          </w:tcPr>
          <w:p>
            <w:pPr>
              <w:pStyle w:val="14"/>
              <w:spacing w:before="47"/>
              <w:ind w:left="250"/>
              <w:jc w:val="left"/>
              <w:rPr>
                <w:rFonts w:ascii="Times New Roman"/>
                <w:sz w:val="18"/>
              </w:rPr>
            </w:pPr>
            <w:r>
              <w:rPr>
                <w:rFonts w:ascii="Times New Roman"/>
                <w:sz w:val="18"/>
              </w:rPr>
              <w:t>0.035</w:t>
            </w:r>
          </w:p>
        </w:tc>
        <w:tc>
          <w:tcPr>
            <w:tcW w:w="899" w:type="dxa"/>
            <w:tcBorders>
              <w:top w:val="single" w:color="000000" w:sz="4" w:space="0"/>
              <w:left w:val="single" w:color="000000" w:sz="4" w:space="0"/>
              <w:bottom w:val="single" w:color="000000" w:sz="4" w:space="0"/>
              <w:right w:val="single" w:color="000000" w:sz="4" w:space="0"/>
            </w:tcBorders>
          </w:tcPr>
          <w:p>
            <w:pPr>
              <w:pStyle w:val="14"/>
              <w:spacing w:before="47"/>
              <w:ind w:left="296"/>
              <w:jc w:val="left"/>
              <w:rPr>
                <w:rFonts w:ascii="Times New Roman"/>
                <w:sz w:val="18"/>
              </w:rPr>
            </w:pPr>
            <w:r>
              <w:rPr>
                <w:rFonts w:ascii="Times New Roman"/>
                <w:sz w:val="18"/>
              </w:rPr>
              <w:t>0.17</w:t>
            </w:r>
          </w:p>
        </w:tc>
        <w:tc>
          <w:tcPr>
            <w:tcW w:w="879" w:type="dxa"/>
            <w:tcBorders>
              <w:top w:val="single" w:color="000000" w:sz="4" w:space="0"/>
              <w:left w:val="single" w:color="000000" w:sz="4" w:space="0"/>
              <w:bottom w:val="single" w:color="000000" w:sz="4" w:space="0"/>
              <w:right w:val="single" w:color="000000" w:sz="4" w:space="0"/>
            </w:tcBorders>
          </w:tcPr>
          <w:p>
            <w:pPr>
              <w:pStyle w:val="14"/>
              <w:spacing w:before="47"/>
              <w:ind w:left="289" w:right="270"/>
              <w:rPr>
                <w:rFonts w:ascii="Times New Roman"/>
                <w:sz w:val="18"/>
              </w:rPr>
            </w:pPr>
            <w:r>
              <w:rPr>
                <w:rFonts w:ascii="Times New Roman"/>
                <w:sz w:val="18"/>
              </w:rPr>
              <w:t>300</w:t>
            </w:r>
          </w:p>
        </w:tc>
        <w:tc>
          <w:tcPr>
            <w:tcW w:w="87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1" w:hRule="atLeast"/>
        </w:trPr>
        <w:tc>
          <w:tcPr>
            <w:tcW w:w="564" w:type="dxa"/>
            <w:vMerge w:val="continue"/>
            <w:tcBorders>
              <w:top w:val="nil"/>
              <w:right w:val="single" w:color="000000" w:sz="4" w:space="0"/>
            </w:tcBorders>
          </w:tcPr>
          <w:p>
            <w:pPr>
              <w:rPr>
                <w:sz w:val="2"/>
                <w:szCs w:val="2"/>
              </w:rPr>
            </w:pPr>
          </w:p>
        </w:tc>
        <w:tc>
          <w:tcPr>
            <w:tcW w:w="1323" w:type="dxa"/>
            <w:vMerge w:val="continue"/>
            <w:tcBorders>
              <w:top w:val="nil"/>
              <w:left w:val="single" w:color="000000" w:sz="4" w:space="0"/>
              <w:bottom w:val="single" w:color="000000" w:sz="4" w:space="0"/>
              <w:right w:val="single" w:color="000000" w:sz="4" w:space="0"/>
            </w:tcBorders>
          </w:tcPr>
          <w:p>
            <w:pPr>
              <w:rPr>
                <w:sz w:val="2"/>
                <w:szCs w:val="2"/>
              </w:rPr>
            </w:pPr>
          </w:p>
        </w:tc>
        <w:tc>
          <w:tcPr>
            <w:tcW w:w="677" w:type="dxa"/>
            <w:tcBorders>
              <w:top w:val="single" w:color="000000" w:sz="4" w:space="0"/>
              <w:left w:val="single" w:color="000000" w:sz="4" w:space="0"/>
              <w:bottom w:val="single" w:color="000000" w:sz="4" w:space="0"/>
              <w:right w:val="single" w:color="000000" w:sz="4" w:space="0"/>
            </w:tcBorders>
          </w:tcPr>
          <w:p>
            <w:pPr>
              <w:pStyle w:val="14"/>
              <w:spacing w:before="47"/>
              <w:ind w:left="168"/>
              <w:jc w:val="left"/>
              <w:rPr>
                <w:rFonts w:ascii="Times New Roman"/>
                <w:sz w:val="18"/>
              </w:rPr>
            </w:pPr>
            <w:r>
              <w:rPr>
                <w:rFonts w:ascii="Times New Roman"/>
                <w:sz w:val="18"/>
              </w:rPr>
              <w:t>NOx</w:t>
            </w:r>
          </w:p>
        </w:tc>
        <w:tc>
          <w:tcPr>
            <w:tcW w:w="1038" w:type="dxa"/>
            <w:vMerge w:val="continue"/>
            <w:tcBorders>
              <w:top w:val="nil"/>
              <w:left w:val="single" w:color="000000" w:sz="4" w:space="0"/>
              <w:bottom w:val="single" w:color="000000" w:sz="4" w:space="0"/>
              <w:right w:val="single" w:color="000000" w:sz="4" w:space="0"/>
            </w:tcBorders>
          </w:tcPr>
          <w:p>
            <w:pPr>
              <w:rPr>
                <w:sz w:val="2"/>
                <w:szCs w:val="2"/>
              </w:rPr>
            </w:pPr>
          </w:p>
        </w:tc>
        <w:tc>
          <w:tcPr>
            <w:tcW w:w="1037" w:type="dxa"/>
            <w:vMerge w:val="continue"/>
            <w:tcBorders>
              <w:top w:val="nil"/>
              <w:left w:val="single" w:color="000000" w:sz="4" w:space="0"/>
              <w:bottom w:val="single" w:color="000000" w:sz="4" w:space="0"/>
              <w:right w:val="single" w:color="000000" w:sz="4" w:space="0"/>
            </w:tcBorders>
          </w:tcPr>
          <w:p>
            <w:pPr>
              <w:rPr>
                <w:sz w:val="2"/>
                <w:szCs w:val="2"/>
              </w:rPr>
            </w:pPr>
          </w:p>
        </w:tc>
        <w:tc>
          <w:tcPr>
            <w:tcW w:w="1038" w:type="dxa"/>
            <w:tcBorders>
              <w:top w:val="single" w:color="000000" w:sz="4" w:space="0"/>
              <w:left w:val="single" w:color="000000" w:sz="4" w:space="0"/>
              <w:bottom w:val="single" w:color="000000" w:sz="4" w:space="0"/>
              <w:right w:val="single" w:color="000000" w:sz="4" w:space="0"/>
            </w:tcBorders>
          </w:tcPr>
          <w:p>
            <w:pPr>
              <w:pStyle w:val="14"/>
              <w:spacing w:before="47"/>
              <w:ind w:right="368"/>
              <w:jc w:val="right"/>
              <w:rPr>
                <w:rFonts w:ascii="Times New Roman"/>
                <w:sz w:val="18"/>
              </w:rPr>
            </w:pPr>
            <w:r>
              <w:rPr>
                <w:rFonts w:ascii="Times New Roman"/>
                <w:sz w:val="18"/>
              </w:rPr>
              <w:t>200</w:t>
            </w:r>
          </w:p>
        </w:tc>
        <w:tc>
          <w:tcPr>
            <w:tcW w:w="1039" w:type="dxa"/>
            <w:tcBorders>
              <w:top w:val="single" w:color="000000" w:sz="4" w:space="0"/>
              <w:left w:val="single" w:color="000000" w:sz="4" w:space="0"/>
              <w:bottom w:val="single" w:color="000000" w:sz="4" w:space="0"/>
              <w:right w:val="single" w:color="000000" w:sz="4" w:space="0"/>
            </w:tcBorders>
          </w:tcPr>
          <w:p>
            <w:pPr>
              <w:pStyle w:val="14"/>
              <w:spacing w:before="47"/>
              <w:ind w:left="100" w:right="79"/>
              <w:rPr>
                <w:rFonts w:ascii="Times New Roman"/>
                <w:sz w:val="18"/>
              </w:rPr>
            </w:pPr>
            <w:r>
              <w:rPr>
                <w:rFonts w:ascii="Times New Roman"/>
                <w:sz w:val="18"/>
              </w:rPr>
              <w:t>1.52</w:t>
            </w:r>
          </w:p>
        </w:tc>
        <w:tc>
          <w:tcPr>
            <w:tcW w:w="1370" w:type="dxa"/>
            <w:tcBorders>
              <w:top w:val="single" w:color="000000" w:sz="4" w:space="0"/>
              <w:left w:val="single" w:color="000000" w:sz="4" w:space="0"/>
              <w:bottom w:val="single" w:color="000000" w:sz="4" w:space="0"/>
              <w:right w:val="single" w:color="000000" w:sz="4" w:space="0"/>
            </w:tcBorders>
          </w:tcPr>
          <w:p>
            <w:pPr>
              <w:pStyle w:val="14"/>
              <w:spacing w:before="47"/>
              <w:ind w:left="20"/>
              <w:rPr>
                <w:rFonts w:ascii="Times New Roman"/>
                <w:sz w:val="18"/>
              </w:rPr>
            </w:pPr>
            <w:r>
              <w:rPr>
                <w:rFonts w:ascii="Times New Roman"/>
                <w:sz w:val="18"/>
              </w:rPr>
              <w:t>/</w:t>
            </w:r>
          </w:p>
        </w:tc>
        <w:tc>
          <w:tcPr>
            <w:tcW w:w="914" w:type="dxa"/>
            <w:tcBorders>
              <w:top w:val="single" w:color="000000" w:sz="4" w:space="0"/>
              <w:left w:val="single" w:color="000000" w:sz="4" w:space="0"/>
              <w:bottom w:val="single" w:color="000000" w:sz="4" w:space="0"/>
              <w:right w:val="single" w:color="000000" w:sz="4" w:space="0"/>
            </w:tcBorders>
          </w:tcPr>
          <w:p>
            <w:pPr>
              <w:pStyle w:val="14"/>
              <w:spacing w:before="47"/>
              <w:ind w:left="18"/>
              <w:rPr>
                <w:rFonts w:ascii="Times New Roman"/>
                <w:sz w:val="18"/>
              </w:rPr>
            </w:pPr>
            <w:r>
              <w:rPr>
                <w:rFonts w:ascii="Times New Roman"/>
                <w:sz w:val="18"/>
              </w:rPr>
              <w:t>0</w:t>
            </w:r>
          </w:p>
        </w:tc>
        <w:tc>
          <w:tcPr>
            <w:tcW w:w="898" w:type="dxa"/>
            <w:vMerge w:val="continue"/>
            <w:tcBorders>
              <w:top w:val="nil"/>
              <w:left w:val="single" w:color="000000" w:sz="4" w:space="0"/>
              <w:bottom w:val="single" w:color="000000" w:sz="4" w:space="0"/>
              <w:right w:val="single" w:color="000000" w:sz="4" w:space="0"/>
            </w:tcBorders>
          </w:tcPr>
          <w:p>
            <w:pPr>
              <w:rPr>
                <w:sz w:val="2"/>
                <w:szCs w:val="2"/>
              </w:rPr>
            </w:pPr>
          </w:p>
        </w:tc>
        <w:tc>
          <w:tcPr>
            <w:tcW w:w="898" w:type="dxa"/>
            <w:tcBorders>
              <w:top w:val="single" w:color="000000" w:sz="4" w:space="0"/>
              <w:left w:val="single" w:color="000000" w:sz="4" w:space="0"/>
              <w:bottom w:val="single" w:color="000000" w:sz="4" w:space="0"/>
              <w:right w:val="single" w:color="000000" w:sz="4" w:space="0"/>
            </w:tcBorders>
          </w:tcPr>
          <w:p>
            <w:pPr>
              <w:pStyle w:val="14"/>
              <w:spacing w:before="47"/>
              <w:ind w:right="298"/>
              <w:jc w:val="right"/>
              <w:rPr>
                <w:rFonts w:ascii="Times New Roman"/>
                <w:sz w:val="18"/>
              </w:rPr>
            </w:pPr>
            <w:r>
              <w:rPr>
                <w:rFonts w:ascii="Times New Roman"/>
                <w:sz w:val="18"/>
              </w:rPr>
              <w:t>200</w:t>
            </w:r>
          </w:p>
        </w:tc>
        <w:tc>
          <w:tcPr>
            <w:tcW w:w="897" w:type="dxa"/>
            <w:tcBorders>
              <w:top w:val="single" w:color="000000" w:sz="4" w:space="0"/>
              <w:left w:val="single" w:color="000000" w:sz="4" w:space="0"/>
              <w:bottom w:val="single" w:color="000000" w:sz="4" w:space="0"/>
              <w:right w:val="single" w:color="000000" w:sz="4" w:space="0"/>
            </w:tcBorders>
          </w:tcPr>
          <w:p>
            <w:pPr>
              <w:pStyle w:val="14"/>
              <w:spacing w:before="47"/>
              <w:ind w:left="250"/>
              <w:jc w:val="left"/>
              <w:rPr>
                <w:rFonts w:ascii="Times New Roman"/>
                <w:sz w:val="18"/>
              </w:rPr>
            </w:pPr>
            <w:r>
              <w:rPr>
                <w:rFonts w:ascii="Times New Roman"/>
                <w:sz w:val="18"/>
              </w:rPr>
              <w:t>0.302</w:t>
            </w:r>
          </w:p>
        </w:tc>
        <w:tc>
          <w:tcPr>
            <w:tcW w:w="899" w:type="dxa"/>
            <w:tcBorders>
              <w:top w:val="single" w:color="000000" w:sz="4" w:space="0"/>
              <w:left w:val="single" w:color="000000" w:sz="4" w:space="0"/>
              <w:bottom w:val="single" w:color="000000" w:sz="4" w:space="0"/>
              <w:right w:val="single" w:color="000000" w:sz="4" w:space="0"/>
            </w:tcBorders>
          </w:tcPr>
          <w:p>
            <w:pPr>
              <w:pStyle w:val="14"/>
              <w:spacing w:before="47"/>
              <w:ind w:left="296"/>
              <w:jc w:val="left"/>
              <w:rPr>
                <w:rFonts w:ascii="Times New Roman"/>
                <w:sz w:val="18"/>
              </w:rPr>
            </w:pPr>
            <w:r>
              <w:rPr>
                <w:rFonts w:ascii="Times New Roman"/>
                <w:sz w:val="18"/>
              </w:rPr>
              <w:t>1.52</w:t>
            </w:r>
          </w:p>
        </w:tc>
        <w:tc>
          <w:tcPr>
            <w:tcW w:w="879" w:type="dxa"/>
            <w:tcBorders>
              <w:top w:val="single" w:color="000000" w:sz="4" w:space="0"/>
              <w:left w:val="single" w:color="000000" w:sz="4" w:space="0"/>
              <w:bottom w:val="single" w:color="000000" w:sz="4" w:space="0"/>
              <w:right w:val="single" w:color="000000" w:sz="4" w:space="0"/>
            </w:tcBorders>
          </w:tcPr>
          <w:p>
            <w:pPr>
              <w:pStyle w:val="14"/>
              <w:spacing w:before="47"/>
              <w:ind w:left="289" w:right="270"/>
              <w:rPr>
                <w:rFonts w:ascii="Times New Roman"/>
                <w:sz w:val="18"/>
              </w:rPr>
            </w:pPr>
            <w:r>
              <w:rPr>
                <w:rFonts w:ascii="Times New Roman"/>
                <w:sz w:val="18"/>
              </w:rPr>
              <w:t>300</w:t>
            </w:r>
          </w:p>
        </w:tc>
        <w:tc>
          <w:tcPr>
            <w:tcW w:w="87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4" w:hRule="atLeast"/>
        </w:trPr>
        <w:tc>
          <w:tcPr>
            <w:tcW w:w="564" w:type="dxa"/>
            <w:vMerge w:val="continue"/>
            <w:tcBorders>
              <w:top w:val="nil"/>
              <w:right w:val="single" w:color="000000" w:sz="4" w:space="0"/>
            </w:tcBorders>
          </w:tcPr>
          <w:p>
            <w:pPr>
              <w:rPr>
                <w:sz w:val="2"/>
                <w:szCs w:val="2"/>
              </w:rPr>
            </w:pPr>
          </w:p>
        </w:tc>
        <w:tc>
          <w:tcPr>
            <w:tcW w:w="1323" w:type="dxa"/>
            <w:tcBorders>
              <w:top w:val="single" w:color="000000" w:sz="4" w:space="0"/>
              <w:left w:val="single" w:color="000000" w:sz="4" w:space="0"/>
              <w:bottom w:val="single" w:color="000000" w:sz="4" w:space="0"/>
              <w:right w:val="single" w:color="000000" w:sz="4" w:space="0"/>
            </w:tcBorders>
          </w:tcPr>
          <w:p>
            <w:pPr>
              <w:pStyle w:val="14"/>
              <w:spacing w:before="1"/>
              <w:jc w:val="left"/>
              <w:rPr>
                <w:b/>
                <w:sz w:val="15"/>
              </w:rPr>
            </w:pPr>
          </w:p>
          <w:p>
            <w:pPr>
              <w:pStyle w:val="14"/>
              <w:ind w:left="195" w:right="178"/>
              <w:rPr>
                <w:sz w:val="18"/>
              </w:rPr>
            </w:pPr>
            <w:r>
              <w:rPr>
                <w:sz w:val="18"/>
              </w:rPr>
              <w:t>矸石场扬尘</w:t>
            </w:r>
          </w:p>
        </w:tc>
        <w:tc>
          <w:tcPr>
            <w:tcW w:w="677" w:type="dxa"/>
            <w:tcBorders>
              <w:top w:val="single" w:color="000000" w:sz="4" w:space="0"/>
              <w:left w:val="single" w:color="000000" w:sz="4" w:space="0"/>
              <w:bottom w:val="single" w:color="000000" w:sz="4" w:space="0"/>
              <w:right w:val="single" w:color="000000" w:sz="4" w:space="0"/>
            </w:tcBorders>
          </w:tcPr>
          <w:p>
            <w:pPr>
              <w:pStyle w:val="14"/>
              <w:spacing w:before="37"/>
              <w:ind w:left="141" w:right="125"/>
              <w:rPr>
                <w:sz w:val="18"/>
              </w:rPr>
            </w:pPr>
            <w:r>
              <w:rPr>
                <w:sz w:val="18"/>
              </w:rPr>
              <w:t>颗粒</w:t>
            </w:r>
          </w:p>
          <w:p>
            <w:pPr>
              <w:pStyle w:val="14"/>
              <w:spacing w:before="81"/>
              <w:ind w:left="18"/>
              <w:rPr>
                <w:sz w:val="18"/>
              </w:rPr>
            </w:pPr>
            <w:r>
              <w:rPr>
                <w:sz w:val="18"/>
              </w:rPr>
              <w:t>物</w:t>
            </w:r>
          </w:p>
        </w:tc>
        <w:tc>
          <w:tcPr>
            <w:tcW w:w="1038" w:type="dxa"/>
            <w:tcBorders>
              <w:top w:val="single" w:color="000000" w:sz="4" w:space="0"/>
              <w:left w:val="single" w:color="000000" w:sz="4" w:space="0"/>
              <w:bottom w:val="single" w:color="000000" w:sz="4" w:space="0"/>
              <w:right w:val="single" w:color="000000" w:sz="4" w:space="0"/>
            </w:tcBorders>
          </w:tcPr>
          <w:p>
            <w:pPr>
              <w:pStyle w:val="14"/>
              <w:spacing w:before="37"/>
              <w:ind w:left="343"/>
              <w:jc w:val="left"/>
              <w:rPr>
                <w:sz w:val="18"/>
              </w:rPr>
            </w:pPr>
            <w:r>
              <w:rPr>
                <w:sz w:val="18"/>
              </w:rPr>
              <w:t>物料</w:t>
            </w:r>
          </w:p>
          <w:p>
            <w:pPr>
              <w:pStyle w:val="14"/>
              <w:spacing w:before="81"/>
              <w:ind w:left="252"/>
              <w:jc w:val="left"/>
              <w:rPr>
                <w:sz w:val="18"/>
              </w:rPr>
            </w:pPr>
            <w:r>
              <w:rPr>
                <w:sz w:val="18"/>
              </w:rPr>
              <w:t>衡算法</w:t>
            </w:r>
          </w:p>
        </w:tc>
        <w:tc>
          <w:tcPr>
            <w:tcW w:w="1037" w:type="dxa"/>
            <w:tcBorders>
              <w:top w:val="single" w:color="000000" w:sz="4" w:space="0"/>
              <w:left w:val="single" w:color="000000" w:sz="4" w:space="0"/>
              <w:bottom w:val="single" w:color="000000" w:sz="4" w:space="0"/>
              <w:right w:val="single" w:color="000000" w:sz="4" w:space="0"/>
            </w:tcBorders>
          </w:tcPr>
          <w:p>
            <w:pPr>
              <w:pStyle w:val="14"/>
              <w:spacing w:before="10"/>
              <w:jc w:val="left"/>
              <w:rPr>
                <w:b/>
                <w:sz w:val="15"/>
              </w:rPr>
            </w:pPr>
          </w:p>
          <w:p>
            <w:pPr>
              <w:pStyle w:val="14"/>
              <w:ind w:left="20"/>
              <w:rPr>
                <w:rFonts w:ascii="Times New Roman"/>
                <w:sz w:val="18"/>
              </w:rPr>
            </w:pPr>
            <w:r>
              <w:rPr>
                <w:rFonts w:ascii="Times New Roman"/>
                <w:sz w:val="18"/>
              </w:rPr>
              <w:t>/</w:t>
            </w:r>
          </w:p>
        </w:tc>
        <w:tc>
          <w:tcPr>
            <w:tcW w:w="1038" w:type="dxa"/>
            <w:tcBorders>
              <w:top w:val="single" w:color="000000" w:sz="4" w:space="0"/>
              <w:left w:val="single" w:color="000000" w:sz="4" w:space="0"/>
              <w:bottom w:val="single" w:color="000000" w:sz="4" w:space="0"/>
              <w:right w:val="single" w:color="000000" w:sz="4" w:space="0"/>
            </w:tcBorders>
          </w:tcPr>
          <w:p>
            <w:pPr>
              <w:pStyle w:val="14"/>
              <w:spacing w:before="10"/>
              <w:jc w:val="left"/>
              <w:rPr>
                <w:b/>
                <w:sz w:val="15"/>
              </w:rPr>
            </w:pPr>
          </w:p>
          <w:p>
            <w:pPr>
              <w:pStyle w:val="14"/>
              <w:ind w:left="18"/>
              <w:rPr>
                <w:rFonts w:ascii="Times New Roman"/>
                <w:sz w:val="18"/>
              </w:rPr>
            </w:pPr>
            <w:r>
              <w:rPr>
                <w:rFonts w:ascii="Times New Roman"/>
                <w:sz w:val="18"/>
              </w:rPr>
              <w:t>/</w:t>
            </w:r>
          </w:p>
        </w:tc>
        <w:tc>
          <w:tcPr>
            <w:tcW w:w="1039" w:type="dxa"/>
            <w:tcBorders>
              <w:top w:val="single" w:color="000000" w:sz="4" w:space="0"/>
              <w:left w:val="single" w:color="000000" w:sz="4" w:space="0"/>
              <w:bottom w:val="single" w:color="000000" w:sz="4" w:space="0"/>
              <w:right w:val="single" w:color="000000" w:sz="4" w:space="0"/>
            </w:tcBorders>
          </w:tcPr>
          <w:p>
            <w:pPr>
              <w:pStyle w:val="14"/>
              <w:spacing w:before="10"/>
              <w:jc w:val="left"/>
              <w:rPr>
                <w:b/>
                <w:sz w:val="15"/>
              </w:rPr>
            </w:pPr>
          </w:p>
          <w:p>
            <w:pPr>
              <w:pStyle w:val="14"/>
              <w:ind w:left="100" w:right="79"/>
              <w:rPr>
                <w:rFonts w:ascii="Times New Roman"/>
                <w:sz w:val="18"/>
              </w:rPr>
            </w:pPr>
            <w:r>
              <w:rPr>
                <w:rFonts w:ascii="Times New Roman"/>
                <w:sz w:val="18"/>
              </w:rPr>
              <w:t>0.09</w:t>
            </w:r>
          </w:p>
        </w:tc>
        <w:tc>
          <w:tcPr>
            <w:tcW w:w="1370" w:type="dxa"/>
            <w:tcBorders>
              <w:top w:val="single" w:color="000000" w:sz="4" w:space="0"/>
              <w:left w:val="single" w:color="000000" w:sz="4" w:space="0"/>
              <w:bottom w:val="single" w:color="000000" w:sz="4" w:space="0"/>
              <w:right w:val="single" w:color="000000" w:sz="4" w:space="0"/>
            </w:tcBorders>
          </w:tcPr>
          <w:p>
            <w:pPr>
              <w:pStyle w:val="14"/>
              <w:spacing w:before="37"/>
              <w:ind w:left="149"/>
              <w:jc w:val="left"/>
              <w:rPr>
                <w:sz w:val="18"/>
              </w:rPr>
            </w:pPr>
            <w:r>
              <w:rPr>
                <w:sz w:val="18"/>
              </w:rPr>
              <w:t>洒水控制措施</w:t>
            </w:r>
          </w:p>
          <w:p>
            <w:pPr>
              <w:pStyle w:val="14"/>
              <w:spacing w:before="81"/>
              <w:ind w:left="240"/>
              <w:jc w:val="left"/>
              <w:rPr>
                <w:sz w:val="18"/>
              </w:rPr>
            </w:pPr>
            <w:r>
              <w:rPr>
                <w:sz w:val="18"/>
              </w:rPr>
              <w:t>及围挡遮围</w:t>
            </w:r>
          </w:p>
        </w:tc>
        <w:tc>
          <w:tcPr>
            <w:tcW w:w="914" w:type="dxa"/>
            <w:tcBorders>
              <w:top w:val="single" w:color="000000" w:sz="4" w:space="0"/>
              <w:left w:val="single" w:color="000000" w:sz="4" w:space="0"/>
              <w:bottom w:val="single" w:color="000000" w:sz="4" w:space="0"/>
              <w:right w:val="single" w:color="000000" w:sz="4" w:space="0"/>
            </w:tcBorders>
          </w:tcPr>
          <w:p>
            <w:pPr>
              <w:pStyle w:val="14"/>
              <w:spacing w:before="10"/>
              <w:jc w:val="left"/>
              <w:rPr>
                <w:b/>
                <w:sz w:val="15"/>
              </w:rPr>
            </w:pPr>
          </w:p>
          <w:p>
            <w:pPr>
              <w:pStyle w:val="14"/>
              <w:ind w:left="185" w:right="167"/>
              <w:rPr>
                <w:rFonts w:ascii="Times New Roman"/>
                <w:sz w:val="18"/>
              </w:rPr>
            </w:pPr>
            <w:r>
              <w:rPr>
                <w:rFonts w:ascii="Times New Roman"/>
                <w:sz w:val="18"/>
              </w:rPr>
              <w:t>74</w:t>
            </w:r>
          </w:p>
        </w:tc>
        <w:tc>
          <w:tcPr>
            <w:tcW w:w="898" w:type="dxa"/>
            <w:tcBorders>
              <w:top w:val="single" w:color="000000" w:sz="4" w:space="0"/>
              <w:left w:val="single" w:color="000000" w:sz="4" w:space="0"/>
              <w:bottom w:val="single" w:color="000000" w:sz="4" w:space="0"/>
              <w:right w:val="single" w:color="000000" w:sz="4" w:space="0"/>
            </w:tcBorders>
          </w:tcPr>
          <w:p>
            <w:pPr>
              <w:pStyle w:val="14"/>
              <w:spacing w:before="10"/>
              <w:jc w:val="left"/>
              <w:rPr>
                <w:b/>
                <w:sz w:val="15"/>
              </w:rPr>
            </w:pPr>
          </w:p>
          <w:p>
            <w:pPr>
              <w:pStyle w:val="14"/>
              <w:ind w:left="19"/>
              <w:rPr>
                <w:rFonts w:ascii="Times New Roman"/>
                <w:sz w:val="18"/>
              </w:rPr>
            </w:pPr>
            <w:r>
              <w:rPr>
                <w:rFonts w:ascii="Times New Roman"/>
                <w:sz w:val="18"/>
              </w:rPr>
              <w:t>/</w:t>
            </w:r>
          </w:p>
        </w:tc>
        <w:tc>
          <w:tcPr>
            <w:tcW w:w="898" w:type="dxa"/>
            <w:tcBorders>
              <w:top w:val="single" w:color="000000" w:sz="4" w:space="0"/>
              <w:left w:val="single" w:color="000000" w:sz="4" w:space="0"/>
              <w:bottom w:val="single" w:color="000000" w:sz="4" w:space="0"/>
              <w:right w:val="single" w:color="000000" w:sz="4" w:space="0"/>
            </w:tcBorders>
          </w:tcPr>
          <w:p>
            <w:pPr>
              <w:pStyle w:val="14"/>
              <w:spacing w:before="10"/>
              <w:jc w:val="left"/>
              <w:rPr>
                <w:b/>
                <w:sz w:val="15"/>
              </w:rPr>
            </w:pPr>
          </w:p>
          <w:p>
            <w:pPr>
              <w:pStyle w:val="14"/>
              <w:ind w:left="18"/>
              <w:rPr>
                <w:rFonts w:ascii="Times New Roman"/>
                <w:sz w:val="18"/>
              </w:rPr>
            </w:pPr>
            <w:r>
              <w:rPr>
                <w:rFonts w:ascii="Times New Roman"/>
                <w:sz w:val="18"/>
              </w:rPr>
              <w:t>/</w:t>
            </w:r>
          </w:p>
        </w:tc>
        <w:tc>
          <w:tcPr>
            <w:tcW w:w="897" w:type="dxa"/>
            <w:tcBorders>
              <w:top w:val="single" w:color="000000" w:sz="4" w:space="0"/>
              <w:left w:val="single" w:color="000000" w:sz="4" w:space="0"/>
              <w:bottom w:val="single" w:color="000000" w:sz="4" w:space="0"/>
              <w:right w:val="single" w:color="000000" w:sz="4" w:space="0"/>
            </w:tcBorders>
          </w:tcPr>
          <w:p>
            <w:pPr>
              <w:pStyle w:val="14"/>
              <w:spacing w:before="10"/>
              <w:jc w:val="left"/>
              <w:rPr>
                <w:b/>
                <w:sz w:val="15"/>
              </w:rPr>
            </w:pPr>
          </w:p>
          <w:p>
            <w:pPr>
              <w:pStyle w:val="14"/>
              <w:ind w:left="250"/>
              <w:jc w:val="left"/>
              <w:rPr>
                <w:rFonts w:ascii="Times New Roman"/>
                <w:sz w:val="18"/>
              </w:rPr>
            </w:pPr>
            <w:r>
              <w:rPr>
                <w:rFonts w:ascii="Times New Roman"/>
                <w:sz w:val="18"/>
              </w:rPr>
              <w:t>0.003</w:t>
            </w:r>
          </w:p>
        </w:tc>
        <w:tc>
          <w:tcPr>
            <w:tcW w:w="899" w:type="dxa"/>
            <w:tcBorders>
              <w:top w:val="single" w:color="000000" w:sz="4" w:space="0"/>
              <w:left w:val="single" w:color="000000" w:sz="4" w:space="0"/>
              <w:bottom w:val="single" w:color="000000" w:sz="4" w:space="0"/>
              <w:right w:val="single" w:color="000000" w:sz="4" w:space="0"/>
            </w:tcBorders>
          </w:tcPr>
          <w:p>
            <w:pPr>
              <w:pStyle w:val="14"/>
              <w:spacing w:before="10"/>
              <w:jc w:val="left"/>
              <w:rPr>
                <w:b/>
                <w:sz w:val="15"/>
              </w:rPr>
            </w:pPr>
          </w:p>
          <w:p>
            <w:pPr>
              <w:pStyle w:val="14"/>
              <w:ind w:left="296"/>
              <w:jc w:val="left"/>
              <w:rPr>
                <w:rFonts w:ascii="Times New Roman"/>
                <w:sz w:val="18"/>
              </w:rPr>
            </w:pPr>
            <w:r>
              <w:rPr>
                <w:rFonts w:ascii="Times New Roman"/>
                <w:sz w:val="18"/>
              </w:rPr>
              <w:t>0.02</w:t>
            </w:r>
          </w:p>
        </w:tc>
        <w:tc>
          <w:tcPr>
            <w:tcW w:w="879" w:type="dxa"/>
            <w:tcBorders>
              <w:top w:val="single" w:color="000000" w:sz="4" w:space="0"/>
              <w:left w:val="single" w:color="000000" w:sz="4" w:space="0"/>
              <w:bottom w:val="single" w:color="000000" w:sz="4" w:space="0"/>
              <w:right w:val="single" w:color="000000" w:sz="4" w:space="0"/>
            </w:tcBorders>
          </w:tcPr>
          <w:p>
            <w:pPr>
              <w:pStyle w:val="14"/>
              <w:spacing w:before="10"/>
              <w:jc w:val="left"/>
              <w:rPr>
                <w:b/>
                <w:sz w:val="15"/>
              </w:rPr>
            </w:pPr>
          </w:p>
          <w:p>
            <w:pPr>
              <w:pStyle w:val="14"/>
              <w:ind w:left="17"/>
              <w:rPr>
                <w:rFonts w:ascii="Times New Roman"/>
                <w:sz w:val="18"/>
              </w:rPr>
            </w:pPr>
            <w:r>
              <w:rPr>
                <w:rFonts w:ascii="Times New Roman"/>
                <w:sz w:val="18"/>
              </w:rPr>
              <w:t>1</w:t>
            </w:r>
          </w:p>
        </w:tc>
        <w:tc>
          <w:tcPr>
            <w:tcW w:w="879" w:type="dxa"/>
            <w:tcBorders>
              <w:top w:val="single" w:color="000000" w:sz="4" w:space="0"/>
              <w:left w:val="single" w:color="000000" w:sz="4" w:space="0"/>
              <w:bottom w:val="single" w:color="000000" w:sz="4" w:space="0"/>
            </w:tcBorders>
          </w:tcPr>
          <w:p>
            <w:pPr>
              <w:pStyle w:val="14"/>
              <w:spacing w:before="10"/>
              <w:jc w:val="left"/>
              <w:rPr>
                <w:b/>
                <w:sz w:val="15"/>
              </w:rPr>
            </w:pPr>
          </w:p>
          <w:p>
            <w:pPr>
              <w:pStyle w:val="14"/>
              <w:ind w:left="205" w:right="182"/>
              <w:rPr>
                <w:rFonts w:ascii="Times New Roman"/>
                <w:sz w:val="18"/>
              </w:rPr>
            </w:pPr>
            <w:r>
              <w:rPr>
                <w:rFonts w:ascii="Times New Roman"/>
                <w:sz w:val="18"/>
              </w:rPr>
              <w:t>8760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3" w:hRule="atLeast"/>
        </w:trPr>
        <w:tc>
          <w:tcPr>
            <w:tcW w:w="564" w:type="dxa"/>
            <w:vMerge w:val="continue"/>
            <w:tcBorders>
              <w:top w:val="nil"/>
              <w:right w:val="single" w:color="000000" w:sz="4" w:space="0"/>
            </w:tcBorders>
          </w:tcPr>
          <w:p>
            <w:pPr>
              <w:rPr>
                <w:sz w:val="2"/>
                <w:szCs w:val="2"/>
              </w:rPr>
            </w:pPr>
          </w:p>
        </w:tc>
        <w:tc>
          <w:tcPr>
            <w:tcW w:w="1323" w:type="dxa"/>
            <w:tcBorders>
              <w:top w:val="single" w:color="000000" w:sz="4" w:space="0"/>
              <w:left w:val="single" w:color="000000" w:sz="4" w:space="0"/>
              <w:bottom w:val="single" w:color="000000" w:sz="4" w:space="0"/>
              <w:right w:val="single" w:color="000000" w:sz="4" w:space="0"/>
            </w:tcBorders>
          </w:tcPr>
          <w:p>
            <w:pPr>
              <w:pStyle w:val="14"/>
              <w:jc w:val="left"/>
              <w:rPr>
                <w:b/>
                <w:sz w:val="15"/>
              </w:rPr>
            </w:pPr>
          </w:p>
          <w:p>
            <w:pPr>
              <w:pStyle w:val="14"/>
              <w:spacing w:before="1"/>
              <w:ind w:left="195" w:right="176"/>
              <w:rPr>
                <w:sz w:val="18"/>
              </w:rPr>
            </w:pPr>
            <w:r>
              <w:rPr>
                <w:sz w:val="18"/>
              </w:rPr>
              <w:t>食堂油烟</w:t>
            </w:r>
          </w:p>
        </w:tc>
        <w:tc>
          <w:tcPr>
            <w:tcW w:w="677" w:type="dxa"/>
            <w:tcBorders>
              <w:top w:val="single" w:color="000000" w:sz="4" w:space="0"/>
              <w:left w:val="single" w:color="000000" w:sz="4" w:space="0"/>
              <w:bottom w:val="single" w:color="000000" w:sz="4" w:space="0"/>
              <w:right w:val="single" w:color="000000" w:sz="4" w:space="0"/>
            </w:tcBorders>
          </w:tcPr>
          <w:p>
            <w:pPr>
              <w:pStyle w:val="14"/>
              <w:spacing w:before="37"/>
              <w:ind w:left="141" w:right="125"/>
              <w:rPr>
                <w:sz w:val="18"/>
              </w:rPr>
            </w:pPr>
            <w:r>
              <w:rPr>
                <w:sz w:val="18"/>
              </w:rPr>
              <w:t>颗粒</w:t>
            </w:r>
          </w:p>
          <w:p>
            <w:pPr>
              <w:pStyle w:val="14"/>
              <w:spacing w:before="81"/>
              <w:ind w:left="18"/>
              <w:rPr>
                <w:sz w:val="18"/>
              </w:rPr>
            </w:pPr>
            <w:r>
              <w:rPr>
                <w:sz w:val="18"/>
              </w:rPr>
              <w:t>物</w:t>
            </w:r>
          </w:p>
        </w:tc>
        <w:tc>
          <w:tcPr>
            <w:tcW w:w="1038" w:type="dxa"/>
            <w:tcBorders>
              <w:top w:val="single" w:color="000000" w:sz="4" w:space="0"/>
              <w:left w:val="single" w:color="000000" w:sz="4" w:space="0"/>
              <w:bottom w:val="single" w:color="000000" w:sz="4" w:space="0"/>
              <w:right w:val="single" w:color="000000" w:sz="4" w:space="0"/>
            </w:tcBorders>
          </w:tcPr>
          <w:p>
            <w:pPr>
              <w:pStyle w:val="14"/>
              <w:spacing w:before="37"/>
              <w:ind w:left="343"/>
              <w:jc w:val="left"/>
              <w:rPr>
                <w:sz w:val="18"/>
              </w:rPr>
            </w:pPr>
            <w:r>
              <w:rPr>
                <w:sz w:val="18"/>
              </w:rPr>
              <w:t>物料</w:t>
            </w:r>
          </w:p>
          <w:p>
            <w:pPr>
              <w:pStyle w:val="14"/>
              <w:spacing w:before="81"/>
              <w:ind w:left="252"/>
              <w:jc w:val="left"/>
              <w:rPr>
                <w:sz w:val="18"/>
              </w:rPr>
            </w:pPr>
            <w:r>
              <w:rPr>
                <w:sz w:val="18"/>
              </w:rPr>
              <w:t>衡算法</w:t>
            </w:r>
          </w:p>
        </w:tc>
        <w:tc>
          <w:tcPr>
            <w:tcW w:w="1037" w:type="dxa"/>
            <w:tcBorders>
              <w:top w:val="single" w:color="000000" w:sz="4" w:space="0"/>
              <w:left w:val="single" w:color="000000" w:sz="4" w:space="0"/>
              <w:bottom w:val="single" w:color="000000" w:sz="4" w:space="0"/>
              <w:right w:val="single" w:color="000000" w:sz="4" w:space="0"/>
            </w:tcBorders>
          </w:tcPr>
          <w:p>
            <w:pPr>
              <w:pStyle w:val="14"/>
              <w:spacing w:before="12"/>
              <w:jc w:val="left"/>
              <w:rPr>
                <w:b/>
                <w:sz w:val="15"/>
              </w:rPr>
            </w:pPr>
          </w:p>
          <w:p>
            <w:pPr>
              <w:pStyle w:val="14"/>
              <w:ind w:left="231" w:right="215"/>
              <w:rPr>
                <w:rFonts w:ascii="Times New Roman"/>
                <w:sz w:val="18"/>
              </w:rPr>
            </w:pPr>
            <w:r>
              <w:rPr>
                <w:rFonts w:ascii="Times New Roman"/>
                <w:sz w:val="18"/>
              </w:rPr>
              <w:t>16000</w:t>
            </w:r>
          </w:p>
        </w:tc>
        <w:tc>
          <w:tcPr>
            <w:tcW w:w="1038" w:type="dxa"/>
            <w:tcBorders>
              <w:top w:val="single" w:color="000000" w:sz="4" w:space="0"/>
              <w:left w:val="single" w:color="000000" w:sz="4" w:space="0"/>
              <w:bottom w:val="single" w:color="000000" w:sz="4" w:space="0"/>
              <w:right w:val="single" w:color="000000" w:sz="4" w:space="0"/>
            </w:tcBorders>
          </w:tcPr>
          <w:p>
            <w:pPr>
              <w:pStyle w:val="14"/>
              <w:spacing w:before="10"/>
              <w:jc w:val="left"/>
              <w:rPr>
                <w:b/>
                <w:sz w:val="15"/>
              </w:rPr>
            </w:pPr>
          </w:p>
          <w:p>
            <w:pPr>
              <w:pStyle w:val="14"/>
              <w:ind w:right="344"/>
              <w:jc w:val="right"/>
              <w:rPr>
                <w:rFonts w:ascii="Times New Roman"/>
                <w:sz w:val="18"/>
              </w:rPr>
            </w:pPr>
            <w:r>
              <w:rPr>
                <w:rFonts w:ascii="Times New Roman"/>
                <w:sz w:val="18"/>
              </w:rPr>
              <w:t>8.75</w:t>
            </w:r>
          </w:p>
        </w:tc>
        <w:tc>
          <w:tcPr>
            <w:tcW w:w="1039" w:type="dxa"/>
            <w:tcBorders>
              <w:top w:val="single" w:color="000000" w:sz="4" w:space="0"/>
              <w:left w:val="single" w:color="000000" w:sz="4" w:space="0"/>
              <w:bottom w:val="single" w:color="000000" w:sz="4" w:space="0"/>
              <w:right w:val="single" w:color="000000" w:sz="4" w:space="0"/>
            </w:tcBorders>
          </w:tcPr>
          <w:p>
            <w:pPr>
              <w:pStyle w:val="14"/>
              <w:spacing w:before="10"/>
              <w:jc w:val="left"/>
              <w:rPr>
                <w:b/>
                <w:sz w:val="15"/>
              </w:rPr>
            </w:pPr>
          </w:p>
          <w:p>
            <w:pPr>
              <w:pStyle w:val="14"/>
              <w:ind w:left="100" w:right="79"/>
              <w:rPr>
                <w:rFonts w:ascii="Times New Roman"/>
                <w:sz w:val="18"/>
              </w:rPr>
            </w:pPr>
            <w:r>
              <w:rPr>
                <w:rFonts w:ascii="Times New Roman"/>
                <w:sz w:val="18"/>
              </w:rPr>
              <w:t>0.185</w:t>
            </w:r>
          </w:p>
        </w:tc>
        <w:tc>
          <w:tcPr>
            <w:tcW w:w="1370" w:type="dxa"/>
            <w:tcBorders>
              <w:top w:val="single" w:color="000000" w:sz="4" w:space="0"/>
              <w:left w:val="single" w:color="000000" w:sz="4" w:space="0"/>
              <w:bottom w:val="single" w:color="000000" w:sz="4" w:space="0"/>
              <w:right w:val="single" w:color="000000" w:sz="4" w:space="0"/>
            </w:tcBorders>
          </w:tcPr>
          <w:p>
            <w:pPr>
              <w:pStyle w:val="14"/>
              <w:jc w:val="left"/>
              <w:rPr>
                <w:b/>
                <w:sz w:val="15"/>
              </w:rPr>
            </w:pPr>
          </w:p>
          <w:p>
            <w:pPr>
              <w:pStyle w:val="14"/>
              <w:spacing w:before="1"/>
              <w:ind w:left="129" w:right="111"/>
              <w:rPr>
                <w:sz w:val="18"/>
              </w:rPr>
            </w:pPr>
            <w:r>
              <w:rPr>
                <w:sz w:val="18"/>
              </w:rPr>
              <w:t>油烟净化装置</w:t>
            </w:r>
          </w:p>
        </w:tc>
        <w:tc>
          <w:tcPr>
            <w:tcW w:w="914" w:type="dxa"/>
            <w:tcBorders>
              <w:top w:val="single" w:color="000000" w:sz="4" w:space="0"/>
              <w:left w:val="single" w:color="000000" w:sz="4" w:space="0"/>
              <w:bottom w:val="single" w:color="000000" w:sz="4" w:space="0"/>
              <w:right w:val="single" w:color="000000" w:sz="4" w:space="0"/>
            </w:tcBorders>
          </w:tcPr>
          <w:p>
            <w:pPr>
              <w:pStyle w:val="14"/>
              <w:spacing w:before="12"/>
              <w:jc w:val="left"/>
              <w:rPr>
                <w:b/>
                <w:sz w:val="15"/>
              </w:rPr>
            </w:pPr>
          </w:p>
          <w:p>
            <w:pPr>
              <w:pStyle w:val="14"/>
              <w:ind w:left="185" w:right="167"/>
              <w:rPr>
                <w:rFonts w:ascii="Times New Roman"/>
                <w:sz w:val="18"/>
              </w:rPr>
            </w:pPr>
            <w:r>
              <w:rPr>
                <w:rFonts w:ascii="Times New Roman"/>
                <w:sz w:val="18"/>
              </w:rPr>
              <w:t>85</w:t>
            </w:r>
          </w:p>
        </w:tc>
        <w:tc>
          <w:tcPr>
            <w:tcW w:w="898" w:type="dxa"/>
            <w:tcBorders>
              <w:top w:val="single" w:color="000000" w:sz="4" w:space="0"/>
              <w:left w:val="single" w:color="000000" w:sz="4" w:space="0"/>
              <w:bottom w:val="single" w:color="000000" w:sz="4" w:space="0"/>
              <w:right w:val="single" w:color="000000" w:sz="4" w:space="0"/>
            </w:tcBorders>
          </w:tcPr>
          <w:p>
            <w:pPr>
              <w:pStyle w:val="14"/>
              <w:spacing w:before="12"/>
              <w:jc w:val="left"/>
              <w:rPr>
                <w:b/>
                <w:sz w:val="15"/>
              </w:rPr>
            </w:pPr>
          </w:p>
          <w:p>
            <w:pPr>
              <w:pStyle w:val="14"/>
              <w:ind w:left="209" w:right="189"/>
              <w:rPr>
                <w:rFonts w:ascii="Times New Roman"/>
                <w:sz w:val="18"/>
              </w:rPr>
            </w:pPr>
            <w:r>
              <w:rPr>
                <w:rFonts w:ascii="Times New Roman"/>
                <w:sz w:val="18"/>
              </w:rPr>
              <w:t>16000</w:t>
            </w:r>
          </w:p>
        </w:tc>
        <w:tc>
          <w:tcPr>
            <w:tcW w:w="898" w:type="dxa"/>
            <w:tcBorders>
              <w:top w:val="single" w:color="000000" w:sz="4" w:space="0"/>
              <w:left w:val="single" w:color="000000" w:sz="4" w:space="0"/>
              <w:bottom w:val="single" w:color="000000" w:sz="4" w:space="0"/>
              <w:right w:val="single" w:color="000000" w:sz="4" w:space="0"/>
            </w:tcBorders>
          </w:tcPr>
          <w:p>
            <w:pPr>
              <w:pStyle w:val="14"/>
              <w:spacing w:before="10"/>
              <w:jc w:val="left"/>
              <w:rPr>
                <w:b/>
                <w:sz w:val="15"/>
              </w:rPr>
            </w:pPr>
          </w:p>
          <w:p>
            <w:pPr>
              <w:pStyle w:val="14"/>
              <w:ind w:right="274"/>
              <w:jc w:val="right"/>
              <w:rPr>
                <w:rFonts w:ascii="Times New Roman"/>
                <w:sz w:val="18"/>
              </w:rPr>
            </w:pPr>
            <w:r>
              <w:rPr>
                <w:rFonts w:ascii="Times New Roman"/>
                <w:sz w:val="18"/>
              </w:rPr>
              <w:t>1.31</w:t>
            </w:r>
          </w:p>
        </w:tc>
        <w:tc>
          <w:tcPr>
            <w:tcW w:w="897" w:type="dxa"/>
            <w:tcBorders>
              <w:top w:val="single" w:color="000000" w:sz="4" w:space="0"/>
              <w:left w:val="single" w:color="000000" w:sz="4" w:space="0"/>
              <w:bottom w:val="single" w:color="000000" w:sz="4" w:space="0"/>
              <w:right w:val="single" w:color="000000" w:sz="4" w:space="0"/>
            </w:tcBorders>
          </w:tcPr>
          <w:p>
            <w:pPr>
              <w:pStyle w:val="14"/>
              <w:spacing w:before="10"/>
              <w:jc w:val="left"/>
              <w:rPr>
                <w:b/>
                <w:sz w:val="15"/>
              </w:rPr>
            </w:pPr>
          </w:p>
          <w:p>
            <w:pPr>
              <w:pStyle w:val="14"/>
              <w:ind w:left="250"/>
              <w:jc w:val="left"/>
              <w:rPr>
                <w:rFonts w:ascii="Times New Roman"/>
                <w:sz w:val="18"/>
              </w:rPr>
            </w:pPr>
            <w:r>
              <w:rPr>
                <w:rFonts w:ascii="Times New Roman"/>
                <w:sz w:val="18"/>
              </w:rPr>
              <w:t>0.021</w:t>
            </w:r>
          </w:p>
        </w:tc>
        <w:tc>
          <w:tcPr>
            <w:tcW w:w="899" w:type="dxa"/>
            <w:tcBorders>
              <w:top w:val="single" w:color="000000" w:sz="4" w:space="0"/>
              <w:left w:val="single" w:color="000000" w:sz="4" w:space="0"/>
              <w:bottom w:val="single" w:color="000000" w:sz="4" w:space="0"/>
              <w:right w:val="single" w:color="000000" w:sz="4" w:space="0"/>
            </w:tcBorders>
          </w:tcPr>
          <w:p>
            <w:pPr>
              <w:pStyle w:val="14"/>
              <w:spacing w:before="10"/>
              <w:jc w:val="left"/>
              <w:rPr>
                <w:b/>
                <w:sz w:val="15"/>
              </w:rPr>
            </w:pPr>
          </w:p>
          <w:p>
            <w:pPr>
              <w:pStyle w:val="14"/>
              <w:ind w:left="250"/>
              <w:jc w:val="left"/>
              <w:rPr>
                <w:rFonts w:ascii="Times New Roman"/>
                <w:sz w:val="18"/>
              </w:rPr>
            </w:pPr>
            <w:r>
              <w:rPr>
                <w:rFonts w:ascii="Times New Roman"/>
                <w:sz w:val="18"/>
              </w:rPr>
              <w:t>0.028</w:t>
            </w:r>
          </w:p>
        </w:tc>
        <w:tc>
          <w:tcPr>
            <w:tcW w:w="879" w:type="dxa"/>
            <w:tcBorders>
              <w:top w:val="single" w:color="000000" w:sz="4" w:space="0"/>
              <w:left w:val="single" w:color="000000" w:sz="4" w:space="0"/>
              <w:bottom w:val="single" w:color="000000" w:sz="4" w:space="0"/>
              <w:right w:val="single" w:color="000000" w:sz="4" w:space="0"/>
            </w:tcBorders>
          </w:tcPr>
          <w:p>
            <w:pPr>
              <w:pStyle w:val="14"/>
              <w:spacing w:before="12"/>
              <w:jc w:val="left"/>
              <w:rPr>
                <w:b/>
                <w:sz w:val="15"/>
              </w:rPr>
            </w:pPr>
          </w:p>
          <w:p>
            <w:pPr>
              <w:pStyle w:val="14"/>
              <w:ind w:left="17"/>
              <w:rPr>
                <w:rFonts w:ascii="Times New Roman"/>
                <w:sz w:val="18"/>
              </w:rPr>
            </w:pPr>
            <w:r>
              <w:rPr>
                <w:rFonts w:ascii="Times New Roman"/>
                <w:sz w:val="18"/>
              </w:rPr>
              <w:t>2</w:t>
            </w:r>
          </w:p>
        </w:tc>
        <w:tc>
          <w:tcPr>
            <w:tcW w:w="879" w:type="dxa"/>
            <w:tcBorders>
              <w:top w:val="single" w:color="000000" w:sz="4" w:space="0"/>
              <w:left w:val="single" w:color="000000" w:sz="4" w:space="0"/>
              <w:bottom w:val="single" w:color="000000" w:sz="4" w:space="0"/>
            </w:tcBorders>
          </w:tcPr>
          <w:p>
            <w:pPr>
              <w:pStyle w:val="14"/>
              <w:spacing w:before="12"/>
              <w:jc w:val="left"/>
              <w:rPr>
                <w:b/>
                <w:sz w:val="15"/>
              </w:rPr>
            </w:pPr>
          </w:p>
          <w:p>
            <w:pPr>
              <w:pStyle w:val="14"/>
              <w:ind w:left="205" w:right="182"/>
              <w:rPr>
                <w:rFonts w:ascii="Times New Roman"/>
                <w:sz w:val="18"/>
              </w:rPr>
            </w:pPr>
            <w:r>
              <w:rPr>
                <w:rFonts w:ascii="Times New Roman"/>
                <w:sz w:val="18"/>
              </w:rPr>
              <w:t>1320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8" w:hRule="atLeast"/>
        </w:trPr>
        <w:tc>
          <w:tcPr>
            <w:tcW w:w="564" w:type="dxa"/>
            <w:vMerge w:val="continue"/>
            <w:tcBorders>
              <w:top w:val="nil"/>
              <w:right w:val="single" w:color="000000" w:sz="4" w:space="0"/>
            </w:tcBorders>
          </w:tcPr>
          <w:p>
            <w:pPr>
              <w:rPr>
                <w:sz w:val="2"/>
                <w:szCs w:val="2"/>
              </w:rPr>
            </w:pPr>
          </w:p>
        </w:tc>
        <w:tc>
          <w:tcPr>
            <w:tcW w:w="1323" w:type="dxa"/>
            <w:tcBorders>
              <w:top w:val="single" w:color="000000" w:sz="4" w:space="0"/>
              <w:left w:val="single" w:color="000000" w:sz="4" w:space="0"/>
              <w:right w:val="single" w:color="000000" w:sz="4" w:space="0"/>
            </w:tcBorders>
          </w:tcPr>
          <w:p>
            <w:pPr>
              <w:pStyle w:val="14"/>
              <w:jc w:val="left"/>
              <w:rPr>
                <w:b/>
                <w:sz w:val="15"/>
              </w:rPr>
            </w:pPr>
          </w:p>
          <w:p>
            <w:pPr>
              <w:pStyle w:val="14"/>
              <w:ind w:left="195" w:right="176"/>
              <w:rPr>
                <w:sz w:val="18"/>
              </w:rPr>
            </w:pPr>
            <w:r>
              <w:rPr>
                <w:sz w:val="18"/>
              </w:rPr>
              <w:t>筛分车间</w:t>
            </w:r>
          </w:p>
        </w:tc>
        <w:tc>
          <w:tcPr>
            <w:tcW w:w="677" w:type="dxa"/>
            <w:tcBorders>
              <w:top w:val="single" w:color="000000" w:sz="4" w:space="0"/>
              <w:left w:val="single" w:color="000000" w:sz="4" w:space="0"/>
              <w:right w:val="single" w:color="000000" w:sz="4" w:space="0"/>
            </w:tcBorders>
          </w:tcPr>
          <w:p>
            <w:pPr>
              <w:pStyle w:val="14"/>
              <w:spacing w:before="36"/>
              <w:ind w:left="141" w:right="125"/>
              <w:rPr>
                <w:sz w:val="18"/>
              </w:rPr>
            </w:pPr>
            <w:r>
              <w:rPr>
                <w:sz w:val="18"/>
              </w:rPr>
              <w:t>颗粒</w:t>
            </w:r>
          </w:p>
          <w:p>
            <w:pPr>
              <w:pStyle w:val="14"/>
              <w:spacing w:before="82"/>
              <w:ind w:left="18"/>
              <w:rPr>
                <w:sz w:val="18"/>
              </w:rPr>
            </w:pPr>
            <w:r>
              <w:rPr>
                <w:sz w:val="18"/>
              </w:rPr>
              <w:t>物</w:t>
            </w:r>
          </w:p>
        </w:tc>
        <w:tc>
          <w:tcPr>
            <w:tcW w:w="1038" w:type="dxa"/>
            <w:tcBorders>
              <w:top w:val="single" w:color="000000" w:sz="4" w:space="0"/>
              <w:left w:val="single" w:color="000000" w:sz="4" w:space="0"/>
              <w:right w:val="single" w:color="000000" w:sz="4" w:space="0"/>
            </w:tcBorders>
          </w:tcPr>
          <w:p>
            <w:pPr>
              <w:pStyle w:val="14"/>
              <w:spacing w:before="36"/>
              <w:ind w:left="142" w:right="123"/>
              <w:rPr>
                <w:sz w:val="18"/>
              </w:rPr>
            </w:pPr>
            <w:r>
              <w:rPr>
                <w:sz w:val="18"/>
              </w:rPr>
              <w:t>产污系数</w:t>
            </w:r>
          </w:p>
          <w:p>
            <w:pPr>
              <w:pStyle w:val="14"/>
              <w:spacing w:before="82"/>
              <w:ind w:left="17"/>
              <w:rPr>
                <w:sz w:val="18"/>
              </w:rPr>
            </w:pPr>
            <w:r>
              <w:rPr>
                <w:sz w:val="18"/>
              </w:rPr>
              <w:t>法</w:t>
            </w:r>
          </w:p>
        </w:tc>
        <w:tc>
          <w:tcPr>
            <w:tcW w:w="1037" w:type="dxa"/>
            <w:tcBorders>
              <w:top w:val="single" w:color="000000" w:sz="4" w:space="0"/>
              <w:left w:val="single" w:color="000000" w:sz="4" w:space="0"/>
              <w:right w:val="single" w:color="000000" w:sz="4" w:space="0"/>
            </w:tcBorders>
          </w:tcPr>
          <w:p>
            <w:pPr>
              <w:pStyle w:val="14"/>
              <w:spacing w:before="12"/>
              <w:jc w:val="left"/>
              <w:rPr>
                <w:b/>
                <w:sz w:val="15"/>
              </w:rPr>
            </w:pPr>
          </w:p>
          <w:p>
            <w:pPr>
              <w:pStyle w:val="14"/>
              <w:ind w:left="231" w:right="215"/>
              <w:rPr>
                <w:rFonts w:ascii="Times New Roman"/>
                <w:sz w:val="18"/>
              </w:rPr>
            </w:pPr>
            <w:r>
              <w:rPr>
                <w:rFonts w:ascii="Times New Roman"/>
                <w:sz w:val="18"/>
              </w:rPr>
              <w:t>3000</w:t>
            </w:r>
          </w:p>
        </w:tc>
        <w:tc>
          <w:tcPr>
            <w:tcW w:w="1038" w:type="dxa"/>
            <w:tcBorders>
              <w:top w:val="single" w:color="000000" w:sz="4" w:space="0"/>
              <w:left w:val="single" w:color="000000" w:sz="4" w:space="0"/>
              <w:right w:val="single" w:color="000000" w:sz="4" w:space="0"/>
            </w:tcBorders>
          </w:tcPr>
          <w:p>
            <w:pPr>
              <w:pStyle w:val="14"/>
              <w:spacing w:before="9"/>
              <w:jc w:val="left"/>
              <w:rPr>
                <w:b/>
                <w:sz w:val="15"/>
              </w:rPr>
            </w:pPr>
          </w:p>
          <w:p>
            <w:pPr>
              <w:pStyle w:val="14"/>
              <w:spacing w:before="1"/>
              <w:ind w:right="322"/>
              <w:jc w:val="right"/>
              <w:rPr>
                <w:rFonts w:ascii="Times New Roman"/>
                <w:sz w:val="18"/>
              </w:rPr>
            </w:pPr>
            <w:r>
              <w:rPr>
                <w:rFonts w:ascii="Times New Roman"/>
                <w:sz w:val="18"/>
              </w:rPr>
              <w:t>4000</w:t>
            </w:r>
          </w:p>
        </w:tc>
        <w:tc>
          <w:tcPr>
            <w:tcW w:w="1039" w:type="dxa"/>
            <w:tcBorders>
              <w:top w:val="single" w:color="000000" w:sz="4" w:space="0"/>
              <w:left w:val="single" w:color="000000" w:sz="4" w:space="0"/>
              <w:right w:val="single" w:color="000000" w:sz="4" w:space="0"/>
            </w:tcBorders>
          </w:tcPr>
          <w:p>
            <w:pPr>
              <w:pStyle w:val="14"/>
              <w:spacing w:before="9"/>
              <w:jc w:val="left"/>
              <w:rPr>
                <w:b/>
                <w:sz w:val="15"/>
              </w:rPr>
            </w:pPr>
          </w:p>
          <w:p>
            <w:pPr>
              <w:pStyle w:val="14"/>
              <w:spacing w:before="1"/>
              <w:ind w:left="95" w:right="79"/>
              <w:rPr>
                <w:rFonts w:ascii="Times New Roman"/>
                <w:sz w:val="18"/>
              </w:rPr>
            </w:pPr>
            <w:r>
              <w:rPr>
                <w:rFonts w:ascii="Times New Roman"/>
                <w:sz w:val="18"/>
              </w:rPr>
              <w:t>12</w:t>
            </w:r>
          </w:p>
        </w:tc>
        <w:tc>
          <w:tcPr>
            <w:tcW w:w="1370" w:type="dxa"/>
            <w:tcBorders>
              <w:top w:val="single" w:color="000000" w:sz="4" w:space="0"/>
              <w:left w:val="single" w:color="000000" w:sz="4" w:space="0"/>
              <w:right w:val="single" w:color="000000" w:sz="4" w:space="0"/>
            </w:tcBorders>
          </w:tcPr>
          <w:p>
            <w:pPr>
              <w:pStyle w:val="14"/>
              <w:jc w:val="left"/>
              <w:rPr>
                <w:b/>
                <w:sz w:val="15"/>
              </w:rPr>
            </w:pPr>
          </w:p>
          <w:p>
            <w:pPr>
              <w:pStyle w:val="14"/>
              <w:ind w:left="129" w:right="108"/>
              <w:rPr>
                <w:sz w:val="18"/>
              </w:rPr>
            </w:pPr>
            <w:r>
              <w:rPr>
                <w:sz w:val="18"/>
              </w:rPr>
              <w:t>布袋除尘器</w:t>
            </w:r>
          </w:p>
        </w:tc>
        <w:tc>
          <w:tcPr>
            <w:tcW w:w="914" w:type="dxa"/>
            <w:tcBorders>
              <w:top w:val="single" w:color="000000" w:sz="4" w:space="0"/>
              <w:left w:val="single" w:color="000000" w:sz="4" w:space="0"/>
              <w:right w:val="single" w:color="000000" w:sz="4" w:space="0"/>
            </w:tcBorders>
          </w:tcPr>
          <w:p>
            <w:pPr>
              <w:pStyle w:val="14"/>
              <w:spacing w:before="12"/>
              <w:jc w:val="left"/>
              <w:rPr>
                <w:b/>
                <w:sz w:val="15"/>
              </w:rPr>
            </w:pPr>
          </w:p>
          <w:p>
            <w:pPr>
              <w:pStyle w:val="14"/>
              <w:ind w:left="185" w:right="167"/>
              <w:rPr>
                <w:rFonts w:ascii="Times New Roman"/>
                <w:sz w:val="18"/>
              </w:rPr>
            </w:pPr>
            <w:r>
              <w:rPr>
                <w:rFonts w:ascii="Times New Roman"/>
                <w:sz w:val="18"/>
              </w:rPr>
              <w:t>99</w:t>
            </w:r>
          </w:p>
        </w:tc>
        <w:tc>
          <w:tcPr>
            <w:tcW w:w="898" w:type="dxa"/>
            <w:tcBorders>
              <w:top w:val="single" w:color="000000" w:sz="4" w:space="0"/>
              <w:left w:val="single" w:color="000000" w:sz="4" w:space="0"/>
              <w:right w:val="single" w:color="000000" w:sz="4" w:space="0"/>
            </w:tcBorders>
          </w:tcPr>
          <w:p>
            <w:pPr>
              <w:pStyle w:val="14"/>
              <w:spacing w:before="12"/>
              <w:jc w:val="left"/>
              <w:rPr>
                <w:b/>
                <w:sz w:val="15"/>
              </w:rPr>
            </w:pPr>
          </w:p>
          <w:p>
            <w:pPr>
              <w:pStyle w:val="14"/>
              <w:ind w:left="207" w:right="189"/>
              <w:rPr>
                <w:rFonts w:ascii="Times New Roman"/>
                <w:sz w:val="18"/>
              </w:rPr>
            </w:pPr>
            <w:r>
              <w:rPr>
                <w:rFonts w:ascii="Times New Roman"/>
                <w:sz w:val="18"/>
              </w:rPr>
              <w:t>3000</w:t>
            </w:r>
          </w:p>
        </w:tc>
        <w:tc>
          <w:tcPr>
            <w:tcW w:w="898" w:type="dxa"/>
            <w:tcBorders>
              <w:top w:val="single" w:color="000000" w:sz="4" w:space="0"/>
              <w:left w:val="single" w:color="000000" w:sz="4" w:space="0"/>
              <w:right w:val="single" w:color="000000" w:sz="4" w:space="0"/>
            </w:tcBorders>
          </w:tcPr>
          <w:p>
            <w:pPr>
              <w:pStyle w:val="14"/>
              <w:spacing w:before="9"/>
              <w:jc w:val="left"/>
              <w:rPr>
                <w:b/>
                <w:sz w:val="15"/>
              </w:rPr>
            </w:pPr>
          </w:p>
          <w:p>
            <w:pPr>
              <w:pStyle w:val="14"/>
              <w:spacing w:before="1"/>
              <w:ind w:left="208" w:right="189"/>
              <w:rPr>
                <w:rFonts w:ascii="Times New Roman"/>
                <w:sz w:val="18"/>
              </w:rPr>
            </w:pPr>
            <w:r>
              <w:rPr>
                <w:rFonts w:ascii="Times New Roman"/>
                <w:sz w:val="18"/>
              </w:rPr>
              <w:t>40</w:t>
            </w:r>
          </w:p>
        </w:tc>
        <w:tc>
          <w:tcPr>
            <w:tcW w:w="897" w:type="dxa"/>
            <w:tcBorders>
              <w:top w:val="single" w:color="000000" w:sz="4" w:space="0"/>
              <w:left w:val="single" w:color="000000" w:sz="4" w:space="0"/>
              <w:right w:val="single" w:color="000000" w:sz="4" w:space="0"/>
            </w:tcBorders>
          </w:tcPr>
          <w:p>
            <w:pPr>
              <w:pStyle w:val="14"/>
              <w:spacing w:before="9"/>
              <w:jc w:val="left"/>
              <w:rPr>
                <w:b/>
                <w:sz w:val="15"/>
              </w:rPr>
            </w:pPr>
          </w:p>
          <w:p>
            <w:pPr>
              <w:pStyle w:val="14"/>
              <w:spacing w:before="1"/>
              <w:ind w:left="295"/>
              <w:jc w:val="left"/>
              <w:rPr>
                <w:rFonts w:ascii="Times New Roman"/>
                <w:sz w:val="18"/>
              </w:rPr>
            </w:pPr>
            <w:r>
              <w:rPr>
                <w:rFonts w:ascii="Times New Roman"/>
                <w:sz w:val="18"/>
              </w:rPr>
              <w:t>0.02</w:t>
            </w:r>
          </w:p>
        </w:tc>
        <w:tc>
          <w:tcPr>
            <w:tcW w:w="899" w:type="dxa"/>
            <w:tcBorders>
              <w:top w:val="single" w:color="000000" w:sz="4" w:space="0"/>
              <w:left w:val="single" w:color="000000" w:sz="4" w:space="0"/>
              <w:right w:val="single" w:color="000000" w:sz="4" w:space="0"/>
            </w:tcBorders>
          </w:tcPr>
          <w:p>
            <w:pPr>
              <w:pStyle w:val="14"/>
              <w:spacing w:before="9"/>
              <w:jc w:val="left"/>
              <w:rPr>
                <w:b/>
                <w:sz w:val="15"/>
              </w:rPr>
            </w:pPr>
          </w:p>
          <w:p>
            <w:pPr>
              <w:pStyle w:val="14"/>
              <w:spacing w:before="1"/>
              <w:ind w:left="296"/>
              <w:jc w:val="left"/>
              <w:rPr>
                <w:rFonts w:ascii="Times New Roman"/>
                <w:sz w:val="18"/>
              </w:rPr>
            </w:pPr>
            <w:r>
              <w:rPr>
                <w:rFonts w:ascii="Times New Roman"/>
                <w:sz w:val="18"/>
              </w:rPr>
              <w:t>0.12</w:t>
            </w:r>
          </w:p>
        </w:tc>
        <w:tc>
          <w:tcPr>
            <w:tcW w:w="879" w:type="dxa"/>
            <w:tcBorders>
              <w:top w:val="single" w:color="000000" w:sz="4" w:space="0"/>
              <w:left w:val="single" w:color="000000" w:sz="4" w:space="0"/>
              <w:right w:val="single" w:color="000000" w:sz="4" w:space="0"/>
            </w:tcBorders>
          </w:tcPr>
          <w:p>
            <w:pPr>
              <w:pStyle w:val="14"/>
              <w:spacing w:before="12"/>
              <w:jc w:val="left"/>
              <w:rPr>
                <w:b/>
                <w:sz w:val="15"/>
              </w:rPr>
            </w:pPr>
          </w:p>
          <w:p>
            <w:pPr>
              <w:pStyle w:val="14"/>
              <w:ind w:left="287" w:right="270"/>
              <w:rPr>
                <w:rFonts w:ascii="Times New Roman"/>
                <w:sz w:val="18"/>
              </w:rPr>
            </w:pPr>
            <w:r>
              <w:rPr>
                <w:rFonts w:ascii="Times New Roman"/>
                <w:sz w:val="18"/>
              </w:rPr>
              <w:t>80</w:t>
            </w:r>
          </w:p>
        </w:tc>
        <w:tc>
          <w:tcPr>
            <w:tcW w:w="879" w:type="dxa"/>
            <w:tcBorders>
              <w:top w:val="single" w:color="000000" w:sz="4" w:space="0"/>
              <w:left w:val="single" w:color="000000" w:sz="4" w:space="0"/>
            </w:tcBorders>
          </w:tcPr>
          <w:p>
            <w:pPr>
              <w:pStyle w:val="14"/>
              <w:spacing w:before="12"/>
              <w:jc w:val="left"/>
              <w:rPr>
                <w:b/>
                <w:sz w:val="15"/>
              </w:rPr>
            </w:pPr>
          </w:p>
          <w:p>
            <w:pPr>
              <w:pStyle w:val="14"/>
              <w:ind w:left="205" w:right="182"/>
              <w:rPr>
                <w:rFonts w:ascii="Times New Roman"/>
                <w:sz w:val="18"/>
              </w:rPr>
            </w:pPr>
            <w:r>
              <w:rPr>
                <w:rFonts w:ascii="Times New Roman"/>
                <w:sz w:val="18"/>
              </w:rPr>
              <w:t>5940</w:t>
            </w:r>
          </w:p>
        </w:tc>
      </w:tr>
    </w:tbl>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spacing w:before="1"/>
        <w:rPr>
          <w:b/>
          <w:sz w:val="23"/>
        </w:rPr>
      </w:pPr>
    </w:p>
    <w:p>
      <w:pPr>
        <w:spacing w:before="57"/>
        <w:ind w:left="4491" w:right="4491" w:firstLine="0"/>
        <w:jc w:val="center"/>
        <w:rPr>
          <w:rFonts w:ascii="Calibri"/>
          <w:sz w:val="21"/>
        </w:rPr>
      </w:pPr>
      <w:r>
        <w:rPr>
          <w:rFonts w:ascii="Calibri"/>
          <w:sz w:val="21"/>
        </w:rPr>
        <w:t>60</w:t>
      </w:r>
    </w:p>
    <w:p>
      <w:pPr>
        <w:spacing w:after="0"/>
        <w:jc w:val="center"/>
        <w:rPr>
          <w:rFonts w:ascii="Calibri"/>
          <w:sz w:val="21"/>
        </w:rPr>
        <w:sectPr>
          <w:footerReference r:id="rId11" w:type="default"/>
          <w:pgSz w:w="16840" w:h="11910" w:orient="landscape"/>
          <w:pgMar w:top="1080" w:right="1120" w:bottom="280" w:left="1120" w:header="0" w:footer="0" w:gutter="0"/>
        </w:sectPr>
      </w:pPr>
    </w:p>
    <w:p>
      <w:pPr>
        <w:pStyle w:val="13"/>
        <w:numPr>
          <w:ilvl w:val="0"/>
          <w:numId w:val="32"/>
        </w:numPr>
        <w:tabs>
          <w:tab w:val="left" w:pos="1596"/>
        </w:tabs>
        <w:spacing w:before="62" w:after="0" w:line="240" w:lineRule="auto"/>
        <w:ind w:left="1595" w:right="0" w:hanging="602"/>
        <w:jc w:val="left"/>
        <w:rPr>
          <w:sz w:val="24"/>
        </w:rPr>
      </w:pPr>
      <w:r>
        <w:rPr>
          <w:sz w:val="24"/>
        </w:rPr>
        <w:t>水污染源及源强分析</w:t>
      </w:r>
    </w:p>
    <w:p>
      <w:pPr>
        <w:pStyle w:val="6"/>
        <w:spacing w:before="160"/>
        <w:ind w:left="994"/>
      </w:pPr>
      <w:r>
        <w:t>本项目水污染源主要为矿井水和生活污水。</w:t>
      </w:r>
    </w:p>
    <w:p>
      <w:pPr>
        <w:pStyle w:val="6"/>
        <w:spacing w:before="161"/>
        <w:ind w:left="994"/>
      </w:pPr>
      <w:r>
        <w:t>①矿井水及处理措施</w:t>
      </w:r>
    </w:p>
    <w:p>
      <w:pPr>
        <w:pStyle w:val="6"/>
        <w:spacing w:before="160" w:line="364" w:lineRule="auto"/>
        <w:ind w:left="511" w:right="404" w:firstLine="420"/>
      </w:pPr>
      <w:r>
        <w:rPr>
          <w:spacing w:val="-5"/>
        </w:rPr>
        <w:t xml:space="preserve">本项目矿井水正常涌水量 </w:t>
      </w:r>
      <w:r>
        <w:rPr>
          <w:rFonts w:ascii="Times New Roman" w:hAnsi="Times New Roman" w:eastAsia="Times New Roman"/>
          <w:spacing w:val="-3"/>
        </w:rPr>
        <w:t>76m</w:t>
      </w:r>
      <w:r>
        <w:rPr>
          <w:rFonts w:ascii="Times New Roman" w:hAnsi="Times New Roman" w:eastAsia="Times New Roman"/>
          <w:spacing w:val="-3"/>
          <w:position w:val="8"/>
          <w:sz w:val="15"/>
        </w:rPr>
        <w:t>3</w:t>
      </w:r>
      <w:r>
        <w:rPr>
          <w:rFonts w:ascii="Times New Roman" w:hAnsi="Times New Roman" w:eastAsia="Times New Roman"/>
          <w:spacing w:val="-3"/>
        </w:rPr>
        <w:t>/h</w:t>
      </w:r>
      <w:r>
        <w:rPr>
          <w:spacing w:val="-13"/>
        </w:rPr>
        <w:t xml:space="preserve">，总水量 </w:t>
      </w:r>
      <w:r>
        <w:rPr>
          <w:rFonts w:ascii="Times New Roman" w:hAnsi="Times New Roman" w:eastAsia="Times New Roman"/>
        </w:rPr>
        <w:t>1824m</w:t>
      </w:r>
      <w:r>
        <w:rPr>
          <w:rFonts w:ascii="Times New Roman" w:hAnsi="Times New Roman" w:eastAsia="Times New Roman"/>
          <w:position w:val="8"/>
          <w:sz w:val="15"/>
        </w:rPr>
        <w:t>3</w:t>
      </w:r>
      <w:r>
        <w:rPr>
          <w:rFonts w:ascii="Times New Roman" w:hAnsi="Times New Roman" w:eastAsia="Times New Roman"/>
        </w:rPr>
        <w:t>/d</w:t>
      </w:r>
      <w:r>
        <w:rPr>
          <w:spacing w:val="-8"/>
        </w:rPr>
        <w:t xml:space="preserve">，最大涌水量为 </w:t>
      </w:r>
      <w:r>
        <w:rPr>
          <w:rFonts w:ascii="Times New Roman" w:hAnsi="Times New Roman" w:eastAsia="Times New Roman"/>
          <w:spacing w:val="-3"/>
        </w:rPr>
        <w:t>155m</w:t>
      </w:r>
      <w:r>
        <w:rPr>
          <w:rFonts w:ascii="Times New Roman" w:hAnsi="Times New Roman" w:eastAsia="Times New Roman"/>
          <w:spacing w:val="-3"/>
          <w:position w:val="8"/>
          <w:sz w:val="15"/>
        </w:rPr>
        <w:t>3</w:t>
      </w:r>
      <w:r>
        <w:rPr>
          <w:rFonts w:ascii="Times New Roman" w:hAnsi="Times New Roman" w:eastAsia="Times New Roman"/>
          <w:spacing w:val="-3"/>
        </w:rPr>
        <w:t>/h</w:t>
      </w:r>
      <w:r>
        <w:rPr>
          <w:spacing w:val="-3"/>
        </w:rPr>
        <w:t xml:space="preserve">， </w:t>
      </w:r>
      <w:r>
        <w:rPr>
          <w:spacing w:val="-13"/>
        </w:rPr>
        <w:t xml:space="preserve">总水量为 </w:t>
      </w:r>
      <w:r>
        <w:rPr>
          <w:rFonts w:ascii="Times New Roman" w:hAnsi="Times New Roman" w:eastAsia="Times New Roman"/>
        </w:rPr>
        <w:t>3720m</w:t>
      </w:r>
      <w:r>
        <w:rPr>
          <w:rFonts w:ascii="Times New Roman" w:hAnsi="Times New Roman" w:eastAsia="Times New Roman"/>
          <w:position w:val="8"/>
          <w:sz w:val="15"/>
        </w:rPr>
        <w:t>3</w:t>
      </w:r>
      <w:r>
        <w:rPr>
          <w:rFonts w:ascii="Times New Roman" w:hAnsi="Times New Roman" w:eastAsia="Times New Roman"/>
        </w:rPr>
        <w:t>/d</w:t>
      </w:r>
      <w:r>
        <w:rPr>
          <w:spacing w:val="-2"/>
        </w:rPr>
        <w:t>，在井下汇流过程中受到煤尘和人为活动的污染，使其悬浮物浓度较高，水多呈黑色，故矿井水的主要污染物为悬浮物，矿井同步建设一座处</w:t>
      </w:r>
      <w:r>
        <w:rPr>
          <w:spacing w:val="-17"/>
        </w:rPr>
        <w:t xml:space="preserve">理规模 </w:t>
      </w:r>
      <w:r>
        <w:rPr>
          <w:rFonts w:ascii="Times New Roman" w:hAnsi="Times New Roman" w:eastAsia="Times New Roman"/>
        </w:rPr>
        <w:t>3720m</w:t>
      </w:r>
      <w:r>
        <w:rPr>
          <w:rFonts w:ascii="Times New Roman" w:hAnsi="Times New Roman" w:eastAsia="Times New Roman"/>
          <w:position w:val="8"/>
          <w:sz w:val="15"/>
        </w:rPr>
        <w:t>3</w:t>
      </w:r>
      <w:r>
        <w:rPr>
          <w:rFonts w:ascii="Times New Roman" w:hAnsi="Times New Roman" w:eastAsia="Times New Roman"/>
        </w:rPr>
        <w:t xml:space="preserve">/d </w:t>
      </w:r>
      <w:r>
        <w:rPr>
          <w:spacing w:val="-13"/>
        </w:rPr>
        <w:t>的矿井水处理站，采用絮凝、沉淀处理工艺。</w:t>
      </w:r>
      <w:r>
        <w:rPr>
          <w:rFonts w:ascii="Times New Roman" w:hAnsi="Times New Roman" w:eastAsia="Times New Roman"/>
        </w:rPr>
        <w:t xml:space="preserve">COD </w:t>
      </w:r>
      <w:r>
        <w:t>去除率</w:t>
      </w:r>
      <w:r>
        <w:rPr>
          <w:rFonts w:ascii="Times New Roman" w:hAnsi="Times New Roman" w:eastAsia="Times New Roman"/>
        </w:rPr>
        <w:t>≥80%</w:t>
      </w:r>
      <w:r>
        <w:t xml:space="preserve">， </w:t>
      </w:r>
      <w:r>
        <w:rPr>
          <w:rFonts w:ascii="Times New Roman" w:hAnsi="Times New Roman" w:eastAsia="Times New Roman"/>
        </w:rPr>
        <w:t xml:space="preserve">SS </w:t>
      </w:r>
      <w:r>
        <w:t>去除率</w:t>
      </w:r>
      <w:r>
        <w:rPr>
          <w:rFonts w:ascii="Times New Roman" w:hAnsi="Times New Roman" w:eastAsia="Times New Roman"/>
        </w:rPr>
        <w:t>≥85%</w:t>
      </w:r>
      <w:r>
        <w:t>。处理后可用于其它非生活饮用水、井下消防及防尘洒水、浴室洗浴洗衣用水、锅炉房补充水、浇洒绿地用水等，剩余部分排入扁石河。</w:t>
      </w:r>
    </w:p>
    <w:p>
      <w:pPr>
        <w:pStyle w:val="6"/>
        <w:spacing w:before="4"/>
        <w:ind w:left="931"/>
      </w:pPr>
      <w:r>
        <w:t>②生活污水及处理措施</w:t>
      </w:r>
    </w:p>
    <w:p>
      <w:pPr>
        <w:pStyle w:val="6"/>
        <w:spacing w:before="160" w:line="364" w:lineRule="auto"/>
        <w:ind w:left="511" w:right="529" w:firstLine="420"/>
      </w:pPr>
      <w:r>
        <w:t>本项目生产污水经生活污水处理设备处理达标后，回用于生产、工业场地绿化洒水用水。</w:t>
      </w:r>
    </w:p>
    <w:p>
      <w:pPr>
        <w:pStyle w:val="6"/>
        <w:spacing w:before="2"/>
        <w:ind w:left="931"/>
      </w:pPr>
      <w:r>
        <w:t xml:space="preserve">废水污染源源强核算见表 </w:t>
      </w:r>
      <w:r>
        <w:rPr>
          <w:rFonts w:ascii="Times New Roman" w:eastAsia="Times New Roman"/>
        </w:rPr>
        <w:t>3.4-5</w:t>
      </w:r>
      <w:r>
        <w:t xml:space="preserve">，表 </w:t>
      </w:r>
      <w:r>
        <w:rPr>
          <w:rFonts w:ascii="Times New Roman" w:eastAsia="Times New Roman"/>
        </w:rPr>
        <w:t>3.4-6</w:t>
      </w:r>
      <w:r>
        <w:t>。</w:t>
      </w:r>
    </w:p>
    <w:p>
      <w:pPr>
        <w:pStyle w:val="6"/>
        <w:rPr>
          <w:sz w:val="20"/>
        </w:rPr>
      </w:pPr>
    </w:p>
    <w:p>
      <w:pPr>
        <w:pStyle w:val="6"/>
        <w:tabs>
          <w:tab w:val="left" w:pos="1039"/>
        </w:tabs>
        <w:spacing w:after="37"/>
        <w:ind w:right="17"/>
        <w:jc w:val="center"/>
        <w:rPr>
          <w:rFonts w:hint="eastAsia" w:ascii="黑体" w:eastAsia="黑体"/>
        </w:rPr>
      </w:pPr>
      <w:r>
        <w:rPr>
          <w:rFonts w:hint="eastAsia" w:ascii="黑体" w:eastAsia="黑体"/>
        </w:rPr>
        <w:t>表</w:t>
      </w:r>
      <w:r>
        <w:rPr>
          <w:rFonts w:hint="eastAsia" w:ascii="黑体" w:eastAsia="黑体"/>
          <w:spacing w:val="-61"/>
        </w:rPr>
        <w:t xml:space="preserve"> </w:t>
      </w:r>
      <w:r>
        <w:rPr>
          <w:rFonts w:ascii="Times New Roman" w:eastAsia="Times New Roman"/>
        </w:rPr>
        <w:t>3.4-5</w:t>
      </w:r>
      <w:r>
        <w:rPr>
          <w:rFonts w:ascii="Times New Roman" w:eastAsia="Times New Roman"/>
        </w:rPr>
        <w:tab/>
      </w:r>
      <w:r>
        <w:rPr>
          <w:rFonts w:hint="eastAsia" w:ascii="黑体" w:eastAsia="黑体"/>
        </w:rPr>
        <w:t>采暖期废水污染源源强核算结果及相关参数一览表</w:t>
      </w:r>
    </w:p>
    <w:tbl>
      <w:tblPr>
        <w:tblStyle w:val="10"/>
        <w:tblW w:w="0" w:type="auto"/>
        <w:tblInd w:w="1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0"/>
        <w:gridCol w:w="717"/>
        <w:gridCol w:w="353"/>
        <w:gridCol w:w="793"/>
        <w:gridCol w:w="837"/>
        <w:gridCol w:w="779"/>
        <w:gridCol w:w="1230"/>
        <w:gridCol w:w="577"/>
        <w:gridCol w:w="353"/>
        <w:gridCol w:w="793"/>
        <w:gridCol w:w="837"/>
        <w:gridCol w:w="779"/>
        <w:gridCol w:w="6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390" w:type="dxa"/>
            <w:vMerge w:val="restart"/>
          </w:tcPr>
          <w:p>
            <w:pPr>
              <w:pStyle w:val="14"/>
              <w:spacing w:before="8"/>
              <w:jc w:val="left"/>
              <w:rPr>
                <w:rFonts w:ascii="黑体"/>
                <w:sz w:val="18"/>
              </w:rPr>
            </w:pPr>
          </w:p>
          <w:p>
            <w:pPr>
              <w:pStyle w:val="14"/>
              <w:spacing w:line="242" w:lineRule="auto"/>
              <w:ind w:left="108" w:right="89"/>
              <w:jc w:val="both"/>
              <w:rPr>
                <w:sz w:val="18"/>
              </w:rPr>
            </w:pPr>
            <w:r>
              <w:rPr>
                <w:sz w:val="18"/>
              </w:rPr>
              <w:t>污染源</w:t>
            </w:r>
          </w:p>
        </w:tc>
        <w:tc>
          <w:tcPr>
            <w:tcW w:w="717" w:type="dxa"/>
            <w:vMerge w:val="restart"/>
          </w:tcPr>
          <w:p>
            <w:pPr>
              <w:pStyle w:val="14"/>
              <w:jc w:val="left"/>
              <w:rPr>
                <w:rFonts w:ascii="黑体"/>
                <w:sz w:val="18"/>
              </w:rPr>
            </w:pPr>
          </w:p>
          <w:p>
            <w:pPr>
              <w:pStyle w:val="14"/>
              <w:spacing w:before="126" w:line="242" w:lineRule="auto"/>
              <w:ind w:left="267" w:right="168" w:hanging="92"/>
              <w:jc w:val="left"/>
              <w:rPr>
                <w:sz w:val="18"/>
              </w:rPr>
            </w:pPr>
            <w:r>
              <w:rPr>
                <w:sz w:val="18"/>
              </w:rPr>
              <w:t>污染物</w:t>
            </w:r>
          </w:p>
        </w:tc>
        <w:tc>
          <w:tcPr>
            <w:tcW w:w="2762" w:type="dxa"/>
            <w:gridSpan w:val="4"/>
          </w:tcPr>
          <w:p>
            <w:pPr>
              <w:pStyle w:val="14"/>
              <w:spacing w:before="1" w:line="211" w:lineRule="exact"/>
              <w:ind w:left="909" w:right="900"/>
              <w:rPr>
                <w:sz w:val="18"/>
              </w:rPr>
            </w:pPr>
            <w:r>
              <w:rPr>
                <w:sz w:val="18"/>
              </w:rPr>
              <w:t>污染物产生</w:t>
            </w:r>
          </w:p>
        </w:tc>
        <w:tc>
          <w:tcPr>
            <w:tcW w:w="1807" w:type="dxa"/>
            <w:gridSpan w:val="2"/>
          </w:tcPr>
          <w:p>
            <w:pPr>
              <w:pStyle w:val="14"/>
              <w:spacing w:before="1" w:line="211" w:lineRule="exact"/>
              <w:ind w:left="542"/>
              <w:jc w:val="left"/>
              <w:rPr>
                <w:sz w:val="18"/>
              </w:rPr>
            </w:pPr>
            <w:r>
              <w:rPr>
                <w:sz w:val="18"/>
              </w:rPr>
              <w:t>治理措施</w:t>
            </w:r>
          </w:p>
        </w:tc>
        <w:tc>
          <w:tcPr>
            <w:tcW w:w="2762" w:type="dxa"/>
            <w:gridSpan w:val="4"/>
          </w:tcPr>
          <w:p>
            <w:pPr>
              <w:pStyle w:val="14"/>
              <w:spacing w:before="1" w:line="211" w:lineRule="exact"/>
              <w:ind w:left="910" w:right="899"/>
              <w:rPr>
                <w:sz w:val="18"/>
              </w:rPr>
            </w:pPr>
            <w:r>
              <w:rPr>
                <w:sz w:val="18"/>
              </w:rPr>
              <w:t>污染物排放</w:t>
            </w:r>
          </w:p>
        </w:tc>
        <w:tc>
          <w:tcPr>
            <w:tcW w:w="618" w:type="dxa"/>
            <w:vMerge w:val="restart"/>
          </w:tcPr>
          <w:p>
            <w:pPr>
              <w:pStyle w:val="14"/>
              <w:spacing w:before="10"/>
              <w:jc w:val="left"/>
              <w:rPr>
                <w:rFonts w:ascii="黑体"/>
                <w:sz w:val="19"/>
              </w:rPr>
            </w:pPr>
          </w:p>
          <w:p>
            <w:pPr>
              <w:pStyle w:val="14"/>
              <w:ind w:left="127" w:right="118"/>
              <w:jc w:val="both"/>
              <w:rPr>
                <w:rFonts w:ascii="Times New Roman" w:eastAsia="Times New Roman"/>
                <w:sz w:val="18"/>
              </w:rPr>
            </w:pPr>
            <w:r>
              <w:rPr>
                <w:sz w:val="18"/>
              </w:rPr>
              <w:t>排放时间</w:t>
            </w:r>
            <w:r>
              <w:rPr>
                <w:rFonts w:ascii="Times New Roman" w:eastAsia="Times New Roman"/>
                <w:sz w:val="18"/>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390" w:type="dxa"/>
            <w:vMerge w:val="continue"/>
            <w:tcBorders>
              <w:top w:val="nil"/>
            </w:tcBorders>
          </w:tcPr>
          <w:p>
            <w:pPr>
              <w:rPr>
                <w:sz w:val="2"/>
                <w:szCs w:val="2"/>
              </w:rPr>
            </w:pPr>
          </w:p>
        </w:tc>
        <w:tc>
          <w:tcPr>
            <w:tcW w:w="717" w:type="dxa"/>
            <w:vMerge w:val="continue"/>
            <w:tcBorders>
              <w:top w:val="nil"/>
            </w:tcBorders>
          </w:tcPr>
          <w:p>
            <w:pPr>
              <w:rPr>
                <w:sz w:val="2"/>
                <w:szCs w:val="2"/>
              </w:rPr>
            </w:pPr>
          </w:p>
        </w:tc>
        <w:tc>
          <w:tcPr>
            <w:tcW w:w="353" w:type="dxa"/>
          </w:tcPr>
          <w:p>
            <w:pPr>
              <w:pStyle w:val="14"/>
              <w:spacing w:before="1" w:line="242" w:lineRule="auto"/>
              <w:ind w:left="107" w:right="53"/>
              <w:jc w:val="both"/>
              <w:rPr>
                <w:sz w:val="18"/>
              </w:rPr>
            </w:pPr>
            <w:r>
              <w:rPr>
                <w:sz w:val="18"/>
              </w:rPr>
              <w:t>核算方</w:t>
            </w:r>
          </w:p>
          <w:p>
            <w:pPr>
              <w:pStyle w:val="14"/>
              <w:spacing w:before="2" w:line="212" w:lineRule="exact"/>
              <w:ind w:left="107"/>
              <w:jc w:val="left"/>
              <w:rPr>
                <w:sz w:val="18"/>
              </w:rPr>
            </w:pPr>
            <w:r>
              <w:rPr>
                <w:sz w:val="18"/>
              </w:rPr>
              <w:t>法</w:t>
            </w:r>
          </w:p>
        </w:tc>
        <w:tc>
          <w:tcPr>
            <w:tcW w:w="793" w:type="dxa"/>
          </w:tcPr>
          <w:p>
            <w:pPr>
              <w:pStyle w:val="14"/>
              <w:spacing w:before="1" w:line="244" w:lineRule="auto"/>
              <w:ind w:left="126" w:right="114" w:hanging="3"/>
              <w:rPr>
                <w:sz w:val="18"/>
              </w:rPr>
            </w:pPr>
            <w:r>
              <w:rPr>
                <w:sz w:val="18"/>
              </w:rPr>
              <w:t xml:space="preserve">产生 </w:t>
            </w:r>
            <w:r>
              <w:rPr>
                <w:spacing w:val="-6"/>
                <w:sz w:val="18"/>
              </w:rPr>
              <w:t>废水量</w:t>
            </w:r>
          </w:p>
          <w:p>
            <w:pPr>
              <w:pStyle w:val="14"/>
              <w:spacing w:line="228" w:lineRule="exact"/>
              <w:ind w:left="118" w:right="109"/>
              <w:rPr>
                <w:rFonts w:ascii="Times New Roman" w:eastAsia="Times New Roman"/>
                <w:sz w:val="18"/>
              </w:rPr>
            </w:pPr>
            <w:r>
              <w:rPr>
                <w:sz w:val="18"/>
              </w:rPr>
              <w:t>（</w:t>
            </w:r>
            <w:r>
              <w:rPr>
                <w:rFonts w:ascii="Times New Roman" w:eastAsia="Times New Roman"/>
                <w:sz w:val="18"/>
              </w:rPr>
              <w:t>m</w:t>
            </w:r>
            <w:r>
              <w:rPr>
                <w:rFonts w:ascii="Times New Roman" w:eastAsia="Times New Roman"/>
                <w:position w:val="6"/>
                <w:sz w:val="11"/>
              </w:rPr>
              <w:t>3</w:t>
            </w:r>
            <w:r>
              <w:rPr>
                <w:rFonts w:ascii="Times New Roman" w:eastAsia="Times New Roman"/>
                <w:sz w:val="18"/>
              </w:rPr>
              <w:t>/d</w:t>
            </w:r>
          </w:p>
          <w:p>
            <w:pPr>
              <w:pStyle w:val="14"/>
              <w:spacing w:before="2" w:line="212" w:lineRule="exact"/>
              <w:ind w:left="10"/>
              <w:rPr>
                <w:sz w:val="18"/>
              </w:rPr>
            </w:pPr>
            <w:r>
              <w:rPr>
                <w:sz w:val="18"/>
              </w:rPr>
              <w:t>）</w:t>
            </w:r>
          </w:p>
        </w:tc>
        <w:tc>
          <w:tcPr>
            <w:tcW w:w="837" w:type="dxa"/>
          </w:tcPr>
          <w:p>
            <w:pPr>
              <w:pStyle w:val="14"/>
              <w:spacing w:before="1" w:line="244" w:lineRule="auto"/>
              <w:ind w:left="238" w:right="226"/>
              <w:rPr>
                <w:sz w:val="18"/>
              </w:rPr>
            </w:pPr>
            <w:r>
              <w:rPr>
                <w:sz w:val="18"/>
              </w:rPr>
              <w:t>产生浓度</w:t>
            </w:r>
          </w:p>
          <w:p>
            <w:pPr>
              <w:pStyle w:val="14"/>
              <w:spacing w:line="228" w:lineRule="exact"/>
              <w:ind w:left="111" w:right="104"/>
              <w:rPr>
                <w:rFonts w:ascii="Times New Roman" w:eastAsia="Times New Roman"/>
                <w:sz w:val="18"/>
              </w:rPr>
            </w:pPr>
            <w:r>
              <w:rPr>
                <w:sz w:val="18"/>
              </w:rPr>
              <w:t>（</w:t>
            </w:r>
            <w:r>
              <w:rPr>
                <w:rFonts w:ascii="Times New Roman" w:eastAsia="Times New Roman"/>
                <w:sz w:val="18"/>
              </w:rPr>
              <w:t>mg/L</w:t>
            </w:r>
          </w:p>
          <w:p>
            <w:pPr>
              <w:pStyle w:val="14"/>
              <w:spacing w:before="2" w:line="212" w:lineRule="exact"/>
              <w:ind w:left="7"/>
              <w:rPr>
                <w:sz w:val="18"/>
              </w:rPr>
            </w:pPr>
            <w:r>
              <w:rPr>
                <w:sz w:val="18"/>
              </w:rPr>
              <w:t>）</w:t>
            </w:r>
          </w:p>
        </w:tc>
        <w:tc>
          <w:tcPr>
            <w:tcW w:w="779" w:type="dxa"/>
          </w:tcPr>
          <w:p>
            <w:pPr>
              <w:pStyle w:val="14"/>
              <w:spacing w:before="118"/>
              <w:ind w:left="98" w:right="89"/>
              <w:rPr>
                <w:sz w:val="18"/>
              </w:rPr>
            </w:pPr>
            <w:r>
              <w:rPr>
                <w:sz w:val="18"/>
              </w:rPr>
              <w:t>产生量</w:t>
            </w:r>
          </w:p>
          <w:p>
            <w:pPr>
              <w:pStyle w:val="14"/>
              <w:spacing w:before="2"/>
              <w:ind w:left="94" w:right="89"/>
              <w:rPr>
                <w:rFonts w:ascii="Times New Roman" w:eastAsia="Times New Roman"/>
                <w:sz w:val="18"/>
              </w:rPr>
            </w:pPr>
            <w:r>
              <w:rPr>
                <w:sz w:val="18"/>
              </w:rPr>
              <w:t>（</w:t>
            </w:r>
            <w:r>
              <w:rPr>
                <w:rFonts w:ascii="Times New Roman" w:eastAsia="Times New Roman"/>
                <w:sz w:val="18"/>
              </w:rPr>
              <w:t>kg/d</w:t>
            </w:r>
          </w:p>
          <w:p>
            <w:pPr>
              <w:pStyle w:val="14"/>
              <w:spacing w:before="3"/>
              <w:ind w:left="9"/>
              <w:rPr>
                <w:sz w:val="18"/>
              </w:rPr>
            </w:pPr>
            <w:r>
              <w:rPr>
                <w:sz w:val="18"/>
              </w:rPr>
              <w:t>）</w:t>
            </w:r>
          </w:p>
        </w:tc>
        <w:tc>
          <w:tcPr>
            <w:tcW w:w="1230" w:type="dxa"/>
          </w:tcPr>
          <w:p>
            <w:pPr>
              <w:pStyle w:val="14"/>
              <w:jc w:val="left"/>
              <w:rPr>
                <w:rFonts w:ascii="黑体"/>
                <w:sz w:val="18"/>
              </w:rPr>
            </w:pPr>
          </w:p>
          <w:p>
            <w:pPr>
              <w:pStyle w:val="14"/>
              <w:spacing w:before="120"/>
              <w:ind w:left="414" w:right="405"/>
              <w:rPr>
                <w:sz w:val="18"/>
              </w:rPr>
            </w:pPr>
            <w:r>
              <w:rPr>
                <w:sz w:val="18"/>
              </w:rPr>
              <w:t>工艺</w:t>
            </w:r>
          </w:p>
        </w:tc>
        <w:tc>
          <w:tcPr>
            <w:tcW w:w="577" w:type="dxa"/>
          </w:tcPr>
          <w:p>
            <w:pPr>
              <w:pStyle w:val="14"/>
              <w:spacing w:before="118"/>
              <w:ind w:left="106"/>
              <w:jc w:val="left"/>
              <w:rPr>
                <w:sz w:val="18"/>
              </w:rPr>
            </w:pPr>
            <w:r>
              <w:rPr>
                <w:sz w:val="18"/>
              </w:rPr>
              <w:t>效率</w:t>
            </w:r>
          </w:p>
          <w:p>
            <w:pPr>
              <w:pStyle w:val="14"/>
              <w:spacing w:before="2"/>
              <w:ind w:left="123"/>
              <w:jc w:val="left"/>
              <w:rPr>
                <w:rFonts w:ascii="Times New Roman" w:eastAsia="Times New Roman"/>
                <w:sz w:val="18"/>
              </w:rPr>
            </w:pPr>
            <w:r>
              <w:rPr>
                <w:sz w:val="18"/>
              </w:rPr>
              <w:t>（</w:t>
            </w:r>
            <w:r>
              <w:rPr>
                <w:rFonts w:ascii="Times New Roman" w:eastAsia="Times New Roman"/>
                <w:sz w:val="18"/>
              </w:rPr>
              <w:t>%</w:t>
            </w:r>
          </w:p>
          <w:p>
            <w:pPr>
              <w:pStyle w:val="14"/>
              <w:spacing w:before="3"/>
              <w:ind w:left="198"/>
              <w:jc w:val="left"/>
              <w:rPr>
                <w:sz w:val="18"/>
              </w:rPr>
            </w:pPr>
            <w:r>
              <w:rPr>
                <w:sz w:val="18"/>
              </w:rPr>
              <w:t>）</w:t>
            </w:r>
          </w:p>
        </w:tc>
        <w:tc>
          <w:tcPr>
            <w:tcW w:w="353" w:type="dxa"/>
          </w:tcPr>
          <w:p>
            <w:pPr>
              <w:pStyle w:val="14"/>
              <w:spacing w:before="1" w:line="242" w:lineRule="auto"/>
              <w:ind w:left="108" w:right="52"/>
              <w:jc w:val="both"/>
              <w:rPr>
                <w:sz w:val="18"/>
              </w:rPr>
            </w:pPr>
            <w:r>
              <w:rPr>
                <w:sz w:val="18"/>
              </w:rPr>
              <w:t>核算方</w:t>
            </w:r>
          </w:p>
          <w:p>
            <w:pPr>
              <w:pStyle w:val="14"/>
              <w:spacing w:before="2" w:line="212" w:lineRule="exact"/>
              <w:ind w:left="108"/>
              <w:jc w:val="left"/>
              <w:rPr>
                <w:sz w:val="18"/>
              </w:rPr>
            </w:pPr>
            <w:r>
              <w:rPr>
                <w:sz w:val="18"/>
              </w:rPr>
              <w:t>法</w:t>
            </w:r>
          </w:p>
        </w:tc>
        <w:tc>
          <w:tcPr>
            <w:tcW w:w="793" w:type="dxa"/>
          </w:tcPr>
          <w:p>
            <w:pPr>
              <w:pStyle w:val="14"/>
              <w:spacing w:before="1" w:line="244" w:lineRule="auto"/>
              <w:ind w:left="124" w:right="116" w:firstLine="2"/>
              <w:rPr>
                <w:sz w:val="18"/>
              </w:rPr>
            </w:pPr>
            <w:r>
              <w:rPr>
                <w:sz w:val="18"/>
              </w:rPr>
              <w:t xml:space="preserve">排放 </w:t>
            </w:r>
            <w:r>
              <w:rPr>
                <w:spacing w:val="-6"/>
                <w:sz w:val="18"/>
              </w:rPr>
              <w:t>废水量</w:t>
            </w:r>
          </w:p>
          <w:p>
            <w:pPr>
              <w:pStyle w:val="14"/>
              <w:spacing w:line="228" w:lineRule="exact"/>
              <w:ind w:left="117" w:right="109"/>
              <w:rPr>
                <w:rFonts w:ascii="Times New Roman" w:eastAsia="Times New Roman"/>
                <w:sz w:val="18"/>
              </w:rPr>
            </w:pPr>
            <w:r>
              <w:rPr>
                <w:sz w:val="18"/>
              </w:rPr>
              <w:t>（</w:t>
            </w:r>
            <w:r>
              <w:rPr>
                <w:rFonts w:ascii="Times New Roman" w:eastAsia="Times New Roman"/>
                <w:sz w:val="18"/>
              </w:rPr>
              <w:t>m</w:t>
            </w:r>
            <w:r>
              <w:rPr>
                <w:rFonts w:ascii="Times New Roman" w:eastAsia="Times New Roman"/>
                <w:position w:val="6"/>
                <w:sz w:val="11"/>
              </w:rPr>
              <w:t>3</w:t>
            </w:r>
            <w:r>
              <w:rPr>
                <w:rFonts w:ascii="Times New Roman" w:eastAsia="Times New Roman"/>
                <w:sz w:val="18"/>
              </w:rPr>
              <w:t>/d</w:t>
            </w:r>
          </w:p>
          <w:p>
            <w:pPr>
              <w:pStyle w:val="14"/>
              <w:spacing w:before="2" w:line="212" w:lineRule="exact"/>
              <w:ind w:left="6"/>
              <w:rPr>
                <w:sz w:val="18"/>
              </w:rPr>
            </w:pPr>
            <w:r>
              <w:rPr>
                <w:sz w:val="18"/>
              </w:rPr>
              <w:t>）</w:t>
            </w:r>
          </w:p>
        </w:tc>
        <w:tc>
          <w:tcPr>
            <w:tcW w:w="837" w:type="dxa"/>
          </w:tcPr>
          <w:p>
            <w:pPr>
              <w:pStyle w:val="14"/>
              <w:spacing w:before="1" w:line="244" w:lineRule="auto"/>
              <w:ind w:left="236" w:right="228"/>
              <w:rPr>
                <w:sz w:val="18"/>
              </w:rPr>
            </w:pPr>
            <w:r>
              <w:rPr>
                <w:sz w:val="18"/>
              </w:rPr>
              <w:t>排放浓度</w:t>
            </w:r>
          </w:p>
          <w:p>
            <w:pPr>
              <w:pStyle w:val="14"/>
              <w:spacing w:line="228" w:lineRule="exact"/>
              <w:ind w:left="112" w:right="104"/>
              <w:rPr>
                <w:rFonts w:ascii="Times New Roman" w:eastAsia="Times New Roman"/>
                <w:sz w:val="18"/>
              </w:rPr>
            </w:pPr>
            <w:r>
              <w:rPr>
                <w:sz w:val="18"/>
              </w:rPr>
              <w:t>（</w:t>
            </w:r>
            <w:r>
              <w:rPr>
                <w:rFonts w:ascii="Times New Roman" w:eastAsia="Times New Roman"/>
                <w:sz w:val="18"/>
              </w:rPr>
              <w:t>mg/L</w:t>
            </w:r>
          </w:p>
          <w:p>
            <w:pPr>
              <w:pStyle w:val="14"/>
              <w:spacing w:before="2" w:line="212" w:lineRule="exact"/>
              <w:ind w:left="8"/>
              <w:rPr>
                <w:sz w:val="18"/>
              </w:rPr>
            </w:pPr>
            <w:r>
              <w:rPr>
                <w:sz w:val="18"/>
              </w:rPr>
              <w:t>）</w:t>
            </w:r>
          </w:p>
        </w:tc>
        <w:tc>
          <w:tcPr>
            <w:tcW w:w="779" w:type="dxa"/>
          </w:tcPr>
          <w:p>
            <w:pPr>
              <w:pStyle w:val="14"/>
              <w:spacing w:before="118"/>
              <w:ind w:left="99" w:right="89"/>
              <w:rPr>
                <w:sz w:val="18"/>
              </w:rPr>
            </w:pPr>
            <w:r>
              <w:rPr>
                <w:sz w:val="18"/>
              </w:rPr>
              <w:t>排放量</w:t>
            </w:r>
          </w:p>
          <w:p>
            <w:pPr>
              <w:pStyle w:val="14"/>
              <w:spacing w:before="2"/>
              <w:ind w:left="95" w:right="89"/>
              <w:rPr>
                <w:rFonts w:ascii="Times New Roman" w:eastAsia="Times New Roman"/>
                <w:sz w:val="18"/>
              </w:rPr>
            </w:pPr>
            <w:r>
              <w:rPr>
                <w:sz w:val="18"/>
              </w:rPr>
              <w:t>（</w:t>
            </w:r>
            <w:r>
              <w:rPr>
                <w:rFonts w:ascii="Times New Roman" w:eastAsia="Times New Roman"/>
                <w:sz w:val="18"/>
              </w:rPr>
              <w:t>kg/d</w:t>
            </w:r>
          </w:p>
          <w:p>
            <w:pPr>
              <w:pStyle w:val="14"/>
              <w:spacing w:before="3"/>
              <w:ind w:left="10"/>
              <w:rPr>
                <w:sz w:val="18"/>
              </w:rPr>
            </w:pPr>
            <w:r>
              <w:rPr>
                <w:sz w:val="18"/>
              </w:rPr>
              <w:t>）</w:t>
            </w:r>
          </w:p>
        </w:tc>
        <w:tc>
          <w:tcPr>
            <w:tcW w:w="61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390" w:type="dxa"/>
            <w:vMerge w:val="restart"/>
          </w:tcPr>
          <w:p>
            <w:pPr>
              <w:pStyle w:val="14"/>
              <w:jc w:val="left"/>
              <w:rPr>
                <w:rFonts w:ascii="黑体"/>
                <w:sz w:val="18"/>
              </w:rPr>
            </w:pPr>
          </w:p>
          <w:p>
            <w:pPr>
              <w:pStyle w:val="14"/>
              <w:spacing w:before="6"/>
              <w:jc w:val="left"/>
              <w:rPr>
                <w:rFonts w:ascii="黑体"/>
                <w:sz w:val="18"/>
              </w:rPr>
            </w:pPr>
          </w:p>
          <w:p>
            <w:pPr>
              <w:pStyle w:val="14"/>
              <w:spacing w:before="1" w:line="242" w:lineRule="auto"/>
              <w:ind w:left="108" w:right="89"/>
              <w:jc w:val="both"/>
              <w:rPr>
                <w:sz w:val="18"/>
              </w:rPr>
            </w:pPr>
            <w:r>
              <w:rPr>
                <w:sz w:val="18"/>
              </w:rPr>
              <w:t>矿井水</w:t>
            </w:r>
          </w:p>
        </w:tc>
        <w:tc>
          <w:tcPr>
            <w:tcW w:w="717" w:type="dxa"/>
          </w:tcPr>
          <w:p>
            <w:pPr>
              <w:pStyle w:val="14"/>
              <w:spacing w:before="3"/>
              <w:jc w:val="left"/>
              <w:rPr>
                <w:rFonts w:ascii="黑体"/>
                <w:sz w:val="14"/>
              </w:rPr>
            </w:pPr>
          </w:p>
          <w:p>
            <w:pPr>
              <w:pStyle w:val="14"/>
              <w:ind w:left="119" w:right="108"/>
              <w:rPr>
                <w:rFonts w:ascii="Times New Roman"/>
                <w:sz w:val="18"/>
              </w:rPr>
            </w:pPr>
            <w:r>
              <w:rPr>
                <w:rFonts w:ascii="Times New Roman"/>
                <w:sz w:val="18"/>
              </w:rPr>
              <w:t>COD</w:t>
            </w:r>
          </w:p>
        </w:tc>
        <w:tc>
          <w:tcPr>
            <w:tcW w:w="353" w:type="dxa"/>
            <w:vMerge w:val="restart"/>
          </w:tcPr>
          <w:p>
            <w:pPr>
              <w:pStyle w:val="14"/>
              <w:jc w:val="left"/>
              <w:rPr>
                <w:rFonts w:ascii="黑体"/>
                <w:sz w:val="18"/>
              </w:rPr>
            </w:pPr>
          </w:p>
          <w:p>
            <w:pPr>
              <w:pStyle w:val="14"/>
              <w:jc w:val="left"/>
              <w:rPr>
                <w:rFonts w:ascii="黑体"/>
                <w:sz w:val="18"/>
              </w:rPr>
            </w:pPr>
          </w:p>
          <w:p>
            <w:pPr>
              <w:pStyle w:val="14"/>
              <w:jc w:val="left"/>
              <w:rPr>
                <w:rFonts w:ascii="黑体"/>
                <w:sz w:val="18"/>
              </w:rPr>
            </w:pPr>
          </w:p>
          <w:p>
            <w:pPr>
              <w:pStyle w:val="14"/>
              <w:jc w:val="left"/>
              <w:rPr>
                <w:rFonts w:ascii="黑体"/>
                <w:sz w:val="18"/>
              </w:rPr>
            </w:pPr>
          </w:p>
          <w:p>
            <w:pPr>
              <w:pStyle w:val="14"/>
              <w:jc w:val="left"/>
              <w:rPr>
                <w:rFonts w:ascii="黑体"/>
                <w:sz w:val="18"/>
              </w:rPr>
            </w:pPr>
          </w:p>
          <w:p>
            <w:pPr>
              <w:pStyle w:val="14"/>
              <w:jc w:val="left"/>
              <w:rPr>
                <w:rFonts w:ascii="黑体"/>
                <w:sz w:val="18"/>
              </w:rPr>
            </w:pPr>
          </w:p>
          <w:p>
            <w:pPr>
              <w:pStyle w:val="14"/>
              <w:spacing w:before="10"/>
              <w:jc w:val="left"/>
              <w:rPr>
                <w:rFonts w:ascii="黑体"/>
                <w:sz w:val="15"/>
              </w:rPr>
            </w:pPr>
          </w:p>
          <w:p>
            <w:pPr>
              <w:pStyle w:val="14"/>
              <w:spacing w:line="242" w:lineRule="auto"/>
              <w:ind w:left="107" w:right="53"/>
              <w:jc w:val="both"/>
              <w:rPr>
                <w:sz w:val="18"/>
              </w:rPr>
            </w:pPr>
            <w:r>
              <w:rPr>
                <w:sz w:val="18"/>
              </w:rPr>
              <w:t>类比法</w:t>
            </w:r>
          </w:p>
        </w:tc>
        <w:tc>
          <w:tcPr>
            <w:tcW w:w="793" w:type="dxa"/>
            <w:vMerge w:val="restart"/>
          </w:tcPr>
          <w:p>
            <w:pPr>
              <w:pStyle w:val="14"/>
              <w:jc w:val="left"/>
              <w:rPr>
                <w:rFonts w:ascii="黑体"/>
                <w:sz w:val="20"/>
              </w:rPr>
            </w:pPr>
          </w:p>
          <w:p>
            <w:pPr>
              <w:pStyle w:val="14"/>
              <w:jc w:val="left"/>
              <w:rPr>
                <w:rFonts w:ascii="黑体"/>
                <w:sz w:val="20"/>
              </w:rPr>
            </w:pPr>
          </w:p>
          <w:p>
            <w:pPr>
              <w:pStyle w:val="14"/>
              <w:spacing w:before="8"/>
              <w:jc w:val="left"/>
              <w:rPr>
                <w:rFonts w:ascii="黑体"/>
                <w:sz w:val="15"/>
              </w:rPr>
            </w:pPr>
          </w:p>
          <w:p>
            <w:pPr>
              <w:pStyle w:val="14"/>
              <w:ind w:left="215"/>
              <w:jc w:val="left"/>
              <w:rPr>
                <w:rFonts w:ascii="Times New Roman"/>
                <w:sz w:val="18"/>
              </w:rPr>
            </w:pPr>
            <w:r>
              <w:rPr>
                <w:rFonts w:ascii="Times New Roman"/>
                <w:sz w:val="18"/>
              </w:rPr>
              <w:t>1824</w:t>
            </w:r>
          </w:p>
        </w:tc>
        <w:tc>
          <w:tcPr>
            <w:tcW w:w="837" w:type="dxa"/>
          </w:tcPr>
          <w:p>
            <w:pPr>
              <w:pStyle w:val="14"/>
              <w:spacing w:before="3"/>
              <w:jc w:val="left"/>
              <w:rPr>
                <w:rFonts w:ascii="黑体"/>
                <w:sz w:val="14"/>
              </w:rPr>
            </w:pPr>
          </w:p>
          <w:p>
            <w:pPr>
              <w:pStyle w:val="14"/>
              <w:ind w:left="232" w:right="226"/>
              <w:rPr>
                <w:rFonts w:ascii="Times New Roman"/>
                <w:sz w:val="18"/>
              </w:rPr>
            </w:pPr>
            <w:r>
              <w:rPr>
                <w:rFonts w:ascii="Times New Roman"/>
                <w:sz w:val="18"/>
              </w:rPr>
              <w:t>150</w:t>
            </w:r>
          </w:p>
        </w:tc>
        <w:tc>
          <w:tcPr>
            <w:tcW w:w="779" w:type="dxa"/>
          </w:tcPr>
          <w:p>
            <w:pPr>
              <w:pStyle w:val="14"/>
              <w:spacing w:before="3"/>
              <w:jc w:val="left"/>
              <w:rPr>
                <w:rFonts w:ascii="黑体"/>
                <w:sz w:val="14"/>
              </w:rPr>
            </w:pPr>
          </w:p>
          <w:p>
            <w:pPr>
              <w:pStyle w:val="14"/>
              <w:ind w:right="173"/>
              <w:jc w:val="right"/>
              <w:rPr>
                <w:rFonts w:ascii="Times New Roman"/>
                <w:sz w:val="18"/>
              </w:rPr>
            </w:pPr>
            <w:r>
              <w:rPr>
                <w:rFonts w:ascii="Times New Roman"/>
                <w:sz w:val="18"/>
              </w:rPr>
              <w:t>273.6</w:t>
            </w:r>
          </w:p>
        </w:tc>
        <w:tc>
          <w:tcPr>
            <w:tcW w:w="1230" w:type="dxa"/>
            <w:vMerge w:val="restart"/>
          </w:tcPr>
          <w:p>
            <w:pPr>
              <w:pStyle w:val="14"/>
              <w:spacing w:before="2" w:line="242" w:lineRule="auto"/>
              <w:ind w:left="108" w:right="94"/>
              <w:jc w:val="both"/>
              <w:rPr>
                <w:sz w:val="18"/>
              </w:rPr>
            </w:pPr>
            <w:r>
              <w:rPr>
                <w:sz w:val="18"/>
              </w:rPr>
              <w:t>处 理 规 模</w:t>
            </w:r>
            <w:r>
              <w:rPr>
                <w:rFonts w:ascii="Times New Roman" w:eastAsia="Times New Roman"/>
                <w:spacing w:val="1"/>
                <w:sz w:val="18"/>
              </w:rPr>
              <w:t>3</w:t>
            </w:r>
            <w:r>
              <w:rPr>
                <w:rFonts w:ascii="Times New Roman" w:eastAsia="Times New Roman"/>
                <w:spacing w:val="-2"/>
                <w:sz w:val="18"/>
              </w:rPr>
              <w:t>7</w:t>
            </w:r>
            <w:r>
              <w:rPr>
                <w:rFonts w:ascii="Times New Roman" w:eastAsia="Times New Roman"/>
                <w:spacing w:val="1"/>
                <w:sz w:val="18"/>
              </w:rPr>
              <w:t>2</w:t>
            </w:r>
            <w:r>
              <w:rPr>
                <w:rFonts w:ascii="Times New Roman" w:eastAsia="Times New Roman"/>
                <w:spacing w:val="-2"/>
                <w:sz w:val="18"/>
              </w:rPr>
              <w:t>0</w:t>
            </w:r>
            <w:r>
              <w:rPr>
                <w:rFonts w:ascii="Times New Roman" w:eastAsia="Times New Roman"/>
                <w:spacing w:val="-1"/>
                <w:sz w:val="18"/>
              </w:rPr>
              <w:t>m</w:t>
            </w:r>
            <w:r>
              <w:rPr>
                <w:rFonts w:ascii="Times New Roman" w:eastAsia="Times New Roman"/>
                <w:w w:val="104"/>
                <w:position w:val="6"/>
                <w:sz w:val="11"/>
              </w:rPr>
              <w:t>3</w:t>
            </w:r>
            <w:r>
              <w:rPr>
                <w:rFonts w:ascii="Times New Roman" w:eastAsia="Times New Roman"/>
                <w:sz w:val="18"/>
              </w:rPr>
              <w:t>/</w:t>
            </w:r>
            <w:r>
              <w:rPr>
                <w:rFonts w:ascii="Times New Roman" w:eastAsia="Times New Roman"/>
                <w:spacing w:val="1"/>
                <w:sz w:val="18"/>
              </w:rPr>
              <w:t>d</w:t>
            </w:r>
            <w:r>
              <w:rPr>
                <w:spacing w:val="-29"/>
                <w:sz w:val="18"/>
              </w:rPr>
              <w:t>，主</w:t>
            </w:r>
            <w:r>
              <w:rPr>
                <w:spacing w:val="-14"/>
                <w:sz w:val="18"/>
              </w:rPr>
              <w:t>体工艺：调节</w:t>
            </w:r>
          </w:p>
          <w:p>
            <w:pPr>
              <w:pStyle w:val="14"/>
              <w:spacing w:line="230" w:lineRule="exact"/>
              <w:ind w:left="108"/>
              <w:jc w:val="left"/>
              <w:rPr>
                <w:sz w:val="18"/>
              </w:rPr>
            </w:pPr>
            <w:r>
              <w:rPr>
                <w:rFonts w:ascii="Times New Roman" w:eastAsia="Times New Roman"/>
                <w:spacing w:val="-15"/>
                <w:sz w:val="18"/>
              </w:rPr>
              <w:t xml:space="preserve">+ </w:t>
            </w:r>
            <w:r>
              <w:rPr>
                <w:spacing w:val="19"/>
                <w:sz w:val="18"/>
              </w:rPr>
              <w:t>絮凝</w:t>
            </w:r>
            <w:r>
              <w:rPr>
                <w:rFonts w:ascii="Times New Roman" w:eastAsia="Times New Roman"/>
                <w:spacing w:val="-14"/>
                <w:sz w:val="18"/>
              </w:rPr>
              <w:t xml:space="preserve">+ </w:t>
            </w:r>
            <w:r>
              <w:rPr>
                <w:spacing w:val="9"/>
                <w:sz w:val="18"/>
              </w:rPr>
              <w:t>沉淀</w:t>
            </w:r>
          </w:p>
          <w:p>
            <w:pPr>
              <w:pStyle w:val="14"/>
              <w:spacing w:before="5" w:line="230" w:lineRule="atLeast"/>
              <w:ind w:left="108" w:right="5"/>
              <w:jc w:val="left"/>
              <w:rPr>
                <w:sz w:val="18"/>
              </w:rPr>
            </w:pPr>
            <w:r>
              <w:rPr>
                <w:rFonts w:ascii="Times New Roman" w:eastAsia="Times New Roman"/>
                <w:sz w:val="18"/>
              </w:rPr>
              <w:t>+</w:t>
            </w:r>
            <w:r>
              <w:rPr>
                <w:sz w:val="18"/>
              </w:rPr>
              <w:t>过滤</w:t>
            </w:r>
            <w:r>
              <w:rPr>
                <w:rFonts w:ascii="Times New Roman" w:eastAsia="Times New Roman"/>
                <w:sz w:val="18"/>
              </w:rPr>
              <w:t>+</w:t>
            </w:r>
            <w:r>
              <w:rPr>
                <w:sz w:val="18"/>
              </w:rPr>
              <w:t>消毒， 部分回用，部分外排。</w:t>
            </w:r>
          </w:p>
        </w:tc>
        <w:tc>
          <w:tcPr>
            <w:tcW w:w="577" w:type="dxa"/>
          </w:tcPr>
          <w:p>
            <w:pPr>
              <w:pStyle w:val="14"/>
              <w:spacing w:before="3"/>
              <w:jc w:val="left"/>
              <w:rPr>
                <w:rFonts w:ascii="黑体"/>
                <w:sz w:val="14"/>
              </w:rPr>
            </w:pPr>
          </w:p>
          <w:p>
            <w:pPr>
              <w:pStyle w:val="14"/>
              <w:ind w:left="198"/>
              <w:jc w:val="left"/>
              <w:rPr>
                <w:rFonts w:ascii="Times New Roman"/>
                <w:sz w:val="18"/>
              </w:rPr>
            </w:pPr>
            <w:r>
              <w:rPr>
                <w:rFonts w:ascii="Times New Roman"/>
                <w:sz w:val="18"/>
              </w:rPr>
              <w:t>90</w:t>
            </w:r>
          </w:p>
        </w:tc>
        <w:tc>
          <w:tcPr>
            <w:tcW w:w="353" w:type="dxa"/>
            <w:vMerge w:val="restart"/>
          </w:tcPr>
          <w:p>
            <w:pPr>
              <w:pStyle w:val="14"/>
              <w:jc w:val="left"/>
              <w:rPr>
                <w:rFonts w:ascii="黑体"/>
                <w:sz w:val="18"/>
              </w:rPr>
            </w:pPr>
          </w:p>
          <w:p>
            <w:pPr>
              <w:pStyle w:val="14"/>
              <w:jc w:val="left"/>
              <w:rPr>
                <w:rFonts w:ascii="黑体"/>
                <w:sz w:val="18"/>
              </w:rPr>
            </w:pPr>
          </w:p>
          <w:p>
            <w:pPr>
              <w:pStyle w:val="14"/>
              <w:jc w:val="left"/>
              <w:rPr>
                <w:rFonts w:ascii="黑体"/>
                <w:sz w:val="18"/>
              </w:rPr>
            </w:pPr>
          </w:p>
          <w:p>
            <w:pPr>
              <w:pStyle w:val="14"/>
              <w:jc w:val="left"/>
              <w:rPr>
                <w:rFonts w:ascii="黑体"/>
                <w:sz w:val="18"/>
              </w:rPr>
            </w:pPr>
          </w:p>
          <w:p>
            <w:pPr>
              <w:pStyle w:val="14"/>
              <w:jc w:val="left"/>
              <w:rPr>
                <w:rFonts w:ascii="黑体"/>
                <w:sz w:val="18"/>
              </w:rPr>
            </w:pPr>
          </w:p>
          <w:p>
            <w:pPr>
              <w:pStyle w:val="14"/>
              <w:jc w:val="left"/>
              <w:rPr>
                <w:rFonts w:ascii="黑体"/>
                <w:sz w:val="18"/>
              </w:rPr>
            </w:pPr>
          </w:p>
          <w:p>
            <w:pPr>
              <w:pStyle w:val="14"/>
              <w:spacing w:before="10"/>
              <w:jc w:val="left"/>
              <w:rPr>
                <w:rFonts w:ascii="黑体"/>
                <w:sz w:val="15"/>
              </w:rPr>
            </w:pPr>
          </w:p>
          <w:p>
            <w:pPr>
              <w:pStyle w:val="14"/>
              <w:spacing w:line="242" w:lineRule="auto"/>
              <w:ind w:left="108" w:right="52"/>
              <w:jc w:val="both"/>
              <w:rPr>
                <w:sz w:val="18"/>
              </w:rPr>
            </w:pPr>
            <w:r>
              <w:rPr>
                <w:sz w:val="18"/>
              </w:rPr>
              <w:t>类比法</w:t>
            </w:r>
          </w:p>
        </w:tc>
        <w:tc>
          <w:tcPr>
            <w:tcW w:w="793" w:type="dxa"/>
            <w:vMerge w:val="restart"/>
          </w:tcPr>
          <w:p>
            <w:pPr>
              <w:pStyle w:val="14"/>
              <w:jc w:val="left"/>
              <w:rPr>
                <w:rFonts w:ascii="黑体"/>
                <w:sz w:val="20"/>
              </w:rPr>
            </w:pPr>
          </w:p>
          <w:p>
            <w:pPr>
              <w:pStyle w:val="14"/>
              <w:spacing w:before="7"/>
              <w:jc w:val="left"/>
              <w:rPr>
                <w:rFonts w:ascii="黑体"/>
                <w:sz w:val="27"/>
              </w:rPr>
            </w:pPr>
          </w:p>
          <w:p>
            <w:pPr>
              <w:pStyle w:val="14"/>
              <w:spacing w:line="207" w:lineRule="exact"/>
              <w:ind w:left="118" w:right="108"/>
              <w:rPr>
                <w:rFonts w:ascii="Times New Roman"/>
                <w:sz w:val="18"/>
              </w:rPr>
            </w:pPr>
            <w:r>
              <w:rPr>
                <w:rFonts w:ascii="Times New Roman"/>
                <w:sz w:val="18"/>
              </w:rPr>
              <w:t>1435.6</w:t>
            </w:r>
          </w:p>
          <w:p>
            <w:pPr>
              <w:pStyle w:val="14"/>
              <w:spacing w:line="207" w:lineRule="exact"/>
              <w:ind w:left="8"/>
              <w:rPr>
                <w:rFonts w:ascii="Times New Roman"/>
                <w:sz w:val="18"/>
              </w:rPr>
            </w:pPr>
            <w:r>
              <w:rPr>
                <w:rFonts w:ascii="Times New Roman"/>
                <w:sz w:val="18"/>
              </w:rPr>
              <w:t>8</w:t>
            </w:r>
          </w:p>
        </w:tc>
        <w:tc>
          <w:tcPr>
            <w:tcW w:w="837" w:type="dxa"/>
          </w:tcPr>
          <w:p>
            <w:pPr>
              <w:pStyle w:val="14"/>
              <w:spacing w:before="3"/>
              <w:jc w:val="left"/>
              <w:rPr>
                <w:rFonts w:ascii="黑体"/>
                <w:sz w:val="14"/>
              </w:rPr>
            </w:pPr>
          </w:p>
          <w:p>
            <w:pPr>
              <w:pStyle w:val="14"/>
              <w:ind w:left="236" w:right="226"/>
              <w:rPr>
                <w:rFonts w:ascii="Times New Roman"/>
                <w:sz w:val="18"/>
              </w:rPr>
            </w:pPr>
            <w:r>
              <w:rPr>
                <w:rFonts w:ascii="Times New Roman"/>
                <w:sz w:val="18"/>
              </w:rPr>
              <w:t>15</w:t>
            </w:r>
          </w:p>
        </w:tc>
        <w:tc>
          <w:tcPr>
            <w:tcW w:w="779" w:type="dxa"/>
          </w:tcPr>
          <w:p>
            <w:pPr>
              <w:pStyle w:val="14"/>
              <w:spacing w:before="3"/>
              <w:jc w:val="left"/>
              <w:rPr>
                <w:rFonts w:ascii="黑体"/>
                <w:sz w:val="14"/>
              </w:rPr>
            </w:pPr>
          </w:p>
          <w:p>
            <w:pPr>
              <w:pStyle w:val="14"/>
              <w:ind w:left="99" w:right="88"/>
              <w:rPr>
                <w:rFonts w:ascii="Times New Roman"/>
                <w:sz w:val="18"/>
              </w:rPr>
            </w:pPr>
            <w:r>
              <w:rPr>
                <w:rFonts w:ascii="Times New Roman"/>
                <w:sz w:val="18"/>
              </w:rPr>
              <w:t>21.54</w:t>
            </w:r>
          </w:p>
        </w:tc>
        <w:tc>
          <w:tcPr>
            <w:tcW w:w="618" w:type="dxa"/>
            <w:vMerge w:val="restart"/>
          </w:tcPr>
          <w:p>
            <w:pPr>
              <w:pStyle w:val="14"/>
              <w:jc w:val="left"/>
              <w:rPr>
                <w:rFonts w:ascii="黑体"/>
                <w:sz w:val="20"/>
              </w:rPr>
            </w:pPr>
          </w:p>
          <w:p>
            <w:pPr>
              <w:pStyle w:val="14"/>
              <w:jc w:val="left"/>
              <w:rPr>
                <w:rFonts w:ascii="黑体"/>
                <w:sz w:val="20"/>
              </w:rPr>
            </w:pPr>
          </w:p>
          <w:p>
            <w:pPr>
              <w:pStyle w:val="14"/>
              <w:jc w:val="left"/>
              <w:rPr>
                <w:rFonts w:ascii="黑体"/>
                <w:sz w:val="20"/>
              </w:rPr>
            </w:pPr>
          </w:p>
          <w:p>
            <w:pPr>
              <w:pStyle w:val="14"/>
              <w:jc w:val="left"/>
              <w:rPr>
                <w:rFonts w:ascii="黑体"/>
                <w:sz w:val="20"/>
              </w:rPr>
            </w:pPr>
          </w:p>
          <w:p>
            <w:pPr>
              <w:pStyle w:val="14"/>
              <w:jc w:val="left"/>
              <w:rPr>
                <w:rFonts w:ascii="黑体"/>
                <w:sz w:val="20"/>
              </w:rPr>
            </w:pPr>
          </w:p>
          <w:p>
            <w:pPr>
              <w:pStyle w:val="14"/>
              <w:jc w:val="left"/>
              <w:rPr>
                <w:rFonts w:ascii="黑体"/>
                <w:sz w:val="20"/>
              </w:rPr>
            </w:pPr>
          </w:p>
          <w:p>
            <w:pPr>
              <w:pStyle w:val="14"/>
              <w:spacing w:before="11"/>
              <w:jc w:val="left"/>
              <w:rPr>
                <w:rFonts w:ascii="黑体"/>
                <w:sz w:val="22"/>
              </w:rPr>
            </w:pPr>
          </w:p>
          <w:p>
            <w:pPr>
              <w:pStyle w:val="14"/>
              <w:spacing w:before="1"/>
              <w:ind w:left="173"/>
              <w:jc w:val="left"/>
              <w:rPr>
                <w:rFonts w:ascii="Times New Roman"/>
                <w:sz w:val="18"/>
              </w:rPr>
            </w:pPr>
            <w:r>
              <w:rPr>
                <w:rFonts w:ascii="Times New Roman"/>
                <w:sz w:val="18"/>
              </w:rPr>
              <w:t>180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390" w:type="dxa"/>
            <w:vMerge w:val="continue"/>
            <w:tcBorders>
              <w:top w:val="nil"/>
            </w:tcBorders>
          </w:tcPr>
          <w:p>
            <w:pPr>
              <w:rPr>
                <w:sz w:val="2"/>
                <w:szCs w:val="2"/>
              </w:rPr>
            </w:pPr>
          </w:p>
        </w:tc>
        <w:tc>
          <w:tcPr>
            <w:tcW w:w="717" w:type="dxa"/>
          </w:tcPr>
          <w:p>
            <w:pPr>
              <w:pStyle w:val="14"/>
              <w:spacing w:before="138"/>
              <w:ind w:left="118" w:right="108"/>
              <w:rPr>
                <w:rFonts w:ascii="Times New Roman"/>
                <w:sz w:val="18"/>
              </w:rPr>
            </w:pPr>
            <w:r>
              <w:rPr>
                <w:rFonts w:ascii="Times New Roman"/>
                <w:sz w:val="18"/>
              </w:rPr>
              <w:t>SS</w:t>
            </w: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138"/>
              <w:ind w:left="232" w:right="226"/>
              <w:rPr>
                <w:rFonts w:ascii="Times New Roman"/>
                <w:sz w:val="18"/>
              </w:rPr>
            </w:pPr>
            <w:r>
              <w:rPr>
                <w:rFonts w:ascii="Times New Roman"/>
                <w:sz w:val="18"/>
              </w:rPr>
              <w:t>400</w:t>
            </w:r>
          </w:p>
        </w:tc>
        <w:tc>
          <w:tcPr>
            <w:tcW w:w="779" w:type="dxa"/>
          </w:tcPr>
          <w:p>
            <w:pPr>
              <w:pStyle w:val="14"/>
              <w:spacing w:before="138"/>
              <w:ind w:right="173"/>
              <w:jc w:val="right"/>
              <w:rPr>
                <w:rFonts w:ascii="Times New Roman"/>
                <w:sz w:val="18"/>
              </w:rPr>
            </w:pPr>
            <w:r>
              <w:rPr>
                <w:rFonts w:ascii="Times New Roman"/>
                <w:sz w:val="18"/>
              </w:rPr>
              <w:t>729.6</w:t>
            </w:r>
          </w:p>
        </w:tc>
        <w:tc>
          <w:tcPr>
            <w:tcW w:w="1230" w:type="dxa"/>
            <w:vMerge w:val="continue"/>
            <w:tcBorders>
              <w:top w:val="nil"/>
            </w:tcBorders>
          </w:tcPr>
          <w:p>
            <w:pPr>
              <w:rPr>
                <w:sz w:val="2"/>
                <w:szCs w:val="2"/>
              </w:rPr>
            </w:pPr>
          </w:p>
        </w:tc>
        <w:tc>
          <w:tcPr>
            <w:tcW w:w="577" w:type="dxa"/>
          </w:tcPr>
          <w:p>
            <w:pPr>
              <w:pStyle w:val="14"/>
              <w:spacing w:before="138"/>
              <w:ind w:left="198"/>
              <w:jc w:val="left"/>
              <w:rPr>
                <w:rFonts w:ascii="Times New Roman"/>
                <w:sz w:val="18"/>
              </w:rPr>
            </w:pPr>
            <w:r>
              <w:rPr>
                <w:rFonts w:ascii="Times New Roman"/>
                <w:sz w:val="18"/>
              </w:rPr>
              <w:t>90</w:t>
            </w: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138"/>
              <w:ind w:left="233" w:right="226"/>
              <w:rPr>
                <w:rFonts w:ascii="Times New Roman"/>
                <w:sz w:val="18"/>
              </w:rPr>
            </w:pPr>
            <w:r>
              <w:rPr>
                <w:rFonts w:ascii="Times New Roman"/>
                <w:sz w:val="18"/>
              </w:rPr>
              <w:t>40</w:t>
            </w:r>
          </w:p>
        </w:tc>
        <w:tc>
          <w:tcPr>
            <w:tcW w:w="779" w:type="dxa"/>
          </w:tcPr>
          <w:p>
            <w:pPr>
              <w:pStyle w:val="14"/>
              <w:spacing w:before="138"/>
              <w:ind w:left="99" w:right="88"/>
              <w:rPr>
                <w:rFonts w:ascii="Times New Roman"/>
                <w:sz w:val="18"/>
              </w:rPr>
            </w:pPr>
            <w:r>
              <w:rPr>
                <w:rFonts w:ascii="Times New Roman"/>
                <w:sz w:val="18"/>
              </w:rPr>
              <w:t>57.43</w:t>
            </w:r>
          </w:p>
        </w:tc>
        <w:tc>
          <w:tcPr>
            <w:tcW w:w="61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390" w:type="dxa"/>
            <w:vMerge w:val="continue"/>
            <w:tcBorders>
              <w:top w:val="nil"/>
            </w:tcBorders>
          </w:tcPr>
          <w:p>
            <w:pPr>
              <w:rPr>
                <w:sz w:val="2"/>
                <w:szCs w:val="2"/>
              </w:rPr>
            </w:pPr>
          </w:p>
        </w:tc>
        <w:tc>
          <w:tcPr>
            <w:tcW w:w="717" w:type="dxa"/>
          </w:tcPr>
          <w:p>
            <w:pPr>
              <w:pStyle w:val="14"/>
              <w:spacing w:before="45" w:line="242" w:lineRule="auto"/>
              <w:ind w:left="267" w:right="168" w:hanging="92"/>
              <w:jc w:val="left"/>
              <w:rPr>
                <w:sz w:val="18"/>
              </w:rPr>
            </w:pPr>
            <w:r>
              <w:rPr>
                <w:sz w:val="18"/>
              </w:rPr>
              <w:t>石油类</w:t>
            </w: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173"/>
              <w:ind w:left="8"/>
              <w:rPr>
                <w:rFonts w:ascii="Times New Roman"/>
                <w:sz w:val="18"/>
              </w:rPr>
            </w:pPr>
            <w:r>
              <w:rPr>
                <w:rFonts w:ascii="Times New Roman"/>
                <w:sz w:val="18"/>
              </w:rPr>
              <w:t>2</w:t>
            </w:r>
          </w:p>
        </w:tc>
        <w:tc>
          <w:tcPr>
            <w:tcW w:w="779" w:type="dxa"/>
          </w:tcPr>
          <w:p>
            <w:pPr>
              <w:pStyle w:val="14"/>
              <w:spacing w:before="173"/>
              <w:ind w:right="173"/>
              <w:jc w:val="right"/>
              <w:rPr>
                <w:rFonts w:ascii="Times New Roman"/>
                <w:sz w:val="18"/>
              </w:rPr>
            </w:pPr>
            <w:r>
              <w:rPr>
                <w:rFonts w:ascii="Times New Roman"/>
                <w:sz w:val="18"/>
              </w:rPr>
              <w:t>3.648</w:t>
            </w:r>
          </w:p>
        </w:tc>
        <w:tc>
          <w:tcPr>
            <w:tcW w:w="1230" w:type="dxa"/>
            <w:vMerge w:val="continue"/>
            <w:tcBorders>
              <w:top w:val="nil"/>
            </w:tcBorders>
          </w:tcPr>
          <w:p>
            <w:pPr>
              <w:rPr>
                <w:sz w:val="2"/>
                <w:szCs w:val="2"/>
              </w:rPr>
            </w:pPr>
          </w:p>
        </w:tc>
        <w:tc>
          <w:tcPr>
            <w:tcW w:w="577" w:type="dxa"/>
          </w:tcPr>
          <w:p>
            <w:pPr>
              <w:pStyle w:val="14"/>
              <w:spacing w:before="173"/>
              <w:ind w:left="198"/>
              <w:jc w:val="left"/>
              <w:rPr>
                <w:rFonts w:ascii="Times New Roman"/>
                <w:sz w:val="18"/>
              </w:rPr>
            </w:pPr>
            <w:r>
              <w:rPr>
                <w:rFonts w:ascii="Times New Roman"/>
                <w:sz w:val="18"/>
              </w:rPr>
              <w:t>99</w:t>
            </w: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173"/>
              <w:ind w:left="236" w:right="226"/>
              <w:rPr>
                <w:rFonts w:ascii="Times New Roman"/>
                <w:sz w:val="18"/>
              </w:rPr>
            </w:pPr>
            <w:r>
              <w:rPr>
                <w:rFonts w:ascii="Times New Roman"/>
                <w:sz w:val="18"/>
              </w:rPr>
              <w:t>0.02</w:t>
            </w:r>
          </w:p>
        </w:tc>
        <w:tc>
          <w:tcPr>
            <w:tcW w:w="779" w:type="dxa"/>
          </w:tcPr>
          <w:p>
            <w:pPr>
              <w:pStyle w:val="14"/>
              <w:spacing w:before="173"/>
              <w:ind w:left="99" w:right="88"/>
              <w:rPr>
                <w:rFonts w:ascii="Times New Roman"/>
                <w:sz w:val="18"/>
              </w:rPr>
            </w:pPr>
            <w:r>
              <w:rPr>
                <w:rFonts w:ascii="Times New Roman"/>
                <w:sz w:val="18"/>
              </w:rPr>
              <w:t>0.03</w:t>
            </w:r>
          </w:p>
        </w:tc>
        <w:tc>
          <w:tcPr>
            <w:tcW w:w="61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390" w:type="dxa"/>
            <w:vMerge w:val="restart"/>
          </w:tcPr>
          <w:p>
            <w:pPr>
              <w:pStyle w:val="14"/>
              <w:jc w:val="left"/>
              <w:rPr>
                <w:rFonts w:ascii="黑体"/>
                <w:sz w:val="18"/>
              </w:rPr>
            </w:pPr>
          </w:p>
          <w:p>
            <w:pPr>
              <w:pStyle w:val="14"/>
              <w:jc w:val="left"/>
              <w:rPr>
                <w:rFonts w:ascii="黑体"/>
                <w:sz w:val="18"/>
              </w:rPr>
            </w:pPr>
          </w:p>
          <w:p>
            <w:pPr>
              <w:pStyle w:val="14"/>
              <w:spacing w:before="7"/>
              <w:jc w:val="left"/>
              <w:rPr>
                <w:rFonts w:ascii="黑体"/>
                <w:sz w:val="14"/>
              </w:rPr>
            </w:pPr>
          </w:p>
          <w:p>
            <w:pPr>
              <w:pStyle w:val="14"/>
              <w:spacing w:line="242" w:lineRule="auto"/>
              <w:ind w:left="108" w:right="89"/>
              <w:jc w:val="both"/>
              <w:rPr>
                <w:sz w:val="18"/>
              </w:rPr>
            </w:pPr>
            <w:r>
              <w:rPr>
                <w:sz w:val="18"/>
              </w:rPr>
              <w:t>生活污水</w:t>
            </w:r>
          </w:p>
        </w:tc>
        <w:tc>
          <w:tcPr>
            <w:tcW w:w="717" w:type="dxa"/>
          </w:tcPr>
          <w:p>
            <w:pPr>
              <w:pStyle w:val="14"/>
              <w:spacing w:before="129"/>
              <w:ind w:left="119" w:right="108"/>
              <w:rPr>
                <w:rFonts w:ascii="Times New Roman"/>
                <w:sz w:val="18"/>
              </w:rPr>
            </w:pPr>
            <w:r>
              <w:rPr>
                <w:rFonts w:ascii="Times New Roman"/>
                <w:sz w:val="18"/>
              </w:rPr>
              <w:t>COD</w:t>
            </w:r>
          </w:p>
        </w:tc>
        <w:tc>
          <w:tcPr>
            <w:tcW w:w="353" w:type="dxa"/>
            <w:vMerge w:val="continue"/>
            <w:tcBorders>
              <w:top w:val="nil"/>
            </w:tcBorders>
          </w:tcPr>
          <w:p>
            <w:pPr>
              <w:rPr>
                <w:sz w:val="2"/>
                <w:szCs w:val="2"/>
              </w:rPr>
            </w:pPr>
          </w:p>
        </w:tc>
        <w:tc>
          <w:tcPr>
            <w:tcW w:w="793" w:type="dxa"/>
            <w:vMerge w:val="restart"/>
          </w:tcPr>
          <w:p>
            <w:pPr>
              <w:pStyle w:val="14"/>
              <w:jc w:val="left"/>
              <w:rPr>
                <w:rFonts w:ascii="黑体"/>
                <w:sz w:val="20"/>
              </w:rPr>
            </w:pPr>
          </w:p>
          <w:p>
            <w:pPr>
              <w:pStyle w:val="14"/>
              <w:jc w:val="left"/>
              <w:rPr>
                <w:rFonts w:ascii="黑体"/>
                <w:sz w:val="20"/>
              </w:rPr>
            </w:pPr>
          </w:p>
          <w:p>
            <w:pPr>
              <w:pStyle w:val="14"/>
              <w:jc w:val="left"/>
              <w:rPr>
                <w:rFonts w:ascii="黑体"/>
                <w:sz w:val="20"/>
              </w:rPr>
            </w:pPr>
          </w:p>
          <w:p>
            <w:pPr>
              <w:pStyle w:val="14"/>
              <w:spacing w:before="11"/>
              <w:jc w:val="left"/>
              <w:rPr>
                <w:rFonts w:ascii="黑体"/>
                <w:sz w:val="18"/>
              </w:rPr>
            </w:pPr>
          </w:p>
          <w:p>
            <w:pPr>
              <w:pStyle w:val="14"/>
              <w:ind w:left="193"/>
              <w:jc w:val="left"/>
              <w:rPr>
                <w:rFonts w:ascii="Times New Roman"/>
                <w:sz w:val="18"/>
              </w:rPr>
            </w:pPr>
            <w:r>
              <w:rPr>
                <w:rFonts w:ascii="Times New Roman"/>
                <w:sz w:val="18"/>
              </w:rPr>
              <w:t>86.92</w:t>
            </w:r>
          </w:p>
        </w:tc>
        <w:tc>
          <w:tcPr>
            <w:tcW w:w="837" w:type="dxa"/>
          </w:tcPr>
          <w:p>
            <w:pPr>
              <w:pStyle w:val="14"/>
              <w:spacing w:before="129"/>
              <w:ind w:left="232" w:right="226"/>
              <w:rPr>
                <w:rFonts w:ascii="Times New Roman"/>
                <w:sz w:val="18"/>
              </w:rPr>
            </w:pPr>
            <w:r>
              <w:rPr>
                <w:rFonts w:ascii="Times New Roman"/>
                <w:sz w:val="18"/>
              </w:rPr>
              <w:t>300</w:t>
            </w:r>
          </w:p>
        </w:tc>
        <w:tc>
          <w:tcPr>
            <w:tcW w:w="779" w:type="dxa"/>
          </w:tcPr>
          <w:p>
            <w:pPr>
              <w:pStyle w:val="14"/>
              <w:spacing w:before="129"/>
              <w:ind w:right="173"/>
              <w:jc w:val="right"/>
              <w:rPr>
                <w:rFonts w:ascii="Times New Roman"/>
                <w:sz w:val="18"/>
              </w:rPr>
            </w:pPr>
            <w:r>
              <w:rPr>
                <w:rFonts w:ascii="Times New Roman"/>
                <w:sz w:val="18"/>
              </w:rPr>
              <w:t>26.08</w:t>
            </w:r>
          </w:p>
        </w:tc>
        <w:tc>
          <w:tcPr>
            <w:tcW w:w="1230" w:type="dxa"/>
            <w:vMerge w:val="restart"/>
          </w:tcPr>
          <w:p>
            <w:pPr>
              <w:pStyle w:val="14"/>
              <w:spacing w:before="3"/>
              <w:jc w:val="left"/>
              <w:rPr>
                <w:rFonts w:ascii="黑体"/>
                <w:sz w:val="23"/>
              </w:rPr>
            </w:pPr>
          </w:p>
          <w:p>
            <w:pPr>
              <w:pStyle w:val="14"/>
              <w:spacing w:line="242" w:lineRule="auto"/>
              <w:ind w:left="108" w:right="94"/>
              <w:jc w:val="both"/>
              <w:rPr>
                <w:sz w:val="18"/>
              </w:rPr>
            </w:pPr>
            <w:r>
              <w:rPr>
                <w:sz w:val="18"/>
              </w:rPr>
              <w:t>处 理 规 模</w:t>
            </w:r>
            <w:r>
              <w:rPr>
                <w:rFonts w:ascii="Times New Roman" w:eastAsia="Times New Roman"/>
                <w:sz w:val="18"/>
              </w:rPr>
              <w:t>360m</w:t>
            </w:r>
            <w:r>
              <w:rPr>
                <w:rFonts w:ascii="Times New Roman" w:eastAsia="Times New Roman"/>
                <w:position w:val="6"/>
                <w:sz w:val="11"/>
              </w:rPr>
              <w:t>3</w:t>
            </w:r>
            <w:r>
              <w:rPr>
                <w:rFonts w:ascii="Times New Roman" w:eastAsia="Times New Roman"/>
                <w:sz w:val="18"/>
              </w:rPr>
              <w:t>/d</w:t>
            </w:r>
            <w:r>
              <w:rPr>
                <w:rFonts w:ascii="Times New Roman" w:eastAsia="Times New Roman"/>
                <w:spacing w:val="-23"/>
                <w:sz w:val="18"/>
              </w:rPr>
              <w:t xml:space="preserve"> </w:t>
            </w:r>
            <w:r>
              <w:rPr>
                <w:spacing w:val="-27"/>
                <w:sz w:val="18"/>
              </w:rPr>
              <w:t>， 经</w:t>
            </w:r>
            <w:r>
              <w:rPr>
                <w:spacing w:val="19"/>
                <w:sz w:val="18"/>
              </w:rPr>
              <w:t>二级生物处</w:t>
            </w:r>
            <w:r>
              <w:rPr>
                <w:spacing w:val="-15"/>
                <w:sz w:val="18"/>
              </w:rPr>
              <w:t>理后，回用于生产、工业场</w:t>
            </w:r>
            <w:r>
              <w:rPr>
                <w:spacing w:val="19"/>
                <w:sz w:val="18"/>
              </w:rPr>
              <w:t>地绿化洒水</w:t>
            </w:r>
            <w:r>
              <w:rPr>
                <w:sz w:val="18"/>
              </w:rPr>
              <w:t>用水</w:t>
            </w:r>
          </w:p>
        </w:tc>
        <w:tc>
          <w:tcPr>
            <w:tcW w:w="577" w:type="dxa"/>
          </w:tcPr>
          <w:p>
            <w:pPr>
              <w:pStyle w:val="14"/>
              <w:spacing w:before="129"/>
              <w:ind w:left="198"/>
              <w:jc w:val="left"/>
              <w:rPr>
                <w:rFonts w:ascii="Times New Roman"/>
                <w:sz w:val="18"/>
              </w:rPr>
            </w:pPr>
            <w:r>
              <w:rPr>
                <w:rFonts w:ascii="Times New Roman"/>
                <w:sz w:val="18"/>
              </w:rPr>
              <w:t>90</w:t>
            </w:r>
          </w:p>
        </w:tc>
        <w:tc>
          <w:tcPr>
            <w:tcW w:w="353" w:type="dxa"/>
            <w:vMerge w:val="continue"/>
            <w:tcBorders>
              <w:top w:val="nil"/>
            </w:tcBorders>
          </w:tcPr>
          <w:p>
            <w:pPr>
              <w:rPr>
                <w:sz w:val="2"/>
                <w:szCs w:val="2"/>
              </w:rPr>
            </w:pPr>
          </w:p>
        </w:tc>
        <w:tc>
          <w:tcPr>
            <w:tcW w:w="793" w:type="dxa"/>
            <w:vMerge w:val="restart"/>
          </w:tcPr>
          <w:p>
            <w:pPr>
              <w:pStyle w:val="14"/>
              <w:jc w:val="left"/>
              <w:rPr>
                <w:rFonts w:ascii="黑体"/>
                <w:sz w:val="20"/>
              </w:rPr>
            </w:pPr>
          </w:p>
          <w:p>
            <w:pPr>
              <w:pStyle w:val="14"/>
              <w:jc w:val="left"/>
              <w:rPr>
                <w:rFonts w:ascii="黑体"/>
                <w:sz w:val="20"/>
              </w:rPr>
            </w:pPr>
          </w:p>
          <w:p>
            <w:pPr>
              <w:pStyle w:val="14"/>
              <w:jc w:val="left"/>
              <w:rPr>
                <w:rFonts w:ascii="黑体"/>
                <w:sz w:val="20"/>
              </w:rPr>
            </w:pPr>
          </w:p>
          <w:p>
            <w:pPr>
              <w:pStyle w:val="14"/>
              <w:spacing w:before="11"/>
              <w:jc w:val="left"/>
              <w:rPr>
                <w:rFonts w:ascii="黑体"/>
                <w:sz w:val="18"/>
              </w:rPr>
            </w:pPr>
          </w:p>
          <w:p>
            <w:pPr>
              <w:pStyle w:val="14"/>
              <w:ind w:left="6"/>
              <w:rPr>
                <w:rFonts w:ascii="Times New Roman"/>
                <w:sz w:val="18"/>
              </w:rPr>
            </w:pPr>
            <w:r>
              <w:rPr>
                <w:rFonts w:ascii="Times New Roman"/>
                <w:sz w:val="18"/>
              </w:rPr>
              <w:t>/</w:t>
            </w:r>
          </w:p>
        </w:tc>
        <w:tc>
          <w:tcPr>
            <w:tcW w:w="837" w:type="dxa"/>
          </w:tcPr>
          <w:p>
            <w:pPr>
              <w:pStyle w:val="14"/>
              <w:spacing w:before="129"/>
              <w:ind w:left="236" w:right="226"/>
              <w:rPr>
                <w:rFonts w:ascii="Times New Roman"/>
                <w:sz w:val="18"/>
              </w:rPr>
            </w:pPr>
            <w:r>
              <w:rPr>
                <w:rFonts w:ascii="Times New Roman"/>
                <w:sz w:val="18"/>
              </w:rPr>
              <w:t>30</w:t>
            </w:r>
          </w:p>
        </w:tc>
        <w:tc>
          <w:tcPr>
            <w:tcW w:w="779" w:type="dxa"/>
          </w:tcPr>
          <w:p>
            <w:pPr>
              <w:pStyle w:val="14"/>
              <w:spacing w:before="129"/>
              <w:ind w:left="6"/>
              <w:rPr>
                <w:rFonts w:ascii="Times New Roman"/>
                <w:sz w:val="18"/>
              </w:rPr>
            </w:pPr>
            <w:r>
              <w:rPr>
                <w:rFonts w:ascii="Times New Roman"/>
                <w:sz w:val="18"/>
              </w:rPr>
              <w:t>0</w:t>
            </w:r>
          </w:p>
        </w:tc>
        <w:tc>
          <w:tcPr>
            <w:tcW w:w="61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390" w:type="dxa"/>
            <w:vMerge w:val="continue"/>
            <w:tcBorders>
              <w:top w:val="nil"/>
            </w:tcBorders>
          </w:tcPr>
          <w:p>
            <w:pPr>
              <w:rPr>
                <w:sz w:val="2"/>
                <w:szCs w:val="2"/>
              </w:rPr>
            </w:pPr>
          </w:p>
        </w:tc>
        <w:tc>
          <w:tcPr>
            <w:tcW w:w="717" w:type="dxa"/>
          </w:tcPr>
          <w:p>
            <w:pPr>
              <w:pStyle w:val="14"/>
              <w:spacing w:before="119"/>
              <w:ind w:left="119" w:right="108"/>
              <w:rPr>
                <w:rFonts w:ascii="Times New Roman"/>
                <w:sz w:val="18"/>
              </w:rPr>
            </w:pPr>
            <w:r>
              <w:rPr>
                <w:rFonts w:ascii="Times New Roman"/>
                <w:position w:val="1"/>
                <w:sz w:val="18"/>
              </w:rPr>
              <w:t>BOD</w:t>
            </w:r>
            <w:r>
              <w:rPr>
                <w:rFonts w:ascii="Times New Roman"/>
                <w:position w:val="1"/>
                <w:sz w:val="18"/>
                <w:vertAlign w:val="subscript"/>
              </w:rPr>
              <w:t>5</w:t>
            </w: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114"/>
              <w:ind w:left="232" w:right="226"/>
              <w:rPr>
                <w:rFonts w:ascii="Times New Roman"/>
                <w:sz w:val="18"/>
              </w:rPr>
            </w:pPr>
            <w:r>
              <w:rPr>
                <w:rFonts w:ascii="Times New Roman"/>
                <w:sz w:val="18"/>
              </w:rPr>
              <w:t>200</w:t>
            </w:r>
          </w:p>
        </w:tc>
        <w:tc>
          <w:tcPr>
            <w:tcW w:w="779" w:type="dxa"/>
          </w:tcPr>
          <w:p>
            <w:pPr>
              <w:pStyle w:val="14"/>
              <w:spacing w:before="114"/>
              <w:ind w:right="173"/>
              <w:jc w:val="right"/>
              <w:rPr>
                <w:rFonts w:ascii="Times New Roman"/>
                <w:sz w:val="18"/>
              </w:rPr>
            </w:pPr>
            <w:r>
              <w:rPr>
                <w:rFonts w:ascii="Times New Roman"/>
                <w:sz w:val="18"/>
              </w:rPr>
              <w:t>17.38</w:t>
            </w:r>
          </w:p>
        </w:tc>
        <w:tc>
          <w:tcPr>
            <w:tcW w:w="1230" w:type="dxa"/>
            <w:vMerge w:val="continue"/>
            <w:tcBorders>
              <w:top w:val="nil"/>
            </w:tcBorders>
          </w:tcPr>
          <w:p>
            <w:pPr>
              <w:rPr>
                <w:sz w:val="2"/>
                <w:szCs w:val="2"/>
              </w:rPr>
            </w:pPr>
          </w:p>
        </w:tc>
        <w:tc>
          <w:tcPr>
            <w:tcW w:w="577" w:type="dxa"/>
          </w:tcPr>
          <w:p>
            <w:pPr>
              <w:pStyle w:val="14"/>
              <w:spacing w:before="114"/>
              <w:ind w:left="198"/>
              <w:jc w:val="left"/>
              <w:rPr>
                <w:rFonts w:ascii="Times New Roman"/>
                <w:sz w:val="18"/>
              </w:rPr>
            </w:pPr>
            <w:r>
              <w:rPr>
                <w:rFonts w:ascii="Times New Roman"/>
                <w:sz w:val="18"/>
              </w:rPr>
              <w:t>95</w:t>
            </w: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114"/>
              <w:ind w:left="236" w:right="226"/>
              <w:rPr>
                <w:rFonts w:ascii="Times New Roman"/>
                <w:sz w:val="18"/>
              </w:rPr>
            </w:pPr>
            <w:r>
              <w:rPr>
                <w:rFonts w:ascii="Times New Roman"/>
                <w:sz w:val="18"/>
              </w:rPr>
              <w:t>10</w:t>
            </w:r>
          </w:p>
        </w:tc>
        <w:tc>
          <w:tcPr>
            <w:tcW w:w="779" w:type="dxa"/>
          </w:tcPr>
          <w:p>
            <w:pPr>
              <w:pStyle w:val="14"/>
              <w:spacing w:before="114"/>
              <w:ind w:left="6"/>
              <w:rPr>
                <w:rFonts w:ascii="Times New Roman"/>
                <w:sz w:val="18"/>
              </w:rPr>
            </w:pPr>
            <w:r>
              <w:rPr>
                <w:rFonts w:ascii="Times New Roman"/>
                <w:sz w:val="18"/>
              </w:rPr>
              <w:t>0</w:t>
            </w:r>
          </w:p>
        </w:tc>
        <w:tc>
          <w:tcPr>
            <w:tcW w:w="61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390" w:type="dxa"/>
            <w:vMerge w:val="continue"/>
            <w:tcBorders>
              <w:top w:val="nil"/>
            </w:tcBorders>
          </w:tcPr>
          <w:p>
            <w:pPr>
              <w:rPr>
                <w:sz w:val="2"/>
                <w:szCs w:val="2"/>
              </w:rPr>
            </w:pPr>
          </w:p>
        </w:tc>
        <w:tc>
          <w:tcPr>
            <w:tcW w:w="717" w:type="dxa"/>
          </w:tcPr>
          <w:p>
            <w:pPr>
              <w:pStyle w:val="14"/>
              <w:spacing w:before="110"/>
              <w:ind w:left="118" w:right="108"/>
              <w:rPr>
                <w:rFonts w:ascii="Times New Roman"/>
                <w:sz w:val="18"/>
              </w:rPr>
            </w:pPr>
            <w:r>
              <w:rPr>
                <w:rFonts w:ascii="Times New Roman"/>
                <w:sz w:val="18"/>
              </w:rPr>
              <w:t>SS</w:t>
            </w: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110"/>
              <w:ind w:left="232" w:right="226"/>
              <w:rPr>
                <w:rFonts w:ascii="Times New Roman"/>
                <w:sz w:val="18"/>
              </w:rPr>
            </w:pPr>
            <w:r>
              <w:rPr>
                <w:rFonts w:ascii="Times New Roman"/>
                <w:sz w:val="18"/>
              </w:rPr>
              <w:t>200</w:t>
            </w:r>
          </w:p>
        </w:tc>
        <w:tc>
          <w:tcPr>
            <w:tcW w:w="779" w:type="dxa"/>
          </w:tcPr>
          <w:p>
            <w:pPr>
              <w:pStyle w:val="14"/>
              <w:spacing w:before="110"/>
              <w:ind w:right="173"/>
              <w:jc w:val="right"/>
              <w:rPr>
                <w:rFonts w:ascii="Times New Roman"/>
                <w:sz w:val="18"/>
              </w:rPr>
            </w:pPr>
            <w:r>
              <w:rPr>
                <w:rFonts w:ascii="Times New Roman"/>
                <w:sz w:val="18"/>
              </w:rPr>
              <w:t>17.38</w:t>
            </w:r>
          </w:p>
        </w:tc>
        <w:tc>
          <w:tcPr>
            <w:tcW w:w="1230" w:type="dxa"/>
            <w:vMerge w:val="continue"/>
            <w:tcBorders>
              <w:top w:val="nil"/>
            </w:tcBorders>
          </w:tcPr>
          <w:p>
            <w:pPr>
              <w:rPr>
                <w:sz w:val="2"/>
                <w:szCs w:val="2"/>
              </w:rPr>
            </w:pPr>
          </w:p>
        </w:tc>
        <w:tc>
          <w:tcPr>
            <w:tcW w:w="577" w:type="dxa"/>
          </w:tcPr>
          <w:p>
            <w:pPr>
              <w:pStyle w:val="14"/>
              <w:spacing w:before="110"/>
              <w:ind w:left="198"/>
              <w:jc w:val="left"/>
              <w:rPr>
                <w:rFonts w:ascii="Times New Roman"/>
                <w:sz w:val="18"/>
              </w:rPr>
            </w:pPr>
            <w:r>
              <w:rPr>
                <w:rFonts w:ascii="Times New Roman"/>
                <w:sz w:val="18"/>
              </w:rPr>
              <w:t>95</w:t>
            </w: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110"/>
              <w:ind w:left="236" w:right="226"/>
              <w:rPr>
                <w:rFonts w:ascii="Times New Roman"/>
                <w:sz w:val="18"/>
              </w:rPr>
            </w:pPr>
            <w:r>
              <w:rPr>
                <w:rFonts w:ascii="Times New Roman"/>
                <w:sz w:val="18"/>
              </w:rPr>
              <w:t>10</w:t>
            </w:r>
          </w:p>
        </w:tc>
        <w:tc>
          <w:tcPr>
            <w:tcW w:w="779" w:type="dxa"/>
          </w:tcPr>
          <w:p>
            <w:pPr>
              <w:pStyle w:val="14"/>
              <w:spacing w:before="110"/>
              <w:ind w:left="6"/>
              <w:rPr>
                <w:rFonts w:ascii="Times New Roman"/>
                <w:sz w:val="18"/>
              </w:rPr>
            </w:pPr>
            <w:r>
              <w:rPr>
                <w:rFonts w:ascii="Times New Roman"/>
                <w:sz w:val="18"/>
              </w:rPr>
              <w:t>0</w:t>
            </w:r>
          </w:p>
        </w:tc>
        <w:tc>
          <w:tcPr>
            <w:tcW w:w="61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390" w:type="dxa"/>
            <w:vMerge w:val="continue"/>
            <w:tcBorders>
              <w:top w:val="nil"/>
            </w:tcBorders>
          </w:tcPr>
          <w:p>
            <w:pPr>
              <w:rPr>
                <w:sz w:val="2"/>
                <w:szCs w:val="2"/>
              </w:rPr>
            </w:pPr>
          </w:p>
        </w:tc>
        <w:tc>
          <w:tcPr>
            <w:tcW w:w="717" w:type="dxa"/>
          </w:tcPr>
          <w:p>
            <w:pPr>
              <w:pStyle w:val="14"/>
              <w:spacing w:before="82"/>
              <w:ind w:left="114" w:right="108"/>
              <w:rPr>
                <w:sz w:val="18"/>
              </w:rPr>
            </w:pPr>
            <w:r>
              <w:rPr>
                <w:sz w:val="18"/>
              </w:rPr>
              <w:t>氨氮</w:t>
            </w: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94"/>
              <w:ind w:left="234" w:right="226"/>
              <w:rPr>
                <w:rFonts w:ascii="Times New Roman"/>
                <w:sz w:val="18"/>
              </w:rPr>
            </w:pPr>
            <w:r>
              <w:rPr>
                <w:rFonts w:ascii="Times New Roman"/>
                <w:sz w:val="18"/>
              </w:rPr>
              <w:t>25</w:t>
            </w:r>
          </w:p>
        </w:tc>
        <w:tc>
          <w:tcPr>
            <w:tcW w:w="779" w:type="dxa"/>
          </w:tcPr>
          <w:p>
            <w:pPr>
              <w:pStyle w:val="14"/>
              <w:spacing w:before="94"/>
              <w:ind w:right="173"/>
              <w:jc w:val="right"/>
              <w:rPr>
                <w:rFonts w:ascii="Times New Roman"/>
                <w:sz w:val="18"/>
              </w:rPr>
            </w:pPr>
            <w:r>
              <w:rPr>
                <w:rFonts w:ascii="Times New Roman"/>
                <w:sz w:val="18"/>
              </w:rPr>
              <w:t>2.173</w:t>
            </w:r>
          </w:p>
        </w:tc>
        <w:tc>
          <w:tcPr>
            <w:tcW w:w="1230" w:type="dxa"/>
            <w:vMerge w:val="continue"/>
            <w:tcBorders>
              <w:top w:val="nil"/>
            </w:tcBorders>
          </w:tcPr>
          <w:p>
            <w:pPr>
              <w:rPr>
                <w:sz w:val="2"/>
                <w:szCs w:val="2"/>
              </w:rPr>
            </w:pPr>
          </w:p>
        </w:tc>
        <w:tc>
          <w:tcPr>
            <w:tcW w:w="577" w:type="dxa"/>
          </w:tcPr>
          <w:p>
            <w:pPr>
              <w:pStyle w:val="14"/>
              <w:spacing w:before="94"/>
              <w:ind w:left="198"/>
              <w:jc w:val="left"/>
              <w:rPr>
                <w:rFonts w:ascii="Times New Roman"/>
                <w:sz w:val="18"/>
              </w:rPr>
            </w:pPr>
            <w:r>
              <w:rPr>
                <w:rFonts w:ascii="Times New Roman"/>
                <w:sz w:val="18"/>
              </w:rPr>
              <w:t>75</w:t>
            </w: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94"/>
              <w:ind w:left="10"/>
              <w:rPr>
                <w:rFonts w:ascii="Times New Roman"/>
                <w:sz w:val="18"/>
              </w:rPr>
            </w:pPr>
            <w:r>
              <w:rPr>
                <w:rFonts w:ascii="Times New Roman"/>
                <w:sz w:val="18"/>
              </w:rPr>
              <w:t>5</w:t>
            </w:r>
          </w:p>
        </w:tc>
        <w:tc>
          <w:tcPr>
            <w:tcW w:w="779" w:type="dxa"/>
          </w:tcPr>
          <w:p>
            <w:pPr>
              <w:pStyle w:val="14"/>
              <w:spacing w:before="94"/>
              <w:ind w:left="6"/>
              <w:rPr>
                <w:rFonts w:ascii="Times New Roman"/>
                <w:sz w:val="18"/>
              </w:rPr>
            </w:pPr>
            <w:r>
              <w:rPr>
                <w:rFonts w:ascii="Times New Roman"/>
                <w:sz w:val="18"/>
              </w:rPr>
              <w:t>0</w:t>
            </w:r>
          </w:p>
        </w:tc>
        <w:tc>
          <w:tcPr>
            <w:tcW w:w="61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90" w:type="dxa"/>
            <w:vMerge w:val="continue"/>
            <w:tcBorders>
              <w:top w:val="nil"/>
            </w:tcBorders>
          </w:tcPr>
          <w:p>
            <w:pPr>
              <w:rPr>
                <w:sz w:val="2"/>
                <w:szCs w:val="2"/>
              </w:rPr>
            </w:pPr>
          </w:p>
        </w:tc>
        <w:tc>
          <w:tcPr>
            <w:tcW w:w="717" w:type="dxa"/>
          </w:tcPr>
          <w:p>
            <w:pPr>
              <w:pStyle w:val="14"/>
              <w:spacing w:before="3" w:line="230" w:lineRule="atLeast"/>
              <w:ind w:left="267" w:right="168" w:hanging="92"/>
              <w:jc w:val="left"/>
              <w:rPr>
                <w:sz w:val="18"/>
              </w:rPr>
            </w:pPr>
            <w:r>
              <w:rPr>
                <w:sz w:val="18"/>
              </w:rPr>
              <w:t>石油类</w:t>
            </w: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128"/>
              <w:ind w:left="234" w:right="226"/>
              <w:rPr>
                <w:rFonts w:ascii="Times New Roman"/>
                <w:sz w:val="18"/>
              </w:rPr>
            </w:pPr>
            <w:r>
              <w:rPr>
                <w:rFonts w:ascii="Times New Roman"/>
                <w:sz w:val="18"/>
              </w:rPr>
              <w:t>25</w:t>
            </w:r>
          </w:p>
        </w:tc>
        <w:tc>
          <w:tcPr>
            <w:tcW w:w="779" w:type="dxa"/>
          </w:tcPr>
          <w:p>
            <w:pPr>
              <w:pStyle w:val="14"/>
              <w:spacing w:before="128"/>
              <w:ind w:right="173"/>
              <w:jc w:val="right"/>
              <w:rPr>
                <w:rFonts w:ascii="Times New Roman"/>
                <w:sz w:val="18"/>
              </w:rPr>
            </w:pPr>
            <w:r>
              <w:rPr>
                <w:rFonts w:ascii="Times New Roman"/>
                <w:sz w:val="18"/>
              </w:rPr>
              <w:t>2.173</w:t>
            </w:r>
          </w:p>
        </w:tc>
        <w:tc>
          <w:tcPr>
            <w:tcW w:w="1230" w:type="dxa"/>
            <w:vMerge w:val="continue"/>
            <w:tcBorders>
              <w:top w:val="nil"/>
            </w:tcBorders>
          </w:tcPr>
          <w:p>
            <w:pPr>
              <w:rPr>
                <w:sz w:val="2"/>
                <w:szCs w:val="2"/>
              </w:rPr>
            </w:pPr>
          </w:p>
        </w:tc>
        <w:tc>
          <w:tcPr>
            <w:tcW w:w="577" w:type="dxa"/>
          </w:tcPr>
          <w:p>
            <w:pPr>
              <w:pStyle w:val="14"/>
              <w:spacing w:before="128"/>
              <w:ind w:left="198"/>
              <w:jc w:val="left"/>
              <w:rPr>
                <w:rFonts w:ascii="Times New Roman"/>
                <w:sz w:val="18"/>
              </w:rPr>
            </w:pPr>
            <w:r>
              <w:rPr>
                <w:rFonts w:ascii="Times New Roman"/>
                <w:sz w:val="18"/>
              </w:rPr>
              <w:t>80</w:t>
            </w: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128"/>
              <w:ind w:left="10"/>
              <w:rPr>
                <w:rFonts w:ascii="Times New Roman"/>
                <w:sz w:val="18"/>
              </w:rPr>
            </w:pPr>
            <w:r>
              <w:rPr>
                <w:rFonts w:ascii="Times New Roman"/>
                <w:sz w:val="18"/>
              </w:rPr>
              <w:t>5</w:t>
            </w:r>
          </w:p>
        </w:tc>
        <w:tc>
          <w:tcPr>
            <w:tcW w:w="779" w:type="dxa"/>
          </w:tcPr>
          <w:p>
            <w:pPr>
              <w:pStyle w:val="14"/>
              <w:spacing w:before="128"/>
              <w:ind w:left="6"/>
              <w:rPr>
                <w:rFonts w:ascii="Times New Roman"/>
                <w:sz w:val="18"/>
              </w:rPr>
            </w:pPr>
            <w:r>
              <w:rPr>
                <w:rFonts w:ascii="Times New Roman"/>
                <w:sz w:val="18"/>
              </w:rPr>
              <w:t>0</w:t>
            </w:r>
          </w:p>
        </w:tc>
        <w:tc>
          <w:tcPr>
            <w:tcW w:w="618" w:type="dxa"/>
            <w:vMerge w:val="continue"/>
            <w:tcBorders>
              <w:top w:val="nil"/>
            </w:tcBorders>
          </w:tcPr>
          <w:p>
            <w:pPr>
              <w:rPr>
                <w:sz w:val="2"/>
                <w:szCs w:val="2"/>
              </w:rPr>
            </w:pPr>
          </w:p>
        </w:tc>
      </w:tr>
    </w:tbl>
    <w:p>
      <w:pPr>
        <w:pStyle w:val="6"/>
        <w:tabs>
          <w:tab w:val="left" w:pos="1039"/>
        </w:tabs>
        <w:spacing w:before="176" w:after="37"/>
        <w:ind w:right="17"/>
        <w:jc w:val="center"/>
        <w:rPr>
          <w:rFonts w:hint="eastAsia" w:ascii="黑体" w:eastAsia="黑体"/>
        </w:rPr>
      </w:pPr>
      <w:r>
        <w:rPr>
          <w:rFonts w:hint="eastAsia" w:ascii="黑体" w:eastAsia="黑体"/>
        </w:rPr>
        <w:t>表</w:t>
      </w:r>
      <w:r>
        <w:rPr>
          <w:rFonts w:hint="eastAsia" w:ascii="黑体" w:eastAsia="黑体"/>
          <w:spacing w:val="-61"/>
        </w:rPr>
        <w:t xml:space="preserve"> </w:t>
      </w:r>
      <w:r>
        <w:rPr>
          <w:rFonts w:ascii="Times New Roman" w:eastAsia="Times New Roman"/>
        </w:rPr>
        <w:t>3.4-6</w:t>
      </w:r>
      <w:r>
        <w:rPr>
          <w:rFonts w:ascii="Times New Roman" w:eastAsia="Times New Roman"/>
        </w:rPr>
        <w:tab/>
      </w:r>
      <w:r>
        <w:rPr>
          <w:rFonts w:hint="eastAsia" w:ascii="黑体" w:eastAsia="黑体"/>
        </w:rPr>
        <w:t>非采暖期废水污染源源强核算结果及相关参数一览表</w:t>
      </w:r>
    </w:p>
    <w:tbl>
      <w:tblPr>
        <w:tblStyle w:val="10"/>
        <w:tblW w:w="0" w:type="auto"/>
        <w:tblInd w:w="1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0"/>
        <w:gridCol w:w="717"/>
        <w:gridCol w:w="353"/>
        <w:gridCol w:w="793"/>
        <w:gridCol w:w="837"/>
        <w:gridCol w:w="779"/>
        <w:gridCol w:w="1230"/>
        <w:gridCol w:w="577"/>
        <w:gridCol w:w="353"/>
        <w:gridCol w:w="793"/>
        <w:gridCol w:w="837"/>
        <w:gridCol w:w="779"/>
        <w:gridCol w:w="6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390" w:type="dxa"/>
            <w:vMerge w:val="restart"/>
          </w:tcPr>
          <w:p>
            <w:pPr>
              <w:pStyle w:val="14"/>
              <w:spacing w:before="8"/>
              <w:jc w:val="left"/>
              <w:rPr>
                <w:rFonts w:ascii="黑体"/>
                <w:sz w:val="18"/>
              </w:rPr>
            </w:pPr>
          </w:p>
          <w:p>
            <w:pPr>
              <w:pStyle w:val="14"/>
              <w:spacing w:line="242" w:lineRule="auto"/>
              <w:ind w:left="108" w:right="89"/>
              <w:jc w:val="both"/>
              <w:rPr>
                <w:sz w:val="18"/>
              </w:rPr>
            </w:pPr>
            <w:r>
              <w:rPr>
                <w:sz w:val="18"/>
              </w:rPr>
              <w:t>污染源</w:t>
            </w:r>
          </w:p>
        </w:tc>
        <w:tc>
          <w:tcPr>
            <w:tcW w:w="717" w:type="dxa"/>
            <w:vMerge w:val="restart"/>
          </w:tcPr>
          <w:p>
            <w:pPr>
              <w:pStyle w:val="14"/>
              <w:jc w:val="left"/>
              <w:rPr>
                <w:rFonts w:ascii="黑体"/>
                <w:sz w:val="18"/>
              </w:rPr>
            </w:pPr>
          </w:p>
          <w:p>
            <w:pPr>
              <w:pStyle w:val="14"/>
              <w:spacing w:before="126" w:line="242" w:lineRule="auto"/>
              <w:ind w:left="267" w:right="168" w:hanging="92"/>
              <w:jc w:val="left"/>
              <w:rPr>
                <w:sz w:val="18"/>
              </w:rPr>
            </w:pPr>
            <w:r>
              <w:rPr>
                <w:sz w:val="18"/>
              </w:rPr>
              <w:t>污染物</w:t>
            </w:r>
          </w:p>
        </w:tc>
        <w:tc>
          <w:tcPr>
            <w:tcW w:w="2762" w:type="dxa"/>
            <w:gridSpan w:val="4"/>
          </w:tcPr>
          <w:p>
            <w:pPr>
              <w:pStyle w:val="14"/>
              <w:spacing w:before="2" w:line="212" w:lineRule="exact"/>
              <w:ind w:left="909" w:right="900"/>
              <w:rPr>
                <w:sz w:val="18"/>
              </w:rPr>
            </w:pPr>
            <w:r>
              <w:rPr>
                <w:sz w:val="18"/>
              </w:rPr>
              <w:t>污染物产生</w:t>
            </w:r>
          </w:p>
        </w:tc>
        <w:tc>
          <w:tcPr>
            <w:tcW w:w="1807" w:type="dxa"/>
            <w:gridSpan w:val="2"/>
          </w:tcPr>
          <w:p>
            <w:pPr>
              <w:pStyle w:val="14"/>
              <w:spacing w:before="2" w:line="212" w:lineRule="exact"/>
              <w:ind w:left="542"/>
              <w:jc w:val="left"/>
              <w:rPr>
                <w:sz w:val="18"/>
              </w:rPr>
            </w:pPr>
            <w:r>
              <w:rPr>
                <w:sz w:val="18"/>
              </w:rPr>
              <w:t>治理措施</w:t>
            </w:r>
          </w:p>
        </w:tc>
        <w:tc>
          <w:tcPr>
            <w:tcW w:w="2762" w:type="dxa"/>
            <w:gridSpan w:val="4"/>
          </w:tcPr>
          <w:p>
            <w:pPr>
              <w:pStyle w:val="14"/>
              <w:spacing w:before="2" w:line="212" w:lineRule="exact"/>
              <w:ind w:left="910" w:right="899"/>
              <w:rPr>
                <w:sz w:val="18"/>
              </w:rPr>
            </w:pPr>
            <w:r>
              <w:rPr>
                <w:sz w:val="18"/>
              </w:rPr>
              <w:t>污染物排放</w:t>
            </w:r>
          </w:p>
        </w:tc>
        <w:tc>
          <w:tcPr>
            <w:tcW w:w="618" w:type="dxa"/>
            <w:vMerge w:val="restart"/>
          </w:tcPr>
          <w:p>
            <w:pPr>
              <w:pStyle w:val="14"/>
              <w:spacing w:before="10"/>
              <w:jc w:val="left"/>
              <w:rPr>
                <w:rFonts w:ascii="黑体"/>
                <w:sz w:val="19"/>
              </w:rPr>
            </w:pPr>
          </w:p>
          <w:p>
            <w:pPr>
              <w:pStyle w:val="14"/>
              <w:ind w:left="127" w:right="118"/>
              <w:jc w:val="both"/>
              <w:rPr>
                <w:rFonts w:ascii="Times New Roman" w:eastAsia="Times New Roman"/>
                <w:sz w:val="18"/>
              </w:rPr>
            </w:pPr>
            <w:r>
              <w:rPr>
                <w:sz w:val="18"/>
              </w:rPr>
              <w:t>排放时间</w:t>
            </w:r>
            <w:r>
              <w:rPr>
                <w:rFonts w:ascii="Times New Roman" w:eastAsia="Times New Roman"/>
                <w:sz w:val="18"/>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0" w:hRule="atLeast"/>
        </w:trPr>
        <w:tc>
          <w:tcPr>
            <w:tcW w:w="390" w:type="dxa"/>
            <w:vMerge w:val="continue"/>
            <w:tcBorders>
              <w:top w:val="nil"/>
            </w:tcBorders>
          </w:tcPr>
          <w:p>
            <w:pPr>
              <w:rPr>
                <w:sz w:val="2"/>
                <w:szCs w:val="2"/>
              </w:rPr>
            </w:pPr>
          </w:p>
        </w:tc>
        <w:tc>
          <w:tcPr>
            <w:tcW w:w="717" w:type="dxa"/>
            <w:vMerge w:val="continue"/>
            <w:tcBorders>
              <w:top w:val="nil"/>
            </w:tcBorders>
          </w:tcPr>
          <w:p>
            <w:pPr>
              <w:rPr>
                <w:sz w:val="2"/>
                <w:szCs w:val="2"/>
              </w:rPr>
            </w:pPr>
          </w:p>
        </w:tc>
        <w:tc>
          <w:tcPr>
            <w:tcW w:w="353" w:type="dxa"/>
          </w:tcPr>
          <w:p>
            <w:pPr>
              <w:pStyle w:val="14"/>
              <w:spacing w:line="242" w:lineRule="auto"/>
              <w:ind w:left="107" w:right="53"/>
              <w:jc w:val="both"/>
              <w:rPr>
                <w:sz w:val="18"/>
              </w:rPr>
            </w:pPr>
            <w:r>
              <w:rPr>
                <w:sz w:val="18"/>
              </w:rPr>
              <w:t>核算方</w:t>
            </w:r>
          </w:p>
          <w:p>
            <w:pPr>
              <w:pStyle w:val="14"/>
              <w:spacing w:before="2" w:line="210" w:lineRule="exact"/>
              <w:ind w:left="107"/>
              <w:jc w:val="left"/>
              <w:rPr>
                <w:sz w:val="18"/>
              </w:rPr>
            </w:pPr>
            <w:r>
              <w:rPr>
                <w:sz w:val="18"/>
              </w:rPr>
              <w:t>法</w:t>
            </w:r>
          </w:p>
        </w:tc>
        <w:tc>
          <w:tcPr>
            <w:tcW w:w="793" w:type="dxa"/>
          </w:tcPr>
          <w:p>
            <w:pPr>
              <w:pStyle w:val="14"/>
              <w:spacing w:line="242" w:lineRule="auto"/>
              <w:ind w:left="126" w:right="114" w:hanging="3"/>
              <w:rPr>
                <w:sz w:val="18"/>
              </w:rPr>
            </w:pPr>
            <w:r>
              <w:rPr>
                <w:sz w:val="18"/>
              </w:rPr>
              <w:t xml:space="preserve">产生 </w:t>
            </w:r>
            <w:r>
              <w:rPr>
                <w:spacing w:val="-6"/>
                <w:sz w:val="18"/>
              </w:rPr>
              <w:t>废水量</w:t>
            </w:r>
          </w:p>
          <w:p>
            <w:pPr>
              <w:pStyle w:val="14"/>
              <w:spacing w:before="2"/>
              <w:ind w:left="118" w:right="109"/>
              <w:rPr>
                <w:rFonts w:ascii="Times New Roman" w:eastAsia="Times New Roman"/>
                <w:sz w:val="18"/>
              </w:rPr>
            </w:pPr>
            <w:r>
              <w:rPr>
                <w:sz w:val="18"/>
              </w:rPr>
              <w:t>（</w:t>
            </w:r>
            <w:r>
              <w:rPr>
                <w:rFonts w:ascii="Times New Roman" w:eastAsia="Times New Roman"/>
                <w:sz w:val="18"/>
              </w:rPr>
              <w:t>m</w:t>
            </w:r>
            <w:r>
              <w:rPr>
                <w:rFonts w:ascii="Times New Roman" w:eastAsia="Times New Roman"/>
                <w:position w:val="6"/>
                <w:sz w:val="11"/>
              </w:rPr>
              <w:t>3</w:t>
            </w:r>
            <w:r>
              <w:rPr>
                <w:rFonts w:ascii="Times New Roman" w:eastAsia="Times New Roman"/>
                <w:sz w:val="18"/>
              </w:rPr>
              <w:t>/d</w:t>
            </w:r>
          </w:p>
          <w:p>
            <w:pPr>
              <w:pStyle w:val="14"/>
              <w:spacing w:before="2" w:line="210" w:lineRule="exact"/>
              <w:ind w:left="10"/>
              <w:rPr>
                <w:sz w:val="18"/>
              </w:rPr>
            </w:pPr>
            <w:r>
              <w:rPr>
                <w:sz w:val="18"/>
              </w:rPr>
              <w:t>）</w:t>
            </w:r>
          </w:p>
        </w:tc>
        <w:tc>
          <w:tcPr>
            <w:tcW w:w="837" w:type="dxa"/>
          </w:tcPr>
          <w:p>
            <w:pPr>
              <w:pStyle w:val="14"/>
              <w:spacing w:line="242" w:lineRule="auto"/>
              <w:ind w:left="238" w:right="226"/>
              <w:rPr>
                <w:sz w:val="18"/>
              </w:rPr>
            </w:pPr>
            <w:r>
              <w:rPr>
                <w:sz w:val="18"/>
              </w:rPr>
              <w:t>产生浓度</w:t>
            </w:r>
          </w:p>
          <w:p>
            <w:pPr>
              <w:pStyle w:val="14"/>
              <w:spacing w:before="2"/>
              <w:ind w:left="111" w:right="104"/>
              <w:rPr>
                <w:rFonts w:ascii="Times New Roman" w:eastAsia="Times New Roman"/>
                <w:sz w:val="18"/>
              </w:rPr>
            </w:pPr>
            <w:r>
              <w:rPr>
                <w:sz w:val="18"/>
              </w:rPr>
              <w:t>（</w:t>
            </w:r>
            <w:r>
              <w:rPr>
                <w:rFonts w:ascii="Times New Roman" w:eastAsia="Times New Roman"/>
                <w:sz w:val="18"/>
              </w:rPr>
              <w:t>mg/L</w:t>
            </w:r>
          </w:p>
          <w:p>
            <w:pPr>
              <w:pStyle w:val="14"/>
              <w:spacing w:before="2" w:line="210" w:lineRule="exact"/>
              <w:ind w:left="7"/>
              <w:rPr>
                <w:sz w:val="18"/>
              </w:rPr>
            </w:pPr>
            <w:r>
              <w:rPr>
                <w:sz w:val="18"/>
              </w:rPr>
              <w:t>）</w:t>
            </w:r>
          </w:p>
        </w:tc>
        <w:tc>
          <w:tcPr>
            <w:tcW w:w="779" w:type="dxa"/>
          </w:tcPr>
          <w:p>
            <w:pPr>
              <w:pStyle w:val="14"/>
              <w:spacing w:before="118"/>
              <w:ind w:left="98" w:right="89"/>
              <w:rPr>
                <w:sz w:val="18"/>
              </w:rPr>
            </w:pPr>
            <w:r>
              <w:rPr>
                <w:sz w:val="18"/>
              </w:rPr>
              <w:t>产生量</w:t>
            </w:r>
          </w:p>
          <w:p>
            <w:pPr>
              <w:pStyle w:val="14"/>
              <w:spacing w:before="2"/>
              <w:ind w:left="94" w:right="89"/>
              <w:rPr>
                <w:rFonts w:ascii="Times New Roman" w:eastAsia="Times New Roman"/>
                <w:sz w:val="18"/>
              </w:rPr>
            </w:pPr>
            <w:r>
              <w:rPr>
                <w:sz w:val="18"/>
              </w:rPr>
              <w:t>（</w:t>
            </w:r>
            <w:r>
              <w:rPr>
                <w:rFonts w:ascii="Times New Roman" w:eastAsia="Times New Roman"/>
                <w:sz w:val="18"/>
              </w:rPr>
              <w:t>kg/d</w:t>
            </w:r>
          </w:p>
          <w:p>
            <w:pPr>
              <w:pStyle w:val="14"/>
              <w:spacing w:before="2"/>
              <w:ind w:left="9"/>
              <w:rPr>
                <w:sz w:val="18"/>
              </w:rPr>
            </w:pPr>
            <w:r>
              <w:rPr>
                <w:sz w:val="18"/>
              </w:rPr>
              <w:t>）</w:t>
            </w:r>
          </w:p>
        </w:tc>
        <w:tc>
          <w:tcPr>
            <w:tcW w:w="1230" w:type="dxa"/>
          </w:tcPr>
          <w:p>
            <w:pPr>
              <w:pStyle w:val="14"/>
              <w:jc w:val="left"/>
              <w:rPr>
                <w:rFonts w:ascii="黑体"/>
                <w:sz w:val="18"/>
              </w:rPr>
            </w:pPr>
          </w:p>
          <w:p>
            <w:pPr>
              <w:pStyle w:val="14"/>
              <w:spacing w:before="120"/>
              <w:ind w:left="414" w:right="405"/>
              <w:rPr>
                <w:sz w:val="18"/>
              </w:rPr>
            </w:pPr>
            <w:r>
              <w:rPr>
                <w:sz w:val="18"/>
              </w:rPr>
              <w:t>工艺</w:t>
            </w:r>
          </w:p>
        </w:tc>
        <w:tc>
          <w:tcPr>
            <w:tcW w:w="577" w:type="dxa"/>
          </w:tcPr>
          <w:p>
            <w:pPr>
              <w:pStyle w:val="14"/>
              <w:spacing w:before="118"/>
              <w:ind w:left="106"/>
              <w:jc w:val="left"/>
              <w:rPr>
                <w:sz w:val="18"/>
              </w:rPr>
            </w:pPr>
            <w:r>
              <w:rPr>
                <w:sz w:val="18"/>
              </w:rPr>
              <w:t>效率</w:t>
            </w:r>
          </w:p>
          <w:p>
            <w:pPr>
              <w:pStyle w:val="14"/>
              <w:spacing w:before="2"/>
              <w:ind w:left="123"/>
              <w:jc w:val="left"/>
              <w:rPr>
                <w:rFonts w:ascii="Times New Roman" w:eastAsia="Times New Roman"/>
                <w:sz w:val="18"/>
              </w:rPr>
            </w:pPr>
            <w:r>
              <w:rPr>
                <w:sz w:val="18"/>
              </w:rPr>
              <w:t>（</w:t>
            </w:r>
            <w:r>
              <w:rPr>
                <w:rFonts w:ascii="Times New Roman" w:eastAsia="Times New Roman"/>
                <w:sz w:val="18"/>
              </w:rPr>
              <w:t>%</w:t>
            </w:r>
          </w:p>
          <w:p>
            <w:pPr>
              <w:pStyle w:val="14"/>
              <w:spacing w:before="2"/>
              <w:ind w:left="198"/>
              <w:jc w:val="left"/>
              <w:rPr>
                <w:sz w:val="18"/>
              </w:rPr>
            </w:pPr>
            <w:r>
              <w:rPr>
                <w:sz w:val="18"/>
              </w:rPr>
              <w:t>）</w:t>
            </w:r>
          </w:p>
        </w:tc>
        <w:tc>
          <w:tcPr>
            <w:tcW w:w="353" w:type="dxa"/>
          </w:tcPr>
          <w:p>
            <w:pPr>
              <w:pStyle w:val="14"/>
              <w:spacing w:line="242" w:lineRule="auto"/>
              <w:ind w:left="108" w:right="52"/>
              <w:jc w:val="both"/>
              <w:rPr>
                <w:sz w:val="18"/>
              </w:rPr>
            </w:pPr>
            <w:r>
              <w:rPr>
                <w:sz w:val="18"/>
              </w:rPr>
              <w:t>核算方</w:t>
            </w:r>
          </w:p>
          <w:p>
            <w:pPr>
              <w:pStyle w:val="14"/>
              <w:spacing w:before="2" w:line="210" w:lineRule="exact"/>
              <w:ind w:left="108"/>
              <w:jc w:val="left"/>
              <w:rPr>
                <w:sz w:val="18"/>
              </w:rPr>
            </w:pPr>
            <w:r>
              <w:rPr>
                <w:sz w:val="18"/>
              </w:rPr>
              <w:t>法</w:t>
            </w:r>
          </w:p>
        </w:tc>
        <w:tc>
          <w:tcPr>
            <w:tcW w:w="793" w:type="dxa"/>
          </w:tcPr>
          <w:p>
            <w:pPr>
              <w:pStyle w:val="14"/>
              <w:spacing w:line="242" w:lineRule="auto"/>
              <w:ind w:left="124" w:right="116" w:firstLine="2"/>
              <w:rPr>
                <w:sz w:val="18"/>
              </w:rPr>
            </w:pPr>
            <w:r>
              <w:rPr>
                <w:sz w:val="18"/>
              </w:rPr>
              <w:t xml:space="preserve">排放 </w:t>
            </w:r>
            <w:r>
              <w:rPr>
                <w:spacing w:val="-6"/>
                <w:sz w:val="18"/>
              </w:rPr>
              <w:t>废水量</w:t>
            </w:r>
          </w:p>
          <w:p>
            <w:pPr>
              <w:pStyle w:val="14"/>
              <w:spacing w:before="2"/>
              <w:ind w:left="117" w:right="109"/>
              <w:rPr>
                <w:rFonts w:ascii="Times New Roman" w:eastAsia="Times New Roman"/>
                <w:sz w:val="18"/>
              </w:rPr>
            </w:pPr>
            <w:r>
              <w:rPr>
                <w:sz w:val="18"/>
              </w:rPr>
              <w:t>（</w:t>
            </w:r>
            <w:r>
              <w:rPr>
                <w:rFonts w:ascii="Times New Roman" w:eastAsia="Times New Roman"/>
                <w:sz w:val="18"/>
              </w:rPr>
              <w:t>m</w:t>
            </w:r>
            <w:r>
              <w:rPr>
                <w:rFonts w:ascii="Times New Roman" w:eastAsia="Times New Roman"/>
                <w:position w:val="6"/>
                <w:sz w:val="11"/>
              </w:rPr>
              <w:t>3</w:t>
            </w:r>
            <w:r>
              <w:rPr>
                <w:rFonts w:ascii="Times New Roman" w:eastAsia="Times New Roman"/>
                <w:sz w:val="18"/>
              </w:rPr>
              <w:t>/d</w:t>
            </w:r>
          </w:p>
          <w:p>
            <w:pPr>
              <w:pStyle w:val="14"/>
              <w:spacing w:before="2" w:line="210" w:lineRule="exact"/>
              <w:ind w:left="6"/>
              <w:rPr>
                <w:sz w:val="18"/>
              </w:rPr>
            </w:pPr>
            <w:r>
              <w:rPr>
                <w:sz w:val="18"/>
              </w:rPr>
              <w:t>）</w:t>
            </w:r>
          </w:p>
        </w:tc>
        <w:tc>
          <w:tcPr>
            <w:tcW w:w="837" w:type="dxa"/>
          </w:tcPr>
          <w:p>
            <w:pPr>
              <w:pStyle w:val="14"/>
              <w:spacing w:line="242" w:lineRule="auto"/>
              <w:ind w:left="236" w:right="228"/>
              <w:rPr>
                <w:sz w:val="18"/>
              </w:rPr>
            </w:pPr>
            <w:r>
              <w:rPr>
                <w:sz w:val="18"/>
              </w:rPr>
              <w:t>排放浓度</w:t>
            </w:r>
          </w:p>
          <w:p>
            <w:pPr>
              <w:pStyle w:val="14"/>
              <w:spacing w:before="2"/>
              <w:ind w:left="112" w:right="104"/>
              <w:rPr>
                <w:rFonts w:ascii="Times New Roman" w:eastAsia="Times New Roman"/>
                <w:sz w:val="18"/>
              </w:rPr>
            </w:pPr>
            <w:r>
              <w:rPr>
                <w:sz w:val="18"/>
              </w:rPr>
              <w:t>（</w:t>
            </w:r>
            <w:r>
              <w:rPr>
                <w:rFonts w:ascii="Times New Roman" w:eastAsia="Times New Roman"/>
                <w:sz w:val="18"/>
              </w:rPr>
              <w:t>mg/L</w:t>
            </w:r>
          </w:p>
          <w:p>
            <w:pPr>
              <w:pStyle w:val="14"/>
              <w:spacing w:before="2" w:line="210" w:lineRule="exact"/>
              <w:ind w:left="8"/>
              <w:rPr>
                <w:sz w:val="18"/>
              </w:rPr>
            </w:pPr>
            <w:r>
              <w:rPr>
                <w:sz w:val="18"/>
              </w:rPr>
              <w:t>）</w:t>
            </w:r>
          </w:p>
        </w:tc>
        <w:tc>
          <w:tcPr>
            <w:tcW w:w="779" w:type="dxa"/>
          </w:tcPr>
          <w:p>
            <w:pPr>
              <w:pStyle w:val="14"/>
              <w:spacing w:before="118"/>
              <w:ind w:left="99" w:right="89"/>
              <w:rPr>
                <w:sz w:val="18"/>
              </w:rPr>
            </w:pPr>
            <w:r>
              <w:rPr>
                <w:sz w:val="18"/>
              </w:rPr>
              <w:t>排放量</w:t>
            </w:r>
          </w:p>
          <w:p>
            <w:pPr>
              <w:pStyle w:val="14"/>
              <w:spacing w:before="2"/>
              <w:ind w:left="95" w:right="89"/>
              <w:rPr>
                <w:rFonts w:ascii="Times New Roman" w:eastAsia="Times New Roman"/>
                <w:sz w:val="18"/>
              </w:rPr>
            </w:pPr>
            <w:r>
              <w:rPr>
                <w:sz w:val="18"/>
              </w:rPr>
              <w:t>（</w:t>
            </w:r>
            <w:r>
              <w:rPr>
                <w:rFonts w:ascii="Times New Roman" w:eastAsia="Times New Roman"/>
                <w:sz w:val="18"/>
              </w:rPr>
              <w:t>kg/d</w:t>
            </w:r>
          </w:p>
          <w:p>
            <w:pPr>
              <w:pStyle w:val="14"/>
              <w:spacing w:before="2"/>
              <w:ind w:left="10"/>
              <w:rPr>
                <w:sz w:val="18"/>
              </w:rPr>
            </w:pPr>
            <w:r>
              <w:rPr>
                <w:sz w:val="18"/>
              </w:rPr>
              <w:t>）</w:t>
            </w:r>
          </w:p>
        </w:tc>
        <w:tc>
          <w:tcPr>
            <w:tcW w:w="618" w:type="dxa"/>
            <w:vMerge w:val="continue"/>
            <w:tcBorders>
              <w:top w:val="nil"/>
            </w:tcBorders>
          </w:tcPr>
          <w:p>
            <w:pPr>
              <w:rPr>
                <w:sz w:val="2"/>
                <w:szCs w:val="2"/>
              </w:rPr>
            </w:pPr>
          </w:p>
        </w:tc>
      </w:tr>
    </w:tbl>
    <w:p>
      <w:pPr>
        <w:spacing w:after="0"/>
        <w:rPr>
          <w:sz w:val="2"/>
          <w:szCs w:val="2"/>
        </w:rPr>
        <w:sectPr>
          <w:footerReference r:id="rId12" w:type="default"/>
          <w:pgSz w:w="11910" w:h="16840"/>
          <w:pgMar w:top="1440" w:right="1220" w:bottom="1180" w:left="1240" w:header="0" w:footer="997" w:gutter="0"/>
          <w:pgNumType w:start="61"/>
        </w:sectPr>
      </w:pPr>
    </w:p>
    <w:tbl>
      <w:tblPr>
        <w:tblStyle w:val="10"/>
        <w:tblW w:w="0" w:type="auto"/>
        <w:tblInd w:w="1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0"/>
        <w:gridCol w:w="717"/>
        <w:gridCol w:w="353"/>
        <w:gridCol w:w="793"/>
        <w:gridCol w:w="837"/>
        <w:gridCol w:w="779"/>
        <w:gridCol w:w="1230"/>
        <w:gridCol w:w="577"/>
        <w:gridCol w:w="353"/>
        <w:gridCol w:w="793"/>
        <w:gridCol w:w="837"/>
        <w:gridCol w:w="779"/>
        <w:gridCol w:w="6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390" w:type="dxa"/>
            <w:vMerge w:val="restart"/>
          </w:tcPr>
          <w:p>
            <w:pPr>
              <w:pStyle w:val="14"/>
              <w:jc w:val="left"/>
              <w:rPr>
                <w:rFonts w:ascii="黑体"/>
                <w:sz w:val="18"/>
              </w:rPr>
            </w:pPr>
          </w:p>
          <w:p>
            <w:pPr>
              <w:pStyle w:val="14"/>
              <w:spacing w:before="7"/>
              <w:jc w:val="left"/>
              <w:rPr>
                <w:rFonts w:ascii="黑体"/>
                <w:sz w:val="18"/>
              </w:rPr>
            </w:pPr>
          </w:p>
          <w:p>
            <w:pPr>
              <w:pStyle w:val="14"/>
              <w:spacing w:line="242" w:lineRule="auto"/>
              <w:ind w:left="108" w:right="89"/>
              <w:jc w:val="both"/>
              <w:rPr>
                <w:sz w:val="18"/>
              </w:rPr>
            </w:pPr>
            <w:r>
              <w:rPr>
                <w:sz w:val="18"/>
              </w:rPr>
              <w:t>矿井水</w:t>
            </w:r>
          </w:p>
        </w:tc>
        <w:tc>
          <w:tcPr>
            <w:tcW w:w="717" w:type="dxa"/>
          </w:tcPr>
          <w:p>
            <w:pPr>
              <w:pStyle w:val="14"/>
              <w:spacing w:before="3"/>
              <w:jc w:val="left"/>
              <w:rPr>
                <w:rFonts w:ascii="黑体"/>
                <w:sz w:val="14"/>
              </w:rPr>
            </w:pPr>
          </w:p>
          <w:p>
            <w:pPr>
              <w:pStyle w:val="14"/>
              <w:ind w:left="119" w:right="108"/>
              <w:rPr>
                <w:rFonts w:ascii="Times New Roman"/>
                <w:sz w:val="18"/>
              </w:rPr>
            </w:pPr>
            <w:r>
              <w:rPr>
                <w:rFonts w:ascii="Times New Roman"/>
                <w:sz w:val="18"/>
              </w:rPr>
              <w:t>COD</w:t>
            </w:r>
          </w:p>
        </w:tc>
        <w:tc>
          <w:tcPr>
            <w:tcW w:w="353" w:type="dxa"/>
            <w:vMerge w:val="restart"/>
          </w:tcPr>
          <w:p>
            <w:pPr>
              <w:pStyle w:val="14"/>
              <w:jc w:val="left"/>
              <w:rPr>
                <w:rFonts w:ascii="黑体"/>
                <w:sz w:val="18"/>
              </w:rPr>
            </w:pPr>
          </w:p>
          <w:p>
            <w:pPr>
              <w:pStyle w:val="14"/>
              <w:jc w:val="left"/>
              <w:rPr>
                <w:rFonts w:ascii="黑体"/>
                <w:sz w:val="18"/>
              </w:rPr>
            </w:pPr>
          </w:p>
          <w:p>
            <w:pPr>
              <w:pStyle w:val="14"/>
              <w:jc w:val="left"/>
              <w:rPr>
                <w:rFonts w:ascii="黑体"/>
                <w:sz w:val="18"/>
              </w:rPr>
            </w:pPr>
          </w:p>
          <w:p>
            <w:pPr>
              <w:pStyle w:val="14"/>
              <w:jc w:val="left"/>
              <w:rPr>
                <w:rFonts w:ascii="黑体"/>
                <w:sz w:val="18"/>
              </w:rPr>
            </w:pPr>
          </w:p>
          <w:p>
            <w:pPr>
              <w:pStyle w:val="14"/>
              <w:jc w:val="left"/>
              <w:rPr>
                <w:rFonts w:ascii="黑体"/>
                <w:sz w:val="18"/>
              </w:rPr>
            </w:pPr>
          </w:p>
          <w:p>
            <w:pPr>
              <w:pStyle w:val="14"/>
              <w:jc w:val="left"/>
              <w:rPr>
                <w:rFonts w:ascii="黑体"/>
                <w:sz w:val="18"/>
              </w:rPr>
            </w:pPr>
          </w:p>
          <w:p>
            <w:pPr>
              <w:pStyle w:val="14"/>
              <w:spacing w:before="11"/>
              <w:jc w:val="left"/>
              <w:rPr>
                <w:rFonts w:ascii="黑体"/>
                <w:sz w:val="15"/>
              </w:rPr>
            </w:pPr>
          </w:p>
          <w:p>
            <w:pPr>
              <w:pStyle w:val="14"/>
              <w:spacing w:line="242" w:lineRule="auto"/>
              <w:ind w:left="107" w:right="53"/>
              <w:jc w:val="both"/>
              <w:rPr>
                <w:sz w:val="18"/>
              </w:rPr>
            </w:pPr>
            <w:r>
              <w:rPr>
                <w:sz w:val="18"/>
              </w:rPr>
              <w:t>类比法</w:t>
            </w:r>
          </w:p>
        </w:tc>
        <w:tc>
          <w:tcPr>
            <w:tcW w:w="793" w:type="dxa"/>
            <w:vMerge w:val="restart"/>
          </w:tcPr>
          <w:p>
            <w:pPr>
              <w:pStyle w:val="14"/>
              <w:jc w:val="left"/>
              <w:rPr>
                <w:rFonts w:ascii="黑体"/>
                <w:sz w:val="20"/>
              </w:rPr>
            </w:pPr>
          </w:p>
          <w:p>
            <w:pPr>
              <w:pStyle w:val="14"/>
              <w:jc w:val="left"/>
              <w:rPr>
                <w:rFonts w:ascii="黑体"/>
                <w:sz w:val="20"/>
              </w:rPr>
            </w:pPr>
          </w:p>
          <w:p>
            <w:pPr>
              <w:pStyle w:val="14"/>
              <w:spacing w:before="8"/>
              <w:jc w:val="left"/>
              <w:rPr>
                <w:rFonts w:ascii="黑体"/>
                <w:sz w:val="15"/>
              </w:rPr>
            </w:pPr>
          </w:p>
          <w:p>
            <w:pPr>
              <w:pStyle w:val="14"/>
              <w:spacing w:before="1"/>
              <w:ind w:left="215"/>
              <w:jc w:val="left"/>
              <w:rPr>
                <w:rFonts w:ascii="Times New Roman"/>
                <w:sz w:val="18"/>
              </w:rPr>
            </w:pPr>
            <w:r>
              <w:rPr>
                <w:rFonts w:ascii="Times New Roman"/>
                <w:sz w:val="18"/>
              </w:rPr>
              <w:t>1824</w:t>
            </w:r>
          </w:p>
        </w:tc>
        <w:tc>
          <w:tcPr>
            <w:tcW w:w="837" w:type="dxa"/>
          </w:tcPr>
          <w:p>
            <w:pPr>
              <w:pStyle w:val="14"/>
              <w:spacing w:before="3"/>
              <w:jc w:val="left"/>
              <w:rPr>
                <w:rFonts w:ascii="黑体"/>
                <w:sz w:val="14"/>
              </w:rPr>
            </w:pPr>
          </w:p>
          <w:p>
            <w:pPr>
              <w:pStyle w:val="14"/>
              <w:ind w:left="232" w:right="226"/>
              <w:rPr>
                <w:rFonts w:ascii="Times New Roman"/>
                <w:sz w:val="18"/>
              </w:rPr>
            </w:pPr>
            <w:r>
              <w:rPr>
                <w:rFonts w:ascii="Times New Roman"/>
                <w:sz w:val="18"/>
              </w:rPr>
              <w:t>150</w:t>
            </w:r>
          </w:p>
        </w:tc>
        <w:tc>
          <w:tcPr>
            <w:tcW w:w="779" w:type="dxa"/>
          </w:tcPr>
          <w:p>
            <w:pPr>
              <w:pStyle w:val="14"/>
              <w:spacing w:before="3"/>
              <w:jc w:val="left"/>
              <w:rPr>
                <w:rFonts w:ascii="黑体"/>
                <w:sz w:val="14"/>
              </w:rPr>
            </w:pPr>
          </w:p>
          <w:p>
            <w:pPr>
              <w:pStyle w:val="14"/>
              <w:ind w:right="173"/>
              <w:jc w:val="right"/>
              <w:rPr>
                <w:rFonts w:ascii="Times New Roman"/>
                <w:sz w:val="18"/>
              </w:rPr>
            </w:pPr>
            <w:r>
              <w:rPr>
                <w:rFonts w:ascii="Times New Roman"/>
                <w:sz w:val="18"/>
              </w:rPr>
              <w:t>273.6</w:t>
            </w:r>
          </w:p>
        </w:tc>
        <w:tc>
          <w:tcPr>
            <w:tcW w:w="1230" w:type="dxa"/>
            <w:vMerge w:val="restart"/>
          </w:tcPr>
          <w:p>
            <w:pPr>
              <w:pStyle w:val="14"/>
              <w:spacing w:before="3" w:line="242" w:lineRule="auto"/>
              <w:ind w:left="108" w:right="94"/>
              <w:jc w:val="both"/>
              <w:rPr>
                <w:sz w:val="18"/>
              </w:rPr>
            </w:pPr>
            <w:r>
              <w:rPr>
                <w:sz w:val="18"/>
              </w:rPr>
              <w:t>处 理 规 模</w:t>
            </w:r>
            <w:r>
              <w:rPr>
                <w:rFonts w:ascii="Times New Roman" w:eastAsia="Times New Roman"/>
                <w:spacing w:val="1"/>
                <w:sz w:val="18"/>
              </w:rPr>
              <w:t>3</w:t>
            </w:r>
            <w:r>
              <w:rPr>
                <w:rFonts w:ascii="Times New Roman" w:eastAsia="Times New Roman"/>
                <w:spacing w:val="-2"/>
                <w:sz w:val="18"/>
              </w:rPr>
              <w:t>7</w:t>
            </w:r>
            <w:r>
              <w:rPr>
                <w:rFonts w:ascii="Times New Roman" w:eastAsia="Times New Roman"/>
                <w:spacing w:val="1"/>
                <w:sz w:val="18"/>
              </w:rPr>
              <w:t>2</w:t>
            </w:r>
            <w:r>
              <w:rPr>
                <w:rFonts w:ascii="Times New Roman" w:eastAsia="Times New Roman"/>
                <w:spacing w:val="-2"/>
                <w:sz w:val="18"/>
              </w:rPr>
              <w:t>0</w:t>
            </w:r>
            <w:r>
              <w:rPr>
                <w:rFonts w:ascii="Times New Roman" w:eastAsia="Times New Roman"/>
                <w:spacing w:val="-1"/>
                <w:sz w:val="18"/>
              </w:rPr>
              <w:t>m</w:t>
            </w:r>
            <w:r>
              <w:rPr>
                <w:rFonts w:ascii="Times New Roman" w:eastAsia="Times New Roman"/>
                <w:w w:val="104"/>
                <w:position w:val="6"/>
                <w:sz w:val="11"/>
              </w:rPr>
              <w:t>3</w:t>
            </w:r>
            <w:r>
              <w:rPr>
                <w:rFonts w:ascii="Times New Roman" w:eastAsia="Times New Roman"/>
                <w:sz w:val="18"/>
              </w:rPr>
              <w:t>/</w:t>
            </w:r>
            <w:r>
              <w:rPr>
                <w:rFonts w:ascii="Times New Roman" w:eastAsia="Times New Roman"/>
                <w:spacing w:val="1"/>
                <w:sz w:val="18"/>
              </w:rPr>
              <w:t>d</w:t>
            </w:r>
            <w:r>
              <w:rPr>
                <w:spacing w:val="-29"/>
                <w:sz w:val="18"/>
              </w:rPr>
              <w:t>，主</w:t>
            </w:r>
            <w:r>
              <w:rPr>
                <w:spacing w:val="-14"/>
                <w:sz w:val="18"/>
              </w:rPr>
              <w:t>体工艺：调节</w:t>
            </w:r>
          </w:p>
          <w:p>
            <w:pPr>
              <w:pStyle w:val="14"/>
              <w:spacing w:line="230" w:lineRule="exact"/>
              <w:ind w:left="108"/>
              <w:jc w:val="left"/>
              <w:rPr>
                <w:sz w:val="18"/>
              </w:rPr>
            </w:pPr>
            <w:r>
              <w:rPr>
                <w:rFonts w:ascii="Times New Roman" w:eastAsia="Times New Roman"/>
                <w:spacing w:val="-15"/>
                <w:sz w:val="18"/>
              </w:rPr>
              <w:t xml:space="preserve">+ </w:t>
            </w:r>
            <w:r>
              <w:rPr>
                <w:spacing w:val="19"/>
                <w:sz w:val="18"/>
              </w:rPr>
              <w:t>絮凝</w:t>
            </w:r>
            <w:r>
              <w:rPr>
                <w:rFonts w:ascii="Times New Roman" w:eastAsia="Times New Roman"/>
                <w:spacing w:val="-14"/>
                <w:sz w:val="18"/>
              </w:rPr>
              <w:t xml:space="preserve">+ </w:t>
            </w:r>
            <w:r>
              <w:rPr>
                <w:spacing w:val="9"/>
                <w:sz w:val="18"/>
              </w:rPr>
              <w:t>沉淀</w:t>
            </w:r>
          </w:p>
          <w:p>
            <w:pPr>
              <w:pStyle w:val="14"/>
              <w:spacing w:before="2"/>
              <w:ind w:left="108"/>
              <w:jc w:val="left"/>
              <w:rPr>
                <w:sz w:val="18"/>
              </w:rPr>
            </w:pPr>
            <w:r>
              <w:rPr>
                <w:rFonts w:ascii="Times New Roman" w:eastAsia="Times New Roman"/>
                <w:sz w:val="18"/>
              </w:rPr>
              <w:t>+</w:t>
            </w:r>
            <w:r>
              <w:rPr>
                <w:sz w:val="18"/>
              </w:rPr>
              <w:t>过滤</w:t>
            </w:r>
            <w:r>
              <w:rPr>
                <w:rFonts w:ascii="Times New Roman" w:eastAsia="Times New Roman"/>
                <w:sz w:val="18"/>
              </w:rPr>
              <w:t>+</w:t>
            </w:r>
            <w:r>
              <w:rPr>
                <w:sz w:val="18"/>
              </w:rPr>
              <w:t>消毒，</w:t>
            </w:r>
          </w:p>
          <w:p>
            <w:pPr>
              <w:pStyle w:val="14"/>
              <w:spacing w:before="5" w:line="230" w:lineRule="atLeast"/>
              <w:ind w:left="108" w:right="24"/>
              <w:jc w:val="left"/>
              <w:rPr>
                <w:sz w:val="18"/>
              </w:rPr>
            </w:pPr>
            <w:r>
              <w:rPr>
                <w:sz w:val="18"/>
              </w:rPr>
              <w:t>部分回用，部分外排。</w:t>
            </w:r>
          </w:p>
        </w:tc>
        <w:tc>
          <w:tcPr>
            <w:tcW w:w="577" w:type="dxa"/>
          </w:tcPr>
          <w:p>
            <w:pPr>
              <w:pStyle w:val="14"/>
              <w:spacing w:before="3"/>
              <w:jc w:val="left"/>
              <w:rPr>
                <w:rFonts w:ascii="黑体"/>
                <w:sz w:val="14"/>
              </w:rPr>
            </w:pPr>
          </w:p>
          <w:p>
            <w:pPr>
              <w:pStyle w:val="14"/>
              <w:ind w:left="198"/>
              <w:jc w:val="left"/>
              <w:rPr>
                <w:rFonts w:ascii="Times New Roman"/>
                <w:sz w:val="18"/>
              </w:rPr>
            </w:pPr>
            <w:r>
              <w:rPr>
                <w:rFonts w:ascii="Times New Roman"/>
                <w:sz w:val="18"/>
              </w:rPr>
              <w:t>90</w:t>
            </w:r>
          </w:p>
        </w:tc>
        <w:tc>
          <w:tcPr>
            <w:tcW w:w="353" w:type="dxa"/>
            <w:vMerge w:val="restart"/>
          </w:tcPr>
          <w:p>
            <w:pPr>
              <w:pStyle w:val="14"/>
              <w:jc w:val="left"/>
              <w:rPr>
                <w:rFonts w:ascii="黑体"/>
                <w:sz w:val="18"/>
              </w:rPr>
            </w:pPr>
          </w:p>
          <w:p>
            <w:pPr>
              <w:pStyle w:val="14"/>
              <w:jc w:val="left"/>
              <w:rPr>
                <w:rFonts w:ascii="黑体"/>
                <w:sz w:val="18"/>
              </w:rPr>
            </w:pPr>
          </w:p>
          <w:p>
            <w:pPr>
              <w:pStyle w:val="14"/>
              <w:jc w:val="left"/>
              <w:rPr>
                <w:rFonts w:ascii="黑体"/>
                <w:sz w:val="18"/>
              </w:rPr>
            </w:pPr>
          </w:p>
          <w:p>
            <w:pPr>
              <w:pStyle w:val="14"/>
              <w:jc w:val="left"/>
              <w:rPr>
                <w:rFonts w:ascii="黑体"/>
                <w:sz w:val="18"/>
              </w:rPr>
            </w:pPr>
          </w:p>
          <w:p>
            <w:pPr>
              <w:pStyle w:val="14"/>
              <w:jc w:val="left"/>
              <w:rPr>
                <w:rFonts w:ascii="黑体"/>
                <w:sz w:val="18"/>
              </w:rPr>
            </w:pPr>
          </w:p>
          <w:p>
            <w:pPr>
              <w:pStyle w:val="14"/>
              <w:jc w:val="left"/>
              <w:rPr>
                <w:rFonts w:ascii="黑体"/>
                <w:sz w:val="18"/>
              </w:rPr>
            </w:pPr>
          </w:p>
          <w:p>
            <w:pPr>
              <w:pStyle w:val="14"/>
              <w:spacing w:before="11"/>
              <w:jc w:val="left"/>
              <w:rPr>
                <w:rFonts w:ascii="黑体"/>
                <w:sz w:val="15"/>
              </w:rPr>
            </w:pPr>
          </w:p>
          <w:p>
            <w:pPr>
              <w:pStyle w:val="14"/>
              <w:spacing w:line="242" w:lineRule="auto"/>
              <w:ind w:left="108" w:right="52"/>
              <w:jc w:val="both"/>
              <w:rPr>
                <w:sz w:val="18"/>
              </w:rPr>
            </w:pPr>
            <w:r>
              <w:rPr>
                <w:sz w:val="18"/>
              </w:rPr>
              <w:t>类比法</w:t>
            </w:r>
          </w:p>
        </w:tc>
        <w:tc>
          <w:tcPr>
            <w:tcW w:w="793" w:type="dxa"/>
            <w:vMerge w:val="restart"/>
          </w:tcPr>
          <w:p>
            <w:pPr>
              <w:pStyle w:val="14"/>
              <w:jc w:val="left"/>
              <w:rPr>
                <w:rFonts w:ascii="黑体"/>
                <w:sz w:val="20"/>
              </w:rPr>
            </w:pPr>
          </w:p>
          <w:p>
            <w:pPr>
              <w:pStyle w:val="14"/>
              <w:spacing w:before="8"/>
              <w:jc w:val="left"/>
              <w:rPr>
                <w:rFonts w:ascii="黑体"/>
                <w:sz w:val="27"/>
              </w:rPr>
            </w:pPr>
          </w:p>
          <w:p>
            <w:pPr>
              <w:pStyle w:val="14"/>
              <w:spacing w:line="207" w:lineRule="exact"/>
              <w:ind w:left="118" w:right="108"/>
              <w:rPr>
                <w:rFonts w:ascii="Times New Roman"/>
                <w:sz w:val="18"/>
              </w:rPr>
            </w:pPr>
            <w:r>
              <w:rPr>
                <w:rFonts w:ascii="Times New Roman"/>
                <w:sz w:val="18"/>
              </w:rPr>
              <w:t>1427.2</w:t>
            </w:r>
          </w:p>
          <w:p>
            <w:pPr>
              <w:pStyle w:val="14"/>
              <w:spacing w:line="207" w:lineRule="exact"/>
              <w:ind w:left="8"/>
              <w:rPr>
                <w:rFonts w:ascii="Times New Roman"/>
                <w:sz w:val="18"/>
              </w:rPr>
            </w:pPr>
            <w:r>
              <w:rPr>
                <w:rFonts w:ascii="Times New Roman"/>
                <w:sz w:val="18"/>
              </w:rPr>
              <w:t>4</w:t>
            </w:r>
          </w:p>
        </w:tc>
        <w:tc>
          <w:tcPr>
            <w:tcW w:w="837" w:type="dxa"/>
          </w:tcPr>
          <w:p>
            <w:pPr>
              <w:pStyle w:val="14"/>
              <w:spacing w:before="3"/>
              <w:jc w:val="left"/>
              <w:rPr>
                <w:rFonts w:ascii="黑体"/>
                <w:sz w:val="14"/>
              </w:rPr>
            </w:pPr>
          </w:p>
          <w:p>
            <w:pPr>
              <w:pStyle w:val="14"/>
              <w:ind w:left="236" w:right="226"/>
              <w:rPr>
                <w:rFonts w:ascii="Times New Roman"/>
                <w:sz w:val="18"/>
              </w:rPr>
            </w:pPr>
            <w:r>
              <w:rPr>
                <w:rFonts w:ascii="Times New Roman"/>
                <w:sz w:val="18"/>
              </w:rPr>
              <w:t>15</w:t>
            </w:r>
          </w:p>
        </w:tc>
        <w:tc>
          <w:tcPr>
            <w:tcW w:w="779" w:type="dxa"/>
          </w:tcPr>
          <w:p>
            <w:pPr>
              <w:pStyle w:val="14"/>
              <w:spacing w:before="3"/>
              <w:jc w:val="left"/>
              <w:rPr>
                <w:rFonts w:ascii="黑体"/>
                <w:sz w:val="14"/>
              </w:rPr>
            </w:pPr>
          </w:p>
          <w:p>
            <w:pPr>
              <w:pStyle w:val="14"/>
              <w:ind w:left="99" w:right="88"/>
              <w:rPr>
                <w:rFonts w:ascii="Times New Roman"/>
                <w:sz w:val="18"/>
              </w:rPr>
            </w:pPr>
            <w:r>
              <w:rPr>
                <w:rFonts w:ascii="Times New Roman"/>
                <w:sz w:val="18"/>
              </w:rPr>
              <w:t>21.41</w:t>
            </w:r>
          </w:p>
        </w:tc>
        <w:tc>
          <w:tcPr>
            <w:tcW w:w="618" w:type="dxa"/>
            <w:vMerge w:val="restart"/>
          </w:tcPr>
          <w:p>
            <w:pPr>
              <w:pStyle w:val="14"/>
              <w:jc w:val="left"/>
              <w:rPr>
                <w:rFonts w:ascii="黑体"/>
                <w:sz w:val="20"/>
              </w:rPr>
            </w:pPr>
          </w:p>
          <w:p>
            <w:pPr>
              <w:pStyle w:val="14"/>
              <w:jc w:val="left"/>
              <w:rPr>
                <w:rFonts w:ascii="黑体"/>
                <w:sz w:val="20"/>
              </w:rPr>
            </w:pPr>
          </w:p>
          <w:p>
            <w:pPr>
              <w:pStyle w:val="14"/>
              <w:jc w:val="left"/>
              <w:rPr>
                <w:rFonts w:ascii="黑体"/>
                <w:sz w:val="20"/>
              </w:rPr>
            </w:pPr>
          </w:p>
          <w:p>
            <w:pPr>
              <w:pStyle w:val="14"/>
              <w:jc w:val="left"/>
              <w:rPr>
                <w:rFonts w:ascii="黑体"/>
                <w:sz w:val="20"/>
              </w:rPr>
            </w:pPr>
          </w:p>
          <w:p>
            <w:pPr>
              <w:pStyle w:val="14"/>
              <w:jc w:val="left"/>
              <w:rPr>
                <w:rFonts w:ascii="黑体"/>
                <w:sz w:val="20"/>
              </w:rPr>
            </w:pPr>
          </w:p>
          <w:p>
            <w:pPr>
              <w:pStyle w:val="14"/>
              <w:jc w:val="left"/>
              <w:rPr>
                <w:rFonts w:ascii="黑体"/>
                <w:sz w:val="20"/>
              </w:rPr>
            </w:pPr>
          </w:p>
          <w:p>
            <w:pPr>
              <w:pStyle w:val="14"/>
              <w:spacing w:before="12"/>
              <w:jc w:val="left"/>
              <w:rPr>
                <w:rFonts w:ascii="黑体"/>
                <w:sz w:val="22"/>
              </w:rPr>
            </w:pPr>
          </w:p>
          <w:p>
            <w:pPr>
              <w:pStyle w:val="14"/>
              <w:ind w:left="173"/>
              <w:jc w:val="left"/>
              <w:rPr>
                <w:rFonts w:ascii="Times New Roman"/>
                <w:sz w:val="18"/>
              </w:rPr>
            </w:pPr>
            <w:r>
              <w:rPr>
                <w:rFonts w:ascii="Times New Roman"/>
                <w:sz w:val="18"/>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390" w:type="dxa"/>
            <w:vMerge w:val="continue"/>
            <w:tcBorders>
              <w:top w:val="nil"/>
            </w:tcBorders>
          </w:tcPr>
          <w:p>
            <w:pPr>
              <w:rPr>
                <w:sz w:val="2"/>
                <w:szCs w:val="2"/>
              </w:rPr>
            </w:pPr>
          </w:p>
        </w:tc>
        <w:tc>
          <w:tcPr>
            <w:tcW w:w="717" w:type="dxa"/>
          </w:tcPr>
          <w:p>
            <w:pPr>
              <w:pStyle w:val="14"/>
              <w:spacing w:before="139"/>
              <w:ind w:left="118" w:right="108"/>
              <w:rPr>
                <w:rFonts w:ascii="Times New Roman"/>
                <w:sz w:val="18"/>
              </w:rPr>
            </w:pPr>
            <w:r>
              <w:rPr>
                <w:rFonts w:ascii="Times New Roman"/>
                <w:sz w:val="18"/>
              </w:rPr>
              <w:t>SS</w:t>
            </w: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139"/>
              <w:ind w:left="234" w:right="226"/>
              <w:rPr>
                <w:rFonts w:ascii="Times New Roman"/>
                <w:sz w:val="18"/>
              </w:rPr>
            </w:pPr>
            <w:r>
              <w:rPr>
                <w:rFonts w:ascii="Times New Roman"/>
                <w:sz w:val="18"/>
              </w:rPr>
              <w:t>400</w:t>
            </w:r>
          </w:p>
        </w:tc>
        <w:tc>
          <w:tcPr>
            <w:tcW w:w="779" w:type="dxa"/>
          </w:tcPr>
          <w:p>
            <w:pPr>
              <w:pStyle w:val="14"/>
              <w:spacing w:before="139"/>
              <w:ind w:right="173"/>
              <w:jc w:val="right"/>
              <w:rPr>
                <w:rFonts w:ascii="Times New Roman"/>
                <w:sz w:val="18"/>
              </w:rPr>
            </w:pPr>
            <w:r>
              <w:rPr>
                <w:rFonts w:ascii="Times New Roman"/>
                <w:sz w:val="18"/>
              </w:rPr>
              <w:t>729.6</w:t>
            </w:r>
          </w:p>
        </w:tc>
        <w:tc>
          <w:tcPr>
            <w:tcW w:w="1230" w:type="dxa"/>
            <w:vMerge w:val="continue"/>
            <w:tcBorders>
              <w:top w:val="nil"/>
            </w:tcBorders>
          </w:tcPr>
          <w:p>
            <w:pPr>
              <w:rPr>
                <w:sz w:val="2"/>
                <w:szCs w:val="2"/>
              </w:rPr>
            </w:pPr>
          </w:p>
        </w:tc>
        <w:tc>
          <w:tcPr>
            <w:tcW w:w="577" w:type="dxa"/>
          </w:tcPr>
          <w:p>
            <w:pPr>
              <w:pStyle w:val="14"/>
              <w:spacing w:before="139"/>
              <w:ind w:left="198"/>
              <w:jc w:val="left"/>
              <w:rPr>
                <w:rFonts w:ascii="Times New Roman"/>
                <w:sz w:val="18"/>
              </w:rPr>
            </w:pPr>
            <w:r>
              <w:rPr>
                <w:rFonts w:ascii="Times New Roman"/>
                <w:sz w:val="18"/>
              </w:rPr>
              <w:t>90</w:t>
            </w: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139"/>
              <w:ind w:left="233" w:right="226"/>
              <w:rPr>
                <w:rFonts w:ascii="Times New Roman"/>
                <w:sz w:val="18"/>
              </w:rPr>
            </w:pPr>
            <w:r>
              <w:rPr>
                <w:rFonts w:ascii="Times New Roman"/>
                <w:sz w:val="18"/>
              </w:rPr>
              <w:t>40</w:t>
            </w:r>
          </w:p>
        </w:tc>
        <w:tc>
          <w:tcPr>
            <w:tcW w:w="779" w:type="dxa"/>
          </w:tcPr>
          <w:p>
            <w:pPr>
              <w:pStyle w:val="14"/>
              <w:spacing w:before="139"/>
              <w:ind w:left="99" w:right="88"/>
              <w:rPr>
                <w:rFonts w:ascii="Times New Roman"/>
                <w:sz w:val="18"/>
              </w:rPr>
            </w:pPr>
            <w:r>
              <w:rPr>
                <w:rFonts w:ascii="Times New Roman"/>
                <w:sz w:val="18"/>
              </w:rPr>
              <w:t>57.09</w:t>
            </w:r>
          </w:p>
        </w:tc>
        <w:tc>
          <w:tcPr>
            <w:tcW w:w="61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390" w:type="dxa"/>
            <w:vMerge w:val="continue"/>
            <w:tcBorders>
              <w:top w:val="nil"/>
            </w:tcBorders>
          </w:tcPr>
          <w:p>
            <w:pPr>
              <w:rPr>
                <w:sz w:val="2"/>
                <w:szCs w:val="2"/>
              </w:rPr>
            </w:pPr>
          </w:p>
        </w:tc>
        <w:tc>
          <w:tcPr>
            <w:tcW w:w="717" w:type="dxa"/>
          </w:tcPr>
          <w:p>
            <w:pPr>
              <w:pStyle w:val="14"/>
              <w:spacing w:before="44" w:line="244" w:lineRule="auto"/>
              <w:ind w:left="267" w:right="168" w:hanging="92"/>
              <w:jc w:val="left"/>
              <w:rPr>
                <w:sz w:val="18"/>
              </w:rPr>
            </w:pPr>
            <w:r>
              <w:rPr>
                <w:sz w:val="18"/>
              </w:rPr>
              <w:t>石油类</w:t>
            </w: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173"/>
              <w:ind w:left="8"/>
              <w:rPr>
                <w:rFonts w:ascii="Times New Roman"/>
                <w:sz w:val="18"/>
              </w:rPr>
            </w:pPr>
            <w:r>
              <w:rPr>
                <w:rFonts w:ascii="Times New Roman"/>
                <w:sz w:val="18"/>
              </w:rPr>
              <w:t>2</w:t>
            </w:r>
          </w:p>
        </w:tc>
        <w:tc>
          <w:tcPr>
            <w:tcW w:w="779" w:type="dxa"/>
          </w:tcPr>
          <w:p>
            <w:pPr>
              <w:pStyle w:val="14"/>
              <w:spacing w:before="173"/>
              <w:ind w:right="173"/>
              <w:jc w:val="right"/>
              <w:rPr>
                <w:rFonts w:ascii="Times New Roman"/>
                <w:sz w:val="18"/>
              </w:rPr>
            </w:pPr>
            <w:r>
              <w:rPr>
                <w:rFonts w:ascii="Times New Roman"/>
                <w:sz w:val="18"/>
              </w:rPr>
              <w:t>3.648</w:t>
            </w:r>
          </w:p>
        </w:tc>
        <w:tc>
          <w:tcPr>
            <w:tcW w:w="1230" w:type="dxa"/>
            <w:vMerge w:val="continue"/>
            <w:tcBorders>
              <w:top w:val="nil"/>
            </w:tcBorders>
          </w:tcPr>
          <w:p>
            <w:pPr>
              <w:rPr>
                <w:sz w:val="2"/>
                <w:szCs w:val="2"/>
              </w:rPr>
            </w:pPr>
          </w:p>
        </w:tc>
        <w:tc>
          <w:tcPr>
            <w:tcW w:w="577" w:type="dxa"/>
          </w:tcPr>
          <w:p>
            <w:pPr>
              <w:pStyle w:val="14"/>
              <w:spacing w:before="173"/>
              <w:ind w:left="198"/>
              <w:jc w:val="left"/>
              <w:rPr>
                <w:rFonts w:ascii="Times New Roman"/>
                <w:sz w:val="18"/>
              </w:rPr>
            </w:pPr>
            <w:r>
              <w:rPr>
                <w:rFonts w:ascii="Times New Roman"/>
                <w:sz w:val="18"/>
              </w:rPr>
              <w:t>99</w:t>
            </w: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173"/>
              <w:ind w:left="236" w:right="226"/>
              <w:rPr>
                <w:rFonts w:ascii="Times New Roman"/>
                <w:sz w:val="18"/>
              </w:rPr>
            </w:pPr>
            <w:r>
              <w:rPr>
                <w:rFonts w:ascii="Times New Roman"/>
                <w:sz w:val="18"/>
              </w:rPr>
              <w:t>0.02</w:t>
            </w:r>
          </w:p>
        </w:tc>
        <w:tc>
          <w:tcPr>
            <w:tcW w:w="779" w:type="dxa"/>
          </w:tcPr>
          <w:p>
            <w:pPr>
              <w:pStyle w:val="14"/>
              <w:spacing w:before="173"/>
              <w:ind w:left="99" w:right="88"/>
              <w:rPr>
                <w:rFonts w:ascii="Times New Roman"/>
                <w:sz w:val="18"/>
              </w:rPr>
            </w:pPr>
            <w:r>
              <w:rPr>
                <w:rFonts w:ascii="Times New Roman"/>
                <w:sz w:val="18"/>
              </w:rPr>
              <w:t>0.03</w:t>
            </w:r>
          </w:p>
        </w:tc>
        <w:tc>
          <w:tcPr>
            <w:tcW w:w="61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390" w:type="dxa"/>
            <w:vMerge w:val="restart"/>
          </w:tcPr>
          <w:p>
            <w:pPr>
              <w:pStyle w:val="14"/>
              <w:jc w:val="left"/>
              <w:rPr>
                <w:rFonts w:ascii="黑体"/>
                <w:sz w:val="18"/>
              </w:rPr>
            </w:pPr>
          </w:p>
          <w:p>
            <w:pPr>
              <w:pStyle w:val="14"/>
              <w:jc w:val="left"/>
              <w:rPr>
                <w:rFonts w:ascii="黑体"/>
                <w:sz w:val="18"/>
              </w:rPr>
            </w:pPr>
          </w:p>
          <w:p>
            <w:pPr>
              <w:pStyle w:val="14"/>
              <w:spacing w:before="8"/>
              <w:jc w:val="left"/>
              <w:rPr>
                <w:rFonts w:ascii="黑体"/>
                <w:sz w:val="14"/>
              </w:rPr>
            </w:pPr>
          </w:p>
          <w:p>
            <w:pPr>
              <w:pStyle w:val="14"/>
              <w:spacing w:line="242" w:lineRule="auto"/>
              <w:ind w:left="108" w:right="89"/>
              <w:jc w:val="both"/>
              <w:rPr>
                <w:sz w:val="18"/>
              </w:rPr>
            </w:pPr>
            <w:r>
              <w:rPr>
                <w:sz w:val="18"/>
              </w:rPr>
              <w:t>生活污水</w:t>
            </w:r>
          </w:p>
        </w:tc>
        <w:tc>
          <w:tcPr>
            <w:tcW w:w="717" w:type="dxa"/>
          </w:tcPr>
          <w:p>
            <w:pPr>
              <w:pStyle w:val="14"/>
              <w:spacing w:before="128"/>
              <w:ind w:left="119" w:right="108"/>
              <w:rPr>
                <w:rFonts w:ascii="Times New Roman"/>
                <w:sz w:val="18"/>
              </w:rPr>
            </w:pPr>
            <w:r>
              <w:rPr>
                <w:rFonts w:ascii="Times New Roman"/>
                <w:sz w:val="18"/>
              </w:rPr>
              <w:t>COD</w:t>
            </w:r>
          </w:p>
        </w:tc>
        <w:tc>
          <w:tcPr>
            <w:tcW w:w="353" w:type="dxa"/>
            <w:vMerge w:val="continue"/>
            <w:tcBorders>
              <w:top w:val="nil"/>
            </w:tcBorders>
          </w:tcPr>
          <w:p>
            <w:pPr>
              <w:rPr>
                <w:sz w:val="2"/>
                <w:szCs w:val="2"/>
              </w:rPr>
            </w:pPr>
          </w:p>
        </w:tc>
        <w:tc>
          <w:tcPr>
            <w:tcW w:w="793" w:type="dxa"/>
            <w:vMerge w:val="restart"/>
          </w:tcPr>
          <w:p>
            <w:pPr>
              <w:pStyle w:val="14"/>
              <w:jc w:val="left"/>
              <w:rPr>
                <w:rFonts w:ascii="黑体"/>
                <w:sz w:val="20"/>
              </w:rPr>
            </w:pPr>
          </w:p>
          <w:p>
            <w:pPr>
              <w:pStyle w:val="14"/>
              <w:jc w:val="left"/>
              <w:rPr>
                <w:rFonts w:ascii="黑体"/>
                <w:sz w:val="20"/>
              </w:rPr>
            </w:pPr>
          </w:p>
          <w:p>
            <w:pPr>
              <w:pStyle w:val="14"/>
              <w:jc w:val="left"/>
              <w:rPr>
                <w:rFonts w:ascii="黑体"/>
                <w:sz w:val="20"/>
              </w:rPr>
            </w:pPr>
          </w:p>
          <w:p>
            <w:pPr>
              <w:pStyle w:val="14"/>
              <w:spacing w:before="11"/>
              <w:jc w:val="left"/>
              <w:rPr>
                <w:rFonts w:ascii="黑体"/>
                <w:sz w:val="18"/>
              </w:rPr>
            </w:pPr>
          </w:p>
          <w:p>
            <w:pPr>
              <w:pStyle w:val="14"/>
              <w:ind w:left="193"/>
              <w:jc w:val="left"/>
              <w:rPr>
                <w:rFonts w:ascii="Times New Roman"/>
                <w:sz w:val="18"/>
              </w:rPr>
            </w:pPr>
            <w:r>
              <w:rPr>
                <w:rFonts w:ascii="Times New Roman"/>
                <w:sz w:val="18"/>
              </w:rPr>
              <w:t>86.92</w:t>
            </w:r>
          </w:p>
        </w:tc>
        <w:tc>
          <w:tcPr>
            <w:tcW w:w="837" w:type="dxa"/>
          </w:tcPr>
          <w:p>
            <w:pPr>
              <w:pStyle w:val="14"/>
              <w:spacing w:before="128"/>
              <w:ind w:left="232" w:right="226"/>
              <w:rPr>
                <w:rFonts w:ascii="Times New Roman"/>
                <w:sz w:val="18"/>
              </w:rPr>
            </w:pPr>
            <w:r>
              <w:rPr>
                <w:rFonts w:ascii="Times New Roman"/>
                <w:sz w:val="18"/>
              </w:rPr>
              <w:t>300</w:t>
            </w:r>
          </w:p>
        </w:tc>
        <w:tc>
          <w:tcPr>
            <w:tcW w:w="779" w:type="dxa"/>
          </w:tcPr>
          <w:p>
            <w:pPr>
              <w:pStyle w:val="14"/>
              <w:spacing w:before="128"/>
              <w:ind w:right="173"/>
              <w:jc w:val="right"/>
              <w:rPr>
                <w:rFonts w:ascii="Times New Roman"/>
                <w:sz w:val="18"/>
              </w:rPr>
            </w:pPr>
            <w:r>
              <w:rPr>
                <w:rFonts w:ascii="Times New Roman"/>
                <w:sz w:val="18"/>
              </w:rPr>
              <w:t>26.08</w:t>
            </w:r>
          </w:p>
        </w:tc>
        <w:tc>
          <w:tcPr>
            <w:tcW w:w="1230" w:type="dxa"/>
            <w:vMerge w:val="restart"/>
          </w:tcPr>
          <w:p>
            <w:pPr>
              <w:pStyle w:val="14"/>
              <w:spacing w:before="3"/>
              <w:jc w:val="left"/>
              <w:rPr>
                <w:rFonts w:ascii="黑体"/>
                <w:sz w:val="23"/>
              </w:rPr>
            </w:pPr>
          </w:p>
          <w:p>
            <w:pPr>
              <w:pStyle w:val="14"/>
              <w:spacing w:line="242" w:lineRule="auto"/>
              <w:ind w:left="108" w:right="94"/>
              <w:jc w:val="both"/>
              <w:rPr>
                <w:sz w:val="18"/>
              </w:rPr>
            </w:pPr>
            <w:r>
              <w:rPr>
                <w:sz w:val="18"/>
              </w:rPr>
              <w:t>处 理 规 模</w:t>
            </w:r>
            <w:r>
              <w:rPr>
                <w:rFonts w:ascii="Times New Roman" w:eastAsia="Times New Roman"/>
                <w:sz w:val="18"/>
              </w:rPr>
              <w:t>360m</w:t>
            </w:r>
            <w:r>
              <w:rPr>
                <w:rFonts w:ascii="Times New Roman" w:eastAsia="Times New Roman"/>
                <w:position w:val="6"/>
                <w:sz w:val="11"/>
              </w:rPr>
              <w:t>3</w:t>
            </w:r>
            <w:r>
              <w:rPr>
                <w:rFonts w:ascii="Times New Roman" w:eastAsia="Times New Roman"/>
                <w:sz w:val="18"/>
              </w:rPr>
              <w:t>/d</w:t>
            </w:r>
            <w:r>
              <w:rPr>
                <w:rFonts w:ascii="Times New Roman" w:eastAsia="Times New Roman"/>
                <w:spacing w:val="-23"/>
                <w:sz w:val="18"/>
              </w:rPr>
              <w:t xml:space="preserve"> </w:t>
            </w:r>
            <w:r>
              <w:rPr>
                <w:spacing w:val="-27"/>
                <w:sz w:val="18"/>
              </w:rPr>
              <w:t>， 经</w:t>
            </w:r>
            <w:r>
              <w:rPr>
                <w:spacing w:val="19"/>
                <w:sz w:val="18"/>
              </w:rPr>
              <w:t>二级生物处</w:t>
            </w:r>
            <w:r>
              <w:rPr>
                <w:spacing w:val="-15"/>
                <w:sz w:val="18"/>
              </w:rPr>
              <w:t>理后，回用于生产、工业场</w:t>
            </w:r>
            <w:r>
              <w:rPr>
                <w:spacing w:val="19"/>
                <w:sz w:val="18"/>
              </w:rPr>
              <w:t>地绿化洒水</w:t>
            </w:r>
            <w:r>
              <w:rPr>
                <w:sz w:val="18"/>
              </w:rPr>
              <w:t>用水</w:t>
            </w:r>
          </w:p>
        </w:tc>
        <w:tc>
          <w:tcPr>
            <w:tcW w:w="577" w:type="dxa"/>
          </w:tcPr>
          <w:p>
            <w:pPr>
              <w:pStyle w:val="14"/>
              <w:spacing w:before="128"/>
              <w:ind w:left="198"/>
              <w:jc w:val="left"/>
              <w:rPr>
                <w:rFonts w:ascii="Times New Roman"/>
                <w:sz w:val="18"/>
              </w:rPr>
            </w:pPr>
            <w:r>
              <w:rPr>
                <w:rFonts w:ascii="Times New Roman"/>
                <w:sz w:val="18"/>
              </w:rPr>
              <w:t>90</w:t>
            </w:r>
          </w:p>
        </w:tc>
        <w:tc>
          <w:tcPr>
            <w:tcW w:w="353" w:type="dxa"/>
            <w:vMerge w:val="continue"/>
            <w:tcBorders>
              <w:top w:val="nil"/>
            </w:tcBorders>
          </w:tcPr>
          <w:p>
            <w:pPr>
              <w:rPr>
                <w:sz w:val="2"/>
                <w:szCs w:val="2"/>
              </w:rPr>
            </w:pPr>
          </w:p>
        </w:tc>
        <w:tc>
          <w:tcPr>
            <w:tcW w:w="793" w:type="dxa"/>
            <w:vMerge w:val="restart"/>
          </w:tcPr>
          <w:p>
            <w:pPr>
              <w:pStyle w:val="14"/>
              <w:jc w:val="left"/>
              <w:rPr>
                <w:rFonts w:ascii="黑体"/>
                <w:sz w:val="20"/>
              </w:rPr>
            </w:pPr>
          </w:p>
          <w:p>
            <w:pPr>
              <w:pStyle w:val="14"/>
              <w:jc w:val="left"/>
              <w:rPr>
                <w:rFonts w:ascii="黑体"/>
                <w:sz w:val="20"/>
              </w:rPr>
            </w:pPr>
          </w:p>
          <w:p>
            <w:pPr>
              <w:pStyle w:val="14"/>
              <w:jc w:val="left"/>
              <w:rPr>
                <w:rFonts w:ascii="黑体"/>
                <w:sz w:val="20"/>
              </w:rPr>
            </w:pPr>
          </w:p>
          <w:p>
            <w:pPr>
              <w:pStyle w:val="14"/>
              <w:spacing w:before="11"/>
              <w:jc w:val="left"/>
              <w:rPr>
                <w:rFonts w:ascii="黑体"/>
                <w:sz w:val="18"/>
              </w:rPr>
            </w:pPr>
          </w:p>
          <w:p>
            <w:pPr>
              <w:pStyle w:val="14"/>
              <w:ind w:left="6"/>
              <w:rPr>
                <w:rFonts w:ascii="Times New Roman"/>
                <w:sz w:val="18"/>
              </w:rPr>
            </w:pPr>
            <w:r>
              <w:rPr>
                <w:rFonts w:ascii="Times New Roman"/>
                <w:sz w:val="18"/>
              </w:rPr>
              <w:t>/</w:t>
            </w:r>
          </w:p>
        </w:tc>
        <w:tc>
          <w:tcPr>
            <w:tcW w:w="837" w:type="dxa"/>
          </w:tcPr>
          <w:p>
            <w:pPr>
              <w:pStyle w:val="14"/>
              <w:spacing w:before="128"/>
              <w:ind w:left="236" w:right="226"/>
              <w:rPr>
                <w:rFonts w:ascii="Times New Roman"/>
                <w:sz w:val="18"/>
              </w:rPr>
            </w:pPr>
            <w:r>
              <w:rPr>
                <w:rFonts w:ascii="Times New Roman"/>
                <w:sz w:val="18"/>
              </w:rPr>
              <w:t>30</w:t>
            </w:r>
          </w:p>
        </w:tc>
        <w:tc>
          <w:tcPr>
            <w:tcW w:w="779" w:type="dxa"/>
          </w:tcPr>
          <w:p>
            <w:pPr>
              <w:pStyle w:val="14"/>
              <w:spacing w:before="128"/>
              <w:ind w:left="6"/>
              <w:rPr>
                <w:rFonts w:ascii="Times New Roman"/>
                <w:sz w:val="18"/>
              </w:rPr>
            </w:pPr>
            <w:r>
              <w:rPr>
                <w:rFonts w:ascii="Times New Roman"/>
                <w:sz w:val="18"/>
              </w:rPr>
              <w:t>0</w:t>
            </w:r>
          </w:p>
        </w:tc>
        <w:tc>
          <w:tcPr>
            <w:tcW w:w="61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390" w:type="dxa"/>
            <w:vMerge w:val="continue"/>
            <w:tcBorders>
              <w:top w:val="nil"/>
            </w:tcBorders>
          </w:tcPr>
          <w:p>
            <w:pPr>
              <w:rPr>
                <w:sz w:val="2"/>
                <w:szCs w:val="2"/>
              </w:rPr>
            </w:pPr>
          </w:p>
        </w:tc>
        <w:tc>
          <w:tcPr>
            <w:tcW w:w="717" w:type="dxa"/>
          </w:tcPr>
          <w:p>
            <w:pPr>
              <w:pStyle w:val="14"/>
              <w:spacing w:before="117"/>
              <w:ind w:left="119" w:right="108"/>
              <w:rPr>
                <w:rFonts w:ascii="Times New Roman"/>
                <w:sz w:val="18"/>
              </w:rPr>
            </w:pPr>
            <w:r>
              <w:rPr>
                <w:rFonts w:ascii="Times New Roman"/>
                <w:position w:val="1"/>
                <w:sz w:val="18"/>
              </w:rPr>
              <w:t>BOD</w:t>
            </w:r>
            <w:r>
              <w:rPr>
                <w:rFonts w:ascii="Times New Roman"/>
                <w:position w:val="1"/>
                <w:sz w:val="18"/>
                <w:vertAlign w:val="subscript"/>
              </w:rPr>
              <w:t>5</w:t>
            </w: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115"/>
              <w:ind w:left="232" w:right="226"/>
              <w:rPr>
                <w:rFonts w:ascii="Times New Roman"/>
                <w:sz w:val="18"/>
              </w:rPr>
            </w:pPr>
            <w:r>
              <w:rPr>
                <w:rFonts w:ascii="Times New Roman"/>
                <w:sz w:val="18"/>
              </w:rPr>
              <w:t>200</w:t>
            </w:r>
          </w:p>
        </w:tc>
        <w:tc>
          <w:tcPr>
            <w:tcW w:w="779" w:type="dxa"/>
          </w:tcPr>
          <w:p>
            <w:pPr>
              <w:pStyle w:val="14"/>
              <w:spacing w:before="115"/>
              <w:ind w:right="173"/>
              <w:jc w:val="right"/>
              <w:rPr>
                <w:rFonts w:ascii="Times New Roman"/>
                <w:sz w:val="18"/>
              </w:rPr>
            </w:pPr>
            <w:r>
              <w:rPr>
                <w:rFonts w:ascii="Times New Roman"/>
                <w:sz w:val="18"/>
              </w:rPr>
              <w:t>17.38</w:t>
            </w:r>
          </w:p>
        </w:tc>
        <w:tc>
          <w:tcPr>
            <w:tcW w:w="1230" w:type="dxa"/>
            <w:vMerge w:val="continue"/>
            <w:tcBorders>
              <w:top w:val="nil"/>
            </w:tcBorders>
          </w:tcPr>
          <w:p>
            <w:pPr>
              <w:rPr>
                <w:sz w:val="2"/>
                <w:szCs w:val="2"/>
              </w:rPr>
            </w:pPr>
          </w:p>
        </w:tc>
        <w:tc>
          <w:tcPr>
            <w:tcW w:w="577" w:type="dxa"/>
          </w:tcPr>
          <w:p>
            <w:pPr>
              <w:pStyle w:val="14"/>
              <w:spacing w:before="115"/>
              <w:ind w:left="198"/>
              <w:jc w:val="left"/>
              <w:rPr>
                <w:rFonts w:ascii="Times New Roman"/>
                <w:sz w:val="18"/>
              </w:rPr>
            </w:pPr>
            <w:r>
              <w:rPr>
                <w:rFonts w:ascii="Times New Roman"/>
                <w:sz w:val="18"/>
              </w:rPr>
              <w:t>95</w:t>
            </w: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115"/>
              <w:ind w:left="236" w:right="226"/>
              <w:rPr>
                <w:rFonts w:ascii="Times New Roman"/>
                <w:sz w:val="18"/>
              </w:rPr>
            </w:pPr>
            <w:r>
              <w:rPr>
                <w:rFonts w:ascii="Times New Roman"/>
                <w:sz w:val="18"/>
              </w:rPr>
              <w:t>10</w:t>
            </w:r>
          </w:p>
        </w:tc>
        <w:tc>
          <w:tcPr>
            <w:tcW w:w="779" w:type="dxa"/>
          </w:tcPr>
          <w:p>
            <w:pPr>
              <w:pStyle w:val="14"/>
              <w:spacing w:before="115"/>
              <w:ind w:left="6"/>
              <w:rPr>
                <w:rFonts w:ascii="Times New Roman"/>
                <w:sz w:val="18"/>
              </w:rPr>
            </w:pPr>
            <w:r>
              <w:rPr>
                <w:rFonts w:ascii="Times New Roman"/>
                <w:sz w:val="18"/>
              </w:rPr>
              <w:t>0</w:t>
            </w:r>
          </w:p>
        </w:tc>
        <w:tc>
          <w:tcPr>
            <w:tcW w:w="61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390" w:type="dxa"/>
            <w:vMerge w:val="continue"/>
            <w:tcBorders>
              <w:top w:val="nil"/>
            </w:tcBorders>
          </w:tcPr>
          <w:p>
            <w:pPr>
              <w:rPr>
                <w:sz w:val="2"/>
                <w:szCs w:val="2"/>
              </w:rPr>
            </w:pPr>
          </w:p>
        </w:tc>
        <w:tc>
          <w:tcPr>
            <w:tcW w:w="717" w:type="dxa"/>
          </w:tcPr>
          <w:p>
            <w:pPr>
              <w:pStyle w:val="14"/>
              <w:spacing w:before="108"/>
              <w:ind w:left="118" w:right="108"/>
              <w:rPr>
                <w:rFonts w:ascii="Times New Roman"/>
                <w:sz w:val="18"/>
              </w:rPr>
            </w:pPr>
            <w:r>
              <w:rPr>
                <w:rFonts w:ascii="Times New Roman"/>
                <w:sz w:val="18"/>
              </w:rPr>
              <w:t>SS</w:t>
            </w: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108"/>
              <w:ind w:left="232" w:right="226"/>
              <w:rPr>
                <w:rFonts w:ascii="Times New Roman"/>
                <w:sz w:val="18"/>
              </w:rPr>
            </w:pPr>
            <w:r>
              <w:rPr>
                <w:rFonts w:ascii="Times New Roman"/>
                <w:sz w:val="18"/>
              </w:rPr>
              <w:t>200</w:t>
            </w:r>
          </w:p>
        </w:tc>
        <w:tc>
          <w:tcPr>
            <w:tcW w:w="779" w:type="dxa"/>
          </w:tcPr>
          <w:p>
            <w:pPr>
              <w:pStyle w:val="14"/>
              <w:spacing w:before="108"/>
              <w:ind w:right="173"/>
              <w:jc w:val="right"/>
              <w:rPr>
                <w:rFonts w:ascii="Times New Roman"/>
                <w:sz w:val="18"/>
              </w:rPr>
            </w:pPr>
            <w:r>
              <w:rPr>
                <w:rFonts w:ascii="Times New Roman"/>
                <w:sz w:val="18"/>
              </w:rPr>
              <w:t>17.38</w:t>
            </w:r>
          </w:p>
        </w:tc>
        <w:tc>
          <w:tcPr>
            <w:tcW w:w="1230" w:type="dxa"/>
            <w:vMerge w:val="continue"/>
            <w:tcBorders>
              <w:top w:val="nil"/>
            </w:tcBorders>
          </w:tcPr>
          <w:p>
            <w:pPr>
              <w:rPr>
                <w:sz w:val="2"/>
                <w:szCs w:val="2"/>
              </w:rPr>
            </w:pPr>
          </w:p>
        </w:tc>
        <w:tc>
          <w:tcPr>
            <w:tcW w:w="577" w:type="dxa"/>
          </w:tcPr>
          <w:p>
            <w:pPr>
              <w:pStyle w:val="14"/>
              <w:spacing w:before="108"/>
              <w:ind w:left="198"/>
              <w:jc w:val="left"/>
              <w:rPr>
                <w:rFonts w:ascii="Times New Roman"/>
                <w:sz w:val="18"/>
              </w:rPr>
            </w:pPr>
            <w:r>
              <w:rPr>
                <w:rFonts w:ascii="Times New Roman"/>
                <w:sz w:val="18"/>
              </w:rPr>
              <w:t>95</w:t>
            </w: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108"/>
              <w:ind w:left="236" w:right="226"/>
              <w:rPr>
                <w:rFonts w:ascii="Times New Roman"/>
                <w:sz w:val="18"/>
              </w:rPr>
            </w:pPr>
            <w:r>
              <w:rPr>
                <w:rFonts w:ascii="Times New Roman"/>
                <w:sz w:val="18"/>
              </w:rPr>
              <w:t>10</w:t>
            </w:r>
          </w:p>
        </w:tc>
        <w:tc>
          <w:tcPr>
            <w:tcW w:w="779" w:type="dxa"/>
          </w:tcPr>
          <w:p>
            <w:pPr>
              <w:pStyle w:val="14"/>
              <w:spacing w:before="108"/>
              <w:ind w:left="6"/>
              <w:rPr>
                <w:rFonts w:ascii="Times New Roman"/>
                <w:sz w:val="18"/>
              </w:rPr>
            </w:pPr>
            <w:r>
              <w:rPr>
                <w:rFonts w:ascii="Times New Roman"/>
                <w:sz w:val="18"/>
              </w:rPr>
              <w:t>0</w:t>
            </w:r>
          </w:p>
        </w:tc>
        <w:tc>
          <w:tcPr>
            <w:tcW w:w="61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390" w:type="dxa"/>
            <w:vMerge w:val="continue"/>
            <w:tcBorders>
              <w:top w:val="nil"/>
            </w:tcBorders>
          </w:tcPr>
          <w:p>
            <w:pPr>
              <w:rPr>
                <w:sz w:val="2"/>
                <w:szCs w:val="2"/>
              </w:rPr>
            </w:pPr>
          </w:p>
        </w:tc>
        <w:tc>
          <w:tcPr>
            <w:tcW w:w="717" w:type="dxa"/>
          </w:tcPr>
          <w:p>
            <w:pPr>
              <w:pStyle w:val="14"/>
              <w:spacing w:before="80"/>
              <w:ind w:left="114" w:right="108"/>
              <w:rPr>
                <w:sz w:val="18"/>
              </w:rPr>
            </w:pPr>
            <w:r>
              <w:rPr>
                <w:sz w:val="18"/>
              </w:rPr>
              <w:t>氨氮</w:t>
            </w: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92"/>
              <w:ind w:left="234" w:right="226"/>
              <w:rPr>
                <w:rFonts w:ascii="Times New Roman"/>
                <w:sz w:val="18"/>
              </w:rPr>
            </w:pPr>
            <w:r>
              <w:rPr>
                <w:rFonts w:ascii="Times New Roman"/>
                <w:sz w:val="18"/>
              </w:rPr>
              <w:t>25</w:t>
            </w:r>
          </w:p>
        </w:tc>
        <w:tc>
          <w:tcPr>
            <w:tcW w:w="779" w:type="dxa"/>
          </w:tcPr>
          <w:p>
            <w:pPr>
              <w:pStyle w:val="14"/>
              <w:spacing w:before="92"/>
              <w:ind w:right="173"/>
              <w:jc w:val="right"/>
              <w:rPr>
                <w:rFonts w:ascii="Times New Roman"/>
                <w:sz w:val="18"/>
              </w:rPr>
            </w:pPr>
            <w:r>
              <w:rPr>
                <w:rFonts w:ascii="Times New Roman"/>
                <w:sz w:val="18"/>
              </w:rPr>
              <w:t>2.173</w:t>
            </w:r>
          </w:p>
        </w:tc>
        <w:tc>
          <w:tcPr>
            <w:tcW w:w="1230" w:type="dxa"/>
            <w:vMerge w:val="continue"/>
            <w:tcBorders>
              <w:top w:val="nil"/>
            </w:tcBorders>
          </w:tcPr>
          <w:p>
            <w:pPr>
              <w:rPr>
                <w:sz w:val="2"/>
                <w:szCs w:val="2"/>
              </w:rPr>
            </w:pPr>
          </w:p>
        </w:tc>
        <w:tc>
          <w:tcPr>
            <w:tcW w:w="577" w:type="dxa"/>
          </w:tcPr>
          <w:p>
            <w:pPr>
              <w:pStyle w:val="14"/>
              <w:spacing w:before="92"/>
              <w:ind w:left="198"/>
              <w:jc w:val="left"/>
              <w:rPr>
                <w:rFonts w:ascii="Times New Roman"/>
                <w:sz w:val="18"/>
              </w:rPr>
            </w:pPr>
            <w:r>
              <w:rPr>
                <w:rFonts w:ascii="Times New Roman"/>
                <w:sz w:val="18"/>
              </w:rPr>
              <w:t>75</w:t>
            </w: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92"/>
              <w:ind w:left="10"/>
              <w:rPr>
                <w:rFonts w:ascii="Times New Roman"/>
                <w:sz w:val="18"/>
              </w:rPr>
            </w:pPr>
            <w:r>
              <w:rPr>
                <w:rFonts w:ascii="Times New Roman"/>
                <w:sz w:val="18"/>
              </w:rPr>
              <w:t>5</w:t>
            </w:r>
          </w:p>
        </w:tc>
        <w:tc>
          <w:tcPr>
            <w:tcW w:w="779" w:type="dxa"/>
          </w:tcPr>
          <w:p>
            <w:pPr>
              <w:pStyle w:val="14"/>
              <w:spacing w:before="92"/>
              <w:ind w:left="6"/>
              <w:rPr>
                <w:rFonts w:ascii="Times New Roman"/>
                <w:sz w:val="18"/>
              </w:rPr>
            </w:pPr>
            <w:r>
              <w:rPr>
                <w:rFonts w:ascii="Times New Roman"/>
                <w:sz w:val="18"/>
              </w:rPr>
              <w:t>0</w:t>
            </w:r>
          </w:p>
        </w:tc>
        <w:tc>
          <w:tcPr>
            <w:tcW w:w="61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90" w:type="dxa"/>
            <w:vMerge w:val="continue"/>
            <w:tcBorders>
              <w:top w:val="nil"/>
            </w:tcBorders>
          </w:tcPr>
          <w:p>
            <w:pPr>
              <w:rPr>
                <w:sz w:val="2"/>
                <w:szCs w:val="2"/>
              </w:rPr>
            </w:pPr>
          </w:p>
        </w:tc>
        <w:tc>
          <w:tcPr>
            <w:tcW w:w="717" w:type="dxa"/>
          </w:tcPr>
          <w:p>
            <w:pPr>
              <w:pStyle w:val="14"/>
              <w:spacing w:before="1"/>
              <w:ind w:left="114" w:right="108"/>
              <w:rPr>
                <w:sz w:val="18"/>
              </w:rPr>
            </w:pPr>
            <w:r>
              <w:rPr>
                <w:sz w:val="18"/>
              </w:rPr>
              <w:t>石油</w:t>
            </w:r>
          </w:p>
          <w:p>
            <w:pPr>
              <w:pStyle w:val="14"/>
              <w:spacing w:before="2" w:line="213" w:lineRule="exact"/>
              <w:ind w:left="8"/>
              <w:rPr>
                <w:sz w:val="18"/>
              </w:rPr>
            </w:pPr>
            <w:r>
              <w:rPr>
                <w:sz w:val="18"/>
              </w:rPr>
              <w:t>类</w:t>
            </w: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128"/>
              <w:ind w:left="234" w:right="226"/>
              <w:rPr>
                <w:rFonts w:ascii="Times New Roman"/>
                <w:sz w:val="18"/>
              </w:rPr>
            </w:pPr>
            <w:r>
              <w:rPr>
                <w:rFonts w:ascii="Times New Roman"/>
                <w:sz w:val="18"/>
              </w:rPr>
              <w:t>25</w:t>
            </w:r>
          </w:p>
        </w:tc>
        <w:tc>
          <w:tcPr>
            <w:tcW w:w="779" w:type="dxa"/>
          </w:tcPr>
          <w:p>
            <w:pPr>
              <w:pStyle w:val="14"/>
              <w:spacing w:before="128"/>
              <w:ind w:right="173"/>
              <w:jc w:val="right"/>
              <w:rPr>
                <w:rFonts w:ascii="Times New Roman"/>
                <w:sz w:val="18"/>
              </w:rPr>
            </w:pPr>
            <w:r>
              <w:rPr>
                <w:rFonts w:ascii="Times New Roman"/>
                <w:sz w:val="18"/>
              </w:rPr>
              <w:t>2.173</w:t>
            </w:r>
          </w:p>
        </w:tc>
        <w:tc>
          <w:tcPr>
            <w:tcW w:w="1230" w:type="dxa"/>
            <w:vMerge w:val="continue"/>
            <w:tcBorders>
              <w:top w:val="nil"/>
            </w:tcBorders>
          </w:tcPr>
          <w:p>
            <w:pPr>
              <w:rPr>
                <w:sz w:val="2"/>
                <w:szCs w:val="2"/>
              </w:rPr>
            </w:pPr>
          </w:p>
        </w:tc>
        <w:tc>
          <w:tcPr>
            <w:tcW w:w="577" w:type="dxa"/>
          </w:tcPr>
          <w:p>
            <w:pPr>
              <w:pStyle w:val="14"/>
              <w:spacing w:before="128"/>
              <w:ind w:left="198"/>
              <w:jc w:val="left"/>
              <w:rPr>
                <w:rFonts w:ascii="Times New Roman"/>
                <w:sz w:val="18"/>
              </w:rPr>
            </w:pPr>
            <w:r>
              <w:rPr>
                <w:rFonts w:ascii="Times New Roman"/>
                <w:sz w:val="18"/>
              </w:rPr>
              <w:t>80</w:t>
            </w:r>
          </w:p>
        </w:tc>
        <w:tc>
          <w:tcPr>
            <w:tcW w:w="353" w:type="dxa"/>
            <w:vMerge w:val="continue"/>
            <w:tcBorders>
              <w:top w:val="nil"/>
            </w:tcBorders>
          </w:tcPr>
          <w:p>
            <w:pPr>
              <w:rPr>
                <w:sz w:val="2"/>
                <w:szCs w:val="2"/>
              </w:rPr>
            </w:pPr>
          </w:p>
        </w:tc>
        <w:tc>
          <w:tcPr>
            <w:tcW w:w="793" w:type="dxa"/>
            <w:vMerge w:val="continue"/>
            <w:tcBorders>
              <w:top w:val="nil"/>
            </w:tcBorders>
          </w:tcPr>
          <w:p>
            <w:pPr>
              <w:rPr>
                <w:sz w:val="2"/>
                <w:szCs w:val="2"/>
              </w:rPr>
            </w:pPr>
          </w:p>
        </w:tc>
        <w:tc>
          <w:tcPr>
            <w:tcW w:w="837" w:type="dxa"/>
          </w:tcPr>
          <w:p>
            <w:pPr>
              <w:pStyle w:val="14"/>
              <w:spacing w:before="128"/>
              <w:ind w:left="10"/>
              <w:rPr>
                <w:rFonts w:ascii="Times New Roman"/>
                <w:sz w:val="18"/>
              </w:rPr>
            </w:pPr>
            <w:r>
              <w:rPr>
                <w:rFonts w:ascii="Times New Roman"/>
                <w:sz w:val="18"/>
              </w:rPr>
              <w:t>5</w:t>
            </w:r>
          </w:p>
        </w:tc>
        <w:tc>
          <w:tcPr>
            <w:tcW w:w="779" w:type="dxa"/>
          </w:tcPr>
          <w:p>
            <w:pPr>
              <w:pStyle w:val="14"/>
              <w:spacing w:before="128"/>
              <w:ind w:left="6"/>
              <w:rPr>
                <w:rFonts w:ascii="Times New Roman"/>
                <w:sz w:val="18"/>
              </w:rPr>
            </w:pPr>
            <w:r>
              <w:rPr>
                <w:rFonts w:ascii="Times New Roman"/>
                <w:sz w:val="18"/>
              </w:rPr>
              <w:t>0</w:t>
            </w:r>
          </w:p>
        </w:tc>
        <w:tc>
          <w:tcPr>
            <w:tcW w:w="618" w:type="dxa"/>
            <w:vMerge w:val="continue"/>
            <w:tcBorders>
              <w:top w:val="nil"/>
            </w:tcBorders>
          </w:tcPr>
          <w:p>
            <w:pPr>
              <w:rPr>
                <w:sz w:val="2"/>
                <w:szCs w:val="2"/>
              </w:rPr>
            </w:pPr>
          </w:p>
        </w:tc>
      </w:tr>
    </w:tbl>
    <w:p>
      <w:pPr>
        <w:pStyle w:val="6"/>
        <w:spacing w:before="4"/>
        <w:rPr>
          <w:rFonts w:ascii="黑体"/>
          <w:sz w:val="13"/>
        </w:rPr>
      </w:pPr>
    </w:p>
    <w:p>
      <w:pPr>
        <w:pStyle w:val="6"/>
        <w:spacing w:before="67" w:line="364" w:lineRule="auto"/>
        <w:ind w:left="511" w:right="407" w:firstLine="480"/>
      </w:pPr>
      <w:r>
        <w:t>通过以上对本工程水污染源排放情况的分析，确定本评价水环境评价因子为</w:t>
      </w:r>
      <w:r>
        <w:rPr>
          <w:spacing w:val="-14"/>
        </w:rPr>
        <w:t>氨氮、</w:t>
      </w:r>
      <w:r>
        <w:rPr>
          <w:rFonts w:ascii="Times New Roman" w:eastAsia="Times New Roman"/>
          <w:spacing w:val="-11"/>
        </w:rPr>
        <w:t>COD</w:t>
      </w:r>
      <w:r>
        <w:rPr>
          <w:spacing w:val="-11"/>
        </w:rPr>
        <w:t>，污染物排放浓度满足《煤炭工业污染物排放标准》</w:t>
      </w:r>
      <w:r>
        <w:t>（</w:t>
      </w:r>
      <w:r>
        <w:rPr>
          <w:rFonts w:ascii="Times New Roman" w:eastAsia="Times New Roman"/>
        </w:rPr>
        <w:t>GB20426-2006</w:t>
      </w:r>
      <w:r>
        <w:t xml:space="preserve">） </w:t>
      </w:r>
      <w:r>
        <w:rPr>
          <w:spacing w:val="-30"/>
        </w:rPr>
        <w:t xml:space="preserve">表 </w:t>
      </w:r>
      <w:r>
        <w:rPr>
          <w:rFonts w:ascii="Times New Roman" w:eastAsia="Times New Roman"/>
        </w:rPr>
        <w:t>1</w:t>
      </w:r>
      <w:r>
        <w:t>、</w:t>
      </w:r>
      <w:r>
        <w:rPr>
          <w:rFonts w:ascii="Times New Roman" w:eastAsia="Times New Roman"/>
        </w:rPr>
        <w:t xml:space="preserve">2 </w:t>
      </w:r>
      <w:r>
        <w:t>标准限值要求。</w:t>
      </w:r>
    </w:p>
    <w:p>
      <w:pPr>
        <w:pStyle w:val="13"/>
        <w:numPr>
          <w:ilvl w:val="0"/>
          <w:numId w:val="32"/>
        </w:numPr>
        <w:tabs>
          <w:tab w:val="left" w:pos="1593"/>
        </w:tabs>
        <w:spacing w:before="157" w:after="0" w:line="240" w:lineRule="auto"/>
        <w:ind w:left="1593" w:right="0" w:hanging="602"/>
        <w:jc w:val="left"/>
        <w:rPr>
          <w:sz w:val="24"/>
        </w:rPr>
      </w:pPr>
      <w:r>
        <w:rPr>
          <w:sz w:val="24"/>
        </w:rPr>
        <w:t>固体废物的源强分析</w:t>
      </w:r>
    </w:p>
    <w:p>
      <w:pPr>
        <w:pStyle w:val="6"/>
        <w:spacing w:before="9"/>
      </w:pPr>
    </w:p>
    <w:p>
      <w:pPr>
        <w:pStyle w:val="6"/>
        <w:spacing w:line="364" w:lineRule="auto"/>
        <w:ind w:left="511" w:right="533" w:firstLine="480"/>
      </w:pPr>
      <w:r>
        <w:t xml:space="preserve">本项目生产运营期主要固体废物为矸石、灰渣、生活垃圾、污泥、废润滑油和废机油。固体废物的最终产排量详见表 </w:t>
      </w:r>
      <w:r>
        <w:rPr>
          <w:rFonts w:ascii="Times New Roman" w:eastAsia="Times New Roman"/>
        </w:rPr>
        <w:t>3.4-7</w:t>
      </w:r>
      <w:r>
        <w:t>。</w:t>
      </w:r>
    </w:p>
    <w:p>
      <w:pPr>
        <w:pStyle w:val="6"/>
        <w:tabs>
          <w:tab w:val="left" w:pos="1039"/>
        </w:tabs>
        <w:spacing w:before="98" w:after="35"/>
        <w:ind w:right="17"/>
        <w:jc w:val="center"/>
        <w:rPr>
          <w:rFonts w:hint="eastAsia" w:ascii="黑体" w:eastAsia="黑体"/>
        </w:rPr>
      </w:pPr>
      <w:r>
        <w:rPr>
          <w:rFonts w:hint="eastAsia" w:ascii="黑体" w:eastAsia="黑体"/>
        </w:rPr>
        <w:t>表</w:t>
      </w:r>
      <w:r>
        <w:rPr>
          <w:rFonts w:hint="eastAsia" w:ascii="黑体" w:eastAsia="黑体"/>
          <w:spacing w:val="-61"/>
        </w:rPr>
        <w:t xml:space="preserve"> </w:t>
      </w:r>
      <w:r>
        <w:rPr>
          <w:rFonts w:ascii="Times New Roman" w:eastAsia="Times New Roman"/>
        </w:rPr>
        <w:t>3.4-7</w:t>
      </w:r>
      <w:r>
        <w:rPr>
          <w:rFonts w:ascii="Times New Roman" w:eastAsia="Times New Roman"/>
        </w:rPr>
        <w:tab/>
      </w:r>
      <w:r>
        <w:rPr>
          <w:rFonts w:hint="eastAsia" w:ascii="黑体" w:eastAsia="黑体"/>
        </w:rPr>
        <w:t>本项目固体废物污染源源强核算结果</w:t>
      </w:r>
    </w:p>
    <w:tbl>
      <w:tblPr>
        <w:tblStyle w:val="10"/>
        <w:tblW w:w="0" w:type="auto"/>
        <w:tblInd w:w="3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22"/>
        <w:gridCol w:w="1532"/>
        <w:gridCol w:w="1255"/>
        <w:gridCol w:w="1311"/>
        <w:gridCol w:w="26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922" w:type="dxa"/>
          </w:tcPr>
          <w:p>
            <w:pPr>
              <w:pStyle w:val="14"/>
              <w:spacing w:before="1" w:line="251" w:lineRule="exact"/>
              <w:ind w:left="108"/>
              <w:jc w:val="left"/>
              <w:rPr>
                <w:sz w:val="21"/>
              </w:rPr>
            </w:pPr>
            <w:r>
              <w:rPr>
                <w:sz w:val="21"/>
              </w:rPr>
              <w:t>装置</w:t>
            </w:r>
            <w:r>
              <w:rPr>
                <w:rFonts w:ascii="Times New Roman" w:eastAsia="Times New Roman"/>
                <w:sz w:val="21"/>
              </w:rPr>
              <w:t>/</w:t>
            </w:r>
            <w:r>
              <w:rPr>
                <w:sz w:val="21"/>
              </w:rPr>
              <w:t>生产环节</w:t>
            </w:r>
          </w:p>
        </w:tc>
        <w:tc>
          <w:tcPr>
            <w:tcW w:w="1532" w:type="dxa"/>
          </w:tcPr>
          <w:p>
            <w:pPr>
              <w:pStyle w:val="14"/>
              <w:spacing w:before="1" w:line="251" w:lineRule="exact"/>
              <w:ind w:left="108"/>
              <w:jc w:val="left"/>
              <w:rPr>
                <w:sz w:val="21"/>
              </w:rPr>
            </w:pPr>
            <w:r>
              <w:rPr>
                <w:sz w:val="21"/>
              </w:rPr>
              <w:t>固体废物名称</w:t>
            </w:r>
          </w:p>
        </w:tc>
        <w:tc>
          <w:tcPr>
            <w:tcW w:w="1255" w:type="dxa"/>
          </w:tcPr>
          <w:p>
            <w:pPr>
              <w:pStyle w:val="14"/>
              <w:spacing w:before="1" w:line="251" w:lineRule="exact"/>
              <w:ind w:left="107"/>
              <w:jc w:val="left"/>
              <w:rPr>
                <w:sz w:val="21"/>
              </w:rPr>
            </w:pPr>
            <w:r>
              <w:rPr>
                <w:sz w:val="21"/>
              </w:rPr>
              <w:t>固废属性</w:t>
            </w:r>
          </w:p>
        </w:tc>
        <w:tc>
          <w:tcPr>
            <w:tcW w:w="1311" w:type="dxa"/>
          </w:tcPr>
          <w:p>
            <w:pPr>
              <w:pStyle w:val="14"/>
              <w:spacing w:before="1" w:line="251" w:lineRule="exact"/>
              <w:ind w:left="108" w:right="-15"/>
              <w:jc w:val="left"/>
              <w:rPr>
                <w:sz w:val="21"/>
              </w:rPr>
            </w:pPr>
            <w:r>
              <w:rPr>
                <w:spacing w:val="-20"/>
                <w:sz w:val="21"/>
              </w:rPr>
              <w:t>产生量</w:t>
            </w:r>
            <w:r>
              <w:rPr>
                <w:sz w:val="21"/>
              </w:rPr>
              <w:t>（</w:t>
            </w:r>
            <w:r>
              <w:rPr>
                <w:rFonts w:ascii="Times New Roman" w:eastAsia="Times New Roman"/>
                <w:sz w:val="21"/>
              </w:rPr>
              <w:t>t/a</w:t>
            </w:r>
            <w:r>
              <w:rPr>
                <w:sz w:val="21"/>
              </w:rPr>
              <w:t>）</w:t>
            </w:r>
          </w:p>
        </w:tc>
        <w:tc>
          <w:tcPr>
            <w:tcW w:w="2699" w:type="dxa"/>
          </w:tcPr>
          <w:p>
            <w:pPr>
              <w:pStyle w:val="14"/>
              <w:spacing w:before="1" w:line="251" w:lineRule="exact"/>
              <w:ind w:left="107"/>
              <w:jc w:val="left"/>
              <w:rPr>
                <w:sz w:val="21"/>
              </w:rPr>
            </w:pPr>
            <w:r>
              <w:rPr>
                <w:sz w:val="21"/>
              </w:rPr>
              <w:t>最终去向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1922" w:type="dxa"/>
          </w:tcPr>
          <w:p>
            <w:pPr>
              <w:pStyle w:val="14"/>
              <w:spacing w:before="4"/>
              <w:jc w:val="left"/>
              <w:rPr>
                <w:rFonts w:ascii="黑体"/>
                <w:sz w:val="21"/>
              </w:rPr>
            </w:pPr>
          </w:p>
          <w:p>
            <w:pPr>
              <w:pStyle w:val="14"/>
              <w:ind w:left="108"/>
              <w:jc w:val="left"/>
              <w:rPr>
                <w:sz w:val="21"/>
              </w:rPr>
            </w:pPr>
            <w:r>
              <w:rPr>
                <w:sz w:val="21"/>
              </w:rPr>
              <w:t>煤炭开采</w:t>
            </w:r>
          </w:p>
        </w:tc>
        <w:tc>
          <w:tcPr>
            <w:tcW w:w="1532" w:type="dxa"/>
          </w:tcPr>
          <w:p>
            <w:pPr>
              <w:pStyle w:val="14"/>
              <w:spacing w:before="4"/>
              <w:jc w:val="left"/>
              <w:rPr>
                <w:rFonts w:ascii="黑体"/>
                <w:sz w:val="21"/>
              </w:rPr>
            </w:pPr>
          </w:p>
          <w:p>
            <w:pPr>
              <w:pStyle w:val="14"/>
              <w:ind w:left="108"/>
              <w:jc w:val="left"/>
              <w:rPr>
                <w:sz w:val="21"/>
              </w:rPr>
            </w:pPr>
            <w:r>
              <w:rPr>
                <w:sz w:val="21"/>
              </w:rPr>
              <w:t>矸石</w:t>
            </w:r>
          </w:p>
        </w:tc>
        <w:tc>
          <w:tcPr>
            <w:tcW w:w="1255" w:type="dxa"/>
            <w:vMerge w:val="restart"/>
          </w:tcPr>
          <w:p>
            <w:pPr>
              <w:pStyle w:val="14"/>
              <w:jc w:val="left"/>
              <w:rPr>
                <w:rFonts w:ascii="黑体"/>
                <w:sz w:val="20"/>
              </w:rPr>
            </w:pPr>
          </w:p>
          <w:p>
            <w:pPr>
              <w:pStyle w:val="14"/>
              <w:jc w:val="left"/>
              <w:rPr>
                <w:rFonts w:ascii="黑体"/>
                <w:sz w:val="20"/>
              </w:rPr>
            </w:pPr>
          </w:p>
          <w:p>
            <w:pPr>
              <w:pStyle w:val="14"/>
              <w:spacing w:before="4"/>
              <w:jc w:val="left"/>
              <w:rPr>
                <w:rFonts w:ascii="黑体"/>
                <w:sz w:val="14"/>
              </w:rPr>
            </w:pPr>
          </w:p>
          <w:p>
            <w:pPr>
              <w:pStyle w:val="14"/>
              <w:spacing w:line="242" w:lineRule="auto"/>
              <w:ind w:left="107" w:right="297"/>
              <w:jc w:val="left"/>
              <w:rPr>
                <w:sz w:val="21"/>
              </w:rPr>
            </w:pPr>
            <w:r>
              <w:rPr>
                <w:sz w:val="21"/>
              </w:rPr>
              <w:t>一般固体废物</w:t>
            </w:r>
          </w:p>
        </w:tc>
        <w:tc>
          <w:tcPr>
            <w:tcW w:w="1311" w:type="dxa"/>
          </w:tcPr>
          <w:p>
            <w:pPr>
              <w:pStyle w:val="14"/>
              <w:spacing w:before="5"/>
              <w:jc w:val="left"/>
              <w:rPr>
                <w:rFonts w:ascii="黑体"/>
                <w:sz w:val="22"/>
              </w:rPr>
            </w:pPr>
          </w:p>
          <w:p>
            <w:pPr>
              <w:pStyle w:val="14"/>
              <w:ind w:left="108"/>
              <w:jc w:val="left"/>
              <w:rPr>
                <w:rFonts w:ascii="Times New Roman"/>
                <w:sz w:val="21"/>
              </w:rPr>
            </w:pPr>
            <w:r>
              <w:rPr>
                <w:rFonts w:ascii="Times New Roman"/>
                <w:sz w:val="21"/>
              </w:rPr>
              <w:t>30000</w:t>
            </w:r>
          </w:p>
        </w:tc>
        <w:tc>
          <w:tcPr>
            <w:tcW w:w="2699" w:type="dxa"/>
          </w:tcPr>
          <w:p>
            <w:pPr>
              <w:pStyle w:val="14"/>
              <w:ind w:left="107"/>
              <w:jc w:val="left"/>
              <w:rPr>
                <w:sz w:val="21"/>
              </w:rPr>
            </w:pPr>
            <w:r>
              <w:rPr>
                <w:sz w:val="21"/>
              </w:rPr>
              <w:t>用来平整工业场地；用作公</w:t>
            </w:r>
          </w:p>
          <w:p>
            <w:pPr>
              <w:pStyle w:val="14"/>
              <w:spacing w:before="3" w:line="270" w:lineRule="atLeast"/>
              <w:ind w:left="107" w:right="39"/>
              <w:jc w:val="left"/>
              <w:rPr>
                <w:sz w:val="21"/>
              </w:rPr>
            </w:pPr>
            <w:r>
              <w:rPr>
                <w:sz w:val="21"/>
              </w:rPr>
              <w:t>路的路基石料；用于填沟造地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922" w:type="dxa"/>
          </w:tcPr>
          <w:p>
            <w:pPr>
              <w:pStyle w:val="14"/>
              <w:spacing w:before="1" w:line="252" w:lineRule="exact"/>
              <w:ind w:left="108"/>
              <w:jc w:val="left"/>
              <w:rPr>
                <w:sz w:val="21"/>
              </w:rPr>
            </w:pPr>
            <w:r>
              <w:rPr>
                <w:sz w:val="21"/>
              </w:rPr>
              <w:t>热风炉和热水锅炉</w:t>
            </w:r>
          </w:p>
        </w:tc>
        <w:tc>
          <w:tcPr>
            <w:tcW w:w="1532" w:type="dxa"/>
          </w:tcPr>
          <w:p>
            <w:pPr>
              <w:pStyle w:val="14"/>
              <w:spacing w:before="1" w:line="252" w:lineRule="exact"/>
              <w:ind w:left="108"/>
              <w:jc w:val="left"/>
              <w:rPr>
                <w:sz w:val="21"/>
              </w:rPr>
            </w:pPr>
            <w:r>
              <w:rPr>
                <w:sz w:val="21"/>
              </w:rPr>
              <w:t>灰渣</w:t>
            </w:r>
          </w:p>
        </w:tc>
        <w:tc>
          <w:tcPr>
            <w:tcW w:w="1255" w:type="dxa"/>
            <w:vMerge w:val="continue"/>
            <w:tcBorders>
              <w:top w:val="nil"/>
            </w:tcBorders>
          </w:tcPr>
          <w:p>
            <w:pPr>
              <w:rPr>
                <w:sz w:val="2"/>
                <w:szCs w:val="2"/>
              </w:rPr>
            </w:pPr>
          </w:p>
        </w:tc>
        <w:tc>
          <w:tcPr>
            <w:tcW w:w="1311" w:type="dxa"/>
          </w:tcPr>
          <w:p>
            <w:pPr>
              <w:pStyle w:val="14"/>
              <w:spacing w:before="15" w:line="238" w:lineRule="exact"/>
              <w:ind w:left="108"/>
              <w:jc w:val="left"/>
              <w:rPr>
                <w:rFonts w:ascii="Times New Roman"/>
                <w:sz w:val="21"/>
              </w:rPr>
            </w:pPr>
            <w:r>
              <w:rPr>
                <w:rFonts w:ascii="Times New Roman"/>
                <w:sz w:val="21"/>
              </w:rPr>
              <w:t>585</w:t>
            </w:r>
          </w:p>
        </w:tc>
        <w:tc>
          <w:tcPr>
            <w:tcW w:w="2699" w:type="dxa"/>
          </w:tcPr>
          <w:p>
            <w:pPr>
              <w:pStyle w:val="14"/>
              <w:spacing w:before="1" w:line="252" w:lineRule="exact"/>
              <w:ind w:left="107"/>
              <w:jc w:val="left"/>
              <w:rPr>
                <w:sz w:val="21"/>
              </w:rPr>
            </w:pPr>
            <w:r>
              <w:rPr>
                <w:sz w:val="21"/>
              </w:rPr>
              <w:t>外售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922" w:type="dxa"/>
          </w:tcPr>
          <w:p>
            <w:pPr>
              <w:pStyle w:val="14"/>
              <w:spacing w:before="1" w:line="251" w:lineRule="exact"/>
              <w:ind w:left="108"/>
              <w:jc w:val="left"/>
              <w:rPr>
                <w:sz w:val="21"/>
              </w:rPr>
            </w:pPr>
            <w:r>
              <w:rPr>
                <w:sz w:val="21"/>
              </w:rPr>
              <w:t>工作人员</w:t>
            </w:r>
          </w:p>
        </w:tc>
        <w:tc>
          <w:tcPr>
            <w:tcW w:w="1532" w:type="dxa"/>
          </w:tcPr>
          <w:p>
            <w:pPr>
              <w:pStyle w:val="14"/>
              <w:spacing w:before="1" w:line="251" w:lineRule="exact"/>
              <w:ind w:left="108"/>
              <w:jc w:val="left"/>
              <w:rPr>
                <w:sz w:val="21"/>
              </w:rPr>
            </w:pPr>
            <w:r>
              <w:rPr>
                <w:sz w:val="21"/>
              </w:rPr>
              <w:t>生活垃圾</w:t>
            </w:r>
          </w:p>
        </w:tc>
        <w:tc>
          <w:tcPr>
            <w:tcW w:w="1255" w:type="dxa"/>
            <w:vMerge w:val="continue"/>
            <w:tcBorders>
              <w:top w:val="nil"/>
            </w:tcBorders>
          </w:tcPr>
          <w:p>
            <w:pPr>
              <w:rPr>
                <w:sz w:val="2"/>
                <w:szCs w:val="2"/>
              </w:rPr>
            </w:pPr>
          </w:p>
        </w:tc>
        <w:tc>
          <w:tcPr>
            <w:tcW w:w="1311" w:type="dxa"/>
          </w:tcPr>
          <w:p>
            <w:pPr>
              <w:pStyle w:val="14"/>
              <w:spacing w:before="15" w:line="237" w:lineRule="exact"/>
              <w:ind w:left="108"/>
              <w:jc w:val="left"/>
              <w:rPr>
                <w:rFonts w:ascii="Times New Roman"/>
                <w:sz w:val="21"/>
              </w:rPr>
            </w:pPr>
            <w:r>
              <w:rPr>
                <w:rFonts w:ascii="Times New Roman"/>
                <w:sz w:val="21"/>
              </w:rPr>
              <w:t>110</w:t>
            </w:r>
          </w:p>
        </w:tc>
        <w:tc>
          <w:tcPr>
            <w:tcW w:w="2699" w:type="dxa"/>
          </w:tcPr>
          <w:p>
            <w:pPr>
              <w:pStyle w:val="14"/>
              <w:spacing w:before="1" w:line="251" w:lineRule="exact"/>
              <w:ind w:left="107"/>
              <w:jc w:val="left"/>
              <w:rPr>
                <w:sz w:val="21"/>
              </w:rPr>
            </w:pPr>
            <w:r>
              <w:rPr>
                <w:sz w:val="21"/>
              </w:rPr>
              <w:t>委托环卫部门统一清运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922" w:type="dxa"/>
          </w:tcPr>
          <w:p>
            <w:pPr>
              <w:pStyle w:val="14"/>
              <w:ind w:left="108"/>
              <w:jc w:val="left"/>
              <w:rPr>
                <w:sz w:val="21"/>
              </w:rPr>
            </w:pPr>
            <w:r>
              <w:rPr>
                <w:sz w:val="21"/>
              </w:rPr>
              <w:t>矿井水处理站和</w:t>
            </w:r>
          </w:p>
          <w:p>
            <w:pPr>
              <w:pStyle w:val="14"/>
              <w:spacing w:before="4" w:line="251" w:lineRule="exact"/>
              <w:ind w:left="108"/>
              <w:jc w:val="left"/>
              <w:rPr>
                <w:sz w:val="21"/>
              </w:rPr>
            </w:pPr>
            <w:r>
              <w:rPr>
                <w:sz w:val="21"/>
              </w:rPr>
              <w:t>生活污水处理设施</w:t>
            </w:r>
          </w:p>
        </w:tc>
        <w:tc>
          <w:tcPr>
            <w:tcW w:w="1532" w:type="dxa"/>
          </w:tcPr>
          <w:p>
            <w:pPr>
              <w:pStyle w:val="14"/>
              <w:spacing w:before="136"/>
              <w:ind w:left="108"/>
              <w:jc w:val="left"/>
              <w:rPr>
                <w:sz w:val="21"/>
              </w:rPr>
            </w:pPr>
            <w:r>
              <w:rPr>
                <w:sz w:val="21"/>
              </w:rPr>
              <w:t>污泥</w:t>
            </w:r>
          </w:p>
        </w:tc>
        <w:tc>
          <w:tcPr>
            <w:tcW w:w="1255" w:type="dxa"/>
            <w:vMerge w:val="continue"/>
            <w:tcBorders>
              <w:top w:val="nil"/>
            </w:tcBorders>
          </w:tcPr>
          <w:p>
            <w:pPr>
              <w:rPr>
                <w:sz w:val="2"/>
                <w:szCs w:val="2"/>
              </w:rPr>
            </w:pPr>
          </w:p>
        </w:tc>
        <w:tc>
          <w:tcPr>
            <w:tcW w:w="1311" w:type="dxa"/>
          </w:tcPr>
          <w:p>
            <w:pPr>
              <w:pStyle w:val="14"/>
              <w:spacing w:before="150"/>
              <w:ind w:left="108"/>
              <w:jc w:val="left"/>
              <w:rPr>
                <w:rFonts w:ascii="Times New Roman"/>
                <w:sz w:val="21"/>
              </w:rPr>
            </w:pPr>
            <w:r>
              <w:rPr>
                <w:rFonts w:ascii="Times New Roman"/>
                <w:sz w:val="21"/>
              </w:rPr>
              <w:t>1600</w:t>
            </w:r>
          </w:p>
        </w:tc>
        <w:tc>
          <w:tcPr>
            <w:tcW w:w="2699" w:type="dxa"/>
          </w:tcPr>
          <w:p>
            <w:pPr>
              <w:pStyle w:val="14"/>
              <w:ind w:left="107"/>
              <w:jc w:val="left"/>
              <w:rPr>
                <w:sz w:val="21"/>
              </w:rPr>
            </w:pPr>
            <w:r>
              <w:rPr>
                <w:sz w:val="21"/>
              </w:rPr>
              <w:t>脱水后委托环卫部门统一</w:t>
            </w:r>
          </w:p>
          <w:p>
            <w:pPr>
              <w:pStyle w:val="14"/>
              <w:spacing w:before="4" w:line="251" w:lineRule="exact"/>
              <w:ind w:left="107"/>
              <w:jc w:val="left"/>
              <w:rPr>
                <w:sz w:val="21"/>
              </w:rPr>
            </w:pPr>
            <w:r>
              <w:rPr>
                <w:sz w:val="21"/>
              </w:rPr>
              <w:t>清运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1922" w:type="dxa"/>
          </w:tcPr>
          <w:p>
            <w:pPr>
              <w:pStyle w:val="14"/>
              <w:spacing w:before="3"/>
              <w:jc w:val="left"/>
              <w:rPr>
                <w:rFonts w:ascii="黑体"/>
                <w:sz w:val="21"/>
              </w:rPr>
            </w:pPr>
          </w:p>
          <w:p>
            <w:pPr>
              <w:pStyle w:val="14"/>
              <w:spacing w:before="1"/>
              <w:ind w:left="108"/>
              <w:jc w:val="left"/>
              <w:rPr>
                <w:sz w:val="21"/>
              </w:rPr>
            </w:pPr>
            <w:r>
              <w:rPr>
                <w:sz w:val="21"/>
              </w:rPr>
              <w:t>设备维修</w:t>
            </w:r>
          </w:p>
        </w:tc>
        <w:tc>
          <w:tcPr>
            <w:tcW w:w="1532" w:type="dxa"/>
          </w:tcPr>
          <w:p>
            <w:pPr>
              <w:pStyle w:val="14"/>
              <w:spacing w:before="3"/>
              <w:jc w:val="left"/>
              <w:rPr>
                <w:rFonts w:ascii="黑体"/>
                <w:sz w:val="21"/>
              </w:rPr>
            </w:pPr>
          </w:p>
          <w:p>
            <w:pPr>
              <w:pStyle w:val="14"/>
              <w:spacing w:before="1"/>
              <w:ind w:left="108"/>
              <w:jc w:val="left"/>
              <w:rPr>
                <w:sz w:val="21"/>
              </w:rPr>
            </w:pPr>
            <w:r>
              <w:rPr>
                <w:sz w:val="21"/>
              </w:rPr>
              <w:t>废机油</w:t>
            </w:r>
          </w:p>
        </w:tc>
        <w:tc>
          <w:tcPr>
            <w:tcW w:w="1255" w:type="dxa"/>
          </w:tcPr>
          <w:p>
            <w:pPr>
              <w:pStyle w:val="14"/>
              <w:spacing w:before="3"/>
              <w:jc w:val="left"/>
              <w:rPr>
                <w:rFonts w:ascii="黑体"/>
                <w:sz w:val="21"/>
              </w:rPr>
            </w:pPr>
          </w:p>
          <w:p>
            <w:pPr>
              <w:pStyle w:val="14"/>
              <w:spacing w:before="1"/>
              <w:ind w:left="107"/>
              <w:jc w:val="left"/>
              <w:rPr>
                <w:sz w:val="21"/>
              </w:rPr>
            </w:pPr>
            <w:r>
              <w:rPr>
                <w:sz w:val="21"/>
              </w:rPr>
              <w:t>危险废物</w:t>
            </w:r>
          </w:p>
        </w:tc>
        <w:tc>
          <w:tcPr>
            <w:tcW w:w="1311" w:type="dxa"/>
          </w:tcPr>
          <w:p>
            <w:pPr>
              <w:pStyle w:val="14"/>
              <w:spacing w:before="5"/>
              <w:jc w:val="left"/>
              <w:rPr>
                <w:rFonts w:ascii="黑体"/>
                <w:sz w:val="22"/>
              </w:rPr>
            </w:pPr>
          </w:p>
          <w:p>
            <w:pPr>
              <w:pStyle w:val="14"/>
              <w:ind w:left="108"/>
              <w:jc w:val="left"/>
              <w:rPr>
                <w:rFonts w:ascii="Times New Roman"/>
                <w:sz w:val="21"/>
              </w:rPr>
            </w:pPr>
            <w:r>
              <w:rPr>
                <w:rFonts w:ascii="Times New Roman"/>
                <w:sz w:val="21"/>
              </w:rPr>
              <w:t>0.02</w:t>
            </w:r>
          </w:p>
        </w:tc>
        <w:tc>
          <w:tcPr>
            <w:tcW w:w="2699" w:type="dxa"/>
          </w:tcPr>
          <w:p>
            <w:pPr>
              <w:pStyle w:val="14"/>
              <w:spacing w:line="268" w:lineRule="exact"/>
              <w:ind w:left="107"/>
              <w:jc w:val="left"/>
              <w:rPr>
                <w:sz w:val="21"/>
              </w:rPr>
            </w:pPr>
            <w:r>
              <w:rPr>
                <w:sz w:val="21"/>
              </w:rPr>
              <w:t>在危险废物暂存间内暂存，</w:t>
            </w:r>
          </w:p>
          <w:p>
            <w:pPr>
              <w:pStyle w:val="14"/>
              <w:spacing w:before="3" w:line="270" w:lineRule="atLeast"/>
              <w:ind w:left="107" w:right="270"/>
              <w:jc w:val="left"/>
              <w:rPr>
                <w:sz w:val="21"/>
              </w:rPr>
            </w:pPr>
            <w:r>
              <w:rPr>
                <w:sz w:val="21"/>
              </w:rPr>
              <w:t>定期委托有资质单位收集或处置</w:t>
            </w:r>
          </w:p>
        </w:tc>
      </w:tr>
    </w:tbl>
    <w:p>
      <w:pPr>
        <w:pStyle w:val="6"/>
        <w:tabs>
          <w:tab w:val="left" w:pos="1039"/>
        </w:tabs>
        <w:spacing w:before="1" w:after="3"/>
        <w:ind w:right="17"/>
        <w:jc w:val="center"/>
        <w:rPr>
          <w:rFonts w:hint="eastAsia" w:ascii="黑体" w:eastAsia="黑体"/>
        </w:rPr>
      </w:pPr>
      <w:r>
        <w:rPr>
          <w:rFonts w:hint="eastAsia" w:ascii="黑体" w:eastAsia="黑体"/>
        </w:rPr>
        <w:t>表</w:t>
      </w:r>
      <w:r>
        <w:rPr>
          <w:rFonts w:hint="eastAsia" w:ascii="黑体" w:eastAsia="黑体"/>
          <w:spacing w:val="-61"/>
        </w:rPr>
        <w:t xml:space="preserve"> </w:t>
      </w:r>
      <w:r>
        <w:rPr>
          <w:rFonts w:ascii="Times New Roman" w:eastAsia="Times New Roman"/>
        </w:rPr>
        <w:t>3.4-8</w:t>
      </w:r>
      <w:r>
        <w:rPr>
          <w:rFonts w:ascii="Times New Roman" w:eastAsia="Times New Roman"/>
        </w:rPr>
        <w:tab/>
      </w:r>
      <w:r>
        <w:rPr>
          <w:rFonts w:hint="eastAsia" w:ascii="黑体" w:eastAsia="黑体"/>
        </w:rPr>
        <w:t>本项目危险废物汇总表</w:t>
      </w:r>
    </w:p>
    <w:tbl>
      <w:tblPr>
        <w:tblStyle w:val="10"/>
        <w:tblW w:w="0" w:type="auto"/>
        <w:tblInd w:w="1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4"/>
        <w:gridCol w:w="1357"/>
        <w:gridCol w:w="912"/>
        <w:gridCol w:w="1067"/>
        <w:gridCol w:w="879"/>
        <w:gridCol w:w="1445"/>
        <w:gridCol w:w="439"/>
        <w:gridCol w:w="729"/>
        <w:gridCol w:w="19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444" w:type="dxa"/>
          </w:tcPr>
          <w:p>
            <w:pPr>
              <w:pStyle w:val="14"/>
              <w:spacing w:before="1"/>
              <w:ind w:left="106"/>
              <w:jc w:val="left"/>
              <w:rPr>
                <w:sz w:val="21"/>
              </w:rPr>
            </w:pPr>
            <w:r>
              <w:rPr>
                <w:w w:val="99"/>
                <w:sz w:val="21"/>
              </w:rPr>
              <w:t>序</w:t>
            </w:r>
          </w:p>
          <w:p>
            <w:pPr>
              <w:pStyle w:val="14"/>
              <w:spacing w:before="2" w:line="253" w:lineRule="exact"/>
              <w:ind w:left="106"/>
              <w:jc w:val="left"/>
              <w:rPr>
                <w:sz w:val="21"/>
              </w:rPr>
            </w:pPr>
            <w:r>
              <w:rPr>
                <w:w w:val="99"/>
                <w:sz w:val="21"/>
              </w:rPr>
              <w:t>号</w:t>
            </w:r>
          </w:p>
        </w:tc>
        <w:tc>
          <w:tcPr>
            <w:tcW w:w="1357" w:type="dxa"/>
          </w:tcPr>
          <w:p>
            <w:pPr>
              <w:pStyle w:val="14"/>
              <w:spacing w:before="1"/>
              <w:ind w:left="106"/>
              <w:jc w:val="left"/>
              <w:rPr>
                <w:sz w:val="21"/>
              </w:rPr>
            </w:pPr>
            <w:r>
              <w:rPr>
                <w:sz w:val="21"/>
              </w:rPr>
              <w:t>危险废物</w:t>
            </w:r>
          </w:p>
          <w:p>
            <w:pPr>
              <w:pStyle w:val="14"/>
              <w:spacing w:before="2" w:line="253" w:lineRule="exact"/>
              <w:ind w:left="106"/>
              <w:jc w:val="left"/>
              <w:rPr>
                <w:sz w:val="21"/>
              </w:rPr>
            </w:pPr>
            <w:r>
              <w:rPr>
                <w:sz w:val="21"/>
              </w:rPr>
              <w:t>名称</w:t>
            </w:r>
          </w:p>
        </w:tc>
        <w:tc>
          <w:tcPr>
            <w:tcW w:w="912" w:type="dxa"/>
          </w:tcPr>
          <w:p>
            <w:pPr>
              <w:pStyle w:val="14"/>
              <w:spacing w:before="1"/>
              <w:ind w:left="107"/>
              <w:jc w:val="left"/>
              <w:rPr>
                <w:sz w:val="21"/>
              </w:rPr>
            </w:pPr>
            <w:r>
              <w:rPr>
                <w:w w:val="95"/>
                <w:sz w:val="21"/>
              </w:rPr>
              <w:t>危险废</w:t>
            </w:r>
          </w:p>
          <w:p>
            <w:pPr>
              <w:pStyle w:val="14"/>
              <w:spacing w:before="2" w:line="253" w:lineRule="exact"/>
              <w:ind w:left="107"/>
              <w:jc w:val="left"/>
              <w:rPr>
                <w:sz w:val="21"/>
              </w:rPr>
            </w:pPr>
            <w:r>
              <w:rPr>
                <w:w w:val="95"/>
                <w:sz w:val="21"/>
              </w:rPr>
              <w:t>物类别</w:t>
            </w:r>
          </w:p>
        </w:tc>
        <w:tc>
          <w:tcPr>
            <w:tcW w:w="1067" w:type="dxa"/>
          </w:tcPr>
          <w:p>
            <w:pPr>
              <w:pStyle w:val="14"/>
              <w:spacing w:before="1"/>
              <w:ind w:left="107"/>
              <w:jc w:val="left"/>
              <w:rPr>
                <w:sz w:val="21"/>
              </w:rPr>
            </w:pPr>
            <w:r>
              <w:rPr>
                <w:sz w:val="21"/>
              </w:rPr>
              <w:t>危险废物</w:t>
            </w:r>
          </w:p>
          <w:p>
            <w:pPr>
              <w:pStyle w:val="14"/>
              <w:spacing w:before="2" w:line="253" w:lineRule="exact"/>
              <w:ind w:left="107"/>
              <w:jc w:val="left"/>
              <w:rPr>
                <w:sz w:val="21"/>
              </w:rPr>
            </w:pPr>
            <w:r>
              <w:rPr>
                <w:sz w:val="21"/>
              </w:rPr>
              <w:t>代码</w:t>
            </w:r>
          </w:p>
        </w:tc>
        <w:tc>
          <w:tcPr>
            <w:tcW w:w="879" w:type="dxa"/>
          </w:tcPr>
          <w:p>
            <w:pPr>
              <w:pStyle w:val="14"/>
              <w:spacing w:before="15"/>
              <w:ind w:left="106"/>
              <w:jc w:val="left"/>
              <w:rPr>
                <w:sz w:val="21"/>
              </w:rPr>
            </w:pPr>
            <w:r>
              <w:rPr>
                <w:sz w:val="21"/>
              </w:rPr>
              <w:t>产生量</w:t>
            </w:r>
          </w:p>
          <w:p>
            <w:pPr>
              <w:pStyle w:val="14"/>
              <w:spacing w:before="2" w:line="239" w:lineRule="exact"/>
              <w:ind w:left="106"/>
              <w:jc w:val="left"/>
              <w:rPr>
                <w:rFonts w:ascii="Times New Roman"/>
                <w:sz w:val="21"/>
              </w:rPr>
            </w:pPr>
            <w:r>
              <w:rPr>
                <w:rFonts w:ascii="Times New Roman"/>
                <w:sz w:val="21"/>
              </w:rPr>
              <w:t>(t/a)</w:t>
            </w:r>
          </w:p>
        </w:tc>
        <w:tc>
          <w:tcPr>
            <w:tcW w:w="1445" w:type="dxa"/>
          </w:tcPr>
          <w:p>
            <w:pPr>
              <w:pStyle w:val="14"/>
              <w:spacing w:before="1"/>
              <w:ind w:left="108"/>
              <w:jc w:val="left"/>
              <w:rPr>
                <w:sz w:val="21"/>
              </w:rPr>
            </w:pPr>
            <w:r>
              <w:rPr>
                <w:sz w:val="21"/>
              </w:rPr>
              <w:t>产生工序及</w:t>
            </w:r>
          </w:p>
          <w:p>
            <w:pPr>
              <w:pStyle w:val="14"/>
              <w:spacing w:before="2" w:line="253" w:lineRule="exact"/>
              <w:ind w:left="108"/>
              <w:jc w:val="left"/>
              <w:rPr>
                <w:sz w:val="21"/>
              </w:rPr>
            </w:pPr>
            <w:r>
              <w:rPr>
                <w:sz w:val="21"/>
              </w:rPr>
              <w:t>装置</w:t>
            </w:r>
          </w:p>
        </w:tc>
        <w:tc>
          <w:tcPr>
            <w:tcW w:w="439" w:type="dxa"/>
          </w:tcPr>
          <w:p>
            <w:pPr>
              <w:pStyle w:val="14"/>
              <w:spacing w:before="1"/>
              <w:ind w:left="108"/>
              <w:jc w:val="left"/>
              <w:rPr>
                <w:sz w:val="21"/>
              </w:rPr>
            </w:pPr>
            <w:r>
              <w:rPr>
                <w:w w:val="99"/>
                <w:sz w:val="21"/>
              </w:rPr>
              <w:t>形</w:t>
            </w:r>
          </w:p>
          <w:p>
            <w:pPr>
              <w:pStyle w:val="14"/>
              <w:spacing w:before="2" w:line="253" w:lineRule="exact"/>
              <w:ind w:left="108"/>
              <w:jc w:val="left"/>
              <w:rPr>
                <w:sz w:val="21"/>
              </w:rPr>
            </w:pPr>
            <w:r>
              <w:rPr>
                <w:w w:val="99"/>
                <w:sz w:val="21"/>
              </w:rPr>
              <w:t>态</w:t>
            </w:r>
          </w:p>
        </w:tc>
        <w:tc>
          <w:tcPr>
            <w:tcW w:w="729" w:type="dxa"/>
          </w:tcPr>
          <w:p>
            <w:pPr>
              <w:pStyle w:val="14"/>
              <w:spacing w:before="1"/>
              <w:ind w:left="108"/>
              <w:jc w:val="left"/>
              <w:rPr>
                <w:sz w:val="21"/>
              </w:rPr>
            </w:pPr>
            <w:r>
              <w:rPr>
                <w:spacing w:val="-1"/>
                <w:w w:val="95"/>
                <w:sz w:val="21"/>
              </w:rPr>
              <w:t>危险</w:t>
            </w:r>
          </w:p>
          <w:p>
            <w:pPr>
              <w:pStyle w:val="14"/>
              <w:spacing w:before="2" w:line="253" w:lineRule="exact"/>
              <w:ind w:left="108"/>
              <w:jc w:val="left"/>
              <w:rPr>
                <w:sz w:val="21"/>
              </w:rPr>
            </w:pPr>
            <w:r>
              <w:rPr>
                <w:spacing w:val="-1"/>
                <w:w w:val="95"/>
                <w:sz w:val="21"/>
              </w:rPr>
              <w:t>特性</w:t>
            </w:r>
          </w:p>
        </w:tc>
        <w:tc>
          <w:tcPr>
            <w:tcW w:w="1910" w:type="dxa"/>
          </w:tcPr>
          <w:p>
            <w:pPr>
              <w:pStyle w:val="14"/>
              <w:spacing w:before="135"/>
              <w:ind w:left="106"/>
              <w:jc w:val="left"/>
              <w:rPr>
                <w:sz w:val="21"/>
              </w:rPr>
            </w:pPr>
            <w:r>
              <w:rPr>
                <w:sz w:val="21"/>
              </w:rPr>
              <w:t>污染防治措施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9" w:hRule="atLeast"/>
        </w:trPr>
        <w:tc>
          <w:tcPr>
            <w:tcW w:w="444" w:type="dxa"/>
          </w:tcPr>
          <w:p>
            <w:pPr>
              <w:pStyle w:val="14"/>
              <w:spacing w:before="12"/>
              <w:jc w:val="left"/>
              <w:rPr>
                <w:rFonts w:ascii="黑体"/>
                <w:sz w:val="32"/>
              </w:rPr>
            </w:pPr>
          </w:p>
          <w:p>
            <w:pPr>
              <w:pStyle w:val="14"/>
              <w:ind w:left="106"/>
              <w:jc w:val="left"/>
              <w:rPr>
                <w:rFonts w:ascii="Times New Roman"/>
                <w:sz w:val="21"/>
              </w:rPr>
            </w:pPr>
            <w:r>
              <w:rPr>
                <w:rFonts w:ascii="Times New Roman"/>
                <w:w w:val="99"/>
                <w:sz w:val="21"/>
              </w:rPr>
              <w:t>1</w:t>
            </w:r>
          </w:p>
        </w:tc>
        <w:tc>
          <w:tcPr>
            <w:tcW w:w="1357" w:type="dxa"/>
          </w:tcPr>
          <w:p>
            <w:pPr>
              <w:pStyle w:val="14"/>
              <w:jc w:val="left"/>
              <w:rPr>
                <w:rFonts w:ascii="黑体"/>
                <w:sz w:val="20"/>
              </w:rPr>
            </w:pPr>
          </w:p>
          <w:p>
            <w:pPr>
              <w:pStyle w:val="14"/>
              <w:spacing w:before="152"/>
              <w:ind w:left="106"/>
              <w:jc w:val="left"/>
              <w:rPr>
                <w:sz w:val="21"/>
              </w:rPr>
            </w:pPr>
            <w:r>
              <w:rPr>
                <w:sz w:val="21"/>
              </w:rPr>
              <w:t>废机油</w:t>
            </w:r>
          </w:p>
        </w:tc>
        <w:tc>
          <w:tcPr>
            <w:tcW w:w="912" w:type="dxa"/>
          </w:tcPr>
          <w:p>
            <w:pPr>
              <w:pStyle w:val="14"/>
              <w:spacing w:before="12"/>
              <w:jc w:val="left"/>
              <w:rPr>
                <w:rFonts w:ascii="黑体"/>
                <w:sz w:val="32"/>
              </w:rPr>
            </w:pPr>
          </w:p>
          <w:p>
            <w:pPr>
              <w:pStyle w:val="14"/>
              <w:ind w:left="107"/>
              <w:jc w:val="left"/>
              <w:rPr>
                <w:rFonts w:ascii="Times New Roman"/>
                <w:sz w:val="21"/>
              </w:rPr>
            </w:pPr>
            <w:r>
              <w:rPr>
                <w:rFonts w:ascii="Times New Roman"/>
                <w:sz w:val="21"/>
              </w:rPr>
              <w:t>HW08</w:t>
            </w:r>
          </w:p>
        </w:tc>
        <w:tc>
          <w:tcPr>
            <w:tcW w:w="1067" w:type="dxa"/>
          </w:tcPr>
          <w:p>
            <w:pPr>
              <w:pStyle w:val="14"/>
              <w:spacing w:before="7"/>
              <w:jc w:val="left"/>
              <w:rPr>
                <w:rFonts w:ascii="黑体"/>
                <w:sz w:val="23"/>
              </w:rPr>
            </w:pPr>
          </w:p>
          <w:p>
            <w:pPr>
              <w:pStyle w:val="14"/>
              <w:spacing w:line="241" w:lineRule="exact"/>
              <w:ind w:left="107"/>
              <w:jc w:val="left"/>
              <w:rPr>
                <w:rFonts w:ascii="Times New Roman"/>
                <w:sz w:val="21"/>
              </w:rPr>
            </w:pPr>
            <w:r>
              <w:rPr>
                <w:rFonts w:ascii="Times New Roman"/>
                <w:sz w:val="21"/>
              </w:rPr>
              <w:t>900-217-</w:t>
            </w:r>
          </w:p>
          <w:p>
            <w:pPr>
              <w:pStyle w:val="14"/>
              <w:spacing w:line="241" w:lineRule="exact"/>
              <w:ind w:left="107"/>
              <w:jc w:val="left"/>
              <w:rPr>
                <w:rFonts w:ascii="Times New Roman"/>
                <w:sz w:val="21"/>
              </w:rPr>
            </w:pPr>
            <w:r>
              <w:rPr>
                <w:rFonts w:ascii="Times New Roman"/>
                <w:sz w:val="21"/>
              </w:rPr>
              <w:t>08</w:t>
            </w:r>
          </w:p>
        </w:tc>
        <w:tc>
          <w:tcPr>
            <w:tcW w:w="879" w:type="dxa"/>
          </w:tcPr>
          <w:p>
            <w:pPr>
              <w:pStyle w:val="14"/>
              <w:spacing w:before="12"/>
              <w:jc w:val="left"/>
              <w:rPr>
                <w:rFonts w:ascii="黑体"/>
                <w:sz w:val="32"/>
              </w:rPr>
            </w:pPr>
          </w:p>
          <w:p>
            <w:pPr>
              <w:pStyle w:val="14"/>
              <w:ind w:left="106"/>
              <w:jc w:val="left"/>
              <w:rPr>
                <w:rFonts w:ascii="Times New Roman"/>
                <w:sz w:val="21"/>
              </w:rPr>
            </w:pPr>
            <w:r>
              <w:rPr>
                <w:rFonts w:ascii="Times New Roman"/>
                <w:sz w:val="21"/>
              </w:rPr>
              <w:t>0.02</w:t>
            </w:r>
          </w:p>
        </w:tc>
        <w:tc>
          <w:tcPr>
            <w:tcW w:w="1445" w:type="dxa"/>
          </w:tcPr>
          <w:p>
            <w:pPr>
              <w:pStyle w:val="14"/>
              <w:jc w:val="left"/>
              <w:rPr>
                <w:rFonts w:ascii="黑体"/>
                <w:sz w:val="20"/>
              </w:rPr>
            </w:pPr>
          </w:p>
          <w:p>
            <w:pPr>
              <w:pStyle w:val="14"/>
              <w:spacing w:before="152"/>
              <w:ind w:left="108"/>
              <w:jc w:val="left"/>
              <w:rPr>
                <w:sz w:val="21"/>
              </w:rPr>
            </w:pPr>
            <w:r>
              <w:rPr>
                <w:sz w:val="21"/>
              </w:rPr>
              <w:t>设备维修</w:t>
            </w:r>
          </w:p>
        </w:tc>
        <w:tc>
          <w:tcPr>
            <w:tcW w:w="439" w:type="dxa"/>
          </w:tcPr>
          <w:p>
            <w:pPr>
              <w:pStyle w:val="14"/>
              <w:spacing w:before="2"/>
              <w:jc w:val="left"/>
              <w:rPr>
                <w:rFonts w:ascii="黑体"/>
                <w:sz w:val="21"/>
              </w:rPr>
            </w:pPr>
          </w:p>
          <w:p>
            <w:pPr>
              <w:pStyle w:val="14"/>
              <w:spacing w:line="244" w:lineRule="auto"/>
              <w:ind w:left="108" w:right="109"/>
              <w:jc w:val="left"/>
              <w:rPr>
                <w:sz w:val="21"/>
              </w:rPr>
            </w:pPr>
            <w:r>
              <w:rPr>
                <w:sz w:val="21"/>
              </w:rPr>
              <w:t>液体</w:t>
            </w:r>
          </w:p>
        </w:tc>
        <w:tc>
          <w:tcPr>
            <w:tcW w:w="729" w:type="dxa"/>
          </w:tcPr>
          <w:p>
            <w:pPr>
              <w:pStyle w:val="14"/>
              <w:spacing w:before="12"/>
              <w:jc w:val="left"/>
              <w:rPr>
                <w:rFonts w:ascii="黑体"/>
                <w:sz w:val="32"/>
              </w:rPr>
            </w:pPr>
          </w:p>
          <w:p>
            <w:pPr>
              <w:pStyle w:val="14"/>
              <w:ind w:left="108"/>
              <w:jc w:val="left"/>
              <w:rPr>
                <w:rFonts w:ascii="Times New Roman"/>
                <w:sz w:val="21"/>
              </w:rPr>
            </w:pPr>
            <w:r>
              <w:rPr>
                <w:rFonts w:ascii="Times New Roman"/>
                <w:sz w:val="21"/>
              </w:rPr>
              <w:t>T/In</w:t>
            </w:r>
          </w:p>
        </w:tc>
        <w:tc>
          <w:tcPr>
            <w:tcW w:w="1910" w:type="dxa"/>
          </w:tcPr>
          <w:p>
            <w:pPr>
              <w:pStyle w:val="14"/>
              <w:spacing w:line="242" w:lineRule="auto"/>
              <w:ind w:left="106" w:right="113"/>
              <w:jc w:val="both"/>
              <w:rPr>
                <w:sz w:val="21"/>
              </w:rPr>
            </w:pPr>
            <w:r>
              <w:rPr>
                <w:sz w:val="21"/>
              </w:rPr>
              <w:t>在危险废物暂存间内暂存，定期委托有资质单位收集或</w:t>
            </w:r>
          </w:p>
          <w:p>
            <w:pPr>
              <w:pStyle w:val="14"/>
              <w:spacing w:before="1" w:line="253" w:lineRule="exact"/>
              <w:ind w:left="106"/>
              <w:jc w:val="left"/>
              <w:rPr>
                <w:sz w:val="21"/>
              </w:rPr>
            </w:pPr>
            <w:r>
              <w:rPr>
                <w:sz w:val="21"/>
              </w:rPr>
              <w:t>处置</w:t>
            </w:r>
          </w:p>
        </w:tc>
      </w:tr>
    </w:tbl>
    <w:p>
      <w:pPr>
        <w:pStyle w:val="6"/>
        <w:spacing w:before="2" w:line="362" w:lineRule="auto"/>
        <w:ind w:left="511" w:right="524" w:firstLine="420"/>
      </w:pPr>
      <w:r>
        <w:rPr>
          <w:spacing w:val="-5"/>
        </w:rPr>
        <w:t xml:space="preserve">矸石量按照煤炭开采能力 </w:t>
      </w:r>
      <w:r>
        <w:rPr>
          <w:rFonts w:ascii="Times New Roman" w:hAnsi="Times New Roman" w:eastAsia="Times New Roman"/>
        </w:rPr>
        <w:t>10%</w:t>
      </w:r>
      <w:r>
        <w:rPr>
          <w:spacing w:val="-11"/>
        </w:rPr>
        <w:t xml:space="preserve">估算，生活垃圾按照 </w:t>
      </w:r>
      <w:r>
        <w:rPr>
          <w:rFonts w:ascii="Times New Roman" w:hAnsi="Times New Roman" w:eastAsia="Times New Roman"/>
          <w:spacing w:val="-4"/>
        </w:rPr>
        <w:t>0.5kg/</w:t>
      </w:r>
      <w:r>
        <w:rPr>
          <w:spacing w:val="-4"/>
        </w:rPr>
        <w:t>（</w:t>
      </w:r>
      <w:r>
        <w:t>人</w:t>
      </w:r>
      <w:r>
        <w:rPr>
          <w:rFonts w:ascii="Times New Roman" w:hAnsi="Times New Roman" w:eastAsia="Times New Roman"/>
          <w:spacing w:val="-9"/>
        </w:rPr>
        <w:t>·d</w:t>
      </w:r>
      <w:r>
        <w:rPr>
          <w:spacing w:val="-9"/>
        </w:rPr>
        <w:t>）</w:t>
      </w:r>
      <w:r>
        <w:rPr>
          <w:spacing w:val="-8"/>
        </w:rPr>
        <w:t>估算，灰渣</w:t>
      </w:r>
      <w:r>
        <w:t>量按照下面公式核算。</w:t>
      </w:r>
    </w:p>
    <w:p>
      <w:pPr>
        <w:spacing w:after="0" w:line="362" w:lineRule="auto"/>
        <w:sectPr>
          <w:pgSz w:w="11910" w:h="16840"/>
          <w:pgMar w:top="1420" w:right="1220" w:bottom="1180" w:left="1240" w:header="0" w:footer="997" w:gutter="0"/>
        </w:sectPr>
      </w:pPr>
    </w:p>
    <w:p>
      <w:pPr>
        <w:pStyle w:val="6"/>
        <w:spacing w:before="43"/>
        <w:ind w:left="931"/>
      </w:pPr>
      <w:r>
        <w:t>燃生物质锅炉灰渣：</w:t>
      </w:r>
    </w:p>
    <w:p>
      <w:pPr>
        <w:pStyle w:val="6"/>
        <w:spacing w:before="2"/>
        <w:rPr>
          <w:sz w:val="9"/>
        </w:rPr>
      </w:pPr>
      <w:r>
        <w:drawing>
          <wp:anchor distT="0" distB="0" distL="0" distR="0" simplePos="0" relativeHeight="1024" behindDoc="0" locked="0" layoutInCell="1" allowOverlap="1">
            <wp:simplePos x="0" y="0"/>
            <wp:positionH relativeFrom="page">
              <wp:posOffset>2738120</wp:posOffset>
            </wp:positionH>
            <wp:positionV relativeFrom="paragraph">
              <wp:posOffset>99695</wp:posOffset>
            </wp:positionV>
            <wp:extent cx="1972310" cy="518160"/>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48" cstate="print"/>
                    <a:stretch>
                      <a:fillRect/>
                    </a:stretch>
                  </pic:blipFill>
                  <pic:spPr>
                    <a:xfrm>
                      <a:off x="0" y="0"/>
                      <a:ext cx="1972187" cy="518159"/>
                    </a:xfrm>
                    <a:prstGeom prst="rect">
                      <a:avLst/>
                    </a:prstGeom>
                  </pic:spPr>
                </pic:pic>
              </a:graphicData>
            </a:graphic>
          </wp:anchor>
        </w:drawing>
      </w:r>
    </w:p>
    <w:p>
      <w:pPr>
        <w:pStyle w:val="6"/>
        <w:spacing w:before="147"/>
        <w:ind w:left="931"/>
      </w:pPr>
      <w:r>
        <w:t xml:space="preserve">经计算，本项目锅炉灰渣量约为 </w:t>
      </w:r>
      <w:r>
        <w:rPr>
          <w:rFonts w:ascii="Times New Roman" w:eastAsia="Times New Roman"/>
        </w:rPr>
        <w:t>585t/a</w:t>
      </w:r>
      <w:r>
        <w:t>。</w:t>
      </w:r>
    </w:p>
    <w:p>
      <w:pPr>
        <w:pStyle w:val="13"/>
        <w:numPr>
          <w:ilvl w:val="0"/>
          <w:numId w:val="32"/>
        </w:numPr>
        <w:tabs>
          <w:tab w:val="left" w:pos="1533"/>
        </w:tabs>
        <w:spacing w:before="158" w:after="0" w:line="240" w:lineRule="auto"/>
        <w:ind w:left="1533" w:right="0" w:hanging="602"/>
        <w:jc w:val="left"/>
        <w:rPr>
          <w:sz w:val="24"/>
        </w:rPr>
      </w:pPr>
      <w:r>
        <w:rPr>
          <w:sz w:val="24"/>
        </w:rPr>
        <w:t>主要噪声污染源及源强</w:t>
      </w:r>
    </w:p>
    <w:p>
      <w:pPr>
        <w:pStyle w:val="6"/>
        <w:spacing w:before="160" w:line="364" w:lineRule="auto"/>
        <w:ind w:left="511" w:right="527" w:firstLine="420"/>
        <w:jc w:val="both"/>
      </w:pPr>
      <w:r>
        <w:t>工业场地的主要噪声源有主副井绞车系统的提升机，回风井通风机房的通风</w:t>
      </w:r>
      <w:r>
        <w:rPr>
          <w:spacing w:val="-1"/>
        </w:rPr>
        <w:t>机及电机，锅炉房内的鼓风机和引风机，压风机房的空气压缩机等。噪声的主要</w:t>
      </w:r>
      <w:r>
        <w:rPr>
          <w:spacing w:val="-8"/>
        </w:rPr>
        <w:t xml:space="preserve">类型为空气动力性噪声、机械性噪声，噪声声级一般在 </w:t>
      </w:r>
      <w:r>
        <w:rPr>
          <w:rFonts w:ascii="Times New Roman" w:eastAsia="Times New Roman"/>
        </w:rPr>
        <w:t>85</w:t>
      </w:r>
      <w:r>
        <w:t>～</w:t>
      </w:r>
      <w:r>
        <w:rPr>
          <w:rFonts w:ascii="Times New Roman" w:eastAsia="Times New Roman"/>
        </w:rPr>
        <w:t>105dB(A)</w:t>
      </w:r>
      <w:r>
        <w:rPr>
          <w:spacing w:val="-8"/>
        </w:rPr>
        <w:t>左右。主要</w:t>
      </w:r>
      <w:r>
        <w:rPr>
          <w:spacing w:val="-7"/>
        </w:rPr>
        <w:t xml:space="preserve">噪声源及源强见表 </w:t>
      </w:r>
      <w:r>
        <w:rPr>
          <w:rFonts w:ascii="Times New Roman" w:eastAsia="Times New Roman"/>
        </w:rPr>
        <w:t>3.4-9</w:t>
      </w:r>
      <w:r>
        <w:t>。</w:t>
      </w:r>
    </w:p>
    <w:p>
      <w:pPr>
        <w:pStyle w:val="6"/>
        <w:tabs>
          <w:tab w:val="left" w:pos="1331"/>
        </w:tabs>
        <w:spacing w:after="3" w:line="305" w:lineRule="exact"/>
        <w:ind w:left="294"/>
        <w:jc w:val="center"/>
        <w:rPr>
          <w:rFonts w:hint="eastAsia" w:ascii="黑体" w:eastAsia="黑体"/>
        </w:rPr>
      </w:pPr>
      <w:r>
        <w:rPr>
          <w:rFonts w:hint="eastAsia" w:ascii="黑体" w:eastAsia="黑体"/>
        </w:rPr>
        <w:t>表</w:t>
      </w:r>
      <w:r>
        <w:rPr>
          <w:rFonts w:hint="eastAsia" w:ascii="黑体" w:eastAsia="黑体"/>
          <w:spacing w:val="-61"/>
        </w:rPr>
        <w:t xml:space="preserve"> </w:t>
      </w:r>
      <w:r>
        <w:rPr>
          <w:rFonts w:ascii="Times New Roman" w:eastAsia="Times New Roman"/>
        </w:rPr>
        <w:t>3.4-9</w:t>
      </w:r>
      <w:r>
        <w:rPr>
          <w:rFonts w:ascii="Times New Roman" w:eastAsia="Times New Roman"/>
        </w:rPr>
        <w:tab/>
      </w:r>
      <w:r>
        <w:rPr>
          <w:rFonts w:hint="eastAsia" w:ascii="黑体" w:eastAsia="黑体"/>
        </w:rPr>
        <w:t>矿井主要噪声源及源强</w:t>
      </w:r>
    </w:p>
    <w:tbl>
      <w:tblPr>
        <w:tblStyle w:val="10"/>
        <w:tblW w:w="0" w:type="auto"/>
        <w:tblInd w:w="4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6"/>
        <w:gridCol w:w="848"/>
        <w:gridCol w:w="940"/>
        <w:gridCol w:w="766"/>
        <w:gridCol w:w="652"/>
        <w:gridCol w:w="2347"/>
        <w:gridCol w:w="683"/>
        <w:gridCol w:w="877"/>
        <w:gridCol w:w="8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496" w:type="dxa"/>
          </w:tcPr>
          <w:p>
            <w:pPr>
              <w:pStyle w:val="14"/>
              <w:spacing w:before="176" w:line="278" w:lineRule="auto"/>
              <w:ind w:left="142" w:right="132"/>
              <w:jc w:val="left"/>
              <w:rPr>
                <w:sz w:val="21"/>
              </w:rPr>
            </w:pPr>
            <w:r>
              <w:rPr>
                <w:sz w:val="21"/>
              </w:rPr>
              <w:t>序号</w:t>
            </w:r>
          </w:p>
        </w:tc>
        <w:tc>
          <w:tcPr>
            <w:tcW w:w="848" w:type="dxa"/>
          </w:tcPr>
          <w:p>
            <w:pPr>
              <w:pStyle w:val="14"/>
              <w:spacing w:before="12"/>
              <w:jc w:val="left"/>
              <w:rPr>
                <w:rFonts w:ascii="黑体"/>
                <w:sz w:val="25"/>
              </w:rPr>
            </w:pPr>
          </w:p>
          <w:p>
            <w:pPr>
              <w:pStyle w:val="14"/>
              <w:ind w:left="87" w:right="81"/>
              <w:rPr>
                <w:sz w:val="21"/>
              </w:rPr>
            </w:pPr>
            <w:r>
              <w:rPr>
                <w:sz w:val="21"/>
              </w:rPr>
              <w:t>噪声源</w:t>
            </w:r>
          </w:p>
        </w:tc>
        <w:tc>
          <w:tcPr>
            <w:tcW w:w="940" w:type="dxa"/>
          </w:tcPr>
          <w:p>
            <w:pPr>
              <w:pStyle w:val="14"/>
              <w:spacing w:before="176" w:line="278" w:lineRule="auto"/>
              <w:ind w:left="363" w:right="144" w:hanging="209"/>
              <w:jc w:val="left"/>
              <w:rPr>
                <w:sz w:val="21"/>
              </w:rPr>
            </w:pPr>
            <w:r>
              <w:rPr>
                <w:sz w:val="21"/>
              </w:rPr>
              <w:t>发声建筑</w:t>
            </w:r>
          </w:p>
        </w:tc>
        <w:tc>
          <w:tcPr>
            <w:tcW w:w="766" w:type="dxa"/>
          </w:tcPr>
          <w:p>
            <w:pPr>
              <w:pStyle w:val="14"/>
              <w:spacing w:before="176" w:line="278" w:lineRule="auto"/>
              <w:ind w:left="66" w:right="58"/>
              <w:jc w:val="left"/>
              <w:rPr>
                <w:sz w:val="21"/>
              </w:rPr>
            </w:pPr>
            <w:r>
              <w:rPr>
                <w:sz w:val="21"/>
              </w:rPr>
              <w:t>同时启用台数</w:t>
            </w:r>
          </w:p>
        </w:tc>
        <w:tc>
          <w:tcPr>
            <w:tcW w:w="652" w:type="dxa"/>
          </w:tcPr>
          <w:p>
            <w:pPr>
              <w:pStyle w:val="14"/>
              <w:spacing w:before="176"/>
              <w:ind w:left="114"/>
              <w:jc w:val="left"/>
              <w:rPr>
                <w:sz w:val="21"/>
              </w:rPr>
            </w:pPr>
            <w:r>
              <w:rPr>
                <w:sz w:val="21"/>
              </w:rPr>
              <w:t>源强</w:t>
            </w:r>
          </w:p>
          <w:p>
            <w:pPr>
              <w:pStyle w:val="14"/>
              <w:spacing w:before="57"/>
              <w:ind w:left="59"/>
              <w:jc w:val="left"/>
              <w:rPr>
                <w:rFonts w:ascii="Times New Roman"/>
                <w:sz w:val="21"/>
              </w:rPr>
            </w:pPr>
            <w:r>
              <w:rPr>
                <w:rFonts w:ascii="Times New Roman"/>
                <w:sz w:val="21"/>
              </w:rPr>
              <w:t>dB(A)</w:t>
            </w:r>
          </w:p>
        </w:tc>
        <w:tc>
          <w:tcPr>
            <w:tcW w:w="2347" w:type="dxa"/>
          </w:tcPr>
          <w:p>
            <w:pPr>
              <w:pStyle w:val="14"/>
              <w:spacing w:before="12"/>
              <w:jc w:val="left"/>
              <w:rPr>
                <w:rFonts w:ascii="黑体"/>
                <w:sz w:val="25"/>
              </w:rPr>
            </w:pPr>
          </w:p>
          <w:p>
            <w:pPr>
              <w:pStyle w:val="14"/>
              <w:ind w:left="8"/>
              <w:rPr>
                <w:sz w:val="21"/>
              </w:rPr>
            </w:pPr>
            <w:r>
              <w:rPr>
                <w:sz w:val="21"/>
              </w:rPr>
              <w:t>治理措施</w:t>
            </w:r>
          </w:p>
        </w:tc>
        <w:tc>
          <w:tcPr>
            <w:tcW w:w="683" w:type="dxa"/>
          </w:tcPr>
          <w:p>
            <w:pPr>
              <w:pStyle w:val="14"/>
              <w:spacing w:before="20" w:line="278" w:lineRule="auto"/>
              <w:ind w:left="129" w:right="123"/>
              <w:jc w:val="left"/>
              <w:rPr>
                <w:sz w:val="21"/>
              </w:rPr>
            </w:pPr>
            <w:r>
              <w:rPr>
                <w:spacing w:val="-8"/>
                <w:sz w:val="21"/>
              </w:rPr>
              <w:t>降噪</w:t>
            </w:r>
            <w:r>
              <w:rPr>
                <w:spacing w:val="-9"/>
                <w:w w:val="95"/>
                <w:sz w:val="21"/>
              </w:rPr>
              <w:t>效果</w:t>
            </w:r>
          </w:p>
          <w:p>
            <w:pPr>
              <w:pStyle w:val="14"/>
              <w:spacing w:before="14"/>
              <w:ind w:left="74"/>
              <w:jc w:val="left"/>
              <w:rPr>
                <w:rFonts w:ascii="Times New Roman"/>
                <w:sz w:val="21"/>
              </w:rPr>
            </w:pPr>
            <w:r>
              <w:rPr>
                <w:rFonts w:ascii="Times New Roman"/>
                <w:sz w:val="21"/>
              </w:rPr>
              <w:t>dB(A)</w:t>
            </w:r>
          </w:p>
        </w:tc>
        <w:tc>
          <w:tcPr>
            <w:tcW w:w="877" w:type="dxa"/>
          </w:tcPr>
          <w:p>
            <w:pPr>
              <w:pStyle w:val="14"/>
              <w:spacing w:before="20" w:line="278" w:lineRule="auto"/>
              <w:ind w:left="226" w:right="112" w:hanging="104"/>
              <w:jc w:val="left"/>
              <w:rPr>
                <w:sz w:val="21"/>
              </w:rPr>
            </w:pPr>
            <w:r>
              <w:rPr>
                <w:sz w:val="21"/>
              </w:rPr>
              <w:t>噪声排放量</w:t>
            </w:r>
          </w:p>
          <w:p>
            <w:pPr>
              <w:pStyle w:val="14"/>
              <w:spacing w:before="14"/>
              <w:ind w:left="171"/>
              <w:jc w:val="left"/>
              <w:rPr>
                <w:rFonts w:ascii="Times New Roman"/>
                <w:sz w:val="21"/>
              </w:rPr>
            </w:pPr>
            <w:r>
              <w:rPr>
                <w:rFonts w:ascii="Times New Roman"/>
                <w:sz w:val="21"/>
              </w:rPr>
              <w:t>dB(A)</w:t>
            </w:r>
          </w:p>
        </w:tc>
        <w:tc>
          <w:tcPr>
            <w:tcW w:w="897" w:type="dxa"/>
          </w:tcPr>
          <w:p>
            <w:pPr>
              <w:pStyle w:val="14"/>
              <w:spacing w:before="176" w:line="278" w:lineRule="auto"/>
              <w:ind w:left="237" w:right="229"/>
              <w:jc w:val="left"/>
              <w:rPr>
                <w:sz w:val="21"/>
              </w:rPr>
            </w:pPr>
            <w:r>
              <w:rPr>
                <w:sz w:val="21"/>
              </w:rPr>
              <w:t>预期效果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496" w:type="dxa"/>
          </w:tcPr>
          <w:p>
            <w:pPr>
              <w:pStyle w:val="14"/>
              <w:jc w:val="left"/>
              <w:rPr>
                <w:rFonts w:ascii="黑体"/>
                <w:sz w:val="27"/>
              </w:rPr>
            </w:pPr>
          </w:p>
          <w:p>
            <w:pPr>
              <w:pStyle w:val="14"/>
              <w:ind w:right="183"/>
              <w:jc w:val="right"/>
              <w:rPr>
                <w:rFonts w:ascii="Times New Roman"/>
                <w:sz w:val="21"/>
              </w:rPr>
            </w:pPr>
            <w:r>
              <w:rPr>
                <w:rFonts w:ascii="Times New Roman"/>
                <w:w w:val="99"/>
                <w:sz w:val="21"/>
              </w:rPr>
              <w:t>1</w:t>
            </w:r>
          </w:p>
        </w:tc>
        <w:tc>
          <w:tcPr>
            <w:tcW w:w="848" w:type="dxa"/>
          </w:tcPr>
          <w:p>
            <w:pPr>
              <w:pStyle w:val="14"/>
              <w:spacing w:before="4"/>
              <w:jc w:val="left"/>
              <w:rPr>
                <w:rFonts w:ascii="黑体"/>
                <w:sz w:val="14"/>
              </w:rPr>
            </w:pPr>
          </w:p>
          <w:p>
            <w:pPr>
              <w:pStyle w:val="14"/>
              <w:spacing w:line="292" w:lineRule="auto"/>
              <w:ind w:left="222" w:right="111" w:hanging="99"/>
              <w:jc w:val="left"/>
              <w:rPr>
                <w:sz w:val="20"/>
              </w:rPr>
            </w:pPr>
            <w:r>
              <w:rPr>
                <w:sz w:val="20"/>
              </w:rPr>
              <w:t>带式输送机</w:t>
            </w:r>
          </w:p>
        </w:tc>
        <w:tc>
          <w:tcPr>
            <w:tcW w:w="940" w:type="dxa"/>
          </w:tcPr>
          <w:p>
            <w:pPr>
              <w:pStyle w:val="14"/>
              <w:spacing w:before="20"/>
              <w:ind w:left="154"/>
              <w:jc w:val="left"/>
              <w:rPr>
                <w:sz w:val="21"/>
              </w:rPr>
            </w:pPr>
            <w:r>
              <w:rPr>
                <w:w w:val="95"/>
                <w:sz w:val="21"/>
              </w:rPr>
              <w:t>主井带</w:t>
            </w:r>
          </w:p>
          <w:p>
            <w:pPr>
              <w:pStyle w:val="14"/>
              <w:spacing w:before="2" w:line="310" w:lineRule="atLeast"/>
              <w:ind w:left="154" w:right="144"/>
              <w:jc w:val="left"/>
              <w:rPr>
                <w:sz w:val="21"/>
              </w:rPr>
            </w:pPr>
            <w:r>
              <w:rPr>
                <w:spacing w:val="-6"/>
                <w:sz w:val="21"/>
              </w:rPr>
              <w:t>式输送</w:t>
            </w:r>
            <w:r>
              <w:rPr>
                <w:spacing w:val="-6"/>
                <w:w w:val="95"/>
                <w:sz w:val="21"/>
              </w:rPr>
              <w:t>机栈桥</w:t>
            </w:r>
          </w:p>
        </w:tc>
        <w:tc>
          <w:tcPr>
            <w:tcW w:w="766" w:type="dxa"/>
          </w:tcPr>
          <w:p>
            <w:pPr>
              <w:pStyle w:val="14"/>
              <w:jc w:val="left"/>
              <w:rPr>
                <w:rFonts w:ascii="黑体"/>
                <w:sz w:val="27"/>
              </w:rPr>
            </w:pPr>
          </w:p>
          <w:p>
            <w:pPr>
              <w:pStyle w:val="14"/>
              <w:ind w:left="5"/>
              <w:rPr>
                <w:rFonts w:ascii="Times New Roman"/>
                <w:sz w:val="21"/>
              </w:rPr>
            </w:pPr>
            <w:r>
              <w:rPr>
                <w:rFonts w:ascii="Times New Roman"/>
                <w:w w:val="99"/>
                <w:sz w:val="21"/>
              </w:rPr>
              <w:t>1</w:t>
            </w:r>
          </w:p>
        </w:tc>
        <w:tc>
          <w:tcPr>
            <w:tcW w:w="652" w:type="dxa"/>
          </w:tcPr>
          <w:p>
            <w:pPr>
              <w:pStyle w:val="14"/>
              <w:jc w:val="left"/>
              <w:rPr>
                <w:rFonts w:ascii="黑体"/>
                <w:sz w:val="27"/>
              </w:rPr>
            </w:pPr>
          </w:p>
          <w:p>
            <w:pPr>
              <w:pStyle w:val="14"/>
              <w:ind w:left="200" w:right="192"/>
              <w:rPr>
                <w:rFonts w:ascii="Times New Roman"/>
                <w:sz w:val="21"/>
              </w:rPr>
            </w:pPr>
            <w:r>
              <w:rPr>
                <w:rFonts w:ascii="Times New Roman"/>
                <w:sz w:val="21"/>
              </w:rPr>
              <w:t>92</w:t>
            </w:r>
          </w:p>
        </w:tc>
        <w:tc>
          <w:tcPr>
            <w:tcW w:w="2347" w:type="dxa"/>
          </w:tcPr>
          <w:p>
            <w:pPr>
              <w:pStyle w:val="14"/>
              <w:spacing w:before="176" w:line="278" w:lineRule="auto"/>
              <w:ind w:left="436" w:right="47" w:hanging="380"/>
              <w:jc w:val="left"/>
              <w:rPr>
                <w:sz w:val="21"/>
              </w:rPr>
            </w:pPr>
            <w:r>
              <w:rPr>
                <w:spacing w:val="-10"/>
                <w:sz w:val="21"/>
              </w:rPr>
              <w:t>封闭栈桥；电机设减震基</w:t>
            </w:r>
            <w:r>
              <w:rPr>
                <w:sz w:val="21"/>
              </w:rPr>
              <w:t>础并加装隔声罩</w:t>
            </w:r>
          </w:p>
        </w:tc>
        <w:tc>
          <w:tcPr>
            <w:tcW w:w="683" w:type="dxa"/>
          </w:tcPr>
          <w:p>
            <w:pPr>
              <w:pStyle w:val="14"/>
              <w:jc w:val="left"/>
              <w:rPr>
                <w:rFonts w:ascii="黑体"/>
                <w:sz w:val="27"/>
              </w:rPr>
            </w:pPr>
          </w:p>
          <w:p>
            <w:pPr>
              <w:pStyle w:val="14"/>
              <w:ind w:left="215" w:right="207"/>
              <w:rPr>
                <w:rFonts w:ascii="Times New Roman"/>
                <w:sz w:val="21"/>
              </w:rPr>
            </w:pPr>
            <w:r>
              <w:rPr>
                <w:rFonts w:ascii="Times New Roman"/>
                <w:sz w:val="21"/>
              </w:rPr>
              <w:t>20</w:t>
            </w:r>
          </w:p>
        </w:tc>
        <w:tc>
          <w:tcPr>
            <w:tcW w:w="877" w:type="dxa"/>
          </w:tcPr>
          <w:p>
            <w:pPr>
              <w:pStyle w:val="14"/>
              <w:jc w:val="left"/>
              <w:rPr>
                <w:rFonts w:ascii="黑体"/>
                <w:sz w:val="27"/>
              </w:rPr>
            </w:pPr>
          </w:p>
          <w:p>
            <w:pPr>
              <w:pStyle w:val="14"/>
              <w:ind w:right="322"/>
              <w:jc w:val="right"/>
              <w:rPr>
                <w:rFonts w:ascii="Times New Roman"/>
                <w:sz w:val="21"/>
              </w:rPr>
            </w:pPr>
            <w:r>
              <w:rPr>
                <w:rFonts w:ascii="Times New Roman"/>
                <w:sz w:val="21"/>
              </w:rPr>
              <w:t>72</w:t>
            </w:r>
          </w:p>
        </w:tc>
        <w:tc>
          <w:tcPr>
            <w:tcW w:w="897" w:type="dxa"/>
            <w:tcBorders>
              <w:bottom w:val="nil"/>
            </w:tcBorders>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496" w:type="dxa"/>
          </w:tcPr>
          <w:p>
            <w:pPr>
              <w:pStyle w:val="14"/>
              <w:spacing w:before="2"/>
              <w:jc w:val="left"/>
              <w:rPr>
                <w:rFonts w:ascii="黑体"/>
                <w:sz w:val="27"/>
              </w:rPr>
            </w:pPr>
          </w:p>
          <w:p>
            <w:pPr>
              <w:pStyle w:val="14"/>
              <w:ind w:right="183"/>
              <w:jc w:val="right"/>
              <w:rPr>
                <w:rFonts w:ascii="Times New Roman"/>
                <w:sz w:val="21"/>
              </w:rPr>
            </w:pPr>
            <w:r>
              <w:rPr>
                <w:rFonts w:ascii="Times New Roman"/>
                <w:w w:val="99"/>
                <w:sz w:val="21"/>
              </w:rPr>
              <w:t>2</w:t>
            </w:r>
          </w:p>
        </w:tc>
        <w:tc>
          <w:tcPr>
            <w:tcW w:w="848" w:type="dxa"/>
          </w:tcPr>
          <w:p>
            <w:pPr>
              <w:pStyle w:val="14"/>
              <w:spacing w:before="3"/>
              <w:jc w:val="left"/>
              <w:rPr>
                <w:rFonts w:ascii="黑体"/>
                <w:sz w:val="14"/>
              </w:rPr>
            </w:pPr>
          </w:p>
          <w:p>
            <w:pPr>
              <w:pStyle w:val="14"/>
              <w:spacing w:before="1" w:line="292" w:lineRule="auto"/>
              <w:ind w:left="222" w:right="111" w:hanging="99"/>
              <w:jc w:val="left"/>
              <w:rPr>
                <w:sz w:val="20"/>
              </w:rPr>
            </w:pPr>
            <w:r>
              <w:rPr>
                <w:sz w:val="20"/>
              </w:rPr>
              <w:t>带式输送机</w:t>
            </w:r>
          </w:p>
        </w:tc>
        <w:tc>
          <w:tcPr>
            <w:tcW w:w="940" w:type="dxa"/>
          </w:tcPr>
          <w:p>
            <w:pPr>
              <w:pStyle w:val="14"/>
              <w:spacing w:before="22" w:line="278" w:lineRule="auto"/>
              <w:ind w:left="154" w:right="144"/>
              <w:jc w:val="left"/>
              <w:rPr>
                <w:sz w:val="21"/>
              </w:rPr>
            </w:pPr>
            <w:r>
              <w:rPr>
                <w:spacing w:val="-6"/>
                <w:sz w:val="21"/>
              </w:rPr>
              <w:t>转载带</w:t>
            </w:r>
            <w:r>
              <w:rPr>
                <w:spacing w:val="-6"/>
                <w:w w:val="95"/>
                <w:sz w:val="21"/>
              </w:rPr>
              <w:t>式输送</w:t>
            </w:r>
          </w:p>
          <w:p>
            <w:pPr>
              <w:pStyle w:val="14"/>
              <w:spacing w:line="269" w:lineRule="exact"/>
              <w:ind w:left="154"/>
              <w:jc w:val="left"/>
              <w:rPr>
                <w:sz w:val="21"/>
              </w:rPr>
            </w:pPr>
            <w:r>
              <w:rPr>
                <w:w w:val="95"/>
                <w:sz w:val="21"/>
              </w:rPr>
              <w:t>机栈桥</w:t>
            </w:r>
          </w:p>
        </w:tc>
        <w:tc>
          <w:tcPr>
            <w:tcW w:w="766" w:type="dxa"/>
          </w:tcPr>
          <w:p>
            <w:pPr>
              <w:pStyle w:val="14"/>
              <w:spacing w:before="2"/>
              <w:jc w:val="left"/>
              <w:rPr>
                <w:rFonts w:ascii="黑体"/>
                <w:sz w:val="27"/>
              </w:rPr>
            </w:pPr>
          </w:p>
          <w:p>
            <w:pPr>
              <w:pStyle w:val="14"/>
              <w:ind w:left="5"/>
              <w:rPr>
                <w:rFonts w:ascii="Times New Roman"/>
                <w:sz w:val="21"/>
              </w:rPr>
            </w:pPr>
            <w:r>
              <w:rPr>
                <w:rFonts w:ascii="Times New Roman"/>
                <w:w w:val="99"/>
                <w:sz w:val="21"/>
              </w:rPr>
              <w:t>3</w:t>
            </w:r>
          </w:p>
        </w:tc>
        <w:tc>
          <w:tcPr>
            <w:tcW w:w="652" w:type="dxa"/>
          </w:tcPr>
          <w:p>
            <w:pPr>
              <w:pStyle w:val="14"/>
              <w:spacing w:before="2"/>
              <w:jc w:val="left"/>
              <w:rPr>
                <w:rFonts w:ascii="黑体"/>
                <w:sz w:val="27"/>
              </w:rPr>
            </w:pPr>
          </w:p>
          <w:p>
            <w:pPr>
              <w:pStyle w:val="14"/>
              <w:ind w:left="200" w:right="192"/>
              <w:rPr>
                <w:rFonts w:ascii="Times New Roman"/>
                <w:sz w:val="21"/>
              </w:rPr>
            </w:pPr>
            <w:r>
              <w:rPr>
                <w:rFonts w:ascii="Times New Roman"/>
                <w:sz w:val="21"/>
              </w:rPr>
              <w:t>92</w:t>
            </w:r>
          </w:p>
        </w:tc>
        <w:tc>
          <w:tcPr>
            <w:tcW w:w="2347" w:type="dxa"/>
          </w:tcPr>
          <w:p>
            <w:pPr>
              <w:pStyle w:val="14"/>
              <w:spacing w:before="178" w:line="278" w:lineRule="auto"/>
              <w:ind w:left="436" w:right="47" w:hanging="380"/>
              <w:jc w:val="left"/>
              <w:rPr>
                <w:sz w:val="21"/>
              </w:rPr>
            </w:pPr>
            <w:r>
              <w:rPr>
                <w:spacing w:val="-10"/>
                <w:sz w:val="21"/>
              </w:rPr>
              <w:t>封闭栈桥；电机设减震基</w:t>
            </w:r>
            <w:r>
              <w:rPr>
                <w:sz w:val="21"/>
              </w:rPr>
              <w:t>础并加装隔声罩</w:t>
            </w:r>
          </w:p>
        </w:tc>
        <w:tc>
          <w:tcPr>
            <w:tcW w:w="683" w:type="dxa"/>
          </w:tcPr>
          <w:p>
            <w:pPr>
              <w:pStyle w:val="14"/>
              <w:spacing w:before="2"/>
              <w:jc w:val="left"/>
              <w:rPr>
                <w:rFonts w:ascii="黑体"/>
                <w:sz w:val="27"/>
              </w:rPr>
            </w:pPr>
          </w:p>
          <w:p>
            <w:pPr>
              <w:pStyle w:val="14"/>
              <w:ind w:left="215" w:right="207"/>
              <w:rPr>
                <w:rFonts w:ascii="Times New Roman"/>
                <w:sz w:val="21"/>
              </w:rPr>
            </w:pPr>
            <w:r>
              <w:rPr>
                <w:rFonts w:ascii="Times New Roman"/>
                <w:sz w:val="21"/>
              </w:rPr>
              <w:t>20</w:t>
            </w:r>
          </w:p>
        </w:tc>
        <w:tc>
          <w:tcPr>
            <w:tcW w:w="877" w:type="dxa"/>
          </w:tcPr>
          <w:p>
            <w:pPr>
              <w:pStyle w:val="14"/>
              <w:spacing w:before="2"/>
              <w:jc w:val="left"/>
              <w:rPr>
                <w:rFonts w:ascii="黑体"/>
                <w:sz w:val="27"/>
              </w:rPr>
            </w:pPr>
          </w:p>
          <w:p>
            <w:pPr>
              <w:pStyle w:val="14"/>
              <w:ind w:right="322"/>
              <w:jc w:val="right"/>
              <w:rPr>
                <w:rFonts w:ascii="Times New Roman"/>
                <w:sz w:val="21"/>
              </w:rPr>
            </w:pPr>
            <w:r>
              <w:rPr>
                <w:rFonts w:ascii="Times New Roman"/>
                <w:sz w:val="21"/>
              </w:rPr>
              <w:t>72</w:t>
            </w:r>
          </w:p>
        </w:tc>
        <w:tc>
          <w:tcPr>
            <w:tcW w:w="897" w:type="dxa"/>
            <w:tcBorders>
              <w:top w:val="nil"/>
              <w:bottom w:val="nil"/>
            </w:tcBorders>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96" w:type="dxa"/>
          </w:tcPr>
          <w:p>
            <w:pPr>
              <w:pStyle w:val="14"/>
              <w:spacing w:before="191"/>
              <w:ind w:right="183"/>
              <w:jc w:val="right"/>
              <w:rPr>
                <w:rFonts w:ascii="Times New Roman"/>
                <w:sz w:val="21"/>
              </w:rPr>
            </w:pPr>
            <w:r>
              <w:rPr>
                <w:rFonts w:ascii="Times New Roman"/>
                <w:w w:val="99"/>
                <w:sz w:val="21"/>
              </w:rPr>
              <w:t>3</w:t>
            </w:r>
          </w:p>
        </w:tc>
        <w:tc>
          <w:tcPr>
            <w:tcW w:w="848" w:type="dxa"/>
          </w:tcPr>
          <w:p>
            <w:pPr>
              <w:pStyle w:val="14"/>
              <w:spacing w:before="177"/>
              <w:ind w:left="87" w:right="81"/>
              <w:rPr>
                <w:sz w:val="21"/>
              </w:rPr>
            </w:pPr>
            <w:r>
              <w:rPr>
                <w:sz w:val="21"/>
              </w:rPr>
              <w:t>通风机</w:t>
            </w:r>
          </w:p>
        </w:tc>
        <w:tc>
          <w:tcPr>
            <w:tcW w:w="940" w:type="dxa"/>
          </w:tcPr>
          <w:p>
            <w:pPr>
              <w:pStyle w:val="14"/>
              <w:spacing w:before="21"/>
              <w:ind w:left="134" w:right="126"/>
              <w:rPr>
                <w:sz w:val="21"/>
              </w:rPr>
            </w:pPr>
            <w:r>
              <w:rPr>
                <w:sz w:val="21"/>
              </w:rPr>
              <w:t>通风机</w:t>
            </w:r>
          </w:p>
          <w:p>
            <w:pPr>
              <w:pStyle w:val="14"/>
              <w:spacing w:before="43"/>
              <w:ind w:left="6"/>
              <w:rPr>
                <w:sz w:val="21"/>
              </w:rPr>
            </w:pPr>
            <w:r>
              <w:rPr>
                <w:w w:val="99"/>
                <w:sz w:val="21"/>
              </w:rPr>
              <w:t>房</w:t>
            </w:r>
          </w:p>
        </w:tc>
        <w:tc>
          <w:tcPr>
            <w:tcW w:w="766" w:type="dxa"/>
          </w:tcPr>
          <w:p>
            <w:pPr>
              <w:pStyle w:val="14"/>
              <w:spacing w:before="191"/>
              <w:ind w:left="5"/>
              <w:rPr>
                <w:rFonts w:ascii="Times New Roman"/>
                <w:sz w:val="21"/>
              </w:rPr>
            </w:pPr>
            <w:r>
              <w:rPr>
                <w:rFonts w:ascii="Times New Roman"/>
                <w:w w:val="99"/>
                <w:sz w:val="21"/>
              </w:rPr>
              <w:t>1</w:t>
            </w:r>
          </w:p>
        </w:tc>
        <w:tc>
          <w:tcPr>
            <w:tcW w:w="652" w:type="dxa"/>
          </w:tcPr>
          <w:p>
            <w:pPr>
              <w:pStyle w:val="14"/>
              <w:spacing w:before="191"/>
              <w:ind w:left="200" w:right="192"/>
              <w:rPr>
                <w:rFonts w:ascii="Times New Roman"/>
                <w:sz w:val="21"/>
              </w:rPr>
            </w:pPr>
            <w:r>
              <w:rPr>
                <w:rFonts w:ascii="Times New Roman"/>
                <w:sz w:val="21"/>
              </w:rPr>
              <w:t>88</w:t>
            </w:r>
          </w:p>
        </w:tc>
        <w:tc>
          <w:tcPr>
            <w:tcW w:w="2347" w:type="dxa"/>
          </w:tcPr>
          <w:p>
            <w:pPr>
              <w:pStyle w:val="14"/>
              <w:spacing w:before="177"/>
              <w:ind w:left="8"/>
              <w:rPr>
                <w:sz w:val="21"/>
              </w:rPr>
            </w:pPr>
            <w:r>
              <w:rPr>
                <w:sz w:val="21"/>
              </w:rPr>
              <w:t>隔声减振</w:t>
            </w:r>
          </w:p>
        </w:tc>
        <w:tc>
          <w:tcPr>
            <w:tcW w:w="683" w:type="dxa"/>
          </w:tcPr>
          <w:p>
            <w:pPr>
              <w:pStyle w:val="14"/>
              <w:spacing w:before="191"/>
              <w:ind w:left="215" w:right="207"/>
              <w:rPr>
                <w:rFonts w:ascii="Times New Roman"/>
                <w:sz w:val="21"/>
              </w:rPr>
            </w:pPr>
            <w:r>
              <w:rPr>
                <w:rFonts w:ascii="Times New Roman"/>
                <w:sz w:val="21"/>
              </w:rPr>
              <w:t>20</w:t>
            </w:r>
          </w:p>
        </w:tc>
        <w:tc>
          <w:tcPr>
            <w:tcW w:w="877" w:type="dxa"/>
          </w:tcPr>
          <w:p>
            <w:pPr>
              <w:pStyle w:val="14"/>
              <w:spacing w:before="191"/>
              <w:ind w:right="322"/>
              <w:jc w:val="right"/>
              <w:rPr>
                <w:rFonts w:ascii="Times New Roman"/>
                <w:sz w:val="21"/>
              </w:rPr>
            </w:pPr>
            <w:r>
              <w:rPr>
                <w:rFonts w:ascii="Times New Roman"/>
                <w:sz w:val="21"/>
              </w:rPr>
              <w:t>68</w:t>
            </w:r>
          </w:p>
        </w:tc>
        <w:tc>
          <w:tcPr>
            <w:tcW w:w="897" w:type="dxa"/>
            <w:tcBorders>
              <w:top w:val="nil"/>
              <w:bottom w:val="nil"/>
            </w:tcBorders>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96" w:type="dxa"/>
            <w:tcBorders>
              <w:bottom w:val="nil"/>
            </w:tcBorders>
          </w:tcPr>
          <w:p>
            <w:pPr>
              <w:pStyle w:val="14"/>
              <w:jc w:val="left"/>
              <w:rPr>
                <w:rFonts w:ascii="Times New Roman"/>
                <w:sz w:val="20"/>
              </w:rPr>
            </w:pPr>
          </w:p>
        </w:tc>
        <w:tc>
          <w:tcPr>
            <w:tcW w:w="848" w:type="dxa"/>
            <w:tcBorders>
              <w:bottom w:val="nil"/>
            </w:tcBorders>
          </w:tcPr>
          <w:p>
            <w:pPr>
              <w:pStyle w:val="14"/>
              <w:jc w:val="left"/>
              <w:rPr>
                <w:rFonts w:ascii="Times New Roman"/>
                <w:sz w:val="20"/>
              </w:rPr>
            </w:pPr>
          </w:p>
        </w:tc>
        <w:tc>
          <w:tcPr>
            <w:tcW w:w="940" w:type="dxa"/>
            <w:tcBorders>
              <w:bottom w:val="nil"/>
            </w:tcBorders>
          </w:tcPr>
          <w:p>
            <w:pPr>
              <w:pStyle w:val="14"/>
              <w:jc w:val="left"/>
              <w:rPr>
                <w:rFonts w:ascii="Times New Roman"/>
                <w:sz w:val="20"/>
              </w:rPr>
            </w:pPr>
          </w:p>
        </w:tc>
        <w:tc>
          <w:tcPr>
            <w:tcW w:w="766" w:type="dxa"/>
            <w:tcBorders>
              <w:bottom w:val="nil"/>
            </w:tcBorders>
          </w:tcPr>
          <w:p>
            <w:pPr>
              <w:pStyle w:val="14"/>
              <w:jc w:val="left"/>
              <w:rPr>
                <w:rFonts w:ascii="Times New Roman"/>
                <w:sz w:val="20"/>
              </w:rPr>
            </w:pPr>
          </w:p>
        </w:tc>
        <w:tc>
          <w:tcPr>
            <w:tcW w:w="652" w:type="dxa"/>
            <w:tcBorders>
              <w:bottom w:val="nil"/>
            </w:tcBorders>
          </w:tcPr>
          <w:p>
            <w:pPr>
              <w:pStyle w:val="14"/>
              <w:jc w:val="left"/>
              <w:rPr>
                <w:rFonts w:ascii="Times New Roman"/>
                <w:sz w:val="20"/>
              </w:rPr>
            </w:pPr>
          </w:p>
        </w:tc>
        <w:tc>
          <w:tcPr>
            <w:tcW w:w="2347" w:type="dxa"/>
            <w:tcBorders>
              <w:bottom w:val="nil"/>
            </w:tcBorders>
          </w:tcPr>
          <w:p>
            <w:pPr>
              <w:pStyle w:val="14"/>
              <w:spacing w:before="21"/>
              <w:ind w:left="57" w:right="-44"/>
              <w:rPr>
                <w:sz w:val="21"/>
              </w:rPr>
            </w:pPr>
            <w:r>
              <w:rPr>
                <w:sz w:val="21"/>
              </w:rPr>
              <w:t>对空压机采用隔振机座，</w:t>
            </w:r>
          </w:p>
        </w:tc>
        <w:tc>
          <w:tcPr>
            <w:tcW w:w="683" w:type="dxa"/>
            <w:tcBorders>
              <w:bottom w:val="nil"/>
            </w:tcBorders>
          </w:tcPr>
          <w:p>
            <w:pPr>
              <w:pStyle w:val="14"/>
              <w:jc w:val="left"/>
              <w:rPr>
                <w:rFonts w:ascii="Times New Roman"/>
                <w:sz w:val="20"/>
              </w:rPr>
            </w:pPr>
          </w:p>
        </w:tc>
        <w:tc>
          <w:tcPr>
            <w:tcW w:w="877" w:type="dxa"/>
            <w:tcBorders>
              <w:bottom w:val="nil"/>
            </w:tcBorders>
          </w:tcPr>
          <w:p>
            <w:pPr>
              <w:pStyle w:val="14"/>
              <w:jc w:val="left"/>
              <w:rPr>
                <w:rFonts w:ascii="Times New Roman"/>
                <w:sz w:val="20"/>
              </w:rPr>
            </w:pPr>
          </w:p>
        </w:tc>
        <w:tc>
          <w:tcPr>
            <w:tcW w:w="897" w:type="dxa"/>
            <w:tcBorders>
              <w:top w:val="nil"/>
              <w:bottom w:val="nil"/>
            </w:tcBorders>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496" w:type="dxa"/>
            <w:tcBorders>
              <w:top w:val="nil"/>
              <w:bottom w:val="nil"/>
            </w:tcBorders>
          </w:tcPr>
          <w:p>
            <w:pPr>
              <w:pStyle w:val="14"/>
              <w:spacing w:before="191"/>
              <w:ind w:right="183"/>
              <w:jc w:val="right"/>
              <w:rPr>
                <w:rFonts w:ascii="Times New Roman"/>
                <w:sz w:val="21"/>
              </w:rPr>
            </w:pPr>
            <w:r>
              <w:rPr>
                <w:rFonts w:ascii="Times New Roman"/>
                <w:w w:val="99"/>
                <w:sz w:val="21"/>
              </w:rPr>
              <w:t>4</w:t>
            </w:r>
          </w:p>
        </w:tc>
        <w:tc>
          <w:tcPr>
            <w:tcW w:w="848" w:type="dxa"/>
            <w:tcBorders>
              <w:top w:val="nil"/>
              <w:bottom w:val="nil"/>
            </w:tcBorders>
          </w:tcPr>
          <w:p>
            <w:pPr>
              <w:pStyle w:val="14"/>
              <w:spacing w:before="21"/>
              <w:ind w:left="87" w:right="81"/>
              <w:rPr>
                <w:sz w:val="21"/>
              </w:rPr>
            </w:pPr>
            <w:r>
              <w:rPr>
                <w:sz w:val="21"/>
              </w:rPr>
              <w:t>空气压</w:t>
            </w:r>
          </w:p>
          <w:p>
            <w:pPr>
              <w:pStyle w:val="14"/>
              <w:spacing w:before="43"/>
              <w:ind w:left="87" w:right="81"/>
              <w:rPr>
                <w:sz w:val="21"/>
              </w:rPr>
            </w:pPr>
            <w:r>
              <w:rPr>
                <w:sz w:val="21"/>
              </w:rPr>
              <w:t>缩机</w:t>
            </w:r>
          </w:p>
        </w:tc>
        <w:tc>
          <w:tcPr>
            <w:tcW w:w="940" w:type="dxa"/>
            <w:tcBorders>
              <w:top w:val="nil"/>
              <w:bottom w:val="nil"/>
            </w:tcBorders>
          </w:tcPr>
          <w:p>
            <w:pPr>
              <w:pStyle w:val="14"/>
              <w:spacing w:before="21"/>
              <w:ind w:left="134" w:right="126"/>
              <w:rPr>
                <w:sz w:val="21"/>
              </w:rPr>
            </w:pPr>
            <w:r>
              <w:rPr>
                <w:sz w:val="21"/>
              </w:rPr>
              <w:t>压风机</w:t>
            </w:r>
          </w:p>
          <w:p>
            <w:pPr>
              <w:pStyle w:val="14"/>
              <w:spacing w:before="43"/>
              <w:ind w:left="6"/>
              <w:rPr>
                <w:sz w:val="21"/>
              </w:rPr>
            </w:pPr>
            <w:r>
              <w:rPr>
                <w:w w:val="99"/>
                <w:sz w:val="21"/>
              </w:rPr>
              <w:t>站</w:t>
            </w:r>
          </w:p>
        </w:tc>
        <w:tc>
          <w:tcPr>
            <w:tcW w:w="766" w:type="dxa"/>
            <w:tcBorders>
              <w:top w:val="nil"/>
              <w:bottom w:val="nil"/>
            </w:tcBorders>
          </w:tcPr>
          <w:p>
            <w:pPr>
              <w:pStyle w:val="14"/>
              <w:spacing w:before="191"/>
              <w:ind w:left="5"/>
              <w:rPr>
                <w:rFonts w:ascii="Times New Roman"/>
                <w:sz w:val="21"/>
              </w:rPr>
            </w:pPr>
            <w:r>
              <w:rPr>
                <w:rFonts w:ascii="Times New Roman"/>
                <w:w w:val="99"/>
                <w:sz w:val="21"/>
              </w:rPr>
              <w:t>1</w:t>
            </w:r>
          </w:p>
        </w:tc>
        <w:tc>
          <w:tcPr>
            <w:tcW w:w="652" w:type="dxa"/>
            <w:tcBorders>
              <w:top w:val="nil"/>
              <w:bottom w:val="nil"/>
            </w:tcBorders>
          </w:tcPr>
          <w:p>
            <w:pPr>
              <w:pStyle w:val="14"/>
              <w:spacing w:before="191"/>
              <w:ind w:left="200" w:right="192"/>
              <w:rPr>
                <w:rFonts w:ascii="Times New Roman"/>
                <w:sz w:val="21"/>
              </w:rPr>
            </w:pPr>
            <w:r>
              <w:rPr>
                <w:rFonts w:ascii="Times New Roman"/>
                <w:sz w:val="21"/>
              </w:rPr>
              <w:t>95</w:t>
            </w:r>
          </w:p>
        </w:tc>
        <w:tc>
          <w:tcPr>
            <w:tcW w:w="2347" w:type="dxa"/>
            <w:tcBorders>
              <w:top w:val="nil"/>
              <w:bottom w:val="nil"/>
            </w:tcBorders>
          </w:tcPr>
          <w:p>
            <w:pPr>
              <w:pStyle w:val="14"/>
              <w:spacing w:before="21"/>
              <w:ind w:left="57"/>
              <w:jc w:val="left"/>
              <w:rPr>
                <w:sz w:val="21"/>
              </w:rPr>
            </w:pPr>
            <w:r>
              <w:rPr>
                <w:spacing w:val="-8"/>
                <w:w w:val="95"/>
                <w:sz w:val="21"/>
              </w:rPr>
              <w:t>进排气口安装消声器，对</w:t>
            </w:r>
          </w:p>
          <w:p>
            <w:pPr>
              <w:pStyle w:val="14"/>
              <w:spacing w:before="43"/>
              <w:ind w:left="57"/>
              <w:jc w:val="left"/>
              <w:rPr>
                <w:sz w:val="21"/>
              </w:rPr>
            </w:pPr>
            <w:r>
              <w:rPr>
                <w:spacing w:val="-9"/>
                <w:w w:val="95"/>
                <w:sz w:val="21"/>
              </w:rPr>
              <w:t>机房墙壁、顶棚进行吸声</w:t>
            </w:r>
          </w:p>
        </w:tc>
        <w:tc>
          <w:tcPr>
            <w:tcW w:w="683" w:type="dxa"/>
            <w:tcBorders>
              <w:top w:val="nil"/>
              <w:bottom w:val="nil"/>
            </w:tcBorders>
          </w:tcPr>
          <w:p>
            <w:pPr>
              <w:pStyle w:val="14"/>
              <w:spacing w:before="191"/>
              <w:ind w:left="215" w:right="207"/>
              <w:rPr>
                <w:rFonts w:ascii="Times New Roman"/>
                <w:sz w:val="21"/>
              </w:rPr>
            </w:pPr>
            <w:r>
              <w:rPr>
                <w:rFonts w:ascii="Times New Roman"/>
                <w:sz w:val="21"/>
              </w:rPr>
              <w:t>25</w:t>
            </w:r>
          </w:p>
        </w:tc>
        <w:tc>
          <w:tcPr>
            <w:tcW w:w="877" w:type="dxa"/>
            <w:tcBorders>
              <w:top w:val="nil"/>
              <w:bottom w:val="nil"/>
            </w:tcBorders>
          </w:tcPr>
          <w:p>
            <w:pPr>
              <w:pStyle w:val="14"/>
              <w:spacing w:before="191"/>
              <w:ind w:right="322"/>
              <w:jc w:val="right"/>
              <w:rPr>
                <w:rFonts w:ascii="Times New Roman"/>
                <w:sz w:val="21"/>
              </w:rPr>
            </w:pPr>
            <w:r>
              <w:rPr>
                <w:rFonts w:ascii="Times New Roman"/>
                <w:sz w:val="21"/>
              </w:rPr>
              <w:t>70</w:t>
            </w:r>
          </w:p>
        </w:tc>
        <w:tc>
          <w:tcPr>
            <w:tcW w:w="897" w:type="dxa"/>
            <w:tcBorders>
              <w:top w:val="nil"/>
              <w:bottom w:val="nil"/>
            </w:tcBorders>
          </w:tcPr>
          <w:p>
            <w:pPr>
              <w:pStyle w:val="14"/>
              <w:jc w:val="left"/>
              <w:rPr>
                <w:rFonts w:ascii="黑体"/>
                <w:sz w:val="20"/>
              </w:rPr>
            </w:pPr>
          </w:p>
          <w:p>
            <w:pPr>
              <w:pStyle w:val="14"/>
              <w:spacing w:before="151" w:line="234" w:lineRule="exact"/>
              <w:ind w:left="139" w:right="133"/>
              <w:rPr>
                <w:sz w:val="21"/>
              </w:rPr>
            </w:pPr>
            <w:r>
              <w:rPr>
                <w:sz w:val="21"/>
              </w:rPr>
              <w:t>昼间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496" w:type="dxa"/>
            <w:tcBorders>
              <w:top w:val="nil"/>
            </w:tcBorders>
          </w:tcPr>
          <w:p>
            <w:pPr>
              <w:pStyle w:val="14"/>
              <w:jc w:val="left"/>
              <w:rPr>
                <w:rFonts w:ascii="Times New Roman"/>
                <w:sz w:val="20"/>
              </w:rPr>
            </w:pPr>
          </w:p>
        </w:tc>
        <w:tc>
          <w:tcPr>
            <w:tcW w:w="848" w:type="dxa"/>
            <w:tcBorders>
              <w:top w:val="nil"/>
            </w:tcBorders>
          </w:tcPr>
          <w:p>
            <w:pPr>
              <w:pStyle w:val="14"/>
              <w:jc w:val="left"/>
              <w:rPr>
                <w:rFonts w:ascii="Times New Roman"/>
                <w:sz w:val="20"/>
              </w:rPr>
            </w:pPr>
          </w:p>
        </w:tc>
        <w:tc>
          <w:tcPr>
            <w:tcW w:w="940" w:type="dxa"/>
            <w:tcBorders>
              <w:top w:val="nil"/>
            </w:tcBorders>
          </w:tcPr>
          <w:p>
            <w:pPr>
              <w:pStyle w:val="14"/>
              <w:jc w:val="left"/>
              <w:rPr>
                <w:rFonts w:ascii="Times New Roman"/>
                <w:sz w:val="20"/>
              </w:rPr>
            </w:pPr>
          </w:p>
        </w:tc>
        <w:tc>
          <w:tcPr>
            <w:tcW w:w="766" w:type="dxa"/>
            <w:tcBorders>
              <w:top w:val="nil"/>
            </w:tcBorders>
          </w:tcPr>
          <w:p>
            <w:pPr>
              <w:pStyle w:val="14"/>
              <w:jc w:val="left"/>
              <w:rPr>
                <w:rFonts w:ascii="Times New Roman"/>
                <w:sz w:val="20"/>
              </w:rPr>
            </w:pPr>
          </w:p>
        </w:tc>
        <w:tc>
          <w:tcPr>
            <w:tcW w:w="652" w:type="dxa"/>
            <w:tcBorders>
              <w:top w:val="nil"/>
            </w:tcBorders>
          </w:tcPr>
          <w:p>
            <w:pPr>
              <w:pStyle w:val="14"/>
              <w:jc w:val="left"/>
              <w:rPr>
                <w:rFonts w:ascii="Times New Roman"/>
                <w:sz w:val="20"/>
              </w:rPr>
            </w:pPr>
          </w:p>
        </w:tc>
        <w:tc>
          <w:tcPr>
            <w:tcW w:w="2347" w:type="dxa"/>
            <w:tcBorders>
              <w:top w:val="nil"/>
            </w:tcBorders>
          </w:tcPr>
          <w:p>
            <w:pPr>
              <w:pStyle w:val="14"/>
              <w:spacing w:line="253" w:lineRule="exact"/>
              <w:ind w:left="8"/>
              <w:rPr>
                <w:sz w:val="21"/>
              </w:rPr>
            </w:pPr>
            <w:r>
              <w:rPr>
                <w:sz w:val="21"/>
              </w:rPr>
              <w:t>处理，门窗采用隔声门窗</w:t>
            </w:r>
          </w:p>
        </w:tc>
        <w:tc>
          <w:tcPr>
            <w:tcW w:w="683" w:type="dxa"/>
            <w:tcBorders>
              <w:top w:val="nil"/>
            </w:tcBorders>
          </w:tcPr>
          <w:p>
            <w:pPr>
              <w:pStyle w:val="14"/>
              <w:jc w:val="left"/>
              <w:rPr>
                <w:rFonts w:ascii="Times New Roman"/>
                <w:sz w:val="20"/>
              </w:rPr>
            </w:pPr>
          </w:p>
        </w:tc>
        <w:tc>
          <w:tcPr>
            <w:tcW w:w="877" w:type="dxa"/>
            <w:tcBorders>
              <w:top w:val="nil"/>
            </w:tcBorders>
          </w:tcPr>
          <w:p>
            <w:pPr>
              <w:pStyle w:val="14"/>
              <w:jc w:val="left"/>
              <w:rPr>
                <w:rFonts w:ascii="Times New Roman"/>
                <w:sz w:val="20"/>
              </w:rPr>
            </w:pPr>
          </w:p>
        </w:tc>
        <w:tc>
          <w:tcPr>
            <w:tcW w:w="897" w:type="dxa"/>
            <w:vMerge w:val="restart"/>
            <w:tcBorders>
              <w:top w:val="nil"/>
              <w:bottom w:val="nil"/>
            </w:tcBorders>
          </w:tcPr>
          <w:p>
            <w:pPr>
              <w:pStyle w:val="14"/>
              <w:spacing w:before="72"/>
              <w:ind w:left="163"/>
              <w:jc w:val="left"/>
              <w:rPr>
                <w:rFonts w:ascii="Times New Roman" w:hAnsi="Times New Roman"/>
                <w:sz w:val="21"/>
              </w:rPr>
            </w:pPr>
            <w:r>
              <w:rPr>
                <w:rFonts w:ascii="Times New Roman" w:hAnsi="Times New Roman"/>
                <w:sz w:val="21"/>
              </w:rPr>
              <w:t>≤60dB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 w:hRule="atLeast"/>
        </w:trPr>
        <w:tc>
          <w:tcPr>
            <w:tcW w:w="496" w:type="dxa"/>
            <w:tcBorders>
              <w:bottom w:val="nil"/>
            </w:tcBorders>
          </w:tcPr>
          <w:p>
            <w:pPr>
              <w:pStyle w:val="14"/>
              <w:jc w:val="left"/>
              <w:rPr>
                <w:rFonts w:ascii="Times New Roman"/>
                <w:sz w:val="2"/>
              </w:rPr>
            </w:pPr>
          </w:p>
        </w:tc>
        <w:tc>
          <w:tcPr>
            <w:tcW w:w="848" w:type="dxa"/>
            <w:vMerge w:val="restart"/>
          </w:tcPr>
          <w:p>
            <w:pPr>
              <w:pStyle w:val="14"/>
              <w:spacing w:before="49"/>
              <w:ind w:left="107"/>
              <w:jc w:val="left"/>
              <w:rPr>
                <w:sz w:val="21"/>
              </w:rPr>
            </w:pPr>
            <w:r>
              <w:rPr>
                <w:sz w:val="21"/>
              </w:rPr>
              <w:t>鼓风机</w:t>
            </w:r>
          </w:p>
        </w:tc>
        <w:tc>
          <w:tcPr>
            <w:tcW w:w="940" w:type="dxa"/>
            <w:tcBorders>
              <w:bottom w:val="nil"/>
            </w:tcBorders>
          </w:tcPr>
          <w:p>
            <w:pPr>
              <w:pStyle w:val="14"/>
              <w:jc w:val="left"/>
              <w:rPr>
                <w:rFonts w:ascii="Times New Roman"/>
                <w:sz w:val="2"/>
              </w:rPr>
            </w:pPr>
          </w:p>
        </w:tc>
        <w:tc>
          <w:tcPr>
            <w:tcW w:w="766" w:type="dxa"/>
            <w:vMerge w:val="restart"/>
          </w:tcPr>
          <w:p>
            <w:pPr>
              <w:pStyle w:val="14"/>
              <w:spacing w:before="63"/>
              <w:ind w:left="5"/>
              <w:rPr>
                <w:rFonts w:ascii="Times New Roman"/>
                <w:sz w:val="21"/>
              </w:rPr>
            </w:pPr>
            <w:r>
              <w:rPr>
                <w:rFonts w:ascii="Times New Roman"/>
                <w:w w:val="99"/>
                <w:sz w:val="21"/>
              </w:rPr>
              <w:t>1</w:t>
            </w:r>
          </w:p>
        </w:tc>
        <w:tc>
          <w:tcPr>
            <w:tcW w:w="652" w:type="dxa"/>
            <w:vMerge w:val="restart"/>
          </w:tcPr>
          <w:p>
            <w:pPr>
              <w:pStyle w:val="14"/>
              <w:spacing w:before="63"/>
              <w:ind w:left="220"/>
              <w:jc w:val="left"/>
              <w:rPr>
                <w:rFonts w:ascii="Times New Roman"/>
                <w:sz w:val="21"/>
              </w:rPr>
            </w:pPr>
            <w:r>
              <w:rPr>
                <w:rFonts w:ascii="Times New Roman"/>
                <w:sz w:val="21"/>
              </w:rPr>
              <w:t>85</w:t>
            </w:r>
          </w:p>
        </w:tc>
        <w:tc>
          <w:tcPr>
            <w:tcW w:w="2347" w:type="dxa"/>
            <w:tcBorders>
              <w:bottom w:val="nil"/>
            </w:tcBorders>
          </w:tcPr>
          <w:p>
            <w:pPr>
              <w:pStyle w:val="14"/>
              <w:jc w:val="left"/>
              <w:rPr>
                <w:rFonts w:ascii="Times New Roman"/>
                <w:sz w:val="2"/>
              </w:rPr>
            </w:pPr>
          </w:p>
        </w:tc>
        <w:tc>
          <w:tcPr>
            <w:tcW w:w="683" w:type="dxa"/>
            <w:vMerge w:val="restart"/>
          </w:tcPr>
          <w:p>
            <w:pPr>
              <w:pStyle w:val="14"/>
              <w:spacing w:before="63"/>
              <w:ind w:left="215" w:right="207"/>
              <w:rPr>
                <w:rFonts w:ascii="Times New Roman"/>
                <w:sz w:val="21"/>
              </w:rPr>
            </w:pPr>
            <w:r>
              <w:rPr>
                <w:rFonts w:ascii="Times New Roman"/>
                <w:sz w:val="21"/>
              </w:rPr>
              <w:t>20</w:t>
            </w:r>
          </w:p>
        </w:tc>
        <w:tc>
          <w:tcPr>
            <w:tcW w:w="877" w:type="dxa"/>
            <w:vMerge w:val="restart"/>
          </w:tcPr>
          <w:p>
            <w:pPr>
              <w:pStyle w:val="14"/>
              <w:spacing w:before="63"/>
              <w:ind w:left="205" w:right="197"/>
              <w:rPr>
                <w:rFonts w:ascii="Times New Roman"/>
                <w:sz w:val="21"/>
              </w:rPr>
            </w:pPr>
            <w:r>
              <w:rPr>
                <w:rFonts w:ascii="Times New Roman"/>
                <w:sz w:val="21"/>
              </w:rPr>
              <w:t>60</w:t>
            </w:r>
          </w:p>
        </w:tc>
        <w:tc>
          <w:tcPr>
            <w:tcW w:w="897"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atLeast"/>
        </w:trPr>
        <w:tc>
          <w:tcPr>
            <w:tcW w:w="496" w:type="dxa"/>
            <w:vMerge w:val="restart"/>
            <w:tcBorders>
              <w:top w:val="nil"/>
              <w:bottom w:val="nil"/>
            </w:tcBorders>
          </w:tcPr>
          <w:p>
            <w:pPr>
              <w:pStyle w:val="14"/>
              <w:spacing w:before="181"/>
              <w:ind w:left="10"/>
              <w:rPr>
                <w:rFonts w:ascii="Times New Roman"/>
                <w:sz w:val="21"/>
              </w:rPr>
            </w:pPr>
            <w:r>
              <w:rPr>
                <w:rFonts w:ascii="Times New Roman"/>
                <w:w w:val="99"/>
                <w:sz w:val="21"/>
              </w:rPr>
              <w:t>5</w:t>
            </w:r>
          </w:p>
        </w:tc>
        <w:tc>
          <w:tcPr>
            <w:tcW w:w="848" w:type="dxa"/>
            <w:vMerge w:val="continue"/>
            <w:tcBorders>
              <w:top w:val="nil"/>
            </w:tcBorders>
          </w:tcPr>
          <w:p>
            <w:pPr>
              <w:rPr>
                <w:sz w:val="2"/>
                <w:szCs w:val="2"/>
              </w:rPr>
            </w:pPr>
          </w:p>
        </w:tc>
        <w:tc>
          <w:tcPr>
            <w:tcW w:w="940" w:type="dxa"/>
            <w:vMerge w:val="restart"/>
            <w:tcBorders>
              <w:top w:val="nil"/>
              <w:bottom w:val="nil"/>
            </w:tcBorders>
          </w:tcPr>
          <w:p>
            <w:pPr>
              <w:pStyle w:val="14"/>
              <w:spacing w:before="167"/>
              <w:ind w:left="154"/>
              <w:jc w:val="left"/>
              <w:rPr>
                <w:sz w:val="21"/>
              </w:rPr>
            </w:pPr>
            <w:r>
              <w:rPr>
                <w:sz w:val="21"/>
              </w:rPr>
              <w:t>锅炉房</w:t>
            </w:r>
          </w:p>
        </w:tc>
        <w:tc>
          <w:tcPr>
            <w:tcW w:w="766" w:type="dxa"/>
            <w:vMerge w:val="continue"/>
            <w:tcBorders>
              <w:top w:val="nil"/>
            </w:tcBorders>
          </w:tcPr>
          <w:p>
            <w:pPr>
              <w:rPr>
                <w:sz w:val="2"/>
                <w:szCs w:val="2"/>
              </w:rPr>
            </w:pPr>
          </w:p>
        </w:tc>
        <w:tc>
          <w:tcPr>
            <w:tcW w:w="652" w:type="dxa"/>
            <w:vMerge w:val="continue"/>
            <w:tcBorders>
              <w:top w:val="nil"/>
            </w:tcBorders>
          </w:tcPr>
          <w:p>
            <w:pPr>
              <w:rPr>
                <w:sz w:val="2"/>
                <w:szCs w:val="2"/>
              </w:rPr>
            </w:pPr>
          </w:p>
        </w:tc>
        <w:tc>
          <w:tcPr>
            <w:tcW w:w="2347" w:type="dxa"/>
            <w:vMerge w:val="restart"/>
            <w:tcBorders>
              <w:top w:val="nil"/>
              <w:bottom w:val="nil"/>
            </w:tcBorders>
          </w:tcPr>
          <w:p>
            <w:pPr>
              <w:pStyle w:val="14"/>
              <w:spacing w:before="11"/>
              <w:ind w:left="8"/>
              <w:rPr>
                <w:sz w:val="21"/>
              </w:rPr>
            </w:pPr>
            <w:r>
              <w:rPr>
                <w:sz w:val="21"/>
              </w:rPr>
              <w:t>设置单独隔声间，并设置</w:t>
            </w:r>
          </w:p>
          <w:p>
            <w:pPr>
              <w:pStyle w:val="14"/>
              <w:spacing w:before="43" w:line="263" w:lineRule="exact"/>
              <w:ind w:left="8"/>
              <w:rPr>
                <w:sz w:val="21"/>
              </w:rPr>
            </w:pPr>
            <w:r>
              <w:rPr>
                <w:sz w:val="21"/>
              </w:rPr>
              <w:t>减振基础</w:t>
            </w:r>
          </w:p>
        </w:tc>
        <w:tc>
          <w:tcPr>
            <w:tcW w:w="683" w:type="dxa"/>
            <w:vMerge w:val="continue"/>
            <w:tcBorders>
              <w:top w:val="nil"/>
            </w:tcBorders>
          </w:tcPr>
          <w:p>
            <w:pPr>
              <w:rPr>
                <w:sz w:val="2"/>
                <w:szCs w:val="2"/>
              </w:rPr>
            </w:pPr>
          </w:p>
        </w:tc>
        <w:tc>
          <w:tcPr>
            <w:tcW w:w="877" w:type="dxa"/>
            <w:vMerge w:val="continue"/>
            <w:tcBorders>
              <w:top w:val="nil"/>
            </w:tcBorders>
          </w:tcPr>
          <w:p>
            <w:pPr>
              <w:rPr>
                <w:sz w:val="2"/>
                <w:szCs w:val="2"/>
              </w:rPr>
            </w:pPr>
          </w:p>
        </w:tc>
        <w:tc>
          <w:tcPr>
            <w:tcW w:w="897" w:type="dxa"/>
            <w:vMerge w:val="restart"/>
            <w:tcBorders>
              <w:top w:val="nil"/>
              <w:bottom w:val="nil"/>
            </w:tcBorders>
          </w:tcPr>
          <w:p>
            <w:pPr>
              <w:pStyle w:val="14"/>
              <w:spacing w:before="11"/>
              <w:ind w:left="163"/>
              <w:jc w:val="left"/>
              <w:rPr>
                <w:sz w:val="21"/>
              </w:rPr>
            </w:pPr>
            <w:r>
              <w:rPr>
                <w:sz w:val="21"/>
              </w:rPr>
              <w:t>（</w:t>
            </w:r>
            <w:r>
              <w:rPr>
                <w:rFonts w:ascii="Times New Roman" w:eastAsia="Times New Roman"/>
                <w:sz w:val="21"/>
              </w:rPr>
              <w:t>A</w:t>
            </w:r>
            <w:r>
              <w:rPr>
                <w:sz w:val="21"/>
              </w:rPr>
              <w:t>）</w:t>
            </w:r>
          </w:p>
          <w:p>
            <w:pPr>
              <w:pStyle w:val="14"/>
              <w:spacing w:before="43" w:line="263" w:lineRule="exact"/>
              <w:ind w:left="132"/>
              <w:jc w:val="left"/>
              <w:rPr>
                <w:sz w:val="21"/>
              </w:rPr>
            </w:pPr>
            <w:r>
              <w:rPr>
                <w:w w:val="95"/>
                <w:sz w:val="21"/>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496" w:type="dxa"/>
            <w:vMerge w:val="continue"/>
            <w:tcBorders>
              <w:top w:val="nil"/>
              <w:bottom w:val="nil"/>
            </w:tcBorders>
          </w:tcPr>
          <w:p>
            <w:pPr>
              <w:rPr>
                <w:sz w:val="2"/>
                <w:szCs w:val="2"/>
              </w:rPr>
            </w:pPr>
          </w:p>
        </w:tc>
        <w:tc>
          <w:tcPr>
            <w:tcW w:w="848" w:type="dxa"/>
            <w:vMerge w:val="restart"/>
          </w:tcPr>
          <w:p>
            <w:pPr>
              <w:pStyle w:val="14"/>
              <w:spacing w:before="50"/>
              <w:ind w:left="107"/>
              <w:jc w:val="left"/>
              <w:rPr>
                <w:sz w:val="21"/>
              </w:rPr>
            </w:pPr>
            <w:r>
              <w:rPr>
                <w:sz w:val="21"/>
              </w:rPr>
              <w:t>引风机</w:t>
            </w:r>
          </w:p>
        </w:tc>
        <w:tc>
          <w:tcPr>
            <w:tcW w:w="940" w:type="dxa"/>
            <w:vMerge w:val="continue"/>
            <w:tcBorders>
              <w:top w:val="nil"/>
              <w:bottom w:val="nil"/>
            </w:tcBorders>
          </w:tcPr>
          <w:p>
            <w:pPr>
              <w:rPr>
                <w:sz w:val="2"/>
                <w:szCs w:val="2"/>
              </w:rPr>
            </w:pPr>
          </w:p>
        </w:tc>
        <w:tc>
          <w:tcPr>
            <w:tcW w:w="766" w:type="dxa"/>
            <w:vMerge w:val="restart"/>
          </w:tcPr>
          <w:p>
            <w:pPr>
              <w:pStyle w:val="14"/>
              <w:spacing w:before="64"/>
              <w:ind w:left="5"/>
              <w:rPr>
                <w:rFonts w:ascii="Times New Roman"/>
                <w:sz w:val="21"/>
              </w:rPr>
            </w:pPr>
            <w:r>
              <w:rPr>
                <w:rFonts w:ascii="Times New Roman"/>
                <w:w w:val="99"/>
                <w:sz w:val="21"/>
              </w:rPr>
              <w:t>1</w:t>
            </w:r>
          </w:p>
        </w:tc>
        <w:tc>
          <w:tcPr>
            <w:tcW w:w="652" w:type="dxa"/>
            <w:vMerge w:val="restart"/>
          </w:tcPr>
          <w:p>
            <w:pPr>
              <w:pStyle w:val="14"/>
              <w:spacing w:before="64"/>
              <w:ind w:left="220"/>
              <w:jc w:val="left"/>
              <w:rPr>
                <w:rFonts w:ascii="Times New Roman"/>
                <w:sz w:val="21"/>
              </w:rPr>
            </w:pPr>
            <w:r>
              <w:rPr>
                <w:rFonts w:ascii="Times New Roman"/>
                <w:sz w:val="21"/>
              </w:rPr>
              <w:t>85</w:t>
            </w:r>
          </w:p>
        </w:tc>
        <w:tc>
          <w:tcPr>
            <w:tcW w:w="2347" w:type="dxa"/>
            <w:vMerge w:val="continue"/>
            <w:tcBorders>
              <w:top w:val="nil"/>
              <w:bottom w:val="nil"/>
            </w:tcBorders>
          </w:tcPr>
          <w:p>
            <w:pPr>
              <w:rPr>
                <w:sz w:val="2"/>
                <w:szCs w:val="2"/>
              </w:rPr>
            </w:pPr>
          </w:p>
        </w:tc>
        <w:tc>
          <w:tcPr>
            <w:tcW w:w="683" w:type="dxa"/>
            <w:vMerge w:val="restart"/>
          </w:tcPr>
          <w:p>
            <w:pPr>
              <w:pStyle w:val="14"/>
              <w:spacing w:before="64"/>
              <w:ind w:left="215" w:right="207"/>
              <w:rPr>
                <w:rFonts w:ascii="Times New Roman"/>
                <w:sz w:val="21"/>
              </w:rPr>
            </w:pPr>
            <w:r>
              <w:rPr>
                <w:rFonts w:ascii="Times New Roman"/>
                <w:sz w:val="21"/>
              </w:rPr>
              <w:t>20</w:t>
            </w:r>
          </w:p>
        </w:tc>
        <w:tc>
          <w:tcPr>
            <w:tcW w:w="877" w:type="dxa"/>
            <w:vMerge w:val="restart"/>
          </w:tcPr>
          <w:p>
            <w:pPr>
              <w:pStyle w:val="14"/>
              <w:spacing w:before="64"/>
              <w:ind w:left="205" w:right="197"/>
              <w:rPr>
                <w:rFonts w:ascii="Times New Roman"/>
                <w:sz w:val="21"/>
              </w:rPr>
            </w:pPr>
            <w:r>
              <w:rPr>
                <w:rFonts w:ascii="Times New Roman"/>
                <w:sz w:val="21"/>
              </w:rPr>
              <w:t>60</w:t>
            </w:r>
          </w:p>
        </w:tc>
        <w:tc>
          <w:tcPr>
            <w:tcW w:w="897"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 w:hRule="atLeast"/>
        </w:trPr>
        <w:tc>
          <w:tcPr>
            <w:tcW w:w="496" w:type="dxa"/>
            <w:tcBorders>
              <w:top w:val="nil"/>
            </w:tcBorders>
          </w:tcPr>
          <w:p>
            <w:pPr>
              <w:pStyle w:val="14"/>
              <w:jc w:val="left"/>
              <w:rPr>
                <w:rFonts w:ascii="Times New Roman"/>
                <w:sz w:val="2"/>
              </w:rPr>
            </w:pPr>
          </w:p>
        </w:tc>
        <w:tc>
          <w:tcPr>
            <w:tcW w:w="848" w:type="dxa"/>
            <w:vMerge w:val="continue"/>
            <w:tcBorders>
              <w:top w:val="nil"/>
            </w:tcBorders>
          </w:tcPr>
          <w:p>
            <w:pPr>
              <w:rPr>
                <w:sz w:val="2"/>
                <w:szCs w:val="2"/>
              </w:rPr>
            </w:pPr>
          </w:p>
        </w:tc>
        <w:tc>
          <w:tcPr>
            <w:tcW w:w="940" w:type="dxa"/>
            <w:tcBorders>
              <w:top w:val="nil"/>
            </w:tcBorders>
          </w:tcPr>
          <w:p>
            <w:pPr>
              <w:pStyle w:val="14"/>
              <w:jc w:val="left"/>
              <w:rPr>
                <w:rFonts w:ascii="Times New Roman"/>
                <w:sz w:val="2"/>
              </w:rPr>
            </w:pPr>
          </w:p>
        </w:tc>
        <w:tc>
          <w:tcPr>
            <w:tcW w:w="766" w:type="dxa"/>
            <w:vMerge w:val="continue"/>
            <w:tcBorders>
              <w:top w:val="nil"/>
            </w:tcBorders>
          </w:tcPr>
          <w:p>
            <w:pPr>
              <w:rPr>
                <w:sz w:val="2"/>
                <w:szCs w:val="2"/>
              </w:rPr>
            </w:pPr>
          </w:p>
        </w:tc>
        <w:tc>
          <w:tcPr>
            <w:tcW w:w="652" w:type="dxa"/>
            <w:vMerge w:val="continue"/>
            <w:tcBorders>
              <w:top w:val="nil"/>
            </w:tcBorders>
          </w:tcPr>
          <w:p>
            <w:pPr>
              <w:rPr>
                <w:sz w:val="2"/>
                <w:szCs w:val="2"/>
              </w:rPr>
            </w:pPr>
          </w:p>
        </w:tc>
        <w:tc>
          <w:tcPr>
            <w:tcW w:w="2347" w:type="dxa"/>
            <w:tcBorders>
              <w:top w:val="nil"/>
            </w:tcBorders>
          </w:tcPr>
          <w:p>
            <w:pPr>
              <w:pStyle w:val="14"/>
              <w:jc w:val="left"/>
              <w:rPr>
                <w:rFonts w:ascii="Times New Roman"/>
                <w:sz w:val="2"/>
              </w:rPr>
            </w:pPr>
          </w:p>
        </w:tc>
        <w:tc>
          <w:tcPr>
            <w:tcW w:w="683" w:type="dxa"/>
            <w:vMerge w:val="continue"/>
            <w:tcBorders>
              <w:top w:val="nil"/>
            </w:tcBorders>
          </w:tcPr>
          <w:p>
            <w:pPr>
              <w:rPr>
                <w:sz w:val="2"/>
                <w:szCs w:val="2"/>
              </w:rPr>
            </w:pPr>
          </w:p>
        </w:tc>
        <w:tc>
          <w:tcPr>
            <w:tcW w:w="877" w:type="dxa"/>
            <w:vMerge w:val="continue"/>
            <w:tcBorders>
              <w:top w:val="nil"/>
            </w:tcBorders>
          </w:tcPr>
          <w:p>
            <w:pPr>
              <w:rPr>
                <w:sz w:val="2"/>
                <w:szCs w:val="2"/>
              </w:rPr>
            </w:pPr>
          </w:p>
        </w:tc>
        <w:tc>
          <w:tcPr>
            <w:tcW w:w="897" w:type="dxa"/>
            <w:vMerge w:val="restart"/>
            <w:tcBorders>
              <w:top w:val="nil"/>
              <w:bottom w:val="nil"/>
            </w:tcBorders>
          </w:tcPr>
          <w:p>
            <w:pPr>
              <w:pStyle w:val="14"/>
              <w:spacing w:before="33"/>
              <w:ind w:left="163"/>
              <w:jc w:val="left"/>
              <w:rPr>
                <w:rFonts w:ascii="Times New Roman" w:hAnsi="Times New Roman"/>
                <w:sz w:val="21"/>
              </w:rPr>
            </w:pPr>
            <w:r>
              <w:rPr>
                <w:rFonts w:ascii="Times New Roman" w:hAnsi="Times New Roman"/>
                <w:sz w:val="21"/>
              </w:rPr>
              <w:t>≤50dB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96" w:type="dxa"/>
            <w:tcBorders>
              <w:bottom w:val="nil"/>
            </w:tcBorders>
          </w:tcPr>
          <w:p>
            <w:pPr>
              <w:pStyle w:val="14"/>
              <w:jc w:val="left"/>
              <w:rPr>
                <w:rFonts w:ascii="Times New Roman"/>
                <w:sz w:val="20"/>
              </w:rPr>
            </w:pPr>
          </w:p>
        </w:tc>
        <w:tc>
          <w:tcPr>
            <w:tcW w:w="848" w:type="dxa"/>
            <w:tcBorders>
              <w:bottom w:val="nil"/>
            </w:tcBorders>
          </w:tcPr>
          <w:p>
            <w:pPr>
              <w:pStyle w:val="14"/>
              <w:jc w:val="left"/>
              <w:rPr>
                <w:rFonts w:ascii="Times New Roman"/>
                <w:sz w:val="20"/>
              </w:rPr>
            </w:pPr>
          </w:p>
        </w:tc>
        <w:tc>
          <w:tcPr>
            <w:tcW w:w="940" w:type="dxa"/>
            <w:tcBorders>
              <w:bottom w:val="nil"/>
            </w:tcBorders>
          </w:tcPr>
          <w:p>
            <w:pPr>
              <w:pStyle w:val="14"/>
              <w:jc w:val="left"/>
              <w:rPr>
                <w:rFonts w:ascii="Times New Roman"/>
                <w:sz w:val="20"/>
              </w:rPr>
            </w:pPr>
          </w:p>
        </w:tc>
        <w:tc>
          <w:tcPr>
            <w:tcW w:w="766" w:type="dxa"/>
            <w:tcBorders>
              <w:bottom w:val="nil"/>
            </w:tcBorders>
          </w:tcPr>
          <w:p>
            <w:pPr>
              <w:pStyle w:val="14"/>
              <w:jc w:val="left"/>
              <w:rPr>
                <w:rFonts w:ascii="Times New Roman"/>
                <w:sz w:val="20"/>
              </w:rPr>
            </w:pPr>
          </w:p>
        </w:tc>
        <w:tc>
          <w:tcPr>
            <w:tcW w:w="652" w:type="dxa"/>
            <w:tcBorders>
              <w:bottom w:val="nil"/>
            </w:tcBorders>
          </w:tcPr>
          <w:p>
            <w:pPr>
              <w:pStyle w:val="14"/>
              <w:jc w:val="left"/>
              <w:rPr>
                <w:rFonts w:ascii="Times New Roman"/>
                <w:sz w:val="20"/>
              </w:rPr>
            </w:pPr>
          </w:p>
        </w:tc>
        <w:tc>
          <w:tcPr>
            <w:tcW w:w="2347" w:type="dxa"/>
            <w:tcBorders>
              <w:bottom w:val="nil"/>
            </w:tcBorders>
          </w:tcPr>
          <w:p>
            <w:pPr>
              <w:pStyle w:val="14"/>
              <w:spacing w:before="22" w:line="230" w:lineRule="exact"/>
              <w:ind w:left="57" w:right="-44"/>
              <w:rPr>
                <w:sz w:val="21"/>
              </w:rPr>
            </w:pPr>
            <w:r>
              <w:rPr>
                <w:sz w:val="21"/>
              </w:rPr>
              <w:t>车间内各设备基座减振；</w:t>
            </w:r>
          </w:p>
        </w:tc>
        <w:tc>
          <w:tcPr>
            <w:tcW w:w="683" w:type="dxa"/>
            <w:tcBorders>
              <w:bottom w:val="nil"/>
            </w:tcBorders>
          </w:tcPr>
          <w:p>
            <w:pPr>
              <w:pStyle w:val="14"/>
              <w:jc w:val="left"/>
              <w:rPr>
                <w:rFonts w:ascii="Times New Roman"/>
                <w:sz w:val="20"/>
              </w:rPr>
            </w:pPr>
          </w:p>
        </w:tc>
        <w:tc>
          <w:tcPr>
            <w:tcW w:w="877" w:type="dxa"/>
            <w:tcBorders>
              <w:bottom w:val="nil"/>
            </w:tcBorders>
          </w:tcPr>
          <w:p>
            <w:pPr>
              <w:pStyle w:val="14"/>
              <w:jc w:val="left"/>
              <w:rPr>
                <w:rFonts w:ascii="Times New Roman"/>
                <w:sz w:val="20"/>
              </w:rPr>
            </w:pPr>
          </w:p>
        </w:tc>
        <w:tc>
          <w:tcPr>
            <w:tcW w:w="897"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496" w:type="dxa"/>
            <w:tcBorders>
              <w:top w:val="nil"/>
              <w:bottom w:val="nil"/>
            </w:tcBorders>
          </w:tcPr>
          <w:p>
            <w:pPr>
              <w:pStyle w:val="14"/>
              <w:jc w:val="left"/>
              <w:rPr>
                <w:rFonts w:ascii="Times New Roman"/>
                <w:sz w:val="20"/>
              </w:rPr>
            </w:pPr>
          </w:p>
        </w:tc>
        <w:tc>
          <w:tcPr>
            <w:tcW w:w="848" w:type="dxa"/>
            <w:tcBorders>
              <w:top w:val="nil"/>
              <w:bottom w:val="nil"/>
            </w:tcBorders>
          </w:tcPr>
          <w:p>
            <w:pPr>
              <w:pStyle w:val="14"/>
              <w:jc w:val="left"/>
              <w:rPr>
                <w:rFonts w:ascii="Times New Roman"/>
                <w:sz w:val="20"/>
              </w:rPr>
            </w:pPr>
          </w:p>
        </w:tc>
        <w:tc>
          <w:tcPr>
            <w:tcW w:w="940" w:type="dxa"/>
            <w:tcBorders>
              <w:top w:val="nil"/>
              <w:bottom w:val="nil"/>
            </w:tcBorders>
          </w:tcPr>
          <w:p>
            <w:pPr>
              <w:pStyle w:val="14"/>
              <w:jc w:val="left"/>
              <w:rPr>
                <w:rFonts w:ascii="Times New Roman"/>
                <w:sz w:val="20"/>
              </w:rPr>
            </w:pPr>
          </w:p>
        </w:tc>
        <w:tc>
          <w:tcPr>
            <w:tcW w:w="766" w:type="dxa"/>
            <w:tcBorders>
              <w:top w:val="nil"/>
              <w:bottom w:val="nil"/>
            </w:tcBorders>
          </w:tcPr>
          <w:p>
            <w:pPr>
              <w:pStyle w:val="14"/>
              <w:jc w:val="left"/>
              <w:rPr>
                <w:rFonts w:ascii="Times New Roman"/>
                <w:sz w:val="20"/>
              </w:rPr>
            </w:pPr>
          </w:p>
        </w:tc>
        <w:tc>
          <w:tcPr>
            <w:tcW w:w="652" w:type="dxa"/>
            <w:tcBorders>
              <w:top w:val="nil"/>
              <w:bottom w:val="nil"/>
            </w:tcBorders>
          </w:tcPr>
          <w:p>
            <w:pPr>
              <w:pStyle w:val="14"/>
              <w:jc w:val="left"/>
              <w:rPr>
                <w:rFonts w:ascii="Times New Roman"/>
                <w:sz w:val="20"/>
              </w:rPr>
            </w:pPr>
          </w:p>
        </w:tc>
        <w:tc>
          <w:tcPr>
            <w:tcW w:w="2347" w:type="dxa"/>
            <w:tcBorders>
              <w:top w:val="nil"/>
              <w:bottom w:val="nil"/>
            </w:tcBorders>
          </w:tcPr>
          <w:p>
            <w:pPr>
              <w:pStyle w:val="14"/>
              <w:spacing w:before="61"/>
              <w:ind w:left="8"/>
              <w:rPr>
                <w:sz w:val="21"/>
              </w:rPr>
            </w:pPr>
            <w:r>
              <w:rPr>
                <w:sz w:val="21"/>
              </w:rPr>
              <w:t>减小各种溜槽的落差，并</w:t>
            </w:r>
          </w:p>
        </w:tc>
        <w:tc>
          <w:tcPr>
            <w:tcW w:w="683" w:type="dxa"/>
            <w:tcBorders>
              <w:top w:val="nil"/>
              <w:bottom w:val="nil"/>
            </w:tcBorders>
          </w:tcPr>
          <w:p>
            <w:pPr>
              <w:pStyle w:val="14"/>
              <w:jc w:val="left"/>
              <w:rPr>
                <w:rFonts w:ascii="Times New Roman"/>
                <w:sz w:val="20"/>
              </w:rPr>
            </w:pPr>
          </w:p>
        </w:tc>
        <w:tc>
          <w:tcPr>
            <w:tcW w:w="877" w:type="dxa"/>
            <w:tcBorders>
              <w:top w:val="nil"/>
              <w:bottom w:val="nil"/>
            </w:tcBorders>
          </w:tcPr>
          <w:p>
            <w:pPr>
              <w:pStyle w:val="14"/>
              <w:jc w:val="left"/>
              <w:rPr>
                <w:rFonts w:ascii="Times New Roman"/>
                <w:sz w:val="20"/>
              </w:rPr>
            </w:pPr>
          </w:p>
        </w:tc>
        <w:tc>
          <w:tcPr>
            <w:tcW w:w="897" w:type="dxa"/>
            <w:tcBorders>
              <w:top w:val="nil"/>
              <w:bottom w:val="nil"/>
            </w:tcBorders>
          </w:tcPr>
          <w:p>
            <w:pPr>
              <w:pStyle w:val="14"/>
              <w:spacing w:line="256" w:lineRule="exact"/>
              <w:ind w:left="142" w:right="133"/>
              <w:rPr>
                <w:sz w:val="21"/>
              </w:rPr>
            </w:pPr>
            <w:r>
              <w:rPr>
                <w:sz w:val="21"/>
              </w:rPr>
              <w:t>（</w:t>
            </w:r>
            <w:r>
              <w:rPr>
                <w:rFonts w:ascii="Times New Roman" w:eastAsia="Times New Roman"/>
                <w:sz w:val="21"/>
              </w:rPr>
              <w:t>A</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496" w:type="dxa"/>
            <w:tcBorders>
              <w:top w:val="nil"/>
              <w:bottom w:val="nil"/>
            </w:tcBorders>
          </w:tcPr>
          <w:p>
            <w:pPr>
              <w:pStyle w:val="14"/>
              <w:jc w:val="left"/>
              <w:rPr>
                <w:rFonts w:ascii="Times New Roman"/>
                <w:sz w:val="20"/>
              </w:rPr>
            </w:pPr>
          </w:p>
        </w:tc>
        <w:tc>
          <w:tcPr>
            <w:tcW w:w="848" w:type="dxa"/>
            <w:tcBorders>
              <w:top w:val="nil"/>
              <w:bottom w:val="nil"/>
            </w:tcBorders>
          </w:tcPr>
          <w:p>
            <w:pPr>
              <w:pStyle w:val="14"/>
              <w:jc w:val="left"/>
              <w:rPr>
                <w:rFonts w:ascii="Times New Roman"/>
                <w:sz w:val="20"/>
              </w:rPr>
            </w:pPr>
          </w:p>
        </w:tc>
        <w:tc>
          <w:tcPr>
            <w:tcW w:w="940" w:type="dxa"/>
            <w:tcBorders>
              <w:top w:val="nil"/>
              <w:bottom w:val="nil"/>
            </w:tcBorders>
          </w:tcPr>
          <w:p>
            <w:pPr>
              <w:pStyle w:val="14"/>
              <w:jc w:val="left"/>
              <w:rPr>
                <w:rFonts w:ascii="Times New Roman"/>
                <w:sz w:val="20"/>
              </w:rPr>
            </w:pPr>
          </w:p>
        </w:tc>
        <w:tc>
          <w:tcPr>
            <w:tcW w:w="766" w:type="dxa"/>
            <w:tcBorders>
              <w:top w:val="nil"/>
              <w:bottom w:val="nil"/>
            </w:tcBorders>
          </w:tcPr>
          <w:p>
            <w:pPr>
              <w:pStyle w:val="14"/>
              <w:jc w:val="left"/>
              <w:rPr>
                <w:rFonts w:ascii="Times New Roman"/>
                <w:sz w:val="20"/>
              </w:rPr>
            </w:pPr>
          </w:p>
        </w:tc>
        <w:tc>
          <w:tcPr>
            <w:tcW w:w="652" w:type="dxa"/>
            <w:tcBorders>
              <w:top w:val="nil"/>
              <w:bottom w:val="nil"/>
            </w:tcBorders>
          </w:tcPr>
          <w:p>
            <w:pPr>
              <w:pStyle w:val="14"/>
              <w:jc w:val="left"/>
              <w:rPr>
                <w:rFonts w:ascii="Times New Roman"/>
                <w:sz w:val="20"/>
              </w:rPr>
            </w:pPr>
          </w:p>
        </w:tc>
        <w:tc>
          <w:tcPr>
            <w:tcW w:w="2347" w:type="dxa"/>
            <w:tcBorders>
              <w:top w:val="nil"/>
              <w:bottom w:val="nil"/>
            </w:tcBorders>
          </w:tcPr>
          <w:p>
            <w:pPr>
              <w:pStyle w:val="14"/>
              <w:spacing w:before="21" w:line="268" w:lineRule="exact"/>
              <w:ind w:left="8"/>
              <w:rPr>
                <w:sz w:val="21"/>
              </w:rPr>
            </w:pPr>
            <w:r>
              <w:rPr>
                <w:sz w:val="21"/>
              </w:rPr>
              <w:t>在溜槽底部铺设耐磨、降</w:t>
            </w:r>
          </w:p>
        </w:tc>
        <w:tc>
          <w:tcPr>
            <w:tcW w:w="683" w:type="dxa"/>
            <w:tcBorders>
              <w:top w:val="nil"/>
              <w:bottom w:val="nil"/>
            </w:tcBorders>
          </w:tcPr>
          <w:p>
            <w:pPr>
              <w:pStyle w:val="14"/>
              <w:jc w:val="left"/>
              <w:rPr>
                <w:rFonts w:ascii="Times New Roman"/>
                <w:sz w:val="20"/>
              </w:rPr>
            </w:pPr>
          </w:p>
        </w:tc>
        <w:tc>
          <w:tcPr>
            <w:tcW w:w="877" w:type="dxa"/>
            <w:tcBorders>
              <w:top w:val="nil"/>
              <w:bottom w:val="nil"/>
            </w:tcBorders>
          </w:tcPr>
          <w:p>
            <w:pPr>
              <w:pStyle w:val="14"/>
              <w:jc w:val="left"/>
              <w:rPr>
                <w:rFonts w:ascii="Times New Roman"/>
                <w:sz w:val="20"/>
              </w:rPr>
            </w:pPr>
          </w:p>
        </w:tc>
        <w:tc>
          <w:tcPr>
            <w:tcW w:w="897" w:type="dxa"/>
            <w:tcBorders>
              <w:top w:val="nil"/>
              <w:bottom w:val="nil"/>
            </w:tcBorders>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496" w:type="dxa"/>
            <w:tcBorders>
              <w:top w:val="nil"/>
              <w:bottom w:val="nil"/>
            </w:tcBorders>
          </w:tcPr>
          <w:p>
            <w:pPr>
              <w:pStyle w:val="14"/>
              <w:spacing w:before="38"/>
              <w:ind w:right="183"/>
              <w:jc w:val="right"/>
              <w:rPr>
                <w:rFonts w:ascii="Times New Roman"/>
                <w:sz w:val="21"/>
              </w:rPr>
            </w:pPr>
            <w:r>
              <w:rPr>
                <w:rFonts w:ascii="Times New Roman"/>
                <w:w w:val="99"/>
                <w:sz w:val="21"/>
              </w:rPr>
              <w:t>6</w:t>
            </w:r>
          </w:p>
        </w:tc>
        <w:tc>
          <w:tcPr>
            <w:tcW w:w="848" w:type="dxa"/>
            <w:tcBorders>
              <w:top w:val="nil"/>
              <w:bottom w:val="nil"/>
            </w:tcBorders>
          </w:tcPr>
          <w:p>
            <w:pPr>
              <w:pStyle w:val="14"/>
              <w:spacing w:before="24"/>
              <w:ind w:left="87" w:right="81"/>
              <w:rPr>
                <w:sz w:val="21"/>
              </w:rPr>
            </w:pPr>
            <w:r>
              <w:rPr>
                <w:sz w:val="21"/>
              </w:rPr>
              <w:t>振动筛</w:t>
            </w:r>
          </w:p>
        </w:tc>
        <w:tc>
          <w:tcPr>
            <w:tcW w:w="940" w:type="dxa"/>
            <w:tcBorders>
              <w:top w:val="nil"/>
              <w:bottom w:val="nil"/>
            </w:tcBorders>
          </w:tcPr>
          <w:p>
            <w:pPr>
              <w:pStyle w:val="14"/>
              <w:spacing w:before="24"/>
              <w:ind w:left="134" w:right="126"/>
              <w:rPr>
                <w:sz w:val="21"/>
              </w:rPr>
            </w:pPr>
            <w:r>
              <w:rPr>
                <w:sz w:val="21"/>
              </w:rPr>
              <w:t>筛分间</w:t>
            </w:r>
          </w:p>
        </w:tc>
        <w:tc>
          <w:tcPr>
            <w:tcW w:w="766" w:type="dxa"/>
            <w:tcBorders>
              <w:top w:val="nil"/>
              <w:bottom w:val="nil"/>
            </w:tcBorders>
          </w:tcPr>
          <w:p>
            <w:pPr>
              <w:pStyle w:val="14"/>
              <w:spacing w:before="38"/>
              <w:ind w:left="5"/>
              <w:rPr>
                <w:rFonts w:ascii="Times New Roman"/>
                <w:sz w:val="21"/>
              </w:rPr>
            </w:pPr>
            <w:r>
              <w:rPr>
                <w:rFonts w:ascii="Times New Roman"/>
                <w:w w:val="99"/>
                <w:sz w:val="21"/>
              </w:rPr>
              <w:t>1</w:t>
            </w:r>
          </w:p>
        </w:tc>
        <w:tc>
          <w:tcPr>
            <w:tcW w:w="652" w:type="dxa"/>
            <w:tcBorders>
              <w:top w:val="nil"/>
              <w:bottom w:val="nil"/>
            </w:tcBorders>
          </w:tcPr>
          <w:p>
            <w:pPr>
              <w:pStyle w:val="14"/>
              <w:spacing w:before="38"/>
              <w:ind w:left="200" w:right="192"/>
              <w:rPr>
                <w:rFonts w:ascii="Times New Roman"/>
                <w:sz w:val="21"/>
              </w:rPr>
            </w:pPr>
            <w:r>
              <w:rPr>
                <w:rFonts w:ascii="Times New Roman"/>
                <w:sz w:val="21"/>
              </w:rPr>
              <w:t>93</w:t>
            </w:r>
          </w:p>
        </w:tc>
        <w:tc>
          <w:tcPr>
            <w:tcW w:w="2347" w:type="dxa"/>
            <w:tcBorders>
              <w:top w:val="nil"/>
              <w:bottom w:val="nil"/>
            </w:tcBorders>
          </w:tcPr>
          <w:p>
            <w:pPr>
              <w:pStyle w:val="14"/>
              <w:spacing w:before="24"/>
              <w:ind w:left="8"/>
              <w:rPr>
                <w:sz w:val="21"/>
              </w:rPr>
            </w:pPr>
            <w:r>
              <w:rPr>
                <w:sz w:val="21"/>
              </w:rPr>
              <w:t>噪衬板，以降低物料在运</w:t>
            </w:r>
          </w:p>
        </w:tc>
        <w:tc>
          <w:tcPr>
            <w:tcW w:w="683" w:type="dxa"/>
            <w:tcBorders>
              <w:top w:val="nil"/>
              <w:bottom w:val="nil"/>
            </w:tcBorders>
          </w:tcPr>
          <w:p>
            <w:pPr>
              <w:pStyle w:val="14"/>
              <w:spacing w:before="38"/>
              <w:ind w:left="215" w:right="207"/>
              <w:rPr>
                <w:rFonts w:ascii="Times New Roman"/>
                <w:sz w:val="21"/>
              </w:rPr>
            </w:pPr>
            <w:r>
              <w:rPr>
                <w:rFonts w:ascii="Times New Roman"/>
                <w:sz w:val="21"/>
              </w:rPr>
              <w:t>15</w:t>
            </w:r>
          </w:p>
        </w:tc>
        <w:tc>
          <w:tcPr>
            <w:tcW w:w="877" w:type="dxa"/>
            <w:tcBorders>
              <w:top w:val="nil"/>
              <w:bottom w:val="nil"/>
            </w:tcBorders>
          </w:tcPr>
          <w:p>
            <w:pPr>
              <w:pStyle w:val="14"/>
              <w:spacing w:before="38"/>
              <w:ind w:right="322"/>
              <w:jc w:val="right"/>
              <w:rPr>
                <w:rFonts w:ascii="Times New Roman"/>
                <w:sz w:val="21"/>
              </w:rPr>
            </w:pPr>
            <w:r>
              <w:rPr>
                <w:rFonts w:ascii="Times New Roman"/>
                <w:sz w:val="21"/>
              </w:rPr>
              <w:t>78</w:t>
            </w:r>
          </w:p>
        </w:tc>
        <w:tc>
          <w:tcPr>
            <w:tcW w:w="897" w:type="dxa"/>
            <w:tcBorders>
              <w:top w:val="nil"/>
              <w:bottom w:val="nil"/>
            </w:tcBorders>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496" w:type="dxa"/>
            <w:tcBorders>
              <w:top w:val="nil"/>
              <w:bottom w:val="nil"/>
            </w:tcBorders>
          </w:tcPr>
          <w:p>
            <w:pPr>
              <w:pStyle w:val="14"/>
              <w:jc w:val="left"/>
              <w:rPr>
                <w:rFonts w:ascii="Times New Roman"/>
                <w:sz w:val="20"/>
              </w:rPr>
            </w:pPr>
          </w:p>
        </w:tc>
        <w:tc>
          <w:tcPr>
            <w:tcW w:w="848" w:type="dxa"/>
            <w:tcBorders>
              <w:top w:val="nil"/>
              <w:bottom w:val="nil"/>
            </w:tcBorders>
          </w:tcPr>
          <w:p>
            <w:pPr>
              <w:pStyle w:val="14"/>
              <w:jc w:val="left"/>
              <w:rPr>
                <w:rFonts w:ascii="Times New Roman"/>
                <w:sz w:val="20"/>
              </w:rPr>
            </w:pPr>
          </w:p>
        </w:tc>
        <w:tc>
          <w:tcPr>
            <w:tcW w:w="940" w:type="dxa"/>
            <w:tcBorders>
              <w:top w:val="nil"/>
              <w:bottom w:val="nil"/>
            </w:tcBorders>
          </w:tcPr>
          <w:p>
            <w:pPr>
              <w:pStyle w:val="14"/>
              <w:jc w:val="left"/>
              <w:rPr>
                <w:rFonts w:ascii="Times New Roman"/>
                <w:sz w:val="20"/>
              </w:rPr>
            </w:pPr>
          </w:p>
        </w:tc>
        <w:tc>
          <w:tcPr>
            <w:tcW w:w="766" w:type="dxa"/>
            <w:tcBorders>
              <w:top w:val="nil"/>
              <w:bottom w:val="nil"/>
            </w:tcBorders>
          </w:tcPr>
          <w:p>
            <w:pPr>
              <w:pStyle w:val="14"/>
              <w:jc w:val="left"/>
              <w:rPr>
                <w:rFonts w:ascii="Times New Roman"/>
                <w:sz w:val="20"/>
              </w:rPr>
            </w:pPr>
          </w:p>
        </w:tc>
        <w:tc>
          <w:tcPr>
            <w:tcW w:w="652" w:type="dxa"/>
            <w:tcBorders>
              <w:top w:val="nil"/>
              <w:bottom w:val="nil"/>
            </w:tcBorders>
          </w:tcPr>
          <w:p>
            <w:pPr>
              <w:pStyle w:val="14"/>
              <w:jc w:val="left"/>
              <w:rPr>
                <w:rFonts w:ascii="Times New Roman"/>
                <w:sz w:val="20"/>
              </w:rPr>
            </w:pPr>
          </w:p>
        </w:tc>
        <w:tc>
          <w:tcPr>
            <w:tcW w:w="2347" w:type="dxa"/>
            <w:tcBorders>
              <w:top w:val="nil"/>
              <w:bottom w:val="nil"/>
            </w:tcBorders>
          </w:tcPr>
          <w:p>
            <w:pPr>
              <w:pStyle w:val="14"/>
              <w:spacing w:before="13"/>
              <w:ind w:left="8"/>
              <w:rPr>
                <w:sz w:val="21"/>
              </w:rPr>
            </w:pPr>
            <w:r>
              <w:rPr>
                <w:sz w:val="21"/>
              </w:rPr>
              <w:t>输过程中的噪声；对建筑</w:t>
            </w:r>
          </w:p>
        </w:tc>
        <w:tc>
          <w:tcPr>
            <w:tcW w:w="683" w:type="dxa"/>
            <w:tcBorders>
              <w:top w:val="nil"/>
              <w:bottom w:val="nil"/>
            </w:tcBorders>
          </w:tcPr>
          <w:p>
            <w:pPr>
              <w:pStyle w:val="14"/>
              <w:jc w:val="left"/>
              <w:rPr>
                <w:rFonts w:ascii="Times New Roman"/>
                <w:sz w:val="20"/>
              </w:rPr>
            </w:pPr>
          </w:p>
        </w:tc>
        <w:tc>
          <w:tcPr>
            <w:tcW w:w="877" w:type="dxa"/>
            <w:tcBorders>
              <w:top w:val="nil"/>
              <w:bottom w:val="nil"/>
            </w:tcBorders>
          </w:tcPr>
          <w:p>
            <w:pPr>
              <w:pStyle w:val="14"/>
              <w:jc w:val="left"/>
              <w:rPr>
                <w:rFonts w:ascii="Times New Roman"/>
                <w:sz w:val="20"/>
              </w:rPr>
            </w:pPr>
          </w:p>
        </w:tc>
        <w:tc>
          <w:tcPr>
            <w:tcW w:w="897" w:type="dxa"/>
            <w:tcBorders>
              <w:top w:val="nil"/>
              <w:bottom w:val="nil"/>
            </w:tcBorders>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96" w:type="dxa"/>
            <w:tcBorders>
              <w:top w:val="nil"/>
              <w:bottom w:val="nil"/>
            </w:tcBorders>
          </w:tcPr>
          <w:p>
            <w:pPr>
              <w:pStyle w:val="14"/>
              <w:jc w:val="left"/>
              <w:rPr>
                <w:rFonts w:ascii="Times New Roman"/>
                <w:sz w:val="20"/>
              </w:rPr>
            </w:pPr>
          </w:p>
        </w:tc>
        <w:tc>
          <w:tcPr>
            <w:tcW w:w="848" w:type="dxa"/>
            <w:tcBorders>
              <w:top w:val="nil"/>
              <w:bottom w:val="nil"/>
            </w:tcBorders>
          </w:tcPr>
          <w:p>
            <w:pPr>
              <w:pStyle w:val="14"/>
              <w:jc w:val="left"/>
              <w:rPr>
                <w:rFonts w:ascii="Times New Roman"/>
                <w:sz w:val="20"/>
              </w:rPr>
            </w:pPr>
          </w:p>
        </w:tc>
        <w:tc>
          <w:tcPr>
            <w:tcW w:w="940" w:type="dxa"/>
            <w:tcBorders>
              <w:top w:val="nil"/>
              <w:bottom w:val="nil"/>
            </w:tcBorders>
          </w:tcPr>
          <w:p>
            <w:pPr>
              <w:pStyle w:val="14"/>
              <w:jc w:val="left"/>
              <w:rPr>
                <w:rFonts w:ascii="Times New Roman"/>
                <w:sz w:val="20"/>
              </w:rPr>
            </w:pPr>
          </w:p>
        </w:tc>
        <w:tc>
          <w:tcPr>
            <w:tcW w:w="766" w:type="dxa"/>
            <w:tcBorders>
              <w:top w:val="nil"/>
              <w:bottom w:val="nil"/>
            </w:tcBorders>
          </w:tcPr>
          <w:p>
            <w:pPr>
              <w:pStyle w:val="14"/>
              <w:jc w:val="left"/>
              <w:rPr>
                <w:rFonts w:ascii="Times New Roman"/>
                <w:sz w:val="20"/>
              </w:rPr>
            </w:pPr>
          </w:p>
        </w:tc>
        <w:tc>
          <w:tcPr>
            <w:tcW w:w="652" w:type="dxa"/>
            <w:tcBorders>
              <w:top w:val="nil"/>
              <w:bottom w:val="nil"/>
            </w:tcBorders>
          </w:tcPr>
          <w:p>
            <w:pPr>
              <w:pStyle w:val="14"/>
              <w:jc w:val="left"/>
              <w:rPr>
                <w:rFonts w:ascii="Times New Roman"/>
                <w:sz w:val="20"/>
              </w:rPr>
            </w:pPr>
          </w:p>
        </w:tc>
        <w:tc>
          <w:tcPr>
            <w:tcW w:w="2347" w:type="dxa"/>
            <w:tcBorders>
              <w:top w:val="nil"/>
              <w:bottom w:val="nil"/>
            </w:tcBorders>
          </w:tcPr>
          <w:p>
            <w:pPr>
              <w:pStyle w:val="14"/>
              <w:spacing w:before="21"/>
              <w:ind w:left="8"/>
              <w:rPr>
                <w:sz w:val="21"/>
              </w:rPr>
            </w:pPr>
            <w:r>
              <w:rPr>
                <w:sz w:val="21"/>
              </w:rPr>
              <w:t>物的外门、外窗要求采用</w:t>
            </w:r>
          </w:p>
        </w:tc>
        <w:tc>
          <w:tcPr>
            <w:tcW w:w="683" w:type="dxa"/>
            <w:tcBorders>
              <w:top w:val="nil"/>
              <w:bottom w:val="nil"/>
            </w:tcBorders>
          </w:tcPr>
          <w:p>
            <w:pPr>
              <w:pStyle w:val="14"/>
              <w:jc w:val="left"/>
              <w:rPr>
                <w:rFonts w:ascii="Times New Roman"/>
                <w:sz w:val="20"/>
              </w:rPr>
            </w:pPr>
          </w:p>
        </w:tc>
        <w:tc>
          <w:tcPr>
            <w:tcW w:w="877" w:type="dxa"/>
            <w:tcBorders>
              <w:top w:val="nil"/>
              <w:bottom w:val="nil"/>
            </w:tcBorders>
          </w:tcPr>
          <w:p>
            <w:pPr>
              <w:pStyle w:val="14"/>
              <w:jc w:val="left"/>
              <w:rPr>
                <w:rFonts w:ascii="Times New Roman"/>
                <w:sz w:val="20"/>
              </w:rPr>
            </w:pPr>
          </w:p>
        </w:tc>
        <w:tc>
          <w:tcPr>
            <w:tcW w:w="897" w:type="dxa"/>
            <w:tcBorders>
              <w:top w:val="nil"/>
              <w:bottom w:val="nil"/>
            </w:tcBorders>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96" w:type="dxa"/>
            <w:tcBorders>
              <w:top w:val="nil"/>
            </w:tcBorders>
          </w:tcPr>
          <w:p>
            <w:pPr>
              <w:pStyle w:val="14"/>
              <w:jc w:val="left"/>
              <w:rPr>
                <w:rFonts w:ascii="Times New Roman"/>
                <w:sz w:val="20"/>
              </w:rPr>
            </w:pPr>
          </w:p>
        </w:tc>
        <w:tc>
          <w:tcPr>
            <w:tcW w:w="848" w:type="dxa"/>
            <w:tcBorders>
              <w:top w:val="nil"/>
            </w:tcBorders>
          </w:tcPr>
          <w:p>
            <w:pPr>
              <w:pStyle w:val="14"/>
              <w:jc w:val="left"/>
              <w:rPr>
                <w:rFonts w:ascii="Times New Roman"/>
                <w:sz w:val="20"/>
              </w:rPr>
            </w:pPr>
          </w:p>
        </w:tc>
        <w:tc>
          <w:tcPr>
            <w:tcW w:w="940" w:type="dxa"/>
            <w:tcBorders>
              <w:top w:val="nil"/>
            </w:tcBorders>
          </w:tcPr>
          <w:p>
            <w:pPr>
              <w:pStyle w:val="14"/>
              <w:jc w:val="left"/>
              <w:rPr>
                <w:rFonts w:ascii="Times New Roman"/>
                <w:sz w:val="20"/>
              </w:rPr>
            </w:pPr>
          </w:p>
        </w:tc>
        <w:tc>
          <w:tcPr>
            <w:tcW w:w="766" w:type="dxa"/>
            <w:tcBorders>
              <w:top w:val="nil"/>
            </w:tcBorders>
          </w:tcPr>
          <w:p>
            <w:pPr>
              <w:pStyle w:val="14"/>
              <w:jc w:val="left"/>
              <w:rPr>
                <w:rFonts w:ascii="Times New Roman"/>
                <w:sz w:val="20"/>
              </w:rPr>
            </w:pPr>
          </w:p>
        </w:tc>
        <w:tc>
          <w:tcPr>
            <w:tcW w:w="652" w:type="dxa"/>
            <w:tcBorders>
              <w:top w:val="nil"/>
            </w:tcBorders>
          </w:tcPr>
          <w:p>
            <w:pPr>
              <w:pStyle w:val="14"/>
              <w:jc w:val="left"/>
              <w:rPr>
                <w:rFonts w:ascii="Times New Roman"/>
                <w:sz w:val="20"/>
              </w:rPr>
            </w:pPr>
          </w:p>
        </w:tc>
        <w:tc>
          <w:tcPr>
            <w:tcW w:w="2347" w:type="dxa"/>
            <w:tcBorders>
              <w:top w:val="nil"/>
            </w:tcBorders>
          </w:tcPr>
          <w:p>
            <w:pPr>
              <w:pStyle w:val="14"/>
              <w:spacing w:before="21"/>
              <w:ind w:left="8"/>
              <w:rPr>
                <w:sz w:val="21"/>
              </w:rPr>
            </w:pPr>
            <w:r>
              <w:rPr>
                <w:sz w:val="21"/>
              </w:rPr>
              <w:t>隔声门窗</w:t>
            </w:r>
          </w:p>
        </w:tc>
        <w:tc>
          <w:tcPr>
            <w:tcW w:w="683" w:type="dxa"/>
            <w:tcBorders>
              <w:top w:val="nil"/>
            </w:tcBorders>
          </w:tcPr>
          <w:p>
            <w:pPr>
              <w:pStyle w:val="14"/>
              <w:jc w:val="left"/>
              <w:rPr>
                <w:rFonts w:ascii="Times New Roman"/>
                <w:sz w:val="20"/>
              </w:rPr>
            </w:pPr>
          </w:p>
        </w:tc>
        <w:tc>
          <w:tcPr>
            <w:tcW w:w="877" w:type="dxa"/>
            <w:tcBorders>
              <w:top w:val="nil"/>
            </w:tcBorders>
          </w:tcPr>
          <w:p>
            <w:pPr>
              <w:pStyle w:val="14"/>
              <w:jc w:val="left"/>
              <w:rPr>
                <w:rFonts w:ascii="Times New Roman"/>
                <w:sz w:val="20"/>
              </w:rPr>
            </w:pPr>
          </w:p>
        </w:tc>
        <w:tc>
          <w:tcPr>
            <w:tcW w:w="897" w:type="dxa"/>
            <w:tcBorders>
              <w:top w:val="nil"/>
              <w:bottom w:val="nil"/>
            </w:tcBorders>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496" w:type="dxa"/>
            <w:vMerge w:val="restart"/>
          </w:tcPr>
          <w:p>
            <w:pPr>
              <w:pStyle w:val="14"/>
              <w:spacing w:before="191"/>
              <w:ind w:left="10"/>
              <w:rPr>
                <w:rFonts w:ascii="Times New Roman"/>
                <w:sz w:val="21"/>
              </w:rPr>
            </w:pPr>
            <w:r>
              <w:rPr>
                <w:rFonts w:ascii="Times New Roman"/>
                <w:w w:val="99"/>
                <w:sz w:val="21"/>
              </w:rPr>
              <w:t>7</w:t>
            </w:r>
          </w:p>
        </w:tc>
        <w:tc>
          <w:tcPr>
            <w:tcW w:w="848" w:type="dxa"/>
            <w:tcBorders>
              <w:bottom w:val="nil"/>
            </w:tcBorders>
          </w:tcPr>
          <w:p>
            <w:pPr>
              <w:pStyle w:val="14"/>
              <w:spacing w:before="21" w:line="266" w:lineRule="exact"/>
              <w:ind w:left="87" w:right="81"/>
              <w:rPr>
                <w:sz w:val="21"/>
              </w:rPr>
            </w:pPr>
            <w:r>
              <w:rPr>
                <w:sz w:val="21"/>
              </w:rPr>
              <w:t>木材加</w:t>
            </w:r>
          </w:p>
        </w:tc>
        <w:tc>
          <w:tcPr>
            <w:tcW w:w="940" w:type="dxa"/>
            <w:tcBorders>
              <w:bottom w:val="nil"/>
            </w:tcBorders>
          </w:tcPr>
          <w:p>
            <w:pPr>
              <w:pStyle w:val="14"/>
              <w:spacing w:before="21" w:line="266" w:lineRule="exact"/>
              <w:ind w:left="134" w:right="126"/>
              <w:rPr>
                <w:sz w:val="21"/>
              </w:rPr>
            </w:pPr>
            <w:r>
              <w:rPr>
                <w:sz w:val="21"/>
              </w:rPr>
              <w:t>坑木加</w:t>
            </w:r>
          </w:p>
        </w:tc>
        <w:tc>
          <w:tcPr>
            <w:tcW w:w="766" w:type="dxa"/>
            <w:vMerge w:val="restart"/>
          </w:tcPr>
          <w:p>
            <w:pPr>
              <w:pStyle w:val="14"/>
              <w:spacing w:before="191"/>
              <w:ind w:left="5"/>
              <w:rPr>
                <w:rFonts w:ascii="Times New Roman"/>
                <w:sz w:val="21"/>
              </w:rPr>
            </w:pPr>
            <w:r>
              <w:rPr>
                <w:rFonts w:ascii="Times New Roman"/>
                <w:w w:val="99"/>
                <w:sz w:val="21"/>
              </w:rPr>
              <w:t>2</w:t>
            </w:r>
          </w:p>
        </w:tc>
        <w:tc>
          <w:tcPr>
            <w:tcW w:w="652" w:type="dxa"/>
            <w:vMerge w:val="restart"/>
          </w:tcPr>
          <w:p>
            <w:pPr>
              <w:pStyle w:val="14"/>
              <w:spacing w:before="191"/>
              <w:ind w:left="220"/>
              <w:jc w:val="left"/>
              <w:rPr>
                <w:rFonts w:ascii="Times New Roman"/>
                <w:sz w:val="21"/>
              </w:rPr>
            </w:pPr>
            <w:r>
              <w:rPr>
                <w:rFonts w:ascii="Times New Roman"/>
                <w:sz w:val="21"/>
              </w:rPr>
              <w:t>90</w:t>
            </w:r>
          </w:p>
        </w:tc>
        <w:tc>
          <w:tcPr>
            <w:tcW w:w="2347" w:type="dxa"/>
            <w:tcBorders>
              <w:bottom w:val="nil"/>
            </w:tcBorders>
          </w:tcPr>
          <w:p>
            <w:pPr>
              <w:pStyle w:val="14"/>
              <w:spacing w:before="21" w:line="266" w:lineRule="exact"/>
              <w:ind w:left="5"/>
              <w:rPr>
                <w:sz w:val="21"/>
              </w:rPr>
            </w:pPr>
            <w:r>
              <w:rPr>
                <w:sz w:val="21"/>
              </w:rPr>
              <w:t>四周墙体和顶部设计为</w:t>
            </w:r>
          </w:p>
        </w:tc>
        <w:tc>
          <w:tcPr>
            <w:tcW w:w="683" w:type="dxa"/>
            <w:vMerge w:val="restart"/>
          </w:tcPr>
          <w:p>
            <w:pPr>
              <w:pStyle w:val="14"/>
              <w:spacing w:before="191"/>
              <w:ind w:left="215" w:right="207"/>
              <w:rPr>
                <w:rFonts w:ascii="Times New Roman"/>
                <w:sz w:val="21"/>
              </w:rPr>
            </w:pPr>
            <w:r>
              <w:rPr>
                <w:rFonts w:ascii="Times New Roman"/>
                <w:sz w:val="21"/>
              </w:rPr>
              <w:t>25</w:t>
            </w:r>
          </w:p>
        </w:tc>
        <w:tc>
          <w:tcPr>
            <w:tcW w:w="877" w:type="dxa"/>
            <w:vMerge w:val="restart"/>
          </w:tcPr>
          <w:p>
            <w:pPr>
              <w:pStyle w:val="14"/>
              <w:spacing w:before="191"/>
              <w:ind w:left="205" w:right="197"/>
              <w:rPr>
                <w:rFonts w:ascii="Times New Roman"/>
                <w:sz w:val="21"/>
              </w:rPr>
            </w:pPr>
            <w:r>
              <w:rPr>
                <w:rFonts w:ascii="Times New Roman"/>
                <w:sz w:val="21"/>
              </w:rPr>
              <w:t>65</w:t>
            </w:r>
          </w:p>
        </w:tc>
        <w:tc>
          <w:tcPr>
            <w:tcW w:w="897" w:type="dxa"/>
            <w:tcBorders>
              <w:top w:val="nil"/>
              <w:bottom w:val="nil"/>
            </w:tcBorders>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496" w:type="dxa"/>
            <w:vMerge w:val="continue"/>
            <w:tcBorders>
              <w:top w:val="nil"/>
            </w:tcBorders>
          </w:tcPr>
          <w:p>
            <w:pPr>
              <w:rPr>
                <w:sz w:val="2"/>
                <w:szCs w:val="2"/>
              </w:rPr>
            </w:pPr>
          </w:p>
        </w:tc>
        <w:tc>
          <w:tcPr>
            <w:tcW w:w="848" w:type="dxa"/>
            <w:tcBorders>
              <w:top w:val="nil"/>
            </w:tcBorders>
          </w:tcPr>
          <w:p>
            <w:pPr>
              <w:pStyle w:val="14"/>
              <w:spacing w:before="16"/>
              <w:ind w:left="87" w:right="81"/>
              <w:rPr>
                <w:sz w:val="21"/>
              </w:rPr>
            </w:pPr>
            <w:r>
              <w:rPr>
                <w:sz w:val="21"/>
              </w:rPr>
              <w:t>工床</w:t>
            </w:r>
          </w:p>
        </w:tc>
        <w:tc>
          <w:tcPr>
            <w:tcW w:w="940" w:type="dxa"/>
            <w:tcBorders>
              <w:top w:val="nil"/>
            </w:tcBorders>
          </w:tcPr>
          <w:p>
            <w:pPr>
              <w:pStyle w:val="14"/>
              <w:spacing w:before="16"/>
              <w:ind w:left="134" w:right="126"/>
              <w:rPr>
                <w:sz w:val="21"/>
              </w:rPr>
            </w:pPr>
            <w:r>
              <w:rPr>
                <w:sz w:val="21"/>
              </w:rPr>
              <w:t>工房</w:t>
            </w:r>
          </w:p>
        </w:tc>
        <w:tc>
          <w:tcPr>
            <w:tcW w:w="766" w:type="dxa"/>
            <w:vMerge w:val="continue"/>
            <w:tcBorders>
              <w:top w:val="nil"/>
            </w:tcBorders>
          </w:tcPr>
          <w:p>
            <w:pPr>
              <w:rPr>
                <w:sz w:val="2"/>
                <w:szCs w:val="2"/>
              </w:rPr>
            </w:pPr>
          </w:p>
        </w:tc>
        <w:tc>
          <w:tcPr>
            <w:tcW w:w="652" w:type="dxa"/>
            <w:vMerge w:val="continue"/>
            <w:tcBorders>
              <w:top w:val="nil"/>
            </w:tcBorders>
          </w:tcPr>
          <w:p>
            <w:pPr>
              <w:rPr>
                <w:sz w:val="2"/>
                <w:szCs w:val="2"/>
              </w:rPr>
            </w:pPr>
          </w:p>
        </w:tc>
        <w:tc>
          <w:tcPr>
            <w:tcW w:w="2347" w:type="dxa"/>
            <w:tcBorders>
              <w:top w:val="nil"/>
            </w:tcBorders>
          </w:tcPr>
          <w:p>
            <w:pPr>
              <w:pStyle w:val="14"/>
              <w:spacing w:before="16"/>
              <w:ind w:left="5"/>
              <w:rPr>
                <w:sz w:val="21"/>
              </w:rPr>
            </w:pPr>
            <w:r>
              <w:rPr>
                <w:sz w:val="21"/>
              </w:rPr>
              <w:t>混凝土墙体，隔声门窗</w:t>
            </w:r>
          </w:p>
        </w:tc>
        <w:tc>
          <w:tcPr>
            <w:tcW w:w="683" w:type="dxa"/>
            <w:vMerge w:val="continue"/>
            <w:tcBorders>
              <w:top w:val="nil"/>
            </w:tcBorders>
          </w:tcPr>
          <w:p>
            <w:pPr>
              <w:rPr>
                <w:sz w:val="2"/>
                <w:szCs w:val="2"/>
              </w:rPr>
            </w:pPr>
          </w:p>
        </w:tc>
        <w:tc>
          <w:tcPr>
            <w:tcW w:w="877" w:type="dxa"/>
            <w:vMerge w:val="continue"/>
            <w:tcBorders>
              <w:top w:val="nil"/>
            </w:tcBorders>
          </w:tcPr>
          <w:p>
            <w:pPr>
              <w:rPr>
                <w:sz w:val="2"/>
                <w:szCs w:val="2"/>
              </w:rPr>
            </w:pPr>
          </w:p>
        </w:tc>
        <w:tc>
          <w:tcPr>
            <w:tcW w:w="897" w:type="dxa"/>
            <w:tcBorders>
              <w:top w:val="nil"/>
              <w:bottom w:val="nil"/>
            </w:tcBorders>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96" w:type="dxa"/>
          </w:tcPr>
          <w:p>
            <w:pPr>
              <w:pStyle w:val="14"/>
              <w:spacing w:before="191"/>
              <w:ind w:right="183"/>
              <w:jc w:val="right"/>
              <w:rPr>
                <w:rFonts w:ascii="Times New Roman"/>
                <w:sz w:val="21"/>
              </w:rPr>
            </w:pPr>
            <w:r>
              <w:rPr>
                <w:rFonts w:ascii="Times New Roman"/>
                <w:w w:val="99"/>
                <w:sz w:val="21"/>
              </w:rPr>
              <w:t>8</w:t>
            </w:r>
          </w:p>
        </w:tc>
        <w:tc>
          <w:tcPr>
            <w:tcW w:w="848" w:type="dxa"/>
          </w:tcPr>
          <w:p>
            <w:pPr>
              <w:pStyle w:val="14"/>
              <w:spacing w:before="21"/>
              <w:ind w:left="87" w:right="81"/>
              <w:rPr>
                <w:sz w:val="21"/>
              </w:rPr>
            </w:pPr>
            <w:r>
              <w:rPr>
                <w:sz w:val="21"/>
              </w:rPr>
              <w:t>提升绞</w:t>
            </w:r>
          </w:p>
          <w:p>
            <w:pPr>
              <w:pStyle w:val="14"/>
              <w:spacing w:before="43"/>
              <w:ind w:left="8"/>
              <w:rPr>
                <w:sz w:val="21"/>
              </w:rPr>
            </w:pPr>
            <w:r>
              <w:rPr>
                <w:w w:val="99"/>
                <w:sz w:val="21"/>
              </w:rPr>
              <w:t>车</w:t>
            </w:r>
          </w:p>
        </w:tc>
        <w:tc>
          <w:tcPr>
            <w:tcW w:w="940" w:type="dxa"/>
          </w:tcPr>
          <w:p>
            <w:pPr>
              <w:pStyle w:val="14"/>
              <w:spacing w:before="177"/>
              <w:ind w:left="134" w:right="126"/>
              <w:rPr>
                <w:sz w:val="21"/>
              </w:rPr>
            </w:pPr>
            <w:r>
              <w:rPr>
                <w:sz w:val="21"/>
              </w:rPr>
              <w:t>绞车房</w:t>
            </w:r>
          </w:p>
        </w:tc>
        <w:tc>
          <w:tcPr>
            <w:tcW w:w="766" w:type="dxa"/>
          </w:tcPr>
          <w:p>
            <w:pPr>
              <w:pStyle w:val="14"/>
              <w:spacing w:before="191"/>
              <w:ind w:left="5"/>
              <w:rPr>
                <w:rFonts w:ascii="Times New Roman"/>
                <w:sz w:val="21"/>
              </w:rPr>
            </w:pPr>
            <w:r>
              <w:rPr>
                <w:rFonts w:ascii="Times New Roman"/>
                <w:w w:val="99"/>
                <w:sz w:val="21"/>
              </w:rPr>
              <w:t>1</w:t>
            </w:r>
          </w:p>
        </w:tc>
        <w:tc>
          <w:tcPr>
            <w:tcW w:w="652" w:type="dxa"/>
          </w:tcPr>
          <w:p>
            <w:pPr>
              <w:pStyle w:val="14"/>
              <w:spacing w:before="191"/>
              <w:ind w:left="200" w:right="192"/>
              <w:rPr>
                <w:rFonts w:ascii="Times New Roman"/>
                <w:sz w:val="21"/>
              </w:rPr>
            </w:pPr>
            <w:r>
              <w:rPr>
                <w:rFonts w:ascii="Times New Roman"/>
                <w:sz w:val="21"/>
              </w:rPr>
              <w:t>90</w:t>
            </w:r>
          </w:p>
        </w:tc>
        <w:tc>
          <w:tcPr>
            <w:tcW w:w="2347" w:type="dxa"/>
            <w:tcBorders>
              <w:bottom w:val="nil"/>
            </w:tcBorders>
          </w:tcPr>
          <w:p>
            <w:pPr>
              <w:pStyle w:val="14"/>
              <w:spacing w:before="26"/>
              <w:ind w:left="122"/>
              <w:jc w:val="left"/>
              <w:rPr>
                <w:sz w:val="21"/>
              </w:rPr>
            </w:pPr>
            <w:r>
              <w:rPr>
                <w:w w:val="95"/>
                <w:sz w:val="21"/>
              </w:rPr>
              <w:t>机房内电机设置减振基</w:t>
            </w:r>
          </w:p>
          <w:p>
            <w:pPr>
              <w:pStyle w:val="14"/>
              <w:spacing w:before="43" w:line="266" w:lineRule="exact"/>
              <w:ind w:left="122"/>
              <w:jc w:val="left"/>
              <w:rPr>
                <w:sz w:val="21"/>
              </w:rPr>
            </w:pPr>
            <w:r>
              <w:rPr>
                <w:w w:val="95"/>
                <w:sz w:val="21"/>
              </w:rPr>
              <w:t>础，机房内进行吸声处</w:t>
            </w:r>
          </w:p>
        </w:tc>
        <w:tc>
          <w:tcPr>
            <w:tcW w:w="683" w:type="dxa"/>
          </w:tcPr>
          <w:p>
            <w:pPr>
              <w:pStyle w:val="14"/>
              <w:spacing w:before="191"/>
              <w:ind w:left="215" w:right="207"/>
              <w:rPr>
                <w:rFonts w:ascii="Times New Roman"/>
                <w:sz w:val="21"/>
              </w:rPr>
            </w:pPr>
            <w:r>
              <w:rPr>
                <w:rFonts w:ascii="Times New Roman"/>
                <w:sz w:val="21"/>
              </w:rPr>
              <w:t>25</w:t>
            </w:r>
          </w:p>
        </w:tc>
        <w:tc>
          <w:tcPr>
            <w:tcW w:w="877" w:type="dxa"/>
          </w:tcPr>
          <w:p>
            <w:pPr>
              <w:pStyle w:val="14"/>
              <w:spacing w:before="191"/>
              <w:ind w:right="322"/>
              <w:jc w:val="right"/>
              <w:rPr>
                <w:rFonts w:ascii="Times New Roman"/>
                <w:sz w:val="21"/>
              </w:rPr>
            </w:pPr>
            <w:r>
              <w:rPr>
                <w:rFonts w:ascii="Times New Roman"/>
                <w:sz w:val="21"/>
              </w:rPr>
              <w:t>65</w:t>
            </w:r>
          </w:p>
        </w:tc>
        <w:tc>
          <w:tcPr>
            <w:tcW w:w="897" w:type="dxa"/>
            <w:tcBorders>
              <w:top w:val="nil"/>
              <w:bottom w:val="nil"/>
            </w:tcBorders>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96" w:type="dxa"/>
          </w:tcPr>
          <w:p>
            <w:pPr>
              <w:pStyle w:val="14"/>
              <w:spacing w:before="34"/>
              <w:ind w:right="183"/>
              <w:jc w:val="right"/>
              <w:rPr>
                <w:rFonts w:ascii="Times New Roman"/>
                <w:sz w:val="21"/>
              </w:rPr>
            </w:pPr>
            <w:r>
              <w:rPr>
                <w:rFonts w:ascii="Times New Roman"/>
                <w:w w:val="99"/>
                <w:sz w:val="21"/>
              </w:rPr>
              <w:t>9</w:t>
            </w:r>
          </w:p>
        </w:tc>
        <w:tc>
          <w:tcPr>
            <w:tcW w:w="848" w:type="dxa"/>
          </w:tcPr>
          <w:p>
            <w:pPr>
              <w:pStyle w:val="14"/>
              <w:spacing w:before="21"/>
              <w:ind w:left="87" w:right="81"/>
              <w:rPr>
                <w:sz w:val="21"/>
              </w:rPr>
            </w:pPr>
            <w:r>
              <w:rPr>
                <w:sz w:val="21"/>
              </w:rPr>
              <w:t>提升绞</w:t>
            </w:r>
          </w:p>
        </w:tc>
        <w:tc>
          <w:tcPr>
            <w:tcW w:w="940" w:type="dxa"/>
          </w:tcPr>
          <w:p>
            <w:pPr>
              <w:pStyle w:val="14"/>
              <w:spacing w:before="21"/>
              <w:ind w:left="134" w:right="126"/>
              <w:rPr>
                <w:sz w:val="21"/>
              </w:rPr>
            </w:pPr>
            <w:r>
              <w:rPr>
                <w:sz w:val="21"/>
              </w:rPr>
              <w:t>矸石绞</w:t>
            </w:r>
          </w:p>
        </w:tc>
        <w:tc>
          <w:tcPr>
            <w:tcW w:w="766" w:type="dxa"/>
          </w:tcPr>
          <w:p>
            <w:pPr>
              <w:pStyle w:val="14"/>
              <w:spacing w:before="34"/>
              <w:ind w:left="5"/>
              <w:rPr>
                <w:rFonts w:ascii="Times New Roman"/>
                <w:sz w:val="21"/>
              </w:rPr>
            </w:pPr>
            <w:r>
              <w:rPr>
                <w:rFonts w:ascii="Times New Roman"/>
                <w:w w:val="99"/>
                <w:sz w:val="21"/>
              </w:rPr>
              <w:t>1</w:t>
            </w:r>
          </w:p>
        </w:tc>
        <w:tc>
          <w:tcPr>
            <w:tcW w:w="652" w:type="dxa"/>
          </w:tcPr>
          <w:p>
            <w:pPr>
              <w:pStyle w:val="14"/>
              <w:spacing w:before="34"/>
              <w:ind w:left="200" w:right="192"/>
              <w:rPr>
                <w:rFonts w:ascii="Times New Roman"/>
                <w:sz w:val="21"/>
              </w:rPr>
            </w:pPr>
            <w:r>
              <w:rPr>
                <w:rFonts w:ascii="Times New Roman"/>
                <w:sz w:val="21"/>
              </w:rPr>
              <w:t>90</w:t>
            </w:r>
          </w:p>
        </w:tc>
        <w:tc>
          <w:tcPr>
            <w:tcW w:w="2347" w:type="dxa"/>
            <w:tcBorders>
              <w:top w:val="nil"/>
            </w:tcBorders>
          </w:tcPr>
          <w:p>
            <w:pPr>
              <w:pStyle w:val="14"/>
              <w:spacing w:before="16"/>
              <w:ind w:left="8"/>
              <w:rPr>
                <w:sz w:val="21"/>
              </w:rPr>
            </w:pPr>
            <w:r>
              <w:rPr>
                <w:sz w:val="21"/>
              </w:rPr>
              <w:t>理，并加装隔声罩，机房</w:t>
            </w:r>
          </w:p>
        </w:tc>
        <w:tc>
          <w:tcPr>
            <w:tcW w:w="683" w:type="dxa"/>
          </w:tcPr>
          <w:p>
            <w:pPr>
              <w:pStyle w:val="14"/>
              <w:spacing w:before="34"/>
              <w:ind w:left="215" w:right="207"/>
              <w:rPr>
                <w:rFonts w:ascii="Times New Roman"/>
                <w:sz w:val="21"/>
              </w:rPr>
            </w:pPr>
            <w:r>
              <w:rPr>
                <w:rFonts w:ascii="Times New Roman"/>
                <w:sz w:val="21"/>
              </w:rPr>
              <w:t>25</w:t>
            </w:r>
          </w:p>
        </w:tc>
        <w:tc>
          <w:tcPr>
            <w:tcW w:w="877" w:type="dxa"/>
          </w:tcPr>
          <w:p>
            <w:pPr>
              <w:pStyle w:val="14"/>
              <w:spacing w:before="34"/>
              <w:ind w:right="322"/>
              <w:jc w:val="right"/>
              <w:rPr>
                <w:rFonts w:ascii="Times New Roman"/>
                <w:sz w:val="21"/>
              </w:rPr>
            </w:pPr>
            <w:r>
              <w:rPr>
                <w:rFonts w:ascii="Times New Roman"/>
                <w:sz w:val="21"/>
              </w:rPr>
              <w:t>65</w:t>
            </w:r>
          </w:p>
        </w:tc>
        <w:tc>
          <w:tcPr>
            <w:tcW w:w="897" w:type="dxa"/>
            <w:tcBorders>
              <w:top w:val="nil"/>
            </w:tcBorders>
          </w:tcPr>
          <w:p>
            <w:pPr>
              <w:pStyle w:val="14"/>
              <w:jc w:val="left"/>
              <w:rPr>
                <w:rFonts w:ascii="Times New Roman"/>
                <w:sz w:val="20"/>
              </w:rPr>
            </w:pPr>
          </w:p>
        </w:tc>
      </w:tr>
    </w:tbl>
    <w:p>
      <w:pPr>
        <w:spacing w:after="0"/>
        <w:jc w:val="left"/>
        <w:rPr>
          <w:rFonts w:ascii="Times New Roman"/>
          <w:sz w:val="20"/>
        </w:rPr>
        <w:sectPr>
          <w:pgSz w:w="11910" w:h="16840"/>
          <w:pgMar w:top="1380" w:right="1220" w:bottom="1180" w:left="1240" w:header="0" w:footer="997" w:gutter="0"/>
        </w:sectPr>
      </w:pPr>
    </w:p>
    <w:tbl>
      <w:tblPr>
        <w:tblStyle w:val="10"/>
        <w:tblW w:w="0" w:type="auto"/>
        <w:tblInd w:w="4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6"/>
        <w:gridCol w:w="848"/>
        <w:gridCol w:w="940"/>
        <w:gridCol w:w="766"/>
        <w:gridCol w:w="652"/>
        <w:gridCol w:w="2347"/>
        <w:gridCol w:w="683"/>
        <w:gridCol w:w="877"/>
        <w:gridCol w:w="8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96" w:type="dxa"/>
          </w:tcPr>
          <w:p>
            <w:pPr>
              <w:pStyle w:val="14"/>
              <w:jc w:val="left"/>
              <w:rPr>
                <w:rFonts w:ascii="Times New Roman"/>
                <w:sz w:val="22"/>
              </w:rPr>
            </w:pPr>
          </w:p>
        </w:tc>
        <w:tc>
          <w:tcPr>
            <w:tcW w:w="848" w:type="dxa"/>
          </w:tcPr>
          <w:p>
            <w:pPr>
              <w:pStyle w:val="14"/>
              <w:spacing w:before="21"/>
              <w:ind w:left="8"/>
              <w:rPr>
                <w:sz w:val="21"/>
              </w:rPr>
            </w:pPr>
            <w:r>
              <w:rPr>
                <w:w w:val="99"/>
                <w:sz w:val="21"/>
              </w:rPr>
              <w:t>车</w:t>
            </w:r>
          </w:p>
        </w:tc>
        <w:tc>
          <w:tcPr>
            <w:tcW w:w="940" w:type="dxa"/>
          </w:tcPr>
          <w:p>
            <w:pPr>
              <w:pStyle w:val="14"/>
              <w:spacing w:before="21"/>
              <w:ind w:left="260"/>
              <w:jc w:val="left"/>
              <w:rPr>
                <w:sz w:val="21"/>
              </w:rPr>
            </w:pPr>
            <w:r>
              <w:rPr>
                <w:sz w:val="21"/>
              </w:rPr>
              <w:t>车房</w:t>
            </w:r>
          </w:p>
        </w:tc>
        <w:tc>
          <w:tcPr>
            <w:tcW w:w="766" w:type="dxa"/>
          </w:tcPr>
          <w:p>
            <w:pPr>
              <w:pStyle w:val="14"/>
              <w:jc w:val="left"/>
              <w:rPr>
                <w:rFonts w:ascii="Times New Roman"/>
                <w:sz w:val="22"/>
              </w:rPr>
            </w:pPr>
          </w:p>
        </w:tc>
        <w:tc>
          <w:tcPr>
            <w:tcW w:w="652" w:type="dxa"/>
          </w:tcPr>
          <w:p>
            <w:pPr>
              <w:pStyle w:val="14"/>
              <w:jc w:val="left"/>
              <w:rPr>
                <w:rFonts w:ascii="Times New Roman"/>
                <w:sz w:val="22"/>
              </w:rPr>
            </w:pPr>
          </w:p>
        </w:tc>
        <w:tc>
          <w:tcPr>
            <w:tcW w:w="2347" w:type="dxa"/>
            <w:vMerge w:val="restart"/>
          </w:tcPr>
          <w:p>
            <w:pPr>
              <w:pStyle w:val="14"/>
              <w:spacing w:before="21"/>
              <w:ind w:left="228"/>
              <w:jc w:val="left"/>
              <w:rPr>
                <w:sz w:val="21"/>
              </w:rPr>
            </w:pPr>
            <w:r>
              <w:rPr>
                <w:sz w:val="21"/>
              </w:rPr>
              <w:t>门窗设置为隔声门窗</w:t>
            </w:r>
          </w:p>
        </w:tc>
        <w:tc>
          <w:tcPr>
            <w:tcW w:w="683" w:type="dxa"/>
          </w:tcPr>
          <w:p>
            <w:pPr>
              <w:pStyle w:val="14"/>
              <w:jc w:val="left"/>
              <w:rPr>
                <w:rFonts w:ascii="Times New Roman"/>
                <w:sz w:val="22"/>
              </w:rPr>
            </w:pPr>
          </w:p>
        </w:tc>
        <w:tc>
          <w:tcPr>
            <w:tcW w:w="877" w:type="dxa"/>
          </w:tcPr>
          <w:p>
            <w:pPr>
              <w:pStyle w:val="14"/>
              <w:jc w:val="left"/>
              <w:rPr>
                <w:rFonts w:ascii="Times New Roman"/>
                <w:sz w:val="22"/>
              </w:rPr>
            </w:pPr>
          </w:p>
        </w:tc>
        <w:tc>
          <w:tcPr>
            <w:tcW w:w="897" w:type="dxa"/>
            <w:vMerge w:val="restart"/>
          </w:tcPr>
          <w:p>
            <w:pPr>
              <w:pStyle w:val="14"/>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96" w:type="dxa"/>
          </w:tcPr>
          <w:p>
            <w:pPr>
              <w:pStyle w:val="14"/>
              <w:spacing w:before="190"/>
              <w:ind w:right="130"/>
              <w:jc w:val="right"/>
              <w:rPr>
                <w:rFonts w:ascii="Times New Roman"/>
                <w:sz w:val="21"/>
              </w:rPr>
            </w:pPr>
            <w:r>
              <w:rPr>
                <w:rFonts w:ascii="Times New Roman"/>
                <w:sz w:val="21"/>
              </w:rPr>
              <w:t>10</w:t>
            </w:r>
          </w:p>
        </w:tc>
        <w:tc>
          <w:tcPr>
            <w:tcW w:w="848" w:type="dxa"/>
          </w:tcPr>
          <w:p>
            <w:pPr>
              <w:pStyle w:val="14"/>
              <w:spacing w:before="177"/>
              <w:ind w:left="87" w:right="81"/>
              <w:rPr>
                <w:sz w:val="21"/>
              </w:rPr>
            </w:pPr>
            <w:r>
              <w:rPr>
                <w:sz w:val="21"/>
              </w:rPr>
              <w:t>翻车机</w:t>
            </w:r>
          </w:p>
        </w:tc>
        <w:tc>
          <w:tcPr>
            <w:tcW w:w="940" w:type="dxa"/>
          </w:tcPr>
          <w:p>
            <w:pPr>
              <w:pStyle w:val="14"/>
              <w:spacing w:before="20"/>
              <w:ind w:left="134" w:right="126"/>
              <w:rPr>
                <w:sz w:val="21"/>
              </w:rPr>
            </w:pPr>
            <w:r>
              <w:rPr>
                <w:sz w:val="21"/>
              </w:rPr>
              <w:t>翻车机</w:t>
            </w:r>
          </w:p>
          <w:p>
            <w:pPr>
              <w:pStyle w:val="14"/>
              <w:spacing w:before="43"/>
              <w:ind w:left="6"/>
              <w:rPr>
                <w:sz w:val="21"/>
              </w:rPr>
            </w:pPr>
            <w:r>
              <w:rPr>
                <w:w w:val="99"/>
                <w:sz w:val="21"/>
              </w:rPr>
              <w:t>房</w:t>
            </w:r>
          </w:p>
        </w:tc>
        <w:tc>
          <w:tcPr>
            <w:tcW w:w="766" w:type="dxa"/>
          </w:tcPr>
          <w:p>
            <w:pPr>
              <w:pStyle w:val="14"/>
              <w:spacing w:before="190"/>
              <w:ind w:left="5"/>
              <w:rPr>
                <w:rFonts w:ascii="Times New Roman"/>
                <w:sz w:val="21"/>
              </w:rPr>
            </w:pPr>
            <w:r>
              <w:rPr>
                <w:rFonts w:ascii="Times New Roman"/>
                <w:w w:val="99"/>
                <w:sz w:val="21"/>
              </w:rPr>
              <w:t>1</w:t>
            </w:r>
          </w:p>
        </w:tc>
        <w:tc>
          <w:tcPr>
            <w:tcW w:w="652" w:type="dxa"/>
          </w:tcPr>
          <w:p>
            <w:pPr>
              <w:pStyle w:val="14"/>
              <w:spacing w:before="190"/>
              <w:ind w:left="200" w:right="192"/>
              <w:rPr>
                <w:rFonts w:ascii="Times New Roman"/>
                <w:sz w:val="21"/>
              </w:rPr>
            </w:pPr>
            <w:r>
              <w:rPr>
                <w:rFonts w:ascii="Times New Roman"/>
                <w:sz w:val="21"/>
              </w:rPr>
              <w:t>90</w:t>
            </w:r>
          </w:p>
        </w:tc>
        <w:tc>
          <w:tcPr>
            <w:tcW w:w="2347" w:type="dxa"/>
            <w:vMerge w:val="continue"/>
            <w:tcBorders>
              <w:top w:val="nil"/>
            </w:tcBorders>
          </w:tcPr>
          <w:p>
            <w:pPr>
              <w:rPr>
                <w:sz w:val="2"/>
                <w:szCs w:val="2"/>
              </w:rPr>
            </w:pPr>
          </w:p>
        </w:tc>
        <w:tc>
          <w:tcPr>
            <w:tcW w:w="683" w:type="dxa"/>
          </w:tcPr>
          <w:p>
            <w:pPr>
              <w:pStyle w:val="14"/>
              <w:spacing w:before="190"/>
              <w:ind w:left="215" w:right="207"/>
              <w:rPr>
                <w:rFonts w:ascii="Times New Roman"/>
                <w:sz w:val="21"/>
              </w:rPr>
            </w:pPr>
            <w:r>
              <w:rPr>
                <w:rFonts w:ascii="Times New Roman"/>
                <w:sz w:val="21"/>
              </w:rPr>
              <w:t>25</w:t>
            </w:r>
          </w:p>
        </w:tc>
        <w:tc>
          <w:tcPr>
            <w:tcW w:w="877" w:type="dxa"/>
          </w:tcPr>
          <w:p>
            <w:pPr>
              <w:pStyle w:val="14"/>
              <w:spacing w:before="190"/>
              <w:ind w:right="322"/>
              <w:jc w:val="right"/>
              <w:rPr>
                <w:rFonts w:ascii="Times New Roman"/>
                <w:sz w:val="21"/>
              </w:rPr>
            </w:pPr>
            <w:r>
              <w:rPr>
                <w:rFonts w:ascii="Times New Roman"/>
                <w:sz w:val="21"/>
              </w:rPr>
              <w:t>65</w:t>
            </w:r>
          </w:p>
        </w:tc>
        <w:tc>
          <w:tcPr>
            <w:tcW w:w="89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96" w:type="dxa"/>
          </w:tcPr>
          <w:p>
            <w:pPr>
              <w:pStyle w:val="14"/>
              <w:spacing w:before="190"/>
              <w:ind w:right="130"/>
              <w:jc w:val="right"/>
              <w:rPr>
                <w:rFonts w:ascii="Times New Roman"/>
                <w:sz w:val="21"/>
              </w:rPr>
            </w:pPr>
            <w:r>
              <w:rPr>
                <w:rFonts w:ascii="Times New Roman"/>
                <w:sz w:val="21"/>
              </w:rPr>
              <w:t>11</w:t>
            </w:r>
          </w:p>
        </w:tc>
        <w:tc>
          <w:tcPr>
            <w:tcW w:w="848" w:type="dxa"/>
          </w:tcPr>
          <w:p>
            <w:pPr>
              <w:pStyle w:val="14"/>
              <w:spacing w:before="20"/>
              <w:ind w:left="87" w:right="81"/>
              <w:rPr>
                <w:sz w:val="21"/>
              </w:rPr>
            </w:pPr>
            <w:r>
              <w:rPr>
                <w:sz w:val="21"/>
              </w:rPr>
              <w:t>维修设</w:t>
            </w:r>
          </w:p>
          <w:p>
            <w:pPr>
              <w:pStyle w:val="14"/>
              <w:spacing w:before="43"/>
              <w:ind w:left="8"/>
              <w:rPr>
                <w:sz w:val="21"/>
              </w:rPr>
            </w:pPr>
            <w:r>
              <w:rPr>
                <w:w w:val="99"/>
                <w:sz w:val="21"/>
              </w:rPr>
              <w:t>备</w:t>
            </w:r>
          </w:p>
        </w:tc>
        <w:tc>
          <w:tcPr>
            <w:tcW w:w="940" w:type="dxa"/>
          </w:tcPr>
          <w:p>
            <w:pPr>
              <w:pStyle w:val="14"/>
              <w:spacing w:before="20"/>
              <w:ind w:left="154"/>
              <w:jc w:val="left"/>
              <w:rPr>
                <w:sz w:val="21"/>
              </w:rPr>
            </w:pPr>
            <w:r>
              <w:rPr>
                <w:w w:val="95"/>
                <w:sz w:val="21"/>
              </w:rPr>
              <w:t>机电维</w:t>
            </w:r>
          </w:p>
          <w:p>
            <w:pPr>
              <w:pStyle w:val="14"/>
              <w:spacing w:before="43"/>
              <w:ind w:left="154"/>
              <w:jc w:val="left"/>
              <w:rPr>
                <w:sz w:val="21"/>
              </w:rPr>
            </w:pPr>
            <w:r>
              <w:rPr>
                <w:w w:val="95"/>
                <w:sz w:val="21"/>
              </w:rPr>
              <w:t>修车间</w:t>
            </w:r>
          </w:p>
        </w:tc>
        <w:tc>
          <w:tcPr>
            <w:tcW w:w="766" w:type="dxa"/>
          </w:tcPr>
          <w:p>
            <w:pPr>
              <w:pStyle w:val="14"/>
              <w:spacing w:before="190"/>
              <w:ind w:left="5"/>
              <w:rPr>
                <w:rFonts w:ascii="Times New Roman"/>
                <w:sz w:val="21"/>
              </w:rPr>
            </w:pPr>
            <w:r>
              <w:rPr>
                <w:rFonts w:ascii="Times New Roman"/>
                <w:w w:val="99"/>
                <w:sz w:val="21"/>
              </w:rPr>
              <w:t>1</w:t>
            </w:r>
          </w:p>
        </w:tc>
        <w:tc>
          <w:tcPr>
            <w:tcW w:w="652" w:type="dxa"/>
          </w:tcPr>
          <w:p>
            <w:pPr>
              <w:pStyle w:val="14"/>
              <w:spacing w:before="190"/>
              <w:ind w:left="200" w:right="192"/>
              <w:rPr>
                <w:rFonts w:ascii="Times New Roman"/>
                <w:sz w:val="21"/>
              </w:rPr>
            </w:pPr>
            <w:r>
              <w:rPr>
                <w:rFonts w:ascii="Times New Roman"/>
                <w:sz w:val="21"/>
              </w:rPr>
              <w:t>85</w:t>
            </w:r>
          </w:p>
        </w:tc>
        <w:tc>
          <w:tcPr>
            <w:tcW w:w="2347" w:type="dxa"/>
          </w:tcPr>
          <w:p>
            <w:pPr>
              <w:pStyle w:val="14"/>
              <w:spacing w:before="176"/>
              <w:ind w:left="753"/>
              <w:jc w:val="left"/>
              <w:rPr>
                <w:sz w:val="21"/>
              </w:rPr>
            </w:pPr>
            <w:r>
              <w:rPr>
                <w:sz w:val="21"/>
              </w:rPr>
              <w:t>隔声减振</w:t>
            </w:r>
          </w:p>
        </w:tc>
        <w:tc>
          <w:tcPr>
            <w:tcW w:w="683" w:type="dxa"/>
          </w:tcPr>
          <w:p>
            <w:pPr>
              <w:pStyle w:val="14"/>
              <w:spacing w:before="190"/>
              <w:ind w:left="215" w:right="207"/>
              <w:rPr>
                <w:rFonts w:ascii="Times New Roman"/>
                <w:sz w:val="21"/>
              </w:rPr>
            </w:pPr>
            <w:r>
              <w:rPr>
                <w:rFonts w:ascii="Times New Roman"/>
                <w:sz w:val="21"/>
              </w:rPr>
              <w:t>20</w:t>
            </w:r>
          </w:p>
        </w:tc>
        <w:tc>
          <w:tcPr>
            <w:tcW w:w="877" w:type="dxa"/>
          </w:tcPr>
          <w:p>
            <w:pPr>
              <w:pStyle w:val="14"/>
              <w:spacing w:before="190"/>
              <w:ind w:right="322"/>
              <w:jc w:val="right"/>
              <w:rPr>
                <w:rFonts w:ascii="Times New Roman"/>
                <w:sz w:val="21"/>
              </w:rPr>
            </w:pPr>
            <w:r>
              <w:rPr>
                <w:rFonts w:ascii="Times New Roman"/>
                <w:sz w:val="21"/>
              </w:rPr>
              <w:t>65</w:t>
            </w:r>
          </w:p>
        </w:tc>
        <w:tc>
          <w:tcPr>
            <w:tcW w:w="897" w:type="dxa"/>
            <w:vMerge w:val="continue"/>
            <w:tcBorders>
              <w:top w:val="nil"/>
            </w:tcBorders>
          </w:tcPr>
          <w:p>
            <w:pPr>
              <w:rPr>
                <w:sz w:val="2"/>
                <w:szCs w:val="2"/>
              </w:rPr>
            </w:pPr>
          </w:p>
        </w:tc>
      </w:tr>
    </w:tbl>
    <w:p>
      <w:pPr>
        <w:pStyle w:val="6"/>
        <w:spacing w:before="8"/>
        <w:rPr>
          <w:rFonts w:ascii="黑体"/>
          <w:sz w:val="26"/>
        </w:rPr>
      </w:pPr>
    </w:p>
    <w:p>
      <w:pPr>
        <w:pStyle w:val="13"/>
        <w:numPr>
          <w:ilvl w:val="0"/>
          <w:numId w:val="32"/>
        </w:numPr>
        <w:tabs>
          <w:tab w:val="left" w:pos="1533"/>
        </w:tabs>
        <w:spacing w:before="74" w:after="0" w:line="240" w:lineRule="auto"/>
        <w:ind w:left="1533" w:right="0" w:hanging="602"/>
        <w:jc w:val="left"/>
        <w:rPr>
          <w:sz w:val="24"/>
        </w:rPr>
      </w:pPr>
      <w:r>
        <w:rPr>
          <w:sz w:val="24"/>
        </w:rPr>
        <w:t>生态影响因素分析</w:t>
      </w:r>
    </w:p>
    <w:p>
      <w:pPr>
        <w:pStyle w:val="6"/>
        <w:spacing w:before="160"/>
        <w:ind w:left="931"/>
      </w:pPr>
      <w:r>
        <w:t>①地表沉陷与预防</w:t>
      </w:r>
    </w:p>
    <w:p>
      <w:pPr>
        <w:pStyle w:val="6"/>
        <w:spacing w:before="158"/>
        <w:ind w:left="931"/>
        <w:jc w:val="both"/>
      </w:pPr>
      <w:r>
        <w:rPr>
          <w:rFonts w:ascii="Times New Roman" w:eastAsia="Times New Roman"/>
        </w:rPr>
        <w:t xml:space="preserve">a </w:t>
      </w:r>
      <w:r>
        <w:t>地表沉陷影响分析</w:t>
      </w:r>
    </w:p>
    <w:p>
      <w:pPr>
        <w:pStyle w:val="6"/>
        <w:spacing w:before="161" w:line="364" w:lineRule="auto"/>
        <w:ind w:left="511" w:right="529" w:firstLine="420"/>
        <w:jc w:val="both"/>
      </w:pPr>
      <w:r>
        <w:t>煤炭开采会造成一定程度的地表沉陷区和积水区，对井田内的地形、地貌、景观、建筑物、交通设施、供电系统、地表水系等产生一定程度的影响。对地表植被、生态系统等生态环境产生影响。</w:t>
      </w:r>
    </w:p>
    <w:p>
      <w:pPr>
        <w:pStyle w:val="6"/>
        <w:spacing w:line="307" w:lineRule="exact"/>
        <w:ind w:left="931"/>
        <w:jc w:val="both"/>
      </w:pPr>
      <w:r>
        <w:rPr>
          <w:rFonts w:ascii="Times New Roman" w:eastAsia="Times New Roman"/>
        </w:rPr>
        <w:t xml:space="preserve">b </w:t>
      </w:r>
      <w:r>
        <w:t>地表沉陷预防与生态保护</w:t>
      </w:r>
    </w:p>
    <w:p>
      <w:pPr>
        <w:pStyle w:val="6"/>
        <w:spacing w:before="158" w:line="362" w:lineRule="auto"/>
        <w:ind w:left="511" w:right="529" w:firstLine="420"/>
      </w:pPr>
      <w:r>
        <w:t>矿井生态保护是以沉陷区治理为主。本项目井田范围内主要是林地、工矿用地。</w:t>
      </w:r>
    </w:p>
    <w:p>
      <w:pPr>
        <w:pStyle w:val="6"/>
        <w:spacing w:before="5"/>
        <w:ind w:left="931"/>
      </w:pPr>
      <w:r>
        <w:t>②地表沉陷预防</w:t>
      </w:r>
    </w:p>
    <w:p>
      <w:pPr>
        <w:pStyle w:val="6"/>
        <w:spacing w:before="6"/>
        <w:rPr>
          <w:sz w:val="18"/>
        </w:rPr>
      </w:pPr>
    </w:p>
    <w:p>
      <w:pPr>
        <w:pStyle w:val="6"/>
        <w:spacing w:line="364" w:lineRule="auto"/>
        <w:ind w:left="511" w:right="533" w:firstLine="482"/>
      </w:pPr>
      <w:r>
        <w:rPr>
          <w:spacing w:val="-2"/>
        </w:rPr>
        <w:t>设计对开采影响范围内的矿井工业场地和附属构筑物，采用留设永久保护煤</w:t>
      </w:r>
      <w:r>
        <w:t>柱的方法加以保护。</w:t>
      </w:r>
    </w:p>
    <w:p>
      <w:pPr>
        <w:pStyle w:val="6"/>
        <w:spacing w:before="2" w:line="364" w:lineRule="auto"/>
        <w:ind w:left="511" w:right="533" w:firstLine="482"/>
      </w:pPr>
      <w:r>
        <w:t>根据本井的地质、采矿条件，在最大限度满足开采范围内建筑允许移动和变形值的前提下，通过合理选择条带开采的采留尺寸。</w:t>
      </w:r>
    </w:p>
    <w:p>
      <w:pPr>
        <w:pStyle w:val="6"/>
        <w:spacing w:line="232" w:lineRule="exact"/>
        <w:ind w:left="931"/>
      </w:pPr>
      <w:r>
        <w:t>③地表陷整治覆土</w:t>
      </w:r>
    </w:p>
    <w:p>
      <w:pPr>
        <w:pStyle w:val="6"/>
        <w:spacing w:before="158" w:line="364" w:lineRule="auto"/>
        <w:ind w:left="511" w:right="529" w:firstLine="480"/>
        <w:jc w:val="both"/>
      </w:pPr>
      <w:r>
        <w:t>对非积水塌陷区的治理主要应从恢复土地功能出发，采用土地平整、倒运等办法恢复林地质量。塌陷前期地表尚未稳定，塌陷盆地边界亦在不断发展，此时宜着重输灌排涝、挖设沟渠，维持土地的功能，待塌陷稳定后再全面整治。</w:t>
      </w:r>
    </w:p>
    <w:p>
      <w:pPr>
        <w:pStyle w:val="4"/>
        <w:ind w:left="511" w:firstLine="0"/>
      </w:pPr>
      <w:bookmarkStart w:id="115" w:name="3.4.3本工程退役期排污分析"/>
      <w:bookmarkEnd w:id="115"/>
      <w:r>
        <w:rPr>
          <w:rFonts w:ascii="Times New Roman" w:eastAsia="Times New Roman"/>
        </w:rPr>
        <w:t xml:space="preserve">3.4.3 </w:t>
      </w:r>
      <w:r>
        <w:t>本工程退役期排污分析</w:t>
      </w:r>
    </w:p>
    <w:p>
      <w:pPr>
        <w:pStyle w:val="6"/>
        <w:spacing w:before="262" w:line="364" w:lineRule="auto"/>
        <w:ind w:left="511" w:right="533" w:firstLine="480"/>
        <w:jc w:val="both"/>
      </w:pPr>
      <w:r>
        <w:t>本矿服务期满后工业场地将改做它用，本工程工业场地在生产期间产生的空气、地表水、噪声污染将结束，但在设备拆移和运输过程中将产生暂短的粉尘和噪声污染。</w:t>
      </w:r>
    </w:p>
    <w:p>
      <w:pPr>
        <w:pStyle w:val="3"/>
        <w:numPr>
          <w:ilvl w:val="1"/>
          <w:numId w:val="33"/>
        </w:numPr>
        <w:tabs>
          <w:tab w:val="left" w:pos="961"/>
        </w:tabs>
        <w:spacing w:before="43" w:after="0" w:line="240" w:lineRule="auto"/>
        <w:ind w:left="960" w:right="0" w:hanging="450"/>
        <w:jc w:val="left"/>
      </w:pPr>
      <w:bookmarkStart w:id="116" w:name="3.5本工程“以新带老”环境保护措施"/>
      <w:bookmarkEnd w:id="116"/>
      <w:bookmarkStart w:id="117" w:name="_bookmark19"/>
      <w:bookmarkEnd w:id="117"/>
      <w:bookmarkStart w:id="118" w:name="_bookmark19"/>
      <w:bookmarkEnd w:id="118"/>
      <w:r>
        <w:t>本工程</w:t>
      </w:r>
      <w:r>
        <w:rPr>
          <w:rFonts w:ascii="Times New Roman" w:hAnsi="Times New Roman" w:eastAsia="Times New Roman"/>
        </w:rPr>
        <w:t>“</w:t>
      </w:r>
      <w:r>
        <w:t>以新带老</w:t>
      </w:r>
      <w:r>
        <w:rPr>
          <w:rFonts w:ascii="Times New Roman" w:hAnsi="Times New Roman" w:eastAsia="Times New Roman"/>
        </w:rPr>
        <w:t>”</w:t>
      </w:r>
      <w:r>
        <w:t>环境保护措施</w:t>
      </w:r>
    </w:p>
    <w:p>
      <w:pPr>
        <w:pStyle w:val="6"/>
        <w:spacing w:before="122"/>
        <w:ind w:left="991"/>
      </w:pPr>
      <w:r>
        <w:t>本项目为生态类项目，性质属于改扩建，</w:t>
      </w:r>
      <w:r>
        <w:rPr>
          <w:rFonts w:ascii="Times New Roman" w:hAnsi="Times New Roman" w:eastAsia="Times New Roman"/>
        </w:rPr>
        <w:t>“</w:t>
      </w:r>
      <w:r>
        <w:t>以新带老</w:t>
      </w:r>
      <w:r>
        <w:rPr>
          <w:rFonts w:ascii="Times New Roman" w:hAnsi="Times New Roman" w:eastAsia="Times New Roman"/>
        </w:rPr>
        <w:t>”</w:t>
      </w:r>
      <w:r>
        <w:t>具体内容如下：</w:t>
      </w:r>
    </w:p>
    <w:p>
      <w:pPr>
        <w:pStyle w:val="6"/>
        <w:spacing w:before="158"/>
        <w:ind w:left="991"/>
      </w:pPr>
      <w:r>
        <w:rPr>
          <w:rFonts w:ascii="Times New Roman" w:eastAsia="Times New Roman"/>
        </w:rPr>
        <w:t>1</w:t>
      </w:r>
      <w:r>
        <w:t>、污废水资源化</w:t>
      </w:r>
    </w:p>
    <w:p>
      <w:pPr>
        <w:spacing w:after="0"/>
        <w:sectPr>
          <w:pgSz w:w="11910" w:h="16840"/>
          <w:pgMar w:top="1420" w:right="1220" w:bottom="1180" w:left="1240" w:header="0" w:footer="997" w:gutter="0"/>
        </w:sectPr>
      </w:pPr>
    </w:p>
    <w:p>
      <w:pPr>
        <w:pStyle w:val="6"/>
        <w:spacing w:before="63" w:line="364" w:lineRule="auto"/>
        <w:ind w:left="511" w:right="407" w:firstLine="480"/>
      </w:pPr>
      <w:r>
        <w:rPr>
          <w:spacing w:val="-8"/>
        </w:rPr>
        <w:t xml:space="preserve">新建处理能力为 </w:t>
      </w:r>
      <w:r>
        <w:rPr>
          <w:rFonts w:ascii="Times New Roman" w:eastAsia="Times New Roman"/>
        </w:rPr>
        <w:t>3720m</w:t>
      </w:r>
      <w:r>
        <w:rPr>
          <w:rFonts w:ascii="Times New Roman" w:eastAsia="Times New Roman"/>
          <w:position w:val="8"/>
          <w:sz w:val="15"/>
        </w:rPr>
        <w:t>3</w:t>
      </w:r>
      <w:r>
        <w:rPr>
          <w:rFonts w:ascii="Times New Roman" w:eastAsia="Times New Roman"/>
        </w:rPr>
        <w:t xml:space="preserve">/d </w:t>
      </w:r>
      <w:r>
        <w:rPr>
          <w:spacing w:val="-8"/>
        </w:rPr>
        <w:t>的矿井水处理站，处理后的矿井涌水部分回用，剩</w:t>
      </w:r>
      <w:r>
        <w:rPr>
          <w:spacing w:val="-14"/>
        </w:rPr>
        <w:t xml:space="preserve">余部分外排至扁石河；新建处理能力为 </w:t>
      </w:r>
      <w:r>
        <w:rPr>
          <w:rFonts w:ascii="Times New Roman" w:eastAsia="Times New Roman"/>
        </w:rPr>
        <w:t>360m</w:t>
      </w:r>
      <w:r>
        <w:rPr>
          <w:rFonts w:ascii="Times New Roman" w:eastAsia="Times New Roman"/>
          <w:position w:val="8"/>
          <w:sz w:val="15"/>
        </w:rPr>
        <w:t>3</w:t>
      </w:r>
      <w:r>
        <w:rPr>
          <w:rFonts w:ascii="Times New Roman" w:eastAsia="Times New Roman"/>
        </w:rPr>
        <w:t xml:space="preserve">/d </w:t>
      </w:r>
      <w:r>
        <w:rPr>
          <w:spacing w:val="-6"/>
        </w:rPr>
        <w:t>的生活污水处理站，处理后的污、</w:t>
      </w:r>
      <w:r>
        <w:t>废水作为矿井工业场地绿化洒水用水。排放的矿井涌水与生活污水满足《煤炭工业污染物排放标准》（</w:t>
      </w:r>
      <w:r>
        <w:rPr>
          <w:rFonts w:ascii="Times New Roman" w:eastAsia="Times New Roman"/>
        </w:rPr>
        <w:t>GB20426-2006</w:t>
      </w:r>
      <w:r>
        <w:t>）</w:t>
      </w:r>
      <w:r>
        <w:rPr>
          <w:spacing w:val="-31"/>
        </w:rPr>
        <w:t xml:space="preserve">表 </w:t>
      </w:r>
      <w:r>
        <w:rPr>
          <w:rFonts w:ascii="Times New Roman" w:eastAsia="Times New Roman"/>
        </w:rPr>
        <w:t>1</w:t>
      </w:r>
      <w:r>
        <w:t>、</w:t>
      </w:r>
      <w:r>
        <w:rPr>
          <w:rFonts w:ascii="Times New Roman" w:eastAsia="Times New Roman"/>
        </w:rPr>
        <w:t xml:space="preserve">2 </w:t>
      </w:r>
      <w:r>
        <w:t>标准限值要求。</w:t>
      </w:r>
    </w:p>
    <w:p>
      <w:pPr>
        <w:pStyle w:val="6"/>
        <w:spacing w:line="305" w:lineRule="exact"/>
        <w:ind w:left="991"/>
      </w:pPr>
      <w:r>
        <w:rPr>
          <w:rFonts w:ascii="Times New Roman" w:eastAsia="Times New Roman"/>
        </w:rPr>
        <w:t>2</w:t>
      </w:r>
      <w:r>
        <w:t>、降尘</w:t>
      </w:r>
    </w:p>
    <w:p>
      <w:pPr>
        <w:pStyle w:val="13"/>
        <w:numPr>
          <w:ilvl w:val="2"/>
          <w:numId w:val="33"/>
        </w:numPr>
        <w:tabs>
          <w:tab w:val="left" w:pos="1593"/>
        </w:tabs>
        <w:spacing w:before="160" w:after="0" w:line="362" w:lineRule="auto"/>
        <w:ind w:left="511" w:right="529" w:firstLine="480"/>
        <w:jc w:val="left"/>
        <w:rPr>
          <w:sz w:val="24"/>
        </w:rPr>
      </w:pPr>
      <w:r>
        <w:rPr>
          <w:spacing w:val="-8"/>
          <w:sz w:val="24"/>
        </w:rPr>
        <w:t>全封闭煤仓；拆除原有燃煤锅炉，新建两套生物质锅炉，配套布袋除</w:t>
      </w:r>
      <w:r>
        <w:rPr>
          <w:spacing w:val="-11"/>
          <w:sz w:val="24"/>
        </w:rPr>
        <w:t xml:space="preserve">尘器，除尘效率为 </w:t>
      </w:r>
      <w:r>
        <w:rPr>
          <w:rFonts w:ascii="Times New Roman" w:eastAsia="Times New Roman"/>
          <w:sz w:val="24"/>
        </w:rPr>
        <w:t>99.9%</w:t>
      </w:r>
      <w:r>
        <w:rPr>
          <w:sz w:val="24"/>
        </w:rPr>
        <w:t>；</w:t>
      </w:r>
    </w:p>
    <w:p>
      <w:pPr>
        <w:pStyle w:val="13"/>
        <w:numPr>
          <w:ilvl w:val="2"/>
          <w:numId w:val="33"/>
        </w:numPr>
        <w:tabs>
          <w:tab w:val="left" w:pos="1593"/>
        </w:tabs>
        <w:spacing w:before="5" w:after="0" w:line="240" w:lineRule="auto"/>
        <w:ind w:left="1593" w:right="0" w:hanging="602"/>
        <w:jc w:val="left"/>
        <w:rPr>
          <w:sz w:val="24"/>
        </w:rPr>
      </w:pPr>
      <w:r>
        <w:rPr>
          <w:sz w:val="24"/>
        </w:rPr>
        <w:t>运输道路定期清扫和洒水降尘；</w:t>
      </w:r>
    </w:p>
    <w:p>
      <w:pPr>
        <w:pStyle w:val="13"/>
        <w:numPr>
          <w:ilvl w:val="2"/>
          <w:numId w:val="33"/>
        </w:numPr>
        <w:tabs>
          <w:tab w:val="left" w:pos="1593"/>
        </w:tabs>
        <w:spacing w:before="161" w:after="0" w:line="240" w:lineRule="auto"/>
        <w:ind w:left="1593" w:right="0" w:hanging="602"/>
        <w:jc w:val="left"/>
        <w:rPr>
          <w:sz w:val="24"/>
        </w:rPr>
      </w:pPr>
      <w:r>
        <w:rPr>
          <w:sz w:val="24"/>
        </w:rPr>
        <w:t>食堂安装油烟净化器；</w:t>
      </w:r>
    </w:p>
    <w:p>
      <w:pPr>
        <w:pStyle w:val="6"/>
        <w:spacing w:before="158"/>
        <w:ind w:left="991"/>
      </w:pPr>
      <w:r>
        <w:rPr>
          <w:rFonts w:ascii="Times New Roman" w:eastAsia="Times New Roman"/>
        </w:rPr>
        <w:t>3</w:t>
      </w:r>
      <w:r>
        <w:t>、固体废物</w:t>
      </w:r>
    </w:p>
    <w:p>
      <w:pPr>
        <w:pStyle w:val="6"/>
        <w:spacing w:before="6"/>
        <w:rPr>
          <w:sz w:val="18"/>
        </w:rPr>
      </w:pPr>
    </w:p>
    <w:p>
      <w:pPr>
        <w:pStyle w:val="13"/>
        <w:numPr>
          <w:ilvl w:val="0"/>
          <w:numId w:val="34"/>
        </w:numPr>
        <w:tabs>
          <w:tab w:val="left" w:pos="1593"/>
        </w:tabs>
        <w:spacing w:before="0" w:after="0" w:line="240" w:lineRule="auto"/>
        <w:ind w:left="1593" w:right="0" w:hanging="602"/>
        <w:jc w:val="left"/>
        <w:rPr>
          <w:sz w:val="24"/>
        </w:rPr>
      </w:pPr>
      <w:r>
        <w:rPr>
          <w:sz w:val="24"/>
        </w:rPr>
        <w:t>本项目矸石用来平整工业场地；用作公路的路基石料；用于填沟造地。</w:t>
      </w:r>
    </w:p>
    <w:p>
      <w:pPr>
        <w:pStyle w:val="13"/>
        <w:numPr>
          <w:ilvl w:val="0"/>
          <w:numId w:val="34"/>
        </w:numPr>
        <w:tabs>
          <w:tab w:val="left" w:pos="1593"/>
        </w:tabs>
        <w:spacing w:before="161" w:after="0" w:line="240" w:lineRule="auto"/>
        <w:ind w:left="1593" w:right="0" w:hanging="602"/>
        <w:jc w:val="left"/>
        <w:rPr>
          <w:sz w:val="24"/>
        </w:rPr>
      </w:pPr>
      <w:r>
        <w:rPr>
          <w:sz w:val="24"/>
        </w:rPr>
        <w:t>锅炉灰渣外售综合利用。</w:t>
      </w:r>
    </w:p>
    <w:p>
      <w:pPr>
        <w:pStyle w:val="13"/>
        <w:numPr>
          <w:ilvl w:val="0"/>
          <w:numId w:val="34"/>
        </w:numPr>
        <w:tabs>
          <w:tab w:val="left" w:pos="1593"/>
        </w:tabs>
        <w:spacing w:before="160" w:after="0" w:line="240" w:lineRule="auto"/>
        <w:ind w:left="1593" w:right="0" w:hanging="602"/>
        <w:jc w:val="left"/>
        <w:rPr>
          <w:sz w:val="24"/>
        </w:rPr>
      </w:pPr>
      <w:r>
        <w:rPr>
          <w:sz w:val="24"/>
        </w:rPr>
        <w:t>生活垃圾、污水处理站产生的污泥定期委托环卫部门处理。</w:t>
      </w:r>
    </w:p>
    <w:p>
      <w:pPr>
        <w:pStyle w:val="6"/>
        <w:spacing w:before="82"/>
        <w:ind w:left="991"/>
      </w:pPr>
      <w:r>
        <w:rPr>
          <w:rFonts w:ascii="Times New Roman" w:eastAsia="Times New Roman"/>
        </w:rPr>
        <w:t>4</w:t>
      </w:r>
      <w:r>
        <w:t>、噪声</w:t>
      </w:r>
    </w:p>
    <w:p>
      <w:pPr>
        <w:pStyle w:val="6"/>
        <w:spacing w:before="9"/>
        <w:rPr>
          <w:sz w:val="18"/>
        </w:rPr>
      </w:pPr>
    </w:p>
    <w:p>
      <w:pPr>
        <w:pStyle w:val="13"/>
        <w:numPr>
          <w:ilvl w:val="0"/>
          <w:numId w:val="35"/>
        </w:numPr>
        <w:tabs>
          <w:tab w:val="left" w:pos="1593"/>
        </w:tabs>
        <w:spacing w:before="0" w:after="0" w:line="364" w:lineRule="auto"/>
        <w:ind w:left="511" w:right="533" w:firstLine="480"/>
        <w:jc w:val="both"/>
        <w:rPr>
          <w:sz w:val="24"/>
        </w:rPr>
      </w:pPr>
      <w:r>
        <w:rPr>
          <w:spacing w:val="-6"/>
          <w:sz w:val="24"/>
        </w:rPr>
        <w:t>在满足工艺设计的前提下，尽量选用低噪声型号的产品。设备定货时</w:t>
      </w:r>
      <w:r>
        <w:rPr>
          <w:spacing w:val="-4"/>
          <w:sz w:val="24"/>
        </w:rPr>
        <w:t>可向厂家提出要求，或者根据厂家提供的设备噪声值进行选择使用。选型还必须</w:t>
      </w:r>
      <w:r>
        <w:rPr>
          <w:spacing w:val="-5"/>
          <w:sz w:val="24"/>
        </w:rPr>
        <w:t>考虑产品具备良好的声学特性</w:t>
      </w:r>
      <w:r>
        <w:rPr>
          <w:sz w:val="24"/>
        </w:rPr>
        <w:t>（高效低噪），向供货制造设备厂方提出限制噪声</w:t>
      </w:r>
      <w:r>
        <w:rPr>
          <w:spacing w:val="-5"/>
          <w:sz w:val="24"/>
        </w:rPr>
        <w:t>要求。对于噪声较高的设备应与厂方协商提供相配套的降噪设施。</w:t>
      </w:r>
    </w:p>
    <w:p>
      <w:pPr>
        <w:pStyle w:val="13"/>
        <w:numPr>
          <w:ilvl w:val="0"/>
          <w:numId w:val="35"/>
        </w:numPr>
        <w:tabs>
          <w:tab w:val="left" w:pos="1593"/>
        </w:tabs>
        <w:spacing w:before="2" w:after="0" w:line="364" w:lineRule="auto"/>
        <w:ind w:left="511" w:right="533" w:firstLine="480"/>
        <w:jc w:val="left"/>
        <w:rPr>
          <w:sz w:val="24"/>
        </w:rPr>
      </w:pPr>
      <w:r>
        <w:rPr>
          <w:spacing w:val="-5"/>
          <w:sz w:val="24"/>
        </w:rPr>
        <w:t>锅炉房鼓风机进出风口处均安装消音器。风机与其它设备隔绝，墙体</w:t>
      </w:r>
      <w:r>
        <w:rPr>
          <w:spacing w:val="-4"/>
          <w:sz w:val="24"/>
        </w:rPr>
        <w:t>采用吸音隔音材料。</w:t>
      </w:r>
    </w:p>
    <w:p>
      <w:pPr>
        <w:pStyle w:val="13"/>
        <w:numPr>
          <w:ilvl w:val="0"/>
          <w:numId w:val="35"/>
        </w:numPr>
        <w:tabs>
          <w:tab w:val="left" w:pos="1593"/>
        </w:tabs>
        <w:spacing w:before="1" w:after="0" w:line="240" w:lineRule="auto"/>
        <w:ind w:left="1593" w:right="0" w:hanging="602"/>
        <w:jc w:val="left"/>
        <w:rPr>
          <w:sz w:val="24"/>
        </w:rPr>
      </w:pPr>
      <w:r>
        <w:rPr>
          <w:sz w:val="24"/>
        </w:rPr>
        <w:t>提高设备安装精度，并在基础设隔振垫。对各种泵必要时加装隔音罩。</w:t>
      </w:r>
    </w:p>
    <w:p>
      <w:pPr>
        <w:pStyle w:val="13"/>
        <w:numPr>
          <w:ilvl w:val="0"/>
          <w:numId w:val="35"/>
        </w:numPr>
        <w:tabs>
          <w:tab w:val="left" w:pos="1593"/>
        </w:tabs>
        <w:spacing w:before="161" w:after="0" w:line="364" w:lineRule="auto"/>
        <w:ind w:left="511" w:right="413" w:firstLine="480"/>
        <w:jc w:val="left"/>
        <w:rPr>
          <w:sz w:val="24"/>
        </w:rPr>
      </w:pPr>
      <w:r>
        <w:rPr>
          <w:spacing w:val="-8"/>
          <w:sz w:val="24"/>
        </w:rPr>
        <w:t>风机及泵类设置单独基础或减震措施，强振设备与管道间采取柔性连接</w:t>
      </w:r>
      <w:r>
        <w:rPr>
          <w:spacing w:val="-5"/>
          <w:sz w:val="24"/>
        </w:rPr>
        <w:t>，防止振动造成的危害。</w:t>
      </w:r>
    </w:p>
    <w:p>
      <w:pPr>
        <w:pStyle w:val="13"/>
        <w:numPr>
          <w:ilvl w:val="0"/>
          <w:numId w:val="35"/>
        </w:numPr>
        <w:tabs>
          <w:tab w:val="left" w:pos="1593"/>
        </w:tabs>
        <w:spacing w:before="1" w:after="0" w:line="364" w:lineRule="auto"/>
        <w:ind w:left="511" w:right="413" w:firstLine="480"/>
        <w:jc w:val="left"/>
        <w:rPr>
          <w:sz w:val="24"/>
        </w:rPr>
      </w:pPr>
      <w:r>
        <w:rPr>
          <w:spacing w:val="-9"/>
          <w:sz w:val="24"/>
        </w:rPr>
        <w:t>设计将噪声较大的设备置于室内隔声，并采用隔声、吸声材料制作门窗</w:t>
      </w:r>
      <w:r>
        <w:rPr>
          <w:spacing w:val="-4"/>
          <w:sz w:val="24"/>
        </w:rPr>
        <w:t>、砌体等，降低噪声的影响，防止噪声的扩散和传播。</w:t>
      </w:r>
    </w:p>
    <w:p>
      <w:pPr>
        <w:pStyle w:val="13"/>
        <w:numPr>
          <w:ilvl w:val="0"/>
          <w:numId w:val="35"/>
        </w:numPr>
        <w:tabs>
          <w:tab w:val="left" w:pos="1593"/>
        </w:tabs>
        <w:spacing w:before="1" w:after="0" w:line="364" w:lineRule="auto"/>
        <w:ind w:left="511" w:right="413" w:firstLine="480"/>
        <w:jc w:val="left"/>
        <w:rPr>
          <w:sz w:val="24"/>
        </w:rPr>
      </w:pPr>
      <w:r>
        <w:rPr>
          <w:spacing w:val="-5"/>
          <w:sz w:val="24"/>
        </w:rPr>
        <w:t>从工业场地总平面布置着手，在总体布置及建设过程时已考虑工业场地内厂房产生高噪声源的特点，工业场地总平面尽量按功能区布置，将产生高噪声</w:t>
      </w:r>
      <w:r>
        <w:rPr>
          <w:spacing w:val="-14"/>
          <w:sz w:val="24"/>
        </w:rPr>
        <w:t>的设施相对集中布置，布置在远离生活区、办公楼、宿舍等环境要求较高的区域。</w:t>
      </w:r>
      <w:r>
        <w:rPr>
          <w:sz w:val="24"/>
        </w:rPr>
        <w:t>同时充分利用地形地物和增设辅助车间、厂界围墙等对噪声传播起到遮挡作用。</w:t>
      </w:r>
    </w:p>
    <w:p>
      <w:pPr>
        <w:pStyle w:val="13"/>
        <w:numPr>
          <w:ilvl w:val="0"/>
          <w:numId w:val="35"/>
        </w:numPr>
        <w:tabs>
          <w:tab w:val="left" w:pos="1593"/>
        </w:tabs>
        <w:spacing w:before="3" w:after="0" w:line="240" w:lineRule="auto"/>
        <w:ind w:left="1593" w:right="0" w:hanging="602"/>
        <w:jc w:val="left"/>
        <w:rPr>
          <w:sz w:val="24"/>
        </w:rPr>
      </w:pPr>
      <w:r>
        <w:rPr>
          <w:spacing w:val="-3"/>
          <w:sz w:val="24"/>
        </w:rPr>
        <w:t>本工程运煤车辆进出工业场地的交通线路临近环境敏感点，评价要求对</w:t>
      </w:r>
    </w:p>
    <w:p>
      <w:pPr>
        <w:spacing w:after="0" w:line="240" w:lineRule="auto"/>
        <w:jc w:val="left"/>
        <w:rPr>
          <w:sz w:val="24"/>
        </w:rPr>
        <w:sectPr>
          <w:pgSz w:w="11910" w:h="16840"/>
          <w:pgMar w:top="1360" w:right="1220" w:bottom="1180" w:left="1240" w:header="0" w:footer="997" w:gutter="0"/>
        </w:sectPr>
      </w:pPr>
    </w:p>
    <w:p>
      <w:pPr>
        <w:pStyle w:val="6"/>
        <w:spacing w:before="42" w:line="364" w:lineRule="auto"/>
        <w:ind w:left="511" w:right="533"/>
        <w:jc w:val="both"/>
      </w:pPr>
      <w:r>
        <w:t>运输道路要经常维护，保证路面完好，并在道路两侧加强绿化，降低车辆通过时的噪声；同时要求运输车辆经过矿山村时禁止鸣笛、降低车速；车辆进出应尽量安排在白天进行。</w:t>
      </w:r>
    </w:p>
    <w:p>
      <w:pPr>
        <w:pStyle w:val="13"/>
        <w:numPr>
          <w:ilvl w:val="0"/>
          <w:numId w:val="35"/>
        </w:numPr>
        <w:tabs>
          <w:tab w:val="left" w:pos="1593"/>
        </w:tabs>
        <w:spacing w:before="2" w:after="0" w:line="240" w:lineRule="auto"/>
        <w:ind w:left="1593" w:right="0" w:hanging="602"/>
        <w:jc w:val="both"/>
        <w:rPr>
          <w:sz w:val="24"/>
        </w:rPr>
      </w:pPr>
      <w:r>
        <w:rPr>
          <w:spacing w:val="-3"/>
          <w:sz w:val="24"/>
        </w:rPr>
        <w:t xml:space="preserve">推土机要求加强车辆维护和管理，严禁在夜间 </w:t>
      </w:r>
      <w:r>
        <w:rPr>
          <w:rFonts w:ascii="Times New Roman" w:eastAsia="Times New Roman"/>
          <w:sz w:val="24"/>
        </w:rPr>
        <w:t>22</w:t>
      </w:r>
      <w:r>
        <w:rPr>
          <w:sz w:val="24"/>
        </w:rPr>
        <w:t>：</w:t>
      </w:r>
      <w:r>
        <w:rPr>
          <w:rFonts w:ascii="Times New Roman" w:eastAsia="Times New Roman"/>
          <w:sz w:val="24"/>
        </w:rPr>
        <w:t xml:space="preserve">00 </w:t>
      </w:r>
      <w:r>
        <w:rPr>
          <w:sz w:val="24"/>
        </w:rPr>
        <w:t>以后工作。</w:t>
      </w:r>
    </w:p>
    <w:p>
      <w:pPr>
        <w:pStyle w:val="13"/>
        <w:numPr>
          <w:ilvl w:val="0"/>
          <w:numId w:val="35"/>
        </w:numPr>
        <w:tabs>
          <w:tab w:val="left" w:pos="1593"/>
        </w:tabs>
        <w:spacing w:before="160" w:after="0" w:line="240" w:lineRule="auto"/>
        <w:ind w:left="1593" w:right="0" w:hanging="602"/>
        <w:jc w:val="left"/>
        <w:rPr>
          <w:sz w:val="24"/>
        </w:rPr>
      </w:pPr>
      <w:r>
        <w:rPr>
          <w:sz w:val="24"/>
        </w:rPr>
        <w:t>在厂区周围种植树木，在厂区空地种植绿草，降低噪声。</w:t>
      </w:r>
    </w:p>
    <w:p>
      <w:pPr>
        <w:spacing w:after="0" w:line="240" w:lineRule="auto"/>
        <w:jc w:val="left"/>
        <w:rPr>
          <w:sz w:val="24"/>
        </w:rPr>
        <w:sectPr>
          <w:pgSz w:w="11910" w:h="16840"/>
          <w:pgMar w:top="1460" w:right="1220" w:bottom="1180" w:left="1240" w:header="0" w:footer="997" w:gutter="0"/>
        </w:sectPr>
      </w:pPr>
    </w:p>
    <w:p>
      <w:pPr>
        <w:pStyle w:val="2"/>
        <w:numPr>
          <w:ilvl w:val="1"/>
          <w:numId w:val="18"/>
        </w:numPr>
        <w:tabs>
          <w:tab w:val="left" w:pos="3044"/>
        </w:tabs>
        <w:spacing w:before="43" w:after="0" w:line="240" w:lineRule="auto"/>
        <w:ind w:left="3044" w:right="15" w:hanging="3044"/>
        <w:jc w:val="left"/>
      </w:pPr>
      <w:bookmarkStart w:id="119" w:name="4.项目所在区域环境概况"/>
      <w:bookmarkEnd w:id="119"/>
      <w:bookmarkStart w:id="120" w:name="_bookmark20"/>
      <w:bookmarkEnd w:id="120"/>
      <w:bookmarkStart w:id="121" w:name="_bookmark20"/>
      <w:bookmarkEnd w:id="121"/>
      <w:r>
        <w:t>项目所在区域环境概况</w:t>
      </w:r>
    </w:p>
    <w:p>
      <w:pPr>
        <w:pStyle w:val="3"/>
        <w:numPr>
          <w:ilvl w:val="1"/>
          <w:numId w:val="36"/>
        </w:numPr>
        <w:tabs>
          <w:tab w:val="left" w:pos="961"/>
        </w:tabs>
        <w:spacing w:before="357" w:after="0" w:line="240" w:lineRule="auto"/>
        <w:ind w:left="960" w:right="0" w:hanging="450"/>
        <w:jc w:val="left"/>
      </w:pPr>
      <w:bookmarkStart w:id="122" w:name="4.1自然环境概况"/>
      <w:bookmarkEnd w:id="122"/>
      <w:bookmarkStart w:id="123" w:name="_bookmark21"/>
      <w:bookmarkEnd w:id="123"/>
      <w:bookmarkStart w:id="124" w:name="_bookmark21"/>
      <w:bookmarkEnd w:id="124"/>
      <w:r>
        <w:t>自然环境概况</w:t>
      </w:r>
    </w:p>
    <w:p>
      <w:pPr>
        <w:pStyle w:val="4"/>
        <w:numPr>
          <w:ilvl w:val="2"/>
          <w:numId w:val="36"/>
        </w:numPr>
        <w:tabs>
          <w:tab w:val="left" w:pos="1141"/>
        </w:tabs>
        <w:spacing w:before="123" w:after="0" w:line="240" w:lineRule="auto"/>
        <w:ind w:left="1140" w:right="0" w:hanging="630"/>
        <w:jc w:val="left"/>
      </w:pPr>
      <w:bookmarkStart w:id="125" w:name="4.1.1地理位置"/>
      <w:bookmarkEnd w:id="125"/>
      <w:bookmarkStart w:id="126" w:name="4.1.1地理位置"/>
      <w:bookmarkEnd w:id="126"/>
      <w:r>
        <w:t>地理位置</w:t>
      </w:r>
    </w:p>
    <w:p>
      <w:pPr>
        <w:pStyle w:val="6"/>
        <w:spacing w:before="185" w:after="14" w:line="364" w:lineRule="auto"/>
        <w:ind w:left="511" w:right="464" w:firstLine="480"/>
        <w:jc w:val="both"/>
      </w:pPr>
      <w:r>
        <w:t>双鸭山市位于黑龙江省东北部，完达山北麓三江平原，地理位置在东经</w:t>
      </w:r>
      <w:r>
        <w:rPr>
          <w:rFonts w:ascii="Times New Roman" w:hAnsi="Times New Roman" w:eastAsia="Times New Roman"/>
        </w:rPr>
        <w:t>130°39′</w:t>
      </w:r>
      <w:r>
        <w:t>～</w:t>
      </w:r>
      <w:r>
        <w:rPr>
          <w:rFonts w:ascii="Times New Roman" w:hAnsi="Times New Roman" w:eastAsia="Times New Roman"/>
        </w:rPr>
        <w:t>134°20′</w:t>
      </w:r>
      <w:r>
        <w:t xml:space="preserve">，北纬 </w:t>
      </w:r>
      <w:r>
        <w:rPr>
          <w:rFonts w:ascii="Times New Roman" w:hAnsi="Times New Roman" w:eastAsia="Times New Roman"/>
        </w:rPr>
        <w:t>45°39′</w:t>
      </w:r>
      <w:r>
        <w:t>～</w:t>
      </w:r>
      <w:r>
        <w:rPr>
          <w:rFonts w:ascii="Times New Roman" w:hAnsi="Times New Roman" w:eastAsia="Times New Roman"/>
        </w:rPr>
        <w:t>47°34′</w:t>
      </w:r>
      <w:r>
        <w:t xml:space="preserve">之间。双鸭山市距省会哈尔滨市 </w:t>
      </w:r>
      <w:r>
        <w:rPr>
          <w:rFonts w:ascii="Times New Roman" w:hAnsi="Times New Roman" w:eastAsia="Times New Roman"/>
        </w:rPr>
        <w:t>430km</w:t>
      </w:r>
      <w:r>
        <w:t xml:space="preserve">， 东隔乌苏里江与俄罗斯比金市相望，南与虎林市、密山市、桦南县毗邻，西与佳木斯市相连，北与富锦市、同江市、扶远县、桦川县接壤。本项目位于双鸭山市岭东区，本项目地理位置图见图 </w:t>
      </w:r>
      <w:r>
        <w:rPr>
          <w:rFonts w:ascii="Times New Roman" w:hAnsi="Times New Roman" w:eastAsia="Times New Roman"/>
        </w:rPr>
        <w:t>4.1-1</w:t>
      </w:r>
      <w:r>
        <w:t>。</w:t>
      </w:r>
    </w:p>
    <w:p>
      <w:pPr>
        <w:pStyle w:val="6"/>
        <w:ind w:left="932"/>
        <w:rPr>
          <w:sz w:val="20"/>
        </w:rPr>
      </w:pPr>
      <w:r>
        <w:rPr>
          <w:sz w:val="20"/>
        </w:rPr>
        <w:drawing>
          <wp:inline distT="0" distB="0" distL="0" distR="0">
            <wp:extent cx="5332095" cy="3740150"/>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49" cstate="print"/>
                    <a:stretch>
                      <a:fillRect/>
                    </a:stretch>
                  </pic:blipFill>
                  <pic:spPr>
                    <a:xfrm>
                      <a:off x="0" y="0"/>
                      <a:ext cx="5332642" cy="3740467"/>
                    </a:xfrm>
                    <a:prstGeom prst="rect">
                      <a:avLst/>
                    </a:prstGeom>
                  </pic:spPr>
                </pic:pic>
              </a:graphicData>
            </a:graphic>
          </wp:inline>
        </w:drawing>
      </w:r>
    </w:p>
    <w:p>
      <w:pPr>
        <w:spacing w:after="0"/>
        <w:rPr>
          <w:sz w:val="20"/>
        </w:rPr>
        <w:sectPr>
          <w:pgSz w:w="11910" w:h="16840"/>
          <w:pgMar w:top="1380" w:right="1220" w:bottom="1180" w:left="1240" w:header="0" w:footer="997" w:gutter="0"/>
        </w:sectPr>
      </w:pPr>
    </w:p>
    <w:p>
      <w:pPr>
        <w:pStyle w:val="6"/>
        <w:rPr>
          <w:sz w:val="26"/>
        </w:rPr>
      </w:pPr>
    </w:p>
    <w:p>
      <w:pPr>
        <w:pStyle w:val="4"/>
        <w:numPr>
          <w:ilvl w:val="2"/>
          <w:numId w:val="36"/>
        </w:numPr>
        <w:tabs>
          <w:tab w:val="left" w:pos="1141"/>
        </w:tabs>
        <w:spacing w:before="1" w:after="0" w:line="240" w:lineRule="auto"/>
        <w:ind w:left="1140" w:right="0" w:hanging="630"/>
        <w:jc w:val="left"/>
      </w:pPr>
      <w:bookmarkStart w:id="127" w:name="4.1.2地形地貌"/>
      <w:bookmarkEnd w:id="127"/>
      <w:bookmarkStart w:id="128" w:name="4.1.2地形地貌"/>
      <w:bookmarkEnd w:id="128"/>
      <w:r>
        <w:t>地形地貌</w:t>
      </w:r>
    </w:p>
    <w:p>
      <w:pPr>
        <w:pStyle w:val="5"/>
        <w:spacing w:before="21"/>
        <w:ind w:left="511"/>
      </w:pPr>
      <w:r>
        <w:rPr>
          <w:b w:val="0"/>
        </w:rPr>
        <w:br w:type="column"/>
      </w:r>
      <w:r>
        <w:t xml:space="preserve">图 </w:t>
      </w:r>
      <w:r>
        <w:rPr>
          <w:rFonts w:ascii="Times New Roman" w:eastAsia="Times New Roman"/>
        </w:rPr>
        <w:t xml:space="preserve">4.1-1 </w:t>
      </w:r>
      <w:r>
        <w:t>项目地理位置图</w:t>
      </w:r>
    </w:p>
    <w:p>
      <w:pPr>
        <w:spacing w:after="0"/>
        <w:sectPr>
          <w:type w:val="continuous"/>
          <w:pgSz w:w="11910" w:h="16840"/>
          <w:pgMar w:top="1580" w:right="1220" w:bottom="280" w:left="1240" w:header="720" w:footer="720" w:gutter="0"/>
          <w:cols w:equalWidth="0" w:num="2">
            <w:col w:w="2305" w:space="626"/>
            <w:col w:w="6519"/>
          </w:cols>
        </w:sectPr>
      </w:pPr>
    </w:p>
    <w:p>
      <w:pPr>
        <w:pStyle w:val="6"/>
        <w:spacing w:before="3"/>
        <w:rPr>
          <w:b/>
          <w:sz w:val="9"/>
        </w:rPr>
      </w:pPr>
    </w:p>
    <w:p>
      <w:pPr>
        <w:pStyle w:val="6"/>
        <w:spacing w:before="67" w:line="364" w:lineRule="auto"/>
        <w:ind w:left="511" w:right="413" w:firstLine="480"/>
      </w:pPr>
      <w:r>
        <w:t>双鸭山市地处黑龙江省的东部，属低山丘陵区，其东北部为三江平原，南部为丘陵区。区域内水系较发育，主要有安邦河、七星河及其支流。安邦河向北注</w:t>
      </w:r>
      <w:r>
        <w:rPr>
          <w:spacing w:val="-11"/>
        </w:rPr>
        <w:t xml:space="preserve">入松花江，属松花江水系。丘陵区地势相对较高，地形起伏较大，山间沟谷发育； </w:t>
      </w:r>
      <w:r>
        <w:t>台地区，地势相对低平，地形呈垄岗状展布；河谷平原区沿安邦河谷分布，地势低洼。</w:t>
      </w:r>
    </w:p>
    <w:p>
      <w:pPr>
        <w:spacing w:after="0" w:line="364" w:lineRule="auto"/>
        <w:sectPr>
          <w:type w:val="continuous"/>
          <w:pgSz w:w="11910" w:h="16840"/>
          <w:pgMar w:top="1580" w:right="1220" w:bottom="280" w:left="1240" w:header="720" w:footer="720" w:gutter="0"/>
        </w:sectPr>
      </w:pPr>
    </w:p>
    <w:p>
      <w:pPr>
        <w:pStyle w:val="4"/>
        <w:numPr>
          <w:ilvl w:val="2"/>
          <w:numId w:val="36"/>
        </w:numPr>
        <w:tabs>
          <w:tab w:val="left" w:pos="1141"/>
        </w:tabs>
        <w:spacing w:before="44" w:after="0" w:line="240" w:lineRule="auto"/>
        <w:ind w:left="1140" w:right="0" w:hanging="630"/>
        <w:jc w:val="left"/>
      </w:pPr>
      <w:bookmarkStart w:id="129" w:name="4.1.3气候气象"/>
      <w:bookmarkEnd w:id="129"/>
      <w:bookmarkStart w:id="130" w:name="4.1.3气候气象"/>
      <w:bookmarkEnd w:id="130"/>
      <w:r>
        <w:t>气候气象</w:t>
      </w:r>
    </w:p>
    <w:p>
      <w:pPr>
        <w:pStyle w:val="6"/>
        <w:spacing w:before="185" w:line="364" w:lineRule="auto"/>
        <w:ind w:left="511" w:right="407" w:firstLine="480"/>
      </w:pPr>
      <w:r>
        <w:t>双鸭山市地处北半球中高纬度地区，属湿润寒温带大陆性季风气候，冬季漫长而寒冷，常受西伯利亚寒流影响，夏季短促而温暖，春秋两季气候多变，且昼夜温差较大，春季回暖快而多风、干旱，秋季时有暴雨霜冻。双鸭山市属中温带大陆季风气候。受极地大陆气团和季风的影响，四季分明，冬季寒冷干燥，夏短温热多雨。由于季风交替，春秋两季短暂，气候变化急剧，年温差较大。年平均</w:t>
      </w:r>
      <w:r>
        <w:rPr>
          <w:spacing w:val="-16"/>
        </w:rPr>
        <w:t xml:space="preserve">气温 </w:t>
      </w:r>
      <w:r>
        <w:rPr>
          <w:rFonts w:ascii="Times New Roman" w:hAnsi="Times New Roman" w:eastAsia="Times New Roman"/>
        </w:rPr>
        <w:t>3.3</w:t>
      </w:r>
      <w:r>
        <w:rPr>
          <w:spacing w:val="-6"/>
        </w:rPr>
        <w:t xml:space="preserve">℃，最高气温为 </w:t>
      </w:r>
      <w:r>
        <w:rPr>
          <w:rFonts w:ascii="Times New Roman" w:hAnsi="Times New Roman" w:eastAsia="Times New Roman"/>
        </w:rPr>
        <w:t>35.4</w:t>
      </w:r>
      <w:r>
        <w:t>℃，最低气温为</w:t>
      </w:r>
      <w:r>
        <w:rPr>
          <w:rFonts w:ascii="Times New Roman" w:hAnsi="Times New Roman" w:eastAsia="Times New Roman"/>
        </w:rPr>
        <w:t>-35.6</w:t>
      </w:r>
      <w:r>
        <w:rPr>
          <w:spacing w:val="-6"/>
        </w:rPr>
        <w:t xml:space="preserve">℃；极端最高气温 </w:t>
      </w:r>
      <w:r>
        <w:rPr>
          <w:rFonts w:ascii="Times New Roman" w:hAnsi="Times New Roman" w:eastAsia="Times New Roman"/>
        </w:rPr>
        <w:t>38.5</w:t>
      </w:r>
      <w:r>
        <w:t>℃，出</w:t>
      </w:r>
      <w:r>
        <w:rPr>
          <w:spacing w:val="-20"/>
        </w:rPr>
        <w:t xml:space="preserve">现在 </w:t>
      </w:r>
      <w:r>
        <w:rPr>
          <w:rFonts w:ascii="Times New Roman" w:hAnsi="Times New Roman" w:eastAsia="Times New Roman"/>
        </w:rPr>
        <w:t xml:space="preserve">6 </w:t>
      </w:r>
      <w:r>
        <w:rPr>
          <w:spacing w:val="-5"/>
        </w:rPr>
        <w:t>月份；极端最低气温</w:t>
      </w:r>
      <w:r>
        <w:rPr>
          <w:rFonts w:ascii="Times New Roman" w:hAnsi="Times New Roman" w:eastAsia="Times New Roman"/>
          <w:spacing w:val="-4"/>
        </w:rPr>
        <w:t>-37.1</w:t>
      </w:r>
      <w:r>
        <w:rPr>
          <w:spacing w:val="-13"/>
        </w:rPr>
        <w:t xml:space="preserve">℃，出现在 </w:t>
      </w:r>
      <w:r>
        <w:rPr>
          <w:rFonts w:ascii="Times New Roman" w:hAnsi="Times New Roman" w:eastAsia="Times New Roman"/>
        </w:rPr>
        <w:t xml:space="preserve">1 </w:t>
      </w:r>
      <w:r>
        <w:rPr>
          <w:spacing w:val="-10"/>
        </w:rPr>
        <w:t xml:space="preserve">月份。年平均降雨量为 </w:t>
      </w:r>
      <w:r>
        <w:rPr>
          <w:rFonts w:ascii="Times New Roman" w:hAnsi="Times New Roman" w:eastAsia="Times New Roman"/>
          <w:spacing w:val="-4"/>
        </w:rPr>
        <w:t>540mm</w:t>
      </w:r>
      <w:r>
        <w:rPr>
          <w:spacing w:val="-2"/>
        </w:rPr>
        <w:t>，降</w:t>
      </w:r>
      <w:r>
        <w:rPr>
          <w:spacing w:val="-12"/>
        </w:rPr>
        <w:t xml:space="preserve">雨期集中在 </w:t>
      </w:r>
      <w:r>
        <w:rPr>
          <w:rFonts w:ascii="Times New Roman" w:hAnsi="Times New Roman" w:eastAsia="Times New Roman"/>
        </w:rPr>
        <w:t xml:space="preserve">7-8 </w:t>
      </w:r>
      <w:r>
        <w:rPr>
          <w:spacing w:val="-7"/>
        </w:rPr>
        <w:t xml:space="preserve">月份；多年平均风速 </w:t>
      </w:r>
      <w:r>
        <w:rPr>
          <w:rFonts w:ascii="Times New Roman" w:hAnsi="Times New Roman" w:eastAsia="Times New Roman"/>
        </w:rPr>
        <w:t>4.3m/s</w:t>
      </w:r>
      <w:r>
        <w:t xml:space="preserve">，最大风速 </w:t>
      </w:r>
      <w:r>
        <w:rPr>
          <w:rFonts w:ascii="Times New Roman" w:hAnsi="Times New Roman" w:eastAsia="Times New Roman"/>
        </w:rPr>
        <w:t>34m/s</w:t>
      </w:r>
      <w:r>
        <w:rPr>
          <w:spacing w:val="-9"/>
        </w:rPr>
        <w:t xml:space="preserve">，主导风向为 </w:t>
      </w:r>
      <w:r>
        <w:rPr>
          <w:rFonts w:ascii="Times New Roman" w:hAnsi="Times New Roman" w:eastAsia="Times New Roman"/>
        </w:rPr>
        <w:t>SW</w:t>
      </w:r>
      <w:r>
        <w:t xml:space="preserve">； </w:t>
      </w:r>
      <w:r>
        <w:rPr>
          <w:spacing w:val="-6"/>
        </w:rPr>
        <w:t xml:space="preserve">多年平均降水量为 </w:t>
      </w:r>
      <w:r>
        <w:rPr>
          <w:rFonts w:ascii="Times New Roman" w:hAnsi="Times New Roman" w:eastAsia="Times New Roman"/>
        </w:rPr>
        <w:t>523.4mm</w:t>
      </w:r>
      <w:r>
        <w:rPr>
          <w:spacing w:val="-8"/>
        </w:rPr>
        <w:t xml:space="preserve">，主要集中在 </w:t>
      </w:r>
      <w:r>
        <w:rPr>
          <w:rFonts w:ascii="Times New Roman" w:hAnsi="Times New Roman" w:eastAsia="Times New Roman"/>
        </w:rPr>
        <w:t>7</w:t>
      </w:r>
      <w:r>
        <w:rPr>
          <w:spacing w:val="4"/>
        </w:rPr>
        <w:t>、</w:t>
      </w:r>
      <w:r>
        <w:rPr>
          <w:rFonts w:ascii="Times New Roman" w:hAnsi="Times New Roman" w:eastAsia="Times New Roman"/>
        </w:rPr>
        <w:t xml:space="preserve">8 </w:t>
      </w:r>
      <w:r>
        <w:rPr>
          <w:spacing w:val="-6"/>
        </w:rPr>
        <w:t xml:space="preserve">月份，约占全年的 </w:t>
      </w:r>
      <w:r>
        <w:rPr>
          <w:rFonts w:ascii="Times New Roman" w:hAnsi="Times New Roman" w:eastAsia="Times New Roman"/>
        </w:rPr>
        <w:t>44%</w:t>
      </w:r>
      <w:r>
        <w:t>，最大降</w:t>
      </w:r>
      <w:r>
        <w:rPr>
          <w:spacing w:val="-12"/>
        </w:rPr>
        <w:t xml:space="preserve">水量为 </w:t>
      </w:r>
      <w:r>
        <w:rPr>
          <w:rFonts w:ascii="Times New Roman" w:hAnsi="Times New Roman" w:eastAsia="Times New Roman"/>
        </w:rPr>
        <w:t>873mm</w:t>
      </w:r>
      <w:r>
        <w:rPr>
          <w:spacing w:val="-11"/>
        </w:rPr>
        <w:t xml:space="preserve">，最小为 </w:t>
      </w:r>
      <w:r>
        <w:rPr>
          <w:rFonts w:ascii="Times New Roman" w:hAnsi="Times New Roman" w:eastAsia="Times New Roman"/>
        </w:rPr>
        <w:t>336mm</w:t>
      </w:r>
      <w:r>
        <w:rPr>
          <w:spacing w:val="-7"/>
        </w:rPr>
        <w:t xml:space="preserve">。年平均日照在 </w:t>
      </w:r>
      <w:r>
        <w:rPr>
          <w:rFonts w:ascii="Times New Roman" w:hAnsi="Times New Roman" w:eastAsia="Times New Roman"/>
        </w:rPr>
        <w:t>2500h</w:t>
      </w:r>
      <w:r>
        <w:rPr>
          <w:spacing w:val="-8"/>
        </w:rPr>
        <w:t xml:space="preserve">，无霜期平均 </w:t>
      </w:r>
      <w:r>
        <w:rPr>
          <w:rFonts w:ascii="Times New Roman" w:hAnsi="Times New Roman" w:eastAsia="Times New Roman"/>
        </w:rPr>
        <w:t>147d</w:t>
      </w:r>
      <w:r>
        <w:t xml:space="preserve">，最大冻深 </w:t>
      </w:r>
      <w:r>
        <w:rPr>
          <w:rFonts w:ascii="Times New Roman" w:hAnsi="Times New Roman" w:eastAsia="Times New Roman"/>
        </w:rPr>
        <w:t>228cm</w:t>
      </w:r>
      <w:r>
        <w:rPr>
          <w:spacing w:val="-16"/>
        </w:rPr>
        <w:t xml:space="preserve">。年积温 </w:t>
      </w:r>
      <w:r>
        <w:rPr>
          <w:rFonts w:ascii="Times New Roman" w:hAnsi="Times New Roman" w:eastAsia="Times New Roman"/>
          <w:spacing w:val="-3"/>
        </w:rPr>
        <w:t>2718</w:t>
      </w:r>
      <w:r>
        <w:rPr>
          <w:spacing w:val="-11"/>
        </w:rPr>
        <w:t xml:space="preserve">℃，年日照约 </w:t>
      </w:r>
      <w:r>
        <w:rPr>
          <w:rFonts w:ascii="Times New Roman" w:hAnsi="Times New Roman" w:eastAsia="Times New Roman"/>
        </w:rPr>
        <w:t>2617h</w:t>
      </w:r>
      <w:r>
        <w:rPr>
          <w:spacing w:val="-10"/>
        </w:rPr>
        <w:t xml:space="preserve">。最大冻土深度为 </w:t>
      </w:r>
      <w:r>
        <w:rPr>
          <w:rFonts w:ascii="Times New Roman" w:hAnsi="Times New Roman" w:eastAsia="Times New Roman"/>
        </w:rPr>
        <w:t>2m</w:t>
      </w:r>
      <w:r>
        <w:rPr>
          <w:rFonts w:ascii="Times New Roman" w:hAnsi="Times New Roman" w:eastAsia="Times New Roman"/>
          <w:spacing w:val="58"/>
        </w:rPr>
        <w:t xml:space="preserve"> </w:t>
      </w:r>
      <w:r>
        <w:rPr>
          <w:spacing w:val="-4"/>
        </w:rPr>
        <w:t>左右。多年</w:t>
      </w:r>
      <w:r>
        <w:rPr>
          <w:spacing w:val="-14"/>
        </w:rPr>
        <w:t xml:space="preserve">平均蒸发量 </w:t>
      </w:r>
      <w:r>
        <w:rPr>
          <w:rFonts w:ascii="Times New Roman" w:hAnsi="Times New Roman" w:eastAsia="Times New Roman"/>
        </w:rPr>
        <w:t>1290m</w:t>
      </w:r>
      <w:r>
        <w:rPr>
          <w:rFonts w:ascii="Times New Roman" w:hAnsi="Times New Roman" w:eastAsia="Times New Roman"/>
          <w:spacing w:val="-118"/>
        </w:rPr>
        <w:t>m</w:t>
      </w:r>
      <w:r>
        <w:rPr>
          <w:spacing w:val="-3"/>
        </w:rPr>
        <w:t>（</w:t>
      </w:r>
      <w:r>
        <w:rPr>
          <w:rFonts w:ascii="Times New Roman" w:hAnsi="Times New Roman" w:eastAsia="Times New Roman"/>
        </w:rPr>
        <w:t>20</w:t>
      </w:r>
      <w:r>
        <w:rPr>
          <w:rFonts w:ascii="Times New Roman" w:hAnsi="Times New Roman" w:eastAsia="Times New Roman"/>
          <w:spacing w:val="-1"/>
        </w:rPr>
        <w:t>c</w:t>
      </w:r>
      <w:r>
        <w:rPr>
          <w:rFonts w:ascii="Times New Roman" w:hAnsi="Times New Roman" w:eastAsia="Times New Roman"/>
        </w:rPr>
        <w:t xml:space="preserve">m  </w:t>
      </w:r>
      <w:r>
        <w:t>蒸发皿</w:t>
      </w:r>
      <w:r>
        <w:rPr>
          <w:spacing w:val="-120"/>
        </w:rPr>
        <w:t>）</w:t>
      </w:r>
      <w:r>
        <w:rPr>
          <w:spacing w:val="-16"/>
        </w:rPr>
        <w:t xml:space="preserve">。日照平均时数 </w:t>
      </w:r>
      <w:r>
        <w:rPr>
          <w:rFonts w:ascii="Times New Roman" w:hAnsi="Times New Roman" w:eastAsia="Times New Roman"/>
        </w:rPr>
        <w:t>2605h</w:t>
      </w:r>
      <w:r>
        <w:rPr>
          <w:spacing w:val="-27"/>
        </w:rPr>
        <w:t xml:space="preserve">，年平均气压 </w:t>
      </w:r>
      <w:r>
        <w:rPr>
          <w:rFonts w:ascii="Times New Roman" w:hAnsi="Times New Roman" w:eastAsia="Times New Roman"/>
          <w:spacing w:val="-2"/>
        </w:rPr>
        <w:t>1001.9P</w:t>
      </w:r>
      <w:r>
        <w:rPr>
          <w:rFonts w:ascii="Times New Roman" w:hAnsi="Times New Roman" w:eastAsia="Times New Roman"/>
          <w:spacing w:val="-3"/>
        </w:rPr>
        <w:t>a</w:t>
      </w:r>
      <w:r>
        <w:rPr>
          <w:spacing w:val="-2"/>
        </w:rPr>
        <w:t>，</w:t>
      </w:r>
      <w:r>
        <w:rPr>
          <w:spacing w:val="-6"/>
        </w:rPr>
        <w:t xml:space="preserve">冬季高，夏季低，无霜期 </w:t>
      </w:r>
      <w:r>
        <w:rPr>
          <w:rFonts w:ascii="Times New Roman" w:hAnsi="Times New Roman" w:eastAsia="Times New Roman"/>
        </w:rPr>
        <w:t>147d</w:t>
      </w:r>
      <w:r>
        <w:rPr>
          <w:spacing w:val="-4"/>
        </w:rPr>
        <w:t xml:space="preserve">。双鸭山市各季风向玫瑰图情况见图 </w:t>
      </w:r>
      <w:r>
        <w:rPr>
          <w:rFonts w:ascii="Times New Roman" w:hAnsi="Times New Roman" w:eastAsia="Times New Roman"/>
        </w:rPr>
        <w:t>4.1-2</w:t>
      </w:r>
      <w:r>
        <w:t>。</w:t>
      </w:r>
    </w:p>
    <w:p>
      <w:pPr>
        <w:pStyle w:val="6"/>
        <w:ind w:left="932"/>
        <w:rPr>
          <w:sz w:val="20"/>
        </w:rPr>
      </w:pPr>
      <w:r>
        <w:rPr>
          <w:sz w:val="20"/>
        </w:rPr>
        <w:drawing>
          <wp:inline distT="0" distB="0" distL="0" distR="0">
            <wp:extent cx="5301615" cy="3593465"/>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a:picLocks noChangeAspect="1"/>
                    </pic:cNvPicPr>
                  </pic:nvPicPr>
                  <pic:blipFill>
                    <a:blip r:embed="rId50" cstate="print"/>
                    <a:stretch>
                      <a:fillRect/>
                    </a:stretch>
                  </pic:blipFill>
                  <pic:spPr>
                    <a:xfrm>
                      <a:off x="0" y="0"/>
                      <a:ext cx="5301824" cy="3593782"/>
                    </a:xfrm>
                    <a:prstGeom prst="rect">
                      <a:avLst/>
                    </a:prstGeom>
                  </pic:spPr>
                </pic:pic>
              </a:graphicData>
            </a:graphic>
          </wp:inline>
        </w:drawing>
      </w:r>
    </w:p>
    <w:p>
      <w:pPr>
        <w:pStyle w:val="5"/>
        <w:spacing w:before="84"/>
        <w:ind w:left="426" w:right="17"/>
        <w:jc w:val="center"/>
      </w:pPr>
      <w:r>
        <w:t xml:space="preserve">图 </w:t>
      </w:r>
      <w:r>
        <w:rPr>
          <w:rFonts w:ascii="Times New Roman" w:eastAsia="Times New Roman"/>
        </w:rPr>
        <w:t xml:space="preserve">4.1-2 </w:t>
      </w:r>
      <w:r>
        <w:t>双鸭山市各季风向玫瑰图</w:t>
      </w:r>
    </w:p>
    <w:p>
      <w:pPr>
        <w:pStyle w:val="13"/>
        <w:numPr>
          <w:ilvl w:val="2"/>
          <w:numId w:val="36"/>
        </w:numPr>
        <w:tabs>
          <w:tab w:val="left" w:pos="1141"/>
        </w:tabs>
        <w:spacing w:before="5" w:after="0" w:line="240" w:lineRule="auto"/>
        <w:ind w:left="1140" w:right="0" w:hanging="630"/>
        <w:jc w:val="left"/>
        <w:rPr>
          <w:b/>
          <w:sz w:val="28"/>
        </w:rPr>
      </w:pPr>
      <w:bookmarkStart w:id="131" w:name="4.1.4水文地质"/>
      <w:bookmarkEnd w:id="131"/>
      <w:bookmarkStart w:id="132" w:name="4.1.4水文地质"/>
      <w:bookmarkEnd w:id="132"/>
      <w:r>
        <w:rPr>
          <w:b/>
          <w:sz w:val="28"/>
        </w:rPr>
        <w:t>水文地质</w:t>
      </w:r>
    </w:p>
    <w:p>
      <w:pPr>
        <w:pStyle w:val="6"/>
        <w:spacing w:before="185"/>
        <w:ind w:left="991"/>
      </w:pPr>
      <w:r>
        <w:rPr>
          <w:rFonts w:ascii="Times New Roman" w:eastAsia="Times New Roman"/>
        </w:rPr>
        <w:t>1</w:t>
      </w:r>
      <w:r>
        <w:t>、地表水</w:t>
      </w:r>
    </w:p>
    <w:p>
      <w:pPr>
        <w:spacing w:after="0"/>
        <w:sectPr>
          <w:pgSz w:w="11910" w:h="16840"/>
          <w:pgMar w:top="1380" w:right="1220" w:bottom="1180" w:left="1240" w:header="0" w:footer="997" w:gutter="0"/>
        </w:sectPr>
      </w:pPr>
    </w:p>
    <w:p>
      <w:pPr>
        <w:pStyle w:val="6"/>
        <w:spacing w:before="43" w:line="364" w:lineRule="auto"/>
        <w:ind w:left="511" w:right="533" w:firstLine="480"/>
      </w:pPr>
      <w:r>
        <w:t>双鸭山市的主要河流有东部的七星河及其支流扁石河、西部的安邦河及其支流小安邦河、马蹄河、小清河、哈达密河等。</w:t>
      </w:r>
    </w:p>
    <w:p>
      <w:pPr>
        <w:pStyle w:val="6"/>
        <w:spacing w:line="306" w:lineRule="exact"/>
        <w:ind w:left="991"/>
      </w:pPr>
      <w:r>
        <w:rPr>
          <w:spacing w:val="-3"/>
        </w:rPr>
        <w:t xml:space="preserve">七星河发源于完达山脉北侧之七星砬子山，全长 </w:t>
      </w:r>
      <w:r>
        <w:rPr>
          <w:rFonts w:ascii="Times New Roman" w:eastAsia="Times New Roman"/>
        </w:rPr>
        <w:t xml:space="preserve">241 </w:t>
      </w:r>
      <w:r>
        <w:t>公里。流经场内长度为</w:t>
      </w:r>
    </w:p>
    <w:p>
      <w:pPr>
        <w:pStyle w:val="6"/>
        <w:spacing w:before="160"/>
        <w:ind w:left="511"/>
        <w:jc w:val="both"/>
      </w:pPr>
      <w:r>
        <w:rPr>
          <w:rFonts w:ascii="Times New Roman" w:eastAsia="Times New Roman"/>
        </w:rPr>
        <w:t xml:space="preserve">50 </w:t>
      </w:r>
      <w:r>
        <w:rPr>
          <w:spacing w:val="-7"/>
        </w:rPr>
        <w:t>公里。</w:t>
      </w:r>
      <w:r>
        <w:fldChar w:fldCharType="begin"/>
      </w:r>
      <w:r>
        <w:instrText xml:space="preserve"> HYPERLINK "https://baike.so.com/doc/252417-267202.html" \h </w:instrText>
      </w:r>
      <w:r>
        <w:fldChar w:fldCharType="separate"/>
      </w:r>
      <w:r>
        <w:t>七星河是乌苏里江</w:t>
      </w:r>
      <w:r>
        <w:fldChar w:fldCharType="end"/>
      </w:r>
      <w:r>
        <w:rPr>
          <w:spacing w:val="-5"/>
        </w:rPr>
        <w:t>左岸二级支流。位于黑龙江省东部。发源于岚棒山南</w:t>
      </w:r>
    </w:p>
    <w:p>
      <w:pPr>
        <w:pStyle w:val="6"/>
        <w:spacing w:before="158"/>
        <w:ind w:left="511"/>
        <w:jc w:val="both"/>
      </w:pPr>
      <w:r>
        <w:fldChar w:fldCharType="begin"/>
      </w:r>
      <w:r>
        <w:instrText xml:space="preserve"> HYPERLINK "https://baike.so.com/doc/2741976-2893962.html" \h </w:instrText>
      </w:r>
      <w:r>
        <w:fldChar w:fldCharType="separate"/>
      </w:r>
      <w:r>
        <w:t>侧，流经宝清、双鸭山</w:t>
      </w:r>
      <w:r>
        <w:fldChar w:fldCharType="end"/>
      </w:r>
      <w:r>
        <w:t>、友谊、</w:t>
      </w:r>
      <w:r>
        <w:fldChar w:fldCharType="begin"/>
      </w:r>
      <w:r>
        <w:instrText xml:space="preserve"> HYPERLINK "https://baike.so.com/doc/6294106-6507622.html" \h </w:instrText>
      </w:r>
      <w:r>
        <w:fldChar w:fldCharType="separate"/>
      </w:r>
      <w:r>
        <w:rPr>
          <w:spacing w:val="-20"/>
        </w:rPr>
        <w:t xml:space="preserve">富锦 </w:t>
      </w:r>
      <w:r>
        <w:rPr>
          <w:spacing w:val="-20"/>
        </w:rPr>
        <w:fldChar w:fldCharType="end"/>
      </w:r>
      <w:r>
        <w:rPr>
          <w:rFonts w:ascii="Times New Roman" w:eastAsia="Times New Roman"/>
        </w:rPr>
        <w:t xml:space="preserve">4 </w:t>
      </w:r>
      <w:r>
        <w:t>市县交界，在</w:t>
      </w:r>
      <w:r>
        <w:fldChar w:fldCharType="begin"/>
      </w:r>
      <w:r>
        <w:instrText xml:space="preserve"> HYPERLINK "https://baike.so.com/doc/8465639-8785710.html" \h </w:instrText>
      </w:r>
      <w:r>
        <w:fldChar w:fldCharType="separate"/>
      </w:r>
      <w:r>
        <w:t>大王家</w:t>
      </w:r>
      <w:r>
        <w:fldChar w:fldCharType="end"/>
      </w:r>
      <w:r>
        <w:t>附近注入</w:t>
      </w:r>
      <w:r>
        <w:fldChar w:fldCharType="begin"/>
      </w:r>
      <w:r>
        <w:instrText xml:space="preserve"> HYPERLINK "https://baike.so.com/doc/2571886-2715957.html" \h </w:instrText>
      </w:r>
      <w:r>
        <w:fldChar w:fldCharType="separate"/>
      </w:r>
      <w:r>
        <w:t>挠力河</w:t>
      </w:r>
      <w:r>
        <w:fldChar w:fldCharType="end"/>
      </w:r>
      <w:r>
        <w:t>。全</w:t>
      </w:r>
    </w:p>
    <w:p>
      <w:pPr>
        <w:pStyle w:val="6"/>
        <w:spacing w:before="161" w:line="364" w:lineRule="auto"/>
        <w:ind w:left="511" w:right="529"/>
        <w:jc w:val="both"/>
      </w:pPr>
      <w:r>
        <w:rPr>
          <w:spacing w:val="-28"/>
        </w:rPr>
        <w:t xml:space="preserve">长 </w:t>
      </w:r>
      <w:r>
        <w:rPr>
          <w:rFonts w:ascii="Times New Roman" w:eastAsia="Times New Roman"/>
        </w:rPr>
        <w:t xml:space="preserve">189 </w:t>
      </w:r>
      <w:r>
        <w:rPr>
          <w:spacing w:val="-9"/>
        </w:rPr>
        <w:t xml:space="preserve">公里，河宽 </w:t>
      </w:r>
      <w:r>
        <w:rPr>
          <w:rFonts w:ascii="Times New Roman" w:eastAsia="Times New Roman"/>
        </w:rPr>
        <w:t xml:space="preserve">10-50 </w:t>
      </w:r>
      <w:r>
        <w:rPr>
          <w:spacing w:val="-11"/>
        </w:rPr>
        <w:t xml:space="preserve">米，水深 </w:t>
      </w:r>
      <w:r>
        <w:rPr>
          <w:rFonts w:ascii="Times New Roman" w:eastAsia="Times New Roman"/>
        </w:rPr>
        <w:t xml:space="preserve">1.2-2.0 </w:t>
      </w:r>
      <w:r>
        <w:rPr>
          <w:spacing w:val="-11"/>
        </w:rPr>
        <w:t xml:space="preserve">米。每年 </w:t>
      </w:r>
      <w:r>
        <w:rPr>
          <w:rFonts w:ascii="Times New Roman" w:eastAsia="Times New Roman"/>
          <w:spacing w:val="-4"/>
        </w:rPr>
        <w:t xml:space="preserve">11 </w:t>
      </w:r>
      <w:r>
        <w:rPr>
          <w:spacing w:val="-8"/>
        </w:rPr>
        <w:t xml:space="preserve">月中旬至次年 </w:t>
      </w:r>
      <w:r>
        <w:rPr>
          <w:rFonts w:ascii="Times New Roman" w:eastAsia="Times New Roman"/>
        </w:rPr>
        <w:t xml:space="preserve">4 </w:t>
      </w:r>
      <w:r>
        <w:rPr>
          <w:spacing w:val="1"/>
        </w:rPr>
        <w:t>月上旬</w:t>
      </w:r>
      <w:r>
        <w:fldChar w:fldCharType="begin"/>
      </w:r>
      <w:r>
        <w:instrText xml:space="preserve"> HYPERLINK "https://baike.so.com/doc/5006465-5231347.html" \h </w:instrText>
      </w:r>
      <w:r>
        <w:fldChar w:fldCharType="separate"/>
      </w:r>
      <w:r>
        <w:t>为结冰期</w:t>
      </w:r>
      <w:r>
        <w:fldChar w:fldCharType="end"/>
      </w:r>
      <w:r>
        <w:t>。两岸地势平坦低洼，多</w:t>
      </w:r>
      <w:r>
        <w:fldChar w:fldCharType="begin"/>
      </w:r>
      <w:r>
        <w:instrText xml:space="preserve"> HYPERLINK "https://baike.so.com/doc/1403650-1483847.html" \h </w:instrText>
      </w:r>
      <w:r>
        <w:fldChar w:fldCharType="separate"/>
      </w:r>
      <w:r>
        <w:t>沼泽</w:t>
      </w:r>
      <w:r>
        <w:fldChar w:fldCharType="end"/>
      </w:r>
      <w:r>
        <w:rPr>
          <w:spacing w:val="-1"/>
        </w:rPr>
        <w:t>，河道排泄能力较低，遇多雨年易形成洪涝</w:t>
      </w:r>
      <w:r>
        <w:rPr>
          <w:spacing w:val="-7"/>
        </w:rPr>
        <w:t xml:space="preserve">灾害。流域总面积 </w:t>
      </w:r>
      <w:r>
        <w:rPr>
          <w:rFonts w:ascii="Times New Roman" w:eastAsia="Times New Roman"/>
        </w:rPr>
        <w:t xml:space="preserve">3985 </w:t>
      </w:r>
      <w:r>
        <w:t>平方公里。中下游为</w:t>
      </w:r>
      <w:r>
        <w:fldChar w:fldCharType="begin"/>
      </w:r>
      <w:r>
        <w:instrText xml:space="preserve"> HYPERLINK "https://baike.so.com/doc/1278856-1352265.html" \h </w:instrText>
      </w:r>
      <w:r>
        <w:fldChar w:fldCharType="separate"/>
      </w:r>
      <w:r>
        <w:t>三江平原</w:t>
      </w:r>
      <w:r>
        <w:fldChar w:fldCharType="end"/>
      </w:r>
      <w:r>
        <w:t>腹地，多沼泽湿地。</w:t>
      </w:r>
    </w:p>
    <w:p>
      <w:pPr>
        <w:pStyle w:val="6"/>
        <w:spacing w:line="362" w:lineRule="auto"/>
        <w:ind w:left="511" w:right="529" w:firstLine="480"/>
        <w:jc w:val="both"/>
      </w:pPr>
      <w:r>
        <w:fldChar w:fldCharType="begin"/>
      </w:r>
      <w:r>
        <w:instrText xml:space="preserve"> HYPERLINK "https://baike.so.com/doc/6705081-6919058.html" \h </w:instrText>
      </w:r>
      <w:r>
        <w:fldChar w:fldCharType="separate"/>
      </w:r>
      <w:r>
        <w:t>此河从七星农场</w:t>
      </w:r>
      <w:r>
        <w:fldChar w:fldCharType="end"/>
      </w:r>
      <w:r>
        <w:rPr>
          <w:spacing w:val="-5"/>
        </w:rPr>
        <w:t>东部流向东北，经十二连、十一</w:t>
      </w:r>
      <w:r>
        <w:fldChar w:fldCharType="begin"/>
      </w:r>
      <w:r>
        <w:instrText xml:space="preserve"> HYPERLINK "https://baike.so.com/doc/4297302-4501007.html" \h </w:instrText>
      </w:r>
      <w:r>
        <w:fldChar w:fldCharType="separate"/>
      </w:r>
      <w:r>
        <w:t>连</w:t>
      </w:r>
      <w:r>
        <w:fldChar w:fldCharType="end"/>
      </w:r>
      <w:r>
        <w:rPr>
          <w:spacing w:val="-7"/>
        </w:rPr>
        <w:t>、九连、十三连出场区</w:t>
      </w:r>
      <w:r>
        <w:rPr>
          <w:rFonts w:ascii="Times New Roman" w:eastAsia="Times New Roman"/>
        </w:rPr>
        <w:t>(</w:t>
      </w:r>
      <w:r>
        <w:rPr>
          <w:spacing w:val="-13"/>
        </w:rPr>
        <w:t>连</w:t>
      </w:r>
      <w:r>
        <w:rPr>
          <w:spacing w:val="6"/>
        </w:rPr>
        <w:t>队称呼为国家农垦农场人们口头表述，因之前为军垦地以及生产建设兵团师团连</w:t>
      </w:r>
      <w:r>
        <w:rPr>
          <w:rFonts w:ascii="Times New Roman" w:eastAsia="Times New Roman"/>
          <w:spacing w:val="6"/>
        </w:rPr>
        <w:t>)</w:t>
      </w:r>
      <w:r>
        <w:rPr>
          <w:spacing w:val="6"/>
        </w:rPr>
        <w:t>，在宝清县境内汇入挠力河。</w:t>
      </w:r>
    </w:p>
    <w:p>
      <w:pPr>
        <w:pStyle w:val="6"/>
        <w:spacing w:before="5"/>
        <w:ind w:left="991"/>
        <w:jc w:val="both"/>
      </w:pPr>
      <w:r>
        <w:t xml:space="preserve">双鸭山市境内共有水库 </w:t>
      </w:r>
      <w:r>
        <w:rPr>
          <w:rFonts w:ascii="Times New Roman" w:eastAsia="Times New Roman"/>
        </w:rPr>
        <w:t xml:space="preserve">8 </w:t>
      </w:r>
      <w:r>
        <w:t xml:space="preserve">座，均是 </w:t>
      </w:r>
      <w:r>
        <w:rPr>
          <w:rFonts w:ascii="Times New Roman" w:eastAsia="Times New Roman"/>
        </w:rPr>
        <w:t xml:space="preserve">1958 </w:t>
      </w:r>
      <w:r>
        <w:t>年以后人工修建的，库容总蓄水量为</w:t>
      </w:r>
    </w:p>
    <w:p>
      <w:pPr>
        <w:pStyle w:val="6"/>
        <w:spacing w:before="161"/>
        <w:ind w:left="511"/>
        <w:jc w:val="both"/>
      </w:pPr>
      <w:r>
        <w:rPr>
          <w:rFonts w:ascii="Times New Roman" w:eastAsia="Times New Roman"/>
        </w:rPr>
        <w:t xml:space="preserve">1503 </w:t>
      </w:r>
      <w:r>
        <w:t xml:space="preserve">万 </w:t>
      </w:r>
      <w:r>
        <w:rPr>
          <w:rFonts w:ascii="Times New Roman" w:eastAsia="Times New Roman"/>
        </w:rPr>
        <w:t>m</w:t>
      </w:r>
      <w:r>
        <w:rPr>
          <w:rFonts w:ascii="Times New Roman" w:eastAsia="Times New Roman"/>
          <w:position w:val="8"/>
          <w:sz w:val="15"/>
        </w:rPr>
        <w:t>3</w:t>
      </w:r>
      <w:r>
        <w:t xml:space="preserve">，灌溉能力达 </w:t>
      </w:r>
      <w:r>
        <w:rPr>
          <w:rFonts w:ascii="Times New Roman" w:eastAsia="Times New Roman"/>
        </w:rPr>
        <w:t xml:space="preserve">5 </w:t>
      </w:r>
      <w:r>
        <w:t>万亩。</w:t>
      </w:r>
    </w:p>
    <w:p>
      <w:pPr>
        <w:pStyle w:val="6"/>
        <w:spacing w:before="158"/>
        <w:ind w:left="991"/>
      </w:pPr>
      <w:r>
        <w:rPr>
          <w:rFonts w:ascii="Times New Roman" w:eastAsia="Times New Roman"/>
        </w:rPr>
        <w:t>2</w:t>
      </w:r>
      <w:r>
        <w:t>、评价区区域地层</w:t>
      </w:r>
    </w:p>
    <w:p>
      <w:pPr>
        <w:pStyle w:val="6"/>
        <w:spacing w:before="161"/>
        <w:ind w:left="991"/>
      </w:pPr>
      <w:r>
        <w:t>地层层序由老至新分述如下：</w:t>
      </w:r>
    </w:p>
    <w:p>
      <w:pPr>
        <w:pStyle w:val="13"/>
        <w:numPr>
          <w:ilvl w:val="0"/>
          <w:numId w:val="37"/>
        </w:numPr>
        <w:tabs>
          <w:tab w:val="left" w:pos="1593"/>
        </w:tabs>
        <w:spacing w:before="158" w:after="0" w:line="240" w:lineRule="auto"/>
        <w:ind w:left="1593" w:right="0" w:hanging="602"/>
        <w:jc w:val="left"/>
        <w:rPr>
          <w:sz w:val="24"/>
        </w:rPr>
      </w:pPr>
      <w:r>
        <w:rPr>
          <w:sz w:val="24"/>
        </w:rPr>
        <w:t>元古界麻山群</w:t>
      </w:r>
    </w:p>
    <w:p>
      <w:pPr>
        <w:pStyle w:val="6"/>
        <w:spacing w:before="160" w:line="362" w:lineRule="auto"/>
        <w:ind w:left="511" w:right="533" w:firstLine="480"/>
      </w:pPr>
      <w:r>
        <w:rPr>
          <w:spacing w:val="-1"/>
        </w:rPr>
        <w:t xml:space="preserve">广泛出露于矿区的南部，构成煤系地层基底，主要岩性为花岗岩、片麻岩， </w:t>
      </w:r>
      <w:r>
        <w:t>其次为黑云母片岩，绿泥石片岩等变质岩类。</w:t>
      </w:r>
    </w:p>
    <w:p>
      <w:pPr>
        <w:pStyle w:val="13"/>
        <w:numPr>
          <w:ilvl w:val="0"/>
          <w:numId w:val="37"/>
        </w:numPr>
        <w:tabs>
          <w:tab w:val="left" w:pos="1593"/>
        </w:tabs>
        <w:spacing w:before="5" w:after="0" w:line="240" w:lineRule="auto"/>
        <w:ind w:left="1593" w:right="0" w:hanging="602"/>
        <w:jc w:val="left"/>
        <w:rPr>
          <w:sz w:val="24"/>
        </w:rPr>
      </w:pPr>
      <w:r>
        <w:rPr>
          <w:sz w:val="24"/>
        </w:rPr>
        <w:t>中生界白垩系鸡西群</w:t>
      </w:r>
    </w:p>
    <w:p>
      <w:pPr>
        <w:pStyle w:val="6"/>
        <w:spacing w:before="158"/>
        <w:ind w:left="991"/>
      </w:pPr>
      <w:r>
        <w:t>为一套陆相含煤碎屑岩系，不整合于元古界麻山群花岗岩之上，总厚度达</w:t>
      </w:r>
    </w:p>
    <w:p>
      <w:pPr>
        <w:pStyle w:val="6"/>
        <w:spacing w:before="161"/>
        <w:ind w:left="511"/>
      </w:pPr>
      <w:r>
        <w:rPr>
          <w:rFonts w:ascii="Times New Roman" w:eastAsia="Times New Roman"/>
        </w:rPr>
        <w:t xml:space="preserve">1000 </w:t>
      </w:r>
      <w:r>
        <w:t>米。划分为城子河组和穆棱组。</w:t>
      </w:r>
    </w:p>
    <w:p>
      <w:pPr>
        <w:pStyle w:val="6"/>
        <w:spacing w:before="158" w:line="364" w:lineRule="auto"/>
        <w:ind w:left="511" w:right="413" w:firstLine="480"/>
      </w:pPr>
      <w:r>
        <w:rPr>
          <w:spacing w:val="-3"/>
        </w:rPr>
        <w:t xml:space="preserve">①城子河组：全区发育，从钻孔控制来看，厚度 </w:t>
      </w:r>
      <w:r>
        <w:rPr>
          <w:rFonts w:ascii="Times New Roman" w:hAnsi="Times New Roman" w:eastAsia="Times New Roman"/>
        </w:rPr>
        <w:t xml:space="preserve">300-450 </w:t>
      </w:r>
      <w:r>
        <w:t>米，其岩性大部分</w:t>
      </w:r>
      <w:r>
        <w:rPr>
          <w:spacing w:val="-9"/>
        </w:rPr>
        <w:t>为灰白色中粒砂岩，灰色粉砂岩及少量泥岩，煤页岩及煤组成。依据岩性、岩相、</w:t>
      </w:r>
      <w:r>
        <w:t>含煤特征，把城子河组分为二段。</w:t>
      </w:r>
    </w:p>
    <w:p>
      <w:pPr>
        <w:pStyle w:val="6"/>
        <w:spacing w:line="364" w:lineRule="auto"/>
        <w:ind w:left="511" w:right="346" w:firstLine="480"/>
      </w:pPr>
      <w:r>
        <w:t xml:space="preserve">下段：顶部以 </w:t>
      </w:r>
      <w:r>
        <w:rPr>
          <w:rFonts w:ascii="Times New Roman" w:eastAsia="Times New Roman"/>
        </w:rPr>
        <w:t xml:space="preserve">40 </w:t>
      </w:r>
      <w:r>
        <w:t>煤层下粗砂岩到城子河组底部砾岩，以粗粒的河床相为主， 含有凝灰质，含煤性较差，几乎无可采层，岩性、岩相均较上段变化大，沉积旋回不完整，反应本段沉积环境相当不稳定。</w:t>
      </w:r>
    </w:p>
    <w:p>
      <w:pPr>
        <w:pStyle w:val="6"/>
        <w:spacing w:line="364" w:lineRule="auto"/>
        <w:ind w:left="511" w:right="529" w:firstLine="480"/>
        <w:jc w:val="both"/>
      </w:pPr>
      <w:r>
        <w:rPr>
          <w:spacing w:val="-11"/>
        </w:rPr>
        <w:t xml:space="preserve">上段：顶部以穆棱组底部砂砾岩底界至 </w:t>
      </w:r>
      <w:r>
        <w:rPr>
          <w:rFonts w:ascii="Times New Roman" w:eastAsia="Times New Roman"/>
        </w:rPr>
        <w:t xml:space="preserve">40 </w:t>
      </w:r>
      <w:r>
        <w:rPr>
          <w:spacing w:val="-9"/>
        </w:rPr>
        <w:t>煤层下部粗砂岩。以中粗与细粒相</w:t>
      </w:r>
      <w:r>
        <w:t>间的河床相</w:t>
      </w:r>
      <w:r>
        <w:rPr>
          <w:rFonts w:ascii="Times New Roman" w:eastAsia="Times New Roman"/>
        </w:rPr>
        <w:t>-</w:t>
      </w:r>
      <w:r>
        <w:rPr>
          <w:spacing w:val="-9"/>
        </w:rPr>
        <w:t>河漫相，沼泽相互更替为特点，是煤层主要的赋存部位，亦是勘探的</w:t>
      </w:r>
      <w:r>
        <w:t>主要对象。</w:t>
      </w:r>
    </w:p>
    <w:p>
      <w:pPr>
        <w:spacing w:after="0" w:line="364" w:lineRule="auto"/>
        <w:jc w:val="both"/>
        <w:sectPr>
          <w:pgSz w:w="11910" w:h="16840"/>
          <w:pgMar w:top="1380" w:right="1220" w:bottom="1180" w:left="1240" w:header="0" w:footer="997" w:gutter="0"/>
        </w:sectPr>
      </w:pPr>
    </w:p>
    <w:p>
      <w:pPr>
        <w:pStyle w:val="6"/>
        <w:spacing w:before="63" w:line="364" w:lineRule="auto"/>
        <w:ind w:left="511" w:right="452" w:firstLine="480"/>
      </w:pPr>
      <w:r>
        <w:t>②穆棱组：以灰白色中粒砂岩和灰</w:t>
      </w:r>
      <w:r>
        <w:rPr>
          <w:rFonts w:ascii="Times New Roman" w:hAnsi="Times New Roman" w:eastAsia="Times New Roman"/>
        </w:rPr>
        <w:t>-</w:t>
      </w:r>
      <w:r>
        <w:t xml:space="preserve">深灰色砂岩相间，沉积韵律较频为特色。夹凝灰质岩石、炭页和煤层，是一静水相为主，河床相几乎不见、湖泊相、泥炭沼泽相常见，含不可采煤层 </w:t>
      </w:r>
      <w:r>
        <w:rPr>
          <w:rFonts w:ascii="Times New Roman" w:hAnsi="Times New Roman" w:eastAsia="Times New Roman"/>
        </w:rPr>
        <w:t xml:space="preserve">6 </w:t>
      </w:r>
      <w:r>
        <w:t xml:space="preserve">层，厚度大于 </w:t>
      </w:r>
      <w:r>
        <w:rPr>
          <w:rFonts w:ascii="Times New Roman" w:hAnsi="Times New Roman" w:eastAsia="Times New Roman"/>
        </w:rPr>
        <w:t xml:space="preserve">600 </w:t>
      </w:r>
      <w:r>
        <w:t>米。</w:t>
      </w:r>
    </w:p>
    <w:p>
      <w:pPr>
        <w:pStyle w:val="13"/>
        <w:numPr>
          <w:ilvl w:val="0"/>
          <w:numId w:val="37"/>
        </w:numPr>
        <w:tabs>
          <w:tab w:val="left" w:pos="1593"/>
        </w:tabs>
        <w:spacing w:before="0" w:after="0" w:line="307" w:lineRule="exact"/>
        <w:ind w:left="1593" w:right="0" w:hanging="602"/>
        <w:jc w:val="left"/>
        <w:rPr>
          <w:sz w:val="24"/>
        </w:rPr>
      </w:pPr>
      <w:r>
        <w:rPr>
          <w:sz w:val="24"/>
        </w:rPr>
        <w:t>第三系</w:t>
      </w:r>
    </w:p>
    <w:p>
      <w:pPr>
        <w:pStyle w:val="6"/>
        <w:spacing w:before="158"/>
        <w:ind w:left="991"/>
      </w:pPr>
      <w:r>
        <w:t>主要岩性为玄武岩，不整合覆盖于煤系地层之上，黑色致密，隐晶质结构。</w:t>
      </w:r>
    </w:p>
    <w:p>
      <w:pPr>
        <w:pStyle w:val="13"/>
        <w:numPr>
          <w:ilvl w:val="0"/>
          <w:numId w:val="37"/>
        </w:numPr>
        <w:tabs>
          <w:tab w:val="left" w:pos="1593"/>
        </w:tabs>
        <w:spacing w:before="160" w:after="0" w:line="240" w:lineRule="auto"/>
        <w:ind w:left="1593" w:right="0" w:hanging="602"/>
        <w:jc w:val="left"/>
        <w:rPr>
          <w:sz w:val="24"/>
        </w:rPr>
      </w:pPr>
      <w:r>
        <w:rPr>
          <w:sz w:val="24"/>
        </w:rPr>
        <w:t>第四系</w:t>
      </w:r>
    </w:p>
    <w:p>
      <w:pPr>
        <w:pStyle w:val="6"/>
        <w:spacing w:before="158" w:line="364" w:lineRule="auto"/>
        <w:ind w:left="511" w:right="533" w:firstLine="480"/>
      </w:pPr>
      <w:r>
        <w:t xml:space="preserve">位于山谷至山麓一带，谷底为冲积层，向上渐变为坡积层，成分多为黏土和风化玄武岩、砂岩碎块，两极厚度为 </w:t>
      </w:r>
      <w:r>
        <w:rPr>
          <w:rFonts w:ascii="Times New Roman" w:eastAsia="Times New Roman"/>
        </w:rPr>
        <w:t xml:space="preserve">2-17 </w:t>
      </w:r>
      <w:r>
        <w:t xml:space="preserve">米，一般厚度 </w:t>
      </w:r>
      <w:r>
        <w:rPr>
          <w:rFonts w:ascii="Times New Roman" w:eastAsia="Times New Roman"/>
        </w:rPr>
        <w:t xml:space="preserve">5 </w:t>
      </w:r>
      <w:r>
        <w:t>米。</w:t>
      </w:r>
    </w:p>
    <w:p>
      <w:pPr>
        <w:pStyle w:val="6"/>
        <w:spacing w:before="2"/>
        <w:ind w:left="991"/>
      </w:pPr>
      <w:r>
        <w:rPr>
          <w:rFonts w:ascii="Times New Roman" w:eastAsia="Times New Roman"/>
        </w:rPr>
        <w:t>3</w:t>
      </w:r>
      <w:r>
        <w:t>、评价区区域构造</w:t>
      </w:r>
    </w:p>
    <w:p>
      <w:pPr>
        <w:pStyle w:val="6"/>
        <w:spacing w:before="158" w:line="364" w:lineRule="auto"/>
        <w:ind w:left="511" w:right="533" w:firstLine="480"/>
        <w:jc w:val="both"/>
      </w:pPr>
      <w:r>
        <w:t>双鸭山煤田它处于三江</w:t>
      </w:r>
      <w:r>
        <w:rPr>
          <w:rFonts w:ascii="Times New Roman" w:hAnsi="Times New Roman" w:eastAsia="Times New Roman"/>
        </w:rPr>
        <w:t>——</w:t>
      </w:r>
      <w:r>
        <w:t>穆棱河聚煤区的西南边缘地带，它在双桦</w:t>
      </w:r>
      <w:r>
        <w:rPr>
          <w:rFonts w:ascii="Times New Roman" w:hAnsi="Times New Roman" w:eastAsia="Times New Roman"/>
        </w:rPr>
        <w:t>—</w:t>
      </w:r>
      <w:r>
        <w:t>双鸭山</w:t>
      </w:r>
      <w:r>
        <w:rPr>
          <w:rFonts w:ascii="Times New Roman" w:hAnsi="Times New Roman" w:eastAsia="Times New Roman"/>
        </w:rPr>
        <w:t>—</w:t>
      </w:r>
      <w:r>
        <w:t>集贤</w:t>
      </w:r>
      <w:r>
        <w:rPr>
          <w:rFonts w:ascii="Times New Roman" w:hAnsi="Times New Roman" w:eastAsia="Times New Roman"/>
        </w:rPr>
        <w:t>—</w:t>
      </w:r>
      <w:r>
        <w:t>绥滨凹陷的南端，处在安邦河</w:t>
      </w:r>
      <w:r>
        <w:rPr>
          <w:rFonts w:ascii="Times New Roman" w:hAnsi="Times New Roman" w:eastAsia="Times New Roman"/>
        </w:rPr>
        <w:t>—</w:t>
      </w:r>
      <w:r>
        <w:t>七星河复式向斜的南部。煤田的中部有一轴向北西西且向东倾伏的背斜构造，其背南、北两侧分别为向斜构造。</w:t>
      </w:r>
    </w:p>
    <w:p>
      <w:pPr>
        <w:pStyle w:val="6"/>
        <w:spacing w:line="364" w:lineRule="auto"/>
        <w:ind w:left="511" w:right="404" w:firstLine="480"/>
      </w:pPr>
      <w:r>
        <w:t>该矿处于双鸭山煤田西部，紧靠双鸭山煤田南部逆冲断层北侧。井区内被近</w:t>
      </w:r>
      <w:r>
        <w:rPr>
          <w:spacing w:val="-12"/>
        </w:rPr>
        <w:t xml:space="preserve">东西向的 </w:t>
      </w:r>
      <w:r>
        <w:rPr>
          <w:rFonts w:ascii="Times New Roman" w:hAnsi="Times New Roman" w:eastAsia="Times New Roman"/>
        </w:rPr>
        <w:t xml:space="preserve">F12 </w:t>
      </w:r>
      <w:r>
        <w:rPr>
          <w:spacing w:val="-2"/>
        </w:rPr>
        <w:t>断层分为南北两部分。其中南部为呈一向南东倾伏的向斜构造，轴</w:t>
      </w:r>
      <w:r>
        <w:rPr>
          <w:spacing w:val="-29"/>
        </w:rPr>
        <w:t xml:space="preserve">向 </w:t>
      </w:r>
      <w:r>
        <w:rPr>
          <w:rFonts w:ascii="Times New Roman" w:hAnsi="Times New Roman" w:eastAsia="Times New Roman"/>
          <w:spacing w:val="-6"/>
        </w:rPr>
        <w:t>N65°W</w:t>
      </w:r>
      <w:r>
        <w:rPr>
          <w:spacing w:val="-8"/>
        </w:rPr>
        <w:t xml:space="preserve">；向斜北翼地层走向 </w:t>
      </w:r>
      <w:r>
        <w:rPr>
          <w:rFonts w:ascii="Times New Roman" w:hAnsi="Times New Roman" w:eastAsia="Times New Roman"/>
          <w:spacing w:val="-4"/>
        </w:rPr>
        <w:t>N450</w:t>
      </w:r>
      <w:r>
        <w:rPr>
          <w:spacing w:val="-4"/>
        </w:rPr>
        <w:t>－</w:t>
      </w:r>
      <w:r>
        <w:rPr>
          <w:rFonts w:ascii="Times New Roman" w:hAnsi="Times New Roman" w:eastAsia="Times New Roman"/>
          <w:spacing w:val="-4"/>
        </w:rPr>
        <w:t>800E</w:t>
      </w:r>
      <w:r>
        <w:rPr>
          <w:spacing w:val="-16"/>
        </w:rPr>
        <w:t xml:space="preserve">，倾角 </w:t>
      </w:r>
      <w:r>
        <w:rPr>
          <w:rFonts w:ascii="Times New Roman" w:hAnsi="Times New Roman" w:eastAsia="Times New Roman"/>
        </w:rPr>
        <w:t>30-45°</w:t>
      </w:r>
      <w:r>
        <w:rPr>
          <w:spacing w:val="-6"/>
        </w:rPr>
        <w:t xml:space="preserve">左右；南翼走向近东西， </w:t>
      </w:r>
      <w:r>
        <w:rPr>
          <w:spacing w:val="-7"/>
        </w:rPr>
        <w:t xml:space="preserve">地层走向 </w:t>
      </w:r>
      <w:r>
        <w:rPr>
          <w:rFonts w:ascii="Times New Roman" w:hAnsi="Times New Roman" w:eastAsia="Times New Roman"/>
        </w:rPr>
        <w:t>70°-80°</w:t>
      </w:r>
      <w:r>
        <w:rPr>
          <w:spacing w:val="-11"/>
        </w:rPr>
        <w:t xml:space="preserve">，倾角 </w:t>
      </w:r>
      <w:r>
        <w:rPr>
          <w:rFonts w:ascii="Times New Roman" w:hAnsi="Times New Roman" w:eastAsia="Times New Roman"/>
        </w:rPr>
        <w:t>55</w:t>
      </w:r>
      <w:r>
        <w:rPr>
          <w:rFonts w:ascii="Times New Roman" w:hAnsi="Times New Roman" w:eastAsia="Times New Roman"/>
          <w:position w:val="8"/>
          <w:sz w:val="15"/>
        </w:rPr>
        <w:t xml:space="preserve">o </w:t>
      </w:r>
      <w:r>
        <w:rPr>
          <w:spacing w:val="6"/>
        </w:rPr>
        <w:t>左右。</w:t>
      </w:r>
      <w:r>
        <w:rPr>
          <w:rFonts w:ascii="Times New Roman" w:hAnsi="Times New Roman" w:eastAsia="Times New Roman"/>
        </w:rPr>
        <w:t xml:space="preserve">F12 </w:t>
      </w:r>
      <w:r>
        <w:t xml:space="preserve">断层以北为单斜构造，地层走向 </w:t>
      </w:r>
      <w:r>
        <w:rPr>
          <w:rFonts w:ascii="Times New Roman" w:hAnsi="Times New Roman" w:eastAsia="Times New Roman"/>
        </w:rPr>
        <w:t>S800</w:t>
      </w:r>
      <w:r>
        <w:t xml:space="preserve">－ </w:t>
      </w:r>
      <w:r>
        <w:rPr>
          <w:rFonts w:ascii="Times New Roman" w:hAnsi="Times New Roman" w:eastAsia="Times New Roman"/>
        </w:rPr>
        <w:t>880W</w:t>
      </w:r>
      <w:r>
        <w:rPr>
          <w:spacing w:val="-15"/>
        </w:rPr>
        <w:t xml:space="preserve">，倾角 </w:t>
      </w:r>
      <w:r>
        <w:rPr>
          <w:rFonts w:ascii="Times New Roman" w:hAnsi="Times New Roman" w:eastAsia="Times New Roman"/>
        </w:rPr>
        <w:t>18°</w:t>
      </w:r>
      <w:r>
        <w:t>左右。</w:t>
      </w:r>
    </w:p>
    <w:p>
      <w:pPr>
        <w:pStyle w:val="6"/>
        <w:spacing w:line="364" w:lineRule="auto"/>
        <w:ind w:left="511" w:right="533" w:firstLine="480"/>
      </w:pPr>
      <w:r>
        <w:t>井区内断层以正断层为主，逆断层次之；断层走向分为北东、北西和近东西向三组，其中以北东向为主，北西向较少，近东西向都是大断层。</w:t>
      </w:r>
    </w:p>
    <w:p>
      <w:pPr>
        <w:pStyle w:val="6"/>
        <w:spacing w:line="306" w:lineRule="exact"/>
        <w:ind w:left="991"/>
      </w:pPr>
      <w:r>
        <w:rPr>
          <w:rFonts w:ascii="Times New Roman" w:eastAsia="Times New Roman"/>
        </w:rPr>
        <w:t>4</w:t>
      </w:r>
      <w:r>
        <w:t>、评价区水文地质特征</w:t>
      </w:r>
    </w:p>
    <w:p>
      <w:pPr>
        <w:pStyle w:val="6"/>
        <w:spacing w:before="155" w:line="364" w:lineRule="auto"/>
        <w:ind w:left="511" w:right="533" w:firstLine="480"/>
        <w:jc w:val="both"/>
      </w:pPr>
      <w:r>
        <w:t xml:space="preserve">该区的西部和北部地表均处于高山地带，地形坡度较大，降水、排泄良好， 不利于地下水的补给，为降水排泄区；南部地形相对较低洼，并有扁石河流过， 加之扁石河流经 </w:t>
      </w:r>
      <w:r>
        <w:rPr>
          <w:rFonts w:ascii="Times New Roman" w:eastAsia="Times New Roman"/>
        </w:rPr>
        <w:t>F1</w:t>
      </w:r>
      <w:r>
        <w:t>、</w:t>
      </w:r>
      <w:r>
        <w:rPr>
          <w:rFonts w:ascii="Times New Roman" w:eastAsia="Times New Roman"/>
        </w:rPr>
        <w:t xml:space="preserve">F2 </w:t>
      </w:r>
      <w:r>
        <w:t>断层，有利于地下水的补给。</w:t>
      </w:r>
    </w:p>
    <w:p>
      <w:pPr>
        <w:pStyle w:val="6"/>
        <w:spacing w:line="362" w:lineRule="auto"/>
        <w:ind w:left="511" w:right="533" w:firstLine="480"/>
        <w:jc w:val="both"/>
      </w:pPr>
      <w:r>
        <w:t xml:space="preserve">本区地表无河流等大的水体，地下水主要靠雨水补给，雨量多集中在每年的六、七和八月份，平均年降雨量 </w:t>
      </w:r>
      <w:r>
        <w:rPr>
          <w:rFonts w:ascii="Times New Roman" w:eastAsia="Times New Roman"/>
        </w:rPr>
        <w:t xml:space="preserve">626.4 </w:t>
      </w:r>
      <w:r>
        <w:t>毫米。</w:t>
      </w:r>
    </w:p>
    <w:p>
      <w:pPr>
        <w:pStyle w:val="6"/>
        <w:spacing w:before="2"/>
        <w:ind w:left="991"/>
        <w:jc w:val="both"/>
      </w:pPr>
      <w:r>
        <w:t xml:space="preserve">本区地势海拔高度 </w:t>
      </w:r>
      <w:r>
        <w:rPr>
          <w:rFonts w:ascii="Times New Roman" w:eastAsia="Times New Roman"/>
        </w:rPr>
        <w:t xml:space="preserve">240-470 </w:t>
      </w:r>
      <w:r>
        <w:t xml:space="preserve">米，相对高差 </w:t>
      </w:r>
      <w:r>
        <w:rPr>
          <w:rFonts w:ascii="Times New Roman" w:eastAsia="Times New Roman"/>
        </w:rPr>
        <w:t xml:space="preserve">230 </w:t>
      </w:r>
      <w:r>
        <w:t>米，为低山丘陵区。最高洪水</w:t>
      </w:r>
    </w:p>
    <w:p>
      <w:pPr>
        <w:pStyle w:val="6"/>
        <w:spacing w:before="161"/>
        <w:ind w:left="511"/>
      </w:pPr>
      <w:r>
        <w:t xml:space="preserve">位线为 </w:t>
      </w:r>
      <w:r>
        <w:rPr>
          <w:rFonts w:ascii="Times New Roman" w:eastAsia="Times New Roman"/>
        </w:rPr>
        <w:t xml:space="preserve">230 </w:t>
      </w:r>
      <w:r>
        <w:t>米，井区都处于最高洪水位线以上。</w:t>
      </w:r>
    </w:p>
    <w:p>
      <w:pPr>
        <w:pStyle w:val="6"/>
        <w:spacing w:before="158"/>
        <w:ind w:left="991"/>
      </w:pPr>
      <w:r>
        <w:t>区内含水层主要为煤系地层风化裂隙含水带和第四系冲积含水层。</w:t>
      </w:r>
    </w:p>
    <w:p>
      <w:pPr>
        <w:pStyle w:val="6"/>
        <w:spacing w:before="160" w:line="364" w:lineRule="auto"/>
        <w:ind w:left="511" w:right="533" w:firstLine="480"/>
      </w:pPr>
      <w:r>
        <w:t>煤系地层风化裂隙含水带，岩性主要为白色细砂岩、中砂岩和灰色粉砂岩， 并夹有少量凝灰质砂岩、页岩、炭页岩和煤，其间没有明显隔水层和含水层。本</w:t>
      </w:r>
    </w:p>
    <w:p>
      <w:pPr>
        <w:spacing w:after="0" w:line="364" w:lineRule="auto"/>
        <w:sectPr>
          <w:footerReference r:id="rId13" w:type="default"/>
          <w:pgSz w:w="11910" w:h="16840"/>
          <w:pgMar w:top="1360" w:right="1220" w:bottom="1180" w:left="1240" w:header="0" w:footer="997" w:gutter="0"/>
          <w:pgNumType w:start="70"/>
        </w:sectPr>
      </w:pPr>
    </w:p>
    <w:p>
      <w:pPr>
        <w:pStyle w:val="6"/>
        <w:spacing w:before="63" w:line="364" w:lineRule="auto"/>
        <w:ind w:left="511" w:right="529"/>
        <w:jc w:val="both"/>
        <w:rPr>
          <w:rFonts w:ascii="Times New Roman" w:eastAsia="Times New Roman"/>
        </w:rPr>
      </w:pPr>
      <w:r>
        <w:rPr>
          <w:spacing w:val="-12"/>
        </w:rPr>
        <w:t xml:space="preserve">带深度 </w:t>
      </w:r>
      <w:r>
        <w:rPr>
          <w:rFonts w:ascii="Times New Roman" w:eastAsia="Times New Roman"/>
        </w:rPr>
        <w:t xml:space="preserve">60-70 </w:t>
      </w:r>
      <w:r>
        <w:t>米，浅部发育，深部逐渐减弱，地下水主要赋存于岩层裂隙中。此</w:t>
      </w:r>
      <w:r>
        <w:rPr>
          <w:spacing w:val="-1"/>
        </w:rPr>
        <w:t>带受地形影响，高处风化裂隙含水带含水性差，透水性良好；在地形低洼处，风化裂隙含水带厚，含水性强。根据《东煤公司双鸭山矿务局岭东六井长山扩大区</w:t>
      </w:r>
      <w:r>
        <w:rPr>
          <w:spacing w:val="-12"/>
        </w:rPr>
        <w:t xml:space="preserve">地质勘探报告》抽水试验，抽水深度 </w:t>
      </w:r>
      <w:r>
        <w:rPr>
          <w:rFonts w:ascii="Times New Roman" w:eastAsia="Times New Roman"/>
        </w:rPr>
        <w:t xml:space="preserve">45.75-135.45 </w:t>
      </w:r>
      <w:r>
        <w:rPr>
          <w:spacing w:val="-13"/>
        </w:rPr>
        <w:t xml:space="preserve">米，单位涌水量 </w:t>
      </w:r>
      <w:r>
        <w:rPr>
          <w:rFonts w:ascii="Times New Roman" w:eastAsia="Times New Roman"/>
        </w:rPr>
        <w:t>0.0675-0.10956</w:t>
      </w:r>
    </w:p>
    <w:p>
      <w:pPr>
        <w:pStyle w:val="6"/>
        <w:spacing w:line="305" w:lineRule="exact"/>
        <w:ind w:left="511"/>
        <w:jc w:val="both"/>
      </w:pPr>
      <w:r>
        <w:t>升</w:t>
      </w:r>
      <w:r>
        <w:rPr>
          <w:rFonts w:ascii="Times New Roman" w:eastAsia="Times New Roman"/>
        </w:rPr>
        <w:t>/</w:t>
      </w:r>
      <w:r>
        <w:t>秒</w:t>
      </w:r>
      <w:r>
        <w:rPr>
          <w:rFonts w:ascii="Times New Roman" w:eastAsia="Times New Roman"/>
        </w:rPr>
        <w:t>.</w:t>
      </w:r>
      <w:r>
        <w:t xml:space="preserve">米，渗透系数 </w:t>
      </w:r>
      <w:r>
        <w:rPr>
          <w:rFonts w:ascii="Times New Roman" w:eastAsia="Times New Roman"/>
        </w:rPr>
        <w:t xml:space="preserve">0.0869-0.1056 </w:t>
      </w:r>
      <w:r>
        <w:t>米</w:t>
      </w:r>
      <w:r>
        <w:rPr>
          <w:rFonts w:ascii="Times New Roman" w:eastAsia="Times New Roman"/>
        </w:rPr>
        <w:t>/</w:t>
      </w:r>
      <w:r>
        <w:t>日。</w:t>
      </w:r>
    </w:p>
    <w:p>
      <w:pPr>
        <w:pStyle w:val="6"/>
        <w:spacing w:before="160" w:line="364" w:lineRule="auto"/>
        <w:ind w:left="511" w:right="385" w:firstLine="480"/>
      </w:pPr>
      <w:r>
        <w:t xml:space="preserve">第四系冲积含水层分布于南部扁石河流域，厚度 </w:t>
      </w:r>
      <w:r>
        <w:rPr>
          <w:rFonts w:ascii="Times New Roman" w:eastAsia="Times New Roman"/>
        </w:rPr>
        <w:t xml:space="preserve">2-10 </w:t>
      </w:r>
      <w:r>
        <w:t xml:space="preserve">米，由砂、砾砂组成， 其中夹薄黏土及亚黏土。根据《东煤公司双鸭山矿务局岭东六井长山扩大区地质勘探报告》，单位涌水量 </w:t>
      </w:r>
      <w:r>
        <w:rPr>
          <w:rFonts w:ascii="Times New Roman" w:eastAsia="Times New Roman"/>
        </w:rPr>
        <w:t xml:space="preserve">0.44-2.44 </w:t>
      </w:r>
      <w:r>
        <w:t>升</w:t>
      </w:r>
      <w:r>
        <w:rPr>
          <w:rFonts w:ascii="Times New Roman" w:eastAsia="Times New Roman"/>
        </w:rPr>
        <w:t>/</w:t>
      </w:r>
      <w:r>
        <w:t>秒</w:t>
      </w:r>
      <w:r>
        <w:rPr>
          <w:rFonts w:ascii="Times New Roman" w:eastAsia="Times New Roman"/>
        </w:rPr>
        <w:t>.</w:t>
      </w:r>
      <w:r>
        <w:t xml:space="preserve">米，渗透系数 </w:t>
      </w:r>
      <w:r>
        <w:rPr>
          <w:rFonts w:ascii="Times New Roman" w:eastAsia="Times New Roman"/>
        </w:rPr>
        <w:t xml:space="preserve">3.5-11.3 </w:t>
      </w:r>
      <w:r>
        <w:t>米</w:t>
      </w:r>
      <w:r>
        <w:rPr>
          <w:rFonts w:ascii="Times New Roman" w:eastAsia="Times New Roman"/>
        </w:rPr>
        <w:t>/</w:t>
      </w:r>
      <w:r>
        <w:t>日。</w:t>
      </w:r>
    </w:p>
    <w:p>
      <w:pPr>
        <w:pStyle w:val="4"/>
        <w:numPr>
          <w:ilvl w:val="2"/>
          <w:numId w:val="36"/>
        </w:numPr>
        <w:tabs>
          <w:tab w:val="left" w:pos="1141"/>
        </w:tabs>
        <w:spacing w:before="0" w:after="0" w:line="240" w:lineRule="auto"/>
        <w:ind w:left="1140" w:right="0" w:hanging="630"/>
        <w:jc w:val="left"/>
      </w:pPr>
      <w:bookmarkStart w:id="133" w:name="4.1.5土壤"/>
      <w:bookmarkEnd w:id="133"/>
      <w:bookmarkStart w:id="134" w:name="4.1.5土壤"/>
      <w:bookmarkEnd w:id="134"/>
      <w:r>
        <w:t>土壤</w:t>
      </w:r>
    </w:p>
    <w:p>
      <w:pPr>
        <w:pStyle w:val="6"/>
        <w:spacing w:before="183" w:line="364" w:lineRule="auto"/>
        <w:ind w:left="511" w:right="409" w:firstLine="480"/>
      </w:pPr>
      <w:r>
        <w:rPr>
          <w:spacing w:val="-9"/>
        </w:rPr>
        <w:t xml:space="preserve">双鸭山市有 </w:t>
      </w:r>
      <w:r>
        <w:rPr>
          <w:rFonts w:ascii="Times New Roman" w:eastAsia="Times New Roman"/>
        </w:rPr>
        <w:t>8</w:t>
      </w:r>
      <w:r>
        <w:rPr>
          <w:rFonts w:ascii="Times New Roman" w:eastAsia="Times New Roman"/>
          <w:spacing w:val="8"/>
        </w:rPr>
        <w:t xml:space="preserve"> </w:t>
      </w:r>
      <w:r>
        <w:t>种土类、</w:t>
      </w:r>
      <w:r>
        <w:rPr>
          <w:rFonts w:ascii="Times New Roman" w:eastAsia="Times New Roman"/>
        </w:rPr>
        <w:t>19</w:t>
      </w:r>
      <w:r>
        <w:rPr>
          <w:rFonts w:ascii="Times New Roman" w:eastAsia="Times New Roman"/>
          <w:spacing w:val="7"/>
        </w:rPr>
        <w:t xml:space="preserve"> </w:t>
      </w:r>
      <w:r>
        <w:t>个亚类、</w:t>
      </w:r>
      <w:r>
        <w:rPr>
          <w:rFonts w:ascii="Times New Roman" w:eastAsia="Times New Roman"/>
        </w:rPr>
        <w:t>15</w:t>
      </w:r>
      <w:r>
        <w:rPr>
          <w:rFonts w:ascii="Times New Roman" w:eastAsia="Times New Roman"/>
          <w:spacing w:val="8"/>
        </w:rPr>
        <w:t xml:space="preserve"> </w:t>
      </w:r>
      <w:r>
        <w:t>个土属、</w:t>
      </w:r>
      <w:r>
        <w:rPr>
          <w:rFonts w:ascii="Times New Roman" w:eastAsia="Times New Roman"/>
        </w:rPr>
        <w:t>44</w:t>
      </w:r>
      <w:r>
        <w:rPr>
          <w:rFonts w:ascii="Times New Roman" w:eastAsia="Times New Roman"/>
          <w:spacing w:val="7"/>
        </w:rPr>
        <w:t xml:space="preserve"> </w:t>
      </w:r>
      <w:r>
        <w:t>个土种。按面积大小排次</w:t>
      </w:r>
      <w:r>
        <w:rPr>
          <w:spacing w:val="-13"/>
        </w:rPr>
        <w:t xml:space="preserve">为：草甸土，分布在北部和南部的平原区，占全区土地面积的 </w:t>
      </w:r>
      <w:r>
        <w:rPr>
          <w:rFonts w:ascii="Times New Roman" w:eastAsia="Times New Roman"/>
          <w:spacing w:val="-7"/>
        </w:rPr>
        <w:t>43.2%</w:t>
      </w:r>
      <w:r>
        <w:rPr>
          <w:spacing w:val="-18"/>
        </w:rPr>
        <w:t xml:space="preserve">，其中 </w:t>
      </w:r>
      <w:r>
        <w:rPr>
          <w:rFonts w:ascii="Times New Roman" w:eastAsia="Times New Roman"/>
        </w:rPr>
        <w:t xml:space="preserve">78.8% </w:t>
      </w:r>
      <w:r>
        <w:rPr>
          <w:spacing w:val="-11"/>
        </w:rPr>
        <w:t xml:space="preserve">开垦成耕地；黑土，分布在中和中南部缓坡漫岗地带，占全区土地面积的 </w:t>
      </w:r>
      <w:r>
        <w:rPr>
          <w:rFonts w:ascii="Times New Roman" w:eastAsia="Times New Roman"/>
          <w:spacing w:val="-4"/>
        </w:rPr>
        <w:t>32.6%</w:t>
      </w:r>
      <w:r>
        <w:rPr>
          <w:spacing w:val="-4"/>
        </w:rPr>
        <w:t xml:space="preserve">， </w:t>
      </w:r>
      <w:r>
        <w:rPr>
          <w:spacing w:val="-17"/>
        </w:rPr>
        <w:t xml:space="preserve">其中 </w:t>
      </w:r>
      <w:r>
        <w:rPr>
          <w:rFonts w:ascii="Times New Roman" w:eastAsia="Times New Roman"/>
        </w:rPr>
        <w:t>78.8%</w:t>
      </w:r>
      <w:r>
        <w:t>开垦成耕地；暗棕土壤，分布在西和西南部低山丘区，占全区土地面</w:t>
      </w:r>
      <w:r>
        <w:rPr>
          <w:spacing w:val="-21"/>
        </w:rPr>
        <w:t xml:space="preserve">积的 </w:t>
      </w:r>
      <w:r>
        <w:rPr>
          <w:rFonts w:ascii="Times New Roman" w:eastAsia="Times New Roman"/>
        </w:rPr>
        <w:t>18.8%</w:t>
      </w:r>
      <w:r>
        <w:rPr>
          <w:spacing w:val="-16"/>
        </w:rPr>
        <w:t xml:space="preserve">，其中 </w:t>
      </w:r>
      <w:r>
        <w:rPr>
          <w:rFonts w:ascii="Times New Roman" w:eastAsia="Times New Roman"/>
        </w:rPr>
        <w:t>4.4%</w:t>
      </w:r>
      <w:r>
        <w:rPr>
          <w:spacing w:val="-4"/>
        </w:rPr>
        <w:t>开垦成耕地；白浆土，分布在山下缓坡漫岗地带，占全区</w:t>
      </w:r>
      <w:r>
        <w:rPr>
          <w:spacing w:val="-14"/>
        </w:rPr>
        <w:t xml:space="preserve">土地面积的 </w:t>
      </w:r>
      <w:r>
        <w:rPr>
          <w:rFonts w:ascii="Times New Roman" w:eastAsia="Times New Roman"/>
          <w:spacing w:val="-3"/>
        </w:rPr>
        <w:t>1.0%</w:t>
      </w:r>
      <w:r>
        <w:rPr>
          <w:spacing w:val="-16"/>
        </w:rPr>
        <w:t xml:space="preserve">，其中 </w:t>
      </w:r>
      <w:r>
        <w:rPr>
          <w:rFonts w:ascii="Times New Roman" w:eastAsia="Times New Roman"/>
        </w:rPr>
        <w:t>50.0%</w:t>
      </w:r>
      <w:r>
        <w:rPr>
          <w:spacing w:val="-4"/>
        </w:rPr>
        <w:t>开垦成耕地；沼泽地，分布在低湿沼泽地，占全区</w:t>
      </w:r>
      <w:r>
        <w:rPr>
          <w:spacing w:val="-15"/>
        </w:rPr>
        <w:t xml:space="preserve">土地面积的 </w:t>
      </w:r>
      <w:r>
        <w:rPr>
          <w:rFonts w:ascii="Times New Roman" w:eastAsia="Times New Roman"/>
        </w:rPr>
        <w:t>0.31%</w:t>
      </w:r>
      <w:r>
        <w:rPr>
          <w:spacing w:val="-7"/>
        </w:rPr>
        <w:t xml:space="preserve">；泥炭土，分布在沼泽地，占全区土地面积的 </w:t>
      </w:r>
      <w:r>
        <w:rPr>
          <w:rFonts w:ascii="Times New Roman" w:eastAsia="Times New Roman"/>
        </w:rPr>
        <w:t>0.30%</w:t>
      </w:r>
      <w:r>
        <w:rPr>
          <w:spacing w:val="-3"/>
        </w:rPr>
        <w:t xml:space="preserve">；水稻土， </w:t>
      </w:r>
      <w:r>
        <w:rPr>
          <w:spacing w:val="-7"/>
        </w:rPr>
        <w:t xml:space="preserve">占全区土地面积的 </w:t>
      </w:r>
      <w:r>
        <w:rPr>
          <w:rFonts w:ascii="Times New Roman" w:eastAsia="Times New Roman"/>
        </w:rPr>
        <w:t>1.0%</w:t>
      </w:r>
      <w:r>
        <w:t>。</w:t>
      </w:r>
    </w:p>
    <w:p>
      <w:pPr>
        <w:pStyle w:val="6"/>
        <w:spacing w:line="364" w:lineRule="auto"/>
        <w:ind w:left="511" w:right="533" w:firstLine="480"/>
        <w:jc w:val="both"/>
      </w:pPr>
      <w:r>
        <w:t xml:space="preserve">根据黑龙江省土壤分布图同时结合项目区实际情况。判定项目区土壤为暗棕壤及黑土，土壤肥力较高，质地比较粘重，大多为壤质粘土或粘壤土，部分为砂质粘土，个别含砾石，持水性较好。项目区耕层较厚，肥力较好，养分丰富，有机质含量 </w:t>
      </w:r>
      <w:r>
        <w:rPr>
          <w:rFonts w:ascii="Times New Roman" w:eastAsia="Times New Roman"/>
        </w:rPr>
        <w:t>265g/kg</w:t>
      </w:r>
      <w:r>
        <w:t xml:space="preserve">，全氮 </w:t>
      </w:r>
      <w:r>
        <w:rPr>
          <w:rFonts w:ascii="Times New Roman" w:eastAsia="Times New Roman"/>
        </w:rPr>
        <w:t>10.2g/kg</w:t>
      </w:r>
      <w:r>
        <w:t xml:space="preserve">，全磷 </w:t>
      </w:r>
      <w:r>
        <w:rPr>
          <w:rFonts w:ascii="Times New Roman" w:eastAsia="Times New Roman"/>
        </w:rPr>
        <w:t>0.6g/kg</w:t>
      </w:r>
      <w:r>
        <w:t xml:space="preserve">，全钾 </w:t>
      </w:r>
      <w:r>
        <w:rPr>
          <w:rFonts w:ascii="Times New Roman" w:eastAsia="Times New Roman"/>
        </w:rPr>
        <w:t>28.0g/kg</w:t>
      </w:r>
      <w:r>
        <w:t>。</w:t>
      </w:r>
    </w:p>
    <w:p>
      <w:pPr>
        <w:pStyle w:val="6"/>
        <w:spacing w:line="362" w:lineRule="auto"/>
        <w:ind w:left="511" w:right="529" w:firstLine="480"/>
        <w:jc w:val="both"/>
      </w:pPr>
      <w:r>
        <w:rPr>
          <w:spacing w:val="-3"/>
        </w:rPr>
        <w:t xml:space="preserve">项目区内以有林地为主，土壤一般厚 </w:t>
      </w:r>
      <w:r>
        <w:rPr>
          <w:rFonts w:ascii="Times New Roman" w:eastAsia="Times New Roman"/>
        </w:rPr>
        <w:t>0.5-1.0m</w:t>
      </w:r>
      <w:r>
        <w:t>，上部为黑色腐殖土，其下部位黄色亚粘土。</w:t>
      </w:r>
    </w:p>
    <w:p>
      <w:pPr>
        <w:pStyle w:val="4"/>
        <w:numPr>
          <w:ilvl w:val="2"/>
          <w:numId w:val="36"/>
        </w:numPr>
        <w:tabs>
          <w:tab w:val="left" w:pos="1141"/>
        </w:tabs>
        <w:spacing w:before="1" w:after="0" w:line="240" w:lineRule="auto"/>
        <w:ind w:left="1140" w:right="0" w:hanging="630"/>
        <w:jc w:val="left"/>
      </w:pPr>
      <w:bookmarkStart w:id="135" w:name="4.1.6植物植被"/>
      <w:bookmarkEnd w:id="135"/>
      <w:bookmarkStart w:id="136" w:name="4.1.6植物植被"/>
      <w:bookmarkEnd w:id="136"/>
      <w:r>
        <w:t>植物植被</w:t>
      </w:r>
    </w:p>
    <w:p>
      <w:pPr>
        <w:pStyle w:val="6"/>
        <w:spacing w:before="185" w:line="362" w:lineRule="auto"/>
        <w:ind w:left="511" w:right="529" w:firstLine="480"/>
        <w:jc w:val="both"/>
      </w:pPr>
      <w:r>
        <w:rPr>
          <w:spacing w:val="-1"/>
        </w:rPr>
        <w:t>双鸭山市属长白植物区系，为低湿平原区以低山丘陵区，分布有森林植被。</w:t>
      </w:r>
      <w:r>
        <w:rPr>
          <w:spacing w:val="-7"/>
        </w:rPr>
        <w:t xml:space="preserve">双鸭山市森林覆盖率 </w:t>
      </w:r>
      <w:r>
        <w:rPr>
          <w:rFonts w:ascii="Times New Roman" w:eastAsia="Times New Roman"/>
        </w:rPr>
        <w:t>40%</w:t>
      </w:r>
      <w:r>
        <w:rPr>
          <w:spacing w:val="-13"/>
        </w:rPr>
        <w:t xml:space="preserve">。地方林业系统共有 </w:t>
      </w:r>
      <w:r>
        <w:rPr>
          <w:rFonts w:ascii="Times New Roman" w:eastAsia="Times New Roman"/>
        </w:rPr>
        <w:t xml:space="preserve">23 </w:t>
      </w:r>
      <w:r>
        <w:rPr>
          <w:spacing w:val="-11"/>
        </w:rPr>
        <w:t xml:space="preserve">个国有林场，森林面积 </w:t>
      </w:r>
      <w:r>
        <w:rPr>
          <w:rFonts w:ascii="Times New Roman" w:eastAsia="Times New Roman"/>
        </w:rPr>
        <w:t xml:space="preserve">26.37 </w:t>
      </w:r>
      <w:r>
        <w:rPr>
          <w:spacing w:val="-15"/>
        </w:rPr>
        <w:t>万</w:t>
      </w:r>
    </w:p>
    <w:p>
      <w:pPr>
        <w:pStyle w:val="6"/>
        <w:spacing w:before="5" w:line="364" w:lineRule="auto"/>
        <w:ind w:left="511" w:right="533"/>
        <w:jc w:val="both"/>
      </w:pPr>
      <w:r>
        <w:rPr>
          <w:spacing w:val="-4"/>
        </w:rPr>
        <w:t xml:space="preserve">公顷，活立木总蓄积量 </w:t>
      </w:r>
      <w:r>
        <w:rPr>
          <w:rFonts w:ascii="Times New Roman" w:eastAsia="Times New Roman"/>
        </w:rPr>
        <w:t>1761.53</w:t>
      </w:r>
      <w:r>
        <w:rPr>
          <w:rFonts w:ascii="Times New Roman" w:eastAsia="Times New Roman"/>
          <w:spacing w:val="22"/>
        </w:rPr>
        <w:t xml:space="preserve"> </w:t>
      </w:r>
      <w:r>
        <w:t>万立方米。植被类型为温带针阔叶混交林，主要</w:t>
      </w:r>
      <w:r>
        <w:rPr>
          <w:spacing w:val="-1"/>
        </w:rPr>
        <w:t>树种有落叶松、樟子松、红松、云杉、槭树、色树、椴树、榆树、桦树、杨树、胡桃楸、水曲柳、黄菠萝等。食用的真菌类有黑木耳，猴头蘑、元蘑、榛蘑等；</w:t>
      </w:r>
    </w:p>
    <w:p>
      <w:pPr>
        <w:spacing w:after="0" w:line="364" w:lineRule="auto"/>
        <w:jc w:val="both"/>
        <w:sectPr>
          <w:pgSz w:w="11910" w:h="16840"/>
          <w:pgMar w:top="1360" w:right="1220" w:bottom="1180" w:left="1240" w:header="0" w:footer="997" w:gutter="0"/>
        </w:sectPr>
      </w:pPr>
    </w:p>
    <w:p>
      <w:pPr>
        <w:pStyle w:val="6"/>
        <w:spacing w:before="43" w:line="364" w:lineRule="auto"/>
        <w:ind w:left="511" w:right="413"/>
      </w:pPr>
      <w:r>
        <w:t>山野菜类有蕨菜、黄花菜、黄瓜香、剌嫩芽；山产品有榛子、橡子、松树籽、山葡萄、猕猴桃、黑加伦、山核桃。野生药用植物主要有五味子、山花、龙胆草、</w:t>
      </w:r>
      <w:r>
        <w:rPr>
          <w:spacing w:val="-13"/>
        </w:rPr>
        <w:t>人参、平贝、剌五加、满山红、黄柏、赤芍、升麻、桔梗、白鲜皮、苍术、贯仲、</w:t>
      </w:r>
      <w:r>
        <w:rPr>
          <w:spacing w:val="-15"/>
        </w:rPr>
        <w:t xml:space="preserve">木贼等 </w:t>
      </w:r>
      <w:r>
        <w:rPr>
          <w:rFonts w:ascii="Times New Roman" w:eastAsia="Times New Roman"/>
        </w:rPr>
        <w:t xml:space="preserve">150 </w:t>
      </w:r>
      <w:r>
        <w:rPr>
          <w:spacing w:val="-8"/>
        </w:rPr>
        <w:t xml:space="preserve">余种，常用的有 </w:t>
      </w:r>
      <w:r>
        <w:rPr>
          <w:rFonts w:ascii="Times New Roman" w:eastAsia="Times New Roman"/>
        </w:rPr>
        <w:t xml:space="preserve">60 </w:t>
      </w:r>
      <w:r>
        <w:t>余种。</w:t>
      </w:r>
    </w:p>
    <w:p>
      <w:pPr>
        <w:pStyle w:val="6"/>
        <w:spacing w:before="76" w:line="364" w:lineRule="auto"/>
        <w:ind w:left="511" w:right="533" w:firstLine="600"/>
        <w:jc w:val="both"/>
      </w:pPr>
      <w:r>
        <w:t>项目区属小兴安岭</w:t>
      </w:r>
      <w:r>
        <w:rPr>
          <w:rFonts w:ascii="Times New Roman" w:hAnsi="Times New Roman" w:eastAsia="Times New Roman"/>
        </w:rPr>
        <w:t>-</w:t>
      </w:r>
      <w:r>
        <w:t>老爷岭植物区、穆棱</w:t>
      </w:r>
      <w:r>
        <w:rPr>
          <w:rFonts w:ascii="Times New Roman" w:hAnsi="Times New Roman" w:eastAsia="Times New Roman"/>
        </w:rPr>
        <w:t>—</w:t>
      </w:r>
      <w:r>
        <w:t>三江平原亚区，生长着丰富的针叶和阔叶林。林中主要树种有蒙古栎、紫椴、糠椴、黄菠萝、水曲柳、色木槭、胡桃楸、白桦、山杨、春榆、黄榆等，下木有毛榛子、胡枝子、杜鹃。主要草本植物有：小叶樟、广布野碗豆、小白花地榆、黄花菜、银莲花、啮叶凤毛菊、蚊子草、紫苑、走马芹等；局部低洼地段有水毛莨、小叶樟、芦苇、沼柳等。项目区范围有部份耕地，以旱地农作物为主，主要种植大豆、玉米等农作物。</w:t>
      </w:r>
    </w:p>
    <w:p>
      <w:pPr>
        <w:pStyle w:val="3"/>
        <w:numPr>
          <w:ilvl w:val="1"/>
          <w:numId w:val="36"/>
        </w:numPr>
        <w:tabs>
          <w:tab w:val="left" w:pos="961"/>
        </w:tabs>
        <w:spacing w:before="42" w:after="0" w:line="240" w:lineRule="auto"/>
        <w:ind w:left="960" w:right="0" w:hanging="450"/>
        <w:jc w:val="left"/>
      </w:pPr>
      <w:bookmarkStart w:id="137" w:name="4.2敏感目标调查"/>
      <w:bookmarkEnd w:id="137"/>
      <w:bookmarkStart w:id="138" w:name="_bookmark22"/>
      <w:bookmarkEnd w:id="138"/>
      <w:bookmarkStart w:id="139" w:name="_bookmark22"/>
      <w:bookmarkEnd w:id="139"/>
      <w:r>
        <w:t>敏感目标调查</w:t>
      </w:r>
    </w:p>
    <w:p>
      <w:pPr>
        <w:pStyle w:val="6"/>
        <w:spacing w:before="123" w:line="364" w:lineRule="auto"/>
        <w:ind w:left="511" w:right="529" w:firstLine="480"/>
        <w:jc w:val="right"/>
      </w:pPr>
      <w:r>
        <w:t>调查过程：根据《建设项目环境影响评价技术导则总纲》（</w:t>
      </w:r>
      <w:r>
        <w:rPr>
          <w:rFonts w:ascii="Times New Roman" w:eastAsia="Times New Roman"/>
        </w:rPr>
        <w:t>HJ2.1-2016</w:t>
      </w:r>
      <w:r>
        <w:t>）， 环境保护目标调查应调查评价范围内的环境功能区划和主要的环境敏感区，详细了解环境保护目标的地理位置、服务功能、四至范围、保护对象和保护要求等。为了保护本项目所在区域环境空气、生态、地下水质量及地表水体，应贯彻</w:t>
      </w:r>
    </w:p>
    <w:p>
      <w:pPr>
        <w:pStyle w:val="6"/>
        <w:spacing w:line="362" w:lineRule="auto"/>
        <w:ind w:left="511" w:right="527"/>
      </w:pPr>
      <w:r>
        <w:t>污染源治理</w:t>
      </w:r>
      <w:r>
        <w:rPr>
          <w:rFonts w:ascii="Times New Roman" w:hAnsi="Times New Roman" w:eastAsia="Times New Roman"/>
        </w:rPr>
        <w:t>“</w:t>
      </w:r>
      <w:r>
        <w:t>达标排放</w:t>
      </w:r>
      <w:r>
        <w:rPr>
          <w:rFonts w:ascii="Times New Roman" w:hAnsi="Times New Roman" w:eastAsia="Times New Roman"/>
        </w:rPr>
        <w:t>”</w:t>
      </w:r>
      <w:r>
        <w:t>、</w:t>
      </w:r>
      <w:r>
        <w:rPr>
          <w:rFonts w:ascii="Times New Roman" w:hAnsi="Times New Roman" w:eastAsia="Times New Roman"/>
        </w:rPr>
        <w:t>“</w:t>
      </w:r>
      <w:r>
        <w:t>总量控制</w:t>
      </w:r>
      <w:r>
        <w:rPr>
          <w:rFonts w:ascii="Times New Roman" w:hAnsi="Times New Roman" w:eastAsia="Times New Roman"/>
        </w:rPr>
        <w:t>”</w:t>
      </w:r>
      <w:r>
        <w:t>、</w:t>
      </w:r>
      <w:r>
        <w:rPr>
          <w:rFonts w:ascii="Times New Roman" w:hAnsi="Times New Roman" w:eastAsia="Times New Roman"/>
        </w:rPr>
        <w:t>“</w:t>
      </w:r>
      <w:r>
        <w:t>清洁生产</w:t>
      </w:r>
      <w:r>
        <w:rPr>
          <w:rFonts w:ascii="Times New Roman" w:hAnsi="Times New Roman" w:eastAsia="Times New Roman"/>
        </w:rPr>
        <w:t>”</w:t>
      </w:r>
      <w:r>
        <w:t>的原则，提出切实可行的污染防治方案，以减少对纳污环境的污染负荷。</w:t>
      </w:r>
    </w:p>
    <w:p>
      <w:pPr>
        <w:spacing w:after="0" w:line="362" w:lineRule="auto"/>
        <w:sectPr>
          <w:pgSz w:w="11910" w:h="16840"/>
          <w:pgMar w:top="1380" w:right="1220" w:bottom="1180" w:left="1240" w:header="0" w:footer="997" w:gutter="0"/>
        </w:sectPr>
      </w:pPr>
    </w:p>
    <w:p>
      <w:pPr>
        <w:pStyle w:val="2"/>
        <w:numPr>
          <w:ilvl w:val="1"/>
          <w:numId w:val="18"/>
        </w:numPr>
        <w:tabs>
          <w:tab w:val="left" w:pos="2142"/>
        </w:tabs>
        <w:spacing w:before="43" w:after="0" w:line="240" w:lineRule="auto"/>
        <w:ind w:left="2141" w:right="15" w:hanging="2142"/>
        <w:jc w:val="left"/>
      </w:pPr>
      <w:bookmarkStart w:id="140" w:name="_bookmark23"/>
      <w:bookmarkEnd w:id="140"/>
      <w:bookmarkStart w:id="141" w:name="5.地表沉陷预测及生态环境影响评价"/>
      <w:bookmarkEnd w:id="141"/>
      <w:bookmarkStart w:id="142" w:name="_bookmark23"/>
      <w:bookmarkEnd w:id="142"/>
      <w:r>
        <w:t>地表沉陷预测及生态环境影响评价</w:t>
      </w:r>
    </w:p>
    <w:p>
      <w:pPr>
        <w:pStyle w:val="3"/>
        <w:numPr>
          <w:ilvl w:val="1"/>
          <w:numId w:val="38"/>
        </w:numPr>
        <w:tabs>
          <w:tab w:val="left" w:pos="961"/>
        </w:tabs>
        <w:spacing w:before="357" w:after="0" w:line="240" w:lineRule="auto"/>
        <w:ind w:left="960" w:right="0" w:hanging="450"/>
        <w:jc w:val="left"/>
      </w:pPr>
      <w:bookmarkStart w:id="143" w:name="5.1生态环境现状调查与评价"/>
      <w:bookmarkEnd w:id="143"/>
      <w:bookmarkStart w:id="144" w:name="_bookmark24"/>
      <w:bookmarkEnd w:id="144"/>
      <w:bookmarkStart w:id="145" w:name="_bookmark24"/>
      <w:bookmarkEnd w:id="145"/>
      <w:r>
        <w:t>生态环境现状调查与评价</w:t>
      </w:r>
    </w:p>
    <w:p>
      <w:pPr>
        <w:pStyle w:val="6"/>
        <w:spacing w:before="184" w:line="340" w:lineRule="auto"/>
        <w:ind w:left="511" w:right="529" w:firstLine="482"/>
      </w:pPr>
      <w:r>
        <w:t>根据实地调查，矿区内以有林地为主，其次为旱地、采矿用地和农村道路， 还有少量的其他园地、河流、坑塘水面、村庄和裸地。</w:t>
      </w:r>
    </w:p>
    <w:p>
      <w:pPr>
        <w:pStyle w:val="6"/>
        <w:spacing w:before="1"/>
        <w:ind w:left="994"/>
      </w:pPr>
      <w:r>
        <w:t xml:space="preserve">大顺煤矿属井工煤矿，项目矿区土地总面积为 </w:t>
      </w:r>
      <w:r>
        <w:rPr>
          <w:rFonts w:ascii="Times New Roman" w:eastAsia="Times New Roman"/>
        </w:rPr>
        <w:t xml:space="preserve">330.8979 </w:t>
      </w:r>
      <w:r>
        <w:t>公顷。其中：旱地面</w:t>
      </w:r>
    </w:p>
    <w:p>
      <w:pPr>
        <w:pStyle w:val="6"/>
        <w:spacing w:before="129" w:line="340" w:lineRule="auto"/>
        <w:ind w:left="511" w:right="407"/>
      </w:pPr>
      <w:r>
        <w:rPr>
          <w:spacing w:val="-21"/>
        </w:rPr>
        <w:t xml:space="preserve">积为 </w:t>
      </w:r>
      <w:r>
        <w:rPr>
          <w:rFonts w:ascii="Times New Roman" w:eastAsia="Times New Roman"/>
        </w:rPr>
        <w:t xml:space="preserve">55.9479 </w:t>
      </w:r>
      <w:r>
        <w:rPr>
          <w:spacing w:val="-15"/>
        </w:rPr>
        <w:t xml:space="preserve">公顷，占项目区内土地总面积的 </w:t>
      </w:r>
      <w:r>
        <w:rPr>
          <w:rFonts w:ascii="Times New Roman" w:eastAsia="Times New Roman"/>
          <w:spacing w:val="-14"/>
        </w:rPr>
        <w:t>16.91%</w:t>
      </w:r>
      <w:r>
        <w:rPr>
          <w:spacing w:val="-12"/>
        </w:rPr>
        <w:t xml:space="preserve">；其他果园面积 </w:t>
      </w:r>
      <w:r>
        <w:rPr>
          <w:rFonts w:ascii="Times New Roman" w:eastAsia="Times New Roman"/>
        </w:rPr>
        <w:t xml:space="preserve">1.1141 </w:t>
      </w:r>
      <w:r>
        <w:rPr>
          <w:spacing w:val="-4"/>
        </w:rPr>
        <w:t xml:space="preserve">公顷， </w:t>
      </w:r>
      <w:r>
        <w:rPr>
          <w:spacing w:val="-6"/>
        </w:rPr>
        <w:t xml:space="preserve">占项目区内土地总面积的 </w:t>
      </w:r>
      <w:r>
        <w:rPr>
          <w:rFonts w:ascii="Times New Roman" w:eastAsia="Times New Roman"/>
        </w:rPr>
        <w:t>0.34%</w:t>
      </w:r>
      <w:r>
        <w:rPr>
          <w:spacing w:val="-8"/>
        </w:rPr>
        <w:t xml:space="preserve">；有林地面积为 </w:t>
      </w:r>
      <w:r>
        <w:rPr>
          <w:rFonts w:ascii="Times New Roman" w:eastAsia="Times New Roman"/>
        </w:rPr>
        <w:t xml:space="preserve">226.7994 </w:t>
      </w:r>
      <w:r>
        <w:rPr>
          <w:spacing w:val="-3"/>
        </w:rPr>
        <w:t>公顷，占项目区内土地</w:t>
      </w:r>
      <w:r>
        <w:rPr>
          <w:spacing w:val="6"/>
        </w:rPr>
        <w:t>总面积的</w:t>
      </w:r>
      <w:r>
        <w:rPr>
          <w:rFonts w:ascii="Times New Roman" w:eastAsia="Times New Roman"/>
        </w:rPr>
        <w:t>68.54</w:t>
      </w:r>
      <w:r>
        <w:rPr>
          <w:rFonts w:ascii="Times New Roman" w:eastAsia="Times New Roman"/>
          <w:spacing w:val="-1"/>
        </w:rPr>
        <w:t>%</w:t>
      </w:r>
      <w:r>
        <w:rPr>
          <w:spacing w:val="-12"/>
        </w:rPr>
        <w:t>；农村道路面积为</w:t>
      </w:r>
      <w:r>
        <w:rPr>
          <w:rFonts w:ascii="Times New Roman" w:eastAsia="Times New Roman"/>
        </w:rPr>
        <w:t xml:space="preserve">10.9999 </w:t>
      </w:r>
      <w:r>
        <w:rPr>
          <w:spacing w:val="-9"/>
        </w:rPr>
        <w:t>公顷，占项目区内土地总面积的</w:t>
      </w:r>
      <w:r>
        <w:rPr>
          <w:rFonts w:ascii="Times New Roman" w:eastAsia="Times New Roman"/>
          <w:spacing w:val="-3"/>
        </w:rPr>
        <w:t>3.32</w:t>
      </w:r>
      <w:r>
        <w:rPr>
          <w:rFonts w:ascii="Times New Roman" w:eastAsia="Times New Roman"/>
          <w:spacing w:val="-2"/>
        </w:rPr>
        <w:t>%</w:t>
      </w:r>
      <w:r>
        <w:rPr>
          <w:spacing w:val="-3"/>
        </w:rPr>
        <w:t>；</w:t>
      </w:r>
      <w:r>
        <w:rPr>
          <w:spacing w:val="-11"/>
        </w:rPr>
        <w:t xml:space="preserve">河流面积为 </w:t>
      </w:r>
      <w:r>
        <w:rPr>
          <w:rFonts w:ascii="Times New Roman" w:eastAsia="Times New Roman"/>
        </w:rPr>
        <w:t xml:space="preserve">0.6426 </w:t>
      </w:r>
      <w:r>
        <w:rPr>
          <w:spacing w:val="-16"/>
        </w:rPr>
        <w:t xml:space="preserve">公顷，占项目区内土地总面积的 </w:t>
      </w:r>
      <w:r>
        <w:rPr>
          <w:rFonts w:ascii="Times New Roman" w:eastAsia="Times New Roman"/>
        </w:rPr>
        <w:t>0.19</w:t>
      </w:r>
      <w:r>
        <w:rPr>
          <w:rFonts w:ascii="Times New Roman" w:eastAsia="Times New Roman"/>
          <w:spacing w:val="-1"/>
        </w:rPr>
        <w:t>%</w:t>
      </w:r>
      <w:r>
        <w:rPr>
          <w:spacing w:val="-22"/>
        </w:rPr>
        <w:t xml:space="preserve">；坑塘水面面积为 </w:t>
      </w:r>
      <w:r>
        <w:rPr>
          <w:rFonts w:ascii="Times New Roman" w:eastAsia="Times New Roman"/>
        </w:rPr>
        <w:t>7.4426</w:t>
      </w:r>
      <w:r>
        <w:rPr>
          <w:spacing w:val="-7"/>
        </w:rPr>
        <w:t xml:space="preserve">公顷，占项目区内土地总面积的 </w:t>
      </w:r>
      <w:r>
        <w:rPr>
          <w:rFonts w:ascii="Times New Roman" w:eastAsia="Times New Roman"/>
        </w:rPr>
        <w:t>2.25%</w:t>
      </w:r>
      <w:r>
        <w:rPr>
          <w:spacing w:val="-9"/>
        </w:rPr>
        <w:t xml:space="preserve">；裸地面积为 </w:t>
      </w:r>
      <w:r>
        <w:rPr>
          <w:rFonts w:ascii="Times New Roman" w:eastAsia="Times New Roman"/>
        </w:rPr>
        <w:t xml:space="preserve">1.6841 </w:t>
      </w:r>
      <w:r>
        <w:rPr>
          <w:spacing w:val="-3"/>
        </w:rPr>
        <w:t>公顷，占项目区内土</w:t>
      </w:r>
      <w:r>
        <w:rPr>
          <w:spacing w:val="4"/>
        </w:rPr>
        <w:t>地总面积的</w:t>
      </w:r>
      <w:r>
        <w:rPr>
          <w:rFonts w:ascii="Times New Roman" w:eastAsia="Times New Roman"/>
        </w:rPr>
        <w:t>0.51</w:t>
      </w:r>
      <w:r>
        <w:rPr>
          <w:rFonts w:ascii="Times New Roman" w:eastAsia="Times New Roman"/>
          <w:spacing w:val="-1"/>
        </w:rPr>
        <w:t>%</w:t>
      </w:r>
      <w:r>
        <w:rPr>
          <w:spacing w:val="-12"/>
        </w:rPr>
        <w:t>；村庄用地面积为</w:t>
      </w:r>
      <w:r>
        <w:rPr>
          <w:rFonts w:ascii="Times New Roman" w:eastAsia="Times New Roman"/>
        </w:rPr>
        <w:t xml:space="preserve">4.1245 </w:t>
      </w:r>
      <w:r>
        <w:rPr>
          <w:spacing w:val="-9"/>
        </w:rPr>
        <w:t>公顷，占项目区内土地总面积的</w:t>
      </w:r>
      <w:r>
        <w:rPr>
          <w:rFonts w:ascii="Times New Roman" w:eastAsia="Times New Roman"/>
          <w:spacing w:val="-3"/>
        </w:rPr>
        <w:t>1.25</w:t>
      </w:r>
      <w:r>
        <w:rPr>
          <w:rFonts w:ascii="Times New Roman" w:eastAsia="Times New Roman"/>
          <w:spacing w:val="-2"/>
        </w:rPr>
        <w:t>%</w:t>
      </w:r>
      <w:r>
        <w:rPr>
          <w:spacing w:val="-3"/>
        </w:rPr>
        <w:t>；</w:t>
      </w:r>
      <w:r>
        <w:rPr>
          <w:spacing w:val="-8"/>
        </w:rPr>
        <w:t xml:space="preserve">采矿用地面积为 </w:t>
      </w:r>
      <w:r>
        <w:rPr>
          <w:rFonts w:ascii="Times New Roman" w:eastAsia="Times New Roman"/>
        </w:rPr>
        <w:t xml:space="preserve">22.1427 </w:t>
      </w:r>
      <w:r>
        <w:rPr>
          <w:spacing w:val="-4"/>
        </w:rPr>
        <w:t xml:space="preserve">公顷，占项目区内土地总面积的 </w:t>
      </w:r>
      <w:r>
        <w:rPr>
          <w:rFonts w:ascii="Times New Roman" w:eastAsia="Times New Roman"/>
        </w:rPr>
        <w:t>6.69%</w:t>
      </w:r>
      <w:r>
        <w:t>。</w:t>
      </w:r>
    </w:p>
    <w:p>
      <w:pPr>
        <w:pStyle w:val="4"/>
        <w:numPr>
          <w:ilvl w:val="2"/>
          <w:numId w:val="38"/>
        </w:numPr>
        <w:tabs>
          <w:tab w:val="left" w:pos="1141"/>
        </w:tabs>
        <w:spacing w:before="0" w:after="0" w:line="298" w:lineRule="exact"/>
        <w:ind w:left="1140" w:right="0" w:hanging="630"/>
        <w:jc w:val="left"/>
      </w:pPr>
      <w:bookmarkStart w:id="146" w:name="5.1.1植被现状"/>
      <w:bookmarkEnd w:id="146"/>
      <w:bookmarkStart w:id="147" w:name="5.1.1植被现状"/>
      <w:bookmarkEnd w:id="147"/>
      <w:r>
        <w:t>植被现状</w:t>
      </w:r>
    </w:p>
    <w:p>
      <w:pPr>
        <w:pStyle w:val="5"/>
        <w:numPr>
          <w:ilvl w:val="3"/>
          <w:numId w:val="38"/>
        </w:numPr>
        <w:tabs>
          <w:tab w:val="left" w:pos="1292"/>
        </w:tabs>
        <w:spacing w:before="264" w:after="0" w:line="240" w:lineRule="auto"/>
        <w:ind w:left="1292" w:right="0" w:hanging="781"/>
        <w:jc w:val="left"/>
      </w:pPr>
      <w:r>
        <w:t>植被类型与分布</w:t>
      </w:r>
    </w:p>
    <w:p>
      <w:pPr>
        <w:pStyle w:val="6"/>
        <w:spacing w:before="223" w:line="374" w:lineRule="auto"/>
        <w:ind w:left="511" w:right="529" w:firstLine="480"/>
        <w:jc w:val="both"/>
      </w:pPr>
      <w:r>
        <w:drawing>
          <wp:anchor distT="0" distB="0" distL="0" distR="0" simplePos="0" relativeHeight="214159360" behindDoc="1" locked="0" layoutInCell="1" allowOverlap="1">
            <wp:simplePos x="0" y="0"/>
            <wp:positionH relativeFrom="page">
              <wp:posOffset>1263015</wp:posOffset>
            </wp:positionH>
            <wp:positionV relativeFrom="paragraph">
              <wp:posOffset>1924050</wp:posOffset>
            </wp:positionV>
            <wp:extent cx="5033645" cy="1892935"/>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png"/>
                    <pic:cNvPicPr>
                      <a:picLocks noChangeAspect="1"/>
                    </pic:cNvPicPr>
                  </pic:nvPicPr>
                  <pic:blipFill>
                    <a:blip r:embed="rId51" cstate="print"/>
                    <a:stretch>
                      <a:fillRect/>
                    </a:stretch>
                  </pic:blipFill>
                  <pic:spPr>
                    <a:xfrm>
                      <a:off x="0" y="0"/>
                      <a:ext cx="5033771" cy="1892807"/>
                    </a:xfrm>
                    <a:prstGeom prst="rect">
                      <a:avLst/>
                    </a:prstGeom>
                  </pic:spPr>
                </pic:pic>
              </a:graphicData>
            </a:graphic>
          </wp:anchor>
        </w:drawing>
      </w:r>
      <w:r>
        <w:rPr>
          <w:spacing w:val="-8"/>
        </w:rPr>
        <w:t>项目区属小兴安岭-老爷岭植物区、穆棱—三江平原亚区，生长着丰富的针叶</w:t>
      </w:r>
      <w:r>
        <w:rPr>
          <w:spacing w:val="-1"/>
        </w:rPr>
        <w:t>和阔叶林。林中主要树种有蒙古栎、紫椴、糠椴、黄菠萝、水曲柳、色木槭、胡桃楸、白桦、山杨、春榆、黄榆等，下木有毛榛子、胡枝子、杜鹃。主要草本植物有：小叶樟、广布野碗豆、小白花地榆、黄花菜、银莲花、啮叶凤毛菊、蚊子草、紫苑、走马芹等；局部低洼地段有水毛莨、小叶樟、芦苇、沼柳等。项目区</w:t>
      </w:r>
      <w:r>
        <w:t>范围有部分耕地，以旱地农作物为主，主要种植大豆、玉米等农作物。</w:t>
      </w:r>
    </w:p>
    <w:p>
      <w:pPr>
        <w:spacing w:after="0" w:line="374" w:lineRule="auto"/>
        <w:jc w:val="both"/>
        <w:sectPr>
          <w:pgSz w:w="11910" w:h="16840"/>
          <w:pgMar w:top="1380" w:right="1220" w:bottom="1180" w:left="1240" w:header="0" w:footer="997" w:gutter="0"/>
        </w:sectPr>
      </w:pPr>
    </w:p>
    <w:p>
      <w:pPr>
        <w:pStyle w:val="6"/>
        <w:ind w:left="1256"/>
        <w:rPr>
          <w:sz w:val="20"/>
        </w:rPr>
      </w:pPr>
      <w:r>
        <w:rPr>
          <w:sz w:val="20"/>
        </w:rPr>
        <w:drawing>
          <wp:inline distT="0" distB="0" distL="0" distR="0">
            <wp:extent cx="4389120" cy="1645920"/>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png"/>
                    <pic:cNvPicPr>
                      <a:picLocks noChangeAspect="1"/>
                    </pic:cNvPicPr>
                  </pic:nvPicPr>
                  <pic:blipFill>
                    <a:blip r:embed="rId52" cstate="print"/>
                    <a:stretch>
                      <a:fillRect/>
                    </a:stretch>
                  </pic:blipFill>
                  <pic:spPr>
                    <a:xfrm>
                      <a:off x="0" y="0"/>
                      <a:ext cx="4389120" cy="1645920"/>
                    </a:xfrm>
                    <a:prstGeom prst="rect">
                      <a:avLst/>
                    </a:prstGeom>
                  </pic:spPr>
                </pic:pic>
              </a:graphicData>
            </a:graphic>
          </wp:inline>
        </w:drawing>
      </w:r>
    </w:p>
    <w:p>
      <w:pPr>
        <w:pStyle w:val="5"/>
        <w:spacing w:before="121"/>
        <w:ind w:right="10"/>
        <w:jc w:val="center"/>
      </w:pPr>
      <w:r>
        <w:t xml:space="preserve">图 </w:t>
      </w:r>
      <w:r>
        <w:rPr>
          <w:rFonts w:ascii="Times New Roman" w:eastAsia="Times New Roman"/>
        </w:rPr>
        <w:t xml:space="preserve">5.1-1 </w:t>
      </w:r>
      <w:r>
        <w:t>项目区内典型植被图</w:t>
      </w:r>
    </w:p>
    <w:p>
      <w:pPr>
        <w:pStyle w:val="13"/>
        <w:numPr>
          <w:ilvl w:val="3"/>
          <w:numId w:val="38"/>
        </w:numPr>
        <w:tabs>
          <w:tab w:val="left" w:pos="1292"/>
        </w:tabs>
        <w:spacing w:before="81" w:after="0" w:line="240" w:lineRule="auto"/>
        <w:ind w:left="1292" w:right="0" w:hanging="781"/>
        <w:jc w:val="left"/>
        <w:rPr>
          <w:b/>
          <w:sz w:val="24"/>
        </w:rPr>
      </w:pPr>
      <w:r>
        <w:rPr>
          <w:b/>
          <w:sz w:val="24"/>
        </w:rPr>
        <w:t>植被资源</w:t>
      </w:r>
    </w:p>
    <w:p>
      <w:pPr>
        <w:pStyle w:val="6"/>
        <w:spacing w:before="82" w:line="364" w:lineRule="auto"/>
        <w:ind w:left="511" w:right="529" w:firstLine="480"/>
      </w:pPr>
      <w:r>
        <w:rPr>
          <w:spacing w:val="-1"/>
        </w:rPr>
        <w:t>双鸭山市属长白植物区系，为低湿平原区以低山丘陵区，分布有森林植被。</w:t>
      </w:r>
      <w:r>
        <w:rPr>
          <w:spacing w:val="-7"/>
        </w:rPr>
        <w:t xml:space="preserve">双鸭山市森林覆盖率 </w:t>
      </w:r>
      <w:r>
        <w:rPr>
          <w:rFonts w:ascii="Times New Roman" w:eastAsia="Times New Roman"/>
        </w:rPr>
        <w:t>40%</w:t>
      </w:r>
      <w:r>
        <w:rPr>
          <w:spacing w:val="-13"/>
        </w:rPr>
        <w:t xml:space="preserve">。地方林业系统共有 </w:t>
      </w:r>
      <w:r>
        <w:rPr>
          <w:rFonts w:ascii="Times New Roman" w:eastAsia="Times New Roman"/>
        </w:rPr>
        <w:t xml:space="preserve">23 </w:t>
      </w:r>
      <w:r>
        <w:rPr>
          <w:spacing w:val="-11"/>
        </w:rPr>
        <w:t xml:space="preserve">个国有林场，森林面积 </w:t>
      </w:r>
      <w:r>
        <w:rPr>
          <w:rFonts w:ascii="Times New Roman" w:eastAsia="Times New Roman"/>
        </w:rPr>
        <w:t xml:space="preserve">26.37 </w:t>
      </w:r>
      <w:r>
        <w:rPr>
          <w:spacing w:val="-15"/>
        </w:rPr>
        <w:t>万</w:t>
      </w:r>
    </w:p>
    <w:p>
      <w:pPr>
        <w:pStyle w:val="6"/>
        <w:spacing w:line="364" w:lineRule="auto"/>
        <w:ind w:left="511" w:right="413"/>
      </w:pPr>
      <w:r>
        <w:rPr>
          <w:spacing w:val="-5"/>
        </w:rPr>
        <w:t xml:space="preserve">公顷，活立木总蓄积量 </w:t>
      </w:r>
      <w:r>
        <w:rPr>
          <w:rFonts w:ascii="Times New Roman" w:eastAsia="Times New Roman"/>
        </w:rPr>
        <w:t xml:space="preserve">1761.53 </w:t>
      </w:r>
      <w:r>
        <w:t>万立方米。植被类型为温带针阔叶混交林，主要树种有落叶松、樟子松、红松、云杉、槭树、色树、椴树、榆树、桦树、杨树、胡桃楸、水曲柳、黄菠萝等。食用的真菌类有黑木耳，猴头蘑、元蘑、榛蘑等； 山野菜类有蕨菜、黄花菜、黄瓜香、剌嫩芽；山产品有榛子、橡子、松树籽、山葡萄、猕猴桃、黑加伦、山核桃。野生药用植物主要有五味子、山花、龙胆草、</w:t>
      </w:r>
      <w:r>
        <w:rPr>
          <w:spacing w:val="-13"/>
        </w:rPr>
        <w:t>人参、平贝、剌五加、满山红、黄柏、赤芍、升麻、桔梗、白鲜皮、苍术、贯仲、</w:t>
      </w:r>
      <w:r>
        <w:rPr>
          <w:spacing w:val="-15"/>
        </w:rPr>
        <w:t xml:space="preserve">木贼等 </w:t>
      </w:r>
      <w:r>
        <w:rPr>
          <w:rFonts w:ascii="Times New Roman" w:eastAsia="Times New Roman"/>
        </w:rPr>
        <w:t xml:space="preserve">150 </w:t>
      </w:r>
      <w:r>
        <w:rPr>
          <w:spacing w:val="-8"/>
        </w:rPr>
        <w:t xml:space="preserve">余种，常用的有 </w:t>
      </w:r>
      <w:r>
        <w:rPr>
          <w:rFonts w:ascii="Times New Roman" w:eastAsia="Times New Roman"/>
        </w:rPr>
        <w:t xml:space="preserve">60 </w:t>
      </w:r>
      <w:r>
        <w:t>余种。</w:t>
      </w:r>
    </w:p>
    <w:p>
      <w:pPr>
        <w:pStyle w:val="4"/>
        <w:numPr>
          <w:ilvl w:val="2"/>
          <w:numId w:val="38"/>
        </w:numPr>
        <w:tabs>
          <w:tab w:val="left" w:pos="1213"/>
        </w:tabs>
        <w:spacing w:before="0" w:after="0" w:line="357" w:lineRule="exact"/>
        <w:ind w:left="1212" w:right="0" w:hanging="702"/>
        <w:jc w:val="left"/>
      </w:pPr>
      <w:bookmarkStart w:id="148" w:name="5.1.2 野生动物资源"/>
      <w:bookmarkEnd w:id="148"/>
      <w:bookmarkStart w:id="149" w:name="5.1.2 野生动物资源"/>
      <w:bookmarkEnd w:id="149"/>
      <w:r>
        <w:t>野生动物资源</w:t>
      </w:r>
    </w:p>
    <w:p>
      <w:pPr>
        <w:pStyle w:val="6"/>
        <w:rPr>
          <w:b/>
          <w:sz w:val="28"/>
        </w:rPr>
      </w:pPr>
    </w:p>
    <w:p>
      <w:pPr>
        <w:pStyle w:val="6"/>
        <w:spacing w:line="405" w:lineRule="auto"/>
        <w:ind w:left="511" w:right="533" w:firstLine="480"/>
        <w:jc w:val="both"/>
      </w:pPr>
      <w:r>
        <w:t>区域受人类活动干扰，适宜野生动物栖的环境有限，动物区系结构组成较简单，在此生态境域中，动物种类比较贫乏。因此，本次调查主要采取资料查阅、并与现场调查访问相结合的方式进行调查。</w:t>
      </w:r>
    </w:p>
    <w:p>
      <w:pPr>
        <w:pStyle w:val="6"/>
        <w:spacing w:before="1"/>
        <w:ind w:left="991"/>
      </w:pPr>
      <w:r>
        <w:t>根据现场调查，并参照现行《中华人民共和国野生动物保护法（</w:t>
      </w:r>
      <w:r>
        <w:rPr>
          <w:rFonts w:ascii="Times New Roman" w:eastAsia="Times New Roman"/>
        </w:rPr>
        <w:t>2004</w:t>
      </w:r>
      <w:r>
        <w:t>）》、</w:t>
      </w:r>
    </w:p>
    <w:p>
      <w:pPr>
        <w:pStyle w:val="6"/>
        <w:spacing w:before="35" w:line="520" w:lineRule="exact"/>
        <w:ind w:left="511" w:right="533"/>
      </w:pPr>
      <w:r>
        <w:t>《国家重点保护野生动物名录（</w:t>
      </w:r>
      <w:r>
        <w:rPr>
          <w:rFonts w:ascii="Times New Roman" w:eastAsia="Times New Roman"/>
        </w:rPr>
        <w:t>1998</w:t>
      </w:r>
      <w:r>
        <w:t>）》，评价区内未发现国家级、省、市级珍稀濒危和重点保护野生动物分布，也未发现有其栖息地和繁衍地。</w:t>
      </w:r>
    </w:p>
    <w:p>
      <w:pPr>
        <w:pStyle w:val="4"/>
        <w:numPr>
          <w:ilvl w:val="2"/>
          <w:numId w:val="38"/>
        </w:numPr>
        <w:tabs>
          <w:tab w:val="left" w:pos="1213"/>
        </w:tabs>
        <w:spacing w:before="3" w:after="0" w:line="240" w:lineRule="auto"/>
        <w:ind w:left="1212" w:right="0" w:hanging="702"/>
        <w:jc w:val="left"/>
      </w:pPr>
      <w:bookmarkStart w:id="150" w:name="5.1.3 土壤状况"/>
      <w:bookmarkEnd w:id="150"/>
      <w:bookmarkStart w:id="151" w:name="5.1.3 土壤状况"/>
      <w:bookmarkEnd w:id="151"/>
      <w:r>
        <w:t>土壤状况</w:t>
      </w:r>
    </w:p>
    <w:p>
      <w:pPr>
        <w:pStyle w:val="6"/>
        <w:spacing w:before="186" w:line="364" w:lineRule="auto"/>
        <w:ind w:left="511" w:right="409" w:firstLine="480"/>
      </w:pPr>
      <w:r>
        <w:rPr>
          <w:spacing w:val="-9"/>
        </w:rPr>
        <w:t xml:space="preserve">双鸭山市有 </w:t>
      </w:r>
      <w:r>
        <w:rPr>
          <w:rFonts w:ascii="Times New Roman" w:eastAsia="Times New Roman"/>
        </w:rPr>
        <w:t xml:space="preserve">8 </w:t>
      </w:r>
      <w:r>
        <w:t>种土类、</w:t>
      </w:r>
      <w:r>
        <w:rPr>
          <w:rFonts w:ascii="Times New Roman" w:eastAsia="Times New Roman"/>
        </w:rPr>
        <w:t xml:space="preserve">19 </w:t>
      </w:r>
      <w:r>
        <w:t>个亚类、</w:t>
      </w:r>
      <w:r>
        <w:rPr>
          <w:rFonts w:ascii="Times New Roman" w:eastAsia="Times New Roman"/>
        </w:rPr>
        <w:t xml:space="preserve">15 </w:t>
      </w:r>
      <w:r>
        <w:t>个土属、</w:t>
      </w:r>
      <w:r>
        <w:rPr>
          <w:rFonts w:ascii="Times New Roman" w:eastAsia="Times New Roman"/>
        </w:rPr>
        <w:t xml:space="preserve">44 </w:t>
      </w:r>
      <w:r>
        <w:t>个土种。按面积大小排次</w:t>
      </w:r>
      <w:r>
        <w:rPr>
          <w:spacing w:val="-13"/>
        </w:rPr>
        <w:t xml:space="preserve">为：草甸土，分布在北部和南部的平原区，占全区土地面积的 </w:t>
      </w:r>
      <w:r>
        <w:rPr>
          <w:rFonts w:ascii="Times New Roman" w:eastAsia="Times New Roman"/>
          <w:spacing w:val="-7"/>
        </w:rPr>
        <w:t>43.2%</w:t>
      </w:r>
      <w:r>
        <w:rPr>
          <w:spacing w:val="-18"/>
        </w:rPr>
        <w:t xml:space="preserve">，其中 </w:t>
      </w:r>
      <w:r>
        <w:rPr>
          <w:rFonts w:ascii="Times New Roman" w:eastAsia="Times New Roman"/>
        </w:rPr>
        <w:t xml:space="preserve">78.8% </w:t>
      </w:r>
      <w:r>
        <w:rPr>
          <w:spacing w:val="-11"/>
        </w:rPr>
        <w:t xml:space="preserve">开垦成耕地；黑土，分布在中和中南部缓坡漫岗地带，占全区土地面积的 </w:t>
      </w:r>
      <w:r>
        <w:rPr>
          <w:rFonts w:ascii="Times New Roman" w:eastAsia="Times New Roman"/>
          <w:spacing w:val="-4"/>
        </w:rPr>
        <w:t>32.6%</w:t>
      </w:r>
      <w:r>
        <w:rPr>
          <w:spacing w:val="-4"/>
        </w:rPr>
        <w:t xml:space="preserve">， </w:t>
      </w:r>
      <w:r>
        <w:rPr>
          <w:spacing w:val="-17"/>
        </w:rPr>
        <w:t xml:space="preserve">其中 </w:t>
      </w:r>
      <w:r>
        <w:rPr>
          <w:rFonts w:ascii="Times New Roman" w:eastAsia="Times New Roman"/>
        </w:rPr>
        <w:t>78.8%</w:t>
      </w:r>
      <w:r>
        <w:t>开垦成耕地；暗棕土壤，分布在西和西南部低山丘区，占全区土地面</w:t>
      </w:r>
    </w:p>
    <w:p>
      <w:pPr>
        <w:spacing w:after="0" w:line="364" w:lineRule="auto"/>
        <w:sectPr>
          <w:pgSz w:w="11910" w:h="16840"/>
          <w:pgMar w:top="1520" w:right="1220" w:bottom="1180" w:left="1240" w:header="0" w:footer="997" w:gutter="0"/>
        </w:sectPr>
      </w:pPr>
    </w:p>
    <w:p>
      <w:pPr>
        <w:pStyle w:val="6"/>
        <w:spacing w:before="63" w:line="364" w:lineRule="auto"/>
        <w:ind w:left="511" w:right="409"/>
      </w:pPr>
      <w:r>
        <w:rPr>
          <w:spacing w:val="-21"/>
        </w:rPr>
        <w:t xml:space="preserve">积的 </w:t>
      </w:r>
      <w:r>
        <w:rPr>
          <w:rFonts w:ascii="Times New Roman" w:eastAsia="Times New Roman"/>
        </w:rPr>
        <w:t>18.8%</w:t>
      </w:r>
      <w:r>
        <w:rPr>
          <w:spacing w:val="-16"/>
        </w:rPr>
        <w:t xml:space="preserve">，其中 </w:t>
      </w:r>
      <w:r>
        <w:rPr>
          <w:rFonts w:ascii="Times New Roman" w:eastAsia="Times New Roman"/>
        </w:rPr>
        <w:t>4.4%</w:t>
      </w:r>
      <w:r>
        <w:rPr>
          <w:spacing w:val="-4"/>
        </w:rPr>
        <w:t>开垦成耕地；白浆土，分布在山下缓坡漫岗地带，占全区</w:t>
      </w:r>
      <w:r>
        <w:rPr>
          <w:spacing w:val="-14"/>
        </w:rPr>
        <w:t xml:space="preserve">土地面积的 </w:t>
      </w:r>
      <w:r>
        <w:rPr>
          <w:rFonts w:ascii="Times New Roman" w:eastAsia="Times New Roman"/>
          <w:spacing w:val="-3"/>
        </w:rPr>
        <w:t>1.0%</w:t>
      </w:r>
      <w:r>
        <w:rPr>
          <w:spacing w:val="-16"/>
        </w:rPr>
        <w:t xml:space="preserve">，其中 </w:t>
      </w:r>
      <w:r>
        <w:rPr>
          <w:rFonts w:ascii="Times New Roman" w:eastAsia="Times New Roman"/>
        </w:rPr>
        <w:t>50.0%</w:t>
      </w:r>
      <w:r>
        <w:rPr>
          <w:spacing w:val="-4"/>
        </w:rPr>
        <w:t>开垦成耕地；沼泽地，分布在低湿沼泽地，占全区</w:t>
      </w:r>
      <w:r>
        <w:rPr>
          <w:spacing w:val="-15"/>
        </w:rPr>
        <w:t xml:space="preserve">土地面积的 </w:t>
      </w:r>
      <w:r>
        <w:rPr>
          <w:rFonts w:ascii="Times New Roman" w:eastAsia="Times New Roman"/>
        </w:rPr>
        <w:t>0.31%</w:t>
      </w:r>
      <w:r>
        <w:rPr>
          <w:spacing w:val="-7"/>
        </w:rPr>
        <w:t xml:space="preserve">；泥炭土，分布在沼泽地，占全区土地面积的 </w:t>
      </w:r>
      <w:r>
        <w:rPr>
          <w:rFonts w:ascii="Times New Roman" w:eastAsia="Times New Roman"/>
        </w:rPr>
        <w:t>0.30%</w:t>
      </w:r>
      <w:r>
        <w:rPr>
          <w:spacing w:val="-3"/>
        </w:rPr>
        <w:t xml:space="preserve">；水稻土， </w:t>
      </w:r>
      <w:r>
        <w:rPr>
          <w:spacing w:val="-7"/>
        </w:rPr>
        <w:t xml:space="preserve">占全区土地面积的 </w:t>
      </w:r>
      <w:r>
        <w:rPr>
          <w:rFonts w:ascii="Times New Roman" w:eastAsia="Times New Roman"/>
        </w:rPr>
        <w:t>1.0%</w:t>
      </w:r>
      <w:r>
        <w:t>。</w:t>
      </w:r>
    </w:p>
    <w:p>
      <w:pPr>
        <w:pStyle w:val="6"/>
        <w:spacing w:line="364" w:lineRule="auto"/>
        <w:ind w:left="511" w:right="533" w:firstLine="480"/>
        <w:jc w:val="both"/>
      </w:pPr>
      <w:r>
        <w:t xml:space="preserve">根据黑龙江省土壤分布图同时结合项目区实际情况。判定项目区土壤为暗棕壤及黑土，土壤肥力较高，质地比较粘重，大多为壤质粘土或粘壤土，部分为砂质粘土，个别含砾石，持水性较好。项目区耕层较厚，肥力较好，养分丰富，有机质含量 </w:t>
      </w:r>
      <w:r>
        <w:rPr>
          <w:rFonts w:ascii="Times New Roman" w:eastAsia="Times New Roman"/>
        </w:rPr>
        <w:t>265g/kg</w:t>
      </w:r>
      <w:r>
        <w:t xml:space="preserve">，全氮 </w:t>
      </w:r>
      <w:r>
        <w:rPr>
          <w:rFonts w:ascii="Times New Roman" w:eastAsia="Times New Roman"/>
        </w:rPr>
        <w:t>10.2g/kg</w:t>
      </w:r>
      <w:r>
        <w:t xml:space="preserve">，全磷 </w:t>
      </w:r>
      <w:r>
        <w:rPr>
          <w:rFonts w:ascii="Times New Roman" w:eastAsia="Times New Roman"/>
        </w:rPr>
        <w:t>0.6g/kg</w:t>
      </w:r>
      <w:r>
        <w:t xml:space="preserve">，全钾 </w:t>
      </w:r>
      <w:r>
        <w:rPr>
          <w:rFonts w:ascii="Times New Roman" w:eastAsia="Times New Roman"/>
        </w:rPr>
        <w:t>28.0g/kg</w:t>
      </w:r>
      <w:r>
        <w:t>。</w:t>
      </w:r>
    </w:p>
    <w:p>
      <w:pPr>
        <w:pStyle w:val="6"/>
        <w:spacing w:line="362" w:lineRule="auto"/>
        <w:ind w:left="511" w:right="529" w:firstLine="480"/>
        <w:jc w:val="both"/>
      </w:pPr>
      <w:r>
        <w:rPr>
          <w:spacing w:val="-3"/>
        </w:rPr>
        <w:t xml:space="preserve">项目区内以有林地为主，土壤一般厚 </w:t>
      </w:r>
      <w:r>
        <w:rPr>
          <w:rFonts w:ascii="Times New Roman" w:eastAsia="Times New Roman"/>
        </w:rPr>
        <w:t>0.5-1.0m</w:t>
      </w:r>
      <w:r>
        <w:t>，上部为黑色腐殖土，其下部</w:t>
      </w:r>
      <w:r>
        <w:rPr>
          <w:spacing w:val="-7"/>
        </w:rPr>
        <w:t xml:space="preserve">位黄色亚粘土。见图 </w:t>
      </w:r>
      <w:r>
        <w:rPr>
          <w:rFonts w:ascii="Times New Roman" w:eastAsia="Times New Roman"/>
        </w:rPr>
        <w:t>5.1-2</w:t>
      </w:r>
      <w:r>
        <w:t>。</w:t>
      </w:r>
    </w:p>
    <w:p>
      <w:pPr>
        <w:pStyle w:val="6"/>
        <w:rPr>
          <w:sz w:val="10"/>
        </w:rPr>
      </w:pPr>
      <w:r>
        <w:drawing>
          <wp:anchor distT="0" distB="0" distL="0" distR="0" simplePos="0" relativeHeight="1024" behindDoc="0" locked="0" layoutInCell="1" allowOverlap="1">
            <wp:simplePos x="0" y="0"/>
            <wp:positionH relativeFrom="page">
              <wp:posOffset>2293620</wp:posOffset>
            </wp:positionH>
            <wp:positionV relativeFrom="paragraph">
              <wp:posOffset>106045</wp:posOffset>
            </wp:positionV>
            <wp:extent cx="2390140" cy="1612265"/>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pic:cNvPicPr>
                      <a:picLocks noChangeAspect="1"/>
                    </pic:cNvPicPr>
                  </pic:nvPicPr>
                  <pic:blipFill>
                    <a:blip r:embed="rId53" cstate="print"/>
                    <a:stretch>
                      <a:fillRect/>
                    </a:stretch>
                  </pic:blipFill>
                  <pic:spPr>
                    <a:xfrm>
                      <a:off x="0" y="0"/>
                      <a:ext cx="2390150" cy="1612391"/>
                    </a:xfrm>
                    <a:prstGeom prst="rect">
                      <a:avLst/>
                    </a:prstGeom>
                  </pic:spPr>
                </pic:pic>
              </a:graphicData>
            </a:graphic>
          </wp:anchor>
        </w:drawing>
      </w:r>
    </w:p>
    <w:p>
      <w:pPr>
        <w:pStyle w:val="6"/>
        <w:spacing w:before="6"/>
        <w:rPr>
          <w:sz w:val="6"/>
        </w:rPr>
      </w:pPr>
    </w:p>
    <w:p>
      <w:pPr>
        <w:spacing w:after="0"/>
        <w:rPr>
          <w:sz w:val="6"/>
        </w:rPr>
        <w:sectPr>
          <w:pgSz w:w="11910" w:h="16840"/>
          <w:pgMar w:top="1360" w:right="1220" w:bottom="1180" w:left="1240" w:header="0" w:footer="997" w:gutter="0"/>
        </w:sectPr>
      </w:pPr>
    </w:p>
    <w:p>
      <w:pPr>
        <w:pStyle w:val="6"/>
        <w:spacing w:before="2"/>
        <w:rPr>
          <w:sz w:val="30"/>
        </w:rPr>
      </w:pPr>
    </w:p>
    <w:p>
      <w:pPr>
        <w:pStyle w:val="4"/>
        <w:numPr>
          <w:ilvl w:val="2"/>
          <w:numId w:val="38"/>
        </w:numPr>
        <w:tabs>
          <w:tab w:val="left" w:pos="1213"/>
        </w:tabs>
        <w:spacing w:before="0" w:after="0" w:line="240" w:lineRule="auto"/>
        <w:ind w:left="1212" w:right="0" w:hanging="702"/>
        <w:jc w:val="left"/>
      </w:pPr>
      <w:bookmarkStart w:id="152" w:name="5.1.4 土地利用现状"/>
      <w:bookmarkEnd w:id="152"/>
      <w:bookmarkStart w:id="153" w:name="5.1.4 土地利用现状"/>
      <w:bookmarkEnd w:id="153"/>
      <w:r>
        <w:rPr>
          <w:spacing w:val="-3"/>
        </w:rPr>
        <w:t>土地利用现状</w:t>
      </w:r>
    </w:p>
    <w:p>
      <w:pPr>
        <w:pStyle w:val="5"/>
        <w:spacing w:before="74"/>
        <w:ind w:left="502"/>
      </w:pPr>
      <w:r>
        <w:rPr>
          <w:b w:val="0"/>
        </w:rPr>
        <w:br w:type="column"/>
      </w:r>
      <w:r>
        <w:t xml:space="preserve">图 </w:t>
      </w:r>
      <w:r>
        <w:rPr>
          <w:rFonts w:ascii="Times New Roman" w:eastAsia="Times New Roman"/>
        </w:rPr>
        <w:t xml:space="preserve">5.1-2 </w:t>
      </w:r>
      <w:r>
        <w:t>项目区土壤剖面</w:t>
      </w:r>
    </w:p>
    <w:p>
      <w:pPr>
        <w:spacing w:after="0"/>
        <w:sectPr>
          <w:type w:val="continuous"/>
          <w:pgSz w:w="11910" w:h="16840"/>
          <w:pgMar w:top="1580" w:right="1220" w:bottom="280" w:left="1240" w:header="720" w:footer="720" w:gutter="0"/>
          <w:cols w:equalWidth="0" w:num="2">
            <w:col w:w="2901" w:space="40"/>
            <w:col w:w="6509"/>
          </w:cols>
        </w:sectPr>
      </w:pPr>
    </w:p>
    <w:p>
      <w:pPr>
        <w:pStyle w:val="6"/>
        <w:spacing w:before="9"/>
        <w:rPr>
          <w:b/>
          <w:sz w:val="14"/>
        </w:rPr>
      </w:pPr>
    </w:p>
    <w:p>
      <w:pPr>
        <w:pStyle w:val="6"/>
        <w:spacing w:before="74" w:line="364" w:lineRule="auto"/>
        <w:ind w:left="511" w:right="527" w:firstLine="482"/>
        <w:jc w:val="right"/>
      </w:pPr>
      <w:r>
        <w:rPr>
          <w:spacing w:val="21"/>
        </w:rPr>
        <w:t>参照全国土地利用现状调查技术规程、《土地利用现状分类》</w:t>
      </w:r>
      <w:r>
        <w:t>（</w:t>
      </w:r>
      <w:r>
        <w:rPr>
          <w:spacing w:val="-95"/>
        </w:rPr>
        <w:t xml:space="preserve"> </w:t>
      </w:r>
      <w:r>
        <w:rPr>
          <w:rFonts w:ascii="Times New Roman" w:eastAsia="Times New Roman"/>
          <w:spacing w:val="-4"/>
        </w:rPr>
        <w:t>GB/T</w:t>
      </w:r>
      <w:r>
        <w:rPr>
          <w:rFonts w:ascii="Times New Roman" w:eastAsia="Times New Roman"/>
        </w:rPr>
        <w:t xml:space="preserve"> 21010-2007</w:t>
      </w:r>
      <w:r>
        <w:t>）及双鸭山市自然资源局提供的土地利用现状图件以及矿区范围拐点</w:t>
      </w:r>
      <w:r>
        <w:rPr>
          <w:spacing w:val="-1"/>
        </w:rPr>
        <w:t>坐标，结合损毁土地分析结果，本部分内容对项目区内土地利用类型进行统计。</w:t>
      </w:r>
      <w:r>
        <w:t>矿区内土地利用现状以有林地为主，其次为旱地、采矿用地和农村道路，还</w:t>
      </w:r>
    </w:p>
    <w:p>
      <w:pPr>
        <w:pStyle w:val="6"/>
        <w:spacing w:before="2"/>
        <w:ind w:left="511"/>
      </w:pPr>
      <w:r>
        <w:t>有少量的其他园地、河流、坑塘水面、村庄和裸地。</w:t>
      </w:r>
    </w:p>
    <w:p>
      <w:pPr>
        <w:pStyle w:val="6"/>
        <w:spacing w:before="161" w:line="364" w:lineRule="auto"/>
        <w:ind w:left="511" w:right="527" w:firstLine="482"/>
        <w:jc w:val="both"/>
      </w:pPr>
      <w:r>
        <w:t>目前项目区包括矿区范围（</w:t>
      </w:r>
      <w:r>
        <w:rPr>
          <w:rFonts w:ascii="Times New Roman" w:eastAsia="Times New Roman"/>
        </w:rPr>
        <w:t xml:space="preserve">330.8979 </w:t>
      </w:r>
      <w:r>
        <w:t>公顷）和工业广场（</w:t>
      </w:r>
      <w:r>
        <w:rPr>
          <w:rFonts w:ascii="Times New Roman" w:eastAsia="Times New Roman"/>
        </w:rPr>
        <w:t xml:space="preserve">2.9767 </w:t>
      </w:r>
      <w:r>
        <w:t>公顷），其中：工业广场处于矿区范围之内，因此双鸭山大顺矿业有限公司项目区面积为</w:t>
      </w:r>
      <w:r>
        <w:rPr>
          <w:rFonts w:ascii="Times New Roman" w:eastAsia="Times New Roman"/>
        </w:rPr>
        <w:t xml:space="preserve">330.8979 </w:t>
      </w:r>
      <w:r>
        <w:t>公顷。</w:t>
      </w:r>
    </w:p>
    <w:p>
      <w:pPr>
        <w:pStyle w:val="6"/>
        <w:spacing w:before="1"/>
        <w:ind w:left="994"/>
      </w:pPr>
      <w:r>
        <w:t xml:space="preserve">大顺煤矿属井工煤矿，项目矿区土地总面积为 </w:t>
      </w:r>
      <w:r>
        <w:rPr>
          <w:rFonts w:ascii="Times New Roman" w:eastAsia="Times New Roman"/>
        </w:rPr>
        <w:t xml:space="preserve">330.8979 </w:t>
      </w:r>
      <w:r>
        <w:t>公顷。其中：旱地面</w:t>
      </w:r>
    </w:p>
    <w:p>
      <w:pPr>
        <w:pStyle w:val="6"/>
        <w:spacing w:before="161" w:line="364" w:lineRule="auto"/>
        <w:ind w:left="511" w:right="407"/>
      </w:pPr>
      <w:r>
        <w:rPr>
          <w:spacing w:val="-21"/>
        </w:rPr>
        <w:t xml:space="preserve">积为 </w:t>
      </w:r>
      <w:r>
        <w:rPr>
          <w:rFonts w:ascii="Times New Roman" w:eastAsia="Times New Roman"/>
        </w:rPr>
        <w:t xml:space="preserve">55.9479 </w:t>
      </w:r>
      <w:r>
        <w:rPr>
          <w:spacing w:val="-15"/>
        </w:rPr>
        <w:t xml:space="preserve">公顷，占项目区内土地总面积的 </w:t>
      </w:r>
      <w:r>
        <w:rPr>
          <w:rFonts w:ascii="Times New Roman" w:eastAsia="Times New Roman"/>
          <w:spacing w:val="-14"/>
        </w:rPr>
        <w:t>16.91%</w:t>
      </w:r>
      <w:r>
        <w:rPr>
          <w:spacing w:val="-12"/>
        </w:rPr>
        <w:t xml:space="preserve">；其他果园面积 </w:t>
      </w:r>
      <w:r>
        <w:rPr>
          <w:rFonts w:ascii="Times New Roman" w:eastAsia="Times New Roman"/>
        </w:rPr>
        <w:t xml:space="preserve">1.1141 </w:t>
      </w:r>
      <w:r>
        <w:rPr>
          <w:spacing w:val="-4"/>
        </w:rPr>
        <w:t xml:space="preserve">公顷， </w:t>
      </w:r>
      <w:r>
        <w:rPr>
          <w:spacing w:val="-6"/>
        </w:rPr>
        <w:t xml:space="preserve">占项目区内土地总面积的 </w:t>
      </w:r>
      <w:r>
        <w:rPr>
          <w:rFonts w:ascii="Times New Roman" w:eastAsia="Times New Roman"/>
        </w:rPr>
        <w:t>0.34%</w:t>
      </w:r>
      <w:r>
        <w:rPr>
          <w:spacing w:val="-8"/>
        </w:rPr>
        <w:t xml:space="preserve">；有林地面积为 </w:t>
      </w:r>
      <w:r>
        <w:rPr>
          <w:rFonts w:ascii="Times New Roman" w:eastAsia="Times New Roman"/>
        </w:rPr>
        <w:t xml:space="preserve">226.7994 </w:t>
      </w:r>
      <w:r>
        <w:rPr>
          <w:spacing w:val="-3"/>
        </w:rPr>
        <w:t>公顷，占项目区内土地</w:t>
      </w:r>
      <w:r>
        <w:rPr>
          <w:spacing w:val="6"/>
        </w:rPr>
        <w:t>总面积的</w:t>
      </w:r>
      <w:r>
        <w:rPr>
          <w:rFonts w:ascii="Times New Roman" w:eastAsia="Times New Roman"/>
        </w:rPr>
        <w:t>68.54</w:t>
      </w:r>
      <w:r>
        <w:rPr>
          <w:rFonts w:ascii="Times New Roman" w:eastAsia="Times New Roman"/>
          <w:spacing w:val="-1"/>
        </w:rPr>
        <w:t>%</w:t>
      </w:r>
      <w:r>
        <w:rPr>
          <w:spacing w:val="-12"/>
        </w:rPr>
        <w:t>；农村道路面积为</w:t>
      </w:r>
      <w:r>
        <w:rPr>
          <w:rFonts w:ascii="Times New Roman" w:eastAsia="Times New Roman"/>
        </w:rPr>
        <w:t xml:space="preserve">10.9999 </w:t>
      </w:r>
      <w:r>
        <w:rPr>
          <w:spacing w:val="-9"/>
        </w:rPr>
        <w:t>公顷，占项目区内土地总面积的</w:t>
      </w:r>
      <w:r>
        <w:rPr>
          <w:rFonts w:ascii="Times New Roman" w:eastAsia="Times New Roman"/>
          <w:spacing w:val="-3"/>
        </w:rPr>
        <w:t>3.32</w:t>
      </w:r>
      <w:r>
        <w:rPr>
          <w:rFonts w:ascii="Times New Roman" w:eastAsia="Times New Roman"/>
          <w:spacing w:val="-2"/>
        </w:rPr>
        <w:t>%</w:t>
      </w:r>
      <w:r>
        <w:rPr>
          <w:spacing w:val="-3"/>
        </w:rPr>
        <w:t>；</w:t>
      </w:r>
    </w:p>
    <w:p>
      <w:pPr>
        <w:spacing w:after="0" w:line="364" w:lineRule="auto"/>
        <w:sectPr>
          <w:type w:val="continuous"/>
          <w:pgSz w:w="11910" w:h="16840"/>
          <w:pgMar w:top="1580" w:right="1220" w:bottom="280" w:left="1240" w:header="720" w:footer="720" w:gutter="0"/>
        </w:sectPr>
      </w:pPr>
    </w:p>
    <w:p>
      <w:pPr>
        <w:pStyle w:val="6"/>
        <w:spacing w:before="62" w:line="364" w:lineRule="auto"/>
        <w:ind w:left="511" w:right="407"/>
      </w:pPr>
      <w:r>
        <w:rPr>
          <w:spacing w:val="-11"/>
        </w:rPr>
        <w:t xml:space="preserve">河流面积为 </w:t>
      </w:r>
      <w:r>
        <w:rPr>
          <w:rFonts w:ascii="Times New Roman" w:eastAsia="Times New Roman"/>
        </w:rPr>
        <w:t xml:space="preserve">0.6426 </w:t>
      </w:r>
      <w:r>
        <w:rPr>
          <w:spacing w:val="-16"/>
        </w:rPr>
        <w:t xml:space="preserve">公顷，占项目区内土地总面积的 </w:t>
      </w:r>
      <w:r>
        <w:rPr>
          <w:rFonts w:ascii="Times New Roman" w:eastAsia="Times New Roman"/>
        </w:rPr>
        <w:t>0.19</w:t>
      </w:r>
      <w:r>
        <w:rPr>
          <w:rFonts w:ascii="Times New Roman" w:eastAsia="Times New Roman"/>
          <w:spacing w:val="-1"/>
        </w:rPr>
        <w:t>%</w:t>
      </w:r>
      <w:r>
        <w:rPr>
          <w:spacing w:val="-22"/>
        </w:rPr>
        <w:t xml:space="preserve">；坑塘水面面积为 </w:t>
      </w:r>
      <w:r>
        <w:rPr>
          <w:rFonts w:ascii="Times New Roman" w:eastAsia="Times New Roman"/>
        </w:rPr>
        <w:t>7.4426</w:t>
      </w:r>
      <w:r>
        <w:rPr>
          <w:spacing w:val="-7"/>
        </w:rPr>
        <w:t xml:space="preserve">公顷，占项目区内土地总面积的 </w:t>
      </w:r>
      <w:r>
        <w:rPr>
          <w:rFonts w:ascii="Times New Roman" w:eastAsia="Times New Roman"/>
        </w:rPr>
        <w:t>2.25%</w:t>
      </w:r>
      <w:r>
        <w:rPr>
          <w:spacing w:val="-9"/>
        </w:rPr>
        <w:t xml:space="preserve">；裸地面积为 </w:t>
      </w:r>
      <w:r>
        <w:rPr>
          <w:rFonts w:ascii="Times New Roman" w:eastAsia="Times New Roman"/>
        </w:rPr>
        <w:t xml:space="preserve">1.6841 </w:t>
      </w:r>
      <w:r>
        <w:rPr>
          <w:spacing w:val="-3"/>
        </w:rPr>
        <w:t>公顷，占项目区内土</w:t>
      </w:r>
      <w:r>
        <w:rPr>
          <w:spacing w:val="4"/>
        </w:rPr>
        <w:t>地总面积的</w:t>
      </w:r>
      <w:r>
        <w:rPr>
          <w:rFonts w:ascii="Times New Roman" w:eastAsia="Times New Roman"/>
        </w:rPr>
        <w:t>0.51</w:t>
      </w:r>
      <w:r>
        <w:rPr>
          <w:rFonts w:ascii="Times New Roman" w:eastAsia="Times New Roman"/>
          <w:spacing w:val="-1"/>
        </w:rPr>
        <w:t>%</w:t>
      </w:r>
      <w:r>
        <w:rPr>
          <w:spacing w:val="-12"/>
        </w:rPr>
        <w:t>；村庄用地面积为</w:t>
      </w:r>
      <w:r>
        <w:rPr>
          <w:rFonts w:ascii="Times New Roman" w:eastAsia="Times New Roman"/>
        </w:rPr>
        <w:t xml:space="preserve">4.1245 </w:t>
      </w:r>
      <w:r>
        <w:rPr>
          <w:spacing w:val="-9"/>
        </w:rPr>
        <w:t>公顷，占项目区内土地总面积的</w:t>
      </w:r>
      <w:r>
        <w:rPr>
          <w:rFonts w:ascii="Times New Roman" w:eastAsia="Times New Roman"/>
          <w:spacing w:val="-3"/>
        </w:rPr>
        <w:t>1.25</w:t>
      </w:r>
      <w:r>
        <w:rPr>
          <w:rFonts w:ascii="Times New Roman" w:eastAsia="Times New Roman"/>
          <w:spacing w:val="-2"/>
        </w:rPr>
        <w:t>%</w:t>
      </w:r>
      <w:r>
        <w:rPr>
          <w:spacing w:val="-3"/>
        </w:rPr>
        <w:t>；</w:t>
      </w:r>
      <w:r>
        <w:rPr>
          <w:spacing w:val="-7"/>
        </w:rPr>
        <w:t xml:space="preserve">采矿用地面积为 </w:t>
      </w:r>
      <w:r>
        <w:rPr>
          <w:rFonts w:ascii="Times New Roman" w:eastAsia="Times New Roman"/>
        </w:rPr>
        <w:t xml:space="preserve">22.1427 </w:t>
      </w:r>
      <w:r>
        <w:rPr>
          <w:spacing w:val="-4"/>
        </w:rPr>
        <w:t xml:space="preserve">公顷，占项目区内土地总面积的 </w:t>
      </w:r>
      <w:r>
        <w:rPr>
          <w:rFonts w:ascii="Times New Roman" w:eastAsia="Times New Roman"/>
        </w:rPr>
        <w:t>6.69%</w:t>
      </w:r>
      <w:r>
        <w:t>。项目用地结构详见下表：</w:t>
      </w:r>
    </w:p>
    <w:p>
      <w:pPr>
        <w:spacing w:before="0" w:after="22" w:line="213" w:lineRule="exact"/>
        <w:ind w:left="0" w:right="10" w:firstLine="0"/>
        <w:jc w:val="center"/>
        <w:rPr>
          <w:b/>
          <w:sz w:val="21"/>
        </w:rPr>
      </w:pPr>
      <w:r>
        <w:rPr>
          <w:b/>
          <w:sz w:val="21"/>
        </w:rPr>
        <w:t xml:space="preserve">表 </w:t>
      </w:r>
      <w:r>
        <w:rPr>
          <w:rFonts w:ascii="Times New Roman" w:eastAsia="Times New Roman"/>
          <w:b/>
          <w:sz w:val="21"/>
        </w:rPr>
        <w:t xml:space="preserve">5.1-1 </w:t>
      </w:r>
      <w:r>
        <w:rPr>
          <w:b/>
          <w:sz w:val="21"/>
        </w:rPr>
        <w:t>项目区土地利用现状</w:t>
      </w:r>
    </w:p>
    <w:tbl>
      <w:tblPr>
        <w:tblStyle w:val="10"/>
        <w:tblW w:w="0" w:type="auto"/>
        <w:tblInd w:w="5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1"/>
        <w:gridCol w:w="992"/>
        <w:gridCol w:w="425"/>
        <w:gridCol w:w="567"/>
        <w:gridCol w:w="579"/>
        <w:gridCol w:w="579"/>
        <w:gridCol w:w="579"/>
        <w:gridCol w:w="531"/>
        <w:gridCol w:w="627"/>
        <w:gridCol w:w="579"/>
        <w:gridCol w:w="637"/>
        <w:gridCol w:w="521"/>
        <w:gridCol w:w="579"/>
        <w:gridCol w:w="7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 w:hRule="atLeast"/>
        </w:trPr>
        <w:tc>
          <w:tcPr>
            <w:tcW w:w="1433" w:type="dxa"/>
            <w:gridSpan w:val="2"/>
          </w:tcPr>
          <w:p>
            <w:pPr>
              <w:pStyle w:val="14"/>
              <w:spacing w:line="140" w:lineRule="exact"/>
              <w:ind w:left="456"/>
              <w:jc w:val="left"/>
              <w:rPr>
                <w:sz w:val="13"/>
              </w:rPr>
            </w:pPr>
            <w:r>
              <w:rPr>
                <w:sz w:val="13"/>
              </w:rPr>
              <w:t>一级地类</w:t>
            </w:r>
          </w:p>
        </w:tc>
        <w:tc>
          <w:tcPr>
            <w:tcW w:w="992" w:type="dxa"/>
            <w:gridSpan w:val="2"/>
          </w:tcPr>
          <w:p>
            <w:pPr>
              <w:pStyle w:val="14"/>
              <w:spacing w:line="140" w:lineRule="exact"/>
              <w:ind w:left="235"/>
              <w:jc w:val="left"/>
              <w:rPr>
                <w:sz w:val="13"/>
              </w:rPr>
            </w:pPr>
            <w:r>
              <w:rPr>
                <w:sz w:val="13"/>
              </w:rPr>
              <w:t>二级地类</w:t>
            </w:r>
          </w:p>
        </w:tc>
        <w:tc>
          <w:tcPr>
            <w:tcW w:w="5211" w:type="dxa"/>
            <w:gridSpan w:val="9"/>
          </w:tcPr>
          <w:p>
            <w:pPr>
              <w:pStyle w:val="14"/>
              <w:spacing w:line="140" w:lineRule="exact"/>
              <w:ind w:left="2194" w:right="2186"/>
              <w:rPr>
                <w:sz w:val="13"/>
              </w:rPr>
            </w:pPr>
            <w:r>
              <w:rPr>
                <w:sz w:val="13"/>
              </w:rPr>
              <w:t>面积（公顷）</w:t>
            </w:r>
          </w:p>
        </w:tc>
        <w:tc>
          <w:tcPr>
            <w:tcW w:w="760" w:type="dxa"/>
            <w:vMerge w:val="restart"/>
          </w:tcPr>
          <w:p>
            <w:pPr>
              <w:pStyle w:val="14"/>
              <w:jc w:val="left"/>
              <w:rPr>
                <w:b/>
                <w:sz w:val="12"/>
              </w:rPr>
            </w:pPr>
          </w:p>
          <w:p>
            <w:pPr>
              <w:pStyle w:val="14"/>
              <w:jc w:val="left"/>
              <w:rPr>
                <w:b/>
                <w:sz w:val="12"/>
              </w:rPr>
            </w:pPr>
          </w:p>
          <w:p>
            <w:pPr>
              <w:pStyle w:val="14"/>
              <w:spacing w:before="101"/>
              <w:ind w:left="250"/>
              <w:jc w:val="left"/>
              <w:rPr>
                <w:sz w:val="13"/>
              </w:rPr>
            </w:pPr>
            <w:r>
              <w:rPr>
                <w:sz w:val="13"/>
              </w:rPr>
              <w:t>占比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41" w:type="dxa"/>
            <w:vMerge w:val="restart"/>
          </w:tcPr>
          <w:p>
            <w:pPr>
              <w:pStyle w:val="14"/>
              <w:jc w:val="left"/>
              <w:rPr>
                <w:b/>
                <w:sz w:val="12"/>
              </w:rPr>
            </w:pPr>
          </w:p>
          <w:p>
            <w:pPr>
              <w:pStyle w:val="14"/>
              <w:spacing w:before="93" w:line="232" w:lineRule="auto"/>
              <w:ind w:left="153" w:right="145"/>
              <w:rPr>
                <w:sz w:val="13"/>
              </w:rPr>
            </w:pPr>
            <w:r>
              <w:rPr>
                <w:sz w:val="13"/>
              </w:rPr>
              <w:t>编码</w:t>
            </w:r>
          </w:p>
        </w:tc>
        <w:tc>
          <w:tcPr>
            <w:tcW w:w="992" w:type="dxa"/>
            <w:vMerge w:val="restart"/>
          </w:tcPr>
          <w:p>
            <w:pPr>
              <w:pStyle w:val="14"/>
              <w:jc w:val="left"/>
              <w:rPr>
                <w:b/>
                <w:sz w:val="12"/>
              </w:rPr>
            </w:pPr>
          </w:p>
          <w:p>
            <w:pPr>
              <w:pStyle w:val="14"/>
              <w:spacing w:before="2"/>
              <w:jc w:val="left"/>
              <w:rPr>
                <w:b/>
                <w:sz w:val="13"/>
              </w:rPr>
            </w:pPr>
          </w:p>
          <w:p>
            <w:pPr>
              <w:pStyle w:val="14"/>
              <w:ind w:left="55" w:right="46"/>
              <w:rPr>
                <w:sz w:val="13"/>
              </w:rPr>
            </w:pPr>
            <w:r>
              <w:rPr>
                <w:sz w:val="13"/>
              </w:rPr>
              <w:t>名称</w:t>
            </w:r>
          </w:p>
        </w:tc>
        <w:tc>
          <w:tcPr>
            <w:tcW w:w="425" w:type="dxa"/>
            <w:vMerge w:val="restart"/>
          </w:tcPr>
          <w:p>
            <w:pPr>
              <w:pStyle w:val="14"/>
              <w:jc w:val="left"/>
              <w:rPr>
                <w:b/>
                <w:sz w:val="12"/>
              </w:rPr>
            </w:pPr>
          </w:p>
          <w:p>
            <w:pPr>
              <w:pStyle w:val="14"/>
              <w:spacing w:before="93" w:line="232" w:lineRule="auto"/>
              <w:ind w:left="146" w:right="136"/>
              <w:rPr>
                <w:sz w:val="13"/>
              </w:rPr>
            </w:pPr>
            <w:r>
              <w:rPr>
                <w:sz w:val="13"/>
              </w:rPr>
              <w:t>编码</w:t>
            </w:r>
          </w:p>
        </w:tc>
        <w:tc>
          <w:tcPr>
            <w:tcW w:w="567" w:type="dxa"/>
            <w:vMerge w:val="restart"/>
          </w:tcPr>
          <w:p>
            <w:pPr>
              <w:pStyle w:val="14"/>
              <w:jc w:val="left"/>
              <w:rPr>
                <w:b/>
                <w:sz w:val="12"/>
              </w:rPr>
            </w:pPr>
          </w:p>
          <w:p>
            <w:pPr>
              <w:pStyle w:val="14"/>
              <w:spacing w:before="2"/>
              <w:jc w:val="left"/>
              <w:rPr>
                <w:b/>
                <w:sz w:val="13"/>
              </w:rPr>
            </w:pPr>
          </w:p>
          <w:p>
            <w:pPr>
              <w:pStyle w:val="14"/>
              <w:ind w:left="153"/>
              <w:jc w:val="left"/>
              <w:rPr>
                <w:sz w:val="13"/>
              </w:rPr>
            </w:pPr>
            <w:r>
              <w:rPr>
                <w:sz w:val="13"/>
              </w:rPr>
              <w:t>名称</w:t>
            </w:r>
          </w:p>
        </w:tc>
        <w:tc>
          <w:tcPr>
            <w:tcW w:w="579" w:type="dxa"/>
          </w:tcPr>
          <w:p>
            <w:pPr>
              <w:pStyle w:val="14"/>
              <w:spacing w:line="162" w:lineRule="exact"/>
              <w:ind w:left="152"/>
              <w:jc w:val="left"/>
              <w:rPr>
                <w:sz w:val="13"/>
              </w:rPr>
            </w:pPr>
            <w:r>
              <w:rPr>
                <w:spacing w:val="-1"/>
                <w:sz w:val="13"/>
              </w:rPr>
              <w:t>权属</w:t>
            </w:r>
          </w:p>
          <w:p>
            <w:pPr>
              <w:pStyle w:val="14"/>
              <w:spacing w:line="138" w:lineRule="exact"/>
              <w:ind w:left="152"/>
              <w:jc w:val="left"/>
              <w:rPr>
                <w:sz w:val="13"/>
              </w:rPr>
            </w:pPr>
            <w:r>
              <w:rPr>
                <w:spacing w:val="-1"/>
                <w:sz w:val="13"/>
              </w:rPr>
              <w:t>单位</w:t>
            </w:r>
          </w:p>
        </w:tc>
        <w:tc>
          <w:tcPr>
            <w:tcW w:w="1158" w:type="dxa"/>
            <w:gridSpan w:val="2"/>
          </w:tcPr>
          <w:p>
            <w:pPr>
              <w:pStyle w:val="14"/>
              <w:spacing w:before="77"/>
              <w:ind w:left="313"/>
              <w:jc w:val="left"/>
              <w:rPr>
                <w:sz w:val="13"/>
              </w:rPr>
            </w:pPr>
            <w:r>
              <w:rPr>
                <w:sz w:val="13"/>
              </w:rPr>
              <w:t>权属性质</w:t>
            </w:r>
          </w:p>
        </w:tc>
        <w:tc>
          <w:tcPr>
            <w:tcW w:w="531" w:type="dxa"/>
          </w:tcPr>
          <w:p>
            <w:pPr>
              <w:pStyle w:val="14"/>
              <w:spacing w:line="162" w:lineRule="exact"/>
              <w:ind w:left="134"/>
              <w:jc w:val="left"/>
              <w:rPr>
                <w:sz w:val="13"/>
              </w:rPr>
            </w:pPr>
            <w:r>
              <w:rPr>
                <w:spacing w:val="-1"/>
                <w:sz w:val="13"/>
              </w:rPr>
              <w:t>权属</w:t>
            </w:r>
          </w:p>
          <w:p>
            <w:pPr>
              <w:pStyle w:val="14"/>
              <w:spacing w:line="138" w:lineRule="exact"/>
              <w:ind w:left="134"/>
              <w:jc w:val="left"/>
              <w:rPr>
                <w:sz w:val="13"/>
              </w:rPr>
            </w:pPr>
            <w:r>
              <w:rPr>
                <w:spacing w:val="-1"/>
                <w:sz w:val="13"/>
              </w:rPr>
              <w:t>单位</w:t>
            </w:r>
          </w:p>
        </w:tc>
        <w:tc>
          <w:tcPr>
            <w:tcW w:w="1206" w:type="dxa"/>
            <w:gridSpan w:val="2"/>
          </w:tcPr>
          <w:p>
            <w:pPr>
              <w:pStyle w:val="14"/>
              <w:spacing w:before="77"/>
              <w:ind w:left="342"/>
              <w:jc w:val="left"/>
              <w:rPr>
                <w:sz w:val="13"/>
              </w:rPr>
            </w:pPr>
            <w:r>
              <w:rPr>
                <w:sz w:val="13"/>
              </w:rPr>
              <w:t>权属性质</w:t>
            </w:r>
          </w:p>
        </w:tc>
        <w:tc>
          <w:tcPr>
            <w:tcW w:w="637" w:type="dxa"/>
            <w:vMerge w:val="restart"/>
          </w:tcPr>
          <w:p>
            <w:pPr>
              <w:pStyle w:val="14"/>
              <w:jc w:val="left"/>
              <w:rPr>
                <w:b/>
                <w:sz w:val="12"/>
              </w:rPr>
            </w:pPr>
          </w:p>
          <w:p>
            <w:pPr>
              <w:pStyle w:val="14"/>
              <w:spacing w:before="2"/>
              <w:jc w:val="left"/>
              <w:rPr>
                <w:b/>
                <w:sz w:val="13"/>
              </w:rPr>
            </w:pPr>
          </w:p>
          <w:p>
            <w:pPr>
              <w:pStyle w:val="14"/>
              <w:ind w:left="187"/>
              <w:jc w:val="left"/>
              <w:rPr>
                <w:sz w:val="13"/>
              </w:rPr>
            </w:pPr>
            <w:r>
              <w:rPr>
                <w:sz w:val="13"/>
              </w:rPr>
              <w:t>小计</w:t>
            </w:r>
          </w:p>
        </w:tc>
        <w:tc>
          <w:tcPr>
            <w:tcW w:w="1100" w:type="dxa"/>
            <w:gridSpan w:val="2"/>
          </w:tcPr>
          <w:p>
            <w:pPr>
              <w:pStyle w:val="14"/>
              <w:spacing w:before="77"/>
              <w:ind w:left="289"/>
              <w:jc w:val="left"/>
              <w:rPr>
                <w:sz w:val="13"/>
              </w:rPr>
            </w:pPr>
            <w:r>
              <w:rPr>
                <w:sz w:val="13"/>
              </w:rPr>
              <w:t>权属性质</w:t>
            </w:r>
          </w:p>
        </w:tc>
        <w:tc>
          <w:tcPr>
            <w:tcW w:w="76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441" w:type="dxa"/>
            <w:vMerge w:val="continue"/>
            <w:tcBorders>
              <w:top w:val="nil"/>
            </w:tcBorders>
          </w:tcPr>
          <w:p>
            <w:pPr>
              <w:rPr>
                <w:sz w:val="2"/>
                <w:szCs w:val="2"/>
              </w:rPr>
            </w:pPr>
          </w:p>
        </w:tc>
        <w:tc>
          <w:tcPr>
            <w:tcW w:w="992" w:type="dxa"/>
            <w:vMerge w:val="continue"/>
            <w:tcBorders>
              <w:top w:val="nil"/>
            </w:tcBorders>
          </w:tcPr>
          <w:p>
            <w:pPr>
              <w:rPr>
                <w:sz w:val="2"/>
                <w:szCs w:val="2"/>
              </w:rPr>
            </w:pPr>
          </w:p>
        </w:tc>
        <w:tc>
          <w:tcPr>
            <w:tcW w:w="425" w:type="dxa"/>
            <w:vMerge w:val="continue"/>
            <w:tcBorders>
              <w:top w:val="nil"/>
            </w:tcBorders>
          </w:tcPr>
          <w:p>
            <w:pPr>
              <w:rPr>
                <w:sz w:val="2"/>
                <w:szCs w:val="2"/>
              </w:rPr>
            </w:pPr>
          </w:p>
        </w:tc>
        <w:tc>
          <w:tcPr>
            <w:tcW w:w="567" w:type="dxa"/>
            <w:vMerge w:val="continue"/>
            <w:tcBorders>
              <w:top w:val="nil"/>
            </w:tcBorders>
          </w:tcPr>
          <w:p>
            <w:pPr>
              <w:rPr>
                <w:sz w:val="2"/>
                <w:szCs w:val="2"/>
              </w:rPr>
            </w:pPr>
          </w:p>
        </w:tc>
        <w:tc>
          <w:tcPr>
            <w:tcW w:w="579" w:type="dxa"/>
          </w:tcPr>
          <w:p>
            <w:pPr>
              <w:pStyle w:val="14"/>
              <w:spacing w:before="1" w:line="232" w:lineRule="auto"/>
              <w:ind w:left="157" w:right="149"/>
              <w:jc w:val="left"/>
              <w:rPr>
                <w:sz w:val="13"/>
              </w:rPr>
            </w:pPr>
            <w:r>
              <w:rPr>
                <w:spacing w:val="-8"/>
                <w:sz w:val="13"/>
              </w:rPr>
              <w:t>双鸭</w:t>
            </w:r>
            <w:r>
              <w:rPr>
                <w:spacing w:val="-9"/>
                <w:sz w:val="13"/>
              </w:rPr>
              <w:t>山林</w:t>
            </w:r>
          </w:p>
          <w:p>
            <w:pPr>
              <w:pStyle w:val="14"/>
              <w:spacing w:line="136" w:lineRule="exact"/>
              <w:ind w:left="157"/>
              <w:jc w:val="left"/>
              <w:rPr>
                <w:sz w:val="13"/>
              </w:rPr>
            </w:pPr>
            <w:r>
              <w:rPr>
                <w:spacing w:val="-1"/>
                <w:sz w:val="13"/>
              </w:rPr>
              <w:t>业局</w:t>
            </w:r>
          </w:p>
        </w:tc>
        <w:tc>
          <w:tcPr>
            <w:tcW w:w="579" w:type="dxa"/>
          </w:tcPr>
          <w:p>
            <w:pPr>
              <w:pStyle w:val="14"/>
              <w:spacing w:before="4"/>
              <w:jc w:val="left"/>
              <w:rPr>
                <w:b/>
                <w:sz w:val="12"/>
              </w:rPr>
            </w:pPr>
          </w:p>
          <w:p>
            <w:pPr>
              <w:pStyle w:val="14"/>
              <w:ind w:left="84" w:right="75"/>
              <w:rPr>
                <w:sz w:val="13"/>
              </w:rPr>
            </w:pPr>
            <w:r>
              <w:rPr>
                <w:sz w:val="13"/>
              </w:rPr>
              <w:t>国有</w:t>
            </w:r>
          </w:p>
        </w:tc>
        <w:tc>
          <w:tcPr>
            <w:tcW w:w="579" w:type="dxa"/>
          </w:tcPr>
          <w:p>
            <w:pPr>
              <w:pStyle w:val="14"/>
              <w:spacing w:before="4"/>
              <w:jc w:val="left"/>
              <w:rPr>
                <w:b/>
                <w:sz w:val="12"/>
              </w:rPr>
            </w:pPr>
          </w:p>
          <w:p>
            <w:pPr>
              <w:pStyle w:val="14"/>
              <w:ind w:left="158"/>
              <w:jc w:val="left"/>
              <w:rPr>
                <w:sz w:val="13"/>
              </w:rPr>
            </w:pPr>
            <w:r>
              <w:rPr>
                <w:sz w:val="13"/>
              </w:rPr>
              <w:t>集体</w:t>
            </w:r>
          </w:p>
        </w:tc>
        <w:tc>
          <w:tcPr>
            <w:tcW w:w="531" w:type="dxa"/>
          </w:tcPr>
          <w:p>
            <w:pPr>
              <w:pStyle w:val="14"/>
              <w:spacing w:before="1" w:line="232" w:lineRule="auto"/>
              <w:ind w:left="134" w:right="125"/>
              <w:rPr>
                <w:sz w:val="13"/>
              </w:rPr>
            </w:pPr>
            <w:r>
              <w:rPr>
                <w:sz w:val="13"/>
              </w:rPr>
              <w:t>青山旅游</w:t>
            </w:r>
          </w:p>
          <w:p>
            <w:pPr>
              <w:pStyle w:val="14"/>
              <w:spacing w:line="136" w:lineRule="exact"/>
              <w:ind w:left="7"/>
              <w:rPr>
                <w:sz w:val="13"/>
              </w:rPr>
            </w:pPr>
            <w:r>
              <w:rPr>
                <w:sz w:val="13"/>
              </w:rPr>
              <w:t>区</w:t>
            </w:r>
          </w:p>
        </w:tc>
        <w:tc>
          <w:tcPr>
            <w:tcW w:w="627" w:type="dxa"/>
          </w:tcPr>
          <w:p>
            <w:pPr>
              <w:pStyle w:val="14"/>
              <w:spacing w:before="4"/>
              <w:jc w:val="left"/>
              <w:rPr>
                <w:b/>
                <w:sz w:val="12"/>
              </w:rPr>
            </w:pPr>
          </w:p>
          <w:p>
            <w:pPr>
              <w:pStyle w:val="14"/>
              <w:ind w:left="181"/>
              <w:jc w:val="left"/>
              <w:rPr>
                <w:sz w:val="13"/>
              </w:rPr>
            </w:pPr>
            <w:r>
              <w:rPr>
                <w:sz w:val="13"/>
              </w:rPr>
              <w:t>国有</w:t>
            </w:r>
          </w:p>
        </w:tc>
        <w:tc>
          <w:tcPr>
            <w:tcW w:w="579" w:type="dxa"/>
          </w:tcPr>
          <w:p>
            <w:pPr>
              <w:pStyle w:val="14"/>
              <w:spacing w:before="4"/>
              <w:jc w:val="left"/>
              <w:rPr>
                <w:b/>
                <w:sz w:val="12"/>
              </w:rPr>
            </w:pPr>
          </w:p>
          <w:p>
            <w:pPr>
              <w:pStyle w:val="14"/>
              <w:ind w:left="159"/>
              <w:jc w:val="left"/>
              <w:rPr>
                <w:sz w:val="13"/>
              </w:rPr>
            </w:pPr>
            <w:r>
              <w:rPr>
                <w:sz w:val="13"/>
              </w:rPr>
              <w:t>集体</w:t>
            </w:r>
          </w:p>
        </w:tc>
        <w:tc>
          <w:tcPr>
            <w:tcW w:w="637" w:type="dxa"/>
            <w:vMerge w:val="continue"/>
            <w:tcBorders>
              <w:top w:val="nil"/>
            </w:tcBorders>
          </w:tcPr>
          <w:p>
            <w:pPr>
              <w:rPr>
                <w:sz w:val="2"/>
                <w:szCs w:val="2"/>
              </w:rPr>
            </w:pPr>
          </w:p>
        </w:tc>
        <w:tc>
          <w:tcPr>
            <w:tcW w:w="521" w:type="dxa"/>
          </w:tcPr>
          <w:p>
            <w:pPr>
              <w:pStyle w:val="14"/>
              <w:spacing w:before="4"/>
              <w:jc w:val="left"/>
              <w:rPr>
                <w:b/>
                <w:sz w:val="12"/>
              </w:rPr>
            </w:pPr>
          </w:p>
          <w:p>
            <w:pPr>
              <w:pStyle w:val="14"/>
              <w:ind w:left="129"/>
              <w:jc w:val="left"/>
              <w:rPr>
                <w:sz w:val="13"/>
              </w:rPr>
            </w:pPr>
            <w:r>
              <w:rPr>
                <w:sz w:val="13"/>
              </w:rPr>
              <w:t>国有</w:t>
            </w:r>
          </w:p>
        </w:tc>
        <w:tc>
          <w:tcPr>
            <w:tcW w:w="579" w:type="dxa"/>
          </w:tcPr>
          <w:p>
            <w:pPr>
              <w:pStyle w:val="14"/>
              <w:spacing w:before="4"/>
              <w:jc w:val="left"/>
              <w:rPr>
                <w:b/>
                <w:sz w:val="12"/>
              </w:rPr>
            </w:pPr>
          </w:p>
          <w:p>
            <w:pPr>
              <w:pStyle w:val="14"/>
              <w:ind w:left="157"/>
              <w:jc w:val="left"/>
              <w:rPr>
                <w:sz w:val="13"/>
              </w:rPr>
            </w:pPr>
            <w:r>
              <w:rPr>
                <w:sz w:val="13"/>
              </w:rPr>
              <w:t>集体</w:t>
            </w:r>
          </w:p>
        </w:tc>
        <w:tc>
          <w:tcPr>
            <w:tcW w:w="76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41" w:type="dxa"/>
          </w:tcPr>
          <w:p>
            <w:pPr>
              <w:pStyle w:val="14"/>
              <w:spacing w:before="84"/>
              <w:ind w:left="133" w:right="126"/>
              <w:rPr>
                <w:rFonts w:ascii="Calibri"/>
                <w:sz w:val="13"/>
              </w:rPr>
            </w:pPr>
            <w:r>
              <w:rPr>
                <w:rFonts w:ascii="Calibri"/>
                <w:sz w:val="13"/>
              </w:rPr>
              <w:t>01</w:t>
            </w:r>
          </w:p>
        </w:tc>
        <w:tc>
          <w:tcPr>
            <w:tcW w:w="992" w:type="dxa"/>
          </w:tcPr>
          <w:p>
            <w:pPr>
              <w:pStyle w:val="14"/>
              <w:spacing w:before="78"/>
              <w:ind w:left="55" w:right="46"/>
              <w:rPr>
                <w:sz w:val="13"/>
              </w:rPr>
            </w:pPr>
            <w:r>
              <w:rPr>
                <w:sz w:val="13"/>
              </w:rPr>
              <w:t>耕地</w:t>
            </w:r>
          </w:p>
        </w:tc>
        <w:tc>
          <w:tcPr>
            <w:tcW w:w="425" w:type="dxa"/>
          </w:tcPr>
          <w:p>
            <w:pPr>
              <w:pStyle w:val="14"/>
              <w:spacing w:before="84"/>
              <w:ind w:left="94" w:right="83"/>
              <w:rPr>
                <w:rFonts w:ascii="Calibri"/>
                <w:sz w:val="13"/>
              </w:rPr>
            </w:pPr>
            <w:r>
              <w:rPr>
                <w:rFonts w:ascii="Calibri"/>
                <w:sz w:val="13"/>
              </w:rPr>
              <w:t>013</w:t>
            </w:r>
          </w:p>
        </w:tc>
        <w:tc>
          <w:tcPr>
            <w:tcW w:w="567" w:type="dxa"/>
          </w:tcPr>
          <w:p>
            <w:pPr>
              <w:pStyle w:val="14"/>
              <w:spacing w:before="78"/>
              <w:ind w:left="50" w:right="41"/>
              <w:rPr>
                <w:sz w:val="13"/>
              </w:rPr>
            </w:pPr>
            <w:r>
              <w:rPr>
                <w:sz w:val="13"/>
              </w:rPr>
              <w:t>旱地</w:t>
            </w:r>
          </w:p>
        </w:tc>
        <w:tc>
          <w:tcPr>
            <w:tcW w:w="579" w:type="dxa"/>
          </w:tcPr>
          <w:p>
            <w:pPr>
              <w:pStyle w:val="14"/>
              <w:spacing w:before="84"/>
              <w:ind w:left="86" w:right="75"/>
              <w:rPr>
                <w:rFonts w:ascii="Calibri"/>
                <w:sz w:val="13"/>
              </w:rPr>
            </w:pPr>
            <w:r>
              <w:rPr>
                <w:rFonts w:ascii="Calibri"/>
                <w:sz w:val="13"/>
              </w:rPr>
              <w:t>0.2365</w:t>
            </w:r>
          </w:p>
        </w:tc>
        <w:tc>
          <w:tcPr>
            <w:tcW w:w="579" w:type="dxa"/>
          </w:tcPr>
          <w:p>
            <w:pPr>
              <w:pStyle w:val="14"/>
              <w:spacing w:before="84"/>
              <w:ind w:left="88" w:right="73"/>
              <w:rPr>
                <w:rFonts w:ascii="Calibri"/>
                <w:sz w:val="13"/>
              </w:rPr>
            </w:pPr>
            <w:r>
              <w:rPr>
                <w:rFonts w:ascii="Calibri"/>
                <w:sz w:val="13"/>
              </w:rPr>
              <w:t>0.2365</w:t>
            </w:r>
          </w:p>
        </w:tc>
        <w:tc>
          <w:tcPr>
            <w:tcW w:w="579" w:type="dxa"/>
          </w:tcPr>
          <w:p>
            <w:pPr>
              <w:pStyle w:val="14"/>
              <w:jc w:val="left"/>
              <w:rPr>
                <w:rFonts w:ascii="Times New Roman"/>
                <w:sz w:val="14"/>
              </w:rPr>
            </w:pPr>
          </w:p>
        </w:tc>
        <w:tc>
          <w:tcPr>
            <w:tcW w:w="531" w:type="dxa"/>
          </w:tcPr>
          <w:p>
            <w:pPr>
              <w:pStyle w:val="14"/>
              <w:spacing w:before="5"/>
              <w:ind w:left="97" w:right="87"/>
              <w:rPr>
                <w:rFonts w:ascii="Calibri"/>
                <w:sz w:val="13"/>
              </w:rPr>
            </w:pPr>
            <w:r>
              <w:rPr>
                <w:rFonts w:ascii="Calibri"/>
                <w:sz w:val="13"/>
              </w:rPr>
              <w:t>55.71</w:t>
            </w:r>
          </w:p>
          <w:p>
            <w:pPr>
              <w:pStyle w:val="14"/>
              <w:spacing w:before="2" w:line="134" w:lineRule="exact"/>
              <w:ind w:left="133" w:right="125"/>
              <w:rPr>
                <w:rFonts w:ascii="Calibri"/>
                <w:sz w:val="13"/>
              </w:rPr>
            </w:pPr>
            <w:r>
              <w:rPr>
                <w:rFonts w:ascii="Calibri"/>
                <w:sz w:val="13"/>
              </w:rPr>
              <w:t>14</w:t>
            </w:r>
          </w:p>
        </w:tc>
        <w:tc>
          <w:tcPr>
            <w:tcW w:w="627" w:type="dxa"/>
          </w:tcPr>
          <w:p>
            <w:pPr>
              <w:pStyle w:val="14"/>
              <w:spacing w:before="5"/>
              <w:ind w:left="112" w:right="101"/>
              <w:rPr>
                <w:rFonts w:ascii="Calibri"/>
                <w:sz w:val="13"/>
              </w:rPr>
            </w:pPr>
            <w:r>
              <w:rPr>
                <w:rFonts w:ascii="Calibri"/>
                <w:sz w:val="13"/>
              </w:rPr>
              <w:t>55.711</w:t>
            </w:r>
          </w:p>
          <w:p>
            <w:pPr>
              <w:pStyle w:val="14"/>
              <w:spacing w:before="2" w:line="134" w:lineRule="exact"/>
              <w:ind w:left="9"/>
              <w:rPr>
                <w:rFonts w:ascii="Calibri"/>
                <w:sz w:val="13"/>
              </w:rPr>
            </w:pPr>
            <w:r>
              <w:rPr>
                <w:rFonts w:ascii="Calibri"/>
                <w:sz w:val="13"/>
              </w:rPr>
              <w:t>4</w:t>
            </w:r>
          </w:p>
        </w:tc>
        <w:tc>
          <w:tcPr>
            <w:tcW w:w="579" w:type="dxa"/>
          </w:tcPr>
          <w:p>
            <w:pPr>
              <w:pStyle w:val="14"/>
              <w:jc w:val="left"/>
              <w:rPr>
                <w:rFonts w:ascii="Times New Roman"/>
                <w:sz w:val="14"/>
              </w:rPr>
            </w:pPr>
          </w:p>
        </w:tc>
        <w:tc>
          <w:tcPr>
            <w:tcW w:w="637" w:type="dxa"/>
          </w:tcPr>
          <w:p>
            <w:pPr>
              <w:pStyle w:val="14"/>
              <w:spacing w:before="5"/>
              <w:ind w:left="118" w:right="105"/>
              <w:rPr>
                <w:rFonts w:ascii="Calibri"/>
                <w:sz w:val="13"/>
              </w:rPr>
            </w:pPr>
            <w:r>
              <w:rPr>
                <w:rFonts w:ascii="Calibri"/>
                <w:sz w:val="13"/>
              </w:rPr>
              <w:t>55.947</w:t>
            </w:r>
          </w:p>
          <w:p>
            <w:pPr>
              <w:pStyle w:val="14"/>
              <w:spacing w:before="2" w:line="134" w:lineRule="exact"/>
              <w:ind w:left="11"/>
              <w:rPr>
                <w:rFonts w:ascii="Calibri"/>
                <w:sz w:val="13"/>
              </w:rPr>
            </w:pPr>
            <w:r>
              <w:rPr>
                <w:rFonts w:ascii="Calibri"/>
                <w:sz w:val="13"/>
              </w:rPr>
              <w:t>9</w:t>
            </w:r>
          </w:p>
        </w:tc>
        <w:tc>
          <w:tcPr>
            <w:tcW w:w="521" w:type="dxa"/>
          </w:tcPr>
          <w:p>
            <w:pPr>
              <w:pStyle w:val="14"/>
              <w:spacing w:before="5"/>
              <w:ind w:left="93" w:right="81"/>
              <w:rPr>
                <w:rFonts w:ascii="Calibri"/>
                <w:sz w:val="13"/>
              </w:rPr>
            </w:pPr>
            <w:r>
              <w:rPr>
                <w:rFonts w:ascii="Calibri"/>
                <w:sz w:val="13"/>
              </w:rPr>
              <w:t>55.94</w:t>
            </w:r>
          </w:p>
          <w:p>
            <w:pPr>
              <w:pStyle w:val="14"/>
              <w:spacing w:before="2" w:line="134" w:lineRule="exact"/>
              <w:ind w:left="88" w:right="81"/>
              <w:rPr>
                <w:rFonts w:ascii="Calibri"/>
                <w:sz w:val="13"/>
              </w:rPr>
            </w:pPr>
            <w:r>
              <w:rPr>
                <w:rFonts w:ascii="Calibri"/>
                <w:sz w:val="13"/>
              </w:rPr>
              <w:t>79</w:t>
            </w:r>
          </w:p>
        </w:tc>
        <w:tc>
          <w:tcPr>
            <w:tcW w:w="579" w:type="dxa"/>
          </w:tcPr>
          <w:p>
            <w:pPr>
              <w:pStyle w:val="14"/>
              <w:jc w:val="left"/>
              <w:rPr>
                <w:rFonts w:ascii="Times New Roman"/>
                <w:sz w:val="14"/>
              </w:rPr>
            </w:pPr>
          </w:p>
        </w:tc>
        <w:tc>
          <w:tcPr>
            <w:tcW w:w="760" w:type="dxa"/>
          </w:tcPr>
          <w:p>
            <w:pPr>
              <w:pStyle w:val="14"/>
              <w:spacing w:before="84"/>
              <w:ind w:left="179" w:right="168"/>
              <w:rPr>
                <w:rFonts w:ascii="Calibri"/>
                <w:sz w:val="13"/>
              </w:rPr>
            </w:pPr>
            <w:r>
              <w:rPr>
                <w:rFonts w:ascii="Calibri"/>
                <w:sz w:val="13"/>
              </w:rPr>
              <w:t>16.91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41" w:type="dxa"/>
          </w:tcPr>
          <w:p>
            <w:pPr>
              <w:pStyle w:val="14"/>
              <w:spacing w:before="86"/>
              <w:ind w:left="133" w:right="126"/>
              <w:rPr>
                <w:rFonts w:ascii="Calibri"/>
                <w:sz w:val="13"/>
              </w:rPr>
            </w:pPr>
            <w:r>
              <w:rPr>
                <w:rFonts w:ascii="Calibri"/>
                <w:sz w:val="13"/>
              </w:rPr>
              <w:t>02</w:t>
            </w:r>
          </w:p>
        </w:tc>
        <w:tc>
          <w:tcPr>
            <w:tcW w:w="992" w:type="dxa"/>
          </w:tcPr>
          <w:p>
            <w:pPr>
              <w:pStyle w:val="14"/>
              <w:spacing w:before="77"/>
              <w:ind w:left="55" w:right="46"/>
              <w:rPr>
                <w:sz w:val="13"/>
              </w:rPr>
            </w:pPr>
            <w:r>
              <w:rPr>
                <w:sz w:val="13"/>
              </w:rPr>
              <w:t>园地</w:t>
            </w:r>
          </w:p>
        </w:tc>
        <w:tc>
          <w:tcPr>
            <w:tcW w:w="425" w:type="dxa"/>
          </w:tcPr>
          <w:p>
            <w:pPr>
              <w:pStyle w:val="14"/>
              <w:spacing w:before="86"/>
              <w:ind w:left="94" w:right="83"/>
              <w:rPr>
                <w:rFonts w:ascii="Calibri"/>
                <w:sz w:val="13"/>
              </w:rPr>
            </w:pPr>
            <w:r>
              <w:rPr>
                <w:rFonts w:ascii="Calibri"/>
                <w:sz w:val="13"/>
              </w:rPr>
              <w:t>023</w:t>
            </w:r>
          </w:p>
        </w:tc>
        <w:tc>
          <w:tcPr>
            <w:tcW w:w="567" w:type="dxa"/>
          </w:tcPr>
          <w:p>
            <w:pPr>
              <w:pStyle w:val="14"/>
              <w:spacing w:line="162" w:lineRule="exact"/>
              <w:ind w:left="153"/>
              <w:jc w:val="left"/>
              <w:rPr>
                <w:sz w:val="13"/>
              </w:rPr>
            </w:pPr>
            <w:r>
              <w:rPr>
                <w:spacing w:val="-1"/>
                <w:sz w:val="13"/>
              </w:rPr>
              <w:t>其他</w:t>
            </w:r>
          </w:p>
          <w:p>
            <w:pPr>
              <w:pStyle w:val="14"/>
              <w:spacing w:line="138" w:lineRule="exact"/>
              <w:ind w:left="153"/>
              <w:jc w:val="left"/>
              <w:rPr>
                <w:sz w:val="13"/>
              </w:rPr>
            </w:pPr>
            <w:r>
              <w:rPr>
                <w:spacing w:val="-1"/>
                <w:sz w:val="13"/>
              </w:rPr>
              <w:t>园地</w:t>
            </w:r>
          </w:p>
        </w:tc>
        <w:tc>
          <w:tcPr>
            <w:tcW w:w="579" w:type="dxa"/>
          </w:tcPr>
          <w:p>
            <w:pPr>
              <w:pStyle w:val="14"/>
              <w:jc w:val="left"/>
              <w:rPr>
                <w:rFonts w:ascii="Times New Roman"/>
                <w:sz w:val="14"/>
              </w:rPr>
            </w:pPr>
          </w:p>
        </w:tc>
        <w:tc>
          <w:tcPr>
            <w:tcW w:w="579" w:type="dxa"/>
          </w:tcPr>
          <w:p>
            <w:pPr>
              <w:pStyle w:val="14"/>
              <w:jc w:val="left"/>
              <w:rPr>
                <w:rFonts w:ascii="Times New Roman"/>
                <w:sz w:val="14"/>
              </w:rPr>
            </w:pPr>
          </w:p>
        </w:tc>
        <w:tc>
          <w:tcPr>
            <w:tcW w:w="579" w:type="dxa"/>
          </w:tcPr>
          <w:p>
            <w:pPr>
              <w:pStyle w:val="14"/>
              <w:jc w:val="left"/>
              <w:rPr>
                <w:rFonts w:ascii="Times New Roman"/>
                <w:sz w:val="14"/>
              </w:rPr>
            </w:pPr>
          </w:p>
        </w:tc>
        <w:tc>
          <w:tcPr>
            <w:tcW w:w="531" w:type="dxa"/>
          </w:tcPr>
          <w:p>
            <w:pPr>
              <w:pStyle w:val="14"/>
              <w:spacing w:before="4"/>
              <w:ind w:left="97" w:right="87"/>
              <w:rPr>
                <w:rFonts w:ascii="Calibri"/>
                <w:sz w:val="13"/>
              </w:rPr>
            </w:pPr>
            <w:r>
              <w:rPr>
                <w:rFonts w:ascii="Calibri"/>
                <w:sz w:val="13"/>
              </w:rPr>
              <w:t>1.114</w:t>
            </w:r>
          </w:p>
          <w:p>
            <w:pPr>
              <w:pStyle w:val="14"/>
              <w:spacing w:before="2" w:line="135" w:lineRule="exact"/>
              <w:ind w:left="10"/>
              <w:rPr>
                <w:rFonts w:ascii="Calibri"/>
                <w:sz w:val="13"/>
              </w:rPr>
            </w:pPr>
            <w:r>
              <w:rPr>
                <w:rFonts w:ascii="Calibri"/>
                <w:sz w:val="13"/>
              </w:rPr>
              <w:t>1</w:t>
            </w:r>
          </w:p>
        </w:tc>
        <w:tc>
          <w:tcPr>
            <w:tcW w:w="627" w:type="dxa"/>
          </w:tcPr>
          <w:p>
            <w:pPr>
              <w:pStyle w:val="14"/>
              <w:spacing w:before="86"/>
              <w:ind w:left="133"/>
              <w:jc w:val="left"/>
              <w:rPr>
                <w:rFonts w:ascii="Calibri"/>
                <w:sz w:val="13"/>
              </w:rPr>
            </w:pPr>
            <w:r>
              <w:rPr>
                <w:rFonts w:ascii="Calibri"/>
                <w:sz w:val="13"/>
              </w:rPr>
              <w:t>1.1141</w:t>
            </w:r>
          </w:p>
        </w:tc>
        <w:tc>
          <w:tcPr>
            <w:tcW w:w="579" w:type="dxa"/>
          </w:tcPr>
          <w:p>
            <w:pPr>
              <w:pStyle w:val="14"/>
              <w:jc w:val="left"/>
              <w:rPr>
                <w:rFonts w:ascii="Times New Roman"/>
                <w:sz w:val="14"/>
              </w:rPr>
            </w:pPr>
          </w:p>
        </w:tc>
        <w:tc>
          <w:tcPr>
            <w:tcW w:w="637" w:type="dxa"/>
          </w:tcPr>
          <w:p>
            <w:pPr>
              <w:pStyle w:val="14"/>
              <w:spacing w:before="86"/>
              <w:ind w:right="124"/>
              <w:jc w:val="right"/>
              <w:rPr>
                <w:rFonts w:ascii="Calibri"/>
                <w:sz w:val="13"/>
              </w:rPr>
            </w:pPr>
            <w:r>
              <w:rPr>
                <w:rFonts w:ascii="Calibri"/>
                <w:sz w:val="13"/>
              </w:rPr>
              <w:t>1.1141</w:t>
            </w:r>
          </w:p>
        </w:tc>
        <w:tc>
          <w:tcPr>
            <w:tcW w:w="521" w:type="dxa"/>
          </w:tcPr>
          <w:p>
            <w:pPr>
              <w:pStyle w:val="14"/>
              <w:spacing w:before="4"/>
              <w:ind w:left="93" w:right="81"/>
              <w:rPr>
                <w:rFonts w:ascii="Calibri"/>
                <w:sz w:val="13"/>
              </w:rPr>
            </w:pPr>
            <w:r>
              <w:rPr>
                <w:rFonts w:ascii="Calibri"/>
                <w:sz w:val="13"/>
              </w:rPr>
              <w:t>1.114</w:t>
            </w:r>
          </w:p>
          <w:p>
            <w:pPr>
              <w:pStyle w:val="14"/>
              <w:spacing w:before="2" w:line="135" w:lineRule="exact"/>
              <w:ind w:left="10"/>
              <w:rPr>
                <w:rFonts w:ascii="Calibri"/>
                <w:sz w:val="13"/>
              </w:rPr>
            </w:pPr>
            <w:r>
              <w:rPr>
                <w:rFonts w:ascii="Calibri"/>
                <w:sz w:val="13"/>
              </w:rPr>
              <w:t>1</w:t>
            </w:r>
          </w:p>
        </w:tc>
        <w:tc>
          <w:tcPr>
            <w:tcW w:w="579" w:type="dxa"/>
          </w:tcPr>
          <w:p>
            <w:pPr>
              <w:pStyle w:val="14"/>
              <w:jc w:val="left"/>
              <w:rPr>
                <w:rFonts w:ascii="Times New Roman"/>
                <w:sz w:val="14"/>
              </w:rPr>
            </w:pPr>
          </w:p>
        </w:tc>
        <w:tc>
          <w:tcPr>
            <w:tcW w:w="760" w:type="dxa"/>
          </w:tcPr>
          <w:p>
            <w:pPr>
              <w:pStyle w:val="14"/>
              <w:spacing w:before="86"/>
              <w:ind w:left="177" w:right="168"/>
              <w:rPr>
                <w:rFonts w:ascii="Calibri"/>
                <w:sz w:val="13"/>
              </w:rPr>
            </w:pPr>
            <w:r>
              <w:rPr>
                <w:rFonts w:ascii="Calibri"/>
                <w:sz w:val="13"/>
              </w:rPr>
              <w:t>0.34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41" w:type="dxa"/>
          </w:tcPr>
          <w:p>
            <w:pPr>
              <w:pStyle w:val="14"/>
              <w:spacing w:before="84"/>
              <w:ind w:left="133" w:right="126"/>
              <w:rPr>
                <w:rFonts w:ascii="Calibri"/>
                <w:sz w:val="13"/>
              </w:rPr>
            </w:pPr>
            <w:r>
              <w:rPr>
                <w:rFonts w:ascii="Calibri"/>
                <w:sz w:val="13"/>
              </w:rPr>
              <w:t>03</w:t>
            </w:r>
          </w:p>
        </w:tc>
        <w:tc>
          <w:tcPr>
            <w:tcW w:w="992" w:type="dxa"/>
          </w:tcPr>
          <w:p>
            <w:pPr>
              <w:pStyle w:val="14"/>
              <w:spacing w:before="78"/>
              <w:ind w:left="55" w:right="46"/>
              <w:rPr>
                <w:sz w:val="13"/>
              </w:rPr>
            </w:pPr>
            <w:r>
              <w:rPr>
                <w:sz w:val="13"/>
              </w:rPr>
              <w:t>林地</w:t>
            </w:r>
          </w:p>
        </w:tc>
        <w:tc>
          <w:tcPr>
            <w:tcW w:w="425" w:type="dxa"/>
          </w:tcPr>
          <w:p>
            <w:pPr>
              <w:pStyle w:val="14"/>
              <w:spacing w:before="84"/>
              <w:ind w:left="94" w:right="83"/>
              <w:rPr>
                <w:rFonts w:ascii="Calibri"/>
                <w:sz w:val="13"/>
              </w:rPr>
            </w:pPr>
            <w:r>
              <w:rPr>
                <w:rFonts w:ascii="Calibri"/>
                <w:sz w:val="13"/>
              </w:rPr>
              <w:t>031</w:t>
            </w:r>
          </w:p>
        </w:tc>
        <w:tc>
          <w:tcPr>
            <w:tcW w:w="567" w:type="dxa"/>
          </w:tcPr>
          <w:p>
            <w:pPr>
              <w:pStyle w:val="14"/>
              <w:spacing w:before="3" w:line="158" w:lineRule="exact"/>
              <w:ind w:left="218" w:right="141" w:hanging="65"/>
              <w:jc w:val="left"/>
              <w:rPr>
                <w:sz w:val="13"/>
              </w:rPr>
            </w:pPr>
            <w:r>
              <w:rPr>
                <w:sz w:val="13"/>
              </w:rPr>
              <w:t>有林地</w:t>
            </w:r>
          </w:p>
        </w:tc>
        <w:tc>
          <w:tcPr>
            <w:tcW w:w="579" w:type="dxa"/>
          </w:tcPr>
          <w:p>
            <w:pPr>
              <w:pStyle w:val="14"/>
              <w:spacing w:before="5"/>
              <w:ind w:left="86" w:right="75"/>
              <w:rPr>
                <w:rFonts w:ascii="Calibri"/>
                <w:sz w:val="13"/>
              </w:rPr>
            </w:pPr>
            <w:r>
              <w:rPr>
                <w:rFonts w:ascii="Calibri"/>
                <w:sz w:val="13"/>
              </w:rPr>
              <w:t>48.584</w:t>
            </w:r>
          </w:p>
          <w:p>
            <w:pPr>
              <w:pStyle w:val="14"/>
              <w:spacing w:before="2" w:line="134" w:lineRule="exact"/>
              <w:ind w:left="9"/>
              <w:rPr>
                <w:rFonts w:ascii="Calibri"/>
                <w:sz w:val="13"/>
              </w:rPr>
            </w:pPr>
            <w:r>
              <w:rPr>
                <w:rFonts w:ascii="Calibri"/>
                <w:sz w:val="13"/>
              </w:rPr>
              <w:t>3</w:t>
            </w:r>
          </w:p>
        </w:tc>
        <w:tc>
          <w:tcPr>
            <w:tcW w:w="579" w:type="dxa"/>
          </w:tcPr>
          <w:p>
            <w:pPr>
              <w:pStyle w:val="14"/>
              <w:spacing w:before="5"/>
              <w:ind w:left="88" w:right="73"/>
              <w:rPr>
                <w:rFonts w:ascii="Calibri"/>
                <w:sz w:val="13"/>
              </w:rPr>
            </w:pPr>
            <w:r>
              <w:rPr>
                <w:rFonts w:ascii="Calibri"/>
                <w:sz w:val="13"/>
              </w:rPr>
              <w:t>48.584</w:t>
            </w:r>
          </w:p>
          <w:p>
            <w:pPr>
              <w:pStyle w:val="14"/>
              <w:spacing w:before="2" w:line="134" w:lineRule="exact"/>
              <w:ind w:left="8"/>
              <w:rPr>
                <w:rFonts w:ascii="Calibri"/>
                <w:sz w:val="13"/>
              </w:rPr>
            </w:pPr>
            <w:r>
              <w:rPr>
                <w:rFonts w:ascii="Calibri"/>
                <w:sz w:val="13"/>
              </w:rPr>
              <w:t>3</w:t>
            </w:r>
          </w:p>
        </w:tc>
        <w:tc>
          <w:tcPr>
            <w:tcW w:w="579" w:type="dxa"/>
          </w:tcPr>
          <w:p>
            <w:pPr>
              <w:pStyle w:val="14"/>
              <w:jc w:val="left"/>
              <w:rPr>
                <w:rFonts w:ascii="Times New Roman"/>
                <w:sz w:val="14"/>
              </w:rPr>
            </w:pPr>
          </w:p>
        </w:tc>
        <w:tc>
          <w:tcPr>
            <w:tcW w:w="531" w:type="dxa"/>
          </w:tcPr>
          <w:p>
            <w:pPr>
              <w:pStyle w:val="14"/>
              <w:spacing w:before="5"/>
              <w:ind w:left="117"/>
              <w:jc w:val="left"/>
              <w:rPr>
                <w:rFonts w:ascii="Calibri"/>
                <w:sz w:val="13"/>
              </w:rPr>
            </w:pPr>
            <w:r>
              <w:rPr>
                <w:rFonts w:ascii="Calibri"/>
                <w:sz w:val="13"/>
              </w:rPr>
              <w:t>178.2</w:t>
            </w:r>
          </w:p>
          <w:p>
            <w:pPr>
              <w:pStyle w:val="14"/>
              <w:spacing w:before="2" w:line="134" w:lineRule="exact"/>
              <w:ind w:left="167"/>
              <w:jc w:val="left"/>
              <w:rPr>
                <w:rFonts w:ascii="Calibri"/>
                <w:sz w:val="13"/>
              </w:rPr>
            </w:pPr>
            <w:r>
              <w:rPr>
                <w:rFonts w:ascii="Calibri"/>
                <w:sz w:val="13"/>
              </w:rPr>
              <w:t>151</w:t>
            </w:r>
          </w:p>
        </w:tc>
        <w:tc>
          <w:tcPr>
            <w:tcW w:w="627" w:type="dxa"/>
          </w:tcPr>
          <w:p>
            <w:pPr>
              <w:pStyle w:val="14"/>
              <w:spacing w:before="5"/>
              <w:ind w:left="112" w:right="101"/>
              <w:rPr>
                <w:rFonts w:ascii="Calibri"/>
                <w:sz w:val="13"/>
              </w:rPr>
            </w:pPr>
            <w:r>
              <w:rPr>
                <w:rFonts w:ascii="Calibri"/>
                <w:sz w:val="13"/>
              </w:rPr>
              <w:t>178.21</w:t>
            </w:r>
          </w:p>
          <w:p>
            <w:pPr>
              <w:pStyle w:val="14"/>
              <w:spacing w:before="2" w:line="134" w:lineRule="exact"/>
              <w:ind w:left="107" w:right="101"/>
              <w:rPr>
                <w:rFonts w:ascii="Calibri"/>
                <w:sz w:val="13"/>
              </w:rPr>
            </w:pPr>
            <w:r>
              <w:rPr>
                <w:rFonts w:ascii="Calibri"/>
                <w:sz w:val="13"/>
              </w:rPr>
              <w:t>51</w:t>
            </w:r>
          </w:p>
        </w:tc>
        <w:tc>
          <w:tcPr>
            <w:tcW w:w="579" w:type="dxa"/>
          </w:tcPr>
          <w:p>
            <w:pPr>
              <w:pStyle w:val="14"/>
              <w:jc w:val="left"/>
              <w:rPr>
                <w:rFonts w:ascii="Times New Roman"/>
                <w:sz w:val="14"/>
              </w:rPr>
            </w:pPr>
          </w:p>
        </w:tc>
        <w:tc>
          <w:tcPr>
            <w:tcW w:w="637" w:type="dxa"/>
          </w:tcPr>
          <w:p>
            <w:pPr>
              <w:pStyle w:val="14"/>
              <w:spacing w:before="5"/>
              <w:ind w:left="118" w:right="105"/>
              <w:rPr>
                <w:rFonts w:ascii="Calibri"/>
                <w:sz w:val="13"/>
              </w:rPr>
            </w:pPr>
            <w:r>
              <w:rPr>
                <w:rFonts w:ascii="Calibri"/>
                <w:sz w:val="13"/>
              </w:rPr>
              <w:t>226.79</w:t>
            </w:r>
          </w:p>
          <w:p>
            <w:pPr>
              <w:pStyle w:val="14"/>
              <w:spacing w:before="2" w:line="134" w:lineRule="exact"/>
              <w:ind w:left="113" w:right="105"/>
              <w:rPr>
                <w:rFonts w:ascii="Calibri"/>
                <w:sz w:val="13"/>
              </w:rPr>
            </w:pPr>
            <w:r>
              <w:rPr>
                <w:rFonts w:ascii="Calibri"/>
                <w:sz w:val="13"/>
              </w:rPr>
              <w:t>94</w:t>
            </w:r>
          </w:p>
        </w:tc>
        <w:tc>
          <w:tcPr>
            <w:tcW w:w="521" w:type="dxa"/>
          </w:tcPr>
          <w:p>
            <w:pPr>
              <w:pStyle w:val="14"/>
              <w:spacing w:before="5"/>
              <w:ind w:left="114"/>
              <w:jc w:val="left"/>
              <w:rPr>
                <w:rFonts w:ascii="Calibri"/>
                <w:sz w:val="13"/>
              </w:rPr>
            </w:pPr>
            <w:r>
              <w:rPr>
                <w:rFonts w:ascii="Calibri"/>
                <w:sz w:val="13"/>
              </w:rPr>
              <w:t>226.7</w:t>
            </w:r>
          </w:p>
          <w:p>
            <w:pPr>
              <w:pStyle w:val="14"/>
              <w:spacing w:before="2" w:line="134" w:lineRule="exact"/>
              <w:ind w:left="162"/>
              <w:jc w:val="left"/>
              <w:rPr>
                <w:rFonts w:ascii="Calibri"/>
                <w:sz w:val="13"/>
              </w:rPr>
            </w:pPr>
            <w:r>
              <w:rPr>
                <w:rFonts w:ascii="Calibri"/>
                <w:sz w:val="13"/>
              </w:rPr>
              <w:t>994</w:t>
            </w:r>
          </w:p>
        </w:tc>
        <w:tc>
          <w:tcPr>
            <w:tcW w:w="579" w:type="dxa"/>
          </w:tcPr>
          <w:p>
            <w:pPr>
              <w:pStyle w:val="14"/>
              <w:jc w:val="left"/>
              <w:rPr>
                <w:rFonts w:ascii="Times New Roman"/>
                <w:sz w:val="14"/>
              </w:rPr>
            </w:pPr>
          </w:p>
        </w:tc>
        <w:tc>
          <w:tcPr>
            <w:tcW w:w="760" w:type="dxa"/>
          </w:tcPr>
          <w:p>
            <w:pPr>
              <w:pStyle w:val="14"/>
              <w:spacing w:before="84"/>
              <w:ind w:left="179" w:right="168"/>
              <w:rPr>
                <w:rFonts w:ascii="Calibri"/>
                <w:sz w:val="13"/>
              </w:rPr>
            </w:pPr>
            <w:r>
              <w:rPr>
                <w:rFonts w:ascii="Calibri"/>
                <w:sz w:val="13"/>
              </w:rPr>
              <w:t>68.54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41" w:type="dxa"/>
          </w:tcPr>
          <w:p>
            <w:pPr>
              <w:pStyle w:val="14"/>
              <w:spacing w:before="86"/>
              <w:ind w:left="133" w:right="126"/>
              <w:rPr>
                <w:rFonts w:ascii="Calibri"/>
                <w:sz w:val="13"/>
              </w:rPr>
            </w:pPr>
            <w:r>
              <w:rPr>
                <w:rFonts w:ascii="Calibri"/>
                <w:sz w:val="13"/>
              </w:rPr>
              <w:t>10</w:t>
            </w:r>
          </w:p>
        </w:tc>
        <w:tc>
          <w:tcPr>
            <w:tcW w:w="992" w:type="dxa"/>
          </w:tcPr>
          <w:p>
            <w:pPr>
              <w:pStyle w:val="14"/>
              <w:spacing w:line="162" w:lineRule="exact"/>
              <w:ind w:left="56" w:right="45"/>
              <w:rPr>
                <w:sz w:val="13"/>
              </w:rPr>
            </w:pPr>
            <w:r>
              <w:rPr>
                <w:sz w:val="13"/>
              </w:rPr>
              <w:t>交通设施用</w:t>
            </w:r>
          </w:p>
          <w:p>
            <w:pPr>
              <w:pStyle w:val="14"/>
              <w:spacing w:line="138" w:lineRule="exact"/>
              <w:ind w:left="9"/>
              <w:rPr>
                <w:sz w:val="13"/>
              </w:rPr>
            </w:pPr>
            <w:r>
              <w:rPr>
                <w:sz w:val="13"/>
              </w:rPr>
              <w:t>地</w:t>
            </w:r>
          </w:p>
        </w:tc>
        <w:tc>
          <w:tcPr>
            <w:tcW w:w="425" w:type="dxa"/>
          </w:tcPr>
          <w:p>
            <w:pPr>
              <w:pStyle w:val="14"/>
              <w:spacing w:before="86"/>
              <w:ind w:left="94" w:right="83"/>
              <w:rPr>
                <w:rFonts w:ascii="Calibri"/>
                <w:sz w:val="13"/>
              </w:rPr>
            </w:pPr>
            <w:r>
              <w:rPr>
                <w:rFonts w:ascii="Calibri"/>
                <w:sz w:val="13"/>
              </w:rPr>
              <w:t>104</w:t>
            </w:r>
          </w:p>
        </w:tc>
        <w:tc>
          <w:tcPr>
            <w:tcW w:w="567" w:type="dxa"/>
          </w:tcPr>
          <w:p>
            <w:pPr>
              <w:pStyle w:val="14"/>
              <w:spacing w:line="162" w:lineRule="exact"/>
              <w:ind w:left="153"/>
              <w:jc w:val="left"/>
              <w:rPr>
                <w:sz w:val="13"/>
              </w:rPr>
            </w:pPr>
            <w:r>
              <w:rPr>
                <w:spacing w:val="-1"/>
                <w:sz w:val="13"/>
              </w:rPr>
              <w:t>农村</w:t>
            </w:r>
          </w:p>
          <w:p>
            <w:pPr>
              <w:pStyle w:val="14"/>
              <w:spacing w:line="138" w:lineRule="exact"/>
              <w:ind w:left="153"/>
              <w:jc w:val="left"/>
              <w:rPr>
                <w:sz w:val="13"/>
              </w:rPr>
            </w:pPr>
            <w:r>
              <w:rPr>
                <w:spacing w:val="-1"/>
                <w:sz w:val="13"/>
              </w:rPr>
              <w:t>道路</w:t>
            </w:r>
          </w:p>
        </w:tc>
        <w:tc>
          <w:tcPr>
            <w:tcW w:w="579" w:type="dxa"/>
          </w:tcPr>
          <w:p>
            <w:pPr>
              <w:pStyle w:val="14"/>
              <w:spacing w:before="86"/>
              <w:ind w:left="86" w:right="75"/>
              <w:rPr>
                <w:rFonts w:ascii="Calibri"/>
                <w:sz w:val="13"/>
              </w:rPr>
            </w:pPr>
            <w:r>
              <w:rPr>
                <w:rFonts w:ascii="Calibri"/>
                <w:sz w:val="13"/>
              </w:rPr>
              <w:t>0.8305</w:t>
            </w:r>
          </w:p>
        </w:tc>
        <w:tc>
          <w:tcPr>
            <w:tcW w:w="579" w:type="dxa"/>
          </w:tcPr>
          <w:p>
            <w:pPr>
              <w:pStyle w:val="14"/>
              <w:spacing w:before="86"/>
              <w:ind w:left="88" w:right="73"/>
              <w:rPr>
                <w:rFonts w:ascii="Calibri"/>
                <w:sz w:val="13"/>
              </w:rPr>
            </w:pPr>
            <w:r>
              <w:rPr>
                <w:rFonts w:ascii="Calibri"/>
                <w:sz w:val="13"/>
              </w:rPr>
              <w:t>0.8305</w:t>
            </w:r>
          </w:p>
        </w:tc>
        <w:tc>
          <w:tcPr>
            <w:tcW w:w="579" w:type="dxa"/>
          </w:tcPr>
          <w:p>
            <w:pPr>
              <w:pStyle w:val="14"/>
              <w:jc w:val="left"/>
              <w:rPr>
                <w:rFonts w:ascii="Times New Roman"/>
                <w:sz w:val="14"/>
              </w:rPr>
            </w:pPr>
          </w:p>
        </w:tc>
        <w:tc>
          <w:tcPr>
            <w:tcW w:w="531" w:type="dxa"/>
          </w:tcPr>
          <w:p>
            <w:pPr>
              <w:pStyle w:val="14"/>
              <w:spacing w:before="4"/>
              <w:ind w:left="97" w:right="87"/>
              <w:rPr>
                <w:rFonts w:ascii="Calibri"/>
                <w:sz w:val="13"/>
              </w:rPr>
            </w:pPr>
            <w:r>
              <w:rPr>
                <w:rFonts w:ascii="Calibri"/>
                <w:sz w:val="13"/>
              </w:rPr>
              <w:t>10.16</w:t>
            </w:r>
          </w:p>
          <w:p>
            <w:pPr>
              <w:pStyle w:val="14"/>
              <w:spacing w:before="2" w:line="135" w:lineRule="exact"/>
              <w:ind w:left="133" w:right="125"/>
              <w:rPr>
                <w:rFonts w:ascii="Calibri"/>
                <w:sz w:val="13"/>
              </w:rPr>
            </w:pPr>
            <w:r>
              <w:rPr>
                <w:rFonts w:ascii="Calibri"/>
                <w:sz w:val="13"/>
              </w:rPr>
              <w:t>94</w:t>
            </w:r>
          </w:p>
        </w:tc>
        <w:tc>
          <w:tcPr>
            <w:tcW w:w="627" w:type="dxa"/>
          </w:tcPr>
          <w:p>
            <w:pPr>
              <w:pStyle w:val="14"/>
              <w:spacing w:before="4"/>
              <w:ind w:left="112" w:right="101"/>
              <w:rPr>
                <w:rFonts w:ascii="Calibri"/>
                <w:sz w:val="13"/>
              </w:rPr>
            </w:pPr>
            <w:r>
              <w:rPr>
                <w:rFonts w:ascii="Calibri"/>
                <w:sz w:val="13"/>
              </w:rPr>
              <w:t>10.169</w:t>
            </w:r>
          </w:p>
          <w:p>
            <w:pPr>
              <w:pStyle w:val="14"/>
              <w:spacing w:before="2" w:line="135" w:lineRule="exact"/>
              <w:ind w:left="9"/>
              <w:rPr>
                <w:rFonts w:ascii="Calibri"/>
                <w:sz w:val="13"/>
              </w:rPr>
            </w:pPr>
            <w:r>
              <w:rPr>
                <w:rFonts w:ascii="Calibri"/>
                <w:sz w:val="13"/>
              </w:rPr>
              <w:t>4</w:t>
            </w:r>
          </w:p>
        </w:tc>
        <w:tc>
          <w:tcPr>
            <w:tcW w:w="579" w:type="dxa"/>
          </w:tcPr>
          <w:p>
            <w:pPr>
              <w:pStyle w:val="14"/>
              <w:jc w:val="left"/>
              <w:rPr>
                <w:rFonts w:ascii="Times New Roman"/>
                <w:sz w:val="14"/>
              </w:rPr>
            </w:pPr>
          </w:p>
        </w:tc>
        <w:tc>
          <w:tcPr>
            <w:tcW w:w="637" w:type="dxa"/>
          </w:tcPr>
          <w:p>
            <w:pPr>
              <w:pStyle w:val="14"/>
              <w:spacing w:before="4"/>
              <w:ind w:left="118" w:right="105"/>
              <w:rPr>
                <w:rFonts w:ascii="Calibri"/>
                <w:sz w:val="13"/>
              </w:rPr>
            </w:pPr>
            <w:r>
              <w:rPr>
                <w:rFonts w:ascii="Calibri"/>
                <w:sz w:val="13"/>
              </w:rPr>
              <w:t>10.999</w:t>
            </w:r>
          </w:p>
          <w:p>
            <w:pPr>
              <w:pStyle w:val="14"/>
              <w:spacing w:before="2" w:line="135" w:lineRule="exact"/>
              <w:ind w:left="11"/>
              <w:rPr>
                <w:rFonts w:ascii="Calibri"/>
                <w:sz w:val="13"/>
              </w:rPr>
            </w:pPr>
            <w:r>
              <w:rPr>
                <w:rFonts w:ascii="Calibri"/>
                <w:sz w:val="13"/>
              </w:rPr>
              <w:t>9</w:t>
            </w:r>
          </w:p>
        </w:tc>
        <w:tc>
          <w:tcPr>
            <w:tcW w:w="521" w:type="dxa"/>
          </w:tcPr>
          <w:p>
            <w:pPr>
              <w:pStyle w:val="14"/>
              <w:spacing w:before="4"/>
              <w:ind w:left="93" w:right="81"/>
              <w:rPr>
                <w:rFonts w:ascii="Calibri"/>
                <w:sz w:val="13"/>
              </w:rPr>
            </w:pPr>
            <w:r>
              <w:rPr>
                <w:rFonts w:ascii="Calibri"/>
                <w:sz w:val="13"/>
              </w:rPr>
              <w:t>10.99</w:t>
            </w:r>
          </w:p>
          <w:p>
            <w:pPr>
              <w:pStyle w:val="14"/>
              <w:spacing w:before="2" w:line="135" w:lineRule="exact"/>
              <w:ind w:left="88" w:right="81"/>
              <w:rPr>
                <w:rFonts w:ascii="Calibri"/>
                <w:sz w:val="13"/>
              </w:rPr>
            </w:pPr>
            <w:r>
              <w:rPr>
                <w:rFonts w:ascii="Calibri"/>
                <w:sz w:val="13"/>
              </w:rPr>
              <w:t>99</w:t>
            </w:r>
          </w:p>
        </w:tc>
        <w:tc>
          <w:tcPr>
            <w:tcW w:w="579" w:type="dxa"/>
          </w:tcPr>
          <w:p>
            <w:pPr>
              <w:pStyle w:val="14"/>
              <w:jc w:val="left"/>
              <w:rPr>
                <w:rFonts w:ascii="Times New Roman"/>
                <w:sz w:val="14"/>
              </w:rPr>
            </w:pPr>
          </w:p>
        </w:tc>
        <w:tc>
          <w:tcPr>
            <w:tcW w:w="760" w:type="dxa"/>
          </w:tcPr>
          <w:p>
            <w:pPr>
              <w:pStyle w:val="14"/>
              <w:spacing w:before="86"/>
              <w:ind w:left="177" w:right="168"/>
              <w:rPr>
                <w:rFonts w:ascii="Calibri"/>
                <w:sz w:val="13"/>
              </w:rPr>
            </w:pPr>
            <w:r>
              <w:rPr>
                <w:rFonts w:ascii="Calibri"/>
                <w:sz w:val="13"/>
              </w:rPr>
              <w:t>3.32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441" w:type="dxa"/>
          </w:tcPr>
          <w:p>
            <w:pPr>
              <w:pStyle w:val="14"/>
              <w:spacing w:before="84"/>
              <w:ind w:left="133" w:right="126"/>
              <w:rPr>
                <w:rFonts w:ascii="Calibri"/>
                <w:sz w:val="13"/>
              </w:rPr>
            </w:pPr>
            <w:r>
              <w:rPr>
                <w:rFonts w:ascii="Calibri"/>
                <w:sz w:val="13"/>
              </w:rPr>
              <w:t>11</w:t>
            </w:r>
          </w:p>
        </w:tc>
        <w:tc>
          <w:tcPr>
            <w:tcW w:w="992" w:type="dxa"/>
          </w:tcPr>
          <w:p>
            <w:pPr>
              <w:pStyle w:val="14"/>
              <w:spacing w:before="3" w:line="158" w:lineRule="exact"/>
              <w:ind w:left="236" w:right="157" w:hanging="65"/>
              <w:jc w:val="left"/>
              <w:rPr>
                <w:sz w:val="13"/>
              </w:rPr>
            </w:pPr>
            <w:r>
              <w:rPr>
                <w:sz w:val="13"/>
              </w:rPr>
              <w:t>水域及水利设施用地</w:t>
            </w:r>
          </w:p>
        </w:tc>
        <w:tc>
          <w:tcPr>
            <w:tcW w:w="425" w:type="dxa"/>
          </w:tcPr>
          <w:p>
            <w:pPr>
              <w:pStyle w:val="14"/>
              <w:spacing w:before="84"/>
              <w:ind w:left="94" w:right="83"/>
              <w:rPr>
                <w:rFonts w:ascii="Calibri"/>
                <w:sz w:val="13"/>
              </w:rPr>
            </w:pPr>
            <w:r>
              <w:rPr>
                <w:rFonts w:ascii="Calibri"/>
                <w:sz w:val="13"/>
              </w:rPr>
              <w:t>111</w:t>
            </w:r>
          </w:p>
        </w:tc>
        <w:tc>
          <w:tcPr>
            <w:tcW w:w="567" w:type="dxa"/>
          </w:tcPr>
          <w:p>
            <w:pPr>
              <w:pStyle w:val="14"/>
              <w:spacing w:before="78"/>
              <w:ind w:left="50" w:right="41"/>
              <w:rPr>
                <w:sz w:val="13"/>
              </w:rPr>
            </w:pPr>
            <w:r>
              <w:rPr>
                <w:sz w:val="13"/>
              </w:rPr>
              <w:t>河流</w:t>
            </w:r>
          </w:p>
        </w:tc>
        <w:tc>
          <w:tcPr>
            <w:tcW w:w="579" w:type="dxa"/>
          </w:tcPr>
          <w:p>
            <w:pPr>
              <w:pStyle w:val="14"/>
              <w:jc w:val="left"/>
              <w:rPr>
                <w:rFonts w:ascii="Times New Roman"/>
                <w:sz w:val="14"/>
              </w:rPr>
            </w:pPr>
          </w:p>
        </w:tc>
        <w:tc>
          <w:tcPr>
            <w:tcW w:w="579" w:type="dxa"/>
          </w:tcPr>
          <w:p>
            <w:pPr>
              <w:pStyle w:val="14"/>
              <w:jc w:val="left"/>
              <w:rPr>
                <w:rFonts w:ascii="Times New Roman"/>
                <w:sz w:val="14"/>
              </w:rPr>
            </w:pPr>
          </w:p>
        </w:tc>
        <w:tc>
          <w:tcPr>
            <w:tcW w:w="579" w:type="dxa"/>
          </w:tcPr>
          <w:p>
            <w:pPr>
              <w:pStyle w:val="14"/>
              <w:jc w:val="left"/>
              <w:rPr>
                <w:rFonts w:ascii="Times New Roman"/>
                <w:sz w:val="14"/>
              </w:rPr>
            </w:pPr>
          </w:p>
        </w:tc>
        <w:tc>
          <w:tcPr>
            <w:tcW w:w="531" w:type="dxa"/>
          </w:tcPr>
          <w:p>
            <w:pPr>
              <w:pStyle w:val="14"/>
              <w:spacing w:before="5"/>
              <w:ind w:left="97" w:right="87"/>
              <w:rPr>
                <w:rFonts w:ascii="Calibri"/>
                <w:sz w:val="13"/>
              </w:rPr>
            </w:pPr>
            <w:r>
              <w:rPr>
                <w:rFonts w:ascii="Calibri"/>
                <w:sz w:val="13"/>
              </w:rPr>
              <w:t>0.642</w:t>
            </w:r>
          </w:p>
          <w:p>
            <w:pPr>
              <w:pStyle w:val="14"/>
              <w:spacing w:before="2" w:line="134" w:lineRule="exact"/>
              <w:ind w:left="10"/>
              <w:rPr>
                <w:rFonts w:ascii="Calibri"/>
                <w:sz w:val="13"/>
              </w:rPr>
            </w:pPr>
            <w:r>
              <w:rPr>
                <w:rFonts w:ascii="Calibri"/>
                <w:sz w:val="13"/>
              </w:rPr>
              <w:t>6</w:t>
            </w:r>
          </w:p>
        </w:tc>
        <w:tc>
          <w:tcPr>
            <w:tcW w:w="627" w:type="dxa"/>
          </w:tcPr>
          <w:p>
            <w:pPr>
              <w:pStyle w:val="14"/>
              <w:spacing w:before="84"/>
              <w:ind w:left="133"/>
              <w:jc w:val="left"/>
              <w:rPr>
                <w:rFonts w:ascii="Calibri"/>
                <w:sz w:val="13"/>
              </w:rPr>
            </w:pPr>
            <w:r>
              <w:rPr>
                <w:rFonts w:ascii="Calibri"/>
                <w:sz w:val="13"/>
              </w:rPr>
              <w:t>0.6426</w:t>
            </w:r>
          </w:p>
        </w:tc>
        <w:tc>
          <w:tcPr>
            <w:tcW w:w="579" w:type="dxa"/>
          </w:tcPr>
          <w:p>
            <w:pPr>
              <w:pStyle w:val="14"/>
              <w:jc w:val="left"/>
              <w:rPr>
                <w:rFonts w:ascii="Times New Roman"/>
                <w:sz w:val="14"/>
              </w:rPr>
            </w:pPr>
          </w:p>
        </w:tc>
        <w:tc>
          <w:tcPr>
            <w:tcW w:w="637" w:type="dxa"/>
          </w:tcPr>
          <w:p>
            <w:pPr>
              <w:pStyle w:val="14"/>
              <w:spacing w:before="84"/>
              <w:ind w:right="124"/>
              <w:jc w:val="right"/>
              <w:rPr>
                <w:rFonts w:ascii="Calibri"/>
                <w:sz w:val="13"/>
              </w:rPr>
            </w:pPr>
            <w:r>
              <w:rPr>
                <w:rFonts w:ascii="Calibri"/>
                <w:sz w:val="13"/>
              </w:rPr>
              <w:t>0.6426</w:t>
            </w:r>
          </w:p>
        </w:tc>
        <w:tc>
          <w:tcPr>
            <w:tcW w:w="521" w:type="dxa"/>
          </w:tcPr>
          <w:p>
            <w:pPr>
              <w:pStyle w:val="14"/>
              <w:spacing w:before="5"/>
              <w:ind w:left="93" w:right="81"/>
              <w:rPr>
                <w:rFonts w:ascii="Calibri"/>
                <w:sz w:val="13"/>
              </w:rPr>
            </w:pPr>
            <w:r>
              <w:rPr>
                <w:rFonts w:ascii="Calibri"/>
                <w:sz w:val="13"/>
              </w:rPr>
              <w:t>0.642</w:t>
            </w:r>
          </w:p>
          <w:p>
            <w:pPr>
              <w:pStyle w:val="14"/>
              <w:spacing w:before="2" w:line="134" w:lineRule="exact"/>
              <w:ind w:left="10"/>
              <w:rPr>
                <w:rFonts w:ascii="Calibri"/>
                <w:sz w:val="13"/>
              </w:rPr>
            </w:pPr>
            <w:r>
              <w:rPr>
                <w:rFonts w:ascii="Calibri"/>
                <w:sz w:val="13"/>
              </w:rPr>
              <w:t>6</w:t>
            </w:r>
          </w:p>
        </w:tc>
        <w:tc>
          <w:tcPr>
            <w:tcW w:w="579" w:type="dxa"/>
          </w:tcPr>
          <w:p>
            <w:pPr>
              <w:pStyle w:val="14"/>
              <w:jc w:val="left"/>
              <w:rPr>
                <w:rFonts w:ascii="Times New Roman"/>
                <w:sz w:val="14"/>
              </w:rPr>
            </w:pPr>
          </w:p>
        </w:tc>
        <w:tc>
          <w:tcPr>
            <w:tcW w:w="760" w:type="dxa"/>
          </w:tcPr>
          <w:p>
            <w:pPr>
              <w:pStyle w:val="14"/>
              <w:spacing w:before="84"/>
              <w:ind w:left="177" w:right="168"/>
              <w:rPr>
                <w:rFonts w:ascii="Calibri"/>
                <w:sz w:val="13"/>
              </w:rPr>
            </w:pPr>
            <w:r>
              <w:rPr>
                <w:rFonts w:ascii="Calibri"/>
                <w:sz w:val="13"/>
              </w:rPr>
              <w:t>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41" w:type="dxa"/>
          </w:tcPr>
          <w:p>
            <w:pPr>
              <w:pStyle w:val="14"/>
              <w:spacing w:before="86"/>
              <w:ind w:left="133" w:right="126"/>
              <w:rPr>
                <w:rFonts w:ascii="Calibri"/>
                <w:sz w:val="13"/>
              </w:rPr>
            </w:pPr>
            <w:r>
              <w:rPr>
                <w:rFonts w:ascii="Calibri"/>
                <w:sz w:val="13"/>
              </w:rPr>
              <w:t>11</w:t>
            </w:r>
          </w:p>
        </w:tc>
        <w:tc>
          <w:tcPr>
            <w:tcW w:w="992" w:type="dxa"/>
          </w:tcPr>
          <w:p>
            <w:pPr>
              <w:pStyle w:val="14"/>
              <w:spacing w:line="162" w:lineRule="exact"/>
              <w:ind w:left="171"/>
              <w:jc w:val="left"/>
              <w:rPr>
                <w:sz w:val="13"/>
              </w:rPr>
            </w:pPr>
            <w:r>
              <w:rPr>
                <w:sz w:val="13"/>
              </w:rPr>
              <w:t>水域及水利</w:t>
            </w:r>
          </w:p>
          <w:p>
            <w:pPr>
              <w:pStyle w:val="14"/>
              <w:spacing w:line="138" w:lineRule="exact"/>
              <w:ind w:left="236"/>
              <w:jc w:val="left"/>
              <w:rPr>
                <w:sz w:val="13"/>
              </w:rPr>
            </w:pPr>
            <w:r>
              <w:rPr>
                <w:sz w:val="13"/>
              </w:rPr>
              <w:t>设施用地</w:t>
            </w:r>
          </w:p>
        </w:tc>
        <w:tc>
          <w:tcPr>
            <w:tcW w:w="425" w:type="dxa"/>
          </w:tcPr>
          <w:p>
            <w:pPr>
              <w:pStyle w:val="14"/>
              <w:spacing w:before="86"/>
              <w:ind w:left="94" w:right="83"/>
              <w:rPr>
                <w:rFonts w:ascii="Calibri"/>
                <w:sz w:val="13"/>
              </w:rPr>
            </w:pPr>
            <w:r>
              <w:rPr>
                <w:rFonts w:ascii="Calibri"/>
                <w:sz w:val="13"/>
              </w:rPr>
              <w:t>114</w:t>
            </w:r>
          </w:p>
        </w:tc>
        <w:tc>
          <w:tcPr>
            <w:tcW w:w="567" w:type="dxa"/>
          </w:tcPr>
          <w:p>
            <w:pPr>
              <w:pStyle w:val="14"/>
              <w:spacing w:line="162" w:lineRule="exact"/>
              <w:ind w:left="153"/>
              <w:jc w:val="left"/>
              <w:rPr>
                <w:sz w:val="13"/>
              </w:rPr>
            </w:pPr>
            <w:r>
              <w:rPr>
                <w:spacing w:val="-1"/>
                <w:sz w:val="13"/>
              </w:rPr>
              <w:t>坑塘</w:t>
            </w:r>
          </w:p>
          <w:p>
            <w:pPr>
              <w:pStyle w:val="14"/>
              <w:spacing w:line="138" w:lineRule="exact"/>
              <w:ind w:left="153"/>
              <w:jc w:val="left"/>
              <w:rPr>
                <w:sz w:val="13"/>
              </w:rPr>
            </w:pPr>
            <w:r>
              <w:rPr>
                <w:spacing w:val="-1"/>
                <w:sz w:val="13"/>
              </w:rPr>
              <w:t>水面</w:t>
            </w:r>
          </w:p>
        </w:tc>
        <w:tc>
          <w:tcPr>
            <w:tcW w:w="579" w:type="dxa"/>
          </w:tcPr>
          <w:p>
            <w:pPr>
              <w:pStyle w:val="14"/>
              <w:jc w:val="left"/>
              <w:rPr>
                <w:rFonts w:ascii="Times New Roman"/>
                <w:sz w:val="14"/>
              </w:rPr>
            </w:pPr>
          </w:p>
        </w:tc>
        <w:tc>
          <w:tcPr>
            <w:tcW w:w="579" w:type="dxa"/>
          </w:tcPr>
          <w:p>
            <w:pPr>
              <w:pStyle w:val="14"/>
              <w:jc w:val="left"/>
              <w:rPr>
                <w:rFonts w:ascii="Times New Roman"/>
                <w:sz w:val="14"/>
              </w:rPr>
            </w:pPr>
          </w:p>
        </w:tc>
        <w:tc>
          <w:tcPr>
            <w:tcW w:w="579" w:type="dxa"/>
          </w:tcPr>
          <w:p>
            <w:pPr>
              <w:pStyle w:val="14"/>
              <w:jc w:val="left"/>
              <w:rPr>
                <w:rFonts w:ascii="Times New Roman"/>
                <w:sz w:val="14"/>
              </w:rPr>
            </w:pPr>
          </w:p>
        </w:tc>
        <w:tc>
          <w:tcPr>
            <w:tcW w:w="531" w:type="dxa"/>
          </w:tcPr>
          <w:p>
            <w:pPr>
              <w:pStyle w:val="14"/>
              <w:spacing w:before="4"/>
              <w:ind w:left="97" w:right="87"/>
              <w:rPr>
                <w:rFonts w:ascii="Calibri"/>
                <w:sz w:val="13"/>
              </w:rPr>
            </w:pPr>
            <w:r>
              <w:rPr>
                <w:rFonts w:ascii="Calibri"/>
                <w:sz w:val="13"/>
              </w:rPr>
              <w:t>7.442</w:t>
            </w:r>
          </w:p>
          <w:p>
            <w:pPr>
              <w:pStyle w:val="14"/>
              <w:spacing w:before="2" w:line="135" w:lineRule="exact"/>
              <w:ind w:left="10"/>
              <w:rPr>
                <w:rFonts w:ascii="Calibri"/>
                <w:sz w:val="13"/>
              </w:rPr>
            </w:pPr>
            <w:r>
              <w:rPr>
                <w:rFonts w:ascii="Calibri"/>
                <w:sz w:val="13"/>
              </w:rPr>
              <w:t>6</w:t>
            </w:r>
          </w:p>
        </w:tc>
        <w:tc>
          <w:tcPr>
            <w:tcW w:w="627" w:type="dxa"/>
          </w:tcPr>
          <w:p>
            <w:pPr>
              <w:pStyle w:val="14"/>
              <w:spacing w:before="86"/>
              <w:ind w:left="133"/>
              <w:jc w:val="left"/>
              <w:rPr>
                <w:rFonts w:ascii="Calibri"/>
                <w:sz w:val="13"/>
              </w:rPr>
            </w:pPr>
            <w:r>
              <w:rPr>
                <w:rFonts w:ascii="Calibri"/>
                <w:sz w:val="13"/>
              </w:rPr>
              <w:t>7.4426</w:t>
            </w:r>
          </w:p>
        </w:tc>
        <w:tc>
          <w:tcPr>
            <w:tcW w:w="579" w:type="dxa"/>
          </w:tcPr>
          <w:p>
            <w:pPr>
              <w:pStyle w:val="14"/>
              <w:jc w:val="left"/>
              <w:rPr>
                <w:rFonts w:ascii="Times New Roman"/>
                <w:sz w:val="14"/>
              </w:rPr>
            </w:pPr>
          </w:p>
        </w:tc>
        <w:tc>
          <w:tcPr>
            <w:tcW w:w="637" w:type="dxa"/>
          </w:tcPr>
          <w:p>
            <w:pPr>
              <w:pStyle w:val="14"/>
              <w:spacing w:before="86"/>
              <w:ind w:right="124"/>
              <w:jc w:val="right"/>
              <w:rPr>
                <w:rFonts w:ascii="Calibri"/>
                <w:sz w:val="13"/>
              </w:rPr>
            </w:pPr>
            <w:r>
              <w:rPr>
                <w:rFonts w:ascii="Calibri"/>
                <w:sz w:val="13"/>
              </w:rPr>
              <w:t>7.4426</w:t>
            </w:r>
          </w:p>
        </w:tc>
        <w:tc>
          <w:tcPr>
            <w:tcW w:w="521" w:type="dxa"/>
          </w:tcPr>
          <w:p>
            <w:pPr>
              <w:pStyle w:val="14"/>
              <w:spacing w:before="4"/>
              <w:ind w:left="93" w:right="81"/>
              <w:rPr>
                <w:rFonts w:ascii="Calibri"/>
                <w:sz w:val="13"/>
              </w:rPr>
            </w:pPr>
            <w:r>
              <w:rPr>
                <w:rFonts w:ascii="Calibri"/>
                <w:sz w:val="13"/>
              </w:rPr>
              <w:t>7.442</w:t>
            </w:r>
          </w:p>
          <w:p>
            <w:pPr>
              <w:pStyle w:val="14"/>
              <w:spacing w:before="2" w:line="135" w:lineRule="exact"/>
              <w:ind w:left="10"/>
              <w:rPr>
                <w:rFonts w:ascii="Calibri"/>
                <w:sz w:val="13"/>
              </w:rPr>
            </w:pPr>
            <w:r>
              <w:rPr>
                <w:rFonts w:ascii="Calibri"/>
                <w:sz w:val="13"/>
              </w:rPr>
              <w:t>6</w:t>
            </w:r>
          </w:p>
        </w:tc>
        <w:tc>
          <w:tcPr>
            <w:tcW w:w="579" w:type="dxa"/>
          </w:tcPr>
          <w:p>
            <w:pPr>
              <w:pStyle w:val="14"/>
              <w:jc w:val="left"/>
              <w:rPr>
                <w:rFonts w:ascii="Times New Roman"/>
                <w:sz w:val="14"/>
              </w:rPr>
            </w:pPr>
          </w:p>
        </w:tc>
        <w:tc>
          <w:tcPr>
            <w:tcW w:w="760" w:type="dxa"/>
          </w:tcPr>
          <w:p>
            <w:pPr>
              <w:pStyle w:val="14"/>
              <w:spacing w:before="86"/>
              <w:ind w:left="177" w:right="168"/>
              <w:rPr>
                <w:rFonts w:ascii="Calibri"/>
                <w:sz w:val="13"/>
              </w:rPr>
            </w:pPr>
            <w:r>
              <w:rPr>
                <w:rFonts w:ascii="Calibri"/>
                <w:sz w:val="13"/>
              </w:rPr>
              <w:t>2.25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41" w:type="dxa"/>
          </w:tcPr>
          <w:p>
            <w:pPr>
              <w:pStyle w:val="14"/>
              <w:spacing w:before="84"/>
              <w:ind w:left="133" w:right="126"/>
              <w:rPr>
                <w:rFonts w:ascii="Calibri"/>
                <w:sz w:val="13"/>
              </w:rPr>
            </w:pPr>
            <w:r>
              <w:rPr>
                <w:rFonts w:ascii="Calibri"/>
                <w:sz w:val="13"/>
              </w:rPr>
              <w:t>12</w:t>
            </w:r>
          </w:p>
        </w:tc>
        <w:tc>
          <w:tcPr>
            <w:tcW w:w="992" w:type="dxa"/>
          </w:tcPr>
          <w:p>
            <w:pPr>
              <w:pStyle w:val="14"/>
              <w:spacing w:before="78"/>
              <w:ind w:left="55" w:right="46"/>
              <w:rPr>
                <w:sz w:val="13"/>
              </w:rPr>
            </w:pPr>
            <w:r>
              <w:rPr>
                <w:sz w:val="13"/>
              </w:rPr>
              <w:t>其他土地</w:t>
            </w:r>
          </w:p>
        </w:tc>
        <w:tc>
          <w:tcPr>
            <w:tcW w:w="425" w:type="dxa"/>
          </w:tcPr>
          <w:p>
            <w:pPr>
              <w:pStyle w:val="14"/>
              <w:spacing w:before="84"/>
              <w:ind w:left="94" w:right="83"/>
              <w:rPr>
                <w:rFonts w:ascii="Calibri"/>
                <w:sz w:val="13"/>
              </w:rPr>
            </w:pPr>
            <w:r>
              <w:rPr>
                <w:rFonts w:ascii="Calibri"/>
                <w:sz w:val="13"/>
              </w:rPr>
              <w:t>127</w:t>
            </w:r>
          </w:p>
        </w:tc>
        <w:tc>
          <w:tcPr>
            <w:tcW w:w="567" w:type="dxa"/>
          </w:tcPr>
          <w:p>
            <w:pPr>
              <w:pStyle w:val="14"/>
              <w:spacing w:before="78"/>
              <w:ind w:left="50" w:right="41"/>
              <w:rPr>
                <w:sz w:val="13"/>
              </w:rPr>
            </w:pPr>
            <w:r>
              <w:rPr>
                <w:sz w:val="13"/>
              </w:rPr>
              <w:t>裸地</w:t>
            </w:r>
          </w:p>
        </w:tc>
        <w:tc>
          <w:tcPr>
            <w:tcW w:w="579" w:type="dxa"/>
          </w:tcPr>
          <w:p>
            <w:pPr>
              <w:pStyle w:val="14"/>
              <w:jc w:val="left"/>
              <w:rPr>
                <w:rFonts w:ascii="Times New Roman"/>
                <w:sz w:val="14"/>
              </w:rPr>
            </w:pPr>
          </w:p>
        </w:tc>
        <w:tc>
          <w:tcPr>
            <w:tcW w:w="579" w:type="dxa"/>
          </w:tcPr>
          <w:p>
            <w:pPr>
              <w:pStyle w:val="14"/>
              <w:jc w:val="left"/>
              <w:rPr>
                <w:rFonts w:ascii="Times New Roman"/>
                <w:sz w:val="14"/>
              </w:rPr>
            </w:pPr>
          </w:p>
        </w:tc>
        <w:tc>
          <w:tcPr>
            <w:tcW w:w="579" w:type="dxa"/>
          </w:tcPr>
          <w:p>
            <w:pPr>
              <w:pStyle w:val="14"/>
              <w:jc w:val="left"/>
              <w:rPr>
                <w:rFonts w:ascii="Times New Roman"/>
                <w:sz w:val="14"/>
              </w:rPr>
            </w:pPr>
          </w:p>
        </w:tc>
        <w:tc>
          <w:tcPr>
            <w:tcW w:w="531" w:type="dxa"/>
          </w:tcPr>
          <w:p>
            <w:pPr>
              <w:pStyle w:val="14"/>
              <w:spacing w:before="5"/>
              <w:ind w:left="97" w:right="87"/>
              <w:rPr>
                <w:rFonts w:ascii="Calibri"/>
                <w:sz w:val="13"/>
              </w:rPr>
            </w:pPr>
            <w:r>
              <w:rPr>
                <w:rFonts w:ascii="Calibri"/>
                <w:sz w:val="13"/>
              </w:rPr>
              <w:t>1.684</w:t>
            </w:r>
          </w:p>
          <w:p>
            <w:pPr>
              <w:pStyle w:val="14"/>
              <w:spacing w:before="2" w:line="134" w:lineRule="exact"/>
              <w:ind w:left="10"/>
              <w:rPr>
                <w:rFonts w:ascii="Calibri"/>
                <w:sz w:val="13"/>
              </w:rPr>
            </w:pPr>
            <w:r>
              <w:rPr>
                <w:rFonts w:ascii="Calibri"/>
                <w:sz w:val="13"/>
              </w:rPr>
              <w:t>1</w:t>
            </w:r>
          </w:p>
        </w:tc>
        <w:tc>
          <w:tcPr>
            <w:tcW w:w="627" w:type="dxa"/>
          </w:tcPr>
          <w:p>
            <w:pPr>
              <w:pStyle w:val="14"/>
              <w:spacing w:before="84"/>
              <w:ind w:left="133"/>
              <w:jc w:val="left"/>
              <w:rPr>
                <w:rFonts w:ascii="Calibri"/>
                <w:sz w:val="13"/>
              </w:rPr>
            </w:pPr>
            <w:r>
              <w:rPr>
                <w:rFonts w:ascii="Calibri"/>
                <w:sz w:val="13"/>
              </w:rPr>
              <w:t>1.6841</w:t>
            </w:r>
          </w:p>
        </w:tc>
        <w:tc>
          <w:tcPr>
            <w:tcW w:w="579" w:type="dxa"/>
          </w:tcPr>
          <w:p>
            <w:pPr>
              <w:pStyle w:val="14"/>
              <w:jc w:val="left"/>
              <w:rPr>
                <w:rFonts w:ascii="Times New Roman"/>
                <w:sz w:val="14"/>
              </w:rPr>
            </w:pPr>
          </w:p>
        </w:tc>
        <w:tc>
          <w:tcPr>
            <w:tcW w:w="637" w:type="dxa"/>
          </w:tcPr>
          <w:p>
            <w:pPr>
              <w:pStyle w:val="14"/>
              <w:spacing w:before="84"/>
              <w:ind w:right="124"/>
              <w:jc w:val="right"/>
              <w:rPr>
                <w:rFonts w:ascii="Calibri"/>
                <w:sz w:val="13"/>
              </w:rPr>
            </w:pPr>
            <w:r>
              <w:rPr>
                <w:rFonts w:ascii="Calibri"/>
                <w:sz w:val="13"/>
              </w:rPr>
              <w:t>1.6841</w:t>
            </w:r>
          </w:p>
        </w:tc>
        <w:tc>
          <w:tcPr>
            <w:tcW w:w="521" w:type="dxa"/>
          </w:tcPr>
          <w:p>
            <w:pPr>
              <w:pStyle w:val="14"/>
              <w:spacing w:before="5"/>
              <w:ind w:left="93" w:right="81"/>
              <w:rPr>
                <w:rFonts w:ascii="Calibri"/>
                <w:sz w:val="13"/>
              </w:rPr>
            </w:pPr>
            <w:r>
              <w:rPr>
                <w:rFonts w:ascii="Calibri"/>
                <w:sz w:val="13"/>
              </w:rPr>
              <w:t>1.684</w:t>
            </w:r>
          </w:p>
          <w:p>
            <w:pPr>
              <w:pStyle w:val="14"/>
              <w:spacing w:before="2" w:line="134" w:lineRule="exact"/>
              <w:ind w:left="10"/>
              <w:rPr>
                <w:rFonts w:ascii="Calibri"/>
                <w:sz w:val="13"/>
              </w:rPr>
            </w:pPr>
            <w:r>
              <w:rPr>
                <w:rFonts w:ascii="Calibri"/>
                <w:sz w:val="13"/>
              </w:rPr>
              <w:t>1</w:t>
            </w:r>
          </w:p>
        </w:tc>
        <w:tc>
          <w:tcPr>
            <w:tcW w:w="579" w:type="dxa"/>
          </w:tcPr>
          <w:p>
            <w:pPr>
              <w:pStyle w:val="14"/>
              <w:jc w:val="left"/>
              <w:rPr>
                <w:rFonts w:ascii="Times New Roman"/>
                <w:sz w:val="14"/>
              </w:rPr>
            </w:pPr>
          </w:p>
        </w:tc>
        <w:tc>
          <w:tcPr>
            <w:tcW w:w="760" w:type="dxa"/>
          </w:tcPr>
          <w:p>
            <w:pPr>
              <w:pStyle w:val="14"/>
              <w:spacing w:before="84"/>
              <w:ind w:left="177" w:right="168"/>
              <w:rPr>
                <w:rFonts w:ascii="Calibri"/>
                <w:sz w:val="13"/>
              </w:rPr>
            </w:pPr>
            <w:r>
              <w:rPr>
                <w:rFonts w:ascii="Calibri"/>
                <w:sz w:val="13"/>
              </w:rPr>
              <w:t>0.51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41" w:type="dxa"/>
          </w:tcPr>
          <w:p>
            <w:pPr>
              <w:pStyle w:val="14"/>
              <w:spacing w:before="86"/>
              <w:ind w:left="133" w:right="126"/>
              <w:rPr>
                <w:rFonts w:ascii="Calibri"/>
                <w:sz w:val="13"/>
              </w:rPr>
            </w:pPr>
            <w:r>
              <w:rPr>
                <w:rFonts w:ascii="Calibri"/>
                <w:sz w:val="13"/>
              </w:rPr>
              <w:t>20</w:t>
            </w:r>
          </w:p>
        </w:tc>
        <w:tc>
          <w:tcPr>
            <w:tcW w:w="992" w:type="dxa"/>
          </w:tcPr>
          <w:p>
            <w:pPr>
              <w:pStyle w:val="14"/>
              <w:spacing w:line="162" w:lineRule="exact"/>
              <w:ind w:left="56" w:right="45"/>
              <w:rPr>
                <w:sz w:val="13"/>
              </w:rPr>
            </w:pPr>
            <w:r>
              <w:rPr>
                <w:sz w:val="13"/>
              </w:rPr>
              <w:t>城镇村及工</w:t>
            </w:r>
          </w:p>
          <w:p>
            <w:pPr>
              <w:pStyle w:val="14"/>
              <w:spacing w:line="138" w:lineRule="exact"/>
              <w:ind w:left="55" w:right="46"/>
              <w:rPr>
                <w:sz w:val="13"/>
              </w:rPr>
            </w:pPr>
            <w:r>
              <w:rPr>
                <w:sz w:val="13"/>
              </w:rPr>
              <w:t>矿用地</w:t>
            </w:r>
          </w:p>
        </w:tc>
        <w:tc>
          <w:tcPr>
            <w:tcW w:w="425" w:type="dxa"/>
          </w:tcPr>
          <w:p>
            <w:pPr>
              <w:pStyle w:val="14"/>
              <w:spacing w:before="86"/>
              <w:ind w:left="94" w:right="83"/>
              <w:rPr>
                <w:rFonts w:ascii="Calibri"/>
                <w:sz w:val="13"/>
              </w:rPr>
            </w:pPr>
            <w:r>
              <w:rPr>
                <w:rFonts w:ascii="Calibri"/>
                <w:sz w:val="13"/>
              </w:rPr>
              <w:t>203</w:t>
            </w:r>
          </w:p>
        </w:tc>
        <w:tc>
          <w:tcPr>
            <w:tcW w:w="567" w:type="dxa"/>
          </w:tcPr>
          <w:p>
            <w:pPr>
              <w:pStyle w:val="14"/>
              <w:spacing w:before="77"/>
              <w:ind w:left="50" w:right="41"/>
              <w:rPr>
                <w:sz w:val="13"/>
              </w:rPr>
            </w:pPr>
            <w:r>
              <w:rPr>
                <w:sz w:val="13"/>
              </w:rPr>
              <w:t>村庄</w:t>
            </w:r>
          </w:p>
        </w:tc>
        <w:tc>
          <w:tcPr>
            <w:tcW w:w="579" w:type="dxa"/>
          </w:tcPr>
          <w:p>
            <w:pPr>
              <w:pStyle w:val="14"/>
              <w:spacing w:before="86"/>
              <w:ind w:left="86" w:right="75"/>
              <w:rPr>
                <w:rFonts w:ascii="Calibri"/>
                <w:sz w:val="13"/>
              </w:rPr>
            </w:pPr>
            <w:r>
              <w:rPr>
                <w:rFonts w:ascii="Calibri"/>
                <w:sz w:val="13"/>
              </w:rPr>
              <w:t>0.5550</w:t>
            </w:r>
          </w:p>
        </w:tc>
        <w:tc>
          <w:tcPr>
            <w:tcW w:w="579" w:type="dxa"/>
          </w:tcPr>
          <w:p>
            <w:pPr>
              <w:pStyle w:val="14"/>
              <w:spacing w:before="86"/>
              <w:ind w:left="88" w:right="73"/>
              <w:rPr>
                <w:rFonts w:ascii="Calibri"/>
                <w:sz w:val="13"/>
              </w:rPr>
            </w:pPr>
            <w:r>
              <w:rPr>
                <w:rFonts w:ascii="Calibri"/>
                <w:sz w:val="13"/>
              </w:rPr>
              <w:t>0.5550</w:t>
            </w:r>
          </w:p>
        </w:tc>
        <w:tc>
          <w:tcPr>
            <w:tcW w:w="579" w:type="dxa"/>
          </w:tcPr>
          <w:p>
            <w:pPr>
              <w:pStyle w:val="14"/>
              <w:jc w:val="left"/>
              <w:rPr>
                <w:rFonts w:ascii="Times New Roman"/>
                <w:sz w:val="14"/>
              </w:rPr>
            </w:pPr>
          </w:p>
        </w:tc>
        <w:tc>
          <w:tcPr>
            <w:tcW w:w="531" w:type="dxa"/>
          </w:tcPr>
          <w:p>
            <w:pPr>
              <w:pStyle w:val="14"/>
              <w:spacing w:before="4"/>
              <w:ind w:left="97" w:right="87"/>
              <w:rPr>
                <w:rFonts w:ascii="Calibri"/>
                <w:sz w:val="13"/>
              </w:rPr>
            </w:pPr>
            <w:r>
              <w:rPr>
                <w:rFonts w:ascii="Calibri"/>
                <w:sz w:val="13"/>
              </w:rPr>
              <w:t>3.569</w:t>
            </w:r>
          </w:p>
          <w:p>
            <w:pPr>
              <w:pStyle w:val="14"/>
              <w:spacing w:before="2" w:line="135" w:lineRule="exact"/>
              <w:ind w:left="10"/>
              <w:rPr>
                <w:rFonts w:ascii="Calibri"/>
                <w:sz w:val="13"/>
              </w:rPr>
            </w:pPr>
            <w:r>
              <w:rPr>
                <w:rFonts w:ascii="Calibri"/>
                <w:sz w:val="13"/>
              </w:rPr>
              <w:t>5</w:t>
            </w:r>
          </w:p>
        </w:tc>
        <w:tc>
          <w:tcPr>
            <w:tcW w:w="627" w:type="dxa"/>
          </w:tcPr>
          <w:p>
            <w:pPr>
              <w:pStyle w:val="14"/>
              <w:spacing w:before="86"/>
              <w:ind w:left="133"/>
              <w:jc w:val="left"/>
              <w:rPr>
                <w:rFonts w:ascii="Calibri"/>
                <w:sz w:val="13"/>
              </w:rPr>
            </w:pPr>
            <w:r>
              <w:rPr>
                <w:rFonts w:ascii="Calibri"/>
                <w:sz w:val="13"/>
              </w:rPr>
              <w:t>3.5695</w:t>
            </w:r>
          </w:p>
        </w:tc>
        <w:tc>
          <w:tcPr>
            <w:tcW w:w="579" w:type="dxa"/>
          </w:tcPr>
          <w:p>
            <w:pPr>
              <w:pStyle w:val="14"/>
              <w:jc w:val="left"/>
              <w:rPr>
                <w:rFonts w:ascii="Times New Roman"/>
                <w:sz w:val="14"/>
              </w:rPr>
            </w:pPr>
          </w:p>
        </w:tc>
        <w:tc>
          <w:tcPr>
            <w:tcW w:w="637" w:type="dxa"/>
          </w:tcPr>
          <w:p>
            <w:pPr>
              <w:pStyle w:val="14"/>
              <w:spacing w:before="86"/>
              <w:ind w:right="124"/>
              <w:jc w:val="right"/>
              <w:rPr>
                <w:rFonts w:ascii="Calibri"/>
                <w:sz w:val="13"/>
              </w:rPr>
            </w:pPr>
            <w:r>
              <w:rPr>
                <w:rFonts w:ascii="Calibri"/>
                <w:sz w:val="13"/>
              </w:rPr>
              <w:t>4.1245</w:t>
            </w:r>
          </w:p>
        </w:tc>
        <w:tc>
          <w:tcPr>
            <w:tcW w:w="521" w:type="dxa"/>
          </w:tcPr>
          <w:p>
            <w:pPr>
              <w:pStyle w:val="14"/>
              <w:spacing w:before="4"/>
              <w:ind w:left="93" w:right="81"/>
              <w:rPr>
                <w:rFonts w:ascii="Calibri"/>
                <w:sz w:val="13"/>
              </w:rPr>
            </w:pPr>
            <w:r>
              <w:rPr>
                <w:rFonts w:ascii="Calibri"/>
                <w:sz w:val="13"/>
              </w:rPr>
              <w:t>4.124</w:t>
            </w:r>
          </w:p>
          <w:p>
            <w:pPr>
              <w:pStyle w:val="14"/>
              <w:spacing w:before="2" w:line="135" w:lineRule="exact"/>
              <w:ind w:left="10"/>
              <w:rPr>
                <w:rFonts w:ascii="Calibri"/>
                <w:sz w:val="13"/>
              </w:rPr>
            </w:pPr>
            <w:r>
              <w:rPr>
                <w:rFonts w:ascii="Calibri"/>
                <w:sz w:val="13"/>
              </w:rPr>
              <w:t>5</w:t>
            </w:r>
          </w:p>
        </w:tc>
        <w:tc>
          <w:tcPr>
            <w:tcW w:w="579" w:type="dxa"/>
          </w:tcPr>
          <w:p>
            <w:pPr>
              <w:pStyle w:val="14"/>
              <w:jc w:val="left"/>
              <w:rPr>
                <w:rFonts w:ascii="Times New Roman"/>
                <w:sz w:val="14"/>
              </w:rPr>
            </w:pPr>
          </w:p>
        </w:tc>
        <w:tc>
          <w:tcPr>
            <w:tcW w:w="760" w:type="dxa"/>
          </w:tcPr>
          <w:p>
            <w:pPr>
              <w:pStyle w:val="14"/>
              <w:spacing w:before="86"/>
              <w:ind w:left="177" w:right="168"/>
              <w:rPr>
                <w:rFonts w:ascii="Calibri"/>
                <w:sz w:val="13"/>
              </w:rPr>
            </w:pPr>
            <w:r>
              <w:rPr>
                <w:rFonts w:ascii="Calibri"/>
                <w:sz w:val="13"/>
              </w:rPr>
              <w:t>1.25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41" w:type="dxa"/>
          </w:tcPr>
          <w:p>
            <w:pPr>
              <w:pStyle w:val="14"/>
              <w:spacing w:before="84"/>
              <w:ind w:left="133" w:right="126"/>
              <w:rPr>
                <w:rFonts w:ascii="Calibri"/>
                <w:sz w:val="13"/>
              </w:rPr>
            </w:pPr>
            <w:r>
              <w:rPr>
                <w:rFonts w:ascii="Calibri"/>
                <w:sz w:val="13"/>
              </w:rPr>
              <w:t>20</w:t>
            </w:r>
          </w:p>
        </w:tc>
        <w:tc>
          <w:tcPr>
            <w:tcW w:w="992" w:type="dxa"/>
          </w:tcPr>
          <w:p>
            <w:pPr>
              <w:pStyle w:val="14"/>
              <w:spacing w:before="2" w:line="158" w:lineRule="exact"/>
              <w:ind w:left="300" w:right="157" w:hanging="130"/>
              <w:jc w:val="left"/>
              <w:rPr>
                <w:sz w:val="13"/>
              </w:rPr>
            </w:pPr>
            <w:r>
              <w:rPr>
                <w:sz w:val="13"/>
              </w:rPr>
              <w:t>城镇村及工矿用地</w:t>
            </w:r>
          </w:p>
        </w:tc>
        <w:tc>
          <w:tcPr>
            <w:tcW w:w="425" w:type="dxa"/>
          </w:tcPr>
          <w:p>
            <w:pPr>
              <w:pStyle w:val="14"/>
              <w:spacing w:before="84"/>
              <w:ind w:left="94" w:right="83"/>
              <w:rPr>
                <w:rFonts w:ascii="Calibri"/>
                <w:sz w:val="13"/>
              </w:rPr>
            </w:pPr>
            <w:r>
              <w:rPr>
                <w:rFonts w:ascii="Calibri"/>
                <w:sz w:val="13"/>
              </w:rPr>
              <w:t>204</w:t>
            </w:r>
          </w:p>
        </w:tc>
        <w:tc>
          <w:tcPr>
            <w:tcW w:w="567" w:type="dxa"/>
          </w:tcPr>
          <w:p>
            <w:pPr>
              <w:pStyle w:val="14"/>
              <w:spacing w:before="2" w:line="158" w:lineRule="exact"/>
              <w:ind w:left="153" w:right="141"/>
              <w:jc w:val="left"/>
              <w:rPr>
                <w:sz w:val="13"/>
              </w:rPr>
            </w:pPr>
            <w:r>
              <w:rPr>
                <w:sz w:val="13"/>
              </w:rPr>
              <w:t>采矿用地</w:t>
            </w:r>
          </w:p>
        </w:tc>
        <w:tc>
          <w:tcPr>
            <w:tcW w:w="579" w:type="dxa"/>
          </w:tcPr>
          <w:p>
            <w:pPr>
              <w:pStyle w:val="14"/>
              <w:jc w:val="left"/>
              <w:rPr>
                <w:rFonts w:ascii="Times New Roman"/>
                <w:sz w:val="14"/>
              </w:rPr>
            </w:pPr>
          </w:p>
        </w:tc>
        <w:tc>
          <w:tcPr>
            <w:tcW w:w="579" w:type="dxa"/>
          </w:tcPr>
          <w:p>
            <w:pPr>
              <w:pStyle w:val="14"/>
              <w:jc w:val="left"/>
              <w:rPr>
                <w:rFonts w:ascii="Times New Roman"/>
                <w:sz w:val="14"/>
              </w:rPr>
            </w:pPr>
          </w:p>
        </w:tc>
        <w:tc>
          <w:tcPr>
            <w:tcW w:w="579" w:type="dxa"/>
          </w:tcPr>
          <w:p>
            <w:pPr>
              <w:pStyle w:val="14"/>
              <w:jc w:val="left"/>
              <w:rPr>
                <w:rFonts w:ascii="Times New Roman"/>
                <w:sz w:val="14"/>
              </w:rPr>
            </w:pPr>
          </w:p>
        </w:tc>
        <w:tc>
          <w:tcPr>
            <w:tcW w:w="531" w:type="dxa"/>
          </w:tcPr>
          <w:p>
            <w:pPr>
              <w:pStyle w:val="14"/>
              <w:spacing w:before="5"/>
              <w:ind w:left="97" w:right="87"/>
              <w:rPr>
                <w:rFonts w:ascii="Calibri"/>
                <w:sz w:val="13"/>
              </w:rPr>
            </w:pPr>
            <w:r>
              <w:rPr>
                <w:rFonts w:ascii="Calibri"/>
                <w:sz w:val="13"/>
              </w:rPr>
              <w:t>22.14</w:t>
            </w:r>
          </w:p>
          <w:p>
            <w:pPr>
              <w:pStyle w:val="14"/>
              <w:spacing w:before="2" w:line="134" w:lineRule="exact"/>
              <w:ind w:left="133" w:right="125"/>
              <w:rPr>
                <w:rFonts w:ascii="Calibri"/>
                <w:sz w:val="13"/>
              </w:rPr>
            </w:pPr>
            <w:r>
              <w:rPr>
                <w:rFonts w:ascii="Calibri"/>
                <w:sz w:val="13"/>
              </w:rPr>
              <w:t>27</w:t>
            </w:r>
          </w:p>
        </w:tc>
        <w:tc>
          <w:tcPr>
            <w:tcW w:w="627" w:type="dxa"/>
          </w:tcPr>
          <w:p>
            <w:pPr>
              <w:pStyle w:val="14"/>
              <w:spacing w:before="5"/>
              <w:ind w:left="112" w:right="101"/>
              <w:rPr>
                <w:rFonts w:ascii="Calibri"/>
                <w:sz w:val="13"/>
              </w:rPr>
            </w:pPr>
            <w:r>
              <w:rPr>
                <w:rFonts w:ascii="Calibri"/>
                <w:sz w:val="13"/>
              </w:rPr>
              <w:t>22.142</w:t>
            </w:r>
          </w:p>
          <w:p>
            <w:pPr>
              <w:pStyle w:val="14"/>
              <w:spacing w:before="2" w:line="134" w:lineRule="exact"/>
              <w:ind w:left="9"/>
              <w:rPr>
                <w:rFonts w:ascii="Calibri"/>
                <w:sz w:val="13"/>
              </w:rPr>
            </w:pPr>
            <w:r>
              <w:rPr>
                <w:rFonts w:ascii="Calibri"/>
                <w:sz w:val="13"/>
              </w:rPr>
              <w:t>7</w:t>
            </w:r>
          </w:p>
        </w:tc>
        <w:tc>
          <w:tcPr>
            <w:tcW w:w="579" w:type="dxa"/>
          </w:tcPr>
          <w:p>
            <w:pPr>
              <w:pStyle w:val="14"/>
              <w:jc w:val="left"/>
              <w:rPr>
                <w:rFonts w:ascii="Times New Roman"/>
                <w:sz w:val="14"/>
              </w:rPr>
            </w:pPr>
          </w:p>
        </w:tc>
        <w:tc>
          <w:tcPr>
            <w:tcW w:w="637" w:type="dxa"/>
          </w:tcPr>
          <w:p>
            <w:pPr>
              <w:pStyle w:val="14"/>
              <w:spacing w:before="5"/>
              <w:ind w:left="118" w:right="105"/>
              <w:rPr>
                <w:rFonts w:ascii="Calibri"/>
                <w:sz w:val="13"/>
              </w:rPr>
            </w:pPr>
            <w:r>
              <w:rPr>
                <w:rFonts w:ascii="Calibri"/>
                <w:sz w:val="13"/>
              </w:rPr>
              <w:t>22.142</w:t>
            </w:r>
          </w:p>
          <w:p>
            <w:pPr>
              <w:pStyle w:val="14"/>
              <w:spacing w:before="2" w:line="134" w:lineRule="exact"/>
              <w:ind w:left="11"/>
              <w:rPr>
                <w:rFonts w:ascii="Calibri"/>
                <w:sz w:val="13"/>
              </w:rPr>
            </w:pPr>
            <w:r>
              <w:rPr>
                <w:rFonts w:ascii="Calibri"/>
                <w:sz w:val="13"/>
              </w:rPr>
              <w:t>7</w:t>
            </w:r>
          </w:p>
        </w:tc>
        <w:tc>
          <w:tcPr>
            <w:tcW w:w="521" w:type="dxa"/>
          </w:tcPr>
          <w:p>
            <w:pPr>
              <w:pStyle w:val="14"/>
              <w:spacing w:before="5"/>
              <w:ind w:left="93" w:right="81"/>
              <w:rPr>
                <w:rFonts w:ascii="Calibri"/>
                <w:sz w:val="13"/>
              </w:rPr>
            </w:pPr>
            <w:r>
              <w:rPr>
                <w:rFonts w:ascii="Calibri"/>
                <w:sz w:val="13"/>
              </w:rPr>
              <w:t>22.14</w:t>
            </w:r>
          </w:p>
          <w:p>
            <w:pPr>
              <w:pStyle w:val="14"/>
              <w:spacing w:before="2" w:line="134" w:lineRule="exact"/>
              <w:ind w:left="88" w:right="81"/>
              <w:rPr>
                <w:rFonts w:ascii="Calibri"/>
                <w:sz w:val="13"/>
              </w:rPr>
            </w:pPr>
            <w:r>
              <w:rPr>
                <w:rFonts w:ascii="Calibri"/>
                <w:sz w:val="13"/>
              </w:rPr>
              <w:t>27</w:t>
            </w:r>
          </w:p>
        </w:tc>
        <w:tc>
          <w:tcPr>
            <w:tcW w:w="579" w:type="dxa"/>
          </w:tcPr>
          <w:p>
            <w:pPr>
              <w:pStyle w:val="14"/>
              <w:jc w:val="left"/>
              <w:rPr>
                <w:rFonts w:ascii="Times New Roman"/>
                <w:sz w:val="14"/>
              </w:rPr>
            </w:pPr>
          </w:p>
        </w:tc>
        <w:tc>
          <w:tcPr>
            <w:tcW w:w="760" w:type="dxa"/>
          </w:tcPr>
          <w:p>
            <w:pPr>
              <w:pStyle w:val="14"/>
              <w:spacing w:before="84"/>
              <w:ind w:left="177" w:right="168"/>
              <w:rPr>
                <w:rFonts w:ascii="Calibri"/>
                <w:sz w:val="13"/>
              </w:rPr>
            </w:pPr>
            <w:r>
              <w:rPr>
                <w:rFonts w:ascii="Calibri"/>
                <w:sz w:val="13"/>
              </w:rPr>
              <w:t>6.69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41" w:type="dxa"/>
          </w:tcPr>
          <w:p>
            <w:pPr>
              <w:pStyle w:val="14"/>
              <w:spacing w:line="162" w:lineRule="exact"/>
              <w:ind w:left="6"/>
              <w:rPr>
                <w:sz w:val="13"/>
              </w:rPr>
            </w:pPr>
            <w:r>
              <w:rPr>
                <w:sz w:val="13"/>
              </w:rPr>
              <w:t>合</w:t>
            </w:r>
          </w:p>
          <w:p>
            <w:pPr>
              <w:pStyle w:val="14"/>
              <w:spacing w:line="138" w:lineRule="exact"/>
              <w:ind w:left="6"/>
              <w:rPr>
                <w:sz w:val="13"/>
              </w:rPr>
            </w:pPr>
            <w:r>
              <w:rPr>
                <w:sz w:val="13"/>
              </w:rPr>
              <w:t>计</w:t>
            </w:r>
          </w:p>
        </w:tc>
        <w:tc>
          <w:tcPr>
            <w:tcW w:w="992" w:type="dxa"/>
          </w:tcPr>
          <w:p>
            <w:pPr>
              <w:pStyle w:val="14"/>
              <w:spacing w:before="86"/>
              <w:ind w:left="10"/>
              <w:rPr>
                <w:rFonts w:ascii="Calibri"/>
                <w:sz w:val="13"/>
              </w:rPr>
            </w:pPr>
            <w:r>
              <w:rPr>
                <w:rFonts w:ascii="Calibri"/>
                <w:sz w:val="13"/>
              </w:rPr>
              <w:t>-</w:t>
            </w:r>
          </w:p>
        </w:tc>
        <w:tc>
          <w:tcPr>
            <w:tcW w:w="425" w:type="dxa"/>
          </w:tcPr>
          <w:p>
            <w:pPr>
              <w:pStyle w:val="14"/>
              <w:spacing w:before="86"/>
              <w:ind w:left="9"/>
              <w:rPr>
                <w:rFonts w:ascii="Calibri"/>
                <w:sz w:val="13"/>
              </w:rPr>
            </w:pPr>
            <w:r>
              <w:rPr>
                <w:rFonts w:ascii="Calibri"/>
                <w:sz w:val="13"/>
              </w:rPr>
              <w:t>-</w:t>
            </w:r>
          </w:p>
        </w:tc>
        <w:tc>
          <w:tcPr>
            <w:tcW w:w="567" w:type="dxa"/>
          </w:tcPr>
          <w:p>
            <w:pPr>
              <w:pStyle w:val="14"/>
              <w:spacing w:before="86"/>
              <w:ind w:left="10"/>
              <w:rPr>
                <w:rFonts w:ascii="Calibri"/>
                <w:sz w:val="13"/>
              </w:rPr>
            </w:pPr>
            <w:r>
              <w:rPr>
                <w:rFonts w:ascii="Calibri"/>
                <w:sz w:val="13"/>
              </w:rPr>
              <w:t>-</w:t>
            </w:r>
          </w:p>
        </w:tc>
        <w:tc>
          <w:tcPr>
            <w:tcW w:w="579" w:type="dxa"/>
          </w:tcPr>
          <w:p>
            <w:pPr>
              <w:pStyle w:val="14"/>
              <w:spacing w:before="4"/>
              <w:ind w:left="86" w:right="75"/>
              <w:rPr>
                <w:rFonts w:ascii="Calibri"/>
                <w:sz w:val="13"/>
              </w:rPr>
            </w:pPr>
            <w:r>
              <w:rPr>
                <w:rFonts w:ascii="Calibri"/>
                <w:sz w:val="13"/>
              </w:rPr>
              <w:t>50.206</w:t>
            </w:r>
          </w:p>
          <w:p>
            <w:pPr>
              <w:pStyle w:val="14"/>
              <w:spacing w:before="2" w:line="135" w:lineRule="exact"/>
              <w:ind w:left="9"/>
              <w:rPr>
                <w:rFonts w:ascii="Calibri"/>
                <w:sz w:val="13"/>
              </w:rPr>
            </w:pPr>
            <w:r>
              <w:rPr>
                <w:rFonts w:ascii="Calibri"/>
                <w:sz w:val="13"/>
              </w:rPr>
              <w:t>3</w:t>
            </w:r>
          </w:p>
        </w:tc>
        <w:tc>
          <w:tcPr>
            <w:tcW w:w="579" w:type="dxa"/>
          </w:tcPr>
          <w:p>
            <w:pPr>
              <w:pStyle w:val="14"/>
              <w:spacing w:before="4"/>
              <w:ind w:left="88" w:right="73"/>
              <w:rPr>
                <w:rFonts w:ascii="Calibri"/>
                <w:sz w:val="13"/>
              </w:rPr>
            </w:pPr>
            <w:r>
              <w:rPr>
                <w:rFonts w:ascii="Calibri"/>
                <w:sz w:val="13"/>
              </w:rPr>
              <w:t>50.206</w:t>
            </w:r>
          </w:p>
          <w:p>
            <w:pPr>
              <w:pStyle w:val="14"/>
              <w:spacing w:before="2" w:line="135" w:lineRule="exact"/>
              <w:ind w:left="8"/>
              <w:rPr>
                <w:rFonts w:ascii="Calibri"/>
                <w:sz w:val="13"/>
              </w:rPr>
            </w:pPr>
            <w:r>
              <w:rPr>
                <w:rFonts w:ascii="Calibri"/>
                <w:sz w:val="13"/>
              </w:rPr>
              <w:t>3</w:t>
            </w:r>
          </w:p>
        </w:tc>
        <w:tc>
          <w:tcPr>
            <w:tcW w:w="579" w:type="dxa"/>
          </w:tcPr>
          <w:p>
            <w:pPr>
              <w:pStyle w:val="14"/>
              <w:jc w:val="left"/>
              <w:rPr>
                <w:rFonts w:ascii="Times New Roman"/>
                <w:sz w:val="14"/>
              </w:rPr>
            </w:pPr>
          </w:p>
        </w:tc>
        <w:tc>
          <w:tcPr>
            <w:tcW w:w="531" w:type="dxa"/>
          </w:tcPr>
          <w:p>
            <w:pPr>
              <w:pStyle w:val="14"/>
              <w:spacing w:before="4"/>
              <w:ind w:left="117"/>
              <w:jc w:val="left"/>
              <w:rPr>
                <w:rFonts w:ascii="Calibri"/>
                <w:sz w:val="13"/>
              </w:rPr>
            </w:pPr>
            <w:r>
              <w:rPr>
                <w:rFonts w:ascii="Calibri"/>
                <w:sz w:val="13"/>
              </w:rPr>
              <w:t>280.6</w:t>
            </w:r>
          </w:p>
          <w:p>
            <w:pPr>
              <w:pStyle w:val="14"/>
              <w:spacing w:before="2" w:line="135" w:lineRule="exact"/>
              <w:ind w:left="167"/>
              <w:jc w:val="left"/>
              <w:rPr>
                <w:rFonts w:ascii="Calibri"/>
                <w:sz w:val="13"/>
              </w:rPr>
            </w:pPr>
            <w:r>
              <w:rPr>
                <w:rFonts w:ascii="Calibri"/>
                <w:sz w:val="13"/>
              </w:rPr>
              <w:t>915</w:t>
            </w:r>
          </w:p>
        </w:tc>
        <w:tc>
          <w:tcPr>
            <w:tcW w:w="627" w:type="dxa"/>
          </w:tcPr>
          <w:p>
            <w:pPr>
              <w:pStyle w:val="14"/>
              <w:spacing w:before="4"/>
              <w:ind w:left="112" w:right="101"/>
              <w:rPr>
                <w:rFonts w:ascii="Calibri"/>
                <w:sz w:val="13"/>
              </w:rPr>
            </w:pPr>
            <w:r>
              <w:rPr>
                <w:rFonts w:ascii="Calibri"/>
                <w:sz w:val="13"/>
              </w:rPr>
              <w:t>280.69</w:t>
            </w:r>
          </w:p>
          <w:p>
            <w:pPr>
              <w:pStyle w:val="14"/>
              <w:spacing w:before="2" w:line="135" w:lineRule="exact"/>
              <w:ind w:left="107" w:right="101"/>
              <w:rPr>
                <w:rFonts w:ascii="Calibri"/>
                <w:sz w:val="13"/>
              </w:rPr>
            </w:pPr>
            <w:r>
              <w:rPr>
                <w:rFonts w:ascii="Calibri"/>
                <w:sz w:val="13"/>
              </w:rPr>
              <w:t>15</w:t>
            </w:r>
          </w:p>
        </w:tc>
        <w:tc>
          <w:tcPr>
            <w:tcW w:w="579" w:type="dxa"/>
          </w:tcPr>
          <w:p>
            <w:pPr>
              <w:pStyle w:val="14"/>
              <w:jc w:val="left"/>
              <w:rPr>
                <w:rFonts w:ascii="Times New Roman"/>
                <w:sz w:val="14"/>
              </w:rPr>
            </w:pPr>
          </w:p>
        </w:tc>
        <w:tc>
          <w:tcPr>
            <w:tcW w:w="637" w:type="dxa"/>
          </w:tcPr>
          <w:p>
            <w:pPr>
              <w:pStyle w:val="14"/>
              <w:spacing w:before="4"/>
              <w:ind w:left="118" w:right="105"/>
              <w:rPr>
                <w:rFonts w:ascii="Calibri"/>
                <w:sz w:val="13"/>
              </w:rPr>
            </w:pPr>
            <w:r>
              <w:rPr>
                <w:rFonts w:ascii="Calibri"/>
                <w:sz w:val="13"/>
              </w:rPr>
              <w:t>330.89</w:t>
            </w:r>
          </w:p>
          <w:p>
            <w:pPr>
              <w:pStyle w:val="14"/>
              <w:spacing w:before="2" w:line="135" w:lineRule="exact"/>
              <w:ind w:left="113" w:right="105"/>
              <w:rPr>
                <w:rFonts w:ascii="Calibri"/>
                <w:sz w:val="13"/>
              </w:rPr>
            </w:pPr>
            <w:r>
              <w:rPr>
                <w:rFonts w:ascii="Calibri"/>
                <w:sz w:val="13"/>
              </w:rPr>
              <w:t>78</w:t>
            </w:r>
          </w:p>
        </w:tc>
        <w:tc>
          <w:tcPr>
            <w:tcW w:w="521" w:type="dxa"/>
          </w:tcPr>
          <w:p>
            <w:pPr>
              <w:pStyle w:val="14"/>
              <w:spacing w:before="4"/>
              <w:ind w:left="114"/>
              <w:jc w:val="left"/>
              <w:rPr>
                <w:rFonts w:ascii="Calibri"/>
                <w:sz w:val="13"/>
              </w:rPr>
            </w:pPr>
            <w:r>
              <w:rPr>
                <w:rFonts w:ascii="Calibri"/>
                <w:sz w:val="13"/>
              </w:rPr>
              <w:t>330.8</w:t>
            </w:r>
          </w:p>
          <w:p>
            <w:pPr>
              <w:pStyle w:val="14"/>
              <w:spacing w:before="2" w:line="135" w:lineRule="exact"/>
              <w:ind w:left="162"/>
              <w:jc w:val="left"/>
              <w:rPr>
                <w:rFonts w:ascii="Calibri"/>
                <w:sz w:val="13"/>
              </w:rPr>
            </w:pPr>
            <w:r>
              <w:rPr>
                <w:rFonts w:ascii="Calibri"/>
                <w:sz w:val="13"/>
              </w:rPr>
              <w:t>978</w:t>
            </w:r>
          </w:p>
        </w:tc>
        <w:tc>
          <w:tcPr>
            <w:tcW w:w="579" w:type="dxa"/>
          </w:tcPr>
          <w:p>
            <w:pPr>
              <w:pStyle w:val="14"/>
              <w:jc w:val="left"/>
              <w:rPr>
                <w:rFonts w:ascii="Times New Roman"/>
                <w:sz w:val="14"/>
              </w:rPr>
            </w:pPr>
          </w:p>
        </w:tc>
        <w:tc>
          <w:tcPr>
            <w:tcW w:w="760" w:type="dxa"/>
          </w:tcPr>
          <w:p>
            <w:pPr>
              <w:pStyle w:val="14"/>
              <w:spacing w:before="86"/>
              <w:ind w:left="179" w:right="168"/>
              <w:rPr>
                <w:rFonts w:ascii="Calibri"/>
                <w:sz w:val="13"/>
              </w:rPr>
            </w:pPr>
            <w:r>
              <w:rPr>
                <w:rFonts w:ascii="Calibri"/>
                <w:sz w:val="13"/>
              </w:rPr>
              <w:t>100.00</w:t>
            </w:r>
          </w:p>
        </w:tc>
      </w:tr>
    </w:tbl>
    <w:p>
      <w:pPr>
        <w:spacing w:after="0"/>
        <w:rPr>
          <w:rFonts w:ascii="Calibri"/>
          <w:sz w:val="13"/>
        </w:rPr>
        <w:sectPr>
          <w:pgSz w:w="11910" w:h="16840"/>
          <w:pgMar w:top="1440" w:right="1220" w:bottom="1180" w:left="1240" w:header="0" w:footer="997" w:gutter="0"/>
        </w:sect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spacing w:before="10"/>
        <w:rPr>
          <w:b/>
          <w:sz w:val="16"/>
        </w:rPr>
      </w:pPr>
    </w:p>
    <w:p>
      <w:pPr>
        <w:pStyle w:val="6"/>
        <w:ind w:left="103" w:right="-72"/>
        <w:rPr>
          <w:sz w:val="20"/>
        </w:rPr>
      </w:pPr>
      <w:r>
        <w:rPr>
          <w:sz w:val="20"/>
        </w:rPr>
        <w:drawing>
          <wp:inline distT="0" distB="0" distL="0" distR="0">
            <wp:extent cx="7925435" cy="4699635"/>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jpeg"/>
                    <pic:cNvPicPr>
                      <a:picLocks noChangeAspect="1"/>
                    </pic:cNvPicPr>
                  </pic:nvPicPr>
                  <pic:blipFill>
                    <a:blip r:embed="rId54" cstate="print"/>
                    <a:stretch>
                      <a:fillRect/>
                    </a:stretch>
                  </pic:blipFill>
                  <pic:spPr>
                    <a:xfrm>
                      <a:off x="0" y="0"/>
                      <a:ext cx="7926012" cy="4700016"/>
                    </a:xfrm>
                    <a:prstGeom prst="rect">
                      <a:avLst/>
                    </a:prstGeom>
                  </pic:spPr>
                </pic:pic>
              </a:graphicData>
            </a:graphic>
          </wp:inline>
        </w:drawing>
      </w:r>
    </w:p>
    <w:p>
      <w:pPr>
        <w:pStyle w:val="6"/>
        <w:spacing w:before="6"/>
        <w:rPr>
          <w:b/>
          <w:sz w:val="2"/>
        </w:rPr>
      </w:pPr>
    </w:p>
    <w:p>
      <w:pPr>
        <w:pStyle w:val="6"/>
        <w:ind w:left="3652"/>
        <w:rPr>
          <w:sz w:val="20"/>
        </w:rPr>
      </w:pPr>
      <w:r>
        <w:rPr>
          <w:sz w:val="20"/>
        </w:rPr>
        <mc:AlternateContent>
          <mc:Choice Requires="wpg">
            <w:drawing>
              <wp:inline distT="0" distB="0" distL="114300" distR="114300">
                <wp:extent cx="3232785" cy="274320"/>
                <wp:effectExtent l="0" t="0" r="5715" b="11430"/>
                <wp:docPr id="133" name="组合 88"/>
                <wp:cNvGraphicFramePr/>
                <a:graphic xmlns:a="http://schemas.openxmlformats.org/drawingml/2006/main">
                  <a:graphicData uri="http://schemas.microsoft.com/office/word/2010/wordprocessingGroup">
                    <wpg:wgp>
                      <wpg:cNvGrpSpPr/>
                      <wpg:grpSpPr>
                        <a:xfrm>
                          <a:off x="0" y="0"/>
                          <a:ext cx="3232785" cy="274320"/>
                          <a:chOff x="0" y="0"/>
                          <a:chExt cx="5091" cy="432"/>
                        </a:xfrm>
                      </wpg:grpSpPr>
                      <pic:pic xmlns:pic="http://schemas.openxmlformats.org/drawingml/2006/picture">
                        <pic:nvPicPr>
                          <pic:cNvPr id="131" name="图片 89"/>
                          <pic:cNvPicPr>
                            <a:picLocks noChangeAspect="1"/>
                          </pic:cNvPicPr>
                        </pic:nvPicPr>
                        <pic:blipFill>
                          <a:blip r:embed="rId55"/>
                          <a:stretch>
                            <a:fillRect/>
                          </a:stretch>
                        </pic:blipFill>
                        <pic:spPr>
                          <a:xfrm>
                            <a:off x="0" y="0"/>
                            <a:ext cx="5091" cy="432"/>
                          </a:xfrm>
                          <a:prstGeom prst="rect">
                            <a:avLst/>
                          </a:prstGeom>
                          <a:noFill/>
                          <a:ln>
                            <a:noFill/>
                          </a:ln>
                        </pic:spPr>
                      </pic:pic>
                      <wps:wsp>
                        <wps:cNvPr id="132" name="文本框 90"/>
                        <wps:cNvSpPr txBox="1"/>
                        <wps:spPr>
                          <a:xfrm>
                            <a:off x="0" y="0"/>
                            <a:ext cx="5091" cy="432"/>
                          </a:xfrm>
                          <a:prstGeom prst="rect">
                            <a:avLst/>
                          </a:prstGeom>
                          <a:noFill/>
                          <a:ln>
                            <a:noFill/>
                          </a:ln>
                        </wps:spPr>
                        <wps:txbx>
                          <w:txbxContent>
                            <w:p>
                              <w:pPr>
                                <w:spacing w:before="75"/>
                                <w:ind w:left="674" w:right="0" w:firstLine="0"/>
                                <w:jc w:val="left"/>
                                <w:rPr>
                                  <w:b/>
                                  <w:sz w:val="24"/>
                                </w:rPr>
                              </w:pPr>
                              <w:r>
                                <w:rPr>
                                  <w:b/>
                                  <w:sz w:val="24"/>
                                </w:rPr>
                                <w:t xml:space="preserve">图 </w:t>
                              </w:r>
                              <w:r>
                                <w:rPr>
                                  <w:rFonts w:ascii="Times New Roman" w:eastAsia="Times New Roman"/>
                                  <w:b/>
                                  <w:sz w:val="24"/>
                                </w:rPr>
                                <w:t xml:space="preserve">5.1-3 </w:t>
                              </w:r>
                              <w:r>
                                <w:rPr>
                                  <w:b/>
                                  <w:sz w:val="24"/>
                                </w:rPr>
                                <w:t>项目区土地利用现状示意图</w:t>
                              </w:r>
                            </w:p>
                          </w:txbxContent>
                        </wps:txbx>
                        <wps:bodyPr lIns="0" tIns="0" rIns="0" bIns="0" upright="1"/>
                      </wps:wsp>
                    </wpg:wgp>
                  </a:graphicData>
                </a:graphic>
              </wp:inline>
            </w:drawing>
          </mc:Choice>
          <mc:Fallback>
            <w:pict>
              <v:group id="组合 88" o:spid="_x0000_s1026" o:spt="203" style="height:21.6pt;width:254.55pt;" coordsize="5091,432" o:gfxdata="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">
                <o:lock v:ext="edit" aspectratio="f"/>
                <v:shape id="图片 89" o:spid="_x0000_s1026" o:spt="75" alt="" type="#_x0000_t75" style="position:absolute;left:0;top:0;height:432;width:5091;" filled="f" o:preferrelative="t" stroked="f" coordsize="21600,21600" o:gfxdata="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5KhJm8AAAA&#10;3AAAAA8AAAAAAAAAAQAgAAAAIgAAAGRycy9kb3ducmV2LnhtbFBLAQIUABQAAAAIAIdO4kAzLwWe&#10;OwAAADkAAAAQAAAAAAAAAAEAIAAAAAsBAABkcnMvc2hhcGV4bWwueG1sUEsFBgAAAAAGAAYAWwEA&#10;ALUDAAAAAA==&#10;">
                  <v:fill on="f" focussize="0,0"/>
                  <v:stroke on="f"/>
                  <v:imagedata r:id="rId55" o:title=""/>
                  <o:lock v:ext="edit" aspectratio="t"/>
                </v:shape>
                <v:shape id="文本框 90" o:spid="_x0000_s1026" o:spt="202" type="#_x0000_t202" style="position:absolute;left:0;top:0;height:432;width:5091;" filled="f" stroked="f" coordsize="21600,21600" o:gfxdata="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cqcz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75"/>
                          <w:ind w:left="674" w:right="0" w:firstLine="0"/>
                          <w:jc w:val="left"/>
                          <w:rPr>
                            <w:b/>
                            <w:sz w:val="24"/>
                          </w:rPr>
                        </w:pPr>
                        <w:r>
                          <w:rPr>
                            <w:b/>
                            <w:sz w:val="24"/>
                          </w:rPr>
                          <w:t xml:space="preserve">图 </w:t>
                        </w:r>
                        <w:r>
                          <w:rPr>
                            <w:rFonts w:ascii="Times New Roman" w:eastAsia="Times New Roman"/>
                            <w:b/>
                            <w:sz w:val="24"/>
                          </w:rPr>
                          <w:t xml:space="preserve">5.1-3 </w:t>
                        </w:r>
                        <w:r>
                          <w:rPr>
                            <w:b/>
                            <w:sz w:val="24"/>
                          </w:rPr>
                          <w:t>项目区土地利用现状示意图</w:t>
                        </w:r>
                      </w:p>
                    </w:txbxContent>
                  </v:textbox>
                </v:shape>
                <w10:wrap type="none"/>
                <w10:anchorlock/>
              </v:group>
            </w:pict>
          </mc:Fallback>
        </mc:AlternateContent>
      </w:r>
    </w:p>
    <w:p>
      <w:pPr>
        <w:pStyle w:val="6"/>
        <w:spacing w:before="2"/>
        <w:rPr>
          <w:b/>
          <w:sz w:val="10"/>
        </w:rPr>
      </w:pPr>
    </w:p>
    <w:p>
      <w:pPr>
        <w:spacing w:before="64"/>
        <w:ind w:left="6208" w:right="6128" w:firstLine="0"/>
        <w:jc w:val="center"/>
        <w:rPr>
          <w:rFonts w:ascii="Calibri"/>
          <w:sz w:val="18"/>
        </w:rPr>
      </w:pPr>
      <w:r>
        <w:rPr>
          <w:rFonts w:ascii="Calibri"/>
          <w:sz w:val="18"/>
        </w:rPr>
        <w:t>77</w:t>
      </w:r>
    </w:p>
    <w:p>
      <w:pPr>
        <w:spacing w:after="0"/>
        <w:jc w:val="center"/>
        <w:rPr>
          <w:rFonts w:ascii="Calibri"/>
          <w:sz w:val="18"/>
        </w:rPr>
        <w:sectPr>
          <w:footerReference r:id="rId14" w:type="default"/>
          <w:pgSz w:w="16840" w:h="11910" w:orient="landscape"/>
          <w:pgMar w:top="1100" w:right="2180" w:bottom="280" w:left="2100" w:header="0" w:footer="0" w:gutter="0"/>
        </w:sectPr>
      </w:pPr>
    </w:p>
    <w:p>
      <w:pPr>
        <w:pStyle w:val="4"/>
        <w:numPr>
          <w:ilvl w:val="2"/>
          <w:numId w:val="38"/>
        </w:numPr>
        <w:tabs>
          <w:tab w:val="left" w:pos="1081"/>
        </w:tabs>
        <w:spacing w:before="44" w:after="0" w:line="240" w:lineRule="auto"/>
        <w:ind w:left="1080" w:right="0" w:hanging="630"/>
        <w:jc w:val="both"/>
      </w:pPr>
      <w:bookmarkStart w:id="154" w:name="5.1.5生态保护目标"/>
      <w:bookmarkEnd w:id="154"/>
      <w:bookmarkStart w:id="155" w:name="5.1.5生态保护目标"/>
      <w:bookmarkEnd w:id="155"/>
      <w:r>
        <w:t>生态保护目标</w:t>
      </w:r>
    </w:p>
    <w:p>
      <w:pPr>
        <w:pStyle w:val="6"/>
        <w:spacing w:before="264" w:line="364" w:lineRule="auto"/>
        <w:ind w:left="451" w:right="453" w:firstLine="480"/>
      </w:pPr>
      <w:r>
        <w:t>根据本矿区的实际情况，确定本项目的生态保护目标为广泛分布于井田范围内的林地。</w:t>
      </w:r>
    </w:p>
    <w:p>
      <w:pPr>
        <w:pStyle w:val="4"/>
        <w:numPr>
          <w:ilvl w:val="2"/>
          <w:numId w:val="38"/>
        </w:numPr>
        <w:tabs>
          <w:tab w:val="left" w:pos="1081"/>
        </w:tabs>
        <w:spacing w:before="0" w:after="0" w:line="282" w:lineRule="exact"/>
        <w:ind w:left="1080" w:right="0" w:hanging="630"/>
        <w:jc w:val="both"/>
      </w:pPr>
      <w:bookmarkStart w:id="156" w:name="5.1.6评价区生态环境现状综合评价"/>
      <w:bookmarkEnd w:id="156"/>
      <w:bookmarkStart w:id="157" w:name="5.1.6评价区生态环境现状综合评价"/>
      <w:bookmarkEnd w:id="157"/>
      <w:r>
        <w:t>评价区生态环境现状综合评价</w:t>
      </w:r>
    </w:p>
    <w:p>
      <w:pPr>
        <w:pStyle w:val="6"/>
        <w:spacing w:before="185" w:line="364" w:lineRule="auto"/>
        <w:ind w:left="451" w:right="449" w:firstLine="480"/>
        <w:jc w:val="both"/>
      </w:pPr>
      <w:r>
        <w:rPr>
          <w:spacing w:val="-5"/>
        </w:rPr>
        <w:t xml:space="preserve">综合上述分析，评价区共有 </w:t>
      </w:r>
      <w:r>
        <w:rPr>
          <w:rFonts w:ascii="Times New Roman" w:eastAsia="Times New Roman"/>
        </w:rPr>
        <w:t xml:space="preserve">3 </w:t>
      </w:r>
      <w:r>
        <w:rPr>
          <w:spacing w:val="-1"/>
        </w:rPr>
        <w:t>种生态系统类型。林地生态系统以广泛分布于</w:t>
      </w:r>
      <w:r>
        <w:rPr>
          <w:spacing w:val="-5"/>
        </w:rPr>
        <w:t xml:space="preserve">评价区，占评价区的 </w:t>
      </w:r>
      <w:r>
        <w:rPr>
          <w:rFonts w:ascii="Times New Roman" w:eastAsia="Times New Roman"/>
        </w:rPr>
        <w:t>68.54%</w:t>
      </w:r>
      <w:r>
        <w:rPr>
          <w:spacing w:val="-3"/>
        </w:rPr>
        <w:t xml:space="preserve">；农田生态系统占评价区总面积的 </w:t>
      </w:r>
      <w:r>
        <w:rPr>
          <w:rFonts w:ascii="Times New Roman" w:eastAsia="Times New Roman"/>
        </w:rPr>
        <w:t>16.91</w:t>
      </w:r>
      <w:r>
        <w:t>％；工矿用</w:t>
      </w:r>
      <w:r>
        <w:rPr>
          <w:spacing w:val="-4"/>
        </w:rPr>
        <w:t xml:space="preserve">地生态系统，占评价区总面积的 </w:t>
      </w:r>
      <w:r>
        <w:rPr>
          <w:rFonts w:ascii="Times New Roman" w:eastAsia="Times New Roman"/>
        </w:rPr>
        <w:t>6.69</w:t>
      </w:r>
      <w:r>
        <w:t>％。</w:t>
      </w:r>
    </w:p>
    <w:p>
      <w:pPr>
        <w:pStyle w:val="6"/>
        <w:spacing w:line="362" w:lineRule="auto"/>
        <w:ind w:left="451" w:right="453" w:firstLine="480"/>
      </w:pPr>
      <w:r>
        <w:rPr>
          <w:spacing w:val="-1"/>
        </w:rPr>
        <w:t>在林地生态系统中，主要为有林地，如果减少区域的人为干扰，评价区域内</w:t>
      </w:r>
      <w:r>
        <w:t>的林地生态系统将会向更稳定、高产的良性方向发展。</w:t>
      </w:r>
    </w:p>
    <w:p>
      <w:pPr>
        <w:pStyle w:val="3"/>
        <w:numPr>
          <w:ilvl w:val="1"/>
          <w:numId w:val="38"/>
        </w:numPr>
        <w:tabs>
          <w:tab w:val="left" w:pos="978"/>
        </w:tabs>
        <w:spacing w:before="122" w:after="0" w:line="240" w:lineRule="auto"/>
        <w:ind w:left="977" w:right="0" w:hanging="527"/>
        <w:jc w:val="left"/>
      </w:pPr>
      <w:bookmarkStart w:id="158" w:name="_bookmark25"/>
      <w:bookmarkEnd w:id="158"/>
      <w:bookmarkStart w:id="159" w:name="5.2 建设期生态影响分析与保护措施"/>
      <w:bookmarkEnd w:id="159"/>
      <w:bookmarkStart w:id="160" w:name="_bookmark25"/>
      <w:bookmarkEnd w:id="160"/>
      <w:r>
        <w:rPr>
          <w:w w:val="95"/>
        </w:rPr>
        <w:t>建设期生态影响分析与保护措施</w:t>
      </w:r>
    </w:p>
    <w:p>
      <w:pPr>
        <w:pStyle w:val="6"/>
        <w:spacing w:before="122" w:line="364" w:lineRule="auto"/>
        <w:ind w:left="451" w:right="329" w:firstLine="480"/>
      </w:pPr>
      <w:r>
        <w:rPr>
          <w:spacing w:val="-10"/>
        </w:rPr>
        <w:t>项目的工业场地建设、道路建设、辅助系统建设等工程施工中，要平整场地、</w:t>
      </w:r>
      <w:r>
        <w:t xml:space="preserve">开挖地表，造成直接施工区域内地表植被的完全破坏和施工区域一定范围内植被不同程度的破坏堆放、施工人员践踏、临时占地、弃土、弃渣的堆放等，将破坏一定区域内的植被并造成水土流失。但由于项目用地占整个评价区域总面积的比例很小，且施工在一定范围内进行，建设期的影响持续时间较短，只要在施工各个阶段内做好各种防护措施，并且在施工完成时，及时做好恢复和补偿工作，加强绿化，在采取了的生态保护和水土保持措施后，对生态系统的影响是有限的； </w:t>
      </w:r>
      <w:r>
        <w:rPr>
          <w:spacing w:val="-6"/>
        </w:rPr>
        <w:t xml:space="preserve">矿井在生产过程中的排污由于采取相对完善的治理措施，对生态体系的影响较小， </w:t>
      </w:r>
      <w:r>
        <w:t>而且是局部的。但项目在建设施工过程中必须高度重视对周围生态环境的保护， 要在施工各个阶段内做好各种防护措施，并且在施工完成及，及时做好恢复和补偿工作，加强绿化，在采取了的生态保护和水土保持措施后，可将施工期的生态环境影响降至最小程度。</w:t>
      </w:r>
    </w:p>
    <w:p>
      <w:pPr>
        <w:pStyle w:val="13"/>
        <w:numPr>
          <w:ilvl w:val="0"/>
          <w:numId w:val="39"/>
        </w:numPr>
        <w:tabs>
          <w:tab w:val="left" w:pos="1533"/>
        </w:tabs>
        <w:spacing w:before="0" w:after="0" w:line="364" w:lineRule="auto"/>
        <w:ind w:left="451" w:right="449" w:firstLine="480"/>
        <w:jc w:val="left"/>
        <w:rPr>
          <w:sz w:val="24"/>
        </w:rPr>
      </w:pPr>
      <w:r>
        <w:rPr>
          <w:spacing w:val="-6"/>
          <w:sz w:val="24"/>
        </w:rPr>
        <w:t xml:space="preserve">本项目施工挖方、弃方材料堆放场都将占用土地，破坏土壤、植被， </w:t>
      </w:r>
      <w:r>
        <w:rPr>
          <w:spacing w:val="-4"/>
          <w:sz w:val="24"/>
        </w:rPr>
        <w:t>因此施工期间应严格划定施工范围，要尽可能保护施工区内、外的林地。</w:t>
      </w:r>
    </w:p>
    <w:p>
      <w:pPr>
        <w:pStyle w:val="13"/>
        <w:numPr>
          <w:ilvl w:val="0"/>
          <w:numId w:val="39"/>
        </w:numPr>
        <w:tabs>
          <w:tab w:val="left" w:pos="1533"/>
        </w:tabs>
        <w:spacing w:before="0" w:after="0" w:line="364" w:lineRule="auto"/>
        <w:ind w:left="451" w:right="449" w:firstLine="480"/>
        <w:jc w:val="left"/>
        <w:rPr>
          <w:sz w:val="24"/>
        </w:rPr>
      </w:pPr>
      <w:r>
        <w:rPr>
          <w:spacing w:val="-2"/>
          <w:sz w:val="24"/>
        </w:rPr>
        <w:t>施工单位应向施工人员宣传环保知识及国家对动植物的保护法规，严</w:t>
      </w:r>
      <w:r>
        <w:rPr>
          <w:spacing w:val="-4"/>
          <w:sz w:val="24"/>
        </w:rPr>
        <w:t>禁施工人员毁坏林木及捕杀野生动物。</w:t>
      </w:r>
    </w:p>
    <w:p>
      <w:pPr>
        <w:pStyle w:val="13"/>
        <w:numPr>
          <w:ilvl w:val="0"/>
          <w:numId w:val="39"/>
        </w:numPr>
        <w:tabs>
          <w:tab w:val="left" w:pos="1533"/>
        </w:tabs>
        <w:spacing w:before="0" w:after="0" w:line="364" w:lineRule="auto"/>
        <w:ind w:left="451" w:right="333" w:firstLine="480"/>
        <w:jc w:val="left"/>
        <w:rPr>
          <w:sz w:val="24"/>
        </w:rPr>
      </w:pPr>
      <w:r>
        <w:rPr>
          <w:spacing w:val="-1"/>
          <w:sz w:val="24"/>
        </w:rPr>
        <w:t>严禁施工人员及施工机械超范围活动，避免在大范围内发生人为践踏、</w:t>
      </w:r>
      <w:r>
        <w:rPr>
          <w:sz w:val="24"/>
        </w:rPr>
        <w:t>机械碾压植被的现象，尽量减轻对生态环境的不利影响。</w:t>
      </w:r>
    </w:p>
    <w:p>
      <w:pPr>
        <w:pStyle w:val="13"/>
        <w:numPr>
          <w:ilvl w:val="0"/>
          <w:numId w:val="39"/>
        </w:numPr>
        <w:tabs>
          <w:tab w:val="left" w:pos="1533"/>
        </w:tabs>
        <w:spacing w:before="0" w:after="0" w:line="306" w:lineRule="exact"/>
        <w:ind w:left="1533" w:right="0" w:hanging="602"/>
        <w:jc w:val="left"/>
        <w:rPr>
          <w:sz w:val="24"/>
        </w:rPr>
      </w:pPr>
      <w:r>
        <w:rPr>
          <w:spacing w:val="-3"/>
          <w:sz w:val="24"/>
        </w:rPr>
        <w:t>大型施工机械的噪声对林地内的动物也会产生较大的影响，所以施工期</w:t>
      </w:r>
    </w:p>
    <w:p>
      <w:pPr>
        <w:spacing w:after="0" w:line="306" w:lineRule="exact"/>
        <w:jc w:val="left"/>
        <w:rPr>
          <w:sz w:val="24"/>
        </w:rPr>
        <w:sectPr>
          <w:footerReference r:id="rId15" w:type="default"/>
          <w:pgSz w:w="11910" w:h="16840"/>
          <w:pgMar w:top="1380" w:right="1300" w:bottom="1180" w:left="1300" w:header="0" w:footer="997" w:gutter="0"/>
          <w:pgNumType w:start="78"/>
        </w:sectPr>
      </w:pPr>
    </w:p>
    <w:p>
      <w:pPr>
        <w:pStyle w:val="6"/>
        <w:spacing w:before="43"/>
        <w:ind w:left="451"/>
      </w:pPr>
      <w:r>
        <w:t>大型机械应减少使用次数，缩短工期，减少影响。</w:t>
      </w:r>
    </w:p>
    <w:p>
      <w:pPr>
        <w:pStyle w:val="13"/>
        <w:numPr>
          <w:ilvl w:val="0"/>
          <w:numId w:val="39"/>
        </w:numPr>
        <w:tabs>
          <w:tab w:val="left" w:pos="1533"/>
        </w:tabs>
        <w:spacing w:before="160" w:after="0" w:line="364" w:lineRule="auto"/>
        <w:ind w:left="451" w:right="449" w:firstLine="480"/>
        <w:jc w:val="both"/>
        <w:rPr>
          <w:sz w:val="24"/>
        </w:rPr>
      </w:pPr>
      <w:r>
        <w:rPr>
          <w:spacing w:val="-5"/>
          <w:sz w:val="24"/>
        </w:rPr>
        <w:t>做好施工期的水土保持工作，对有坡度及容易发生水土流失的地方应</w:t>
      </w:r>
      <w:r>
        <w:rPr>
          <w:spacing w:val="-4"/>
          <w:sz w:val="24"/>
        </w:rPr>
        <w:t>采取网格护坡、条石护坡、草皮护坡等方法，来减少水土流失，降低对生态环境</w:t>
      </w:r>
      <w:r>
        <w:rPr>
          <w:spacing w:val="-5"/>
          <w:sz w:val="24"/>
        </w:rPr>
        <w:t>的影响。</w:t>
      </w:r>
    </w:p>
    <w:p>
      <w:pPr>
        <w:pStyle w:val="3"/>
        <w:numPr>
          <w:ilvl w:val="1"/>
          <w:numId w:val="38"/>
        </w:numPr>
        <w:tabs>
          <w:tab w:val="left" w:pos="978"/>
        </w:tabs>
        <w:spacing w:before="115" w:after="0" w:line="240" w:lineRule="auto"/>
        <w:ind w:left="977" w:right="0" w:hanging="527"/>
        <w:jc w:val="both"/>
      </w:pPr>
      <w:bookmarkStart w:id="161" w:name="_bookmark26"/>
      <w:bookmarkEnd w:id="161"/>
      <w:bookmarkStart w:id="162" w:name="5.3 地表沉陷预测与影响分析"/>
      <w:bookmarkEnd w:id="162"/>
      <w:bookmarkStart w:id="163" w:name="_bookmark26"/>
      <w:bookmarkEnd w:id="163"/>
      <w:r>
        <w:t>地表沉陷预测与影响分析</w:t>
      </w:r>
    </w:p>
    <w:p>
      <w:pPr>
        <w:pStyle w:val="4"/>
        <w:numPr>
          <w:ilvl w:val="2"/>
          <w:numId w:val="38"/>
        </w:numPr>
        <w:tabs>
          <w:tab w:val="left" w:pos="1153"/>
        </w:tabs>
        <w:spacing w:before="123" w:after="0" w:line="240" w:lineRule="auto"/>
        <w:ind w:left="1152" w:right="0" w:hanging="702"/>
        <w:jc w:val="both"/>
      </w:pPr>
      <w:bookmarkStart w:id="164" w:name="5.3.1 井田开拓与开采"/>
      <w:bookmarkEnd w:id="164"/>
      <w:bookmarkStart w:id="165" w:name="5.3.1 井田开拓与开采"/>
      <w:bookmarkEnd w:id="165"/>
      <w:r>
        <w:t>井田开拓与开采</w:t>
      </w:r>
    </w:p>
    <w:p>
      <w:pPr>
        <w:pStyle w:val="6"/>
        <w:spacing w:before="264" w:line="364" w:lineRule="auto"/>
        <w:ind w:left="451" w:right="453" w:firstLine="480"/>
        <w:jc w:val="both"/>
      </w:pPr>
      <w:r>
        <w:t>关于双鸭山大顺矿业有限公司的开拓开采方式、开采水平、盘区划分、煤炭开采顺序以及开采工艺等内容在前面第三章中已进行了十分详细的论述，此处不再赘述。</w:t>
      </w:r>
    </w:p>
    <w:p>
      <w:pPr>
        <w:pStyle w:val="4"/>
        <w:numPr>
          <w:ilvl w:val="2"/>
          <w:numId w:val="38"/>
        </w:numPr>
        <w:tabs>
          <w:tab w:val="left" w:pos="1153"/>
        </w:tabs>
        <w:spacing w:before="0" w:after="0" w:line="282" w:lineRule="exact"/>
        <w:ind w:left="1152" w:right="0" w:hanging="702"/>
        <w:jc w:val="both"/>
      </w:pPr>
      <w:bookmarkStart w:id="166" w:name="5.3.2 地表沉陷预测模式及参数选取"/>
      <w:bookmarkEnd w:id="166"/>
      <w:bookmarkStart w:id="167" w:name="5.3.2 地表沉陷预测模式及参数选取"/>
      <w:bookmarkEnd w:id="167"/>
      <w:r>
        <w:t>地表沉陷预测模式及参数选取</w:t>
      </w:r>
    </w:p>
    <w:p>
      <w:pPr>
        <w:pStyle w:val="5"/>
        <w:numPr>
          <w:ilvl w:val="3"/>
          <w:numId w:val="38"/>
        </w:numPr>
        <w:tabs>
          <w:tab w:val="left" w:pos="1232"/>
        </w:tabs>
        <w:spacing w:before="265" w:after="0" w:line="240" w:lineRule="auto"/>
        <w:ind w:left="1232" w:right="0" w:hanging="781"/>
        <w:jc w:val="both"/>
      </w:pPr>
      <w:r>
        <w:t>地表沉陷预测模型</w:t>
      </w:r>
    </w:p>
    <w:p>
      <w:pPr>
        <w:pStyle w:val="6"/>
        <w:spacing w:before="160" w:line="364" w:lineRule="auto"/>
        <w:ind w:left="451" w:right="453" w:firstLine="480"/>
        <w:jc w:val="both"/>
      </w:pPr>
      <w:r>
        <w:t>地下煤层开采引起的地表破坏范围和破坏程度可用地表沉陷产生的移动和变形值的大小来圈定和评价。平坦地区地表移动变形值的计算，可按其开采条件选用《建筑物、水体、铁路及主要井巷煤柱留设与压煤开采规程》中推荐的概率积分法。</w:t>
      </w:r>
    </w:p>
    <w:p>
      <w:pPr>
        <w:pStyle w:val="6"/>
        <w:spacing w:before="2" w:line="364" w:lineRule="auto"/>
        <w:ind w:left="451" w:right="453" w:firstLine="480"/>
      </w:pPr>
      <w:r>
        <w:t>概率积分法是以正态分布函数为影响函数，用积分式表示地表下沉盆地的方法，适用于常规的地表移动与变形计算。</w:t>
      </w:r>
    </w:p>
    <w:p>
      <w:pPr>
        <w:pStyle w:val="13"/>
        <w:numPr>
          <w:ilvl w:val="4"/>
          <w:numId w:val="38"/>
        </w:numPr>
        <w:tabs>
          <w:tab w:val="left" w:pos="1533"/>
        </w:tabs>
        <w:spacing w:before="2" w:after="0" w:line="240" w:lineRule="auto"/>
        <w:ind w:left="1533" w:right="0" w:hanging="602"/>
        <w:jc w:val="left"/>
        <w:rPr>
          <w:sz w:val="24"/>
        </w:rPr>
      </w:pPr>
      <w:r>
        <w:rPr>
          <w:sz w:val="24"/>
        </w:rPr>
        <w:t>地表移动变形最大值计算公式如下：</w:t>
      </w:r>
    </w:p>
    <w:p>
      <w:pPr>
        <w:spacing w:before="173" w:line="372" w:lineRule="auto"/>
        <w:ind w:left="931" w:right="6454" w:firstLine="0"/>
        <w:jc w:val="left"/>
        <w:rPr>
          <w:rFonts w:ascii="Times New Roman" w:hAnsi="Times New Roman" w:eastAsia="Times New Roman"/>
          <w:sz w:val="15"/>
        </w:rPr>
      </w:pPr>
      <w:r>
        <w:rPr>
          <w:rFonts w:ascii="Times New Roman" w:hAnsi="Times New Roman" w:eastAsia="Times New Roman"/>
          <w:spacing w:val="-1"/>
          <w:position w:val="2"/>
          <w:sz w:val="24"/>
        </w:rPr>
        <w:t>W</w:t>
      </w:r>
      <w:r>
        <w:rPr>
          <w:rFonts w:ascii="Times New Roman" w:hAnsi="Times New Roman" w:eastAsia="Times New Roman"/>
          <w:spacing w:val="-2"/>
          <w:w w:val="103"/>
          <w:position w:val="2"/>
          <w:sz w:val="24"/>
          <w:vertAlign w:val="subscript"/>
        </w:rPr>
        <w:t>m</w:t>
      </w:r>
      <w:r>
        <w:rPr>
          <w:rFonts w:ascii="Times New Roman" w:hAnsi="Times New Roman" w:eastAsia="Times New Roman"/>
          <w:w w:val="103"/>
          <w:position w:val="2"/>
          <w:sz w:val="24"/>
          <w:vertAlign w:val="subscript"/>
        </w:rPr>
        <w:t>a</w:t>
      </w:r>
      <w:r>
        <w:rPr>
          <w:rFonts w:ascii="Times New Roman" w:hAnsi="Times New Roman" w:eastAsia="Times New Roman"/>
          <w:spacing w:val="-2"/>
          <w:w w:val="103"/>
          <w:position w:val="2"/>
          <w:sz w:val="24"/>
          <w:vertAlign w:val="subscript"/>
        </w:rPr>
        <w:t>x</w:t>
      </w:r>
      <w:r>
        <w:rPr>
          <w:rFonts w:ascii="Times New Roman" w:hAnsi="Times New Roman" w:eastAsia="Times New Roman"/>
          <w:spacing w:val="-1"/>
          <w:position w:val="2"/>
          <w:sz w:val="24"/>
          <w:vertAlign w:val="baseline"/>
        </w:rPr>
        <w:t>=</w:t>
      </w:r>
      <w:r>
        <w:rPr>
          <w:rFonts w:ascii="Times New Roman" w:hAnsi="Times New Roman" w:eastAsia="Times New Roman"/>
          <w:position w:val="2"/>
          <w:sz w:val="24"/>
          <w:vertAlign w:val="baseline"/>
        </w:rPr>
        <w:t>qm</w:t>
      </w:r>
      <w:r>
        <w:rPr>
          <w:rFonts w:ascii="Times New Roman" w:hAnsi="Times New Roman" w:eastAsia="Times New Roman"/>
          <w:spacing w:val="-1"/>
          <w:position w:val="2"/>
          <w:sz w:val="24"/>
          <w:vertAlign w:val="baseline"/>
        </w:rPr>
        <w:t>c</w:t>
      </w:r>
      <w:r>
        <w:rPr>
          <w:rFonts w:ascii="Times New Roman" w:hAnsi="Times New Roman" w:eastAsia="Times New Roman"/>
          <w:position w:val="2"/>
          <w:sz w:val="24"/>
          <w:vertAlign w:val="baseline"/>
        </w:rPr>
        <w:t>o</w:t>
      </w:r>
      <w:r>
        <w:rPr>
          <w:rFonts w:ascii="Times New Roman" w:hAnsi="Times New Roman" w:eastAsia="Times New Roman"/>
          <w:spacing w:val="2"/>
          <w:position w:val="2"/>
          <w:sz w:val="24"/>
          <w:vertAlign w:val="baseline"/>
        </w:rPr>
        <w:t>s</w:t>
      </w:r>
      <w:r>
        <w:rPr>
          <w:rFonts w:ascii="Times New Roman" w:hAnsi="Times New Roman" w:eastAsia="Times New Roman"/>
          <w:position w:val="2"/>
          <w:sz w:val="24"/>
          <w:vertAlign w:val="baseline"/>
        </w:rPr>
        <w:t xml:space="preserve">α </w:t>
      </w:r>
      <w:r>
        <w:rPr>
          <w:rFonts w:ascii="Times New Roman" w:hAnsi="Times New Roman" w:eastAsia="Times New Roman"/>
          <w:spacing w:val="-2"/>
          <w:position w:val="2"/>
          <w:sz w:val="24"/>
          <w:vertAlign w:val="baseline"/>
        </w:rPr>
        <w:t>i</w:t>
      </w:r>
      <w:r>
        <w:rPr>
          <w:rFonts w:ascii="Times New Roman" w:hAnsi="Times New Roman" w:eastAsia="Times New Roman"/>
          <w:spacing w:val="-2"/>
          <w:w w:val="104"/>
          <w:sz w:val="15"/>
          <w:vertAlign w:val="baseline"/>
        </w:rPr>
        <w:t>m</w:t>
      </w:r>
      <w:r>
        <w:rPr>
          <w:rFonts w:ascii="Times New Roman" w:hAnsi="Times New Roman" w:eastAsia="Times New Roman"/>
          <w:w w:val="104"/>
          <w:sz w:val="15"/>
          <w:vertAlign w:val="baseline"/>
        </w:rPr>
        <w:t>a</w:t>
      </w:r>
      <w:r>
        <w:rPr>
          <w:rFonts w:ascii="Times New Roman" w:hAnsi="Times New Roman" w:eastAsia="Times New Roman"/>
          <w:spacing w:val="1"/>
          <w:w w:val="104"/>
          <w:sz w:val="15"/>
          <w:vertAlign w:val="baseline"/>
        </w:rPr>
        <w:t>x</w:t>
      </w:r>
      <w:r>
        <w:rPr>
          <w:rFonts w:ascii="Times New Roman" w:hAnsi="Times New Roman" w:eastAsia="Times New Roman"/>
          <w:spacing w:val="-1"/>
          <w:position w:val="2"/>
          <w:sz w:val="24"/>
          <w:vertAlign w:val="baseline"/>
        </w:rPr>
        <w:t>=</w:t>
      </w:r>
      <w:r>
        <w:rPr>
          <w:rFonts w:ascii="Times New Roman" w:hAnsi="Times New Roman" w:eastAsia="Times New Roman"/>
          <w:spacing w:val="1"/>
          <w:position w:val="2"/>
          <w:sz w:val="24"/>
          <w:vertAlign w:val="baseline"/>
        </w:rPr>
        <w:t>W</w:t>
      </w:r>
      <w:r>
        <w:rPr>
          <w:rFonts w:ascii="Times New Roman" w:hAnsi="Times New Roman" w:eastAsia="Times New Roman"/>
          <w:spacing w:val="-4"/>
          <w:w w:val="104"/>
          <w:sz w:val="15"/>
          <w:vertAlign w:val="baseline"/>
        </w:rPr>
        <w:t>m</w:t>
      </w:r>
      <w:r>
        <w:rPr>
          <w:rFonts w:ascii="Times New Roman" w:hAnsi="Times New Roman" w:eastAsia="Times New Roman"/>
          <w:w w:val="104"/>
          <w:sz w:val="15"/>
          <w:vertAlign w:val="baseline"/>
        </w:rPr>
        <w:t>a</w:t>
      </w:r>
      <w:r>
        <w:rPr>
          <w:rFonts w:ascii="Times New Roman" w:hAnsi="Times New Roman" w:eastAsia="Times New Roman"/>
          <w:spacing w:val="1"/>
          <w:w w:val="104"/>
          <w:sz w:val="15"/>
          <w:vertAlign w:val="baseline"/>
        </w:rPr>
        <w:t>x</w:t>
      </w:r>
      <w:r>
        <w:rPr>
          <w:position w:val="2"/>
          <w:sz w:val="24"/>
          <w:vertAlign w:val="baseline"/>
        </w:rPr>
        <w:t>／</w:t>
      </w:r>
      <w:r>
        <w:rPr>
          <w:rFonts w:ascii="Times New Roman" w:hAnsi="Times New Roman" w:eastAsia="Times New Roman"/>
          <w:position w:val="2"/>
          <w:sz w:val="24"/>
          <w:vertAlign w:val="baseline"/>
        </w:rPr>
        <w:t xml:space="preserve">r </w:t>
      </w:r>
      <w:r>
        <w:rPr>
          <w:rFonts w:ascii="Times New Roman" w:hAnsi="Times New Roman" w:eastAsia="Times New Roman"/>
          <w:spacing w:val="-1"/>
          <w:position w:val="2"/>
          <w:sz w:val="24"/>
          <w:vertAlign w:val="baseline"/>
        </w:rPr>
        <w:t>K</w:t>
      </w:r>
      <w:r>
        <w:rPr>
          <w:rFonts w:ascii="Times New Roman" w:hAnsi="Times New Roman" w:eastAsia="Times New Roman"/>
          <w:spacing w:val="-2"/>
          <w:w w:val="103"/>
          <w:position w:val="2"/>
          <w:sz w:val="24"/>
          <w:vertAlign w:val="subscript"/>
        </w:rPr>
        <w:t>m</w:t>
      </w:r>
      <w:r>
        <w:rPr>
          <w:rFonts w:ascii="Times New Roman" w:hAnsi="Times New Roman" w:eastAsia="Times New Roman"/>
          <w:w w:val="103"/>
          <w:position w:val="2"/>
          <w:sz w:val="24"/>
          <w:vertAlign w:val="subscript"/>
        </w:rPr>
        <w:t>a</w:t>
      </w:r>
      <w:r>
        <w:rPr>
          <w:rFonts w:ascii="Times New Roman" w:hAnsi="Times New Roman" w:eastAsia="Times New Roman"/>
          <w:spacing w:val="-2"/>
          <w:w w:val="103"/>
          <w:position w:val="2"/>
          <w:sz w:val="24"/>
          <w:vertAlign w:val="subscript"/>
        </w:rPr>
        <w:t>x</w:t>
      </w:r>
      <w:r>
        <w:rPr>
          <w:rFonts w:ascii="Times New Roman" w:hAnsi="Times New Roman" w:eastAsia="Times New Roman"/>
          <w:spacing w:val="-1"/>
          <w:position w:val="2"/>
          <w:sz w:val="24"/>
          <w:vertAlign w:val="baseline"/>
        </w:rPr>
        <w:t>=</w:t>
      </w:r>
      <w:r>
        <w:rPr>
          <w:rFonts w:ascii="Times New Roman" w:hAnsi="Times New Roman" w:eastAsia="Times New Roman"/>
          <w:position w:val="2"/>
          <w:sz w:val="24"/>
          <w:vertAlign w:val="baseline"/>
        </w:rPr>
        <w:t>1.52</w:t>
      </w:r>
      <w:r>
        <w:rPr>
          <w:rFonts w:ascii="Times New Roman" w:hAnsi="Times New Roman" w:eastAsia="Times New Roman"/>
          <w:spacing w:val="1"/>
          <w:position w:val="2"/>
          <w:sz w:val="24"/>
          <w:vertAlign w:val="baseline"/>
        </w:rPr>
        <w:t>W</w:t>
      </w:r>
      <w:r>
        <w:rPr>
          <w:rFonts w:ascii="Times New Roman" w:hAnsi="Times New Roman" w:eastAsia="Times New Roman"/>
          <w:spacing w:val="-2"/>
          <w:w w:val="103"/>
          <w:position w:val="2"/>
          <w:sz w:val="24"/>
          <w:vertAlign w:val="subscript"/>
        </w:rPr>
        <w:t>m</w:t>
      </w:r>
      <w:r>
        <w:rPr>
          <w:rFonts w:ascii="Times New Roman" w:hAnsi="Times New Roman" w:eastAsia="Times New Roman"/>
          <w:w w:val="103"/>
          <w:position w:val="2"/>
          <w:sz w:val="24"/>
          <w:vertAlign w:val="subscript"/>
        </w:rPr>
        <w:t>a</w:t>
      </w:r>
      <w:r>
        <w:rPr>
          <w:rFonts w:ascii="Times New Roman" w:hAnsi="Times New Roman" w:eastAsia="Times New Roman"/>
          <w:spacing w:val="-2"/>
          <w:w w:val="103"/>
          <w:position w:val="2"/>
          <w:sz w:val="24"/>
          <w:vertAlign w:val="subscript"/>
        </w:rPr>
        <w:t>x</w:t>
      </w:r>
      <w:r>
        <w:rPr>
          <w:position w:val="2"/>
          <w:sz w:val="24"/>
          <w:vertAlign w:val="baseline"/>
        </w:rPr>
        <w:t>／</w:t>
      </w:r>
      <w:r>
        <w:rPr>
          <w:rFonts w:ascii="Times New Roman" w:hAnsi="Times New Roman" w:eastAsia="Times New Roman"/>
          <w:spacing w:val="-1"/>
          <w:position w:val="2"/>
          <w:sz w:val="24"/>
          <w:vertAlign w:val="baseline"/>
        </w:rPr>
        <w:t>r</w:t>
      </w:r>
      <w:r>
        <w:rPr>
          <w:rFonts w:ascii="Times New Roman" w:hAnsi="Times New Roman" w:eastAsia="Times New Roman"/>
          <w:w w:val="103"/>
          <w:position w:val="2"/>
          <w:sz w:val="24"/>
          <w:vertAlign w:val="superscript"/>
        </w:rPr>
        <w:t>2</w:t>
      </w:r>
      <w:r>
        <w:rPr>
          <w:rFonts w:ascii="Times New Roman" w:hAnsi="Times New Roman" w:eastAsia="Times New Roman"/>
          <w:w w:val="103"/>
          <w:position w:val="2"/>
          <w:sz w:val="24"/>
          <w:vertAlign w:val="baseline"/>
        </w:rPr>
        <w:t xml:space="preserve"> </w:t>
      </w:r>
      <w:r>
        <w:rPr>
          <w:rFonts w:ascii="Times New Roman" w:hAnsi="Times New Roman" w:eastAsia="Times New Roman"/>
          <w:spacing w:val="-1"/>
          <w:position w:val="2"/>
          <w:sz w:val="24"/>
          <w:vertAlign w:val="baseline"/>
        </w:rPr>
        <w:t>U</w:t>
      </w:r>
      <w:r>
        <w:rPr>
          <w:rFonts w:ascii="Times New Roman" w:hAnsi="Times New Roman" w:eastAsia="Times New Roman"/>
          <w:spacing w:val="-2"/>
          <w:w w:val="104"/>
          <w:sz w:val="15"/>
          <w:vertAlign w:val="baseline"/>
        </w:rPr>
        <w:t>m</w:t>
      </w:r>
      <w:r>
        <w:rPr>
          <w:rFonts w:ascii="Times New Roman" w:hAnsi="Times New Roman" w:eastAsia="Times New Roman"/>
          <w:w w:val="104"/>
          <w:sz w:val="15"/>
          <w:vertAlign w:val="baseline"/>
        </w:rPr>
        <w:t>a</w:t>
      </w:r>
      <w:r>
        <w:rPr>
          <w:rFonts w:ascii="Times New Roman" w:hAnsi="Times New Roman" w:eastAsia="Times New Roman"/>
          <w:spacing w:val="-2"/>
          <w:w w:val="104"/>
          <w:sz w:val="15"/>
          <w:vertAlign w:val="baseline"/>
        </w:rPr>
        <w:t>x</w:t>
      </w:r>
      <w:r>
        <w:rPr>
          <w:rFonts w:ascii="Times New Roman" w:hAnsi="Times New Roman" w:eastAsia="Times New Roman"/>
          <w:spacing w:val="-1"/>
          <w:position w:val="2"/>
          <w:sz w:val="24"/>
          <w:vertAlign w:val="baseline"/>
        </w:rPr>
        <w:t>=</w:t>
      </w:r>
      <w:r>
        <w:rPr>
          <w:rFonts w:ascii="Times New Roman" w:hAnsi="Times New Roman" w:eastAsia="Times New Roman"/>
          <w:spacing w:val="2"/>
          <w:position w:val="2"/>
          <w:sz w:val="24"/>
          <w:vertAlign w:val="baseline"/>
        </w:rPr>
        <w:t>b</w:t>
      </w:r>
      <w:r>
        <w:rPr>
          <w:rFonts w:ascii="Times New Roman" w:hAnsi="Times New Roman" w:eastAsia="Times New Roman"/>
          <w:spacing w:val="-1"/>
          <w:position w:val="2"/>
          <w:sz w:val="24"/>
          <w:vertAlign w:val="baseline"/>
        </w:rPr>
        <w:t>×W</w:t>
      </w:r>
      <w:r>
        <w:rPr>
          <w:rFonts w:ascii="Times New Roman" w:hAnsi="Times New Roman" w:eastAsia="Times New Roman"/>
          <w:spacing w:val="-2"/>
          <w:w w:val="104"/>
          <w:sz w:val="15"/>
          <w:vertAlign w:val="baseline"/>
        </w:rPr>
        <w:t>m</w:t>
      </w:r>
      <w:r>
        <w:rPr>
          <w:rFonts w:ascii="Times New Roman" w:hAnsi="Times New Roman" w:eastAsia="Times New Roman"/>
          <w:w w:val="104"/>
          <w:sz w:val="15"/>
          <w:vertAlign w:val="baseline"/>
        </w:rPr>
        <w:t>ax</w:t>
      </w:r>
    </w:p>
    <w:p>
      <w:pPr>
        <w:spacing w:before="0" w:line="334" w:lineRule="exact"/>
        <w:ind w:left="940" w:right="0" w:firstLine="0"/>
        <w:jc w:val="left"/>
        <w:rPr>
          <w:rFonts w:ascii="Times New Roman" w:hAnsi="Times New Roman" w:eastAsia="Times New Roman"/>
          <w:sz w:val="24"/>
        </w:rPr>
      </w:pPr>
      <w:r>
        <w:rPr>
          <w:rFonts w:ascii="Symbol" w:hAnsi="Symbol" w:eastAsia="Symbol"/>
          <w:i/>
          <w:position w:val="8"/>
          <w:sz w:val="25"/>
        </w:rPr>
        <w:t></w:t>
      </w:r>
      <w:r>
        <w:rPr>
          <w:rFonts w:ascii="Times New Roman" w:hAnsi="Times New Roman" w:eastAsia="Times New Roman"/>
          <w:sz w:val="15"/>
        </w:rPr>
        <w:t>max</w:t>
      </w:r>
      <w:r>
        <w:rPr>
          <w:rFonts w:ascii="Times New Roman" w:hAnsi="Times New Roman" w:eastAsia="Times New Roman"/>
          <w:position w:val="2"/>
          <w:sz w:val="24"/>
        </w:rPr>
        <w:t>=1.52b×W</w:t>
      </w:r>
      <w:r>
        <w:rPr>
          <w:rFonts w:ascii="Times New Roman" w:hAnsi="Times New Roman" w:eastAsia="Times New Roman"/>
          <w:position w:val="2"/>
          <w:sz w:val="24"/>
          <w:vertAlign w:val="subscript"/>
        </w:rPr>
        <w:t>max</w:t>
      </w:r>
      <w:r>
        <w:rPr>
          <w:position w:val="2"/>
          <w:sz w:val="24"/>
          <w:vertAlign w:val="baseline"/>
        </w:rPr>
        <w:t>／</w:t>
      </w:r>
      <w:r>
        <w:rPr>
          <w:rFonts w:ascii="Times New Roman" w:hAnsi="Times New Roman" w:eastAsia="Times New Roman"/>
          <w:position w:val="2"/>
          <w:sz w:val="24"/>
          <w:vertAlign w:val="baseline"/>
        </w:rPr>
        <w:t>r</w:t>
      </w:r>
    </w:p>
    <w:p>
      <w:pPr>
        <w:pStyle w:val="6"/>
        <w:spacing w:before="156" w:line="362" w:lineRule="auto"/>
        <w:ind w:left="931" w:right="4130"/>
      </w:pPr>
      <w:r>
        <w:rPr>
          <w:position w:val="2"/>
        </w:rPr>
        <w:t>式中：</w:t>
      </w:r>
      <w:r>
        <w:rPr>
          <w:rFonts w:ascii="Times New Roman" w:hAnsi="Times New Roman" w:eastAsia="Times New Roman"/>
          <w:position w:val="2"/>
        </w:rPr>
        <w:t>W</w:t>
      </w:r>
      <w:r>
        <w:rPr>
          <w:rFonts w:ascii="Times New Roman" w:hAnsi="Times New Roman" w:eastAsia="Times New Roman"/>
          <w:position w:val="2"/>
          <w:vertAlign w:val="subscript"/>
        </w:rPr>
        <w:t>max</w:t>
      </w:r>
      <w:r>
        <w:rPr>
          <w:rFonts w:ascii="Times New Roman" w:hAnsi="Times New Roman" w:eastAsia="Times New Roman"/>
          <w:position w:val="2"/>
          <w:vertAlign w:val="baseline"/>
        </w:rPr>
        <w:t>——</w:t>
      </w:r>
      <w:r>
        <w:rPr>
          <w:position w:val="2"/>
          <w:vertAlign w:val="baseline"/>
        </w:rPr>
        <w:t>地表最大下沉值（</w:t>
      </w:r>
      <w:r>
        <w:rPr>
          <w:rFonts w:ascii="Times New Roman" w:hAnsi="Times New Roman" w:eastAsia="Times New Roman"/>
          <w:position w:val="2"/>
          <w:vertAlign w:val="baseline"/>
        </w:rPr>
        <w:t>mm</w:t>
      </w:r>
      <w:r>
        <w:rPr>
          <w:position w:val="2"/>
          <w:vertAlign w:val="baseline"/>
        </w:rPr>
        <w:t xml:space="preserve">） </w:t>
      </w:r>
      <w:r>
        <w:rPr>
          <w:rFonts w:ascii="Times New Roman" w:hAnsi="Times New Roman" w:eastAsia="Times New Roman"/>
          <w:position w:val="2"/>
          <w:vertAlign w:val="baseline"/>
        </w:rPr>
        <w:t>i</w:t>
      </w:r>
      <w:r>
        <w:rPr>
          <w:rFonts w:ascii="Times New Roman" w:hAnsi="Times New Roman" w:eastAsia="Times New Roman"/>
          <w:position w:val="2"/>
          <w:vertAlign w:val="subscript"/>
        </w:rPr>
        <w:t>max</w:t>
      </w:r>
      <w:r>
        <w:rPr>
          <w:rFonts w:ascii="Times New Roman" w:hAnsi="Times New Roman" w:eastAsia="Times New Roman"/>
          <w:position w:val="2"/>
          <w:vertAlign w:val="baseline"/>
        </w:rPr>
        <w:t>——</w:t>
      </w:r>
      <w:r>
        <w:rPr>
          <w:position w:val="2"/>
          <w:vertAlign w:val="baseline"/>
        </w:rPr>
        <w:t>地表最大倾斜值（</w:t>
      </w:r>
      <w:r>
        <w:rPr>
          <w:rFonts w:ascii="Times New Roman" w:hAnsi="Times New Roman" w:eastAsia="Times New Roman"/>
          <w:position w:val="2"/>
          <w:vertAlign w:val="baseline"/>
        </w:rPr>
        <w:t>mm</w:t>
      </w:r>
      <w:r>
        <w:rPr>
          <w:position w:val="2"/>
          <w:vertAlign w:val="baseline"/>
        </w:rPr>
        <w:t>／</w:t>
      </w:r>
      <w:r>
        <w:rPr>
          <w:rFonts w:ascii="Times New Roman" w:hAnsi="Times New Roman" w:eastAsia="Times New Roman"/>
          <w:position w:val="2"/>
          <w:vertAlign w:val="baseline"/>
        </w:rPr>
        <w:t>m</w:t>
      </w:r>
      <w:r>
        <w:rPr>
          <w:position w:val="2"/>
          <w:vertAlign w:val="baseline"/>
        </w:rPr>
        <w:t xml:space="preserve">） </w:t>
      </w:r>
      <w:r>
        <w:rPr>
          <w:rFonts w:ascii="Times New Roman" w:hAnsi="Times New Roman" w:eastAsia="Times New Roman"/>
          <w:position w:val="2"/>
          <w:vertAlign w:val="baseline"/>
        </w:rPr>
        <w:t>K</w:t>
      </w:r>
      <w:r>
        <w:rPr>
          <w:rFonts w:ascii="Times New Roman" w:hAnsi="Times New Roman" w:eastAsia="Times New Roman"/>
          <w:position w:val="2"/>
          <w:vertAlign w:val="subscript"/>
        </w:rPr>
        <w:t>max</w:t>
      </w:r>
      <w:r>
        <w:rPr>
          <w:rFonts w:ascii="Times New Roman" w:hAnsi="Times New Roman" w:eastAsia="Times New Roman"/>
          <w:position w:val="2"/>
          <w:vertAlign w:val="baseline"/>
        </w:rPr>
        <w:t>——</w:t>
      </w:r>
      <w:r>
        <w:rPr>
          <w:position w:val="2"/>
          <w:vertAlign w:val="baseline"/>
        </w:rPr>
        <w:t>地表最大曲率值（</w:t>
      </w:r>
      <w:r>
        <w:rPr>
          <w:rFonts w:ascii="Times New Roman" w:hAnsi="Times New Roman" w:eastAsia="Times New Roman"/>
          <w:position w:val="2"/>
          <w:vertAlign w:val="baseline"/>
        </w:rPr>
        <w:t>10</w:t>
      </w:r>
      <w:r>
        <w:rPr>
          <w:rFonts w:ascii="Times New Roman" w:hAnsi="Times New Roman" w:eastAsia="Times New Roman"/>
          <w:position w:val="2"/>
          <w:vertAlign w:val="superscript"/>
        </w:rPr>
        <w:t>-3</w:t>
      </w:r>
      <w:r>
        <w:rPr>
          <w:position w:val="2"/>
          <w:vertAlign w:val="baseline"/>
        </w:rPr>
        <w:t>／</w:t>
      </w:r>
      <w:r>
        <w:rPr>
          <w:rFonts w:ascii="Times New Roman" w:hAnsi="Times New Roman" w:eastAsia="Times New Roman"/>
          <w:position w:val="2"/>
          <w:vertAlign w:val="baseline"/>
        </w:rPr>
        <w:t>m</w:t>
      </w:r>
      <w:r>
        <w:rPr>
          <w:position w:val="2"/>
          <w:vertAlign w:val="baseline"/>
        </w:rPr>
        <w:t xml:space="preserve">） </w:t>
      </w:r>
      <w:r>
        <w:rPr>
          <w:rFonts w:ascii="Times New Roman" w:hAnsi="Times New Roman" w:eastAsia="Times New Roman"/>
          <w:position w:val="2"/>
          <w:vertAlign w:val="baseline"/>
        </w:rPr>
        <w:t>U</w:t>
      </w:r>
      <w:r>
        <w:rPr>
          <w:rFonts w:ascii="Times New Roman" w:hAnsi="Times New Roman" w:eastAsia="Times New Roman"/>
          <w:position w:val="2"/>
          <w:vertAlign w:val="subscript"/>
        </w:rPr>
        <w:t>max</w:t>
      </w:r>
      <w:r>
        <w:rPr>
          <w:rFonts w:ascii="Times New Roman" w:hAnsi="Times New Roman" w:eastAsia="Times New Roman"/>
          <w:position w:val="2"/>
          <w:vertAlign w:val="baseline"/>
        </w:rPr>
        <w:t>——</w:t>
      </w:r>
      <w:r>
        <w:rPr>
          <w:position w:val="2"/>
          <w:vertAlign w:val="baseline"/>
        </w:rPr>
        <w:t>地表最大水平移动值（</w:t>
      </w:r>
      <w:r>
        <w:rPr>
          <w:rFonts w:ascii="Times New Roman" w:hAnsi="Times New Roman" w:eastAsia="Times New Roman"/>
          <w:position w:val="2"/>
          <w:vertAlign w:val="baseline"/>
        </w:rPr>
        <w:t>mm</w:t>
      </w:r>
      <w:r>
        <w:rPr>
          <w:position w:val="2"/>
          <w:vertAlign w:val="baseline"/>
        </w:rPr>
        <w:t>）</w:t>
      </w:r>
    </w:p>
    <w:p>
      <w:pPr>
        <w:pStyle w:val="6"/>
        <w:spacing w:line="305" w:lineRule="exact"/>
        <w:ind w:left="940"/>
      </w:pPr>
      <w:r>
        <w:rPr>
          <w:rFonts w:ascii="Symbol" w:hAnsi="Symbol" w:eastAsia="Symbol"/>
          <w:i/>
          <w:position w:val="8"/>
          <w:sz w:val="25"/>
        </w:rPr>
        <w:t></w:t>
      </w:r>
      <w:r>
        <w:rPr>
          <w:rFonts w:ascii="Times New Roman" w:hAnsi="Times New Roman" w:eastAsia="Times New Roman"/>
          <w:sz w:val="15"/>
        </w:rPr>
        <w:t>max</w:t>
      </w:r>
      <w:r>
        <w:rPr>
          <w:rFonts w:ascii="Times New Roman" w:hAnsi="Times New Roman" w:eastAsia="Times New Roman"/>
          <w:position w:val="2"/>
        </w:rPr>
        <w:t>——</w:t>
      </w:r>
      <w:r>
        <w:rPr>
          <w:position w:val="2"/>
        </w:rPr>
        <w:t>地表最大水平变形值（</w:t>
      </w:r>
      <w:r>
        <w:rPr>
          <w:rFonts w:ascii="Times New Roman" w:hAnsi="Times New Roman" w:eastAsia="Times New Roman"/>
          <w:position w:val="2"/>
        </w:rPr>
        <w:t>mm</w:t>
      </w:r>
      <w:r>
        <w:rPr>
          <w:position w:val="2"/>
        </w:rPr>
        <w:t>／</w:t>
      </w:r>
      <w:r>
        <w:rPr>
          <w:rFonts w:ascii="Times New Roman" w:hAnsi="Times New Roman" w:eastAsia="Times New Roman"/>
          <w:position w:val="2"/>
        </w:rPr>
        <w:t>m</w:t>
      </w:r>
      <w:r>
        <w:rPr>
          <w:position w:val="2"/>
        </w:rPr>
        <w:t>）</w:t>
      </w:r>
    </w:p>
    <w:p>
      <w:pPr>
        <w:pStyle w:val="6"/>
        <w:spacing w:before="164"/>
        <w:ind w:left="931"/>
      </w:pPr>
      <w:r>
        <w:rPr>
          <w:rFonts w:ascii="Times New Roman" w:hAnsi="Times New Roman" w:eastAsia="Times New Roman"/>
        </w:rPr>
        <w:t>m——</w:t>
      </w:r>
      <w:r>
        <w:t>煤层累计开采厚度（</w:t>
      </w:r>
      <w:r>
        <w:rPr>
          <w:rFonts w:ascii="Times New Roman" w:hAnsi="Times New Roman" w:eastAsia="Times New Roman"/>
        </w:rPr>
        <w:t>m</w:t>
      </w:r>
      <w:r>
        <w:t xml:space="preserve">），该矿现煤层累计的开采厚度为 </w:t>
      </w:r>
      <w:r>
        <w:rPr>
          <w:rFonts w:ascii="Times New Roman" w:hAnsi="Times New Roman" w:eastAsia="Times New Roman"/>
        </w:rPr>
        <w:t>3.48m</w:t>
      </w:r>
      <w:r>
        <w:t>（各层</w:t>
      </w:r>
    </w:p>
    <w:p>
      <w:pPr>
        <w:spacing w:after="0"/>
        <w:sectPr>
          <w:pgSz w:w="11910" w:h="16840"/>
          <w:pgMar w:top="1380" w:right="1300" w:bottom="1180" w:left="1300" w:header="0" w:footer="997" w:gutter="0"/>
        </w:sectPr>
      </w:pPr>
    </w:p>
    <w:p>
      <w:pPr>
        <w:pStyle w:val="6"/>
        <w:spacing w:before="42"/>
        <w:ind w:left="451"/>
      </w:pPr>
      <w:r>
        <w:t>可采区域不完全重叠）</w:t>
      </w:r>
    </w:p>
    <w:p>
      <w:pPr>
        <w:pStyle w:val="6"/>
        <w:spacing w:before="160" w:line="364" w:lineRule="auto"/>
        <w:ind w:left="931" w:right="2899"/>
      </w:pPr>
      <w:r>
        <w:rPr>
          <w:rFonts w:ascii="Times New Roman" w:hAnsi="Times New Roman" w:eastAsia="Times New Roman"/>
        </w:rPr>
        <w:t>α——</w:t>
      </w:r>
      <w:r>
        <w:t>煤层倾角（</w:t>
      </w:r>
      <w:r>
        <w:rPr>
          <w:rFonts w:ascii="Times New Roman" w:hAnsi="Times New Roman" w:eastAsia="Times New Roman"/>
        </w:rPr>
        <w:t>°</w:t>
      </w:r>
      <w:r>
        <w:t xml:space="preserve">），该矿各煤层倾角平均 </w:t>
      </w:r>
      <w:r>
        <w:rPr>
          <w:rFonts w:ascii="Times New Roman" w:hAnsi="Times New Roman" w:eastAsia="Times New Roman"/>
        </w:rPr>
        <w:t>25° q——</w:t>
      </w:r>
      <w:r>
        <w:t xml:space="preserve">下沉系数，（根据矿区的经验参数，取 </w:t>
      </w:r>
      <w:r>
        <w:rPr>
          <w:rFonts w:ascii="Times New Roman" w:hAnsi="Times New Roman" w:eastAsia="Times New Roman"/>
        </w:rPr>
        <w:t>0.60</w:t>
      </w:r>
      <w:r>
        <w:t>）</w:t>
      </w:r>
    </w:p>
    <w:p>
      <w:pPr>
        <w:pStyle w:val="6"/>
        <w:spacing w:before="2" w:line="364" w:lineRule="auto"/>
        <w:ind w:left="931" w:right="2419"/>
        <w:rPr>
          <w:rFonts w:ascii="Times New Roman" w:hAnsi="Times New Roman" w:eastAsia="Times New Roman"/>
        </w:rPr>
      </w:pPr>
      <w:r>
        <w:rPr>
          <w:rFonts w:ascii="Times New Roman" w:hAnsi="Times New Roman" w:eastAsia="Times New Roman"/>
        </w:rPr>
        <w:t>b——</w:t>
      </w:r>
      <w:r>
        <w:t xml:space="preserve">水平移动系数，（根据矿区的经验参数，取 </w:t>
      </w:r>
      <w:r>
        <w:rPr>
          <w:rFonts w:ascii="Times New Roman" w:hAnsi="Times New Roman" w:eastAsia="Times New Roman"/>
        </w:rPr>
        <w:t>0.25</w:t>
      </w:r>
      <w:r>
        <w:t xml:space="preserve">） </w:t>
      </w:r>
      <w:r>
        <w:rPr>
          <w:rFonts w:ascii="Times New Roman" w:hAnsi="Times New Roman" w:eastAsia="Times New Roman"/>
        </w:rPr>
        <w:t>r——</w:t>
      </w:r>
      <w:r>
        <w:t>主要影响半径，</w:t>
      </w:r>
      <w:r>
        <w:rPr>
          <w:rFonts w:ascii="Times New Roman" w:hAnsi="Times New Roman" w:eastAsia="Times New Roman"/>
        </w:rPr>
        <w:t>m</w:t>
      </w:r>
    </w:p>
    <w:p>
      <w:pPr>
        <w:pStyle w:val="13"/>
        <w:numPr>
          <w:ilvl w:val="4"/>
          <w:numId w:val="38"/>
        </w:numPr>
        <w:tabs>
          <w:tab w:val="left" w:pos="1533"/>
        </w:tabs>
        <w:spacing w:before="97" w:after="0" w:line="240" w:lineRule="auto"/>
        <w:ind w:left="1533" w:right="0" w:hanging="602"/>
        <w:jc w:val="left"/>
        <w:rPr>
          <w:sz w:val="24"/>
        </w:rPr>
      </w:pPr>
      <w:r>
        <w:rPr>
          <w:sz w:val="24"/>
        </w:rPr>
        <w:t>地表移动盆地内任意点的变形预测：</w:t>
      </w:r>
    </w:p>
    <w:p>
      <w:pPr>
        <w:pStyle w:val="6"/>
        <w:spacing w:before="213" w:line="405" w:lineRule="auto"/>
        <w:ind w:left="451" w:right="333" w:firstLine="480"/>
      </w:pPr>
      <w:r>
        <w:t>以过采空区倾斜主断面内下山计算边界且以与走向平行的方向为计算的横坐</w:t>
      </w:r>
      <w:r>
        <w:rPr>
          <w:spacing w:val="-13"/>
        </w:rPr>
        <w:t xml:space="preserve">标，以过采空区走向主断面左计算边界且与倾斜方向平行的方向为计算的纵坐标， </w:t>
      </w:r>
      <w:r>
        <w:t>任意剖面（与煤层走向成</w:t>
      </w:r>
      <w:r>
        <w:rPr>
          <w:rFonts w:ascii="Times New Roman" w:hAnsi="Times New Roman" w:eastAsia="Times New Roman"/>
        </w:rPr>
        <w:t>φ</w:t>
      </w:r>
      <w:r>
        <w:t>角）上任意点（</w:t>
      </w:r>
      <w:r>
        <w:rPr>
          <w:rFonts w:ascii="Times New Roman" w:hAnsi="Times New Roman" w:eastAsia="Times New Roman"/>
        </w:rPr>
        <w:t>x</w:t>
      </w:r>
      <w:r>
        <w:t>，</w:t>
      </w:r>
      <w:r>
        <w:rPr>
          <w:rFonts w:ascii="Times New Roman" w:hAnsi="Times New Roman" w:eastAsia="Times New Roman"/>
        </w:rPr>
        <w:t>y</w:t>
      </w:r>
      <w:r>
        <w:t>）的移动和变形计算公式如下：</w:t>
      </w:r>
    </w:p>
    <w:p>
      <w:pPr>
        <w:spacing w:after="0" w:line="405" w:lineRule="auto"/>
        <w:sectPr>
          <w:footerReference r:id="rId16" w:type="default"/>
          <w:pgSz w:w="11910" w:h="16840"/>
          <w:pgMar w:top="1460" w:right="1300" w:bottom="1180" w:left="1300" w:header="0" w:footer="997" w:gutter="0"/>
          <w:pgNumType w:start="80"/>
        </w:sectPr>
      </w:pPr>
    </w:p>
    <w:p>
      <w:pPr>
        <w:pStyle w:val="6"/>
        <w:spacing w:before="1"/>
        <w:ind w:left="931"/>
      </w:pPr>
      <w:r>
        <w:t>①地表下沉</w:t>
      </w:r>
    </w:p>
    <w:p>
      <w:pPr>
        <w:pStyle w:val="6"/>
        <w:rPr>
          <w:sz w:val="50"/>
        </w:rPr>
      </w:pPr>
      <w:r>
        <w:br w:type="column"/>
      </w:r>
    </w:p>
    <w:p>
      <w:pPr>
        <w:spacing w:before="0" w:line="410" w:lineRule="exact"/>
        <w:ind w:left="640" w:right="0" w:firstLine="0"/>
        <w:jc w:val="left"/>
        <w:rPr>
          <w:rFonts w:ascii="Times New Roman" w:hAnsi="Times New Roman"/>
          <w:sz w:val="14"/>
        </w:rPr>
      </w:pPr>
      <w:r>
        <mc:AlternateContent>
          <mc:Choice Requires="wps">
            <w:drawing>
              <wp:anchor distT="0" distB="0" distL="114300" distR="114300" simplePos="0" relativeHeight="214175744" behindDoc="1" locked="0" layoutInCell="1" allowOverlap="1">
                <wp:simplePos x="0" y="0"/>
                <wp:positionH relativeFrom="page">
                  <wp:posOffset>3653155</wp:posOffset>
                </wp:positionH>
                <wp:positionV relativeFrom="paragraph">
                  <wp:posOffset>-64135</wp:posOffset>
                </wp:positionV>
                <wp:extent cx="76200" cy="167640"/>
                <wp:effectExtent l="0" t="0" r="0" b="0"/>
                <wp:wrapNone/>
                <wp:docPr id="20" name="文本框 91"/>
                <wp:cNvGraphicFramePr/>
                <a:graphic xmlns:a="http://schemas.openxmlformats.org/drawingml/2006/main">
                  <a:graphicData uri="http://schemas.microsoft.com/office/word/2010/wordprocessingShape">
                    <wps:wsp>
                      <wps:cNvSpPr txBox="1"/>
                      <wps:spPr>
                        <a:xfrm>
                          <a:off x="0" y="0"/>
                          <a:ext cx="76200" cy="167640"/>
                        </a:xfrm>
                        <a:prstGeom prst="rect">
                          <a:avLst/>
                        </a:prstGeom>
                        <a:noFill/>
                        <a:ln>
                          <a:noFill/>
                        </a:ln>
                      </wps:spPr>
                      <wps:txbx>
                        <w:txbxContent>
                          <w:p>
                            <w:pPr>
                              <w:pStyle w:val="6"/>
                              <w:spacing w:line="264" w:lineRule="exact"/>
                              <w:rPr>
                                <w:rFonts w:ascii="Times New Roman"/>
                              </w:rPr>
                            </w:pPr>
                            <w:r>
                              <w:rPr>
                                <w:rFonts w:ascii="Times New Roman"/>
                                <w:w w:val="99"/>
                              </w:rPr>
                              <w:t>1</w:t>
                            </w:r>
                          </w:p>
                        </w:txbxContent>
                      </wps:txbx>
                      <wps:bodyPr lIns="0" tIns="0" rIns="0" bIns="0" upright="1"/>
                    </wps:wsp>
                  </a:graphicData>
                </a:graphic>
              </wp:anchor>
            </w:drawing>
          </mc:Choice>
          <mc:Fallback>
            <w:pict>
              <v:shape id="文本框 91" o:spid="_x0000_s1026" o:spt="202" type="#_x0000_t202" style="position:absolute;left:0pt;margin-left:287.65pt;margin-top:-5.05pt;height:13.2pt;width:6pt;mso-position-horizontal-relative:page;z-index:-289140736;mso-width-relative:page;mso-height-relative:page;" filled="f" stroked="f" coordsize="21600,21600" o:gfxdata="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JHtKf2QAAAAoBAAAPAAAAAAAA&#10;AAEAIAAAACIAAABkcnMvZG93bnJldi54bWxQSwECFAAUAAAACACHTuJAavq7U58BAAAkAwAADgAA&#10;AAAAAAABACAAAAAoAQAAZHJzL2Uyb0RvYy54bWxQSwUGAAAAAAYABgBZAQAAOQUAAAAA&#10;">
                <v:fill on="f" focussize="0,0"/>
                <v:stroke on="f"/>
                <v:imagedata o:title=""/>
                <o:lock v:ext="edit" aspectratio="f"/>
                <v:textbox inset="0mm,0mm,0mm,0mm">
                  <w:txbxContent>
                    <w:p>
                      <w:pPr>
                        <w:pStyle w:val="6"/>
                        <w:spacing w:line="264" w:lineRule="exact"/>
                        <w:rPr>
                          <w:rFonts w:ascii="Times New Roman"/>
                        </w:rPr>
                      </w:pPr>
                      <w:r>
                        <w:rPr>
                          <w:rFonts w:ascii="Times New Roman"/>
                          <w:w w:val="99"/>
                        </w:rPr>
                        <w:t>1</w:t>
                      </w:r>
                    </w:p>
                  </w:txbxContent>
                </v:textbox>
              </v:shape>
            </w:pict>
          </mc:Fallback>
        </mc:AlternateContent>
      </w:r>
      <w:r>
        <mc:AlternateContent>
          <mc:Choice Requires="wps">
            <w:drawing>
              <wp:anchor distT="0" distB="0" distL="114300" distR="114300" simplePos="0" relativeHeight="214176768" behindDoc="1" locked="0" layoutInCell="1" allowOverlap="1">
                <wp:simplePos x="0" y="0"/>
                <wp:positionH relativeFrom="page">
                  <wp:posOffset>3619500</wp:posOffset>
                </wp:positionH>
                <wp:positionV relativeFrom="paragraph">
                  <wp:posOffset>154305</wp:posOffset>
                </wp:positionV>
                <wp:extent cx="59055" cy="167640"/>
                <wp:effectExtent l="0" t="0" r="0" b="0"/>
                <wp:wrapNone/>
                <wp:docPr id="22" name="文本框 92"/>
                <wp:cNvGraphicFramePr/>
                <a:graphic xmlns:a="http://schemas.openxmlformats.org/drawingml/2006/main">
                  <a:graphicData uri="http://schemas.microsoft.com/office/word/2010/wordprocessingShape">
                    <wps:wsp>
                      <wps:cNvSpPr txBox="1"/>
                      <wps:spPr>
                        <a:xfrm>
                          <a:off x="0" y="0"/>
                          <a:ext cx="59055" cy="167640"/>
                        </a:xfrm>
                        <a:prstGeom prst="rect">
                          <a:avLst/>
                        </a:prstGeom>
                        <a:noFill/>
                        <a:ln>
                          <a:noFill/>
                        </a:ln>
                      </wps:spPr>
                      <wps:txbx>
                        <w:txbxContent>
                          <w:p>
                            <w:pPr>
                              <w:spacing w:before="0" w:line="264" w:lineRule="exact"/>
                              <w:ind w:left="0" w:right="0" w:firstLine="0"/>
                              <w:jc w:val="left"/>
                              <w:rPr>
                                <w:rFonts w:ascii="Times New Roman"/>
                                <w:i/>
                                <w:sz w:val="24"/>
                              </w:rPr>
                            </w:pPr>
                            <w:r>
                              <w:rPr>
                                <w:rFonts w:ascii="Times New Roman"/>
                                <w:i/>
                                <w:w w:val="99"/>
                                <w:sz w:val="24"/>
                              </w:rPr>
                              <w:t>r</w:t>
                            </w:r>
                          </w:p>
                        </w:txbxContent>
                      </wps:txbx>
                      <wps:bodyPr lIns="0" tIns="0" rIns="0" bIns="0" upright="1"/>
                    </wps:wsp>
                  </a:graphicData>
                </a:graphic>
              </wp:anchor>
            </w:drawing>
          </mc:Choice>
          <mc:Fallback>
            <w:pict>
              <v:shape id="文本框 92" o:spid="_x0000_s1026" o:spt="202" type="#_x0000_t202" style="position:absolute;left:0pt;margin-left:285pt;margin-top:12.15pt;height:13.2pt;width:4.65pt;mso-position-horizontal-relative:page;z-index:-289139712;mso-width-relative:page;mso-height-relative:page;" filled="f" stroked="f" coordsize="21600,21600" o:gfxdata="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00FNu2AAAAAkBAAAPAAAAAAAA&#10;AAEAIAAAACIAAABkcnMvZG93bnJldi54bWxQSwECFAAUAAAACACHTuJAuoSEX6ABAAAkAwAADgAA&#10;AAAAAAABACAAAAAnAQAAZHJzL2Uyb0RvYy54bWxQSwUGAAAAAAYABgBZAQAAOQUAAAAA&#10;">
                <v:fill on="f" focussize="0,0"/>
                <v:stroke on="f"/>
                <v:imagedata o:title=""/>
                <o:lock v:ext="edit" aspectratio="f"/>
                <v:textbox inset="0mm,0mm,0mm,0mm">
                  <w:txbxContent>
                    <w:p>
                      <w:pPr>
                        <w:spacing w:before="0" w:line="264" w:lineRule="exact"/>
                        <w:ind w:left="0" w:right="0" w:firstLine="0"/>
                        <w:jc w:val="left"/>
                        <w:rPr>
                          <w:rFonts w:ascii="Times New Roman"/>
                          <w:i/>
                          <w:sz w:val="24"/>
                        </w:rPr>
                      </w:pPr>
                      <w:r>
                        <w:rPr>
                          <w:rFonts w:ascii="Times New Roman"/>
                          <w:i/>
                          <w:w w:val="99"/>
                          <w:sz w:val="24"/>
                        </w:rPr>
                        <w:t>r</w:t>
                      </w:r>
                    </w:p>
                  </w:txbxContent>
                </v:textbox>
              </v:shape>
            </w:pict>
          </mc:Fallback>
        </mc:AlternateContent>
      </w:r>
      <w:r>
        <w:rPr>
          <w:rFonts w:ascii="Times New Roman" w:hAnsi="Times New Roman"/>
          <w:i/>
          <w:position w:val="6"/>
          <w:sz w:val="24"/>
        </w:rPr>
        <w:t>W</w:t>
      </w:r>
      <w:r>
        <w:rPr>
          <w:rFonts w:ascii="Times New Roman" w:hAnsi="Times New Roman"/>
          <w:sz w:val="14"/>
        </w:rPr>
        <w:t xml:space="preserve">( </w:t>
      </w:r>
      <w:r>
        <w:rPr>
          <w:rFonts w:ascii="Times New Roman" w:hAnsi="Times New Roman"/>
          <w:i/>
          <w:sz w:val="14"/>
        </w:rPr>
        <w:t>x</w:t>
      </w:r>
      <w:r>
        <w:rPr>
          <w:rFonts w:ascii="Times New Roman" w:hAnsi="Times New Roman"/>
          <w:sz w:val="14"/>
        </w:rPr>
        <w:t xml:space="preserve">, </w:t>
      </w:r>
      <w:r>
        <w:rPr>
          <w:rFonts w:ascii="Times New Roman" w:hAnsi="Times New Roman"/>
          <w:i/>
          <w:sz w:val="14"/>
        </w:rPr>
        <w:t xml:space="preserve">y </w:t>
      </w:r>
      <w:r>
        <w:rPr>
          <w:rFonts w:ascii="Times New Roman" w:hAnsi="Times New Roman"/>
          <w:sz w:val="14"/>
        </w:rPr>
        <w:t xml:space="preserve">) </w:t>
      </w:r>
      <w:r>
        <w:rPr>
          <w:rFonts w:ascii="Symbol" w:hAnsi="Symbol"/>
          <w:position w:val="6"/>
          <w:sz w:val="24"/>
        </w:rPr>
        <w:t></w:t>
      </w:r>
      <w:r>
        <w:rPr>
          <w:rFonts w:ascii="Times New Roman" w:hAnsi="Times New Roman"/>
          <w:position w:val="6"/>
          <w:sz w:val="24"/>
        </w:rPr>
        <w:t xml:space="preserve"> </w:t>
      </w:r>
      <w:r>
        <w:rPr>
          <w:rFonts w:ascii="Times New Roman" w:hAnsi="Times New Roman"/>
          <w:i/>
          <w:position w:val="6"/>
          <w:sz w:val="24"/>
        </w:rPr>
        <w:t>W</w:t>
      </w:r>
      <w:r>
        <w:rPr>
          <w:rFonts w:ascii="Times New Roman" w:hAnsi="Times New Roman"/>
          <w:sz w:val="14"/>
        </w:rPr>
        <w:t xml:space="preserve">max </w:t>
      </w:r>
      <w:r>
        <w:rPr>
          <w:rFonts w:ascii="Symbol" w:hAnsi="Symbol"/>
          <w:position w:val="6"/>
          <w:sz w:val="24"/>
        </w:rPr>
        <w:t></w:t>
      </w:r>
      <w:r>
        <w:rPr>
          <w:rFonts w:ascii="Times New Roman" w:hAnsi="Times New Roman"/>
          <w:position w:val="6"/>
          <w:sz w:val="24"/>
        </w:rPr>
        <w:t xml:space="preserve"> </w:t>
      </w:r>
      <w:r>
        <w:rPr>
          <w:rFonts w:ascii="Symbol" w:hAnsi="Symbol"/>
          <w:position w:val="-2"/>
          <w:sz w:val="35"/>
        </w:rPr>
        <w:t></w:t>
      </w:r>
      <w:r>
        <w:rPr>
          <w:rFonts w:ascii="Times New Roman" w:hAnsi="Times New Roman"/>
          <w:position w:val="-2"/>
          <w:sz w:val="35"/>
        </w:rPr>
        <w:t xml:space="preserve"> </w:t>
      </w:r>
      <w:r>
        <w:rPr>
          <w:rFonts w:ascii="Times New Roman" w:hAnsi="Times New Roman"/>
          <w:position w:val="-2"/>
          <w:sz w:val="14"/>
        </w:rPr>
        <w:t>2</w:t>
      </w:r>
    </w:p>
    <w:p>
      <w:pPr>
        <w:spacing w:before="0" w:line="142" w:lineRule="exact"/>
        <w:ind w:left="0" w:right="298" w:firstLine="0"/>
        <w:jc w:val="right"/>
        <w:rPr>
          <w:rFonts w:ascii="Times New Roman"/>
          <w:i/>
          <w:sz w:val="14"/>
        </w:rPr>
      </w:pPr>
      <w:r>
        <w:rPr>
          <w:rFonts w:ascii="Times New Roman"/>
          <w:i/>
          <w:w w:val="99"/>
          <w:sz w:val="14"/>
        </w:rPr>
        <w:t>D</w:t>
      </w:r>
    </w:p>
    <w:p>
      <w:pPr>
        <w:pStyle w:val="6"/>
        <w:rPr>
          <w:rFonts w:ascii="Times New Roman"/>
          <w:i/>
          <w:sz w:val="26"/>
        </w:rPr>
      </w:pPr>
      <w:r>
        <w:br w:type="column"/>
      </w:r>
    </w:p>
    <w:p>
      <w:pPr>
        <w:spacing w:before="183" w:line="170" w:lineRule="auto"/>
        <w:ind w:left="276" w:right="0" w:firstLine="0"/>
        <w:jc w:val="left"/>
        <w:rPr>
          <w:rFonts w:ascii="Times New Roman" w:hAnsi="Times New Roman"/>
          <w:sz w:val="14"/>
        </w:rPr>
      </w:pPr>
      <w:r>
        <w:rPr>
          <w:rFonts w:ascii="Symbol" w:hAnsi="Symbol"/>
          <w:position w:val="-8"/>
          <w:sz w:val="14"/>
        </w:rPr>
        <w:t></w:t>
      </w:r>
      <w:r>
        <w:rPr>
          <w:rFonts w:ascii="Symbol" w:hAnsi="Symbol"/>
          <w:i/>
          <w:position w:val="-8"/>
          <w:sz w:val="14"/>
        </w:rPr>
        <w:t></w:t>
      </w:r>
      <w:r>
        <w:rPr>
          <w:rFonts w:ascii="Times New Roman" w:hAnsi="Times New Roman"/>
          <w:sz w:val="14"/>
        </w:rPr>
        <w:t>(</w:t>
      </w:r>
      <w:r>
        <w:rPr>
          <w:rFonts w:ascii="Symbol" w:hAnsi="Symbol"/>
          <w:i/>
          <w:sz w:val="14"/>
        </w:rPr>
        <w:t></w:t>
      </w:r>
      <w:r>
        <w:rPr>
          <w:rFonts w:ascii="Symbol" w:hAnsi="Symbol"/>
          <w:sz w:val="14"/>
        </w:rPr>
        <w:t></w:t>
      </w:r>
      <w:r>
        <w:rPr>
          <w:rFonts w:ascii="Times New Roman" w:hAnsi="Times New Roman"/>
          <w:sz w:val="14"/>
        </w:rPr>
        <w:t xml:space="preserve"> </w:t>
      </w:r>
      <w:r>
        <w:rPr>
          <w:rFonts w:ascii="Times New Roman" w:hAnsi="Times New Roman"/>
          <w:i/>
          <w:sz w:val="14"/>
        </w:rPr>
        <w:t>x</w:t>
      </w:r>
      <w:r>
        <w:rPr>
          <w:rFonts w:ascii="Times New Roman" w:hAnsi="Times New Roman"/>
          <w:sz w:val="14"/>
        </w:rPr>
        <w:t>)</w:t>
      </w:r>
      <w:r>
        <w:rPr>
          <w:rFonts w:ascii="Times New Roman" w:hAnsi="Times New Roman"/>
          <w:sz w:val="14"/>
          <w:vertAlign w:val="superscript"/>
        </w:rPr>
        <w:t>2</w:t>
      </w:r>
      <w:r>
        <w:rPr>
          <w:rFonts w:ascii="Times New Roman" w:hAnsi="Times New Roman"/>
          <w:sz w:val="14"/>
          <w:vertAlign w:val="baseline"/>
        </w:rPr>
        <w:t xml:space="preserve"> </w:t>
      </w:r>
      <w:r>
        <w:rPr>
          <w:rFonts w:ascii="Symbol" w:hAnsi="Symbol"/>
          <w:sz w:val="14"/>
          <w:vertAlign w:val="baseline"/>
        </w:rPr>
        <w:t></w:t>
      </w:r>
      <w:r>
        <w:rPr>
          <w:rFonts w:ascii="Times New Roman" w:hAnsi="Times New Roman"/>
          <w:sz w:val="14"/>
          <w:vertAlign w:val="baseline"/>
        </w:rPr>
        <w:t>(</w:t>
      </w:r>
      <w:r>
        <w:rPr>
          <w:rFonts w:ascii="Symbol" w:hAnsi="Symbol"/>
          <w:i/>
          <w:sz w:val="14"/>
          <w:vertAlign w:val="baseline"/>
        </w:rPr>
        <w:t></w:t>
      </w:r>
      <w:r>
        <w:rPr>
          <w:rFonts w:ascii="Symbol" w:hAnsi="Symbol"/>
          <w:sz w:val="14"/>
          <w:vertAlign w:val="baseline"/>
        </w:rPr>
        <w:t></w:t>
      </w:r>
      <w:r>
        <w:rPr>
          <w:rFonts w:ascii="Times New Roman" w:hAnsi="Times New Roman"/>
          <w:sz w:val="14"/>
          <w:vertAlign w:val="baseline"/>
        </w:rPr>
        <w:t xml:space="preserve"> </w:t>
      </w:r>
      <w:r>
        <w:rPr>
          <w:rFonts w:ascii="Times New Roman" w:hAnsi="Times New Roman"/>
          <w:i/>
          <w:sz w:val="14"/>
          <w:vertAlign w:val="baseline"/>
        </w:rPr>
        <w:t xml:space="preserve">y </w:t>
      </w:r>
      <w:r>
        <w:rPr>
          <w:rFonts w:ascii="Times New Roman" w:hAnsi="Times New Roman"/>
          <w:sz w:val="14"/>
          <w:vertAlign w:val="baseline"/>
        </w:rPr>
        <w:t>)</w:t>
      </w:r>
      <w:r>
        <w:rPr>
          <w:rFonts w:ascii="Times New Roman" w:hAnsi="Times New Roman"/>
          <w:sz w:val="14"/>
          <w:vertAlign w:val="superscript"/>
        </w:rPr>
        <w:t>2</w:t>
      </w:r>
    </w:p>
    <w:p>
      <w:pPr>
        <w:tabs>
          <w:tab w:val="left" w:pos="882"/>
        </w:tabs>
        <w:spacing w:before="0" w:line="260" w:lineRule="exact"/>
        <w:ind w:left="52" w:right="0" w:firstLine="0"/>
        <w:jc w:val="left"/>
        <w:rPr>
          <w:rFonts w:ascii="Times New Roman" w:hAnsi="Times New Roman"/>
          <w:sz w:val="10"/>
        </w:rPr>
      </w:pPr>
      <w:r>
        <mc:AlternateContent>
          <mc:Choice Requires="wps">
            <w:drawing>
              <wp:anchor distT="0" distB="0" distL="114300" distR="114300" simplePos="0" relativeHeight="214171648" behindDoc="1" locked="0" layoutInCell="1" allowOverlap="1">
                <wp:simplePos x="0" y="0"/>
                <wp:positionH relativeFrom="page">
                  <wp:posOffset>3609340</wp:posOffset>
                </wp:positionH>
                <wp:positionV relativeFrom="paragraph">
                  <wp:posOffset>92710</wp:posOffset>
                </wp:positionV>
                <wp:extent cx="163195" cy="0"/>
                <wp:effectExtent l="0" t="0" r="0" b="0"/>
                <wp:wrapNone/>
                <wp:docPr id="18" name="直线 93"/>
                <wp:cNvGraphicFramePr/>
                <a:graphic xmlns:a="http://schemas.openxmlformats.org/drawingml/2006/main">
                  <a:graphicData uri="http://schemas.microsoft.com/office/word/2010/wordprocessingShape">
                    <wps:wsp>
                      <wps:cNvSpPr/>
                      <wps:spPr>
                        <a:xfrm>
                          <a:off x="0" y="0"/>
                          <a:ext cx="163195" cy="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93" o:spid="_x0000_s1026" o:spt="20" style="position:absolute;left:0pt;margin-left:284.2pt;margin-top:7.3pt;height:0pt;width:12.85pt;mso-position-horizontal-relative:page;z-index:-289144832;mso-width-relative:page;mso-height-relative:page;" filled="f" stroked="t" coordsize="21600,21600" o:gfxdata="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jEl91AAAAAkBAAAPAAAAAAAAAAEAIAAAACIAAABkcnMv&#10;ZG93bnJldi54bWxQSwECFAAUAAAACACHTuJA1ZRiQM4BAACOAwAADgAAAAAAAAABACAAAAAjAQAA&#10;ZHJzL2Uyb0RvYy54bWxQSwUGAAAAAAYABgBZAQAAYwUAAAAA&#10;">
                <v:fill on="f" focussize="0,0"/>
                <v:stroke weight="0.5pt" color="#000000" joinstyle="round"/>
                <v:imagedata o:title=""/>
                <o:lock v:ext="edit" aspectratio="f"/>
              </v:line>
            </w:pict>
          </mc:Fallback>
        </mc:AlternateContent>
      </w:r>
      <w:r>
        <mc:AlternateContent>
          <mc:Choice Requires="wps">
            <w:drawing>
              <wp:anchor distT="0" distB="0" distL="114300" distR="114300" simplePos="0" relativeHeight="251731968" behindDoc="0" locked="0" layoutInCell="1" allowOverlap="1">
                <wp:simplePos x="0" y="0"/>
                <wp:positionH relativeFrom="page">
                  <wp:posOffset>4062095</wp:posOffset>
                </wp:positionH>
                <wp:positionV relativeFrom="paragraph">
                  <wp:posOffset>-19685</wp:posOffset>
                </wp:positionV>
                <wp:extent cx="620395" cy="0"/>
                <wp:effectExtent l="0" t="0" r="0" b="0"/>
                <wp:wrapNone/>
                <wp:docPr id="245" name="直线 94"/>
                <wp:cNvGraphicFramePr/>
                <a:graphic xmlns:a="http://schemas.openxmlformats.org/drawingml/2006/main">
                  <a:graphicData uri="http://schemas.microsoft.com/office/word/2010/wordprocessingShape">
                    <wps:wsp>
                      <wps:cNvSpPr/>
                      <wps:spPr>
                        <a:xfrm>
                          <a:off x="0" y="0"/>
                          <a:ext cx="620395" cy="0"/>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直线 94" o:spid="_x0000_s1026" o:spt="20" style="position:absolute;left:0pt;margin-left:319.85pt;margin-top:-1.55pt;height:0pt;width:48.85pt;mso-position-horizontal-relative:page;z-index:251731968;mso-width-relative:page;mso-height-relative:page;" filled="f" stroked="t" coordsize="21600,21600" o:gfxdata="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qJN0bZAAAACQEAAA8AAAAAAAAAAQAgAAAAIgAA&#10;AGRycy9kb3ducmV2LnhtbFBLAQIUABQAAAAIAIdO4kCGJrPYzgEAAI8DAAAOAAAAAAAAAAEAIAAA&#10;ACgBAABkcnMvZTJvRG9jLnhtbFBLBQYAAAAABgAGAFkBAABoBQAAAAA=&#10;">
                <v:fill on="f" focussize="0,0"/>
                <v:stroke weight="0.25pt" color="#000000" joinstyle="round"/>
                <v:imagedata o:title=""/>
                <o:lock v:ext="edit" aspectratio="f"/>
              </v:line>
            </w:pict>
          </mc:Fallback>
        </mc:AlternateContent>
      </w:r>
      <w:r>
        <w:rPr>
          <w:rFonts w:ascii="Symbol" w:hAnsi="Symbol"/>
          <w:sz w:val="24"/>
        </w:rPr>
        <w:t></w:t>
      </w:r>
      <w:r>
        <w:rPr>
          <w:rFonts w:ascii="Times New Roman" w:hAnsi="Times New Roman"/>
          <w:spacing w:val="-25"/>
          <w:sz w:val="24"/>
        </w:rPr>
        <w:t xml:space="preserve"> </w:t>
      </w:r>
      <w:r>
        <w:rPr>
          <w:rFonts w:ascii="Times New Roman" w:hAnsi="Times New Roman"/>
          <w:i/>
          <w:sz w:val="24"/>
        </w:rPr>
        <w:t>e</w:t>
      </w:r>
      <w:r>
        <w:rPr>
          <w:rFonts w:ascii="Times New Roman" w:hAnsi="Times New Roman"/>
          <w:i/>
          <w:sz w:val="24"/>
        </w:rPr>
        <w:tab/>
      </w:r>
      <w:r>
        <w:rPr>
          <w:rFonts w:ascii="Times New Roman" w:hAnsi="Times New Roman"/>
          <w:i/>
          <w:position w:val="7"/>
          <w:sz w:val="14"/>
        </w:rPr>
        <w:t>r</w:t>
      </w:r>
      <w:r>
        <w:rPr>
          <w:rFonts w:ascii="Times New Roman" w:hAnsi="Times New Roman"/>
          <w:i/>
          <w:spacing w:val="-18"/>
          <w:position w:val="7"/>
          <w:sz w:val="14"/>
        </w:rPr>
        <w:t xml:space="preserve"> </w:t>
      </w:r>
      <w:r>
        <w:rPr>
          <w:rFonts w:ascii="Times New Roman" w:hAnsi="Times New Roman"/>
          <w:position w:val="14"/>
          <w:sz w:val="10"/>
        </w:rPr>
        <w:t>2</w:t>
      </w:r>
    </w:p>
    <w:p>
      <w:pPr>
        <w:pStyle w:val="6"/>
        <w:rPr>
          <w:rFonts w:ascii="Times New Roman"/>
          <w:sz w:val="28"/>
        </w:rPr>
      </w:pPr>
      <w:r>
        <w:br w:type="column"/>
      </w:r>
    </w:p>
    <w:p>
      <w:pPr>
        <w:pStyle w:val="6"/>
        <w:spacing w:before="7"/>
        <w:rPr>
          <w:rFonts w:ascii="Times New Roman"/>
          <w:sz w:val="28"/>
        </w:rPr>
      </w:pPr>
    </w:p>
    <w:p>
      <w:pPr>
        <w:spacing w:before="0"/>
        <w:ind w:left="61" w:right="0" w:firstLine="0"/>
        <w:jc w:val="left"/>
        <w:rPr>
          <w:rFonts w:ascii="Symbol" w:hAnsi="Symbol"/>
          <w:i/>
          <w:sz w:val="25"/>
        </w:rPr>
      </w:pPr>
      <w:r>
        <w:rPr>
          <w:rFonts w:ascii="Symbol" w:hAnsi="Symbol"/>
          <w:sz w:val="24"/>
        </w:rPr>
        <w:t></w:t>
      </w:r>
      <w:r>
        <w:rPr>
          <w:rFonts w:ascii="Times New Roman" w:hAnsi="Times New Roman"/>
          <w:sz w:val="24"/>
        </w:rPr>
        <w:t xml:space="preserve"> </w:t>
      </w:r>
      <w:r>
        <w:rPr>
          <w:rFonts w:ascii="Times New Roman" w:hAnsi="Times New Roman"/>
          <w:i/>
          <w:sz w:val="24"/>
        </w:rPr>
        <w:t>d</w:t>
      </w:r>
      <w:r>
        <w:rPr>
          <w:rFonts w:ascii="Symbol" w:hAnsi="Symbol"/>
          <w:i/>
          <w:sz w:val="25"/>
        </w:rPr>
        <w:t></w:t>
      </w:r>
      <w:r>
        <w:rPr>
          <w:rFonts w:ascii="Symbol" w:hAnsi="Symbol"/>
          <w:sz w:val="24"/>
        </w:rPr>
        <w:t></w:t>
      </w:r>
      <w:r>
        <w:rPr>
          <w:rFonts w:ascii="Times New Roman" w:hAnsi="Times New Roman"/>
          <w:sz w:val="24"/>
        </w:rPr>
        <w:t xml:space="preserve"> </w:t>
      </w:r>
      <w:r>
        <w:rPr>
          <w:rFonts w:ascii="Times New Roman" w:hAnsi="Times New Roman"/>
          <w:i/>
          <w:sz w:val="24"/>
        </w:rPr>
        <w:t>d</w:t>
      </w:r>
      <w:r>
        <w:rPr>
          <w:rFonts w:ascii="Symbol" w:hAnsi="Symbol"/>
          <w:i/>
          <w:sz w:val="25"/>
        </w:rPr>
        <w:t></w:t>
      </w:r>
    </w:p>
    <w:p>
      <w:pPr>
        <w:spacing w:after="0"/>
        <w:jc w:val="left"/>
        <w:rPr>
          <w:rFonts w:ascii="Symbol" w:hAnsi="Symbol"/>
          <w:sz w:val="25"/>
        </w:rPr>
        <w:sectPr>
          <w:type w:val="continuous"/>
          <w:pgSz w:w="11910" w:h="16840"/>
          <w:pgMar w:top="1580" w:right="1300" w:bottom="280" w:left="1300" w:header="720" w:footer="720" w:gutter="0"/>
          <w:cols w:equalWidth="0" w:num="4">
            <w:col w:w="2133" w:space="40"/>
            <w:col w:w="2426" w:space="39"/>
            <w:col w:w="1417" w:space="39"/>
            <w:col w:w="3216"/>
          </w:cols>
        </w:sectPr>
      </w:pPr>
    </w:p>
    <w:p>
      <w:pPr>
        <w:pStyle w:val="6"/>
        <w:spacing w:before="3"/>
        <w:rPr>
          <w:rFonts w:ascii="Symbol" w:hAnsi="Symbol"/>
          <w:i/>
          <w:sz w:val="16"/>
        </w:rPr>
      </w:pPr>
    </w:p>
    <w:p>
      <w:pPr>
        <w:spacing w:after="0"/>
        <w:rPr>
          <w:rFonts w:ascii="Symbol" w:hAnsi="Symbol"/>
          <w:sz w:val="16"/>
        </w:rPr>
        <w:sectPr>
          <w:type w:val="continuous"/>
          <w:pgSz w:w="11910" w:h="16840"/>
          <w:pgMar w:top="1580" w:right="1300" w:bottom="280" w:left="1300" w:header="720" w:footer="720" w:gutter="0"/>
        </w:sectPr>
      </w:pPr>
    </w:p>
    <w:p>
      <w:pPr>
        <w:pStyle w:val="6"/>
        <w:spacing w:before="66"/>
        <w:ind w:left="931"/>
      </w:pPr>
      <w:r>
        <w:t>②地表倾斜</w:t>
      </w:r>
    </w:p>
    <w:p>
      <w:pPr>
        <w:pStyle w:val="6"/>
        <w:spacing w:before="1"/>
        <w:rPr>
          <w:sz w:val="43"/>
        </w:rPr>
      </w:pPr>
      <w:r>
        <w:br w:type="column"/>
      </w:r>
    </w:p>
    <w:p>
      <w:pPr>
        <w:spacing w:before="0"/>
        <w:ind w:left="1978" w:right="0" w:firstLine="0"/>
        <w:jc w:val="left"/>
        <w:rPr>
          <w:rFonts w:ascii="Times New Roman" w:hAnsi="Times New Roman"/>
          <w:sz w:val="24"/>
        </w:rPr>
      </w:pPr>
      <w:r>
        <mc:AlternateContent>
          <mc:Choice Requires="wps">
            <w:drawing>
              <wp:anchor distT="0" distB="0" distL="114300" distR="114300" simplePos="0" relativeHeight="214177792" behindDoc="1" locked="0" layoutInCell="1" allowOverlap="1">
                <wp:simplePos x="0" y="0"/>
                <wp:positionH relativeFrom="page">
                  <wp:posOffset>3312795</wp:posOffset>
                </wp:positionH>
                <wp:positionV relativeFrom="paragraph">
                  <wp:posOffset>78105</wp:posOffset>
                </wp:positionV>
                <wp:extent cx="128905" cy="287020"/>
                <wp:effectExtent l="0" t="0" r="0" b="0"/>
                <wp:wrapNone/>
                <wp:docPr id="24" name="文本框 95"/>
                <wp:cNvGraphicFramePr/>
                <a:graphic xmlns:a="http://schemas.openxmlformats.org/drawingml/2006/main">
                  <a:graphicData uri="http://schemas.microsoft.com/office/word/2010/wordprocessingShape">
                    <wps:wsp>
                      <wps:cNvSpPr txBox="1"/>
                      <wps:spPr>
                        <a:xfrm>
                          <a:off x="0" y="0"/>
                          <a:ext cx="128905" cy="287020"/>
                        </a:xfrm>
                        <a:prstGeom prst="rect">
                          <a:avLst/>
                        </a:prstGeom>
                        <a:noFill/>
                        <a:ln>
                          <a:noFill/>
                        </a:ln>
                      </wps:spPr>
                      <wps:txbx>
                        <w:txbxContent>
                          <w:p>
                            <w:pPr>
                              <w:spacing w:before="0" w:line="452" w:lineRule="exact"/>
                              <w:ind w:left="0" w:right="0" w:firstLine="0"/>
                              <w:jc w:val="left"/>
                              <w:rPr>
                                <w:rFonts w:ascii="Symbol" w:hAnsi="Symbol"/>
                                <w:sz w:val="37"/>
                              </w:rPr>
                            </w:pPr>
                            <w:r>
                              <w:rPr>
                                <w:rFonts w:ascii="Symbol" w:hAnsi="Symbol"/>
                                <w:w w:val="95"/>
                                <w:sz w:val="37"/>
                              </w:rPr>
                              <w:t></w:t>
                            </w:r>
                          </w:p>
                        </w:txbxContent>
                      </wps:txbx>
                      <wps:bodyPr lIns="0" tIns="0" rIns="0" bIns="0" upright="1"/>
                    </wps:wsp>
                  </a:graphicData>
                </a:graphic>
              </wp:anchor>
            </w:drawing>
          </mc:Choice>
          <mc:Fallback>
            <w:pict>
              <v:shape id="文本框 95" o:spid="_x0000_s1026" o:spt="202" type="#_x0000_t202" style="position:absolute;left:0pt;margin-left:260.85pt;margin-top:6.15pt;height:22.6pt;width:10.15pt;mso-position-horizontal-relative:page;z-index:-289138688;mso-width-relative:page;mso-height-relative:page;" filled="f" stroked="f" coordsize="21600,21600" o:gfxdata="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t1bQ12AAAAAkBAAAPAAAAAAAA&#10;AAEAIAAAACIAAABkcnMvZG93bnJldi54bWxQSwECFAAUAAAACACHTuJAgaeEtqABAAAlAwAADgAA&#10;AAAAAAABACAAAAAnAQAAZHJzL2Uyb0RvYy54bWxQSwUGAAAAAAYABgBZAQAAOQUAAAAA&#10;">
                <v:fill on="f" focussize="0,0"/>
                <v:stroke on="f"/>
                <v:imagedata o:title=""/>
                <o:lock v:ext="edit" aspectratio="f"/>
                <v:textbox inset="0mm,0mm,0mm,0mm">
                  <w:txbxContent>
                    <w:p>
                      <w:pPr>
                        <w:spacing w:before="0" w:line="452" w:lineRule="exact"/>
                        <w:ind w:left="0" w:right="0" w:firstLine="0"/>
                        <w:jc w:val="left"/>
                        <w:rPr>
                          <w:rFonts w:ascii="Symbol" w:hAnsi="Symbol"/>
                          <w:sz w:val="37"/>
                        </w:rPr>
                      </w:pPr>
                      <w:r>
                        <w:rPr>
                          <w:rFonts w:ascii="Symbol" w:hAnsi="Symbol"/>
                          <w:w w:val="95"/>
                          <w:sz w:val="37"/>
                        </w:rPr>
                        <w:t></w:t>
                      </w:r>
                    </w:p>
                  </w:txbxContent>
                </v:textbox>
              </v:shape>
            </w:pict>
          </mc:Fallback>
        </mc:AlternateContent>
      </w:r>
      <w:r>
        <w:rPr>
          <w:rFonts w:ascii="Times New Roman" w:hAnsi="Times New Roman"/>
          <w:sz w:val="24"/>
        </w:rPr>
        <w:t>2</w:t>
      </w:r>
      <w:r>
        <w:rPr>
          <w:rFonts w:ascii="Symbol" w:hAnsi="Symbol"/>
          <w:i/>
          <w:sz w:val="25"/>
        </w:rPr>
        <w:t></w:t>
      </w:r>
      <w:r>
        <w:rPr>
          <w:rFonts w:ascii="Times New Roman" w:hAnsi="Times New Roman"/>
          <w:sz w:val="24"/>
        </w:rPr>
        <w:t>(</w:t>
      </w:r>
      <w:r>
        <w:rPr>
          <w:rFonts w:ascii="Symbol" w:hAnsi="Symbol"/>
          <w:i/>
          <w:sz w:val="25"/>
        </w:rPr>
        <w:t></w:t>
      </w:r>
      <w:r>
        <w:rPr>
          <w:rFonts w:ascii="Symbol" w:hAnsi="Symbol"/>
          <w:sz w:val="24"/>
        </w:rPr>
        <w:t></w:t>
      </w:r>
      <w:r>
        <w:rPr>
          <w:rFonts w:ascii="Times New Roman" w:hAnsi="Times New Roman"/>
          <w:sz w:val="24"/>
        </w:rPr>
        <w:t xml:space="preserve"> </w:t>
      </w:r>
      <w:r>
        <w:rPr>
          <w:rFonts w:ascii="Times New Roman" w:hAnsi="Times New Roman"/>
          <w:i/>
          <w:sz w:val="24"/>
        </w:rPr>
        <w:t>x</w:t>
      </w:r>
      <w:r>
        <w:rPr>
          <w:rFonts w:ascii="Times New Roman" w:hAnsi="Times New Roman"/>
          <w:sz w:val="24"/>
        </w:rPr>
        <w:t>)</w:t>
      </w:r>
    </w:p>
    <w:p>
      <w:pPr>
        <w:tabs>
          <w:tab w:val="left" w:pos="1380"/>
          <w:tab w:val="left" w:pos="2319"/>
        </w:tabs>
        <w:spacing w:before="0" w:line="177" w:lineRule="exact"/>
        <w:ind w:left="519" w:right="0" w:firstLine="0"/>
        <w:jc w:val="left"/>
        <w:rPr>
          <w:rFonts w:ascii="Times New Roman"/>
          <w:sz w:val="14"/>
        </w:rPr>
      </w:pPr>
      <w:r>
        <mc:AlternateContent>
          <mc:Choice Requires="wps">
            <w:drawing>
              <wp:anchor distT="0" distB="0" distL="114300" distR="114300" simplePos="0" relativeHeight="251732992" behindDoc="0" locked="0" layoutInCell="1" allowOverlap="1">
                <wp:simplePos x="0" y="0"/>
                <wp:positionH relativeFrom="page">
                  <wp:posOffset>3451860</wp:posOffset>
                </wp:positionH>
                <wp:positionV relativeFrom="paragraph">
                  <wp:posOffset>116840</wp:posOffset>
                </wp:positionV>
                <wp:extent cx="582930" cy="0"/>
                <wp:effectExtent l="0" t="0" r="0" b="0"/>
                <wp:wrapNone/>
                <wp:docPr id="246" name="直线 96"/>
                <wp:cNvGraphicFramePr/>
                <a:graphic xmlns:a="http://schemas.openxmlformats.org/drawingml/2006/main">
                  <a:graphicData uri="http://schemas.microsoft.com/office/word/2010/wordprocessingShape">
                    <wps:wsp>
                      <wps:cNvSpPr/>
                      <wps:spPr>
                        <a:xfrm>
                          <a:off x="0" y="0"/>
                          <a:ext cx="582930" cy="0"/>
                        </a:xfrm>
                        <a:prstGeom prst="line">
                          <a:avLst/>
                        </a:prstGeom>
                        <a:ln w="6439" cap="flat" cmpd="sng">
                          <a:solidFill>
                            <a:srgbClr val="000000"/>
                          </a:solidFill>
                          <a:prstDash val="solid"/>
                          <a:headEnd type="none" w="med" len="med"/>
                          <a:tailEnd type="none" w="med" len="med"/>
                        </a:ln>
                      </wps:spPr>
                      <wps:bodyPr upright="1"/>
                    </wps:wsp>
                  </a:graphicData>
                </a:graphic>
              </wp:anchor>
            </w:drawing>
          </mc:Choice>
          <mc:Fallback>
            <w:pict>
              <v:line id="直线 96" o:spid="_x0000_s1026" o:spt="20" style="position:absolute;left:0pt;margin-left:271.8pt;margin-top:9.2pt;height:0pt;width:45.9pt;mso-position-horizontal-relative:page;z-index:251732992;mso-width-relative:page;mso-height-relative:page;" filled="f" stroked="t" coordsize="21600,21600" o:gfxdata="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zHjPXYAAAACQEAAA8AAAAAAAAAAQAgAAAAIgAA&#10;AGRycy9kb3ducmV2LnhtbFBLAQIUABQAAAAIAIdO4kDUYfmXzwEAAI8DAAAOAAAAAAAAAAEAIAAA&#10;ACcBAABkcnMvZTJvRG9jLnhtbFBLBQYAAAAABgAGAFkBAABoBQAAAAA=&#10;">
                <v:fill on="f" focussize="0,0"/>
                <v:stroke weight="0.507007874015748pt" color="#000000" joinstyle="round"/>
                <v:imagedata o:title=""/>
                <o:lock v:ext="edit" aspectratio="f"/>
              </v:line>
            </w:pict>
          </mc:Fallback>
        </mc:AlternateContent>
      </w:r>
      <w:r>
        <w:rPr>
          <w:rFonts w:ascii="Times New Roman"/>
          <w:i/>
          <w:position w:val="2"/>
          <w:sz w:val="14"/>
        </w:rPr>
        <w:t>X</w:t>
      </w:r>
      <w:r>
        <w:rPr>
          <w:rFonts w:ascii="Times New Roman"/>
          <w:i/>
          <w:spacing w:val="-5"/>
          <w:position w:val="2"/>
          <w:sz w:val="14"/>
        </w:rPr>
        <w:t xml:space="preserve"> </w:t>
      </w:r>
      <w:r>
        <w:rPr>
          <w:rFonts w:ascii="Times New Roman"/>
          <w:position w:val="2"/>
          <w:sz w:val="14"/>
        </w:rPr>
        <w:t>(</w:t>
      </w:r>
      <w:r>
        <w:rPr>
          <w:rFonts w:ascii="Times New Roman"/>
          <w:spacing w:val="-16"/>
          <w:position w:val="2"/>
          <w:sz w:val="14"/>
        </w:rPr>
        <w:t xml:space="preserve"> </w:t>
      </w:r>
      <w:r>
        <w:rPr>
          <w:rFonts w:ascii="Times New Roman"/>
          <w:i/>
          <w:spacing w:val="4"/>
          <w:position w:val="2"/>
          <w:sz w:val="14"/>
        </w:rPr>
        <w:t>x</w:t>
      </w:r>
      <w:r>
        <w:rPr>
          <w:rFonts w:ascii="Times New Roman"/>
          <w:spacing w:val="4"/>
          <w:position w:val="2"/>
          <w:sz w:val="14"/>
        </w:rPr>
        <w:t>,</w:t>
      </w:r>
      <w:r>
        <w:rPr>
          <w:rFonts w:ascii="Times New Roman"/>
          <w:spacing w:val="-18"/>
          <w:position w:val="2"/>
          <w:sz w:val="14"/>
        </w:rPr>
        <w:t xml:space="preserve"> </w:t>
      </w:r>
      <w:r>
        <w:rPr>
          <w:rFonts w:ascii="Times New Roman"/>
          <w:i/>
          <w:position w:val="2"/>
          <w:sz w:val="14"/>
        </w:rPr>
        <w:t>y</w:t>
      </w:r>
      <w:r>
        <w:rPr>
          <w:rFonts w:ascii="Times New Roman"/>
          <w:i/>
          <w:spacing w:val="-20"/>
          <w:position w:val="2"/>
          <w:sz w:val="14"/>
        </w:rPr>
        <w:t xml:space="preserve"> </w:t>
      </w:r>
      <w:r>
        <w:rPr>
          <w:rFonts w:ascii="Times New Roman"/>
          <w:position w:val="2"/>
          <w:sz w:val="14"/>
        </w:rPr>
        <w:t>)</w:t>
      </w:r>
      <w:r>
        <w:rPr>
          <w:rFonts w:ascii="Times New Roman"/>
          <w:position w:val="2"/>
          <w:sz w:val="14"/>
        </w:rPr>
        <w:tab/>
      </w:r>
      <w:r>
        <w:rPr>
          <w:rFonts w:ascii="Times New Roman"/>
          <w:position w:val="2"/>
          <w:sz w:val="14"/>
        </w:rPr>
        <w:t>max</w:t>
      </w:r>
      <w:r>
        <w:rPr>
          <w:rFonts w:ascii="Times New Roman"/>
          <w:position w:val="2"/>
          <w:sz w:val="14"/>
        </w:rPr>
        <w:tab/>
      </w:r>
      <w:r>
        <w:rPr>
          <w:rFonts w:ascii="Times New Roman"/>
          <w:i/>
          <w:spacing w:val="9"/>
          <w:position w:val="-10"/>
          <w:sz w:val="24"/>
        </w:rPr>
        <w:t>r</w:t>
      </w:r>
      <w:r>
        <w:rPr>
          <w:rFonts w:ascii="Times New Roman"/>
          <w:spacing w:val="9"/>
          <w:sz w:val="14"/>
        </w:rPr>
        <w:t>2</w:t>
      </w:r>
    </w:p>
    <w:p>
      <w:pPr>
        <w:pStyle w:val="6"/>
        <w:rPr>
          <w:rFonts w:ascii="Times New Roman"/>
          <w:sz w:val="28"/>
        </w:rPr>
      </w:pPr>
      <w:r>
        <w:br w:type="column"/>
      </w:r>
    </w:p>
    <w:p>
      <w:pPr>
        <w:spacing w:before="227" w:line="93" w:lineRule="auto"/>
        <w:ind w:left="188" w:right="0" w:firstLine="0"/>
        <w:jc w:val="left"/>
        <w:rPr>
          <w:rFonts w:ascii="Times New Roman" w:hAnsi="Times New Roman"/>
          <w:sz w:val="14"/>
        </w:rPr>
      </w:pPr>
      <w:r>
        <w:rPr>
          <w:rFonts w:ascii="Symbol" w:hAnsi="Symbol"/>
          <w:position w:val="-8"/>
          <w:sz w:val="14"/>
        </w:rPr>
        <w:t></w:t>
      </w:r>
      <w:r>
        <w:rPr>
          <w:rFonts w:ascii="Symbol" w:hAnsi="Symbol"/>
          <w:i/>
          <w:position w:val="-8"/>
          <w:sz w:val="15"/>
        </w:rPr>
        <w:t></w:t>
      </w:r>
      <w:r>
        <w:rPr>
          <w:rFonts w:ascii="Times New Roman" w:hAnsi="Times New Roman"/>
          <w:sz w:val="14"/>
        </w:rPr>
        <w:t>(</w:t>
      </w:r>
      <w:r>
        <w:rPr>
          <w:rFonts w:ascii="Symbol" w:hAnsi="Symbol"/>
          <w:i/>
          <w:sz w:val="15"/>
        </w:rPr>
        <w:t></w:t>
      </w:r>
      <w:r>
        <w:rPr>
          <w:rFonts w:ascii="Symbol" w:hAnsi="Symbol"/>
          <w:sz w:val="14"/>
        </w:rPr>
        <w:t></w:t>
      </w:r>
      <w:r>
        <w:rPr>
          <w:rFonts w:ascii="Times New Roman" w:hAnsi="Times New Roman"/>
          <w:i/>
          <w:sz w:val="14"/>
        </w:rPr>
        <w:t xml:space="preserve">x </w:t>
      </w:r>
      <w:r>
        <w:rPr>
          <w:rFonts w:ascii="Times New Roman" w:hAnsi="Times New Roman"/>
          <w:sz w:val="14"/>
        </w:rPr>
        <w:t>)</w:t>
      </w:r>
      <w:r>
        <w:rPr>
          <w:rFonts w:ascii="Times New Roman" w:hAnsi="Times New Roman"/>
          <w:sz w:val="14"/>
          <w:vertAlign w:val="superscript"/>
        </w:rPr>
        <w:t>2</w:t>
      </w:r>
      <w:r>
        <w:rPr>
          <w:rFonts w:ascii="Times New Roman" w:hAnsi="Times New Roman"/>
          <w:sz w:val="14"/>
          <w:vertAlign w:val="baseline"/>
        </w:rPr>
        <w:t xml:space="preserve"> </w:t>
      </w:r>
      <w:r>
        <w:rPr>
          <w:rFonts w:ascii="Symbol" w:hAnsi="Symbol"/>
          <w:sz w:val="14"/>
          <w:vertAlign w:val="baseline"/>
        </w:rPr>
        <w:t></w:t>
      </w:r>
      <w:r>
        <w:rPr>
          <w:rFonts w:ascii="Times New Roman" w:hAnsi="Times New Roman"/>
          <w:sz w:val="14"/>
          <w:vertAlign w:val="baseline"/>
        </w:rPr>
        <w:t>(</w:t>
      </w:r>
      <w:r>
        <w:rPr>
          <w:rFonts w:ascii="Symbol" w:hAnsi="Symbol"/>
          <w:i/>
          <w:sz w:val="15"/>
          <w:vertAlign w:val="baseline"/>
        </w:rPr>
        <w:t></w:t>
      </w:r>
      <w:r>
        <w:rPr>
          <w:rFonts w:ascii="Symbol" w:hAnsi="Symbol"/>
          <w:sz w:val="14"/>
          <w:vertAlign w:val="baseline"/>
        </w:rPr>
        <w:t></w:t>
      </w:r>
      <w:r>
        <w:rPr>
          <w:rFonts w:ascii="Times New Roman" w:hAnsi="Times New Roman"/>
          <w:sz w:val="14"/>
          <w:vertAlign w:val="baseline"/>
        </w:rPr>
        <w:t xml:space="preserve"> </w:t>
      </w:r>
      <w:r>
        <w:rPr>
          <w:rFonts w:ascii="Times New Roman" w:hAnsi="Times New Roman"/>
          <w:i/>
          <w:sz w:val="14"/>
          <w:vertAlign w:val="baseline"/>
        </w:rPr>
        <w:t xml:space="preserve">y </w:t>
      </w:r>
      <w:r>
        <w:rPr>
          <w:rFonts w:ascii="Times New Roman" w:hAnsi="Times New Roman"/>
          <w:sz w:val="14"/>
          <w:vertAlign w:val="baseline"/>
        </w:rPr>
        <w:t>)</w:t>
      </w:r>
      <w:r>
        <w:rPr>
          <w:rFonts w:ascii="Times New Roman" w:hAnsi="Times New Roman"/>
          <w:sz w:val="14"/>
          <w:vertAlign w:val="superscript"/>
        </w:rPr>
        <w:t>2</w:t>
      </w:r>
    </w:p>
    <w:p>
      <w:pPr>
        <w:pStyle w:val="6"/>
        <w:spacing w:line="20" w:lineRule="exact"/>
        <w:ind w:left="364"/>
        <w:rPr>
          <w:rFonts w:ascii="Times New Roman"/>
          <w:sz w:val="2"/>
        </w:rPr>
      </w:pPr>
      <w:r>
        <w:rPr>
          <w:rFonts w:ascii="Times New Roman"/>
          <w:sz w:val="2"/>
        </w:rPr>
        <mc:AlternateContent>
          <mc:Choice Requires="wpg">
            <w:drawing>
              <wp:inline distT="0" distB="0" distL="114300" distR="114300">
                <wp:extent cx="609600" cy="3810"/>
                <wp:effectExtent l="0" t="0" r="0" b="0"/>
                <wp:docPr id="130" name="组合 97"/>
                <wp:cNvGraphicFramePr/>
                <a:graphic xmlns:a="http://schemas.openxmlformats.org/drawingml/2006/main">
                  <a:graphicData uri="http://schemas.microsoft.com/office/word/2010/wordprocessingGroup">
                    <wpg:wgp>
                      <wpg:cNvGrpSpPr/>
                      <wpg:grpSpPr>
                        <a:xfrm>
                          <a:off x="0" y="0"/>
                          <a:ext cx="609600" cy="3810"/>
                          <a:chOff x="0" y="0"/>
                          <a:chExt cx="960" cy="6"/>
                        </a:xfrm>
                      </wpg:grpSpPr>
                      <wps:wsp>
                        <wps:cNvPr id="129" name="直线 98"/>
                        <wps:cNvSpPr/>
                        <wps:spPr>
                          <a:xfrm>
                            <a:off x="0" y="3"/>
                            <a:ext cx="960" cy="0"/>
                          </a:xfrm>
                          <a:prstGeom prst="line">
                            <a:avLst/>
                          </a:prstGeom>
                          <a:ln w="3226" cap="flat" cmpd="sng">
                            <a:solidFill>
                              <a:srgbClr val="000000"/>
                            </a:solidFill>
                            <a:prstDash val="solid"/>
                            <a:headEnd type="none" w="med" len="med"/>
                            <a:tailEnd type="none" w="med" len="med"/>
                          </a:ln>
                        </wps:spPr>
                        <wps:bodyPr upright="1"/>
                      </wps:wsp>
                    </wpg:wgp>
                  </a:graphicData>
                </a:graphic>
              </wp:inline>
            </w:drawing>
          </mc:Choice>
          <mc:Fallback>
            <w:pict>
              <v:group id="组合 97" o:spid="_x0000_s1026" o:spt="203" style="height:0.3pt;width:48pt;" coordsize="960,6" o:gfxdata="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wO22/SAAAAAQEAAA8AAAAAAAAAAQAgAAAAIgAAAGRycy9kb3ducmV2LnhtbFBLAQIUABQAAAAI&#10;AIdO4kCYCv5PLAIAALIEAAAOAAAAAAAAAAEAIAAAACEBAABkcnMvZTJvRG9jLnhtbFBLBQYAAAAA&#10;BgAGAFkBAAC/BQAAAAA=&#10;">
                <o:lock v:ext="edit" aspectratio="f"/>
                <v:line id="直线 98" o:spid="_x0000_s1026" o:spt="20" style="position:absolute;left:0;top:3;height:0;width:960;" filled="f" stroked="t" coordsize="21600,21600" o:gfxdata="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ufhj74A&#10;AADcAAAADwAAAAAAAAABACAAAAAiAAAAZHJzL2Rvd25yZXYueG1sUEsBAhQAFAAAAAgAh07iQDMv&#10;BZ47AAAAOQAAABAAAAAAAAAAAQAgAAAADQEAAGRycy9zaGFwZXhtbC54bWxQSwUGAAAAAAYABgBb&#10;AQAAtwMAAAAA&#10;">
                  <v:fill on="f" focussize="0,0"/>
                  <v:stroke weight="0.254015748031496pt" color="#000000" joinstyle="round"/>
                  <v:imagedata o:title=""/>
                  <o:lock v:ext="edit" aspectratio="f"/>
                </v:line>
                <w10:wrap type="none"/>
                <w10:anchorlock/>
              </v:group>
            </w:pict>
          </mc:Fallback>
        </mc:AlternateContent>
      </w:r>
    </w:p>
    <w:p>
      <w:pPr>
        <w:spacing w:after="0" w:line="20" w:lineRule="exact"/>
        <w:rPr>
          <w:rFonts w:ascii="Times New Roman"/>
          <w:sz w:val="2"/>
        </w:rPr>
        <w:sectPr>
          <w:type w:val="continuous"/>
          <w:pgSz w:w="11910" w:h="16840"/>
          <w:pgMar w:top="1580" w:right="1300" w:bottom="280" w:left="1300" w:header="720" w:footer="720" w:gutter="0"/>
          <w:cols w:equalWidth="0" w:num="3">
            <w:col w:w="2133" w:space="40"/>
            <w:col w:w="2873" w:space="39"/>
            <w:col w:w="4225"/>
          </w:cols>
        </w:sectPr>
      </w:pPr>
    </w:p>
    <w:p>
      <w:pPr>
        <w:tabs>
          <w:tab w:val="left" w:pos="3112"/>
          <w:tab w:val="left" w:pos="3838"/>
        </w:tabs>
        <w:spacing w:before="0" w:line="10" w:lineRule="exact"/>
        <w:ind w:left="2611" w:right="0" w:firstLine="0"/>
        <w:jc w:val="left"/>
        <w:rPr>
          <w:rFonts w:ascii="Symbol" w:hAnsi="Symbol"/>
          <w:sz w:val="24"/>
        </w:rPr>
      </w:pPr>
      <w:r>
        <w:rPr>
          <w:rFonts w:ascii="Times New Roman" w:hAnsi="Times New Roman"/>
          <w:i/>
          <w:sz w:val="24"/>
        </w:rPr>
        <w:t>i</w:t>
      </w:r>
      <w:r>
        <w:rPr>
          <w:rFonts w:ascii="Times New Roman" w:hAnsi="Times New Roman"/>
          <w:i/>
          <w:sz w:val="24"/>
        </w:rPr>
        <w:tab/>
      </w:r>
      <w:r>
        <w:rPr>
          <w:spacing w:val="-3"/>
          <w:sz w:val="24"/>
        </w:rPr>
        <w:t>＝</w:t>
      </w:r>
      <w:r>
        <w:rPr>
          <w:rFonts w:ascii="Times New Roman" w:hAnsi="Times New Roman"/>
          <w:i/>
          <w:spacing w:val="-3"/>
          <w:sz w:val="24"/>
        </w:rPr>
        <w:t>W</w:t>
      </w:r>
      <w:r>
        <w:rPr>
          <w:rFonts w:ascii="Times New Roman" w:hAnsi="Times New Roman"/>
          <w:i/>
          <w:spacing w:val="-3"/>
          <w:sz w:val="24"/>
        </w:rPr>
        <w:tab/>
      </w:r>
      <w:r>
        <w:rPr>
          <w:rFonts w:ascii="Symbol" w:hAnsi="Symbol"/>
          <w:sz w:val="24"/>
        </w:rPr>
        <w:t></w:t>
      </w:r>
    </w:p>
    <w:p>
      <w:pPr>
        <w:spacing w:before="51"/>
        <w:ind w:left="0" w:right="0" w:firstLine="0"/>
        <w:jc w:val="right"/>
        <w:rPr>
          <w:rFonts w:ascii="Times New Roman"/>
          <w:i/>
          <w:sz w:val="14"/>
        </w:rPr>
      </w:pPr>
      <w:r>
        <w:rPr>
          <w:rFonts w:ascii="Times New Roman"/>
          <w:i/>
          <w:w w:val="102"/>
          <w:sz w:val="14"/>
        </w:rPr>
        <w:t>D</w:t>
      </w:r>
    </w:p>
    <w:p>
      <w:pPr>
        <w:tabs>
          <w:tab w:val="left" w:pos="1761"/>
        </w:tabs>
        <w:spacing w:before="0" w:line="25" w:lineRule="exact"/>
        <w:ind w:left="968" w:right="0" w:firstLine="0"/>
        <w:jc w:val="left"/>
        <w:rPr>
          <w:rFonts w:ascii="Times New Roman" w:hAnsi="Times New Roman"/>
          <w:sz w:val="10"/>
        </w:rPr>
      </w:pPr>
      <w:r>
        <w:br w:type="column"/>
      </w:r>
      <w:r>
        <w:rPr>
          <w:rFonts w:ascii="Symbol" w:hAnsi="Symbol"/>
          <w:spacing w:val="6"/>
          <w:sz w:val="24"/>
        </w:rPr>
        <w:t></w:t>
      </w:r>
      <w:r>
        <w:rPr>
          <w:rFonts w:ascii="Times New Roman" w:hAnsi="Times New Roman"/>
          <w:i/>
          <w:spacing w:val="6"/>
          <w:sz w:val="24"/>
        </w:rPr>
        <w:t>e</w:t>
      </w:r>
      <w:r>
        <w:rPr>
          <w:rFonts w:ascii="Times New Roman" w:hAnsi="Times New Roman"/>
          <w:i/>
          <w:spacing w:val="6"/>
          <w:sz w:val="24"/>
        </w:rPr>
        <w:tab/>
      </w:r>
      <w:r>
        <w:rPr>
          <w:rFonts w:ascii="Times New Roman" w:hAnsi="Times New Roman"/>
          <w:i/>
          <w:spacing w:val="-7"/>
          <w:position w:val="8"/>
          <w:sz w:val="14"/>
        </w:rPr>
        <w:t>r</w:t>
      </w:r>
      <w:r>
        <w:rPr>
          <w:rFonts w:ascii="Times New Roman" w:hAnsi="Times New Roman"/>
          <w:spacing w:val="-7"/>
          <w:position w:val="14"/>
          <w:sz w:val="10"/>
        </w:rPr>
        <w:t>2</w:t>
      </w:r>
    </w:p>
    <w:p>
      <w:pPr>
        <w:spacing w:before="0" w:line="23" w:lineRule="exact"/>
        <w:ind w:left="434" w:right="0" w:firstLine="0"/>
        <w:jc w:val="left"/>
        <w:rPr>
          <w:rFonts w:ascii="Symbol" w:hAnsi="Symbol"/>
          <w:i/>
          <w:sz w:val="25"/>
        </w:rPr>
      </w:pPr>
      <w:r>
        <w:br w:type="column"/>
      </w:r>
      <w:r>
        <w:rPr>
          <w:rFonts w:ascii="Symbol" w:hAnsi="Symbol"/>
          <w:sz w:val="24"/>
        </w:rPr>
        <w:t></w:t>
      </w:r>
      <w:r>
        <w:rPr>
          <w:rFonts w:ascii="Times New Roman" w:hAnsi="Times New Roman"/>
          <w:i/>
          <w:sz w:val="24"/>
        </w:rPr>
        <w:t>d</w:t>
      </w:r>
      <w:r>
        <w:rPr>
          <w:rFonts w:ascii="Symbol" w:hAnsi="Symbol"/>
          <w:i/>
          <w:sz w:val="25"/>
        </w:rPr>
        <w:t></w:t>
      </w:r>
      <w:r>
        <w:rPr>
          <w:rFonts w:ascii="Symbol" w:hAnsi="Symbol"/>
          <w:sz w:val="24"/>
        </w:rPr>
        <w:t></w:t>
      </w:r>
      <w:r>
        <w:rPr>
          <w:rFonts w:ascii="Times New Roman" w:hAnsi="Times New Roman"/>
          <w:i/>
          <w:sz w:val="24"/>
        </w:rPr>
        <w:t>d</w:t>
      </w:r>
      <w:r>
        <w:rPr>
          <w:rFonts w:ascii="Symbol" w:hAnsi="Symbol"/>
          <w:i/>
          <w:sz w:val="25"/>
        </w:rPr>
        <w:t></w:t>
      </w:r>
    </w:p>
    <w:p>
      <w:pPr>
        <w:spacing w:after="0" w:line="23" w:lineRule="exact"/>
        <w:jc w:val="left"/>
        <w:rPr>
          <w:rFonts w:ascii="Symbol" w:hAnsi="Symbol"/>
          <w:sz w:val="25"/>
        </w:rPr>
        <w:sectPr>
          <w:type w:val="continuous"/>
          <w:pgSz w:w="11910" w:h="16840"/>
          <w:pgMar w:top="1580" w:right="1300" w:bottom="280" w:left="1300" w:header="720" w:footer="720" w:gutter="0"/>
          <w:cols w:equalWidth="0" w:num="3">
            <w:col w:w="4070" w:space="40"/>
            <w:col w:w="1877" w:space="39"/>
            <w:col w:w="3284"/>
          </w:cols>
        </w:sectPr>
      </w:pPr>
    </w:p>
    <w:p>
      <w:pPr>
        <w:pStyle w:val="6"/>
        <w:rPr>
          <w:rFonts w:ascii="Symbol" w:hAnsi="Symbol"/>
          <w:i/>
          <w:sz w:val="16"/>
        </w:rPr>
      </w:pPr>
    </w:p>
    <w:p>
      <w:pPr>
        <w:spacing w:after="0"/>
        <w:rPr>
          <w:rFonts w:ascii="Symbol" w:hAnsi="Symbol"/>
          <w:sz w:val="16"/>
        </w:rPr>
        <w:sectPr>
          <w:type w:val="continuous"/>
          <w:pgSz w:w="11910" w:h="16840"/>
          <w:pgMar w:top="1580" w:right="1300" w:bottom="280" w:left="1300" w:header="720" w:footer="720" w:gutter="0"/>
        </w:sectPr>
      </w:pPr>
    </w:p>
    <w:p>
      <w:pPr>
        <w:pStyle w:val="6"/>
        <w:spacing w:before="67"/>
        <w:ind w:left="931"/>
      </w:pPr>
      <w:r>
        <w:t>③地表曲率</w:t>
      </w:r>
    </w:p>
    <w:p>
      <w:pPr>
        <w:pStyle w:val="6"/>
        <w:spacing w:before="4"/>
        <w:rPr>
          <w:sz w:val="43"/>
        </w:rPr>
      </w:pPr>
      <w:r>
        <w:br w:type="column"/>
      </w:r>
    </w:p>
    <w:p>
      <w:pPr>
        <w:spacing w:before="0" w:line="124" w:lineRule="exact"/>
        <w:ind w:left="931" w:right="0" w:firstLine="0"/>
        <w:jc w:val="left"/>
        <w:rPr>
          <w:rFonts w:ascii="Times New Roman" w:hAnsi="Times New Roman"/>
          <w:sz w:val="14"/>
        </w:rPr>
      </w:pPr>
      <w:r>
        <w:rPr>
          <w:rFonts w:ascii="Times New Roman" w:hAnsi="Times New Roman"/>
          <w:sz w:val="24"/>
        </w:rPr>
        <w:t>2</w:t>
      </w:r>
      <w:r>
        <w:rPr>
          <w:rFonts w:ascii="Symbol" w:hAnsi="Symbol"/>
          <w:i/>
          <w:sz w:val="25"/>
        </w:rPr>
        <w:t></w:t>
      </w:r>
      <w:r>
        <w:rPr>
          <w:rFonts w:ascii="Times New Roman" w:hAnsi="Times New Roman"/>
          <w:i/>
          <w:sz w:val="25"/>
        </w:rPr>
        <w:t xml:space="preserve"> </w:t>
      </w:r>
      <w:r>
        <w:rPr>
          <w:rFonts w:ascii="Times New Roman" w:hAnsi="Times New Roman"/>
          <w:sz w:val="24"/>
        </w:rPr>
        <w:t>2</w:t>
      </w:r>
      <w:r>
        <w:rPr>
          <w:rFonts w:ascii="Symbol" w:hAnsi="Symbol"/>
          <w:i/>
          <w:sz w:val="25"/>
        </w:rPr>
        <w:t></w:t>
      </w:r>
      <w:r>
        <w:rPr>
          <w:rFonts w:ascii="Times New Roman" w:hAnsi="Times New Roman"/>
          <w:sz w:val="24"/>
        </w:rPr>
        <w:t>(</w:t>
      </w:r>
      <w:r>
        <w:rPr>
          <w:rFonts w:ascii="Symbol" w:hAnsi="Symbol"/>
          <w:i/>
          <w:sz w:val="25"/>
        </w:rPr>
        <w:t></w:t>
      </w:r>
      <w:r>
        <w:rPr>
          <w:rFonts w:ascii="Symbol" w:hAnsi="Symbol"/>
          <w:sz w:val="24"/>
        </w:rPr>
        <w:t></w:t>
      </w:r>
      <w:r>
        <w:rPr>
          <w:rFonts w:ascii="Times New Roman" w:hAnsi="Times New Roman"/>
          <w:sz w:val="24"/>
        </w:rPr>
        <w:t xml:space="preserve"> </w:t>
      </w:r>
      <w:r>
        <w:rPr>
          <w:rFonts w:ascii="Times New Roman" w:hAnsi="Times New Roman"/>
          <w:i/>
          <w:sz w:val="24"/>
        </w:rPr>
        <w:t>x</w:t>
      </w:r>
      <w:r>
        <w:rPr>
          <w:rFonts w:ascii="Times New Roman" w:hAnsi="Times New Roman"/>
          <w:sz w:val="24"/>
        </w:rPr>
        <w:t>)</w:t>
      </w:r>
      <w:r>
        <w:rPr>
          <w:rFonts w:ascii="Times New Roman" w:hAnsi="Times New Roman"/>
          <w:position w:val="11"/>
          <w:sz w:val="14"/>
        </w:rPr>
        <w:t>2</w:t>
      </w:r>
    </w:p>
    <w:p>
      <w:pPr>
        <w:pStyle w:val="6"/>
        <w:rPr>
          <w:rFonts w:ascii="Times New Roman"/>
          <w:sz w:val="28"/>
        </w:rPr>
      </w:pPr>
      <w:r>
        <w:br w:type="column"/>
      </w:r>
    </w:p>
    <w:p>
      <w:pPr>
        <w:spacing w:before="193" w:line="164" w:lineRule="exact"/>
        <w:ind w:left="565" w:right="0" w:firstLine="0"/>
        <w:jc w:val="left"/>
        <w:rPr>
          <w:rFonts w:ascii="Times New Roman" w:hAnsi="Times New Roman"/>
          <w:sz w:val="14"/>
        </w:rPr>
      </w:pPr>
      <w:r>
        <w:rPr>
          <w:rFonts w:ascii="Symbol" w:hAnsi="Symbol"/>
          <w:position w:val="-8"/>
          <w:sz w:val="14"/>
        </w:rPr>
        <w:t></w:t>
      </w:r>
      <w:r>
        <w:rPr>
          <w:rFonts w:ascii="Symbol" w:hAnsi="Symbol"/>
          <w:i/>
          <w:position w:val="-8"/>
          <w:sz w:val="15"/>
        </w:rPr>
        <w:t></w:t>
      </w:r>
      <w:r>
        <w:rPr>
          <w:rFonts w:ascii="Times New Roman" w:hAnsi="Times New Roman"/>
          <w:sz w:val="14"/>
        </w:rPr>
        <w:t>(</w:t>
      </w:r>
      <w:r>
        <w:rPr>
          <w:rFonts w:ascii="Symbol" w:hAnsi="Symbol"/>
          <w:i/>
          <w:sz w:val="15"/>
        </w:rPr>
        <w:t></w:t>
      </w:r>
      <w:r>
        <w:rPr>
          <w:rFonts w:ascii="Symbol" w:hAnsi="Symbol"/>
          <w:sz w:val="14"/>
        </w:rPr>
        <w:t></w:t>
      </w:r>
      <w:r>
        <w:rPr>
          <w:rFonts w:ascii="Times New Roman" w:hAnsi="Times New Roman"/>
          <w:i/>
          <w:sz w:val="14"/>
        </w:rPr>
        <w:t xml:space="preserve">x </w:t>
      </w:r>
      <w:r>
        <w:rPr>
          <w:rFonts w:ascii="Times New Roman" w:hAnsi="Times New Roman"/>
          <w:sz w:val="14"/>
        </w:rPr>
        <w:t>)</w:t>
      </w:r>
      <w:r>
        <w:rPr>
          <w:rFonts w:ascii="Times New Roman" w:hAnsi="Times New Roman"/>
          <w:sz w:val="14"/>
          <w:vertAlign w:val="superscript"/>
        </w:rPr>
        <w:t>2</w:t>
      </w:r>
      <w:r>
        <w:rPr>
          <w:rFonts w:ascii="Times New Roman" w:hAnsi="Times New Roman"/>
          <w:sz w:val="14"/>
          <w:vertAlign w:val="baseline"/>
        </w:rPr>
        <w:t xml:space="preserve"> </w:t>
      </w:r>
      <w:r>
        <w:rPr>
          <w:rFonts w:ascii="Symbol" w:hAnsi="Symbol"/>
          <w:sz w:val="14"/>
          <w:vertAlign w:val="baseline"/>
        </w:rPr>
        <w:t></w:t>
      </w:r>
      <w:r>
        <w:rPr>
          <w:rFonts w:ascii="Times New Roman" w:hAnsi="Times New Roman"/>
          <w:sz w:val="14"/>
          <w:vertAlign w:val="baseline"/>
        </w:rPr>
        <w:t>(</w:t>
      </w:r>
      <w:r>
        <w:rPr>
          <w:rFonts w:ascii="Symbol" w:hAnsi="Symbol"/>
          <w:i/>
          <w:sz w:val="15"/>
          <w:vertAlign w:val="baseline"/>
        </w:rPr>
        <w:t></w:t>
      </w:r>
      <w:r>
        <w:rPr>
          <w:rFonts w:ascii="Symbol" w:hAnsi="Symbol"/>
          <w:sz w:val="14"/>
          <w:vertAlign w:val="baseline"/>
        </w:rPr>
        <w:t></w:t>
      </w:r>
      <w:r>
        <w:rPr>
          <w:rFonts w:ascii="Times New Roman" w:hAnsi="Times New Roman"/>
          <w:sz w:val="14"/>
          <w:vertAlign w:val="baseline"/>
        </w:rPr>
        <w:t xml:space="preserve"> </w:t>
      </w:r>
      <w:r>
        <w:rPr>
          <w:rFonts w:ascii="Times New Roman" w:hAnsi="Times New Roman"/>
          <w:i/>
          <w:sz w:val="14"/>
          <w:vertAlign w:val="baseline"/>
        </w:rPr>
        <w:t xml:space="preserve">y </w:t>
      </w:r>
      <w:r>
        <w:rPr>
          <w:rFonts w:ascii="Times New Roman" w:hAnsi="Times New Roman"/>
          <w:sz w:val="14"/>
          <w:vertAlign w:val="baseline"/>
        </w:rPr>
        <w:t>)</w:t>
      </w:r>
      <w:r>
        <w:rPr>
          <w:rFonts w:ascii="Times New Roman" w:hAnsi="Times New Roman"/>
          <w:sz w:val="14"/>
          <w:vertAlign w:val="superscript"/>
        </w:rPr>
        <w:t>2</w:t>
      </w:r>
    </w:p>
    <w:p>
      <w:pPr>
        <w:pStyle w:val="6"/>
        <w:spacing w:before="5"/>
        <w:rPr>
          <w:rFonts w:ascii="Times New Roman"/>
          <w:sz w:val="3"/>
        </w:rPr>
      </w:pPr>
    </w:p>
    <w:p>
      <w:pPr>
        <w:pStyle w:val="6"/>
        <w:spacing w:line="20" w:lineRule="exact"/>
        <w:ind w:left="741"/>
        <w:rPr>
          <w:rFonts w:ascii="Times New Roman"/>
          <w:sz w:val="2"/>
        </w:rPr>
      </w:pPr>
      <w:r>
        <w:rPr>
          <w:rFonts w:ascii="Times New Roman"/>
          <w:sz w:val="2"/>
        </w:rPr>
        <mc:AlternateContent>
          <mc:Choice Requires="wpg">
            <w:drawing>
              <wp:inline distT="0" distB="0" distL="114300" distR="114300">
                <wp:extent cx="610870" cy="3810"/>
                <wp:effectExtent l="0" t="0" r="0" b="0"/>
                <wp:docPr id="128" name="组合 99"/>
                <wp:cNvGraphicFramePr/>
                <a:graphic xmlns:a="http://schemas.openxmlformats.org/drawingml/2006/main">
                  <a:graphicData uri="http://schemas.microsoft.com/office/word/2010/wordprocessingGroup">
                    <wpg:wgp>
                      <wpg:cNvGrpSpPr/>
                      <wpg:grpSpPr>
                        <a:xfrm>
                          <a:off x="0" y="0"/>
                          <a:ext cx="610870" cy="3810"/>
                          <a:chOff x="0" y="0"/>
                          <a:chExt cx="962" cy="6"/>
                        </a:xfrm>
                      </wpg:grpSpPr>
                      <wps:wsp>
                        <wps:cNvPr id="127" name="直线 100"/>
                        <wps:cNvSpPr/>
                        <wps:spPr>
                          <a:xfrm>
                            <a:off x="0" y="3"/>
                            <a:ext cx="961" cy="0"/>
                          </a:xfrm>
                          <a:prstGeom prst="line">
                            <a:avLst/>
                          </a:prstGeom>
                          <a:ln w="3226" cap="flat" cmpd="sng">
                            <a:solidFill>
                              <a:srgbClr val="000000"/>
                            </a:solidFill>
                            <a:prstDash val="solid"/>
                            <a:headEnd type="none" w="med" len="med"/>
                            <a:tailEnd type="none" w="med" len="med"/>
                          </a:ln>
                        </wps:spPr>
                        <wps:bodyPr upright="1"/>
                      </wps:wsp>
                    </wpg:wgp>
                  </a:graphicData>
                </a:graphic>
              </wp:inline>
            </w:drawing>
          </mc:Choice>
          <mc:Fallback>
            <w:pict>
              <v:group id="组合 99" o:spid="_x0000_s1026" o:spt="203" style="height:0.3pt;width:48.1pt;" coordsize="962,6" o:gfxdata="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Eovf/TAAAAAQEAAA8AAAAAAAAAAQAgAAAAIgAAAGRycy9kb3ducmV2LnhtbFBLAQIU&#10;ABQAAAAIAIdO4kBDW/ghMQIAALMEAAAOAAAAAAAAAAEAIAAAACIBAABkcnMvZTJvRG9jLnhtbFBL&#10;BQYAAAAABgAGAFkBAADFBQAAAAA=&#10;">
                <o:lock v:ext="edit" aspectratio="f"/>
                <v:line id="直线 100" o:spid="_x0000_s1026" o:spt="20" style="position:absolute;left:0;top:3;height:0;width:961;" filled="f" stroked="t" coordsize="21600,21600" o:gfxdata="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TQZr4A&#10;AADcAAAADwAAAAAAAAABACAAAAAiAAAAZHJzL2Rvd25yZXYueG1sUEsBAhQAFAAAAAgAh07iQDMv&#10;BZ47AAAAOQAAABAAAAAAAAAAAQAgAAAADQEAAGRycy9zaGFwZXhtbC54bWxQSwUGAAAAAAYABgBb&#10;AQAAtwMAAAAA&#10;">
                  <v:fill on="f" focussize="0,0"/>
                  <v:stroke weight="0.254015748031496pt" color="#000000" joinstyle="round"/>
                  <v:imagedata o:title=""/>
                  <o:lock v:ext="edit" aspectratio="f"/>
                </v:line>
                <w10:wrap type="none"/>
                <w10:anchorlock/>
              </v:group>
            </w:pict>
          </mc:Fallback>
        </mc:AlternateContent>
      </w:r>
    </w:p>
    <w:p>
      <w:pPr>
        <w:spacing w:after="0" w:line="20" w:lineRule="exact"/>
        <w:rPr>
          <w:rFonts w:ascii="Times New Roman"/>
          <w:sz w:val="2"/>
        </w:rPr>
        <w:sectPr>
          <w:type w:val="continuous"/>
          <w:pgSz w:w="11910" w:h="16840"/>
          <w:pgMar w:top="1580" w:right="1300" w:bottom="280" w:left="1300" w:header="720" w:footer="720" w:gutter="0"/>
          <w:cols w:equalWidth="0" w:num="3">
            <w:col w:w="2173" w:space="666"/>
            <w:col w:w="2317" w:space="39"/>
            <w:col w:w="4115"/>
          </w:cols>
        </w:sectPr>
      </w:pPr>
    </w:p>
    <w:p>
      <w:pPr>
        <w:spacing w:before="0" w:line="178" w:lineRule="exact"/>
        <w:ind w:left="0" w:right="0" w:firstLine="0"/>
        <w:jc w:val="right"/>
        <w:rPr>
          <w:rFonts w:ascii="Times New Roman"/>
          <w:sz w:val="14"/>
        </w:rPr>
      </w:pPr>
      <w:r>
        <w:rPr>
          <w:rFonts w:ascii="Times New Roman"/>
          <w:i/>
          <w:sz w:val="14"/>
        </w:rPr>
        <w:t xml:space="preserve">X </w:t>
      </w:r>
      <w:r>
        <w:rPr>
          <w:rFonts w:ascii="Times New Roman"/>
          <w:sz w:val="14"/>
        </w:rPr>
        <w:t xml:space="preserve">( </w:t>
      </w:r>
      <w:r>
        <w:rPr>
          <w:rFonts w:ascii="Times New Roman"/>
          <w:i/>
          <w:sz w:val="14"/>
        </w:rPr>
        <w:t>x</w:t>
      </w:r>
      <w:r>
        <w:rPr>
          <w:rFonts w:ascii="Times New Roman"/>
          <w:sz w:val="14"/>
        </w:rPr>
        <w:t xml:space="preserve">, </w:t>
      </w:r>
      <w:r>
        <w:rPr>
          <w:rFonts w:ascii="Times New Roman"/>
          <w:i/>
          <w:sz w:val="14"/>
        </w:rPr>
        <w:t xml:space="preserve">y </w:t>
      </w:r>
      <w:r>
        <w:rPr>
          <w:rFonts w:ascii="Times New Roman"/>
          <w:sz w:val="14"/>
        </w:rPr>
        <w:t>)</w:t>
      </w:r>
    </w:p>
    <w:p>
      <w:pPr>
        <w:spacing w:before="0" w:line="178" w:lineRule="exact"/>
        <w:ind w:left="385" w:right="0" w:firstLine="0"/>
        <w:jc w:val="left"/>
        <w:rPr>
          <w:rFonts w:ascii="Times New Roman"/>
          <w:sz w:val="14"/>
        </w:rPr>
      </w:pPr>
      <w:r>
        <w:br w:type="column"/>
      </w:r>
      <w:r>
        <w:rPr>
          <w:rFonts w:ascii="Times New Roman"/>
          <w:sz w:val="14"/>
        </w:rPr>
        <w:t>max</w:t>
      </w:r>
    </w:p>
    <w:p>
      <w:pPr>
        <w:tabs>
          <w:tab w:val="left" w:pos="1114"/>
        </w:tabs>
        <w:spacing w:before="0" w:line="24" w:lineRule="exact"/>
        <w:ind w:left="78" w:right="0" w:firstLine="0"/>
        <w:jc w:val="left"/>
        <w:rPr>
          <w:rFonts w:ascii="Times New Roman" w:hAnsi="Times New Roman"/>
          <w:sz w:val="14"/>
        </w:rPr>
      </w:pPr>
      <w:r>
        <w:br w:type="column"/>
      </w:r>
      <w:r>
        <w:rPr>
          <w:rFonts w:ascii="Symbol" w:hAnsi="Symbol"/>
          <w:sz w:val="37"/>
        </w:rPr>
        <w:t></w:t>
      </w:r>
      <w:r>
        <w:rPr>
          <w:rFonts w:ascii="Times New Roman" w:hAnsi="Times New Roman"/>
          <w:spacing w:val="-31"/>
          <w:sz w:val="37"/>
        </w:rPr>
        <w:t xml:space="preserve"> </w:t>
      </w:r>
      <w:r>
        <w:rPr>
          <w:rFonts w:ascii="Times New Roman" w:hAnsi="Times New Roman"/>
          <w:i/>
          <w:spacing w:val="9"/>
          <w:position w:val="-9"/>
          <w:sz w:val="24"/>
        </w:rPr>
        <w:t>r</w:t>
      </w:r>
      <w:r>
        <w:rPr>
          <w:rFonts w:ascii="Times New Roman" w:hAnsi="Times New Roman"/>
          <w:spacing w:val="9"/>
          <w:position w:val="1"/>
          <w:sz w:val="14"/>
        </w:rPr>
        <w:t>2</w:t>
      </w:r>
      <w:r>
        <w:rPr>
          <w:rFonts w:ascii="Times New Roman" w:hAnsi="Times New Roman"/>
          <w:spacing w:val="9"/>
          <w:position w:val="1"/>
          <w:sz w:val="14"/>
        </w:rPr>
        <w:tab/>
      </w:r>
      <w:r>
        <w:rPr>
          <w:rFonts w:ascii="Times New Roman" w:hAnsi="Times New Roman"/>
          <w:i/>
          <w:spacing w:val="9"/>
          <w:position w:val="-9"/>
          <w:sz w:val="24"/>
        </w:rPr>
        <w:t>r</w:t>
      </w:r>
      <w:r>
        <w:rPr>
          <w:rFonts w:ascii="Times New Roman" w:hAnsi="Times New Roman"/>
          <w:spacing w:val="9"/>
          <w:position w:val="1"/>
          <w:sz w:val="14"/>
        </w:rPr>
        <w:t>2</w:t>
      </w:r>
    </w:p>
    <w:p>
      <w:pPr>
        <w:pStyle w:val="6"/>
        <w:spacing w:before="3"/>
        <w:rPr>
          <w:rFonts w:ascii="Times New Roman"/>
          <w:sz w:val="11"/>
        </w:rPr>
      </w:pPr>
    </w:p>
    <w:p>
      <w:pPr>
        <w:pStyle w:val="6"/>
        <w:spacing w:line="20" w:lineRule="exact"/>
        <w:ind w:left="290"/>
        <w:rPr>
          <w:rFonts w:ascii="Times New Roman"/>
          <w:sz w:val="2"/>
        </w:rPr>
      </w:pPr>
      <w:r>
        <w:rPr>
          <w:rFonts w:ascii="Times New Roman"/>
          <w:sz w:val="2"/>
        </w:rPr>
        <mc:AlternateContent>
          <mc:Choice Requires="wpg">
            <w:drawing>
              <wp:inline distT="0" distB="0" distL="114300" distR="114300">
                <wp:extent cx="192405" cy="6985"/>
                <wp:effectExtent l="0" t="0" r="0" b="0"/>
                <wp:docPr id="126" name="组合 101"/>
                <wp:cNvGraphicFramePr/>
                <a:graphic xmlns:a="http://schemas.openxmlformats.org/drawingml/2006/main">
                  <a:graphicData uri="http://schemas.microsoft.com/office/word/2010/wordprocessingGroup">
                    <wpg:wgp>
                      <wpg:cNvGrpSpPr/>
                      <wpg:grpSpPr>
                        <a:xfrm>
                          <a:off x="0" y="0"/>
                          <a:ext cx="192405" cy="6985"/>
                          <a:chOff x="0" y="0"/>
                          <a:chExt cx="303" cy="11"/>
                        </a:xfrm>
                      </wpg:grpSpPr>
                      <wps:wsp>
                        <wps:cNvPr id="125" name="直线 102"/>
                        <wps:cNvSpPr/>
                        <wps:spPr>
                          <a:xfrm>
                            <a:off x="0" y="5"/>
                            <a:ext cx="302" cy="0"/>
                          </a:xfrm>
                          <a:prstGeom prst="line">
                            <a:avLst/>
                          </a:prstGeom>
                          <a:ln w="6439" cap="flat" cmpd="sng">
                            <a:solidFill>
                              <a:srgbClr val="000000"/>
                            </a:solidFill>
                            <a:prstDash val="solid"/>
                            <a:headEnd type="none" w="med" len="med"/>
                            <a:tailEnd type="none" w="med" len="med"/>
                          </a:ln>
                        </wps:spPr>
                        <wps:bodyPr upright="1"/>
                      </wps:wsp>
                    </wpg:wgp>
                  </a:graphicData>
                </a:graphic>
              </wp:inline>
            </w:drawing>
          </mc:Choice>
          <mc:Fallback>
            <w:pict>
              <v:group id="组合 101" o:spid="_x0000_s1026" o:spt="203" style="height:0.55pt;width:15.15pt;" coordsize="303,11" o:gfxdata="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GgNhHSAAAAAgEAAA8AAAAAAAAAAQAgAAAAIgAAAGRycy9kb3ducmV2LnhtbFBL&#10;AQIUABQAAAAIAIdO4kDHU7uoNQIAALUEAAAOAAAAAAAAAAEAIAAAACEBAABkcnMvZTJvRG9jLnht&#10;bFBLBQYAAAAABgAGAFkBAADIBQAAAAA=&#10;">
                <o:lock v:ext="edit" aspectratio="f"/>
                <v:line id="直线 102" o:spid="_x0000_s1026" o:spt="20" style="position:absolute;left:0;top:5;height:0;width:302;" filled="f" stroked="t" coordsize="21600,21600" o:gfxdata="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4Fa/q8AAAA&#10;3AAAAA8AAAAAAAAAAQAgAAAAIgAAAGRycy9kb3ducmV2LnhtbFBLAQIUABQAAAAIAIdO4kAzLwWe&#10;OwAAADkAAAAQAAAAAAAAAAEAIAAAAAsBAABkcnMvc2hhcGV4bWwueG1sUEsFBgAAAAAGAAYAWwEA&#10;ALUDAAAAAA==&#10;">
                  <v:fill on="f" focussize="0,0"/>
                  <v:stroke weight="0.507007874015748pt" color="#000000" joinstyle="round"/>
                  <v:imagedata o:title=""/>
                  <o:lock v:ext="edit" aspectratio="f"/>
                </v:line>
                <w10:wrap type="none"/>
                <w10:anchorlock/>
              </v:group>
            </w:pict>
          </mc:Fallback>
        </mc:AlternateContent>
      </w:r>
      <w:r>
        <w:rPr>
          <w:rFonts w:ascii="Times New Roman"/>
          <w:spacing w:val="78"/>
          <w:sz w:val="2"/>
        </w:rPr>
        <w:t xml:space="preserve"> </w:t>
      </w:r>
      <w:r>
        <w:rPr>
          <w:rFonts w:ascii="Times New Roman"/>
          <w:spacing w:val="78"/>
          <w:sz w:val="2"/>
        </w:rPr>
        <mc:AlternateContent>
          <mc:Choice Requires="wpg">
            <w:drawing>
              <wp:inline distT="0" distB="0" distL="114300" distR="114300">
                <wp:extent cx="655320" cy="6985"/>
                <wp:effectExtent l="0" t="0" r="0" b="0"/>
                <wp:docPr id="120" name="组合 103"/>
                <wp:cNvGraphicFramePr/>
                <a:graphic xmlns:a="http://schemas.openxmlformats.org/drawingml/2006/main">
                  <a:graphicData uri="http://schemas.microsoft.com/office/word/2010/wordprocessingGroup">
                    <wpg:wgp>
                      <wpg:cNvGrpSpPr/>
                      <wpg:grpSpPr>
                        <a:xfrm>
                          <a:off x="0" y="0"/>
                          <a:ext cx="655320" cy="6985"/>
                          <a:chOff x="0" y="0"/>
                          <a:chExt cx="1032" cy="11"/>
                        </a:xfrm>
                      </wpg:grpSpPr>
                      <wps:wsp>
                        <wps:cNvPr id="119" name="直线 104"/>
                        <wps:cNvSpPr/>
                        <wps:spPr>
                          <a:xfrm>
                            <a:off x="0" y="5"/>
                            <a:ext cx="1031" cy="0"/>
                          </a:xfrm>
                          <a:prstGeom prst="line">
                            <a:avLst/>
                          </a:prstGeom>
                          <a:ln w="6439" cap="flat" cmpd="sng">
                            <a:solidFill>
                              <a:srgbClr val="000000"/>
                            </a:solidFill>
                            <a:prstDash val="solid"/>
                            <a:headEnd type="none" w="med" len="med"/>
                            <a:tailEnd type="none" w="med" len="med"/>
                          </a:ln>
                        </wps:spPr>
                        <wps:bodyPr upright="1"/>
                      </wps:wsp>
                    </wpg:wgp>
                  </a:graphicData>
                </a:graphic>
              </wp:inline>
            </w:drawing>
          </mc:Choice>
          <mc:Fallback>
            <w:pict>
              <v:group id="组合 103" o:spid="_x0000_s1026" o:spt="203" style="height:0.55pt;width:51.6pt;" coordsize="1032,11" o:gfxdata="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lG++R0wAAAAMBAAAPAAAAAAAAAAEAIAAAACIAAABkcnMvZG93bnJldi54bWxQSwEC&#10;FAAUAAAACACHTuJAwqDHAjICAAC3BAAADgAAAAAAAAABACAAAAAiAQAAZHJzL2Uyb0RvYy54bWxQ&#10;SwUGAAAAAAYABgBZAQAAxgUAAAAA&#10;">
                <o:lock v:ext="edit" aspectratio="f"/>
                <v:line id="直线 104" o:spid="_x0000_s1026" o:spt="20" style="position:absolute;left:0;top:5;height:0;width:1031;" filled="f" stroked="t" coordsize="21600,21600" o:gfxdata="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kq0K8AAAA&#10;3AAAAA8AAAAAAAAAAQAgAAAAIgAAAGRycy9kb3ducmV2LnhtbFBLAQIUABQAAAAIAIdO4kAzLwWe&#10;OwAAADkAAAAQAAAAAAAAAAEAIAAAAAsBAABkcnMvc2hhcGV4bWwueG1sUEsFBgAAAAAGAAYAWwEA&#10;ALUDAAAAAA==&#10;">
                  <v:fill on="f" focussize="0,0"/>
                  <v:stroke weight="0.507007874015748pt" color="#000000" joinstyle="round"/>
                  <v:imagedata o:title=""/>
                  <o:lock v:ext="edit" aspectratio="f"/>
                </v:line>
                <w10:wrap type="none"/>
                <w10:anchorlock/>
              </v:group>
            </w:pict>
          </mc:Fallback>
        </mc:AlternateContent>
      </w:r>
    </w:p>
    <w:p>
      <w:pPr>
        <w:spacing w:after="0" w:line="20" w:lineRule="exact"/>
        <w:rPr>
          <w:rFonts w:ascii="Times New Roman"/>
          <w:sz w:val="2"/>
        </w:rPr>
        <w:sectPr>
          <w:type w:val="continuous"/>
          <w:pgSz w:w="11910" w:h="16840"/>
          <w:pgMar w:top="1580" w:right="1300" w:bottom="280" w:left="1300" w:header="720" w:footer="720" w:gutter="0"/>
          <w:cols w:equalWidth="0" w:num="3">
            <w:col w:w="2747" w:space="40"/>
            <w:col w:w="634" w:space="39"/>
            <w:col w:w="5850"/>
          </w:cols>
        </w:sectPr>
      </w:pPr>
    </w:p>
    <w:p>
      <w:pPr>
        <w:tabs>
          <w:tab w:val="left" w:pos="2732"/>
          <w:tab w:val="left" w:pos="3458"/>
          <w:tab w:val="left" w:pos="4068"/>
        </w:tabs>
        <w:spacing w:before="0" w:line="112" w:lineRule="exact"/>
        <w:ind w:left="2122" w:right="0" w:firstLine="0"/>
        <w:jc w:val="left"/>
        <w:rPr>
          <w:rFonts w:ascii="Times New Roman" w:hAnsi="Times New Roman"/>
          <w:sz w:val="24"/>
        </w:rPr>
      </w:pPr>
      <w:r>
        <w:rPr>
          <w:rFonts w:ascii="Times New Roman" w:hAnsi="Times New Roman"/>
          <w:i/>
          <w:sz w:val="24"/>
        </w:rPr>
        <w:t>K</w:t>
      </w:r>
      <w:r>
        <w:rPr>
          <w:rFonts w:ascii="Times New Roman" w:hAnsi="Times New Roman"/>
          <w:i/>
          <w:sz w:val="24"/>
        </w:rPr>
        <w:tab/>
      </w:r>
      <w:r>
        <w:rPr>
          <w:spacing w:val="-3"/>
          <w:sz w:val="24"/>
        </w:rPr>
        <w:t>＝</w:t>
      </w:r>
      <w:r>
        <w:rPr>
          <w:rFonts w:ascii="Times New Roman" w:hAnsi="Times New Roman"/>
          <w:i/>
          <w:spacing w:val="-3"/>
          <w:sz w:val="24"/>
        </w:rPr>
        <w:t>W</w:t>
      </w:r>
      <w:r>
        <w:rPr>
          <w:rFonts w:ascii="Times New Roman" w:hAnsi="Times New Roman"/>
          <w:i/>
          <w:spacing w:val="-3"/>
          <w:sz w:val="24"/>
        </w:rPr>
        <w:tab/>
      </w:r>
      <w:r>
        <w:rPr>
          <w:rFonts w:ascii="Symbol" w:hAnsi="Symbol"/>
          <w:sz w:val="24"/>
        </w:rPr>
        <w:t></w:t>
      </w:r>
      <w:r>
        <w:rPr>
          <w:rFonts w:ascii="Times New Roman" w:hAnsi="Times New Roman"/>
          <w:sz w:val="24"/>
        </w:rPr>
        <w:tab/>
      </w:r>
      <w:r>
        <w:rPr>
          <w:rFonts w:ascii="Times New Roman" w:hAnsi="Times New Roman"/>
          <w:spacing w:val="-20"/>
          <w:sz w:val="24"/>
        </w:rPr>
        <w:t>(</w:t>
      </w:r>
    </w:p>
    <w:p>
      <w:pPr>
        <w:spacing w:before="71"/>
        <w:ind w:left="0" w:right="459" w:firstLine="0"/>
        <w:jc w:val="right"/>
        <w:rPr>
          <w:rFonts w:ascii="Times New Roman"/>
          <w:i/>
          <w:sz w:val="14"/>
        </w:rPr>
      </w:pPr>
      <w:r>
        <w:rPr>
          <w:rFonts w:ascii="Times New Roman"/>
          <w:i/>
          <w:w w:val="102"/>
          <w:sz w:val="14"/>
        </w:rPr>
        <w:t>D</w:t>
      </w:r>
    </w:p>
    <w:p>
      <w:pPr>
        <w:spacing w:before="0" w:line="97" w:lineRule="exact"/>
        <w:ind w:left="1037" w:right="0" w:firstLine="0"/>
        <w:jc w:val="left"/>
        <w:rPr>
          <w:rFonts w:ascii="Times New Roman" w:hAnsi="Times New Roman"/>
          <w:i/>
          <w:sz w:val="24"/>
        </w:rPr>
      </w:pPr>
      <w:r>
        <w:br w:type="column"/>
      </w:r>
      <w:r>
        <w:rPr>
          <w:rFonts w:ascii="Symbol" w:hAnsi="Symbol"/>
          <w:sz w:val="24"/>
        </w:rPr>
        <w:t></w:t>
      </w:r>
      <w:r>
        <w:rPr>
          <w:rFonts w:ascii="Times New Roman" w:hAnsi="Times New Roman"/>
          <w:sz w:val="24"/>
        </w:rPr>
        <w:t>1)</w:t>
      </w:r>
      <w:r>
        <w:rPr>
          <w:rFonts w:ascii="Symbol" w:hAnsi="Symbol"/>
          <w:sz w:val="24"/>
        </w:rPr>
        <w:t></w:t>
      </w:r>
      <w:r>
        <w:rPr>
          <w:rFonts w:ascii="Times New Roman" w:hAnsi="Times New Roman"/>
          <w:i/>
          <w:sz w:val="24"/>
        </w:rPr>
        <w:t>e</w:t>
      </w:r>
    </w:p>
    <w:p>
      <w:pPr>
        <w:tabs>
          <w:tab w:val="left" w:pos="1160"/>
        </w:tabs>
        <w:spacing w:before="0" w:line="100" w:lineRule="exact"/>
        <w:ind w:left="571" w:right="0" w:firstLine="0"/>
        <w:jc w:val="left"/>
        <w:rPr>
          <w:rFonts w:ascii="Symbol" w:hAnsi="Symbol"/>
          <w:i/>
          <w:sz w:val="25"/>
        </w:rPr>
      </w:pPr>
      <w:r>
        <w:br w:type="column"/>
      </w:r>
      <w:r>
        <w:rPr>
          <w:rFonts w:ascii="Times New Roman" w:hAnsi="Times New Roman"/>
          <w:i/>
          <w:spacing w:val="4"/>
          <w:position w:val="8"/>
          <w:sz w:val="14"/>
        </w:rPr>
        <w:t>r</w:t>
      </w:r>
      <w:r>
        <w:rPr>
          <w:rFonts w:ascii="Times New Roman" w:hAnsi="Times New Roman"/>
          <w:spacing w:val="4"/>
          <w:position w:val="14"/>
          <w:sz w:val="10"/>
        </w:rPr>
        <w:t>2</w:t>
      </w:r>
      <w:r>
        <w:rPr>
          <w:rFonts w:ascii="Times New Roman" w:hAnsi="Times New Roman"/>
          <w:spacing w:val="4"/>
          <w:position w:val="14"/>
          <w:sz w:val="10"/>
        </w:rPr>
        <w:tab/>
      </w:r>
      <w:r>
        <w:rPr>
          <w:rFonts w:ascii="Symbol" w:hAnsi="Symbol"/>
          <w:spacing w:val="-12"/>
          <w:sz w:val="24"/>
        </w:rPr>
        <w:t></w:t>
      </w:r>
      <w:r>
        <w:rPr>
          <w:rFonts w:ascii="Times New Roman" w:hAnsi="Times New Roman"/>
          <w:i/>
          <w:spacing w:val="-12"/>
          <w:sz w:val="24"/>
        </w:rPr>
        <w:t>d</w:t>
      </w:r>
      <w:r>
        <w:rPr>
          <w:rFonts w:ascii="Symbol" w:hAnsi="Symbol"/>
          <w:i/>
          <w:spacing w:val="-12"/>
          <w:sz w:val="25"/>
        </w:rPr>
        <w:t></w:t>
      </w:r>
      <w:r>
        <w:rPr>
          <w:rFonts w:ascii="Symbol" w:hAnsi="Symbol"/>
          <w:spacing w:val="-12"/>
          <w:sz w:val="24"/>
        </w:rPr>
        <w:t></w:t>
      </w:r>
      <w:r>
        <w:rPr>
          <w:rFonts w:ascii="Times New Roman" w:hAnsi="Times New Roman"/>
          <w:i/>
          <w:spacing w:val="-12"/>
          <w:sz w:val="24"/>
        </w:rPr>
        <w:t>d</w:t>
      </w:r>
      <w:r>
        <w:rPr>
          <w:rFonts w:ascii="Symbol" w:hAnsi="Symbol"/>
          <w:i/>
          <w:spacing w:val="-12"/>
          <w:sz w:val="25"/>
        </w:rPr>
        <w:t></w:t>
      </w:r>
    </w:p>
    <w:p>
      <w:pPr>
        <w:spacing w:after="0" w:line="100" w:lineRule="exact"/>
        <w:jc w:val="left"/>
        <w:rPr>
          <w:rFonts w:ascii="Symbol" w:hAnsi="Symbol"/>
          <w:sz w:val="25"/>
        </w:rPr>
        <w:sectPr>
          <w:type w:val="continuous"/>
          <w:pgSz w:w="11910" w:h="16840"/>
          <w:pgMar w:top="1580" w:right="1300" w:bottom="280" w:left="1300" w:header="720" w:footer="720" w:gutter="0"/>
          <w:cols w:equalWidth="0" w:num="3">
            <w:col w:w="4151" w:space="40"/>
            <w:col w:w="1558" w:space="39"/>
            <w:col w:w="3522"/>
          </w:cols>
        </w:sectPr>
      </w:pPr>
    </w:p>
    <w:p>
      <w:pPr>
        <w:pStyle w:val="6"/>
        <w:rPr>
          <w:rFonts w:ascii="Symbol" w:hAnsi="Symbol"/>
          <w:i/>
          <w:sz w:val="16"/>
        </w:rPr>
      </w:pPr>
    </w:p>
    <w:p>
      <w:pPr>
        <w:spacing w:after="0"/>
        <w:rPr>
          <w:rFonts w:ascii="Symbol" w:hAnsi="Symbol"/>
          <w:sz w:val="16"/>
        </w:rPr>
        <w:sectPr>
          <w:type w:val="continuous"/>
          <w:pgSz w:w="11910" w:h="16840"/>
          <w:pgMar w:top="1580" w:right="1300" w:bottom="280" w:left="1300" w:header="720" w:footer="720" w:gutter="0"/>
        </w:sectPr>
      </w:pPr>
    </w:p>
    <w:p>
      <w:pPr>
        <w:pStyle w:val="6"/>
        <w:spacing w:before="67"/>
        <w:ind w:left="931"/>
      </w:pPr>
      <w:r>
        <w:t>④地表水平移动</w:t>
      </w:r>
    </w:p>
    <w:p>
      <w:pPr>
        <w:pStyle w:val="6"/>
        <w:spacing w:before="4"/>
        <w:rPr>
          <w:sz w:val="28"/>
        </w:rPr>
      </w:pPr>
    </w:p>
    <w:p>
      <w:pPr>
        <w:spacing w:before="0"/>
        <w:ind w:left="0" w:right="0" w:firstLine="0"/>
        <w:jc w:val="right"/>
        <w:rPr>
          <w:rFonts w:ascii="Times New Roman"/>
          <w:i/>
          <w:sz w:val="24"/>
        </w:rPr>
      </w:pPr>
      <w:r>
        <w:rPr>
          <w:rFonts w:ascii="Times New Roman"/>
          <w:i/>
          <w:w w:val="102"/>
          <w:sz w:val="24"/>
        </w:rPr>
        <w:t>U</w:t>
      </w:r>
    </w:p>
    <w:p>
      <w:pPr>
        <w:pStyle w:val="6"/>
        <w:rPr>
          <w:rFonts w:ascii="Times New Roman"/>
          <w:i/>
          <w:sz w:val="30"/>
        </w:rPr>
      </w:pPr>
      <w:r>
        <w:br w:type="column"/>
      </w:r>
    </w:p>
    <w:p>
      <w:pPr>
        <w:pStyle w:val="6"/>
        <w:spacing w:before="10"/>
        <w:rPr>
          <w:rFonts w:ascii="Times New Roman"/>
          <w:i/>
          <w:sz w:val="32"/>
        </w:rPr>
      </w:pPr>
    </w:p>
    <w:p>
      <w:pPr>
        <w:spacing w:before="0"/>
        <w:ind w:left="-12" w:right="0" w:firstLine="0"/>
        <w:jc w:val="left"/>
        <w:rPr>
          <w:rFonts w:ascii="Times New Roman" w:eastAsia="Times New Roman"/>
          <w:i/>
          <w:sz w:val="24"/>
        </w:rPr>
      </w:pPr>
      <w:r>
        <w:rPr>
          <w:rFonts w:ascii="Times New Roman" w:eastAsia="Times New Roman"/>
          <w:i/>
          <w:sz w:val="14"/>
        </w:rPr>
        <w:t xml:space="preserve">X </w:t>
      </w:r>
      <w:r>
        <w:rPr>
          <w:rFonts w:ascii="Times New Roman" w:eastAsia="Times New Roman"/>
          <w:sz w:val="14"/>
        </w:rPr>
        <w:t>(</w:t>
      </w:r>
      <w:r>
        <w:rPr>
          <w:rFonts w:ascii="Times New Roman" w:eastAsia="Times New Roman"/>
          <w:spacing w:val="-12"/>
          <w:sz w:val="14"/>
        </w:rPr>
        <w:t xml:space="preserve"> </w:t>
      </w:r>
      <w:r>
        <w:rPr>
          <w:rFonts w:ascii="Times New Roman" w:eastAsia="Times New Roman"/>
          <w:i/>
          <w:spacing w:val="4"/>
          <w:sz w:val="14"/>
        </w:rPr>
        <w:t>x</w:t>
      </w:r>
      <w:r>
        <w:rPr>
          <w:rFonts w:ascii="Times New Roman" w:eastAsia="Times New Roman"/>
          <w:spacing w:val="4"/>
          <w:sz w:val="14"/>
        </w:rPr>
        <w:t>,</w:t>
      </w:r>
      <w:r>
        <w:rPr>
          <w:rFonts w:ascii="Times New Roman" w:eastAsia="Times New Roman"/>
          <w:spacing w:val="-16"/>
          <w:sz w:val="14"/>
        </w:rPr>
        <w:t xml:space="preserve"> </w:t>
      </w:r>
      <w:r>
        <w:rPr>
          <w:rFonts w:ascii="Times New Roman" w:eastAsia="Times New Roman"/>
          <w:i/>
          <w:sz w:val="14"/>
        </w:rPr>
        <w:t>y</w:t>
      </w:r>
      <w:r>
        <w:rPr>
          <w:rFonts w:ascii="Times New Roman" w:eastAsia="Times New Roman"/>
          <w:i/>
          <w:spacing w:val="-18"/>
          <w:sz w:val="14"/>
        </w:rPr>
        <w:t xml:space="preserve"> </w:t>
      </w:r>
      <w:r>
        <w:rPr>
          <w:rFonts w:ascii="Times New Roman" w:eastAsia="Times New Roman"/>
          <w:spacing w:val="-13"/>
          <w:sz w:val="14"/>
        </w:rPr>
        <w:t>)</w:t>
      </w:r>
      <w:r>
        <w:rPr>
          <w:spacing w:val="-13"/>
          <w:position w:val="6"/>
          <w:sz w:val="24"/>
        </w:rPr>
        <w:t>＝</w:t>
      </w:r>
      <w:r>
        <w:rPr>
          <w:rFonts w:ascii="Times New Roman" w:eastAsia="Times New Roman"/>
          <w:i/>
          <w:spacing w:val="-13"/>
          <w:position w:val="6"/>
          <w:sz w:val="24"/>
        </w:rPr>
        <w:t>U</w:t>
      </w:r>
    </w:p>
    <w:p>
      <w:pPr>
        <w:pStyle w:val="6"/>
        <w:rPr>
          <w:rFonts w:ascii="Times New Roman"/>
          <w:i/>
          <w:sz w:val="16"/>
        </w:rPr>
      </w:pPr>
      <w:r>
        <w:br w:type="column"/>
      </w:r>
    </w:p>
    <w:p>
      <w:pPr>
        <w:pStyle w:val="6"/>
        <w:rPr>
          <w:rFonts w:ascii="Times New Roman"/>
          <w:i/>
          <w:sz w:val="16"/>
        </w:rPr>
      </w:pPr>
    </w:p>
    <w:p>
      <w:pPr>
        <w:pStyle w:val="6"/>
        <w:rPr>
          <w:rFonts w:ascii="Times New Roman"/>
          <w:i/>
          <w:sz w:val="16"/>
        </w:rPr>
      </w:pPr>
    </w:p>
    <w:p>
      <w:pPr>
        <w:pStyle w:val="6"/>
        <w:rPr>
          <w:rFonts w:ascii="Times New Roman"/>
          <w:i/>
          <w:sz w:val="16"/>
        </w:rPr>
      </w:pPr>
    </w:p>
    <w:p>
      <w:pPr>
        <w:pStyle w:val="6"/>
        <w:spacing w:before="7"/>
        <w:rPr>
          <w:rFonts w:ascii="Times New Roman"/>
          <w:i/>
          <w:sz w:val="13"/>
        </w:rPr>
      </w:pPr>
    </w:p>
    <w:p>
      <w:pPr>
        <w:spacing w:before="0"/>
        <w:ind w:left="-22" w:right="0" w:firstLine="0"/>
        <w:jc w:val="left"/>
        <w:rPr>
          <w:rFonts w:ascii="Times New Roman"/>
          <w:sz w:val="14"/>
        </w:rPr>
      </w:pPr>
      <w:r>
        <w:rPr>
          <w:rFonts w:ascii="Times New Roman"/>
          <w:sz w:val="14"/>
        </w:rPr>
        <w:t>max</w:t>
      </w:r>
    </w:p>
    <w:p>
      <w:pPr>
        <w:pStyle w:val="6"/>
        <w:spacing w:before="11"/>
        <w:rPr>
          <w:rFonts w:ascii="Times New Roman"/>
          <w:sz w:val="58"/>
        </w:rPr>
      </w:pPr>
      <w:r>
        <w:br w:type="column"/>
      </w:r>
    </w:p>
    <w:p>
      <w:pPr>
        <w:spacing w:before="0" w:line="438" w:lineRule="exact"/>
        <w:ind w:left="-2" w:right="0" w:firstLine="0"/>
        <w:jc w:val="center"/>
        <w:rPr>
          <w:rFonts w:ascii="Symbol" w:hAnsi="Symbol"/>
          <w:sz w:val="37"/>
        </w:rPr>
      </w:pPr>
      <w:r>
        <w:rPr>
          <w:rFonts w:ascii="Symbol" w:hAnsi="Symbol"/>
          <w:spacing w:val="5"/>
          <w:position w:val="9"/>
          <w:sz w:val="24"/>
        </w:rPr>
        <w:t></w:t>
      </w:r>
      <w:r>
        <w:rPr>
          <w:rFonts w:ascii="Symbol" w:hAnsi="Symbol"/>
          <w:spacing w:val="5"/>
          <w:sz w:val="37"/>
        </w:rPr>
        <w:t></w:t>
      </w:r>
    </w:p>
    <w:p>
      <w:pPr>
        <w:spacing w:before="0" w:line="145" w:lineRule="exact"/>
        <w:ind w:left="73" w:right="0" w:firstLine="0"/>
        <w:jc w:val="center"/>
        <w:rPr>
          <w:rFonts w:ascii="Times New Roman"/>
          <w:i/>
          <w:sz w:val="14"/>
        </w:rPr>
      </w:pPr>
      <w:r>
        <w:rPr>
          <w:rFonts w:ascii="Times New Roman"/>
          <w:i/>
          <w:w w:val="102"/>
          <w:sz w:val="14"/>
        </w:rPr>
        <w:t>D</w:t>
      </w:r>
    </w:p>
    <w:p>
      <w:pPr>
        <w:pStyle w:val="6"/>
        <w:rPr>
          <w:rFonts w:ascii="Times New Roman"/>
          <w:i/>
          <w:sz w:val="30"/>
        </w:rPr>
      </w:pPr>
      <w:r>
        <w:br w:type="column"/>
      </w:r>
    </w:p>
    <w:p>
      <w:pPr>
        <w:spacing w:before="211"/>
        <w:ind w:left="82" w:right="93" w:firstLine="0"/>
        <w:jc w:val="center"/>
        <w:rPr>
          <w:rFonts w:ascii="Times New Roman" w:hAnsi="Times New Roman"/>
          <w:sz w:val="24"/>
        </w:rPr>
      </w:pPr>
      <w:r>
        <w:rPr>
          <w:rFonts w:ascii="Times New Roman" w:hAnsi="Times New Roman"/>
          <w:spacing w:val="-32"/>
          <w:sz w:val="24"/>
        </w:rPr>
        <w:t>2</w:t>
      </w:r>
      <w:r>
        <w:rPr>
          <w:rFonts w:ascii="Symbol" w:hAnsi="Symbol"/>
          <w:i/>
          <w:spacing w:val="-32"/>
          <w:sz w:val="25"/>
        </w:rPr>
        <w:t></w:t>
      </w:r>
      <w:r>
        <w:rPr>
          <w:rFonts w:ascii="Times New Roman" w:hAnsi="Times New Roman"/>
          <w:spacing w:val="-32"/>
          <w:sz w:val="24"/>
        </w:rPr>
        <w:t>(</w:t>
      </w:r>
      <w:r>
        <w:rPr>
          <w:rFonts w:ascii="Symbol" w:hAnsi="Symbol"/>
          <w:i/>
          <w:spacing w:val="-32"/>
          <w:sz w:val="25"/>
        </w:rPr>
        <w:t></w:t>
      </w:r>
      <w:r>
        <w:rPr>
          <w:rFonts w:ascii="Symbol" w:hAnsi="Symbol"/>
          <w:spacing w:val="-32"/>
          <w:sz w:val="24"/>
        </w:rPr>
        <w:t></w:t>
      </w:r>
      <w:r>
        <w:rPr>
          <w:rFonts w:ascii="Times New Roman" w:hAnsi="Times New Roman"/>
          <w:spacing w:val="-32"/>
          <w:sz w:val="24"/>
        </w:rPr>
        <w:t xml:space="preserve"> </w:t>
      </w:r>
      <w:r>
        <w:rPr>
          <w:rFonts w:ascii="Times New Roman" w:hAnsi="Times New Roman"/>
          <w:i/>
          <w:sz w:val="24"/>
        </w:rPr>
        <w:t>X</w:t>
      </w:r>
      <w:r>
        <w:rPr>
          <w:rFonts w:ascii="Times New Roman" w:hAnsi="Times New Roman"/>
          <w:i/>
          <w:spacing w:val="-29"/>
          <w:sz w:val="24"/>
        </w:rPr>
        <w:t xml:space="preserve"> </w:t>
      </w:r>
      <w:r>
        <w:rPr>
          <w:rFonts w:ascii="Times New Roman" w:hAnsi="Times New Roman"/>
          <w:sz w:val="24"/>
        </w:rPr>
        <w:t>)</w:t>
      </w:r>
    </w:p>
    <w:p>
      <w:pPr>
        <w:pStyle w:val="6"/>
        <w:spacing w:before="7"/>
        <w:rPr>
          <w:rFonts w:ascii="Times New Roman"/>
          <w:sz w:val="2"/>
        </w:rPr>
      </w:pPr>
    </w:p>
    <w:p>
      <w:pPr>
        <w:pStyle w:val="6"/>
        <w:spacing w:line="20" w:lineRule="exact"/>
        <w:ind w:left="-31" w:right="-87"/>
        <w:rPr>
          <w:rFonts w:ascii="Times New Roman"/>
          <w:sz w:val="2"/>
        </w:rPr>
      </w:pPr>
      <w:r>
        <w:rPr>
          <w:rFonts w:ascii="Times New Roman"/>
          <w:sz w:val="2"/>
        </w:rPr>
        <mc:AlternateContent>
          <mc:Choice Requires="wpg">
            <w:drawing>
              <wp:inline distT="0" distB="0" distL="114300" distR="114300">
                <wp:extent cx="633095" cy="6985"/>
                <wp:effectExtent l="0" t="0" r="0" b="0"/>
                <wp:docPr id="118" name="组合 105"/>
                <wp:cNvGraphicFramePr/>
                <a:graphic xmlns:a="http://schemas.openxmlformats.org/drawingml/2006/main">
                  <a:graphicData uri="http://schemas.microsoft.com/office/word/2010/wordprocessingGroup">
                    <wpg:wgp>
                      <wpg:cNvGrpSpPr/>
                      <wpg:grpSpPr>
                        <a:xfrm>
                          <a:off x="0" y="0"/>
                          <a:ext cx="633095" cy="6985"/>
                          <a:chOff x="0" y="0"/>
                          <a:chExt cx="997" cy="11"/>
                        </a:xfrm>
                      </wpg:grpSpPr>
                      <wps:wsp>
                        <wps:cNvPr id="117" name="直线 106"/>
                        <wps:cNvSpPr/>
                        <wps:spPr>
                          <a:xfrm>
                            <a:off x="0" y="5"/>
                            <a:ext cx="996" cy="0"/>
                          </a:xfrm>
                          <a:prstGeom prst="line">
                            <a:avLst/>
                          </a:prstGeom>
                          <a:ln w="6439" cap="flat" cmpd="sng">
                            <a:solidFill>
                              <a:srgbClr val="000000"/>
                            </a:solidFill>
                            <a:prstDash val="solid"/>
                            <a:headEnd type="none" w="med" len="med"/>
                            <a:tailEnd type="none" w="med" len="med"/>
                          </a:ln>
                        </wps:spPr>
                        <wps:bodyPr upright="1"/>
                      </wps:wsp>
                    </wpg:wgp>
                  </a:graphicData>
                </a:graphic>
              </wp:inline>
            </w:drawing>
          </mc:Choice>
          <mc:Fallback>
            <w:pict>
              <v:group id="组合 105" o:spid="_x0000_s1026" o:spt="203" style="height:0.55pt;width:49.85pt;" coordsize="997,11" o:gfxdata="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bpaJnTAAAAAgEAAA8AAAAAAAAAAQAgAAAAIgAAAGRycy9kb3ducmV2LnhtbFBL&#10;AQIUABQAAAAIAIdO4kCFzvN+NAIAALUEAAAOAAAAAAAAAAEAIAAAACIBAABkcnMvZTJvRG9jLnht&#10;bFBLBQYAAAAABgAGAFkBAADIBQAAAAA=&#10;">
                <o:lock v:ext="edit" aspectratio="f"/>
                <v:line id="直线 106" o:spid="_x0000_s1026" o:spt="20" style="position:absolute;left:0;top:5;height:0;width:996;" filled="f" stroked="t" coordsize="21600,21600" o:gfxdata="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5qrvQAA&#10;ANwAAAAPAAAAAAAAAAEAIAAAACIAAABkcnMvZG93bnJldi54bWxQSwECFAAUAAAACACHTuJAMy8F&#10;njsAAAA5AAAAEAAAAAAAAAABACAAAAAMAQAAZHJzL3NoYXBleG1sLnhtbFBLBQYAAAAABgAGAFsB&#10;AAC2AwAAAAA=&#10;">
                  <v:fill on="f" focussize="0,0"/>
                  <v:stroke weight="0.507007874015748pt" color="#000000" joinstyle="round"/>
                  <v:imagedata o:title=""/>
                  <o:lock v:ext="edit" aspectratio="f"/>
                </v:line>
                <w10:wrap type="none"/>
                <w10:anchorlock/>
              </v:group>
            </w:pict>
          </mc:Fallback>
        </mc:AlternateContent>
      </w:r>
    </w:p>
    <w:p>
      <w:pPr>
        <w:spacing w:before="0"/>
        <w:ind w:left="59" w:right="93" w:firstLine="0"/>
        <w:jc w:val="center"/>
        <w:rPr>
          <w:rFonts w:ascii="Times New Roman"/>
          <w:sz w:val="14"/>
        </w:rPr>
      </w:pPr>
      <w:r>
        <w:rPr>
          <w:rFonts w:ascii="Times New Roman"/>
          <w:i/>
          <w:position w:val="-10"/>
          <w:sz w:val="24"/>
        </w:rPr>
        <w:t>r</w:t>
      </w:r>
      <w:r>
        <w:rPr>
          <w:rFonts w:ascii="Times New Roman"/>
          <w:sz w:val="14"/>
        </w:rPr>
        <w:t>2</w:t>
      </w:r>
    </w:p>
    <w:p>
      <w:pPr>
        <w:pStyle w:val="6"/>
        <w:rPr>
          <w:rFonts w:ascii="Times New Roman"/>
          <w:sz w:val="28"/>
        </w:rPr>
      </w:pPr>
      <w:r>
        <w:br w:type="column"/>
      </w:r>
    </w:p>
    <w:p>
      <w:pPr>
        <w:spacing w:before="210" w:line="170" w:lineRule="auto"/>
        <w:ind w:left="188" w:right="0" w:firstLine="0"/>
        <w:jc w:val="left"/>
        <w:rPr>
          <w:rFonts w:ascii="Times New Roman" w:hAnsi="Times New Roman"/>
          <w:sz w:val="14"/>
        </w:rPr>
      </w:pPr>
      <w:r>
        <w:rPr>
          <w:rFonts w:ascii="Symbol" w:hAnsi="Symbol"/>
          <w:position w:val="-8"/>
          <w:sz w:val="14"/>
        </w:rPr>
        <w:t></w:t>
      </w:r>
      <w:r>
        <w:rPr>
          <w:rFonts w:ascii="Symbol" w:hAnsi="Symbol"/>
          <w:i/>
          <w:position w:val="-8"/>
          <w:sz w:val="15"/>
        </w:rPr>
        <w:t></w:t>
      </w:r>
      <w:r>
        <w:rPr>
          <w:rFonts w:ascii="Times New Roman" w:hAnsi="Times New Roman"/>
          <w:sz w:val="14"/>
        </w:rPr>
        <w:t xml:space="preserve">( </w:t>
      </w:r>
      <w:r>
        <w:rPr>
          <w:rFonts w:ascii="Times New Roman" w:hAnsi="Times New Roman"/>
          <w:i/>
          <w:sz w:val="14"/>
        </w:rPr>
        <w:t>y</w:t>
      </w:r>
      <w:r>
        <w:rPr>
          <w:rFonts w:ascii="Symbol" w:hAnsi="Symbol"/>
          <w:sz w:val="14"/>
        </w:rPr>
        <w:t></w:t>
      </w:r>
      <w:r>
        <w:rPr>
          <w:rFonts w:ascii="Times New Roman" w:hAnsi="Times New Roman"/>
          <w:i/>
          <w:sz w:val="14"/>
        </w:rPr>
        <w:t xml:space="preserve">x </w:t>
      </w:r>
      <w:r>
        <w:rPr>
          <w:rFonts w:ascii="Times New Roman" w:hAnsi="Times New Roman"/>
          <w:sz w:val="14"/>
        </w:rPr>
        <w:t>)</w:t>
      </w:r>
      <w:r>
        <w:rPr>
          <w:rFonts w:ascii="Times New Roman" w:hAnsi="Times New Roman"/>
          <w:sz w:val="14"/>
          <w:vertAlign w:val="superscript"/>
        </w:rPr>
        <w:t>2</w:t>
      </w:r>
      <w:r>
        <w:rPr>
          <w:rFonts w:ascii="Times New Roman" w:hAnsi="Times New Roman"/>
          <w:sz w:val="14"/>
          <w:vertAlign w:val="baseline"/>
        </w:rPr>
        <w:t xml:space="preserve"> </w:t>
      </w:r>
      <w:r>
        <w:rPr>
          <w:rFonts w:ascii="Symbol" w:hAnsi="Symbol"/>
          <w:sz w:val="14"/>
          <w:vertAlign w:val="baseline"/>
        </w:rPr>
        <w:t></w:t>
      </w:r>
      <w:r>
        <w:rPr>
          <w:rFonts w:ascii="Times New Roman" w:hAnsi="Times New Roman"/>
          <w:sz w:val="14"/>
          <w:vertAlign w:val="baseline"/>
        </w:rPr>
        <w:t>(</w:t>
      </w:r>
      <w:r>
        <w:rPr>
          <w:rFonts w:ascii="Symbol" w:hAnsi="Symbol"/>
          <w:i/>
          <w:sz w:val="15"/>
          <w:vertAlign w:val="baseline"/>
        </w:rPr>
        <w:t></w:t>
      </w:r>
      <w:r>
        <w:rPr>
          <w:rFonts w:ascii="Symbol" w:hAnsi="Symbol"/>
          <w:sz w:val="14"/>
          <w:vertAlign w:val="baseline"/>
        </w:rPr>
        <w:t></w:t>
      </w:r>
      <w:r>
        <w:rPr>
          <w:rFonts w:ascii="Times New Roman" w:hAnsi="Times New Roman"/>
          <w:sz w:val="14"/>
          <w:vertAlign w:val="baseline"/>
        </w:rPr>
        <w:t xml:space="preserve"> </w:t>
      </w:r>
      <w:r>
        <w:rPr>
          <w:rFonts w:ascii="Times New Roman" w:hAnsi="Times New Roman"/>
          <w:i/>
          <w:sz w:val="14"/>
          <w:vertAlign w:val="baseline"/>
        </w:rPr>
        <w:t xml:space="preserve">y </w:t>
      </w:r>
      <w:r>
        <w:rPr>
          <w:rFonts w:ascii="Times New Roman" w:hAnsi="Times New Roman"/>
          <w:sz w:val="14"/>
          <w:vertAlign w:val="baseline"/>
        </w:rPr>
        <w:t>)</w:t>
      </w:r>
      <w:r>
        <w:rPr>
          <w:rFonts w:ascii="Times New Roman" w:hAnsi="Times New Roman"/>
          <w:sz w:val="14"/>
          <w:vertAlign w:val="superscript"/>
        </w:rPr>
        <w:t>2</w:t>
      </w:r>
    </w:p>
    <w:p>
      <w:pPr>
        <w:tabs>
          <w:tab w:val="left" w:pos="787"/>
        </w:tabs>
        <w:spacing w:before="0" w:line="259" w:lineRule="exact"/>
        <w:ind w:left="-8" w:right="0" w:firstLine="0"/>
        <w:jc w:val="left"/>
        <w:rPr>
          <w:rFonts w:ascii="Times New Roman" w:hAnsi="Times New Roman"/>
          <w:sz w:val="10"/>
        </w:rPr>
      </w:pPr>
      <w:r>
        <mc:AlternateContent>
          <mc:Choice Requires="wps">
            <w:drawing>
              <wp:anchor distT="0" distB="0" distL="114300" distR="114300" simplePos="0" relativeHeight="251734016" behindDoc="0" locked="0" layoutInCell="1" allowOverlap="1">
                <wp:simplePos x="0" y="0"/>
                <wp:positionH relativeFrom="page">
                  <wp:posOffset>4342130</wp:posOffset>
                </wp:positionH>
                <wp:positionV relativeFrom="paragraph">
                  <wp:posOffset>-20320</wp:posOffset>
                </wp:positionV>
                <wp:extent cx="612775" cy="0"/>
                <wp:effectExtent l="0" t="0" r="0" b="0"/>
                <wp:wrapNone/>
                <wp:docPr id="247" name="直线 107"/>
                <wp:cNvGraphicFramePr/>
                <a:graphic xmlns:a="http://schemas.openxmlformats.org/drawingml/2006/main">
                  <a:graphicData uri="http://schemas.microsoft.com/office/word/2010/wordprocessingShape">
                    <wps:wsp>
                      <wps:cNvSpPr/>
                      <wps:spPr>
                        <a:xfrm>
                          <a:off x="0" y="0"/>
                          <a:ext cx="612775" cy="0"/>
                        </a:xfrm>
                        <a:prstGeom prst="line">
                          <a:avLst/>
                        </a:prstGeom>
                        <a:ln w="3226" cap="flat" cmpd="sng">
                          <a:solidFill>
                            <a:srgbClr val="000000"/>
                          </a:solidFill>
                          <a:prstDash val="solid"/>
                          <a:headEnd type="none" w="med" len="med"/>
                          <a:tailEnd type="none" w="med" len="med"/>
                        </a:ln>
                      </wps:spPr>
                      <wps:bodyPr upright="1"/>
                    </wps:wsp>
                  </a:graphicData>
                </a:graphic>
              </wp:anchor>
            </w:drawing>
          </mc:Choice>
          <mc:Fallback>
            <w:pict>
              <v:line id="直线 107" o:spid="_x0000_s1026" o:spt="20" style="position:absolute;left:0pt;margin-left:341.9pt;margin-top:-1.6pt;height:0pt;width:48.25pt;mso-position-horizontal-relative:page;z-index:251734016;mso-width-relative:page;mso-height-relative:page;" filled="f" stroked="t" coordsize="21600,21600" o:gfxdata="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c1Rgu1gAAAAkBAAAPAAAAAAAAAAEAIAAAACIAAABk&#10;cnMvZG93bnJldi54bWxQSwECFAAUAAAACACHTuJAng2T7s8BAACQAwAADgAAAAAAAAABACAAAAAl&#10;AQAAZHJzL2Uyb0RvYy54bWxQSwUGAAAAAAYABgBZAQAAZgUAAAAA&#10;">
                <v:fill on="f" focussize="0,0"/>
                <v:stroke weight="0.254015748031496pt" color="#000000" joinstyle="round"/>
                <v:imagedata o:title=""/>
                <o:lock v:ext="edit" aspectratio="f"/>
              </v:line>
            </w:pict>
          </mc:Fallback>
        </mc:AlternateContent>
      </w:r>
      <w:r>
        <w:rPr>
          <w:rFonts w:ascii="Symbol" w:hAnsi="Symbol"/>
          <w:spacing w:val="6"/>
          <w:sz w:val="24"/>
        </w:rPr>
        <w:t></w:t>
      </w:r>
      <w:r>
        <w:rPr>
          <w:rFonts w:ascii="Times New Roman" w:hAnsi="Times New Roman"/>
          <w:i/>
          <w:spacing w:val="6"/>
          <w:sz w:val="24"/>
        </w:rPr>
        <w:t>e</w:t>
      </w:r>
      <w:r>
        <w:rPr>
          <w:rFonts w:ascii="Times New Roman" w:hAnsi="Times New Roman"/>
          <w:i/>
          <w:spacing w:val="6"/>
          <w:sz w:val="24"/>
        </w:rPr>
        <w:tab/>
      </w:r>
      <w:r>
        <w:rPr>
          <w:rFonts w:ascii="Times New Roman" w:hAnsi="Times New Roman"/>
          <w:i/>
          <w:spacing w:val="3"/>
          <w:position w:val="8"/>
          <w:sz w:val="14"/>
        </w:rPr>
        <w:t>r</w:t>
      </w:r>
      <w:r>
        <w:rPr>
          <w:rFonts w:ascii="Times New Roman" w:hAnsi="Times New Roman"/>
          <w:spacing w:val="3"/>
          <w:position w:val="14"/>
          <w:sz w:val="10"/>
        </w:rPr>
        <w:t>2</w:t>
      </w:r>
    </w:p>
    <w:p>
      <w:pPr>
        <w:pStyle w:val="6"/>
        <w:rPr>
          <w:rFonts w:ascii="Times New Roman"/>
          <w:sz w:val="30"/>
        </w:rPr>
      </w:pPr>
      <w:r>
        <w:br w:type="column"/>
      </w:r>
    </w:p>
    <w:p>
      <w:pPr>
        <w:pStyle w:val="6"/>
        <w:spacing w:before="8"/>
        <w:rPr>
          <w:rFonts w:ascii="Times New Roman"/>
          <w:sz w:val="31"/>
        </w:rPr>
      </w:pPr>
    </w:p>
    <w:p>
      <w:pPr>
        <w:spacing w:before="0"/>
        <w:ind w:left="26" w:right="0" w:firstLine="0"/>
        <w:jc w:val="left"/>
        <w:rPr>
          <w:rFonts w:ascii="Symbol" w:hAnsi="Symbol"/>
          <w:i/>
          <w:sz w:val="25"/>
        </w:rPr>
      </w:pPr>
      <w:r>
        <w:rPr>
          <w:rFonts w:ascii="Symbol" w:hAnsi="Symbol"/>
          <w:sz w:val="24"/>
        </w:rPr>
        <w:t></w:t>
      </w:r>
      <w:r>
        <w:rPr>
          <w:rFonts w:ascii="Times New Roman" w:hAnsi="Times New Roman"/>
          <w:i/>
          <w:sz w:val="24"/>
        </w:rPr>
        <w:t>d</w:t>
      </w:r>
      <w:r>
        <w:rPr>
          <w:rFonts w:ascii="Symbol" w:hAnsi="Symbol"/>
          <w:i/>
          <w:sz w:val="25"/>
        </w:rPr>
        <w:t></w:t>
      </w:r>
      <w:r>
        <w:rPr>
          <w:rFonts w:ascii="Symbol" w:hAnsi="Symbol"/>
          <w:sz w:val="24"/>
        </w:rPr>
        <w:t></w:t>
      </w:r>
      <w:r>
        <w:rPr>
          <w:rFonts w:ascii="Times New Roman" w:hAnsi="Times New Roman"/>
          <w:i/>
          <w:sz w:val="24"/>
        </w:rPr>
        <w:t>d</w:t>
      </w:r>
      <w:r>
        <w:rPr>
          <w:rFonts w:ascii="Symbol" w:hAnsi="Symbol"/>
          <w:i/>
          <w:sz w:val="25"/>
        </w:rPr>
        <w:t></w:t>
      </w:r>
    </w:p>
    <w:p>
      <w:pPr>
        <w:spacing w:after="0"/>
        <w:jc w:val="left"/>
        <w:rPr>
          <w:rFonts w:ascii="Symbol" w:hAnsi="Symbol"/>
          <w:sz w:val="25"/>
        </w:rPr>
        <w:sectPr>
          <w:type w:val="continuous"/>
          <w:pgSz w:w="11910" w:h="16840"/>
          <w:pgMar w:top="1580" w:right="1300" w:bottom="280" w:left="1300" w:header="720" w:footer="720" w:gutter="0"/>
          <w:cols w:equalWidth="0" w:num="7">
            <w:col w:w="2676" w:space="40"/>
            <w:col w:w="827" w:space="39"/>
            <w:col w:w="226" w:space="40"/>
            <w:col w:w="282" w:space="40"/>
            <w:col w:w="962" w:space="39"/>
            <w:col w:w="1314" w:space="39"/>
            <w:col w:w="2786"/>
          </w:cols>
        </w:sectPr>
      </w:pPr>
    </w:p>
    <w:p>
      <w:pPr>
        <w:pStyle w:val="6"/>
        <w:rPr>
          <w:rFonts w:ascii="Symbol" w:hAnsi="Symbol"/>
          <w:i/>
          <w:sz w:val="16"/>
        </w:rPr>
      </w:pPr>
    </w:p>
    <w:p>
      <w:pPr>
        <w:spacing w:after="0"/>
        <w:rPr>
          <w:rFonts w:ascii="Symbol" w:hAnsi="Symbol"/>
          <w:sz w:val="16"/>
        </w:rPr>
        <w:sectPr>
          <w:type w:val="continuous"/>
          <w:pgSz w:w="11910" w:h="16840"/>
          <w:pgMar w:top="1580" w:right="1300" w:bottom="280" w:left="1300" w:header="720" w:footer="720" w:gutter="0"/>
        </w:sectPr>
      </w:pPr>
    </w:p>
    <w:p>
      <w:pPr>
        <w:pStyle w:val="6"/>
        <w:spacing w:before="67"/>
        <w:ind w:left="931"/>
      </w:pPr>
      <w:r>
        <w:t>⑤地表水平变形</w:t>
      </w:r>
    </w:p>
    <w:p>
      <w:pPr>
        <w:pStyle w:val="6"/>
        <w:spacing w:before="2"/>
        <w:rPr>
          <w:sz w:val="43"/>
        </w:rPr>
      </w:pPr>
      <w:r>
        <w:br w:type="column"/>
      </w:r>
    </w:p>
    <w:p>
      <w:pPr>
        <w:spacing w:before="0" w:line="124" w:lineRule="exact"/>
        <w:ind w:left="931" w:right="0" w:firstLine="0"/>
        <w:jc w:val="left"/>
        <w:rPr>
          <w:rFonts w:ascii="Times New Roman" w:hAnsi="Times New Roman"/>
          <w:sz w:val="14"/>
        </w:rPr>
      </w:pPr>
      <w:r>
        <w:rPr>
          <w:rFonts w:ascii="Times New Roman" w:hAnsi="Times New Roman"/>
          <w:sz w:val="24"/>
        </w:rPr>
        <w:t>2</w:t>
      </w:r>
      <w:r>
        <w:rPr>
          <w:rFonts w:ascii="Symbol" w:hAnsi="Symbol"/>
          <w:i/>
          <w:sz w:val="25"/>
        </w:rPr>
        <w:t></w:t>
      </w:r>
      <w:r>
        <w:rPr>
          <w:rFonts w:ascii="Times New Roman" w:hAnsi="Times New Roman"/>
          <w:i/>
          <w:sz w:val="25"/>
        </w:rPr>
        <w:t xml:space="preserve"> </w:t>
      </w:r>
      <w:r>
        <w:rPr>
          <w:rFonts w:ascii="Times New Roman" w:hAnsi="Times New Roman"/>
          <w:sz w:val="24"/>
        </w:rPr>
        <w:t>2</w:t>
      </w:r>
      <w:r>
        <w:rPr>
          <w:rFonts w:ascii="Symbol" w:hAnsi="Symbol"/>
          <w:i/>
          <w:sz w:val="25"/>
        </w:rPr>
        <w:t></w:t>
      </w:r>
      <w:r>
        <w:rPr>
          <w:rFonts w:ascii="Times New Roman" w:hAnsi="Times New Roman"/>
          <w:sz w:val="24"/>
        </w:rPr>
        <w:t>(</w:t>
      </w:r>
      <w:r>
        <w:rPr>
          <w:rFonts w:ascii="Symbol" w:hAnsi="Symbol"/>
          <w:i/>
          <w:sz w:val="25"/>
        </w:rPr>
        <w:t></w:t>
      </w:r>
      <w:r>
        <w:rPr>
          <w:rFonts w:ascii="Symbol" w:hAnsi="Symbol"/>
          <w:sz w:val="24"/>
        </w:rPr>
        <w:t></w:t>
      </w:r>
      <w:r>
        <w:rPr>
          <w:rFonts w:ascii="Times New Roman" w:hAnsi="Times New Roman"/>
          <w:sz w:val="24"/>
        </w:rPr>
        <w:t xml:space="preserve"> </w:t>
      </w:r>
      <w:r>
        <w:rPr>
          <w:rFonts w:ascii="Times New Roman" w:hAnsi="Times New Roman"/>
          <w:i/>
          <w:sz w:val="24"/>
        </w:rPr>
        <w:t>x</w:t>
      </w:r>
      <w:r>
        <w:rPr>
          <w:rFonts w:ascii="Times New Roman" w:hAnsi="Times New Roman"/>
          <w:sz w:val="24"/>
        </w:rPr>
        <w:t>)</w:t>
      </w:r>
      <w:r>
        <w:rPr>
          <w:rFonts w:ascii="Times New Roman" w:hAnsi="Times New Roman"/>
          <w:position w:val="11"/>
          <w:sz w:val="14"/>
        </w:rPr>
        <w:t>2</w:t>
      </w:r>
    </w:p>
    <w:p>
      <w:pPr>
        <w:pStyle w:val="6"/>
        <w:rPr>
          <w:rFonts w:ascii="Times New Roman"/>
          <w:sz w:val="28"/>
        </w:rPr>
      </w:pPr>
      <w:r>
        <w:br w:type="column"/>
      </w:r>
    </w:p>
    <w:p>
      <w:pPr>
        <w:spacing w:before="190" w:line="164" w:lineRule="exact"/>
        <w:ind w:left="562" w:right="0" w:firstLine="0"/>
        <w:jc w:val="left"/>
        <w:rPr>
          <w:rFonts w:ascii="Times New Roman" w:hAnsi="Times New Roman"/>
          <w:sz w:val="14"/>
        </w:rPr>
      </w:pPr>
      <w:r>
        <w:rPr>
          <w:rFonts w:ascii="Symbol" w:hAnsi="Symbol"/>
          <w:position w:val="-8"/>
          <w:sz w:val="14"/>
        </w:rPr>
        <w:t></w:t>
      </w:r>
      <w:r>
        <w:rPr>
          <w:rFonts w:ascii="Symbol" w:hAnsi="Symbol"/>
          <w:i/>
          <w:position w:val="-8"/>
          <w:sz w:val="15"/>
        </w:rPr>
        <w:t></w:t>
      </w:r>
      <w:r>
        <w:rPr>
          <w:rFonts w:ascii="Times New Roman" w:hAnsi="Times New Roman"/>
          <w:sz w:val="14"/>
        </w:rPr>
        <w:t>(</w:t>
      </w:r>
      <w:r>
        <w:rPr>
          <w:rFonts w:ascii="Symbol" w:hAnsi="Symbol"/>
          <w:i/>
          <w:sz w:val="15"/>
        </w:rPr>
        <w:t></w:t>
      </w:r>
      <w:r>
        <w:rPr>
          <w:rFonts w:ascii="Symbol" w:hAnsi="Symbol"/>
          <w:sz w:val="14"/>
        </w:rPr>
        <w:t></w:t>
      </w:r>
      <w:r>
        <w:rPr>
          <w:rFonts w:ascii="Times New Roman" w:hAnsi="Times New Roman"/>
          <w:i/>
          <w:sz w:val="14"/>
        </w:rPr>
        <w:t xml:space="preserve">x </w:t>
      </w:r>
      <w:r>
        <w:rPr>
          <w:rFonts w:ascii="Times New Roman" w:hAnsi="Times New Roman"/>
          <w:sz w:val="14"/>
        </w:rPr>
        <w:t>)</w:t>
      </w:r>
      <w:r>
        <w:rPr>
          <w:rFonts w:ascii="Times New Roman" w:hAnsi="Times New Roman"/>
          <w:sz w:val="14"/>
          <w:vertAlign w:val="superscript"/>
        </w:rPr>
        <w:t>2</w:t>
      </w:r>
      <w:r>
        <w:rPr>
          <w:rFonts w:ascii="Times New Roman" w:hAnsi="Times New Roman"/>
          <w:sz w:val="14"/>
          <w:vertAlign w:val="baseline"/>
        </w:rPr>
        <w:t xml:space="preserve"> </w:t>
      </w:r>
      <w:r>
        <w:rPr>
          <w:rFonts w:ascii="Symbol" w:hAnsi="Symbol"/>
          <w:sz w:val="14"/>
          <w:vertAlign w:val="baseline"/>
        </w:rPr>
        <w:t></w:t>
      </w:r>
      <w:r>
        <w:rPr>
          <w:rFonts w:ascii="Times New Roman" w:hAnsi="Times New Roman"/>
          <w:sz w:val="14"/>
          <w:vertAlign w:val="baseline"/>
        </w:rPr>
        <w:t>(</w:t>
      </w:r>
      <w:r>
        <w:rPr>
          <w:rFonts w:ascii="Symbol" w:hAnsi="Symbol"/>
          <w:i/>
          <w:sz w:val="15"/>
          <w:vertAlign w:val="baseline"/>
        </w:rPr>
        <w:t></w:t>
      </w:r>
      <w:r>
        <w:rPr>
          <w:rFonts w:ascii="Symbol" w:hAnsi="Symbol"/>
          <w:sz w:val="14"/>
          <w:vertAlign w:val="baseline"/>
        </w:rPr>
        <w:t></w:t>
      </w:r>
      <w:r>
        <w:rPr>
          <w:rFonts w:ascii="Times New Roman" w:hAnsi="Times New Roman"/>
          <w:sz w:val="14"/>
          <w:vertAlign w:val="baseline"/>
        </w:rPr>
        <w:t xml:space="preserve"> </w:t>
      </w:r>
      <w:r>
        <w:rPr>
          <w:rFonts w:ascii="Times New Roman" w:hAnsi="Times New Roman"/>
          <w:i/>
          <w:sz w:val="14"/>
          <w:vertAlign w:val="baseline"/>
        </w:rPr>
        <w:t xml:space="preserve">y </w:t>
      </w:r>
      <w:r>
        <w:rPr>
          <w:rFonts w:ascii="Times New Roman" w:hAnsi="Times New Roman"/>
          <w:sz w:val="14"/>
          <w:vertAlign w:val="baseline"/>
        </w:rPr>
        <w:t>)</w:t>
      </w:r>
      <w:r>
        <w:rPr>
          <w:rFonts w:ascii="Times New Roman" w:hAnsi="Times New Roman"/>
          <w:sz w:val="14"/>
          <w:vertAlign w:val="superscript"/>
        </w:rPr>
        <w:t>2</w:t>
      </w:r>
    </w:p>
    <w:p>
      <w:pPr>
        <w:pStyle w:val="6"/>
        <w:spacing w:before="5"/>
        <w:rPr>
          <w:rFonts w:ascii="Times New Roman"/>
          <w:sz w:val="3"/>
        </w:rPr>
      </w:pPr>
    </w:p>
    <w:p>
      <w:pPr>
        <w:pStyle w:val="6"/>
        <w:spacing w:line="20" w:lineRule="exact"/>
        <w:ind w:left="737"/>
        <w:rPr>
          <w:rFonts w:ascii="Times New Roman"/>
          <w:sz w:val="2"/>
        </w:rPr>
      </w:pPr>
      <w:r>
        <w:rPr>
          <w:rFonts w:ascii="Times New Roman"/>
          <w:sz w:val="2"/>
        </w:rPr>
        <mc:AlternateContent>
          <mc:Choice Requires="wpg">
            <w:drawing>
              <wp:inline distT="0" distB="0" distL="114300" distR="114300">
                <wp:extent cx="607695" cy="3810"/>
                <wp:effectExtent l="0" t="0" r="0" b="0"/>
                <wp:docPr id="116" name="组合 108"/>
                <wp:cNvGraphicFramePr/>
                <a:graphic xmlns:a="http://schemas.openxmlformats.org/drawingml/2006/main">
                  <a:graphicData uri="http://schemas.microsoft.com/office/word/2010/wordprocessingGroup">
                    <wpg:wgp>
                      <wpg:cNvGrpSpPr/>
                      <wpg:grpSpPr>
                        <a:xfrm>
                          <a:off x="0" y="0"/>
                          <a:ext cx="607695" cy="3810"/>
                          <a:chOff x="0" y="0"/>
                          <a:chExt cx="957" cy="6"/>
                        </a:xfrm>
                      </wpg:grpSpPr>
                      <wps:wsp>
                        <wps:cNvPr id="115" name="直线 109"/>
                        <wps:cNvSpPr/>
                        <wps:spPr>
                          <a:xfrm>
                            <a:off x="0" y="3"/>
                            <a:ext cx="957" cy="0"/>
                          </a:xfrm>
                          <a:prstGeom prst="line">
                            <a:avLst/>
                          </a:prstGeom>
                          <a:ln w="3213" cap="flat" cmpd="sng">
                            <a:solidFill>
                              <a:srgbClr val="000000"/>
                            </a:solidFill>
                            <a:prstDash val="solid"/>
                            <a:headEnd type="none" w="med" len="med"/>
                            <a:tailEnd type="none" w="med" len="med"/>
                          </a:ln>
                        </wps:spPr>
                        <wps:bodyPr upright="1"/>
                      </wps:wsp>
                    </wpg:wgp>
                  </a:graphicData>
                </a:graphic>
              </wp:inline>
            </w:drawing>
          </mc:Choice>
          <mc:Fallback>
            <w:pict>
              <v:group id="组合 108" o:spid="_x0000_s1026" o:spt="203" style="height:0.3pt;width:47.85pt;" coordsize="957,6" o:gfxdata="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B/cU9MAAAABAQAADwAAAAAAAAABACAAAAAiAAAAZHJzL2Rvd25yZXYueG1sUEsBAhQA&#10;FAAAAAgAh07iQOeJvz4wAgAAtAQAAA4AAAAAAAAAAQAgAAAAIgEAAGRycy9lMm9Eb2MueG1sUEsF&#10;BgAAAAAGAAYAWQEAAMQFAAAAAA==&#10;">
                <o:lock v:ext="edit" aspectratio="f"/>
                <v:line id="直线 109" o:spid="_x0000_s1026" o:spt="20" style="position:absolute;left:0;top:3;height:0;width:957;" filled="f" stroked="t" coordsize="21600,21600" o:gfxdata="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5xY1vQAA&#10;ANwAAAAPAAAAAAAAAAEAIAAAACIAAABkcnMvZG93bnJldi54bWxQSwECFAAUAAAACACHTuJAMy8F&#10;njsAAAA5AAAAEAAAAAAAAAABACAAAAAMAQAAZHJzL3NoYXBleG1sLnhtbFBLBQYAAAAABgAGAFsB&#10;AAC2AwAAAAA=&#10;">
                  <v:fill on="f" focussize="0,0"/>
                  <v:stroke weight="0.252992125984252pt" color="#000000" joinstyle="round"/>
                  <v:imagedata o:title=""/>
                  <o:lock v:ext="edit" aspectratio="f"/>
                </v:line>
                <w10:wrap type="none"/>
                <w10:anchorlock/>
              </v:group>
            </w:pict>
          </mc:Fallback>
        </mc:AlternateContent>
      </w:r>
    </w:p>
    <w:p>
      <w:pPr>
        <w:spacing w:after="0" w:line="20" w:lineRule="exact"/>
        <w:rPr>
          <w:rFonts w:ascii="Times New Roman"/>
          <w:sz w:val="2"/>
        </w:rPr>
        <w:sectPr>
          <w:type w:val="continuous"/>
          <w:pgSz w:w="11910" w:h="16840"/>
          <w:pgMar w:top="1580" w:right="1300" w:bottom="280" w:left="1300" w:header="720" w:footer="720" w:gutter="0"/>
          <w:cols w:equalWidth="0" w:num="3">
            <w:col w:w="2653" w:space="160"/>
            <w:col w:w="2311" w:space="39"/>
            <w:col w:w="4147"/>
          </w:cols>
        </w:sectPr>
      </w:pPr>
    </w:p>
    <w:p>
      <w:pPr>
        <w:spacing w:before="0" w:line="178" w:lineRule="exact"/>
        <w:ind w:left="0" w:right="0" w:firstLine="0"/>
        <w:jc w:val="right"/>
        <w:rPr>
          <w:rFonts w:ascii="Times New Roman"/>
          <w:sz w:val="14"/>
        </w:rPr>
      </w:pPr>
      <w:r>
        <w:rPr>
          <w:rFonts w:ascii="Times New Roman"/>
          <w:i/>
          <w:sz w:val="14"/>
        </w:rPr>
        <w:t xml:space="preserve">X </w:t>
      </w:r>
      <w:r>
        <w:rPr>
          <w:rFonts w:ascii="Times New Roman"/>
          <w:sz w:val="14"/>
        </w:rPr>
        <w:t xml:space="preserve">( </w:t>
      </w:r>
      <w:r>
        <w:rPr>
          <w:rFonts w:ascii="Times New Roman"/>
          <w:i/>
          <w:sz w:val="14"/>
        </w:rPr>
        <w:t>x</w:t>
      </w:r>
      <w:r>
        <w:rPr>
          <w:rFonts w:ascii="Times New Roman"/>
          <w:sz w:val="14"/>
        </w:rPr>
        <w:t xml:space="preserve">, </w:t>
      </w:r>
      <w:r>
        <w:rPr>
          <w:rFonts w:ascii="Times New Roman"/>
          <w:i/>
          <w:sz w:val="14"/>
        </w:rPr>
        <w:t xml:space="preserve">y </w:t>
      </w:r>
      <w:r>
        <w:rPr>
          <w:rFonts w:ascii="Times New Roman"/>
          <w:sz w:val="14"/>
        </w:rPr>
        <w:t>)</w:t>
      </w:r>
    </w:p>
    <w:p>
      <w:pPr>
        <w:spacing w:before="0" w:line="178" w:lineRule="exact"/>
        <w:ind w:left="380" w:right="0" w:firstLine="0"/>
        <w:jc w:val="left"/>
        <w:rPr>
          <w:rFonts w:ascii="Times New Roman"/>
          <w:sz w:val="14"/>
        </w:rPr>
      </w:pPr>
      <w:r>
        <w:br w:type="column"/>
      </w:r>
      <w:r>
        <w:rPr>
          <w:rFonts w:ascii="Times New Roman"/>
          <w:sz w:val="14"/>
        </w:rPr>
        <w:t>max</w:t>
      </w:r>
    </w:p>
    <w:p>
      <w:pPr>
        <w:tabs>
          <w:tab w:val="left" w:pos="1108"/>
        </w:tabs>
        <w:spacing w:before="0" w:line="24" w:lineRule="exact"/>
        <w:ind w:left="77" w:right="0" w:firstLine="0"/>
        <w:jc w:val="left"/>
        <w:rPr>
          <w:rFonts w:ascii="Times New Roman" w:hAnsi="Times New Roman"/>
          <w:sz w:val="14"/>
        </w:rPr>
      </w:pPr>
      <w:r>
        <w:br w:type="column"/>
      </w:r>
      <w:r>
        <w:rPr>
          <w:rFonts w:ascii="Symbol" w:hAnsi="Symbol"/>
          <w:sz w:val="37"/>
        </w:rPr>
        <w:t></w:t>
      </w:r>
      <w:r>
        <w:rPr>
          <w:rFonts w:ascii="Times New Roman" w:hAnsi="Times New Roman"/>
          <w:spacing w:val="-31"/>
          <w:sz w:val="37"/>
        </w:rPr>
        <w:t xml:space="preserve"> </w:t>
      </w:r>
      <w:r>
        <w:rPr>
          <w:rFonts w:ascii="Times New Roman" w:hAnsi="Times New Roman"/>
          <w:i/>
          <w:spacing w:val="9"/>
          <w:position w:val="-9"/>
          <w:sz w:val="24"/>
        </w:rPr>
        <w:t>r</w:t>
      </w:r>
      <w:r>
        <w:rPr>
          <w:rFonts w:ascii="Times New Roman" w:hAnsi="Times New Roman"/>
          <w:spacing w:val="9"/>
          <w:position w:val="1"/>
          <w:sz w:val="14"/>
        </w:rPr>
        <w:t>2</w:t>
      </w:r>
      <w:r>
        <w:rPr>
          <w:rFonts w:ascii="Times New Roman" w:hAnsi="Times New Roman"/>
          <w:spacing w:val="9"/>
          <w:position w:val="1"/>
          <w:sz w:val="14"/>
        </w:rPr>
        <w:tab/>
      </w:r>
      <w:r>
        <w:rPr>
          <w:rFonts w:ascii="Times New Roman" w:hAnsi="Times New Roman"/>
          <w:i/>
          <w:spacing w:val="9"/>
          <w:position w:val="-9"/>
          <w:sz w:val="24"/>
        </w:rPr>
        <w:t>r</w:t>
      </w:r>
      <w:r>
        <w:rPr>
          <w:rFonts w:ascii="Times New Roman" w:hAnsi="Times New Roman"/>
          <w:spacing w:val="9"/>
          <w:position w:val="1"/>
          <w:sz w:val="14"/>
        </w:rPr>
        <w:t>2</w:t>
      </w:r>
    </w:p>
    <w:p>
      <w:pPr>
        <w:pStyle w:val="6"/>
        <w:spacing w:before="4"/>
        <w:rPr>
          <w:rFonts w:ascii="Times New Roman"/>
          <w:sz w:val="11"/>
        </w:rPr>
      </w:pPr>
    </w:p>
    <w:p>
      <w:pPr>
        <w:pStyle w:val="6"/>
        <w:spacing w:line="20" w:lineRule="exact"/>
        <w:ind w:left="288"/>
        <w:rPr>
          <w:rFonts w:ascii="Times New Roman"/>
          <w:sz w:val="2"/>
        </w:rPr>
      </w:pPr>
      <w:r>
        <w:rPr>
          <w:rFonts w:ascii="Times New Roman"/>
          <w:sz w:val="2"/>
        </w:rPr>
        <mc:AlternateContent>
          <mc:Choice Requires="wpg">
            <w:drawing>
              <wp:inline distT="0" distB="0" distL="114300" distR="114300">
                <wp:extent cx="191135" cy="6985"/>
                <wp:effectExtent l="0" t="0" r="0" b="0"/>
                <wp:docPr id="110" name="组合 110"/>
                <wp:cNvGraphicFramePr/>
                <a:graphic xmlns:a="http://schemas.openxmlformats.org/drawingml/2006/main">
                  <a:graphicData uri="http://schemas.microsoft.com/office/word/2010/wordprocessingGroup">
                    <wpg:wgp>
                      <wpg:cNvGrpSpPr/>
                      <wpg:grpSpPr>
                        <a:xfrm>
                          <a:off x="0" y="0"/>
                          <a:ext cx="191135" cy="6985"/>
                          <a:chOff x="0" y="0"/>
                          <a:chExt cx="301" cy="11"/>
                        </a:xfrm>
                      </wpg:grpSpPr>
                      <wps:wsp>
                        <wps:cNvPr id="109" name="直线 111"/>
                        <wps:cNvSpPr/>
                        <wps:spPr>
                          <a:xfrm>
                            <a:off x="0" y="5"/>
                            <a:ext cx="301" cy="0"/>
                          </a:xfrm>
                          <a:prstGeom prst="line">
                            <a:avLst/>
                          </a:prstGeom>
                          <a:ln w="6426" cap="flat" cmpd="sng">
                            <a:solidFill>
                              <a:srgbClr val="000000"/>
                            </a:solidFill>
                            <a:prstDash val="solid"/>
                            <a:headEnd type="none" w="med" len="med"/>
                            <a:tailEnd type="none" w="med" len="med"/>
                          </a:ln>
                        </wps:spPr>
                        <wps:bodyPr upright="1"/>
                      </wps:wsp>
                    </wpg:wgp>
                  </a:graphicData>
                </a:graphic>
              </wp:inline>
            </w:drawing>
          </mc:Choice>
          <mc:Fallback>
            <w:pict>
              <v:group id="_x0000_s1026" o:spid="_x0000_s1026" o:spt="203" style="height:0.55pt;width:15.05pt;" coordsize="301,11" o:gfxdata="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7rfATSAAAAAgEAAA8AAAAAAAAAAQAgAAAAIgAAAGRycy9kb3ducmV2LnhtbFBLAQIUABQA&#10;AAAIAIdO4kA+hhQjLwIAALUEAAAOAAAAAAAAAAEAIAAAACEBAABkcnMvZTJvRG9jLnhtbFBLBQYA&#10;AAAABgAGAFkBAADCBQAAAAA=&#10;">
                <o:lock v:ext="edit" aspectratio="f"/>
                <v:line id="直线 111" o:spid="_x0000_s1026" o:spt="20" style="position:absolute;left:0;top:5;height:0;width:301;" filled="f" stroked="t" coordsize="21600,21600" o:gfxdata="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xZaL7sAAADc&#10;AAAADwAAAAAAAAABACAAAAAiAAAAZHJzL2Rvd25yZXYueG1sUEsBAhQAFAAAAAgAh07iQDMvBZ47&#10;AAAAOQAAABAAAAAAAAAAAQAgAAAACgEAAGRycy9zaGFwZXhtbC54bWxQSwUGAAAAAAYABgBbAQAA&#10;tAMAAAAA&#10;">
                  <v:fill on="f" focussize="0,0"/>
                  <v:stroke weight="0.505984251968504pt" color="#000000" joinstyle="round"/>
                  <v:imagedata o:title=""/>
                  <o:lock v:ext="edit" aspectratio="f"/>
                </v:line>
                <w10:wrap type="none"/>
                <w10:anchorlock/>
              </v:group>
            </w:pict>
          </mc:Fallback>
        </mc:AlternateContent>
      </w:r>
      <w:r>
        <w:rPr>
          <w:rFonts w:ascii="Times New Roman"/>
          <w:spacing w:val="76"/>
          <w:sz w:val="2"/>
        </w:rPr>
        <w:t xml:space="preserve"> </w:t>
      </w:r>
      <w:r>
        <w:rPr>
          <w:rFonts w:ascii="Times New Roman"/>
          <w:spacing w:val="76"/>
          <w:sz w:val="2"/>
        </w:rPr>
        <mc:AlternateContent>
          <mc:Choice Requires="wpg">
            <w:drawing>
              <wp:inline distT="0" distB="0" distL="114300" distR="114300">
                <wp:extent cx="652145" cy="6985"/>
                <wp:effectExtent l="0" t="0" r="0" b="0"/>
                <wp:docPr id="175" name="组合 112"/>
                <wp:cNvGraphicFramePr/>
                <a:graphic xmlns:a="http://schemas.openxmlformats.org/drawingml/2006/main">
                  <a:graphicData uri="http://schemas.microsoft.com/office/word/2010/wordprocessingGroup">
                    <wpg:wgp>
                      <wpg:cNvGrpSpPr/>
                      <wpg:grpSpPr>
                        <a:xfrm>
                          <a:off x="0" y="0"/>
                          <a:ext cx="652145" cy="6985"/>
                          <a:chOff x="0" y="0"/>
                          <a:chExt cx="1027" cy="11"/>
                        </a:xfrm>
                      </wpg:grpSpPr>
                      <wps:wsp>
                        <wps:cNvPr id="174" name="直线 113"/>
                        <wps:cNvSpPr/>
                        <wps:spPr>
                          <a:xfrm>
                            <a:off x="0" y="5"/>
                            <a:ext cx="1026" cy="0"/>
                          </a:xfrm>
                          <a:prstGeom prst="line">
                            <a:avLst/>
                          </a:prstGeom>
                          <a:ln w="6426" cap="flat" cmpd="sng">
                            <a:solidFill>
                              <a:srgbClr val="000000"/>
                            </a:solidFill>
                            <a:prstDash val="solid"/>
                            <a:headEnd type="none" w="med" len="med"/>
                            <a:tailEnd type="none" w="med" len="med"/>
                          </a:ln>
                        </wps:spPr>
                        <wps:bodyPr upright="1"/>
                      </wps:wsp>
                    </wpg:wgp>
                  </a:graphicData>
                </a:graphic>
              </wp:inline>
            </w:drawing>
          </mc:Choice>
          <mc:Fallback>
            <w:pict>
              <v:group id="组合 112" o:spid="_x0000_s1026" o:spt="203" style="height:0.55pt;width:51.35pt;" coordsize="1027,11" o:gfxdata="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TDqMtQAAAADAQAADwAAAAAAAAABACAAAAAiAAAAZHJzL2Rvd25yZXYueG1sUEsB&#10;AhQAFAAAAAgAh07iQJj2VNkyAgAAtwQAAA4AAAAAAAAAAQAgAAAAIwEAAGRycy9lMm9Eb2MueG1s&#10;UEsFBgAAAAAGAAYAWQEAAMcFAAAAAA==&#10;">
                <o:lock v:ext="edit" aspectratio="f"/>
                <v:line id="直线 113" o:spid="_x0000_s1026" o:spt="20" style="position:absolute;left:0;top:5;height:0;width:1026;" filled="f" stroked="t" coordsize="21600,21600" o:gfxdata="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RGGzLsAAADc&#10;AAAADwAAAAAAAAABACAAAAAiAAAAZHJzL2Rvd25yZXYueG1sUEsBAhQAFAAAAAgAh07iQDMvBZ47&#10;AAAAOQAAABAAAAAAAAAAAQAgAAAACgEAAGRycy9zaGFwZXhtbC54bWxQSwUGAAAAAAYABgBbAQAA&#10;tAMAAAAA&#10;">
                  <v:fill on="f" focussize="0,0"/>
                  <v:stroke weight="0.505984251968504pt" color="#000000" joinstyle="round"/>
                  <v:imagedata o:title=""/>
                  <o:lock v:ext="edit" aspectratio="f"/>
                </v:line>
                <w10:wrap type="none"/>
                <w10:anchorlock/>
              </v:group>
            </w:pict>
          </mc:Fallback>
        </mc:AlternateContent>
      </w:r>
    </w:p>
    <w:p>
      <w:pPr>
        <w:spacing w:after="0" w:line="20" w:lineRule="exact"/>
        <w:rPr>
          <w:rFonts w:ascii="Times New Roman"/>
          <w:sz w:val="2"/>
        </w:rPr>
        <w:sectPr>
          <w:type w:val="continuous"/>
          <w:pgSz w:w="11910" w:h="16840"/>
          <w:pgMar w:top="1580" w:right="1300" w:bottom="280" w:left="1300" w:header="720" w:footer="720" w:gutter="0"/>
          <w:cols w:equalWidth="0" w:num="3">
            <w:col w:w="2729" w:space="40"/>
            <w:col w:w="628" w:space="39"/>
            <w:col w:w="5874"/>
          </w:cols>
        </w:sectPr>
      </w:pPr>
    </w:p>
    <w:p>
      <w:pPr>
        <w:tabs>
          <w:tab w:val="left" w:pos="2714"/>
          <w:tab w:val="left" w:pos="3434"/>
          <w:tab w:val="left" w:pos="4041"/>
        </w:tabs>
        <w:spacing w:before="0" w:line="112" w:lineRule="exact"/>
        <w:ind w:left="2136" w:right="0" w:firstLine="0"/>
        <w:jc w:val="left"/>
        <w:rPr>
          <w:rFonts w:ascii="Times New Roman" w:hAnsi="Times New Roman"/>
          <w:sz w:val="24"/>
        </w:rPr>
      </w:pPr>
      <w:r>
        <w:rPr>
          <w:rFonts w:ascii="Symbol" w:hAnsi="Symbol"/>
          <w:i/>
          <w:sz w:val="25"/>
        </w:rPr>
        <w:t></w:t>
      </w:r>
      <w:r>
        <w:rPr>
          <w:rFonts w:ascii="Times New Roman" w:hAnsi="Times New Roman"/>
          <w:sz w:val="25"/>
        </w:rPr>
        <w:tab/>
      </w:r>
      <w:r>
        <w:rPr>
          <w:spacing w:val="-4"/>
          <w:sz w:val="24"/>
        </w:rPr>
        <w:t>＝</w:t>
      </w:r>
      <w:r>
        <w:rPr>
          <w:rFonts w:ascii="Times New Roman" w:hAnsi="Times New Roman"/>
          <w:i/>
          <w:spacing w:val="-4"/>
          <w:sz w:val="24"/>
        </w:rPr>
        <w:t>U</w:t>
      </w:r>
      <w:r>
        <w:rPr>
          <w:rFonts w:ascii="Times New Roman" w:hAnsi="Times New Roman"/>
          <w:i/>
          <w:spacing w:val="-4"/>
          <w:sz w:val="24"/>
        </w:rPr>
        <w:tab/>
      </w:r>
      <w:r>
        <w:rPr>
          <w:rFonts w:ascii="Symbol" w:hAnsi="Symbol"/>
          <w:sz w:val="24"/>
        </w:rPr>
        <w:t></w:t>
      </w:r>
      <w:r>
        <w:rPr>
          <w:rFonts w:ascii="Times New Roman" w:hAnsi="Times New Roman"/>
          <w:sz w:val="24"/>
        </w:rPr>
        <w:tab/>
      </w:r>
      <w:r>
        <w:rPr>
          <w:rFonts w:ascii="Times New Roman" w:hAnsi="Times New Roman"/>
          <w:spacing w:val="-20"/>
          <w:sz w:val="24"/>
        </w:rPr>
        <w:t>(</w:t>
      </w:r>
    </w:p>
    <w:p>
      <w:pPr>
        <w:spacing w:before="71"/>
        <w:ind w:left="0" w:right="457" w:firstLine="0"/>
        <w:jc w:val="right"/>
        <w:rPr>
          <w:rFonts w:ascii="Times New Roman"/>
          <w:i/>
          <w:sz w:val="14"/>
        </w:rPr>
      </w:pPr>
      <w:r>
        <w:rPr>
          <w:rFonts w:ascii="Times New Roman"/>
          <w:i/>
          <w:w w:val="102"/>
          <w:sz w:val="14"/>
        </w:rPr>
        <w:t>D</w:t>
      </w:r>
    </w:p>
    <w:p>
      <w:pPr>
        <w:spacing w:before="0" w:line="98" w:lineRule="exact"/>
        <w:ind w:left="1032" w:right="0" w:firstLine="0"/>
        <w:jc w:val="left"/>
        <w:rPr>
          <w:rFonts w:ascii="Times New Roman" w:hAnsi="Times New Roman"/>
          <w:i/>
          <w:sz w:val="24"/>
        </w:rPr>
      </w:pPr>
      <w:r>
        <w:br w:type="column"/>
      </w:r>
      <w:r>
        <w:rPr>
          <w:rFonts w:ascii="Symbol" w:hAnsi="Symbol"/>
          <w:sz w:val="24"/>
        </w:rPr>
        <w:t></w:t>
      </w:r>
      <w:r>
        <w:rPr>
          <w:rFonts w:ascii="Times New Roman" w:hAnsi="Times New Roman"/>
          <w:sz w:val="24"/>
        </w:rPr>
        <w:t>1)</w:t>
      </w:r>
      <w:r>
        <w:rPr>
          <w:rFonts w:ascii="Symbol" w:hAnsi="Symbol"/>
          <w:sz w:val="24"/>
        </w:rPr>
        <w:t></w:t>
      </w:r>
      <w:r>
        <w:rPr>
          <w:rFonts w:ascii="Times New Roman" w:hAnsi="Times New Roman"/>
          <w:i/>
          <w:sz w:val="24"/>
        </w:rPr>
        <w:t>e</w:t>
      </w:r>
    </w:p>
    <w:p>
      <w:pPr>
        <w:tabs>
          <w:tab w:val="left" w:pos="1154"/>
        </w:tabs>
        <w:spacing w:before="0" w:line="100" w:lineRule="exact"/>
        <w:ind w:left="567" w:right="0" w:firstLine="0"/>
        <w:jc w:val="left"/>
        <w:rPr>
          <w:rFonts w:ascii="Symbol" w:hAnsi="Symbol"/>
          <w:i/>
          <w:sz w:val="25"/>
        </w:rPr>
      </w:pPr>
      <w:r>
        <w:br w:type="column"/>
      </w:r>
      <w:r>
        <w:rPr>
          <w:rFonts w:ascii="Times New Roman" w:hAnsi="Times New Roman"/>
          <w:i/>
          <w:spacing w:val="3"/>
          <w:position w:val="8"/>
          <w:sz w:val="14"/>
        </w:rPr>
        <w:t>r</w:t>
      </w:r>
      <w:r>
        <w:rPr>
          <w:rFonts w:ascii="Times New Roman" w:hAnsi="Times New Roman"/>
          <w:spacing w:val="3"/>
          <w:position w:val="14"/>
          <w:sz w:val="10"/>
        </w:rPr>
        <w:t>2</w:t>
      </w:r>
      <w:r>
        <w:rPr>
          <w:rFonts w:ascii="Times New Roman" w:hAnsi="Times New Roman"/>
          <w:spacing w:val="3"/>
          <w:position w:val="14"/>
          <w:sz w:val="10"/>
        </w:rPr>
        <w:tab/>
      </w:r>
      <w:r>
        <w:rPr>
          <w:rFonts w:ascii="Symbol" w:hAnsi="Symbol"/>
          <w:spacing w:val="-12"/>
          <w:sz w:val="24"/>
        </w:rPr>
        <w:t></w:t>
      </w:r>
      <w:r>
        <w:rPr>
          <w:rFonts w:ascii="Times New Roman" w:hAnsi="Times New Roman"/>
          <w:i/>
          <w:spacing w:val="-12"/>
          <w:sz w:val="24"/>
        </w:rPr>
        <w:t>d</w:t>
      </w:r>
      <w:r>
        <w:rPr>
          <w:rFonts w:ascii="Symbol" w:hAnsi="Symbol"/>
          <w:i/>
          <w:spacing w:val="-12"/>
          <w:sz w:val="25"/>
        </w:rPr>
        <w:t></w:t>
      </w:r>
      <w:r>
        <w:rPr>
          <w:rFonts w:ascii="Symbol" w:hAnsi="Symbol"/>
          <w:spacing w:val="-12"/>
          <w:sz w:val="24"/>
        </w:rPr>
        <w:t></w:t>
      </w:r>
      <w:r>
        <w:rPr>
          <w:rFonts w:ascii="Times New Roman" w:hAnsi="Times New Roman"/>
          <w:i/>
          <w:spacing w:val="-12"/>
          <w:sz w:val="24"/>
        </w:rPr>
        <w:t>d</w:t>
      </w:r>
      <w:r>
        <w:rPr>
          <w:rFonts w:ascii="Symbol" w:hAnsi="Symbol"/>
          <w:i/>
          <w:spacing w:val="-12"/>
          <w:sz w:val="25"/>
        </w:rPr>
        <w:t></w:t>
      </w:r>
    </w:p>
    <w:p>
      <w:pPr>
        <w:spacing w:after="0" w:line="100" w:lineRule="exact"/>
        <w:jc w:val="left"/>
        <w:rPr>
          <w:rFonts w:ascii="Symbol" w:hAnsi="Symbol"/>
          <w:sz w:val="25"/>
        </w:rPr>
        <w:sectPr>
          <w:type w:val="continuous"/>
          <w:pgSz w:w="11910" w:h="16840"/>
          <w:pgMar w:top="1580" w:right="1300" w:bottom="280" w:left="1300" w:header="720" w:footer="720" w:gutter="0"/>
          <w:cols w:equalWidth="0" w:num="3">
            <w:col w:w="4124" w:space="40"/>
            <w:col w:w="1551" w:space="39"/>
            <w:col w:w="3556"/>
          </w:cols>
        </w:sectPr>
      </w:pPr>
    </w:p>
    <w:p>
      <w:pPr>
        <w:pStyle w:val="6"/>
        <w:spacing w:before="5"/>
        <w:rPr>
          <w:rFonts w:ascii="Symbol" w:hAnsi="Symbol"/>
          <w:i/>
          <w:sz w:val="15"/>
        </w:rPr>
      </w:pPr>
    </w:p>
    <w:p>
      <w:pPr>
        <w:pStyle w:val="6"/>
        <w:spacing w:before="74"/>
        <w:ind w:left="931"/>
      </w:pPr>
      <w:r>
        <w:t>式中：</w:t>
      </w:r>
      <w:r>
        <w:rPr>
          <w:rFonts w:ascii="Times New Roman" w:hAnsi="Times New Roman" w:eastAsia="Times New Roman"/>
          <w:i/>
        </w:rPr>
        <w:t>D</w:t>
      </w:r>
      <w:r>
        <w:rPr>
          <w:rFonts w:ascii="Times New Roman" w:hAnsi="Times New Roman" w:eastAsia="Times New Roman"/>
        </w:rPr>
        <w:t>——</w:t>
      </w:r>
      <w:r>
        <w:t>开采煤层区域</w:t>
      </w:r>
    </w:p>
    <w:p>
      <w:pPr>
        <w:spacing w:before="14" w:line="510" w:lineRule="atLeast"/>
        <w:ind w:left="931" w:right="5258" w:hanging="11"/>
        <w:jc w:val="left"/>
        <w:rPr>
          <w:sz w:val="24"/>
        </w:rPr>
      </w:pPr>
      <w:r>
        <w:rPr>
          <w:i/>
          <w:sz w:val="25"/>
        </w:rPr>
        <w:t>（</w:t>
      </w:r>
      <w:r>
        <w:rPr>
          <w:rFonts w:ascii="Times New Roman" w:hAnsi="Times New Roman" w:eastAsia="Times New Roman"/>
          <w:i/>
          <w:sz w:val="24"/>
        </w:rPr>
        <w:t>x</w:t>
      </w:r>
      <w:r>
        <w:rPr>
          <w:i/>
          <w:sz w:val="25"/>
        </w:rPr>
        <w:t>，</w:t>
      </w:r>
      <w:r>
        <w:rPr>
          <w:rFonts w:ascii="Times New Roman" w:hAnsi="Times New Roman" w:eastAsia="Times New Roman"/>
          <w:i/>
          <w:sz w:val="24"/>
        </w:rPr>
        <w:t>y</w:t>
      </w:r>
      <w:r>
        <w:rPr>
          <w:i/>
          <w:sz w:val="25"/>
        </w:rPr>
        <w:t>）</w:t>
      </w:r>
      <w:r>
        <w:rPr>
          <w:rFonts w:ascii="Times New Roman" w:hAnsi="Times New Roman" w:eastAsia="Times New Roman"/>
          <w:sz w:val="24"/>
        </w:rPr>
        <w:t>——</w:t>
      </w:r>
      <w:r>
        <w:rPr>
          <w:sz w:val="24"/>
        </w:rPr>
        <w:t>计算点相对坐标其他符号意义同前。</w:t>
      </w:r>
    </w:p>
    <w:p>
      <w:pPr>
        <w:pStyle w:val="5"/>
        <w:numPr>
          <w:ilvl w:val="3"/>
          <w:numId w:val="38"/>
        </w:numPr>
        <w:tabs>
          <w:tab w:val="left" w:pos="1232"/>
        </w:tabs>
        <w:spacing w:before="123" w:after="0" w:line="240" w:lineRule="auto"/>
        <w:ind w:left="1232" w:right="0" w:hanging="781"/>
        <w:jc w:val="left"/>
      </w:pPr>
      <w:r>
        <w:t>地表沉陷预测模型参数确定</w:t>
      </w:r>
    </w:p>
    <w:p>
      <w:pPr>
        <w:spacing w:after="0" w:line="240" w:lineRule="auto"/>
        <w:jc w:val="left"/>
        <w:sectPr>
          <w:type w:val="continuous"/>
          <w:pgSz w:w="11910" w:h="16840"/>
          <w:pgMar w:top="1580" w:right="1300" w:bottom="280" w:left="1300" w:header="720" w:footer="720" w:gutter="0"/>
        </w:sectPr>
      </w:pPr>
    </w:p>
    <w:p>
      <w:pPr>
        <w:pStyle w:val="6"/>
        <w:spacing w:before="62" w:line="364" w:lineRule="auto"/>
        <w:ind w:left="451" w:right="449" w:firstLine="480"/>
        <w:jc w:val="both"/>
      </w:pPr>
      <w:r>
        <w:rPr>
          <w:spacing w:val="-4"/>
        </w:rPr>
        <w:t xml:space="preserve">根据可采煤层岩石力学样分析结果，采用覆岩综合评价系数 </w:t>
      </w:r>
      <w:r>
        <w:rPr>
          <w:rFonts w:ascii="Times New Roman" w:hAnsi="Times New Roman" w:eastAsia="Times New Roman"/>
        </w:rPr>
        <w:t xml:space="preserve">P </w:t>
      </w:r>
      <w:r>
        <w:rPr>
          <w:spacing w:val="-4"/>
        </w:rPr>
        <w:t>及地质、开采</w:t>
      </w:r>
      <w:r>
        <w:t>技术条件和查取</w:t>
      </w:r>
      <w:r>
        <w:rPr>
          <w:rFonts w:ascii="Times New Roman" w:hAnsi="Times New Roman" w:eastAsia="Times New Roman"/>
        </w:rPr>
        <w:t>“</w:t>
      </w:r>
      <w:r>
        <w:t>三下</w:t>
      </w:r>
      <w:r>
        <w:rPr>
          <w:rFonts w:ascii="Times New Roman" w:hAnsi="Times New Roman" w:eastAsia="Times New Roman"/>
        </w:rPr>
        <w:t>”</w:t>
      </w:r>
      <w:r>
        <w:t>采煤规程法，并本着与规程相悖者按规程，在规程范围内</w:t>
      </w:r>
      <w:r>
        <w:rPr>
          <w:spacing w:val="-3"/>
        </w:rPr>
        <w:t xml:space="preserve">求精确的原则，所确定的该矿地表移动变形参数参数见表 </w:t>
      </w:r>
      <w:r>
        <w:rPr>
          <w:rFonts w:ascii="Times New Roman" w:hAnsi="Times New Roman" w:eastAsia="Times New Roman"/>
        </w:rPr>
        <w:t>5.3-1</w:t>
      </w:r>
      <w:r>
        <w:t>。</w:t>
      </w:r>
    </w:p>
    <w:p>
      <w:pPr>
        <w:pStyle w:val="5"/>
        <w:tabs>
          <w:tab w:val="left" w:pos="1049"/>
        </w:tabs>
        <w:spacing w:line="233" w:lineRule="exact"/>
        <w:ind w:left="9"/>
        <w:jc w:val="center"/>
      </w:pPr>
      <w:r>
        <w:t>表</w:t>
      </w:r>
      <w:r>
        <w:rPr>
          <w:spacing w:val="-62"/>
        </w:rPr>
        <w:t xml:space="preserve"> </w:t>
      </w:r>
      <w:r>
        <w:rPr>
          <w:rFonts w:ascii="Times New Roman" w:eastAsia="Times New Roman"/>
        </w:rPr>
        <w:t>5.3-1</w:t>
      </w:r>
      <w:r>
        <w:rPr>
          <w:rFonts w:ascii="Times New Roman" w:eastAsia="Times New Roman"/>
        </w:rPr>
        <w:tab/>
      </w:r>
      <w:r>
        <w:t>地表移动变形模式输入参数</w:t>
      </w:r>
    </w:p>
    <w:tbl>
      <w:tblPr>
        <w:tblStyle w:val="10"/>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6"/>
        <w:gridCol w:w="1732"/>
        <w:gridCol w:w="939"/>
        <w:gridCol w:w="939"/>
        <w:gridCol w:w="2606"/>
        <w:gridCol w:w="22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626" w:type="dxa"/>
          </w:tcPr>
          <w:p>
            <w:pPr>
              <w:pStyle w:val="14"/>
              <w:spacing w:before="129"/>
              <w:ind w:left="81" w:right="75"/>
              <w:rPr>
                <w:sz w:val="21"/>
              </w:rPr>
            </w:pPr>
            <w:r>
              <w:rPr>
                <w:sz w:val="21"/>
              </w:rPr>
              <w:t>序号</w:t>
            </w:r>
          </w:p>
        </w:tc>
        <w:tc>
          <w:tcPr>
            <w:tcW w:w="1732" w:type="dxa"/>
          </w:tcPr>
          <w:p>
            <w:pPr>
              <w:pStyle w:val="14"/>
              <w:spacing w:before="129"/>
              <w:ind w:left="213" w:right="206"/>
              <w:rPr>
                <w:sz w:val="21"/>
              </w:rPr>
            </w:pPr>
            <w:r>
              <w:rPr>
                <w:sz w:val="21"/>
              </w:rPr>
              <w:t>预测参数</w:t>
            </w:r>
          </w:p>
        </w:tc>
        <w:tc>
          <w:tcPr>
            <w:tcW w:w="939" w:type="dxa"/>
          </w:tcPr>
          <w:p>
            <w:pPr>
              <w:pStyle w:val="14"/>
              <w:spacing w:before="129"/>
              <w:ind w:left="237" w:right="230"/>
              <w:rPr>
                <w:sz w:val="21"/>
              </w:rPr>
            </w:pPr>
            <w:r>
              <w:rPr>
                <w:sz w:val="21"/>
              </w:rPr>
              <w:t>符号</w:t>
            </w:r>
          </w:p>
        </w:tc>
        <w:tc>
          <w:tcPr>
            <w:tcW w:w="939" w:type="dxa"/>
          </w:tcPr>
          <w:p>
            <w:pPr>
              <w:pStyle w:val="14"/>
              <w:spacing w:before="129"/>
              <w:ind w:left="237" w:right="231"/>
              <w:rPr>
                <w:sz w:val="21"/>
              </w:rPr>
            </w:pPr>
            <w:r>
              <w:rPr>
                <w:sz w:val="21"/>
              </w:rPr>
              <w:t>单位</w:t>
            </w:r>
          </w:p>
        </w:tc>
        <w:tc>
          <w:tcPr>
            <w:tcW w:w="2606" w:type="dxa"/>
          </w:tcPr>
          <w:p>
            <w:pPr>
              <w:pStyle w:val="14"/>
              <w:spacing w:before="129"/>
              <w:ind w:left="776"/>
              <w:jc w:val="left"/>
              <w:rPr>
                <w:sz w:val="21"/>
              </w:rPr>
            </w:pPr>
            <w:r>
              <w:rPr>
                <w:sz w:val="21"/>
              </w:rPr>
              <w:t>预测参数值</w:t>
            </w:r>
          </w:p>
        </w:tc>
        <w:tc>
          <w:tcPr>
            <w:tcW w:w="2239" w:type="dxa"/>
          </w:tcPr>
          <w:p>
            <w:pPr>
              <w:pStyle w:val="14"/>
              <w:spacing w:before="129"/>
              <w:ind w:left="887" w:right="881"/>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 w:hRule="atLeast"/>
        </w:trPr>
        <w:tc>
          <w:tcPr>
            <w:tcW w:w="626" w:type="dxa"/>
          </w:tcPr>
          <w:p>
            <w:pPr>
              <w:pStyle w:val="14"/>
              <w:spacing w:before="142"/>
              <w:ind w:left="9"/>
              <w:rPr>
                <w:rFonts w:ascii="Times New Roman"/>
                <w:sz w:val="21"/>
              </w:rPr>
            </w:pPr>
            <w:r>
              <w:rPr>
                <w:rFonts w:ascii="Times New Roman"/>
                <w:w w:val="99"/>
                <w:sz w:val="21"/>
              </w:rPr>
              <w:t>1</w:t>
            </w:r>
          </w:p>
        </w:tc>
        <w:tc>
          <w:tcPr>
            <w:tcW w:w="1732" w:type="dxa"/>
          </w:tcPr>
          <w:p>
            <w:pPr>
              <w:pStyle w:val="14"/>
              <w:spacing w:before="128"/>
              <w:ind w:left="213" w:right="206"/>
              <w:rPr>
                <w:sz w:val="21"/>
              </w:rPr>
            </w:pPr>
            <w:r>
              <w:rPr>
                <w:sz w:val="21"/>
              </w:rPr>
              <w:t>下沉系数</w:t>
            </w:r>
          </w:p>
        </w:tc>
        <w:tc>
          <w:tcPr>
            <w:tcW w:w="939" w:type="dxa"/>
          </w:tcPr>
          <w:p>
            <w:pPr>
              <w:pStyle w:val="14"/>
              <w:spacing w:before="5"/>
              <w:jc w:val="left"/>
              <w:rPr>
                <w:b/>
                <w:sz w:val="12"/>
              </w:rPr>
            </w:pPr>
          </w:p>
          <w:p>
            <w:pPr>
              <w:pStyle w:val="14"/>
              <w:spacing w:line="165" w:lineRule="exact"/>
              <w:ind w:left="395"/>
              <w:jc w:val="left"/>
              <w:rPr>
                <w:sz w:val="16"/>
              </w:rPr>
            </w:pPr>
            <w:r>
              <w:rPr>
                <w:position w:val="-2"/>
                <w:sz w:val="16"/>
              </w:rPr>
              <w:drawing>
                <wp:inline distT="0" distB="0" distL="0" distR="0">
                  <wp:extent cx="66675" cy="104775"/>
                  <wp:effectExtent l="0" t="0" r="0" b="0"/>
                  <wp:docPr id="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0.png"/>
                          <pic:cNvPicPr>
                            <a:picLocks noChangeAspect="1"/>
                          </pic:cNvPicPr>
                        </pic:nvPicPr>
                        <pic:blipFill>
                          <a:blip r:embed="rId56" cstate="print"/>
                          <a:stretch>
                            <a:fillRect/>
                          </a:stretch>
                        </pic:blipFill>
                        <pic:spPr>
                          <a:xfrm>
                            <a:off x="0" y="0"/>
                            <a:ext cx="66759" cy="104775"/>
                          </a:xfrm>
                          <a:prstGeom prst="rect">
                            <a:avLst/>
                          </a:prstGeom>
                        </pic:spPr>
                      </pic:pic>
                    </a:graphicData>
                  </a:graphic>
                </wp:inline>
              </w:drawing>
            </w:r>
          </w:p>
        </w:tc>
        <w:tc>
          <w:tcPr>
            <w:tcW w:w="939" w:type="dxa"/>
          </w:tcPr>
          <w:p>
            <w:pPr>
              <w:pStyle w:val="14"/>
              <w:jc w:val="left"/>
              <w:rPr>
                <w:rFonts w:ascii="Times New Roman"/>
                <w:sz w:val="22"/>
              </w:rPr>
            </w:pPr>
          </w:p>
        </w:tc>
        <w:tc>
          <w:tcPr>
            <w:tcW w:w="2606" w:type="dxa"/>
          </w:tcPr>
          <w:p>
            <w:pPr>
              <w:pStyle w:val="14"/>
              <w:spacing w:before="142"/>
              <w:ind w:left="891" w:right="879"/>
              <w:rPr>
                <w:rFonts w:ascii="Times New Roman"/>
                <w:sz w:val="21"/>
              </w:rPr>
            </w:pPr>
            <w:r>
              <w:rPr>
                <w:rFonts w:ascii="Times New Roman"/>
                <w:sz w:val="21"/>
              </w:rPr>
              <w:t>0.6</w:t>
            </w:r>
          </w:p>
        </w:tc>
        <w:tc>
          <w:tcPr>
            <w:tcW w:w="2239" w:type="dxa"/>
          </w:tcPr>
          <w:p>
            <w:pPr>
              <w:pStyle w:val="14"/>
              <w:spacing w:before="128"/>
              <w:ind w:left="383"/>
              <w:jc w:val="left"/>
              <w:rPr>
                <w:sz w:val="21"/>
              </w:rPr>
            </w:pPr>
            <w:r>
              <w:rPr>
                <w:sz w:val="21"/>
              </w:rPr>
              <w:t>矿井实测推算值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626" w:type="dxa"/>
          </w:tcPr>
          <w:p>
            <w:pPr>
              <w:pStyle w:val="14"/>
              <w:spacing w:before="142"/>
              <w:ind w:left="9"/>
              <w:rPr>
                <w:rFonts w:ascii="Times New Roman"/>
                <w:sz w:val="21"/>
              </w:rPr>
            </w:pPr>
            <w:r>
              <w:rPr>
                <w:rFonts w:ascii="Times New Roman"/>
                <w:w w:val="99"/>
                <w:sz w:val="21"/>
              </w:rPr>
              <w:t>2</w:t>
            </w:r>
          </w:p>
        </w:tc>
        <w:tc>
          <w:tcPr>
            <w:tcW w:w="1732" w:type="dxa"/>
          </w:tcPr>
          <w:p>
            <w:pPr>
              <w:pStyle w:val="14"/>
              <w:spacing w:before="128"/>
              <w:ind w:left="213" w:right="209"/>
              <w:rPr>
                <w:sz w:val="21"/>
              </w:rPr>
            </w:pPr>
            <w:r>
              <w:rPr>
                <w:sz w:val="21"/>
              </w:rPr>
              <w:t>主要影响正切</w:t>
            </w:r>
          </w:p>
        </w:tc>
        <w:tc>
          <w:tcPr>
            <w:tcW w:w="939" w:type="dxa"/>
          </w:tcPr>
          <w:p>
            <w:pPr>
              <w:pStyle w:val="14"/>
              <w:spacing w:before="10"/>
              <w:jc w:val="left"/>
              <w:rPr>
                <w:b/>
                <w:sz w:val="11"/>
              </w:rPr>
            </w:pPr>
          </w:p>
          <w:p>
            <w:pPr>
              <w:pStyle w:val="14"/>
              <w:spacing w:line="195" w:lineRule="exact"/>
              <w:ind w:left="318"/>
              <w:jc w:val="left"/>
              <w:rPr>
                <w:sz w:val="19"/>
              </w:rPr>
            </w:pPr>
            <w:r>
              <w:rPr>
                <w:position w:val="-3"/>
                <w:sz w:val="19"/>
              </w:rPr>
              <w:drawing>
                <wp:inline distT="0" distB="0" distL="0" distR="0">
                  <wp:extent cx="180340" cy="123825"/>
                  <wp:effectExtent l="0" t="0" r="0" b="0"/>
                  <wp:docPr id="3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1.png"/>
                          <pic:cNvPicPr>
                            <a:picLocks noChangeAspect="1"/>
                          </pic:cNvPicPr>
                        </pic:nvPicPr>
                        <pic:blipFill>
                          <a:blip r:embed="rId57" cstate="print"/>
                          <a:stretch>
                            <a:fillRect/>
                          </a:stretch>
                        </pic:blipFill>
                        <pic:spPr>
                          <a:xfrm>
                            <a:off x="0" y="0"/>
                            <a:ext cx="180594" cy="123825"/>
                          </a:xfrm>
                          <a:prstGeom prst="rect">
                            <a:avLst/>
                          </a:prstGeom>
                        </pic:spPr>
                      </pic:pic>
                    </a:graphicData>
                  </a:graphic>
                </wp:inline>
              </w:drawing>
            </w:r>
          </w:p>
        </w:tc>
        <w:tc>
          <w:tcPr>
            <w:tcW w:w="939" w:type="dxa"/>
          </w:tcPr>
          <w:p>
            <w:pPr>
              <w:pStyle w:val="14"/>
              <w:jc w:val="left"/>
              <w:rPr>
                <w:rFonts w:ascii="Times New Roman"/>
                <w:sz w:val="22"/>
              </w:rPr>
            </w:pPr>
          </w:p>
        </w:tc>
        <w:tc>
          <w:tcPr>
            <w:tcW w:w="2606" w:type="dxa"/>
          </w:tcPr>
          <w:p>
            <w:pPr>
              <w:pStyle w:val="14"/>
              <w:spacing w:before="142"/>
              <w:ind w:left="891" w:right="879"/>
              <w:rPr>
                <w:rFonts w:ascii="Times New Roman"/>
                <w:sz w:val="21"/>
              </w:rPr>
            </w:pPr>
            <w:r>
              <w:rPr>
                <w:rFonts w:ascii="Times New Roman"/>
                <w:sz w:val="21"/>
              </w:rPr>
              <w:t>1.7</w:t>
            </w:r>
          </w:p>
        </w:tc>
        <w:tc>
          <w:tcPr>
            <w:tcW w:w="2239" w:type="dxa"/>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626" w:type="dxa"/>
          </w:tcPr>
          <w:p>
            <w:pPr>
              <w:pStyle w:val="14"/>
              <w:spacing w:before="142"/>
              <w:ind w:left="9"/>
              <w:rPr>
                <w:rFonts w:ascii="Times New Roman"/>
                <w:sz w:val="21"/>
              </w:rPr>
            </w:pPr>
            <w:r>
              <w:rPr>
                <w:rFonts w:ascii="Times New Roman"/>
                <w:w w:val="99"/>
                <w:sz w:val="21"/>
              </w:rPr>
              <w:t>3</w:t>
            </w:r>
          </w:p>
        </w:tc>
        <w:tc>
          <w:tcPr>
            <w:tcW w:w="1732" w:type="dxa"/>
          </w:tcPr>
          <w:p>
            <w:pPr>
              <w:pStyle w:val="14"/>
              <w:spacing w:before="128"/>
              <w:ind w:left="213" w:right="209"/>
              <w:rPr>
                <w:sz w:val="21"/>
              </w:rPr>
            </w:pPr>
            <w:r>
              <w:rPr>
                <w:sz w:val="21"/>
              </w:rPr>
              <w:t>水平移动系数</w:t>
            </w:r>
          </w:p>
        </w:tc>
        <w:tc>
          <w:tcPr>
            <w:tcW w:w="939" w:type="dxa"/>
          </w:tcPr>
          <w:p>
            <w:pPr>
              <w:pStyle w:val="14"/>
              <w:spacing w:before="142"/>
              <w:ind w:left="11"/>
              <w:rPr>
                <w:rFonts w:ascii="Times New Roman"/>
                <w:sz w:val="21"/>
              </w:rPr>
            </w:pPr>
            <w:r>
              <w:rPr>
                <w:rFonts w:ascii="Times New Roman"/>
                <w:w w:val="99"/>
                <w:sz w:val="21"/>
              </w:rPr>
              <w:t>b</w:t>
            </w:r>
          </w:p>
        </w:tc>
        <w:tc>
          <w:tcPr>
            <w:tcW w:w="939" w:type="dxa"/>
          </w:tcPr>
          <w:p>
            <w:pPr>
              <w:pStyle w:val="14"/>
              <w:jc w:val="left"/>
              <w:rPr>
                <w:rFonts w:ascii="Times New Roman"/>
                <w:sz w:val="22"/>
              </w:rPr>
            </w:pPr>
          </w:p>
        </w:tc>
        <w:tc>
          <w:tcPr>
            <w:tcW w:w="2606" w:type="dxa"/>
          </w:tcPr>
          <w:p>
            <w:pPr>
              <w:pStyle w:val="14"/>
              <w:spacing w:before="142"/>
              <w:ind w:left="891" w:right="882"/>
              <w:rPr>
                <w:rFonts w:ascii="Times New Roman"/>
                <w:sz w:val="21"/>
              </w:rPr>
            </w:pPr>
            <w:r>
              <w:rPr>
                <w:rFonts w:ascii="Times New Roman"/>
                <w:sz w:val="21"/>
              </w:rPr>
              <w:t>0.25</w:t>
            </w:r>
          </w:p>
        </w:tc>
        <w:tc>
          <w:tcPr>
            <w:tcW w:w="2239" w:type="dxa"/>
          </w:tcPr>
          <w:p>
            <w:pPr>
              <w:pStyle w:val="14"/>
              <w:spacing w:before="128"/>
              <w:ind w:left="750"/>
              <w:jc w:val="left"/>
              <w:rPr>
                <w:rFonts w:ascii="Times New Roman" w:eastAsia="Times New Roman"/>
                <w:sz w:val="21"/>
              </w:rPr>
            </w:pPr>
            <w:r>
              <w:rPr>
                <w:rFonts w:ascii="Times New Roman" w:eastAsia="Times New Roman"/>
                <w:sz w:val="21"/>
              </w:rPr>
              <w:t>0.2</w:t>
            </w:r>
            <w:r>
              <w:rPr>
                <w:sz w:val="21"/>
              </w:rPr>
              <w:t>～</w:t>
            </w:r>
            <w:r>
              <w:rPr>
                <w:rFonts w:ascii="Times New Roman" w:eastAsia="Times New Roman"/>
                <w:sz w:val="21"/>
              </w:rPr>
              <w:t>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 w:hRule="atLeast"/>
        </w:trPr>
        <w:tc>
          <w:tcPr>
            <w:tcW w:w="626" w:type="dxa"/>
          </w:tcPr>
          <w:p>
            <w:pPr>
              <w:pStyle w:val="14"/>
              <w:spacing w:before="144"/>
              <w:ind w:left="9"/>
              <w:rPr>
                <w:rFonts w:ascii="Times New Roman"/>
                <w:sz w:val="21"/>
              </w:rPr>
            </w:pPr>
            <w:r>
              <w:rPr>
                <w:rFonts w:ascii="Times New Roman"/>
                <w:w w:val="99"/>
                <w:sz w:val="21"/>
              </w:rPr>
              <w:t>4</w:t>
            </w:r>
          </w:p>
        </w:tc>
        <w:tc>
          <w:tcPr>
            <w:tcW w:w="1732" w:type="dxa"/>
          </w:tcPr>
          <w:p>
            <w:pPr>
              <w:pStyle w:val="14"/>
              <w:spacing w:before="130"/>
              <w:ind w:left="213" w:right="206"/>
              <w:rPr>
                <w:sz w:val="21"/>
              </w:rPr>
            </w:pPr>
            <w:r>
              <w:rPr>
                <w:sz w:val="21"/>
              </w:rPr>
              <w:t>拐点偏移距</w:t>
            </w:r>
          </w:p>
        </w:tc>
        <w:tc>
          <w:tcPr>
            <w:tcW w:w="939" w:type="dxa"/>
          </w:tcPr>
          <w:p>
            <w:pPr>
              <w:pStyle w:val="14"/>
              <w:spacing w:before="144"/>
              <w:ind w:left="8"/>
              <w:rPr>
                <w:rFonts w:ascii="Times New Roman"/>
                <w:sz w:val="21"/>
              </w:rPr>
            </w:pPr>
            <w:r>
              <w:rPr>
                <w:rFonts w:ascii="Times New Roman"/>
                <w:w w:val="99"/>
                <w:sz w:val="21"/>
              </w:rPr>
              <w:t>S</w:t>
            </w:r>
          </w:p>
        </w:tc>
        <w:tc>
          <w:tcPr>
            <w:tcW w:w="939" w:type="dxa"/>
          </w:tcPr>
          <w:p>
            <w:pPr>
              <w:pStyle w:val="14"/>
              <w:spacing w:before="144"/>
              <w:ind w:left="10"/>
              <w:rPr>
                <w:rFonts w:ascii="Times New Roman"/>
                <w:sz w:val="21"/>
              </w:rPr>
            </w:pPr>
            <w:r>
              <w:rPr>
                <w:rFonts w:ascii="Times New Roman"/>
                <w:w w:val="99"/>
                <w:sz w:val="21"/>
              </w:rPr>
              <w:t>m</w:t>
            </w:r>
          </w:p>
        </w:tc>
        <w:tc>
          <w:tcPr>
            <w:tcW w:w="2606" w:type="dxa"/>
          </w:tcPr>
          <w:p>
            <w:pPr>
              <w:pStyle w:val="14"/>
              <w:spacing w:before="127"/>
              <w:ind w:left="454"/>
              <w:jc w:val="left"/>
              <w:rPr>
                <w:rFonts w:ascii="Times New Roman" w:eastAsia="Times New Roman"/>
                <w:sz w:val="21"/>
              </w:rPr>
            </w:pPr>
            <w:r>
              <w:rPr>
                <w:rFonts w:ascii="Times New Roman" w:eastAsia="Times New Roman"/>
                <w:position w:val="2"/>
                <w:sz w:val="21"/>
              </w:rPr>
              <w:t>S</w:t>
            </w:r>
            <w:r>
              <w:rPr>
                <w:rFonts w:ascii="Times New Roman" w:eastAsia="Times New Roman"/>
                <w:position w:val="2"/>
                <w:sz w:val="21"/>
                <w:vertAlign w:val="subscript"/>
              </w:rPr>
              <w:t>1</w:t>
            </w:r>
            <w:r>
              <w:rPr>
                <w:position w:val="2"/>
                <w:sz w:val="21"/>
                <w:vertAlign w:val="baseline"/>
              </w:rPr>
              <w:t>、</w:t>
            </w:r>
            <w:r>
              <w:rPr>
                <w:rFonts w:ascii="Times New Roman" w:eastAsia="Times New Roman"/>
                <w:position w:val="2"/>
                <w:sz w:val="21"/>
                <w:vertAlign w:val="baseline"/>
              </w:rPr>
              <w:t>S</w:t>
            </w:r>
            <w:r>
              <w:rPr>
                <w:rFonts w:ascii="Times New Roman" w:eastAsia="Times New Roman"/>
                <w:position w:val="2"/>
                <w:sz w:val="21"/>
                <w:vertAlign w:val="subscript"/>
              </w:rPr>
              <w:t>2</w:t>
            </w:r>
            <w:r>
              <w:rPr>
                <w:position w:val="2"/>
                <w:sz w:val="21"/>
                <w:vertAlign w:val="baseline"/>
              </w:rPr>
              <w:t>、</w:t>
            </w:r>
            <w:r>
              <w:rPr>
                <w:rFonts w:ascii="Times New Roman" w:eastAsia="Times New Roman"/>
                <w:position w:val="2"/>
                <w:sz w:val="21"/>
                <w:vertAlign w:val="baseline"/>
              </w:rPr>
              <w:t>S</w:t>
            </w:r>
            <w:r>
              <w:rPr>
                <w:rFonts w:ascii="Times New Roman" w:eastAsia="Times New Roman"/>
                <w:position w:val="2"/>
                <w:sz w:val="21"/>
                <w:vertAlign w:val="subscript"/>
              </w:rPr>
              <w:t>3</w:t>
            </w:r>
            <w:r>
              <w:rPr>
                <w:position w:val="2"/>
                <w:sz w:val="21"/>
                <w:vertAlign w:val="baseline"/>
              </w:rPr>
              <w:t>、</w:t>
            </w:r>
            <w:r>
              <w:rPr>
                <w:rFonts w:ascii="Times New Roman" w:eastAsia="Times New Roman"/>
                <w:position w:val="2"/>
                <w:sz w:val="21"/>
                <w:vertAlign w:val="baseline"/>
              </w:rPr>
              <w:t>S</w:t>
            </w:r>
            <w:r>
              <w:rPr>
                <w:rFonts w:ascii="Times New Roman" w:eastAsia="Times New Roman"/>
                <w:position w:val="2"/>
                <w:sz w:val="21"/>
                <w:vertAlign w:val="subscript"/>
              </w:rPr>
              <w:t>4</w:t>
            </w:r>
            <w:r>
              <w:rPr>
                <w:rFonts w:ascii="Times New Roman" w:eastAsia="Times New Roman"/>
                <w:position w:val="2"/>
                <w:sz w:val="21"/>
                <w:vertAlign w:val="baseline"/>
              </w:rPr>
              <w:t>=10</w:t>
            </w:r>
          </w:p>
        </w:tc>
        <w:tc>
          <w:tcPr>
            <w:tcW w:w="2239" w:type="dxa"/>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626" w:type="dxa"/>
          </w:tcPr>
          <w:p>
            <w:pPr>
              <w:pStyle w:val="14"/>
              <w:spacing w:before="143"/>
              <w:ind w:left="9"/>
              <w:rPr>
                <w:rFonts w:ascii="Times New Roman"/>
                <w:sz w:val="21"/>
              </w:rPr>
            </w:pPr>
            <w:r>
              <w:rPr>
                <w:rFonts w:ascii="Times New Roman"/>
                <w:w w:val="99"/>
                <w:sz w:val="21"/>
              </w:rPr>
              <w:t>5</w:t>
            </w:r>
          </w:p>
        </w:tc>
        <w:tc>
          <w:tcPr>
            <w:tcW w:w="1732" w:type="dxa"/>
          </w:tcPr>
          <w:p>
            <w:pPr>
              <w:pStyle w:val="14"/>
              <w:spacing w:before="129"/>
              <w:ind w:left="213" w:right="206"/>
              <w:rPr>
                <w:sz w:val="21"/>
              </w:rPr>
            </w:pPr>
            <w:r>
              <w:rPr>
                <w:sz w:val="21"/>
              </w:rPr>
              <w:t>影响传播角</w:t>
            </w:r>
          </w:p>
        </w:tc>
        <w:tc>
          <w:tcPr>
            <w:tcW w:w="939" w:type="dxa"/>
          </w:tcPr>
          <w:p>
            <w:pPr>
              <w:pStyle w:val="14"/>
              <w:spacing w:after="1"/>
              <w:jc w:val="left"/>
              <w:rPr>
                <w:b/>
                <w:sz w:val="14"/>
              </w:rPr>
            </w:pPr>
          </w:p>
          <w:p>
            <w:pPr>
              <w:pStyle w:val="14"/>
              <w:spacing w:line="165" w:lineRule="exact"/>
              <w:ind w:left="402"/>
              <w:jc w:val="left"/>
              <w:rPr>
                <w:sz w:val="16"/>
              </w:rPr>
            </w:pPr>
            <w:r>
              <w:rPr>
                <w:position w:val="-2"/>
                <w:sz w:val="16"/>
              </w:rPr>
              <w:drawing>
                <wp:inline distT="0" distB="0" distL="0" distR="0">
                  <wp:extent cx="76200" cy="104775"/>
                  <wp:effectExtent l="0" t="0" r="0" b="0"/>
                  <wp:docPr id="4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2.png"/>
                          <pic:cNvPicPr>
                            <a:picLocks noChangeAspect="1"/>
                          </pic:cNvPicPr>
                        </pic:nvPicPr>
                        <pic:blipFill>
                          <a:blip r:embed="rId58" cstate="print"/>
                          <a:stretch>
                            <a:fillRect/>
                          </a:stretch>
                        </pic:blipFill>
                        <pic:spPr>
                          <a:xfrm>
                            <a:off x="0" y="0"/>
                            <a:ext cx="76242" cy="104775"/>
                          </a:xfrm>
                          <a:prstGeom prst="rect">
                            <a:avLst/>
                          </a:prstGeom>
                        </pic:spPr>
                      </pic:pic>
                    </a:graphicData>
                  </a:graphic>
                </wp:inline>
              </w:drawing>
            </w:r>
          </w:p>
        </w:tc>
        <w:tc>
          <w:tcPr>
            <w:tcW w:w="939" w:type="dxa"/>
          </w:tcPr>
          <w:p>
            <w:pPr>
              <w:pStyle w:val="14"/>
              <w:spacing w:before="143"/>
              <w:ind w:left="237" w:right="225"/>
              <w:rPr>
                <w:rFonts w:ascii="Times New Roman"/>
                <w:sz w:val="21"/>
              </w:rPr>
            </w:pPr>
            <w:r>
              <w:rPr>
                <w:rFonts w:ascii="Times New Roman"/>
                <w:sz w:val="21"/>
              </w:rPr>
              <w:t>deg</w:t>
            </w:r>
          </w:p>
        </w:tc>
        <w:tc>
          <w:tcPr>
            <w:tcW w:w="2606" w:type="dxa"/>
          </w:tcPr>
          <w:p>
            <w:pPr>
              <w:pStyle w:val="14"/>
              <w:spacing w:before="158"/>
              <w:ind w:left="859" w:right="1089"/>
              <w:rPr>
                <w:rFonts w:ascii="Times New Roman"/>
                <w:sz w:val="21"/>
              </w:rPr>
            </w:pPr>
            <w:r>
              <w:rPr>
                <w:rFonts w:ascii="Times New Roman"/>
                <w:sz w:val="21"/>
              </w:rPr>
              <w:t>90-0.6</w:t>
            </w:r>
          </w:p>
        </w:tc>
        <w:tc>
          <w:tcPr>
            <w:tcW w:w="2239" w:type="dxa"/>
          </w:tcPr>
          <w:p>
            <w:pPr>
              <w:pStyle w:val="14"/>
              <w:spacing w:before="136"/>
              <w:ind w:left="493"/>
              <w:jc w:val="left"/>
              <w:rPr>
                <w:rFonts w:ascii="Times New Roman" w:eastAsia="Times New Roman"/>
                <w:sz w:val="21"/>
              </w:rPr>
            </w:pPr>
            <w:r>
              <w:rPr>
                <w:sz w:val="21"/>
              </w:rPr>
              <w:t>为煤层倾角</w:t>
            </w:r>
            <w:r>
              <w:rPr>
                <w:rFonts w:ascii="Times New Roman" w:eastAsia="Times New Roman"/>
                <w:sz w:val="21"/>
              </w:rPr>
              <w:t>(deg)</w:t>
            </w:r>
          </w:p>
        </w:tc>
      </w:tr>
    </w:tbl>
    <w:p>
      <w:pPr>
        <w:pStyle w:val="6"/>
        <w:spacing w:before="8"/>
        <w:rPr>
          <w:b/>
        </w:rPr>
      </w:pPr>
    </w:p>
    <w:p>
      <w:pPr>
        <w:pStyle w:val="13"/>
        <w:numPr>
          <w:ilvl w:val="2"/>
          <w:numId w:val="38"/>
        </w:numPr>
        <w:tabs>
          <w:tab w:val="left" w:pos="1153"/>
        </w:tabs>
        <w:spacing w:before="0" w:after="0" w:line="240" w:lineRule="auto"/>
        <w:ind w:left="1152" w:right="0" w:hanging="702"/>
        <w:jc w:val="both"/>
        <w:rPr>
          <w:b/>
          <w:sz w:val="28"/>
        </w:rPr>
      </w:pPr>
      <w:r>
        <w:drawing>
          <wp:anchor distT="0" distB="0" distL="0" distR="0" simplePos="0" relativeHeight="214178816" behindDoc="1" locked="0" layoutInCell="1" allowOverlap="1">
            <wp:simplePos x="0" y="0"/>
            <wp:positionH relativeFrom="page">
              <wp:posOffset>4537710</wp:posOffset>
            </wp:positionH>
            <wp:positionV relativeFrom="paragraph">
              <wp:posOffset>-432435</wp:posOffset>
            </wp:positionV>
            <wp:extent cx="95250" cy="76200"/>
            <wp:effectExtent l="0" t="0" r="0" b="0"/>
            <wp:wrapNone/>
            <wp:docPr id="4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3.png"/>
                    <pic:cNvPicPr>
                      <a:picLocks noChangeAspect="1"/>
                    </pic:cNvPicPr>
                  </pic:nvPicPr>
                  <pic:blipFill>
                    <a:blip r:embed="rId59" cstate="print"/>
                    <a:stretch>
                      <a:fillRect/>
                    </a:stretch>
                  </pic:blipFill>
                  <pic:spPr>
                    <a:xfrm>
                      <a:off x="0" y="0"/>
                      <a:ext cx="94996" cy="76200"/>
                    </a:xfrm>
                    <a:prstGeom prst="rect">
                      <a:avLst/>
                    </a:prstGeom>
                  </pic:spPr>
                </pic:pic>
              </a:graphicData>
            </a:graphic>
          </wp:anchor>
        </w:drawing>
      </w:r>
      <w:r>
        <w:drawing>
          <wp:anchor distT="0" distB="0" distL="0" distR="0" simplePos="0" relativeHeight="214179840" behindDoc="1" locked="0" layoutInCell="1" allowOverlap="1">
            <wp:simplePos x="0" y="0"/>
            <wp:positionH relativeFrom="page">
              <wp:posOffset>5430520</wp:posOffset>
            </wp:positionH>
            <wp:positionV relativeFrom="paragraph">
              <wp:posOffset>-436880</wp:posOffset>
            </wp:positionV>
            <wp:extent cx="95250" cy="76200"/>
            <wp:effectExtent l="0" t="0" r="0" b="0"/>
            <wp:wrapNone/>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3.png"/>
                    <pic:cNvPicPr>
                      <a:picLocks noChangeAspect="1"/>
                    </pic:cNvPicPr>
                  </pic:nvPicPr>
                  <pic:blipFill>
                    <a:blip r:embed="rId59" cstate="print"/>
                    <a:stretch>
                      <a:fillRect/>
                    </a:stretch>
                  </pic:blipFill>
                  <pic:spPr>
                    <a:xfrm>
                      <a:off x="0" y="0"/>
                      <a:ext cx="94996" cy="76200"/>
                    </a:xfrm>
                    <a:prstGeom prst="rect">
                      <a:avLst/>
                    </a:prstGeom>
                  </pic:spPr>
                </pic:pic>
              </a:graphicData>
            </a:graphic>
          </wp:anchor>
        </w:drawing>
      </w:r>
      <w:bookmarkStart w:id="168" w:name="5.3.3 地表沉陷预测结果"/>
      <w:bookmarkEnd w:id="168"/>
      <w:bookmarkStart w:id="169" w:name="5.3.3 地表沉陷预测结果"/>
      <w:bookmarkEnd w:id="169"/>
      <w:r>
        <w:rPr>
          <w:b/>
          <w:sz w:val="28"/>
        </w:rPr>
        <w:t>地表沉陷预测结果</w:t>
      </w:r>
    </w:p>
    <w:p>
      <w:pPr>
        <w:pStyle w:val="13"/>
        <w:numPr>
          <w:ilvl w:val="3"/>
          <w:numId w:val="38"/>
        </w:numPr>
        <w:tabs>
          <w:tab w:val="left" w:pos="1232"/>
        </w:tabs>
        <w:spacing w:before="262" w:after="0" w:line="240" w:lineRule="auto"/>
        <w:ind w:left="1232" w:right="0" w:hanging="781"/>
        <w:jc w:val="both"/>
        <w:rPr>
          <w:b/>
          <w:sz w:val="24"/>
        </w:rPr>
      </w:pPr>
      <w:r>
        <w:rPr>
          <w:b/>
          <w:sz w:val="24"/>
        </w:rPr>
        <w:t>地面塌陷预测结论</w:t>
      </w:r>
    </w:p>
    <w:p>
      <w:pPr>
        <w:pStyle w:val="6"/>
        <w:spacing w:before="161" w:line="364" w:lineRule="auto"/>
        <w:ind w:left="451" w:right="453" w:firstLine="480"/>
        <w:jc w:val="both"/>
      </w:pPr>
      <w:r>
        <w:rPr>
          <w:spacing w:val="-1"/>
        </w:rPr>
        <w:t>双鸭山大顺矿业有限公司属地下开采的井工煤矿，拟损毁土地的方式为地面沉陷，根据现场踏勘，矿井目前处于停产阶段。项目区内已形成的地面沉陷地质灾害沉陷程度较小，没有对项目区造成严重的破坏，没有影响到当地人民的生产</w:t>
      </w:r>
      <w:r>
        <w:rPr>
          <w:spacing w:val="-8"/>
        </w:rPr>
        <w:t xml:space="preserve">和生活。矿山剩余服务年限为 </w:t>
      </w:r>
      <w:r>
        <w:rPr>
          <w:rFonts w:ascii="Times New Roman" w:hAnsi="Times New Roman" w:eastAsia="Times New Roman"/>
        </w:rPr>
        <w:t xml:space="preserve">15.4 </w:t>
      </w:r>
      <w:r>
        <w:rPr>
          <w:spacing w:val="-8"/>
        </w:rPr>
        <w:t>年，此次按照资源枯竭进行预测，矿山拟开采</w:t>
      </w:r>
      <w:r>
        <w:rPr>
          <w:spacing w:val="-4"/>
        </w:rPr>
        <w:t xml:space="preserve">的四个煤层，煤层平均倾角取平均 </w:t>
      </w:r>
      <w:r>
        <w:rPr>
          <w:rFonts w:ascii="Times New Roman" w:hAnsi="Times New Roman" w:eastAsia="Times New Roman"/>
        </w:rPr>
        <w:t>25°</w:t>
      </w:r>
      <w:r>
        <w:t>，顶板管理为全部垮落法。</w:t>
      </w:r>
    </w:p>
    <w:p>
      <w:pPr>
        <w:pStyle w:val="6"/>
        <w:spacing w:before="3" w:line="364" w:lineRule="auto"/>
        <w:ind w:left="451" w:right="453" w:firstLine="480"/>
        <w:jc w:val="both"/>
      </w:pPr>
      <w:r>
        <w:t xml:space="preserve">根据以上计算公式及参数，结合井田地质情况及开采方案，经过中国矿业大学开采损害及防护研究所编制的矿山开采沉陷预计软件预测，本矿山在开采结束后地表最大沉陷值为 </w:t>
      </w:r>
      <w:r>
        <w:rPr>
          <w:rFonts w:ascii="Times New Roman" w:eastAsia="Times New Roman"/>
        </w:rPr>
        <w:t>1890mm</w:t>
      </w:r>
      <w:r>
        <w:t>。预测结果见下表。</w:t>
      </w:r>
    </w:p>
    <w:p>
      <w:pPr>
        <w:pStyle w:val="5"/>
        <w:spacing w:before="2"/>
        <w:ind w:left="2422"/>
        <w:jc w:val="both"/>
      </w:pPr>
      <w:r>
        <w:t xml:space="preserve">表 </w:t>
      </w:r>
      <w:r>
        <w:rPr>
          <w:rFonts w:ascii="Times New Roman" w:eastAsia="Times New Roman"/>
        </w:rPr>
        <w:t xml:space="preserve">5.3-2 </w:t>
      </w:r>
      <w:r>
        <w:t>地表移动与变形最大值预测结果表</w:t>
      </w:r>
    </w:p>
    <w:p>
      <w:pPr>
        <w:pStyle w:val="6"/>
        <w:spacing w:before="4"/>
        <w:rPr>
          <w:b/>
          <w:sz w:val="6"/>
        </w:rPr>
      </w:pPr>
    </w:p>
    <w:tbl>
      <w:tblPr>
        <w:tblStyle w:val="10"/>
        <w:tblW w:w="0" w:type="auto"/>
        <w:tblInd w:w="1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380"/>
        <w:gridCol w:w="1480"/>
        <w:gridCol w:w="1640"/>
        <w:gridCol w:w="1740"/>
        <w:gridCol w:w="20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735" w:type="dxa"/>
          </w:tcPr>
          <w:p>
            <w:pPr>
              <w:pStyle w:val="14"/>
              <w:spacing w:before="80"/>
              <w:ind w:left="129" w:right="122"/>
              <w:rPr>
                <w:sz w:val="21"/>
              </w:rPr>
            </w:pPr>
            <w:r>
              <w:rPr>
                <w:sz w:val="21"/>
              </w:rPr>
              <w:t>时段</w:t>
            </w:r>
          </w:p>
        </w:tc>
        <w:tc>
          <w:tcPr>
            <w:tcW w:w="1380" w:type="dxa"/>
          </w:tcPr>
          <w:p>
            <w:pPr>
              <w:pStyle w:val="14"/>
              <w:spacing w:before="80"/>
              <w:ind w:right="153"/>
              <w:jc w:val="right"/>
              <w:rPr>
                <w:rFonts w:ascii="Times New Roman" w:eastAsia="Times New Roman"/>
                <w:sz w:val="21"/>
              </w:rPr>
            </w:pPr>
            <w:r>
              <w:rPr>
                <w:sz w:val="21"/>
              </w:rPr>
              <w:t xml:space="preserve">下沉 </w:t>
            </w:r>
            <w:r>
              <w:rPr>
                <w:rFonts w:ascii="Times New Roman" w:eastAsia="Times New Roman"/>
                <w:sz w:val="21"/>
              </w:rPr>
              <w:t>W/mm</w:t>
            </w:r>
          </w:p>
        </w:tc>
        <w:tc>
          <w:tcPr>
            <w:tcW w:w="1480" w:type="dxa"/>
          </w:tcPr>
          <w:p>
            <w:pPr>
              <w:pStyle w:val="14"/>
              <w:spacing w:before="80"/>
              <w:ind w:left="116"/>
              <w:jc w:val="left"/>
              <w:rPr>
                <w:rFonts w:ascii="Times New Roman" w:eastAsia="Times New Roman"/>
                <w:sz w:val="13"/>
              </w:rPr>
            </w:pPr>
            <w:r>
              <w:rPr>
                <w:sz w:val="21"/>
              </w:rPr>
              <w:t xml:space="preserve">倾斜 </w:t>
            </w:r>
            <w:r>
              <w:rPr>
                <w:rFonts w:ascii="Times New Roman" w:eastAsia="Times New Roman"/>
                <w:sz w:val="21"/>
              </w:rPr>
              <w:t>i/mm/m</w:t>
            </w:r>
            <w:r>
              <w:rPr>
                <w:rFonts w:ascii="Times New Roman" w:eastAsia="Times New Roman"/>
                <w:position w:val="7"/>
                <w:sz w:val="13"/>
              </w:rPr>
              <w:t>-1</w:t>
            </w:r>
          </w:p>
        </w:tc>
        <w:tc>
          <w:tcPr>
            <w:tcW w:w="1640" w:type="dxa"/>
          </w:tcPr>
          <w:p>
            <w:pPr>
              <w:pStyle w:val="14"/>
              <w:spacing w:before="80"/>
              <w:ind w:left="167"/>
              <w:jc w:val="left"/>
              <w:rPr>
                <w:rFonts w:ascii="Times New Roman" w:hAnsi="Times New Roman" w:eastAsia="Times New Roman"/>
                <w:sz w:val="13"/>
              </w:rPr>
            </w:pPr>
            <w:r>
              <w:rPr>
                <w:sz w:val="21"/>
              </w:rPr>
              <w:t xml:space="preserve">曲率 </w:t>
            </w:r>
            <w:r>
              <w:rPr>
                <w:rFonts w:ascii="Times New Roman" w:hAnsi="Times New Roman" w:eastAsia="Times New Roman"/>
                <w:sz w:val="21"/>
              </w:rPr>
              <w:t>k/10</w:t>
            </w:r>
            <w:r>
              <w:rPr>
                <w:rFonts w:ascii="Times New Roman" w:hAnsi="Times New Roman" w:eastAsia="Times New Roman"/>
                <w:position w:val="7"/>
                <w:sz w:val="13"/>
              </w:rPr>
              <w:t>-3</w:t>
            </w:r>
            <w:r>
              <w:rPr>
                <w:rFonts w:ascii="Times New Roman" w:hAnsi="Times New Roman" w:eastAsia="Times New Roman"/>
                <w:sz w:val="21"/>
              </w:rPr>
              <w:t>·m</w:t>
            </w:r>
            <w:r>
              <w:rPr>
                <w:rFonts w:ascii="Times New Roman" w:hAnsi="Times New Roman" w:eastAsia="Times New Roman"/>
                <w:position w:val="7"/>
                <w:sz w:val="13"/>
              </w:rPr>
              <w:t>-1</w:t>
            </w:r>
          </w:p>
        </w:tc>
        <w:tc>
          <w:tcPr>
            <w:tcW w:w="1740" w:type="dxa"/>
          </w:tcPr>
          <w:p>
            <w:pPr>
              <w:pStyle w:val="14"/>
              <w:spacing w:before="80"/>
              <w:ind w:left="154"/>
              <w:jc w:val="left"/>
              <w:rPr>
                <w:rFonts w:ascii="Times New Roman" w:eastAsia="Times New Roman"/>
                <w:sz w:val="21"/>
              </w:rPr>
            </w:pPr>
            <w:r>
              <w:rPr>
                <w:sz w:val="21"/>
              </w:rPr>
              <w:t xml:space="preserve">水平移动 </w:t>
            </w:r>
            <w:r>
              <w:rPr>
                <w:rFonts w:ascii="Times New Roman" w:eastAsia="Times New Roman"/>
                <w:sz w:val="21"/>
              </w:rPr>
              <w:t>U/mm</w:t>
            </w:r>
          </w:p>
        </w:tc>
        <w:tc>
          <w:tcPr>
            <w:tcW w:w="2044" w:type="dxa"/>
          </w:tcPr>
          <w:p>
            <w:pPr>
              <w:pStyle w:val="14"/>
              <w:spacing w:before="80"/>
              <w:ind w:left="192"/>
              <w:jc w:val="left"/>
              <w:rPr>
                <w:rFonts w:ascii="Times New Roman" w:hAnsi="Times New Roman" w:eastAsia="Times New Roman"/>
                <w:sz w:val="13"/>
              </w:rPr>
            </w:pPr>
            <w:r>
              <w:rPr>
                <w:sz w:val="21"/>
              </w:rPr>
              <w:t>水平变形</w:t>
            </w:r>
            <w:r>
              <w:rPr>
                <w:rFonts w:ascii="Times New Roman" w:hAnsi="Times New Roman" w:eastAsia="Times New Roman"/>
                <w:sz w:val="21"/>
              </w:rPr>
              <w:t>ε/mm·m</w:t>
            </w:r>
            <w:r>
              <w:rPr>
                <w:rFonts w:ascii="Times New Roman" w:hAnsi="Times New Roman" w:eastAsia="Times New Roman"/>
                <w:position w:val="7"/>
                <w:sz w:val="13"/>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35" w:type="dxa"/>
          </w:tcPr>
          <w:p>
            <w:pPr>
              <w:pStyle w:val="14"/>
              <w:spacing w:before="97"/>
              <w:ind w:left="129" w:right="122"/>
              <w:rPr>
                <w:sz w:val="21"/>
              </w:rPr>
            </w:pPr>
            <w:r>
              <w:rPr>
                <w:sz w:val="21"/>
              </w:rPr>
              <w:t>——</w:t>
            </w:r>
          </w:p>
        </w:tc>
        <w:tc>
          <w:tcPr>
            <w:tcW w:w="1380" w:type="dxa"/>
          </w:tcPr>
          <w:p>
            <w:pPr>
              <w:pStyle w:val="14"/>
              <w:spacing w:before="111"/>
              <w:ind w:right="256"/>
              <w:jc w:val="right"/>
              <w:rPr>
                <w:rFonts w:ascii="Times New Roman"/>
                <w:sz w:val="21"/>
              </w:rPr>
            </w:pPr>
            <w:r>
              <w:rPr>
                <w:rFonts w:ascii="Times New Roman"/>
                <w:sz w:val="21"/>
              </w:rPr>
              <w:t>1890</w:t>
            </w:r>
          </w:p>
        </w:tc>
        <w:tc>
          <w:tcPr>
            <w:tcW w:w="1480" w:type="dxa"/>
          </w:tcPr>
          <w:p>
            <w:pPr>
              <w:pStyle w:val="14"/>
              <w:spacing w:before="111"/>
              <w:ind w:left="766"/>
              <w:jc w:val="left"/>
              <w:rPr>
                <w:rFonts w:ascii="Times New Roman"/>
                <w:sz w:val="21"/>
              </w:rPr>
            </w:pPr>
            <w:r>
              <w:rPr>
                <w:rFonts w:ascii="Times New Roman"/>
                <w:sz w:val="21"/>
              </w:rPr>
              <w:t>1.89</w:t>
            </w:r>
          </w:p>
        </w:tc>
        <w:tc>
          <w:tcPr>
            <w:tcW w:w="1640" w:type="dxa"/>
          </w:tcPr>
          <w:p>
            <w:pPr>
              <w:pStyle w:val="14"/>
              <w:spacing w:before="111"/>
              <w:ind w:left="793"/>
              <w:jc w:val="left"/>
              <w:rPr>
                <w:rFonts w:ascii="Times New Roman"/>
                <w:sz w:val="21"/>
              </w:rPr>
            </w:pPr>
            <w:r>
              <w:rPr>
                <w:rFonts w:ascii="Times New Roman"/>
                <w:sz w:val="21"/>
              </w:rPr>
              <w:t>0.287</w:t>
            </w:r>
          </w:p>
        </w:tc>
        <w:tc>
          <w:tcPr>
            <w:tcW w:w="1740" w:type="dxa"/>
          </w:tcPr>
          <w:p>
            <w:pPr>
              <w:pStyle w:val="14"/>
              <w:spacing w:before="111"/>
              <w:ind w:left="790"/>
              <w:jc w:val="left"/>
              <w:rPr>
                <w:rFonts w:ascii="Times New Roman"/>
                <w:sz w:val="21"/>
              </w:rPr>
            </w:pPr>
            <w:r>
              <w:rPr>
                <w:rFonts w:ascii="Times New Roman"/>
                <w:sz w:val="21"/>
              </w:rPr>
              <w:t>472.50</w:t>
            </w:r>
          </w:p>
        </w:tc>
        <w:tc>
          <w:tcPr>
            <w:tcW w:w="2044" w:type="dxa"/>
          </w:tcPr>
          <w:p>
            <w:pPr>
              <w:pStyle w:val="14"/>
              <w:spacing w:before="111"/>
              <w:ind w:left="1047"/>
              <w:jc w:val="left"/>
              <w:rPr>
                <w:rFonts w:ascii="Times New Roman"/>
                <w:sz w:val="21"/>
              </w:rPr>
            </w:pPr>
            <w:r>
              <w:rPr>
                <w:rFonts w:ascii="Times New Roman"/>
                <w:sz w:val="21"/>
              </w:rPr>
              <w:t>7.18</w:t>
            </w:r>
          </w:p>
        </w:tc>
      </w:tr>
    </w:tbl>
    <w:p>
      <w:pPr>
        <w:pStyle w:val="6"/>
        <w:spacing w:before="79" w:line="364" w:lineRule="auto"/>
        <w:ind w:left="451" w:right="447" w:firstLine="480"/>
        <w:jc w:val="both"/>
      </w:pPr>
      <w:r>
        <w:rPr>
          <w:spacing w:val="-7"/>
        </w:rPr>
        <w:t xml:space="preserve">根据当地潜水位调查，该区域现潜水位低于地表 </w:t>
      </w:r>
      <w:r>
        <w:rPr>
          <w:rFonts w:ascii="Times New Roman" w:eastAsia="Times New Roman"/>
        </w:rPr>
        <w:t xml:space="preserve">20m </w:t>
      </w:r>
      <w:r>
        <w:rPr>
          <w:spacing w:val="-6"/>
        </w:rPr>
        <w:t>以上，该井预测最大下</w:t>
      </w:r>
      <w:r>
        <w:rPr>
          <w:spacing w:val="-20"/>
        </w:rPr>
        <w:t xml:space="preserve">沉量为 </w:t>
      </w:r>
      <w:r>
        <w:rPr>
          <w:rFonts w:ascii="Times New Roman" w:eastAsia="Times New Roman"/>
        </w:rPr>
        <w:t>1.89m</w:t>
      </w:r>
      <w:r>
        <w:rPr>
          <w:spacing w:val="-5"/>
        </w:rPr>
        <w:t xml:space="preserve">，经计算沉陷后潜水位应在 </w:t>
      </w:r>
      <w:r>
        <w:rPr>
          <w:rFonts w:ascii="Times New Roman" w:eastAsia="Times New Roman"/>
        </w:rPr>
        <w:t xml:space="preserve">18m </w:t>
      </w:r>
      <w:r>
        <w:rPr>
          <w:spacing w:val="-4"/>
        </w:rPr>
        <w:t>以上。地表主要为耕地和林地，农</w:t>
      </w:r>
      <w:r>
        <w:t>民年年耕作将进行增肥及平整地块，因此判定该区域生产力下降程度较小（</w:t>
      </w:r>
      <w:r>
        <w:rPr>
          <w:spacing w:val="-6"/>
        </w:rPr>
        <w:t>低于</w:t>
      </w:r>
      <w:r>
        <w:rPr>
          <w:rFonts w:ascii="Times New Roman" w:eastAsia="Times New Roman"/>
        </w:rPr>
        <w:t>20%</w:t>
      </w:r>
      <w:r>
        <w:t>）。</w:t>
      </w:r>
    </w:p>
    <w:p>
      <w:pPr>
        <w:pStyle w:val="6"/>
        <w:spacing w:before="2"/>
        <w:ind w:left="931"/>
      </w:pPr>
      <w:r>
        <w:t>在进行土地破坏等级预测时，将地表下沉值、地表变形最大值及开采深厚比</w:t>
      </w:r>
    </w:p>
    <w:p>
      <w:pPr>
        <w:spacing w:after="0"/>
        <w:sectPr>
          <w:pgSz w:w="11910" w:h="16840"/>
          <w:pgMar w:top="1440" w:right="1300" w:bottom="1180" w:left="1300" w:header="0" w:footer="997" w:gutter="0"/>
        </w:sectPr>
      </w:pPr>
    </w:p>
    <w:p>
      <w:pPr>
        <w:tabs>
          <w:tab w:val="left" w:pos="1455"/>
        </w:tabs>
        <w:spacing w:before="42" w:line="343" w:lineRule="auto"/>
        <w:ind w:left="452" w:right="333" w:hanging="120"/>
        <w:jc w:val="center"/>
        <w:rPr>
          <w:b/>
          <w:sz w:val="21"/>
        </w:rPr>
      </w:pPr>
      <w:r>
        <mc:AlternateContent>
          <mc:Choice Requires="wps">
            <w:drawing>
              <wp:anchor distT="0" distB="0" distL="114300" distR="114300" simplePos="0" relativeHeight="251740160" behindDoc="0" locked="0" layoutInCell="1" allowOverlap="1">
                <wp:simplePos x="0" y="0"/>
                <wp:positionH relativeFrom="page">
                  <wp:posOffset>1107440</wp:posOffset>
                </wp:positionH>
                <wp:positionV relativeFrom="paragraph">
                  <wp:posOffset>767715</wp:posOffset>
                </wp:positionV>
                <wp:extent cx="5444490" cy="3105150"/>
                <wp:effectExtent l="0" t="0" r="0" b="0"/>
                <wp:wrapNone/>
                <wp:docPr id="248" name="文本框 114"/>
                <wp:cNvGraphicFramePr/>
                <a:graphic xmlns:a="http://schemas.openxmlformats.org/drawingml/2006/main">
                  <a:graphicData uri="http://schemas.microsoft.com/office/word/2010/wordprocessingShape">
                    <wps:wsp>
                      <wps:cNvSpPr txBox="1"/>
                      <wps:spPr>
                        <a:xfrm>
                          <a:off x="0" y="0"/>
                          <a:ext cx="5444490" cy="3105150"/>
                        </a:xfrm>
                        <a:prstGeom prst="rect">
                          <a:avLst/>
                        </a:prstGeom>
                        <a:noFill/>
                        <a:ln>
                          <a:noFill/>
                        </a:ln>
                      </wps:spPr>
                      <wps:txbx>
                        <w:txbxContent>
                          <w:tbl>
                            <w:tblPr>
                              <w:tblStyle w:val="10"/>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29"/>
                              <w:gridCol w:w="1311"/>
                              <w:gridCol w:w="1319"/>
                              <w:gridCol w:w="1319"/>
                              <w:gridCol w:w="1133"/>
                              <w:gridCol w:w="1133"/>
                              <w:gridCol w:w="120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trPr>
                              <w:tc>
                                <w:tcPr>
                                  <w:tcW w:w="1129" w:type="dxa"/>
                                </w:tcPr>
                                <w:p>
                                  <w:pPr>
                                    <w:pStyle w:val="14"/>
                                    <w:spacing w:before="12"/>
                                    <w:jc w:val="left"/>
                                    <w:rPr>
                                      <w:sz w:val="25"/>
                                    </w:rPr>
                                  </w:pPr>
                                </w:p>
                                <w:p>
                                  <w:pPr>
                                    <w:pStyle w:val="14"/>
                                    <w:ind w:left="352"/>
                                    <w:jc w:val="left"/>
                                    <w:rPr>
                                      <w:sz w:val="21"/>
                                    </w:rPr>
                                  </w:pPr>
                                  <w:r>
                                    <w:rPr>
                                      <w:sz w:val="21"/>
                                    </w:rPr>
                                    <w:t>地类</w:t>
                                  </w:r>
                                </w:p>
                              </w:tc>
                              <w:tc>
                                <w:tcPr>
                                  <w:tcW w:w="1311" w:type="dxa"/>
                                </w:tcPr>
                                <w:p>
                                  <w:pPr>
                                    <w:pStyle w:val="14"/>
                                    <w:spacing w:before="12"/>
                                    <w:jc w:val="left"/>
                                    <w:rPr>
                                      <w:sz w:val="25"/>
                                    </w:rPr>
                                  </w:pPr>
                                </w:p>
                                <w:p>
                                  <w:pPr>
                                    <w:pStyle w:val="14"/>
                                    <w:ind w:left="212" w:right="203"/>
                                    <w:rPr>
                                      <w:sz w:val="21"/>
                                    </w:rPr>
                                  </w:pPr>
                                  <w:r>
                                    <w:rPr>
                                      <w:sz w:val="21"/>
                                    </w:rPr>
                                    <w:t>评价等级</w:t>
                                  </w:r>
                                </w:p>
                              </w:tc>
                              <w:tc>
                                <w:tcPr>
                                  <w:tcW w:w="1319" w:type="dxa"/>
                                </w:tcPr>
                                <w:p>
                                  <w:pPr>
                                    <w:pStyle w:val="14"/>
                                    <w:spacing w:before="177"/>
                                    <w:ind w:left="238"/>
                                    <w:jc w:val="left"/>
                                    <w:rPr>
                                      <w:sz w:val="21"/>
                                    </w:rPr>
                                  </w:pPr>
                                  <w:r>
                                    <w:rPr>
                                      <w:sz w:val="21"/>
                                    </w:rPr>
                                    <w:t>水平变形</w:t>
                                  </w:r>
                                </w:p>
                                <w:p>
                                  <w:pPr>
                                    <w:pStyle w:val="14"/>
                                    <w:spacing w:before="50"/>
                                    <w:ind w:left="305"/>
                                    <w:jc w:val="left"/>
                                    <w:rPr>
                                      <w:rFonts w:ascii="Calibri"/>
                                      <w:sz w:val="21"/>
                                    </w:rPr>
                                  </w:pPr>
                                  <w:r>
                                    <w:rPr>
                                      <w:rFonts w:ascii="Calibri"/>
                                      <w:sz w:val="21"/>
                                    </w:rPr>
                                    <w:t>(mm/m)</w:t>
                                  </w:r>
                                </w:p>
                              </w:tc>
                              <w:tc>
                                <w:tcPr>
                                  <w:tcW w:w="1319" w:type="dxa"/>
                                </w:tcPr>
                                <w:p>
                                  <w:pPr>
                                    <w:pStyle w:val="14"/>
                                    <w:spacing w:before="177"/>
                                    <w:ind w:left="239"/>
                                    <w:jc w:val="left"/>
                                    <w:rPr>
                                      <w:sz w:val="21"/>
                                    </w:rPr>
                                  </w:pPr>
                                  <w:r>
                                    <w:rPr>
                                      <w:sz w:val="21"/>
                                    </w:rPr>
                                    <w:t>附加倾斜</w:t>
                                  </w:r>
                                </w:p>
                                <w:p>
                                  <w:pPr>
                                    <w:pStyle w:val="14"/>
                                    <w:spacing w:before="50"/>
                                    <w:ind w:left="303"/>
                                    <w:jc w:val="left"/>
                                    <w:rPr>
                                      <w:rFonts w:ascii="Calibri"/>
                                      <w:sz w:val="21"/>
                                    </w:rPr>
                                  </w:pPr>
                                  <w:r>
                                    <w:rPr>
                                      <w:rFonts w:ascii="Calibri"/>
                                      <w:sz w:val="21"/>
                                    </w:rPr>
                                    <w:t>(mm/m)</w:t>
                                  </w:r>
                                </w:p>
                              </w:tc>
                              <w:tc>
                                <w:tcPr>
                                  <w:tcW w:w="1133" w:type="dxa"/>
                                </w:tcPr>
                                <w:p>
                                  <w:pPr>
                                    <w:pStyle w:val="14"/>
                                    <w:spacing w:before="177"/>
                                    <w:ind w:left="355"/>
                                    <w:jc w:val="left"/>
                                    <w:rPr>
                                      <w:sz w:val="21"/>
                                    </w:rPr>
                                  </w:pPr>
                                  <w:r>
                                    <w:rPr>
                                      <w:sz w:val="21"/>
                                    </w:rPr>
                                    <w:t>下沉</w:t>
                                  </w:r>
                                </w:p>
                                <w:p>
                                  <w:pPr>
                                    <w:pStyle w:val="14"/>
                                    <w:spacing w:before="43"/>
                                    <w:ind w:left="273"/>
                                    <w:jc w:val="left"/>
                                    <w:rPr>
                                      <w:sz w:val="21"/>
                                    </w:rPr>
                                  </w:pPr>
                                  <w:r>
                                    <w:rPr>
                                      <w:sz w:val="21"/>
                                    </w:rPr>
                                    <w:t>（</w:t>
                                  </w:r>
                                  <w:r>
                                    <w:rPr>
                                      <w:rFonts w:ascii="Calibri" w:eastAsia="Calibri"/>
                                      <w:sz w:val="21"/>
                                    </w:rPr>
                                    <w:t>m</w:t>
                                  </w:r>
                                  <w:r>
                                    <w:rPr>
                                      <w:sz w:val="21"/>
                                    </w:rPr>
                                    <w:t>）</w:t>
                                  </w:r>
                                </w:p>
                              </w:tc>
                              <w:tc>
                                <w:tcPr>
                                  <w:tcW w:w="1133" w:type="dxa"/>
                                </w:tcPr>
                                <w:p>
                                  <w:pPr>
                                    <w:pStyle w:val="14"/>
                                    <w:spacing w:before="21" w:line="278" w:lineRule="auto"/>
                                    <w:ind w:left="146" w:right="131"/>
                                    <w:rPr>
                                      <w:sz w:val="21"/>
                                    </w:rPr>
                                  </w:pPr>
                                  <w:r>
                                    <w:rPr>
                                      <w:sz w:val="21"/>
                                    </w:rPr>
                                    <w:t>沉陷后潜水位埋深</w:t>
                                  </w:r>
                                </w:p>
                                <w:p>
                                  <w:pPr>
                                    <w:pStyle w:val="14"/>
                                    <w:spacing w:line="269" w:lineRule="exact"/>
                                    <w:ind w:left="145" w:right="131"/>
                                    <w:rPr>
                                      <w:sz w:val="21"/>
                                    </w:rPr>
                                  </w:pPr>
                                  <w:r>
                                    <w:rPr>
                                      <w:sz w:val="21"/>
                                    </w:rPr>
                                    <w:t>（</w:t>
                                  </w:r>
                                  <w:r>
                                    <w:rPr>
                                      <w:rFonts w:ascii="Calibri" w:eastAsia="Calibri"/>
                                      <w:sz w:val="21"/>
                                    </w:rPr>
                                    <w:t>m</w:t>
                                  </w:r>
                                  <w:r>
                                    <w:rPr>
                                      <w:sz w:val="21"/>
                                    </w:rPr>
                                    <w:t>）</w:t>
                                  </w:r>
                                </w:p>
                              </w:tc>
                              <w:tc>
                                <w:tcPr>
                                  <w:tcW w:w="1208" w:type="dxa"/>
                                </w:tcPr>
                                <w:p>
                                  <w:pPr>
                                    <w:pStyle w:val="14"/>
                                    <w:spacing w:before="21" w:line="278" w:lineRule="auto"/>
                                    <w:ind w:left="393" w:right="379"/>
                                    <w:rPr>
                                      <w:sz w:val="21"/>
                                    </w:rPr>
                                  </w:pPr>
                                  <w:r>
                                    <w:rPr>
                                      <w:spacing w:val="-8"/>
                                      <w:sz w:val="21"/>
                                    </w:rPr>
                                    <w:t>产力</w:t>
                                  </w:r>
                                  <w:r>
                                    <w:rPr>
                                      <w:spacing w:val="-9"/>
                                      <w:w w:val="95"/>
                                      <w:sz w:val="21"/>
                                    </w:rPr>
                                    <w:t>降低</w:t>
                                  </w:r>
                                </w:p>
                                <w:p>
                                  <w:pPr>
                                    <w:pStyle w:val="14"/>
                                    <w:spacing w:before="7"/>
                                    <w:ind w:left="393" w:right="379"/>
                                    <w:rPr>
                                      <w:rFonts w:ascii="Calibri"/>
                                      <w:sz w:val="21"/>
                                    </w:rPr>
                                  </w:pPr>
                                  <w:r>
                                    <w:rPr>
                                      <w:rFonts w:ascii="Calibri"/>
                                      <w:sz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129" w:type="dxa"/>
                                  <w:vMerge w:val="restart"/>
                                </w:tcPr>
                                <w:p>
                                  <w:pPr>
                                    <w:pStyle w:val="14"/>
                                    <w:spacing w:before="3"/>
                                    <w:jc w:val="left"/>
                                    <w:rPr>
                                      <w:sz w:val="27"/>
                                    </w:rPr>
                                  </w:pPr>
                                </w:p>
                                <w:p>
                                  <w:pPr>
                                    <w:pStyle w:val="14"/>
                                    <w:ind w:left="352"/>
                                    <w:jc w:val="left"/>
                                    <w:rPr>
                                      <w:sz w:val="21"/>
                                    </w:rPr>
                                  </w:pPr>
                                  <w:r>
                                    <w:rPr>
                                      <w:sz w:val="21"/>
                                    </w:rPr>
                                    <w:t>水田</w:t>
                                  </w:r>
                                </w:p>
                              </w:tc>
                              <w:tc>
                                <w:tcPr>
                                  <w:tcW w:w="1311" w:type="dxa"/>
                                </w:tcPr>
                                <w:p>
                                  <w:pPr>
                                    <w:pStyle w:val="14"/>
                                    <w:spacing w:before="20"/>
                                    <w:ind w:left="212" w:right="201"/>
                                    <w:rPr>
                                      <w:sz w:val="21"/>
                                    </w:rPr>
                                  </w:pPr>
                                  <w:r>
                                    <w:rPr>
                                      <w:sz w:val="21"/>
                                    </w:rPr>
                                    <w:t>轻度</w:t>
                                  </w:r>
                                </w:p>
                              </w:tc>
                              <w:tc>
                                <w:tcPr>
                                  <w:tcW w:w="1319" w:type="dxa"/>
                                </w:tcPr>
                                <w:p>
                                  <w:pPr>
                                    <w:pStyle w:val="14"/>
                                    <w:spacing w:before="28"/>
                                    <w:ind w:left="234" w:right="220"/>
                                    <w:rPr>
                                      <w:rFonts w:ascii="Calibri" w:hAnsi="Calibri"/>
                                      <w:sz w:val="21"/>
                                    </w:rPr>
                                  </w:pPr>
                                  <w:r>
                                    <w:rPr>
                                      <w:rFonts w:ascii="Calibri" w:hAnsi="Calibri"/>
                                      <w:sz w:val="21"/>
                                    </w:rPr>
                                    <w:t>≤3.0</w:t>
                                  </w:r>
                                </w:p>
                              </w:tc>
                              <w:tc>
                                <w:tcPr>
                                  <w:tcW w:w="1319" w:type="dxa"/>
                                </w:tcPr>
                                <w:p>
                                  <w:pPr>
                                    <w:pStyle w:val="14"/>
                                    <w:spacing w:before="28"/>
                                    <w:ind w:left="232" w:right="220"/>
                                    <w:rPr>
                                      <w:rFonts w:ascii="Calibri" w:hAnsi="Calibri"/>
                                      <w:sz w:val="21"/>
                                    </w:rPr>
                                  </w:pPr>
                                  <w:r>
                                    <w:rPr>
                                      <w:rFonts w:ascii="Calibri" w:hAnsi="Calibri"/>
                                      <w:sz w:val="21"/>
                                    </w:rPr>
                                    <w:t>≤4.0</w:t>
                                  </w:r>
                                </w:p>
                              </w:tc>
                              <w:tc>
                                <w:tcPr>
                                  <w:tcW w:w="1133" w:type="dxa"/>
                                </w:tcPr>
                                <w:p>
                                  <w:pPr>
                                    <w:pStyle w:val="14"/>
                                    <w:spacing w:before="28"/>
                                    <w:ind w:left="143" w:right="131"/>
                                    <w:rPr>
                                      <w:rFonts w:ascii="Calibri" w:hAnsi="Calibri"/>
                                      <w:sz w:val="21"/>
                                    </w:rPr>
                                  </w:pPr>
                                  <w:r>
                                    <w:rPr>
                                      <w:rFonts w:ascii="Calibri" w:hAnsi="Calibri"/>
                                      <w:sz w:val="21"/>
                                    </w:rPr>
                                    <w:t>≤1.0</w:t>
                                  </w:r>
                                </w:p>
                              </w:tc>
                              <w:tc>
                                <w:tcPr>
                                  <w:tcW w:w="1133" w:type="dxa"/>
                                </w:tcPr>
                                <w:p>
                                  <w:pPr>
                                    <w:pStyle w:val="14"/>
                                    <w:spacing w:before="28"/>
                                    <w:ind w:left="381"/>
                                    <w:jc w:val="left"/>
                                    <w:rPr>
                                      <w:rFonts w:ascii="Calibri" w:hAnsi="Calibri"/>
                                      <w:sz w:val="21"/>
                                    </w:rPr>
                                  </w:pPr>
                                  <w:r>
                                    <w:rPr>
                                      <w:rFonts w:ascii="Calibri" w:hAnsi="Calibri"/>
                                      <w:sz w:val="21"/>
                                    </w:rPr>
                                    <w:t>≥1.0</w:t>
                                  </w:r>
                                </w:p>
                              </w:tc>
                              <w:tc>
                                <w:tcPr>
                                  <w:tcW w:w="1208" w:type="dxa"/>
                                </w:tcPr>
                                <w:p>
                                  <w:pPr>
                                    <w:pStyle w:val="14"/>
                                    <w:spacing w:before="28"/>
                                    <w:ind w:left="364"/>
                                    <w:jc w:val="left"/>
                                    <w:rPr>
                                      <w:rFonts w:ascii="Calibri" w:hAnsi="Calibri"/>
                                      <w:sz w:val="21"/>
                                    </w:rPr>
                                  </w:pPr>
                                  <w:r>
                                    <w:rPr>
                                      <w:rFonts w:ascii="Calibri" w:hAnsi="Calibri"/>
                                      <w:sz w:val="21"/>
                                    </w:rP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129" w:type="dxa"/>
                                  <w:vMerge w:val="continue"/>
                                  <w:tcBorders>
                                    <w:top w:val="nil"/>
                                  </w:tcBorders>
                                </w:tcPr>
                                <w:p>
                                  <w:pPr>
                                    <w:rPr>
                                      <w:sz w:val="2"/>
                                      <w:szCs w:val="2"/>
                                    </w:rPr>
                                  </w:pPr>
                                </w:p>
                              </w:tc>
                              <w:tc>
                                <w:tcPr>
                                  <w:tcW w:w="1311" w:type="dxa"/>
                                </w:tcPr>
                                <w:p>
                                  <w:pPr>
                                    <w:pStyle w:val="14"/>
                                    <w:spacing w:before="22"/>
                                    <w:ind w:left="212" w:right="201"/>
                                    <w:rPr>
                                      <w:sz w:val="21"/>
                                    </w:rPr>
                                  </w:pPr>
                                  <w:r>
                                    <w:rPr>
                                      <w:sz w:val="21"/>
                                    </w:rPr>
                                    <w:t>中度</w:t>
                                  </w:r>
                                </w:p>
                              </w:tc>
                              <w:tc>
                                <w:tcPr>
                                  <w:tcW w:w="1319" w:type="dxa"/>
                                </w:tcPr>
                                <w:p>
                                  <w:pPr>
                                    <w:pStyle w:val="14"/>
                                    <w:spacing w:before="27"/>
                                    <w:ind w:left="232" w:right="220"/>
                                    <w:rPr>
                                      <w:rFonts w:ascii="Calibri"/>
                                      <w:sz w:val="21"/>
                                    </w:rPr>
                                  </w:pPr>
                                  <w:r>
                                    <w:rPr>
                                      <w:rFonts w:ascii="Calibri"/>
                                      <w:sz w:val="21"/>
                                    </w:rPr>
                                    <w:t>3.0-6.0</w:t>
                                  </w:r>
                                </w:p>
                              </w:tc>
                              <w:tc>
                                <w:tcPr>
                                  <w:tcW w:w="1319" w:type="dxa"/>
                                </w:tcPr>
                                <w:p>
                                  <w:pPr>
                                    <w:pStyle w:val="14"/>
                                    <w:spacing w:before="27"/>
                                    <w:ind w:left="234" w:right="220"/>
                                    <w:rPr>
                                      <w:rFonts w:ascii="Calibri"/>
                                      <w:sz w:val="21"/>
                                    </w:rPr>
                                  </w:pPr>
                                  <w:r>
                                    <w:rPr>
                                      <w:rFonts w:ascii="Calibri"/>
                                      <w:sz w:val="21"/>
                                    </w:rPr>
                                    <w:t>4.0-10.0</w:t>
                                  </w:r>
                                </w:p>
                              </w:tc>
                              <w:tc>
                                <w:tcPr>
                                  <w:tcW w:w="1133" w:type="dxa"/>
                                </w:tcPr>
                                <w:p>
                                  <w:pPr>
                                    <w:pStyle w:val="14"/>
                                    <w:spacing w:before="27"/>
                                    <w:ind w:left="143" w:right="131"/>
                                    <w:rPr>
                                      <w:rFonts w:ascii="Calibri"/>
                                      <w:sz w:val="21"/>
                                    </w:rPr>
                                  </w:pPr>
                                  <w:r>
                                    <w:rPr>
                                      <w:rFonts w:ascii="Calibri"/>
                                      <w:sz w:val="21"/>
                                    </w:rPr>
                                    <w:t>1.0-2.0</w:t>
                                  </w:r>
                                </w:p>
                              </w:tc>
                              <w:tc>
                                <w:tcPr>
                                  <w:tcW w:w="1133" w:type="dxa"/>
                                </w:tcPr>
                                <w:p>
                                  <w:pPr>
                                    <w:pStyle w:val="14"/>
                                    <w:spacing w:before="27"/>
                                    <w:ind w:left="347"/>
                                    <w:jc w:val="left"/>
                                    <w:rPr>
                                      <w:rFonts w:ascii="Calibri"/>
                                      <w:sz w:val="21"/>
                                    </w:rPr>
                                  </w:pPr>
                                  <w:r>
                                    <w:rPr>
                                      <w:rFonts w:ascii="Calibri"/>
                                      <w:sz w:val="21"/>
                                    </w:rPr>
                                    <w:t>0-1.0</w:t>
                                  </w:r>
                                </w:p>
                              </w:tc>
                              <w:tc>
                                <w:tcPr>
                                  <w:tcW w:w="1208" w:type="dxa"/>
                                </w:tcPr>
                                <w:p>
                                  <w:pPr>
                                    <w:pStyle w:val="14"/>
                                    <w:spacing w:before="27"/>
                                    <w:ind w:right="264"/>
                                    <w:jc w:val="right"/>
                                    <w:rPr>
                                      <w:rFonts w:ascii="Calibri"/>
                                      <w:sz w:val="21"/>
                                    </w:rPr>
                                  </w:pPr>
                                  <w:r>
                                    <w:rPr>
                                      <w:rFonts w:ascii="Calibri"/>
                                      <w:w w:val="95"/>
                                      <w:sz w:val="21"/>
                                    </w:rPr>
                                    <w:t>20-60.0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129" w:type="dxa"/>
                                  <w:vMerge w:val="continue"/>
                                  <w:tcBorders>
                                    <w:top w:val="nil"/>
                                  </w:tcBorders>
                                </w:tcPr>
                                <w:p>
                                  <w:pPr>
                                    <w:rPr>
                                      <w:sz w:val="2"/>
                                      <w:szCs w:val="2"/>
                                    </w:rPr>
                                  </w:pPr>
                                </w:p>
                              </w:tc>
                              <w:tc>
                                <w:tcPr>
                                  <w:tcW w:w="1311" w:type="dxa"/>
                                </w:tcPr>
                                <w:p>
                                  <w:pPr>
                                    <w:pStyle w:val="14"/>
                                    <w:spacing w:before="21"/>
                                    <w:ind w:left="212" w:right="201"/>
                                    <w:rPr>
                                      <w:sz w:val="21"/>
                                    </w:rPr>
                                  </w:pPr>
                                  <w:r>
                                    <w:rPr>
                                      <w:sz w:val="21"/>
                                    </w:rPr>
                                    <w:t>重度</w:t>
                                  </w:r>
                                </w:p>
                              </w:tc>
                              <w:tc>
                                <w:tcPr>
                                  <w:tcW w:w="1319" w:type="dxa"/>
                                </w:tcPr>
                                <w:p>
                                  <w:pPr>
                                    <w:pStyle w:val="14"/>
                                    <w:spacing w:before="21"/>
                                    <w:ind w:left="232" w:right="220"/>
                                    <w:rPr>
                                      <w:rFonts w:ascii="Calibri" w:eastAsia="Calibri"/>
                                      <w:sz w:val="21"/>
                                    </w:rPr>
                                  </w:pPr>
                                  <w:r>
                                    <w:rPr>
                                      <w:sz w:val="21"/>
                                    </w:rPr>
                                    <w:t>＞</w:t>
                                  </w:r>
                                  <w:r>
                                    <w:rPr>
                                      <w:rFonts w:ascii="Calibri" w:eastAsia="Calibri"/>
                                      <w:sz w:val="21"/>
                                    </w:rPr>
                                    <w:t>6.0</w:t>
                                  </w:r>
                                </w:p>
                              </w:tc>
                              <w:tc>
                                <w:tcPr>
                                  <w:tcW w:w="1319" w:type="dxa"/>
                                </w:tcPr>
                                <w:p>
                                  <w:pPr>
                                    <w:pStyle w:val="14"/>
                                    <w:spacing w:before="21"/>
                                    <w:ind w:left="232" w:right="220"/>
                                    <w:rPr>
                                      <w:rFonts w:ascii="Calibri" w:eastAsia="Calibri"/>
                                      <w:sz w:val="21"/>
                                    </w:rPr>
                                  </w:pPr>
                                  <w:r>
                                    <w:rPr>
                                      <w:sz w:val="21"/>
                                    </w:rPr>
                                    <w:t>＞</w:t>
                                  </w:r>
                                  <w:r>
                                    <w:rPr>
                                      <w:rFonts w:ascii="Calibri" w:eastAsia="Calibri"/>
                                      <w:sz w:val="21"/>
                                    </w:rPr>
                                    <w:t>10.0</w:t>
                                  </w:r>
                                </w:p>
                              </w:tc>
                              <w:tc>
                                <w:tcPr>
                                  <w:tcW w:w="1133" w:type="dxa"/>
                                </w:tcPr>
                                <w:p>
                                  <w:pPr>
                                    <w:pStyle w:val="14"/>
                                    <w:spacing w:before="21"/>
                                    <w:ind w:left="143" w:right="131"/>
                                    <w:rPr>
                                      <w:rFonts w:ascii="Calibri" w:eastAsia="Calibri"/>
                                      <w:sz w:val="21"/>
                                    </w:rPr>
                                  </w:pPr>
                                  <w:r>
                                    <w:rPr>
                                      <w:sz w:val="21"/>
                                    </w:rPr>
                                    <w:t>＞</w:t>
                                  </w:r>
                                  <w:r>
                                    <w:rPr>
                                      <w:rFonts w:ascii="Calibri" w:eastAsia="Calibri"/>
                                      <w:sz w:val="21"/>
                                    </w:rPr>
                                    <w:t>2.0</w:t>
                                  </w:r>
                                </w:p>
                              </w:tc>
                              <w:tc>
                                <w:tcPr>
                                  <w:tcW w:w="1133" w:type="dxa"/>
                                </w:tcPr>
                                <w:p>
                                  <w:pPr>
                                    <w:pStyle w:val="14"/>
                                    <w:spacing w:before="21"/>
                                    <w:ind w:left="143" w:right="131"/>
                                    <w:rPr>
                                      <w:rFonts w:ascii="Calibri" w:eastAsia="Calibri"/>
                                      <w:sz w:val="21"/>
                                    </w:rPr>
                                  </w:pPr>
                                  <w:r>
                                    <w:rPr>
                                      <w:sz w:val="21"/>
                                    </w:rPr>
                                    <w:t>＜</w:t>
                                  </w:r>
                                  <w:r>
                                    <w:rPr>
                                      <w:rFonts w:ascii="Calibri" w:eastAsia="Calibri"/>
                                      <w:sz w:val="21"/>
                                    </w:rPr>
                                    <w:t>0</w:t>
                                  </w:r>
                                </w:p>
                              </w:tc>
                              <w:tc>
                                <w:tcPr>
                                  <w:tcW w:w="1208" w:type="dxa"/>
                                </w:tcPr>
                                <w:p>
                                  <w:pPr>
                                    <w:pStyle w:val="14"/>
                                    <w:spacing w:before="21"/>
                                    <w:ind w:right="298"/>
                                    <w:jc w:val="right"/>
                                    <w:rPr>
                                      <w:rFonts w:ascii="Calibri" w:eastAsia="Calibri"/>
                                      <w:sz w:val="21"/>
                                    </w:rPr>
                                  </w:pPr>
                                  <w:r>
                                    <w:rPr>
                                      <w:w w:val="95"/>
                                      <w:sz w:val="21"/>
                                    </w:rPr>
                                    <w:t>＞</w:t>
                                  </w:r>
                                  <w:r>
                                    <w:rPr>
                                      <w:rFonts w:ascii="Calibri" w:eastAsia="Calibri"/>
                                      <w:w w:val="95"/>
                                      <w:sz w:val="21"/>
                                    </w:rP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129" w:type="dxa"/>
                                  <w:vMerge w:val="restart"/>
                                </w:tcPr>
                                <w:p>
                                  <w:pPr>
                                    <w:pStyle w:val="14"/>
                                    <w:spacing w:before="1"/>
                                    <w:jc w:val="left"/>
                                    <w:rPr>
                                      <w:sz w:val="27"/>
                                    </w:rPr>
                                  </w:pPr>
                                </w:p>
                                <w:p>
                                  <w:pPr>
                                    <w:pStyle w:val="14"/>
                                    <w:ind w:left="249"/>
                                    <w:jc w:val="left"/>
                                    <w:rPr>
                                      <w:sz w:val="21"/>
                                    </w:rPr>
                                  </w:pPr>
                                  <w:r>
                                    <w:rPr>
                                      <w:sz w:val="21"/>
                                    </w:rPr>
                                    <w:t>水浇地</w:t>
                                  </w:r>
                                </w:p>
                              </w:tc>
                              <w:tc>
                                <w:tcPr>
                                  <w:tcW w:w="1311" w:type="dxa"/>
                                </w:tcPr>
                                <w:p>
                                  <w:pPr>
                                    <w:pStyle w:val="14"/>
                                    <w:spacing w:before="21"/>
                                    <w:ind w:left="212" w:right="201"/>
                                    <w:rPr>
                                      <w:sz w:val="21"/>
                                    </w:rPr>
                                  </w:pPr>
                                  <w:r>
                                    <w:rPr>
                                      <w:sz w:val="21"/>
                                    </w:rPr>
                                    <w:t>轻度</w:t>
                                  </w:r>
                                </w:p>
                              </w:tc>
                              <w:tc>
                                <w:tcPr>
                                  <w:tcW w:w="1319" w:type="dxa"/>
                                </w:tcPr>
                                <w:p>
                                  <w:pPr>
                                    <w:pStyle w:val="14"/>
                                    <w:spacing w:before="28"/>
                                    <w:ind w:left="234" w:right="220"/>
                                    <w:rPr>
                                      <w:rFonts w:ascii="Calibri" w:hAnsi="Calibri"/>
                                      <w:sz w:val="21"/>
                                    </w:rPr>
                                  </w:pPr>
                                  <w:r>
                                    <w:rPr>
                                      <w:rFonts w:ascii="Calibri" w:hAnsi="Calibri"/>
                                      <w:sz w:val="21"/>
                                    </w:rPr>
                                    <w:t>≤4.0</w:t>
                                  </w:r>
                                </w:p>
                              </w:tc>
                              <w:tc>
                                <w:tcPr>
                                  <w:tcW w:w="1319" w:type="dxa"/>
                                </w:tcPr>
                                <w:p>
                                  <w:pPr>
                                    <w:pStyle w:val="14"/>
                                    <w:spacing w:before="28"/>
                                    <w:ind w:left="232" w:right="220"/>
                                    <w:rPr>
                                      <w:rFonts w:ascii="Calibri" w:hAnsi="Calibri"/>
                                      <w:sz w:val="21"/>
                                    </w:rPr>
                                  </w:pPr>
                                  <w:r>
                                    <w:rPr>
                                      <w:rFonts w:ascii="Calibri" w:hAnsi="Calibri"/>
                                      <w:sz w:val="21"/>
                                    </w:rPr>
                                    <w:t>≤6.0</w:t>
                                  </w:r>
                                </w:p>
                              </w:tc>
                              <w:tc>
                                <w:tcPr>
                                  <w:tcW w:w="1133" w:type="dxa"/>
                                </w:tcPr>
                                <w:p>
                                  <w:pPr>
                                    <w:pStyle w:val="14"/>
                                    <w:spacing w:before="28"/>
                                    <w:ind w:left="143" w:right="131"/>
                                    <w:rPr>
                                      <w:rFonts w:ascii="Calibri" w:hAnsi="Calibri"/>
                                      <w:sz w:val="21"/>
                                    </w:rPr>
                                  </w:pPr>
                                  <w:r>
                                    <w:rPr>
                                      <w:rFonts w:ascii="Calibri" w:hAnsi="Calibri"/>
                                      <w:sz w:val="21"/>
                                    </w:rPr>
                                    <w:t>≤1.5</w:t>
                                  </w:r>
                                </w:p>
                              </w:tc>
                              <w:tc>
                                <w:tcPr>
                                  <w:tcW w:w="1133" w:type="dxa"/>
                                </w:tcPr>
                                <w:p>
                                  <w:pPr>
                                    <w:pStyle w:val="14"/>
                                    <w:spacing w:before="28"/>
                                    <w:ind w:left="381"/>
                                    <w:jc w:val="left"/>
                                    <w:rPr>
                                      <w:rFonts w:ascii="Calibri" w:hAnsi="Calibri"/>
                                      <w:sz w:val="21"/>
                                    </w:rPr>
                                  </w:pPr>
                                  <w:r>
                                    <w:rPr>
                                      <w:rFonts w:ascii="Calibri" w:hAnsi="Calibri"/>
                                      <w:sz w:val="21"/>
                                    </w:rPr>
                                    <w:t>≥1.5</w:t>
                                  </w:r>
                                </w:p>
                              </w:tc>
                              <w:tc>
                                <w:tcPr>
                                  <w:tcW w:w="1208" w:type="dxa"/>
                                </w:tcPr>
                                <w:p>
                                  <w:pPr>
                                    <w:pStyle w:val="14"/>
                                    <w:spacing w:before="28"/>
                                    <w:ind w:left="364"/>
                                    <w:jc w:val="left"/>
                                    <w:rPr>
                                      <w:rFonts w:ascii="Calibri" w:hAnsi="Calibri"/>
                                      <w:sz w:val="21"/>
                                    </w:rPr>
                                  </w:pPr>
                                  <w:r>
                                    <w:rPr>
                                      <w:rFonts w:ascii="Calibri" w:hAnsi="Calibri"/>
                                      <w:sz w:val="21"/>
                                    </w:rP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129" w:type="dxa"/>
                                  <w:vMerge w:val="continue"/>
                                  <w:tcBorders>
                                    <w:top w:val="nil"/>
                                  </w:tcBorders>
                                </w:tcPr>
                                <w:p>
                                  <w:pPr>
                                    <w:rPr>
                                      <w:sz w:val="2"/>
                                      <w:szCs w:val="2"/>
                                    </w:rPr>
                                  </w:pPr>
                                </w:p>
                              </w:tc>
                              <w:tc>
                                <w:tcPr>
                                  <w:tcW w:w="1311" w:type="dxa"/>
                                </w:tcPr>
                                <w:p>
                                  <w:pPr>
                                    <w:pStyle w:val="14"/>
                                    <w:spacing w:before="20"/>
                                    <w:ind w:left="212" w:right="201"/>
                                    <w:rPr>
                                      <w:sz w:val="21"/>
                                    </w:rPr>
                                  </w:pPr>
                                  <w:r>
                                    <w:rPr>
                                      <w:sz w:val="21"/>
                                    </w:rPr>
                                    <w:t>中度</w:t>
                                  </w:r>
                                </w:p>
                              </w:tc>
                              <w:tc>
                                <w:tcPr>
                                  <w:tcW w:w="1319" w:type="dxa"/>
                                </w:tcPr>
                                <w:p>
                                  <w:pPr>
                                    <w:pStyle w:val="14"/>
                                    <w:spacing w:before="28"/>
                                    <w:ind w:left="232" w:right="220"/>
                                    <w:rPr>
                                      <w:rFonts w:ascii="Calibri"/>
                                      <w:sz w:val="21"/>
                                    </w:rPr>
                                  </w:pPr>
                                  <w:r>
                                    <w:rPr>
                                      <w:rFonts w:ascii="Calibri"/>
                                      <w:sz w:val="21"/>
                                    </w:rPr>
                                    <w:t>4.0-8.0</w:t>
                                  </w:r>
                                </w:p>
                              </w:tc>
                              <w:tc>
                                <w:tcPr>
                                  <w:tcW w:w="1319" w:type="dxa"/>
                                </w:tcPr>
                                <w:p>
                                  <w:pPr>
                                    <w:pStyle w:val="14"/>
                                    <w:spacing w:before="28"/>
                                    <w:ind w:left="234" w:right="220"/>
                                    <w:rPr>
                                      <w:rFonts w:ascii="Calibri"/>
                                      <w:sz w:val="21"/>
                                    </w:rPr>
                                  </w:pPr>
                                  <w:r>
                                    <w:rPr>
                                      <w:rFonts w:ascii="Calibri"/>
                                      <w:sz w:val="21"/>
                                    </w:rPr>
                                    <w:t>6.0-12.0</w:t>
                                  </w:r>
                                </w:p>
                              </w:tc>
                              <w:tc>
                                <w:tcPr>
                                  <w:tcW w:w="1133" w:type="dxa"/>
                                </w:tcPr>
                                <w:p>
                                  <w:pPr>
                                    <w:pStyle w:val="14"/>
                                    <w:spacing w:before="28"/>
                                    <w:ind w:left="143" w:right="131"/>
                                    <w:rPr>
                                      <w:rFonts w:ascii="Calibri"/>
                                      <w:sz w:val="21"/>
                                    </w:rPr>
                                  </w:pPr>
                                  <w:r>
                                    <w:rPr>
                                      <w:rFonts w:ascii="Calibri"/>
                                      <w:sz w:val="21"/>
                                    </w:rPr>
                                    <w:t>1.5-3.0</w:t>
                                  </w:r>
                                </w:p>
                              </w:tc>
                              <w:tc>
                                <w:tcPr>
                                  <w:tcW w:w="1133" w:type="dxa"/>
                                </w:tcPr>
                                <w:p>
                                  <w:pPr>
                                    <w:pStyle w:val="14"/>
                                    <w:spacing w:before="28"/>
                                    <w:ind w:right="251"/>
                                    <w:jc w:val="right"/>
                                    <w:rPr>
                                      <w:rFonts w:ascii="Calibri"/>
                                      <w:sz w:val="21"/>
                                    </w:rPr>
                                  </w:pPr>
                                  <w:r>
                                    <w:rPr>
                                      <w:rFonts w:ascii="Calibri"/>
                                      <w:sz w:val="21"/>
                                    </w:rPr>
                                    <w:t>0.5-1.5</w:t>
                                  </w:r>
                                </w:p>
                              </w:tc>
                              <w:tc>
                                <w:tcPr>
                                  <w:tcW w:w="1208" w:type="dxa"/>
                                </w:tcPr>
                                <w:p>
                                  <w:pPr>
                                    <w:pStyle w:val="14"/>
                                    <w:spacing w:before="28"/>
                                    <w:ind w:right="264"/>
                                    <w:jc w:val="right"/>
                                    <w:rPr>
                                      <w:rFonts w:ascii="Calibri"/>
                                      <w:sz w:val="21"/>
                                    </w:rPr>
                                  </w:pPr>
                                  <w:r>
                                    <w:rPr>
                                      <w:rFonts w:ascii="Calibri"/>
                                      <w:w w:val="95"/>
                                      <w:sz w:val="21"/>
                                    </w:rPr>
                                    <w:t>20-60.0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129" w:type="dxa"/>
                                  <w:vMerge w:val="continue"/>
                                  <w:tcBorders>
                                    <w:top w:val="nil"/>
                                  </w:tcBorders>
                                </w:tcPr>
                                <w:p>
                                  <w:pPr>
                                    <w:rPr>
                                      <w:sz w:val="2"/>
                                      <w:szCs w:val="2"/>
                                    </w:rPr>
                                  </w:pPr>
                                </w:p>
                              </w:tc>
                              <w:tc>
                                <w:tcPr>
                                  <w:tcW w:w="1311" w:type="dxa"/>
                                </w:tcPr>
                                <w:p>
                                  <w:pPr>
                                    <w:pStyle w:val="14"/>
                                    <w:spacing w:before="22"/>
                                    <w:ind w:left="212" w:right="201"/>
                                    <w:rPr>
                                      <w:sz w:val="21"/>
                                    </w:rPr>
                                  </w:pPr>
                                  <w:r>
                                    <w:rPr>
                                      <w:sz w:val="21"/>
                                    </w:rPr>
                                    <w:t>重度</w:t>
                                  </w:r>
                                </w:p>
                              </w:tc>
                              <w:tc>
                                <w:tcPr>
                                  <w:tcW w:w="1319" w:type="dxa"/>
                                </w:tcPr>
                                <w:p>
                                  <w:pPr>
                                    <w:pStyle w:val="14"/>
                                    <w:spacing w:before="22"/>
                                    <w:ind w:left="232" w:right="220"/>
                                    <w:rPr>
                                      <w:rFonts w:ascii="Calibri" w:eastAsia="Calibri"/>
                                      <w:sz w:val="21"/>
                                    </w:rPr>
                                  </w:pPr>
                                  <w:r>
                                    <w:rPr>
                                      <w:sz w:val="21"/>
                                    </w:rPr>
                                    <w:t>＞</w:t>
                                  </w:r>
                                  <w:r>
                                    <w:rPr>
                                      <w:rFonts w:ascii="Calibri" w:eastAsia="Calibri"/>
                                      <w:sz w:val="21"/>
                                    </w:rPr>
                                    <w:t>8.0</w:t>
                                  </w:r>
                                </w:p>
                              </w:tc>
                              <w:tc>
                                <w:tcPr>
                                  <w:tcW w:w="1319" w:type="dxa"/>
                                </w:tcPr>
                                <w:p>
                                  <w:pPr>
                                    <w:pStyle w:val="14"/>
                                    <w:spacing w:before="22"/>
                                    <w:ind w:left="232" w:right="220"/>
                                    <w:rPr>
                                      <w:rFonts w:ascii="Calibri" w:eastAsia="Calibri"/>
                                      <w:sz w:val="21"/>
                                    </w:rPr>
                                  </w:pPr>
                                  <w:r>
                                    <w:rPr>
                                      <w:sz w:val="21"/>
                                    </w:rPr>
                                    <w:t>＞</w:t>
                                  </w:r>
                                  <w:r>
                                    <w:rPr>
                                      <w:rFonts w:ascii="Calibri" w:eastAsia="Calibri"/>
                                      <w:sz w:val="21"/>
                                    </w:rPr>
                                    <w:t>12.0</w:t>
                                  </w:r>
                                </w:p>
                              </w:tc>
                              <w:tc>
                                <w:tcPr>
                                  <w:tcW w:w="1133" w:type="dxa"/>
                                </w:tcPr>
                                <w:p>
                                  <w:pPr>
                                    <w:pStyle w:val="14"/>
                                    <w:spacing w:before="22"/>
                                    <w:ind w:left="143" w:right="131"/>
                                    <w:rPr>
                                      <w:rFonts w:ascii="Calibri" w:eastAsia="Calibri"/>
                                      <w:sz w:val="21"/>
                                    </w:rPr>
                                  </w:pPr>
                                  <w:r>
                                    <w:rPr>
                                      <w:sz w:val="21"/>
                                    </w:rPr>
                                    <w:t>＞</w:t>
                                  </w:r>
                                  <w:r>
                                    <w:rPr>
                                      <w:rFonts w:ascii="Calibri" w:eastAsia="Calibri"/>
                                      <w:sz w:val="21"/>
                                    </w:rPr>
                                    <w:t>3.0</w:t>
                                  </w:r>
                                </w:p>
                              </w:tc>
                              <w:tc>
                                <w:tcPr>
                                  <w:tcW w:w="1133" w:type="dxa"/>
                                </w:tcPr>
                                <w:p>
                                  <w:pPr>
                                    <w:pStyle w:val="14"/>
                                    <w:spacing w:before="22"/>
                                    <w:ind w:right="314"/>
                                    <w:jc w:val="right"/>
                                    <w:rPr>
                                      <w:rFonts w:ascii="Calibri" w:eastAsia="Calibri"/>
                                      <w:sz w:val="21"/>
                                    </w:rPr>
                                  </w:pPr>
                                  <w:r>
                                    <w:rPr>
                                      <w:w w:val="95"/>
                                      <w:sz w:val="21"/>
                                    </w:rPr>
                                    <w:t>＜</w:t>
                                  </w:r>
                                  <w:r>
                                    <w:rPr>
                                      <w:rFonts w:ascii="Calibri" w:eastAsia="Calibri"/>
                                      <w:w w:val="95"/>
                                      <w:sz w:val="21"/>
                                    </w:rPr>
                                    <w:t>0.5</w:t>
                                  </w:r>
                                </w:p>
                              </w:tc>
                              <w:tc>
                                <w:tcPr>
                                  <w:tcW w:w="1208" w:type="dxa"/>
                                </w:tcPr>
                                <w:p>
                                  <w:pPr>
                                    <w:pStyle w:val="14"/>
                                    <w:spacing w:before="22"/>
                                    <w:ind w:right="298"/>
                                    <w:jc w:val="right"/>
                                    <w:rPr>
                                      <w:rFonts w:ascii="Calibri" w:eastAsia="Calibri"/>
                                      <w:sz w:val="21"/>
                                    </w:rPr>
                                  </w:pPr>
                                  <w:r>
                                    <w:rPr>
                                      <w:w w:val="95"/>
                                      <w:sz w:val="21"/>
                                    </w:rPr>
                                    <w:t>＞</w:t>
                                  </w:r>
                                  <w:r>
                                    <w:rPr>
                                      <w:rFonts w:ascii="Calibri" w:eastAsia="Calibri"/>
                                      <w:w w:val="95"/>
                                      <w:sz w:val="21"/>
                                    </w:rP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129" w:type="dxa"/>
                                  <w:vMerge w:val="restart"/>
                                </w:tcPr>
                                <w:p>
                                  <w:pPr>
                                    <w:pStyle w:val="14"/>
                                    <w:spacing w:before="2"/>
                                    <w:jc w:val="left"/>
                                    <w:rPr>
                                      <w:sz w:val="27"/>
                                    </w:rPr>
                                  </w:pPr>
                                </w:p>
                                <w:p>
                                  <w:pPr>
                                    <w:pStyle w:val="14"/>
                                    <w:ind w:left="352"/>
                                    <w:jc w:val="left"/>
                                    <w:rPr>
                                      <w:sz w:val="21"/>
                                    </w:rPr>
                                  </w:pPr>
                                  <w:r>
                                    <w:rPr>
                                      <w:sz w:val="21"/>
                                    </w:rPr>
                                    <w:t>旱地</w:t>
                                  </w:r>
                                </w:p>
                              </w:tc>
                              <w:tc>
                                <w:tcPr>
                                  <w:tcW w:w="1311" w:type="dxa"/>
                                </w:tcPr>
                                <w:p>
                                  <w:pPr>
                                    <w:pStyle w:val="14"/>
                                    <w:spacing w:before="21"/>
                                    <w:ind w:left="212" w:right="201"/>
                                    <w:rPr>
                                      <w:sz w:val="21"/>
                                    </w:rPr>
                                  </w:pPr>
                                  <w:r>
                                    <w:rPr>
                                      <w:sz w:val="21"/>
                                    </w:rPr>
                                    <w:t>轻度</w:t>
                                  </w:r>
                                </w:p>
                              </w:tc>
                              <w:tc>
                                <w:tcPr>
                                  <w:tcW w:w="1319" w:type="dxa"/>
                                </w:tcPr>
                                <w:p>
                                  <w:pPr>
                                    <w:pStyle w:val="14"/>
                                    <w:spacing w:before="29"/>
                                    <w:ind w:left="234" w:right="220"/>
                                    <w:rPr>
                                      <w:rFonts w:ascii="Calibri" w:hAnsi="Calibri"/>
                                      <w:sz w:val="21"/>
                                    </w:rPr>
                                  </w:pPr>
                                  <w:r>
                                    <w:rPr>
                                      <w:rFonts w:ascii="Calibri" w:hAnsi="Calibri"/>
                                      <w:sz w:val="21"/>
                                    </w:rPr>
                                    <w:t>≤8.0</w:t>
                                  </w:r>
                                </w:p>
                              </w:tc>
                              <w:tc>
                                <w:tcPr>
                                  <w:tcW w:w="1319" w:type="dxa"/>
                                </w:tcPr>
                                <w:p>
                                  <w:pPr>
                                    <w:pStyle w:val="14"/>
                                    <w:spacing w:before="29"/>
                                    <w:ind w:left="232" w:right="220"/>
                                    <w:rPr>
                                      <w:rFonts w:ascii="Calibri" w:hAnsi="Calibri"/>
                                      <w:sz w:val="21"/>
                                    </w:rPr>
                                  </w:pPr>
                                  <w:r>
                                    <w:rPr>
                                      <w:rFonts w:ascii="Calibri" w:hAnsi="Calibri"/>
                                      <w:sz w:val="21"/>
                                    </w:rPr>
                                    <w:t>≤20.0</w:t>
                                  </w:r>
                                </w:p>
                              </w:tc>
                              <w:tc>
                                <w:tcPr>
                                  <w:tcW w:w="1133" w:type="dxa"/>
                                </w:tcPr>
                                <w:p>
                                  <w:pPr>
                                    <w:pStyle w:val="14"/>
                                    <w:spacing w:before="29"/>
                                    <w:ind w:left="143" w:right="131"/>
                                    <w:rPr>
                                      <w:rFonts w:ascii="Calibri" w:hAnsi="Calibri"/>
                                      <w:sz w:val="21"/>
                                    </w:rPr>
                                  </w:pPr>
                                  <w:r>
                                    <w:rPr>
                                      <w:rFonts w:ascii="Calibri" w:hAnsi="Calibri"/>
                                      <w:sz w:val="21"/>
                                    </w:rPr>
                                    <w:t>≤2.0</w:t>
                                  </w:r>
                                </w:p>
                              </w:tc>
                              <w:tc>
                                <w:tcPr>
                                  <w:tcW w:w="1133" w:type="dxa"/>
                                </w:tcPr>
                                <w:p>
                                  <w:pPr>
                                    <w:pStyle w:val="14"/>
                                    <w:spacing w:before="29"/>
                                    <w:ind w:left="381"/>
                                    <w:jc w:val="left"/>
                                    <w:rPr>
                                      <w:rFonts w:ascii="Calibri" w:hAnsi="Calibri"/>
                                      <w:sz w:val="21"/>
                                    </w:rPr>
                                  </w:pPr>
                                  <w:r>
                                    <w:rPr>
                                      <w:rFonts w:ascii="Calibri" w:hAnsi="Calibri"/>
                                      <w:sz w:val="21"/>
                                    </w:rPr>
                                    <w:t>≥1.5</w:t>
                                  </w:r>
                                </w:p>
                              </w:tc>
                              <w:tc>
                                <w:tcPr>
                                  <w:tcW w:w="1208" w:type="dxa"/>
                                </w:tcPr>
                                <w:p>
                                  <w:pPr>
                                    <w:pStyle w:val="14"/>
                                    <w:spacing w:before="29"/>
                                    <w:ind w:left="364"/>
                                    <w:jc w:val="left"/>
                                    <w:rPr>
                                      <w:rFonts w:ascii="Calibri" w:hAnsi="Calibri"/>
                                      <w:sz w:val="21"/>
                                    </w:rPr>
                                  </w:pPr>
                                  <w:r>
                                    <w:rPr>
                                      <w:rFonts w:ascii="Calibri" w:hAnsi="Calibri"/>
                                      <w:sz w:val="21"/>
                                    </w:rP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129" w:type="dxa"/>
                                  <w:vMerge w:val="continue"/>
                                  <w:tcBorders>
                                    <w:top w:val="nil"/>
                                  </w:tcBorders>
                                </w:tcPr>
                                <w:p>
                                  <w:pPr>
                                    <w:rPr>
                                      <w:sz w:val="2"/>
                                      <w:szCs w:val="2"/>
                                    </w:rPr>
                                  </w:pPr>
                                </w:p>
                              </w:tc>
                              <w:tc>
                                <w:tcPr>
                                  <w:tcW w:w="1311" w:type="dxa"/>
                                </w:tcPr>
                                <w:p>
                                  <w:pPr>
                                    <w:pStyle w:val="14"/>
                                    <w:spacing w:before="21"/>
                                    <w:ind w:left="212" w:right="201"/>
                                    <w:rPr>
                                      <w:sz w:val="21"/>
                                    </w:rPr>
                                  </w:pPr>
                                  <w:r>
                                    <w:rPr>
                                      <w:sz w:val="21"/>
                                    </w:rPr>
                                    <w:t>中度</w:t>
                                  </w:r>
                                </w:p>
                              </w:tc>
                              <w:tc>
                                <w:tcPr>
                                  <w:tcW w:w="1319" w:type="dxa"/>
                                </w:tcPr>
                                <w:p>
                                  <w:pPr>
                                    <w:pStyle w:val="14"/>
                                    <w:spacing w:before="28"/>
                                    <w:ind w:left="232" w:right="220"/>
                                    <w:rPr>
                                      <w:rFonts w:ascii="Calibri"/>
                                      <w:sz w:val="21"/>
                                    </w:rPr>
                                  </w:pPr>
                                  <w:r>
                                    <w:rPr>
                                      <w:rFonts w:ascii="Calibri"/>
                                      <w:sz w:val="21"/>
                                    </w:rPr>
                                    <w:t>8.0-16.0</w:t>
                                  </w:r>
                                </w:p>
                              </w:tc>
                              <w:tc>
                                <w:tcPr>
                                  <w:tcW w:w="1319" w:type="dxa"/>
                                </w:tcPr>
                                <w:p>
                                  <w:pPr>
                                    <w:pStyle w:val="14"/>
                                    <w:spacing w:before="28"/>
                                    <w:ind w:left="234" w:right="220"/>
                                    <w:rPr>
                                      <w:rFonts w:ascii="Calibri"/>
                                      <w:sz w:val="21"/>
                                    </w:rPr>
                                  </w:pPr>
                                  <w:r>
                                    <w:rPr>
                                      <w:rFonts w:ascii="Calibri"/>
                                      <w:sz w:val="21"/>
                                    </w:rPr>
                                    <w:t>20.0-40.0</w:t>
                                  </w:r>
                                </w:p>
                              </w:tc>
                              <w:tc>
                                <w:tcPr>
                                  <w:tcW w:w="1133" w:type="dxa"/>
                                </w:tcPr>
                                <w:p>
                                  <w:pPr>
                                    <w:pStyle w:val="14"/>
                                    <w:spacing w:before="28"/>
                                    <w:ind w:left="143" w:right="131"/>
                                    <w:rPr>
                                      <w:rFonts w:ascii="Calibri"/>
                                      <w:sz w:val="21"/>
                                    </w:rPr>
                                  </w:pPr>
                                  <w:r>
                                    <w:rPr>
                                      <w:rFonts w:ascii="Calibri"/>
                                      <w:sz w:val="21"/>
                                    </w:rPr>
                                    <w:t>2.0-5.0</w:t>
                                  </w:r>
                                </w:p>
                              </w:tc>
                              <w:tc>
                                <w:tcPr>
                                  <w:tcW w:w="1133" w:type="dxa"/>
                                </w:tcPr>
                                <w:p>
                                  <w:pPr>
                                    <w:pStyle w:val="14"/>
                                    <w:spacing w:before="28"/>
                                    <w:ind w:right="251"/>
                                    <w:jc w:val="right"/>
                                    <w:rPr>
                                      <w:rFonts w:ascii="Calibri"/>
                                      <w:sz w:val="21"/>
                                    </w:rPr>
                                  </w:pPr>
                                  <w:r>
                                    <w:rPr>
                                      <w:rFonts w:ascii="Calibri"/>
                                      <w:sz w:val="21"/>
                                    </w:rPr>
                                    <w:t>0.5-1.5</w:t>
                                  </w:r>
                                </w:p>
                              </w:tc>
                              <w:tc>
                                <w:tcPr>
                                  <w:tcW w:w="1208" w:type="dxa"/>
                                </w:tcPr>
                                <w:p>
                                  <w:pPr>
                                    <w:pStyle w:val="14"/>
                                    <w:spacing w:before="28"/>
                                    <w:ind w:right="264"/>
                                    <w:jc w:val="right"/>
                                    <w:rPr>
                                      <w:rFonts w:ascii="Calibri"/>
                                      <w:sz w:val="21"/>
                                    </w:rPr>
                                  </w:pPr>
                                  <w:r>
                                    <w:rPr>
                                      <w:rFonts w:ascii="Calibri"/>
                                      <w:w w:val="95"/>
                                      <w:sz w:val="21"/>
                                    </w:rPr>
                                    <w:t>20-60.0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129" w:type="dxa"/>
                                  <w:vMerge w:val="continue"/>
                                  <w:tcBorders>
                                    <w:top w:val="nil"/>
                                  </w:tcBorders>
                                </w:tcPr>
                                <w:p>
                                  <w:pPr>
                                    <w:rPr>
                                      <w:sz w:val="2"/>
                                      <w:szCs w:val="2"/>
                                    </w:rPr>
                                  </w:pPr>
                                </w:p>
                              </w:tc>
                              <w:tc>
                                <w:tcPr>
                                  <w:tcW w:w="1311" w:type="dxa"/>
                                </w:tcPr>
                                <w:p>
                                  <w:pPr>
                                    <w:pStyle w:val="14"/>
                                    <w:spacing w:before="20"/>
                                    <w:ind w:left="212" w:right="201"/>
                                    <w:rPr>
                                      <w:sz w:val="21"/>
                                    </w:rPr>
                                  </w:pPr>
                                  <w:r>
                                    <w:rPr>
                                      <w:sz w:val="21"/>
                                    </w:rPr>
                                    <w:t>重度</w:t>
                                  </w:r>
                                </w:p>
                              </w:tc>
                              <w:tc>
                                <w:tcPr>
                                  <w:tcW w:w="1319" w:type="dxa"/>
                                </w:tcPr>
                                <w:p>
                                  <w:pPr>
                                    <w:pStyle w:val="14"/>
                                    <w:spacing w:before="23"/>
                                    <w:ind w:left="232" w:right="220"/>
                                    <w:rPr>
                                      <w:rFonts w:ascii="Calibri" w:eastAsia="Calibri"/>
                                      <w:sz w:val="21"/>
                                    </w:rPr>
                                  </w:pPr>
                                  <w:r>
                                    <w:rPr>
                                      <w:sz w:val="21"/>
                                    </w:rPr>
                                    <w:t>＞</w:t>
                                  </w:r>
                                  <w:r>
                                    <w:rPr>
                                      <w:rFonts w:ascii="Calibri" w:eastAsia="Calibri"/>
                                      <w:sz w:val="21"/>
                                    </w:rPr>
                                    <w:t>16.0</w:t>
                                  </w:r>
                                </w:p>
                              </w:tc>
                              <w:tc>
                                <w:tcPr>
                                  <w:tcW w:w="1319" w:type="dxa"/>
                                </w:tcPr>
                                <w:p>
                                  <w:pPr>
                                    <w:pStyle w:val="14"/>
                                    <w:spacing w:before="23"/>
                                    <w:ind w:left="232" w:right="220"/>
                                    <w:rPr>
                                      <w:rFonts w:ascii="Calibri" w:eastAsia="Calibri"/>
                                      <w:sz w:val="21"/>
                                    </w:rPr>
                                  </w:pPr>
                                  <w:r>
                                    <w:rPr>
                                      <w:sz w:val="21"/>
                                    </w:rPr>
                                    <w:t>＞</w:t>
                                  </w:r>
                                  <w:r>
                                    <w:rPr>
                                      <w:rFonts w:ascii="Calibri" w:eastAsia="Calibri"/>
                                      <w:sz w:val="21"/>
                                    </w:rPr>
                                    <w:t>40.0</w:t>
                                  </w:r>
                                </w:p>
                              </w:tc>
                              <w:tc>
                                <w:tcPr>
                                  <w:tcW w:w="1133" w:type="dxa"/>
                                </w:tcPr>
                                <w:p>
                                  <w:pPr>
                                    <w:pStyle w:val="14"/>
                                    <w:spacing w:before="23"/>
                                    <w:ind w:left="143" w:right="131"/>
                                    <w:rPr>
                                      <w:rFonts w:ascii="Calibri" w:eastAsia="Calibri"/>
                                      <w:sz w:val="21"/>
                                    </w:rPr>
                                  </w:pPr>
                                  <w:r>
                                    <w:rPr>
                                      <w:sz w:val="21"/>
                                    </w:rPr>
                                    <w:t>＞</w:t>
                                  </w:r>
                                  <w:r>
                                    <w:rPr>
                                      <w:rFonts w:ascii="Calibri" w:eastAsia="Calibri"/>
                                      <w:sz w:val="21"/>
                                    </w:rPr>
                                    <w:t>5.0</w:t>
                                  </w:r>
                                </w:p>
                              </w:tc>
                              <w:tc>
                                <w:tcPr>
                                  <w:tcW w:w="1133" w:type="dxa"/>
                                </w:tcPr>
                                <w:p>
                                  <w:pPr>
                                    <w:pStyle w:val="14"/>
                                    <w:spacing w:before="23"/>
                                    <w:ind w:right="314"/>
                                    <w:jc w:val="right"/>
                                    <w:rPr>
                                      <w:rFonts w:ascii="Calibri" w:eastAsia="Calibri"/>
                                      <w:sz w:val="21"/>
                                    </w:rPr>
                                  </w:pPr>
                                  <w:r>
                                    <w:rPr>
                                      <w:w w:val="95"/>
                                      <w:sz w:val="21"/>
                                    </w:rPr>
                                    <w:t>＜</w:t>
                                  </w:r>
                                  <w:r>
                                    <w:rPr>
                                      <w:rFonts w:ascii="Calibri" w:eastAsia="Calibri"/>
                                      <w:w w:val="95"/>
                                      <w:sz w:val="21"/>
                                    </w:rPr>
                                    <w:t>0.5</w:t>
                                  </w:r>
                                </w:p>
                              </w:tc>
                              <w:tc>
                                <w:tcPr>
                                  <w:tcW w:w="1208" w:type="dxa"/>
                                </w:tcPr>
                                <w:p>
                                  <w:pPr>
                                    <w:pStyle w:val="14"/>
                                    <w:spacing w:before="23"/>
                                    <w:ind w:right="298"/>
                                    <w:jc w:val="right"/>
                                    <w:rPr>
                                      <w:rFonts w:ascii="Calibri" w:eastAsia="Calibri"/>
                                      <w:sz w:val="21"/>
                                    </w:rPr>
                                  </w:pPr>
                                  <w:r>
                                    <w:rPr>
                                      <w:w w:val="95"/>
                                      <w:sz w:val="21"/>
                                    </w:rPr>
                                    <w:t>＞</w:t>
                                  </w:r>
                                  <w:r>
                                    <w:rPr>
                                      <w:rFonts w:ascii="Calibri" w:eastAsia="Calibri"/>
                                      <w:w w:val="95"/>
                                      <w:sz w:val="21"/>
                                    </w:rP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129" w:type="dxa"/>
                                  <w:vMerge w:val="restart"/>
                                </w:tcPr>
                                <w:p>
                                  <w:pPr>
                                    <w:pStyle w:val="14"/>
                                    <w:jc w:val="left"/>
                                    <w:rPr>
                                      <w:sz w:val="15"/>
                                    </w:rPr>
                                  </w:pPr>
                                </w:p>
                                <w:p>
                                  <w:pPr>
                                    <w:pStyle w:val="14"/>
                                    <w:spacing w:line="278" w:lineRule="auto"/>
                                    <w:ind w:left="143" w:right="130"/>
                                    <w:jc w:val="left"/>
                                    <w:rPr>
                                      <w:sz w:val="21"/>
                                    </w:rPr>
                                  </w:pPr>
                                  <w:r>
                                    <w:rPr>
                                      <w:sz w:val="21"/>
                                    </w:rPr>
                                    <w:t>林地、草地、园地</w:t>
                                  </w:r>
                                </w:p>
                              </w:tc>
                              <w:tc>
                                <w:tcPr>
                                  <w:tcW w:w="1311" w:type="dxa"/>
                                </w:tcPr>
                                <w:p>
                                  <w:pPr>
                                    <w:pStyle w:val="14"/>
                                    <w:spacing w:before="22"/>
                                    <w:ind w:left="212" w:right="201"/>
                                    <w:rPr>
                                      <w:sz w:val="21"/>
                                    </w:rPr>
                                  </w:pPr>
                                  <w:r>
                                    <w:rPr>
                                      <w:sz w:val="21"/>
                                    </w:rPr>
                                    <w:t>轻度</w:t>
                                  </w:r>
                                </w:p>
                              </w:tc>
                              <w:tc>
                                <w:tcPr>
                                  <w:tcW w:w="1319" w:type="dxa"/>
                                </w:tcPr>
                                <w:p>
                                  <w:pPr>
                                    <w:pStyle w:val="14"/>
                                    <w:spacing w:before="27"/>
                                    <w:ind w:left="234" w:right="220"/>
                                    <w:rPr>
                                      <w:rFonts w:ascii="Calibri" w:hAnsi="Calibri"/>
                                      <w:sz w:val="21"/>
                                    </w:rPr>
                                  </w:pPr>
                                  <w:r>
                                    <w:rPr>
                                      <w:rFonts w:ascii="Calibri" w:hAnsi="Calibri"/>
                                      <w:sz w:val="21"/>
                                    </w:rPr>
                                    <w:t>≤8.0</w:t>
                                  </w:r>
                                </w:p>
                              </w:tc>
                              <w:tc>
                                <w:tcPr>
                                  <w:tcW w:w="1319" w:type="dxa"/>
                                </w:tcPr>
                                <w:p>
                                  <w:pPr>
                                    <w:pStyle w:val="14"/>
                                    <w:spacing w:before="27"/>
                                    <w:ind w:left="232" w:right="220"/>
                                    <w:rPr>
                                      <w:rFonts w:ascii="Calibri" w:hAnsi="Calibri"/>
                                      <w:sz w:val="21"/>
                                    </w:rPr>
                                  </w:pPr>
                                  <w:r>
                                    <w:rPr>
                                      <w:rFonts w:ascii="Calibri" w:hAnsi="Calibri"/>
                                      <w:sz w:val="21"/>
                                    </w:rPr>
                                    <w:t>≤20.0</w:t>
                                  </w:r>
                                </w:p>
                              </w:tc>
                              <w:tc>
                                <w:tcPr>
                                  <w:tcW w:w="1133" w:type="dxa"/>
                                </w:tcPr>
                                <w:p>
                                  <w:pPr>
                                    <w:pStyle w:val="14"/>
                                    <w:spacing w:before="27"/>
                                    <w:ind w:left="143" w:right="131"/>
                                    <w:rPr>
                                      <w:rFonts w:ascii="Calibri" w:hAnsi="Calibri"/>
                                      <w:sz w:val="21"/>
                                    </w:rPr>
                                  </w:pPr>
                                  <w:r>
                                    <w:rPr>
                                      <w:rFonts w:ascii="Calibri" w:hAnsi="Calibri"/>
                                      <w:sz w:val="21"/>
                                    </w:rPr>
                                    <w:t>≤2.0</w:t>
                                  </w:r>
                                </w:p>
                              </w:tc>
                              <w:tc>
                                <w:tcPr>
                                  <w:tcW w:w="1133" w:type="dxa"/>
                                </w:tcPr>
                                <w:p>
                                  <w:pPr>
                                    <w:pStyle w:val="14"/>
                                    <w:spacing w:before="27"/>
                                    <w:ind w:left="381"/>
                                    <w:jc w:val="left"/>
                                    <w:rPr>
                                      <w:rFonts w:ascii="Calibri" w:hAnsi="Calibri"/>
                                      <w:sz w:val="21"/>
                                    </w:rPr>
                                  </w:pPr>
                                  <w:r>
                                    <w:rPr>
                                      <w:rFonts w:ascii="Calibri" w:hAnsi="Calibri"/>
                                      <w:sz w:val="21"/>
                                    </w:rPr>
                                    <w:t>≥1.0</w:t>
                                  </w:r>
                                </w:p>
                              </w:tc>
                              <w:tc>
                                <w:tcPr>
                                  <w:tcW w:w="1208" w:type="dxa"/>
                                </w:tcPr>
                                <w:p>
                                  <w:pPr>
                                    <w:pStyle w:val="14"/>
                                    <w:spacing w:before="27"/>
                                    <w:ind w:left="364"/>
                                    <w:jc w:val="left"/>
                                    <w:rPr>
                                      <w:rFonts w:ascii="Calibri" w:hAnsi="Calibri"/>
                                      <w:sz w:val="21"/>
                                    </w:rPr>
                                  </w:pPr>
                                  <w:r>
                                    <w:rPr>
                                      <w:rFonts w:ascii="Calibri" w:hAnsi="Calibri"/>
                                      <w:sz w:val="21"/>
                                    </w:rP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129" w:type="dxa"/>
                                  <w:vMerge w:val="continue"/>
                                  <w:tcBorders>
                                    <w:top w:val="nil"/>
                                  </w:tcBorders>
                                </w:tcPr>
                                <w:p>
                                  <w:pPr>
                                    <w:rPr>
                                      <w:sz w:val="2"/>
                                      <w:szCs w:val="2"/>
                                    </w:rPr>
                                  </w:pPr>
                                </w:p>
                              </w:tc>
                              <w:tc>
                                <w:tcPr>
                                  <w:tcW w:w="1311" w:type="dxa"/>
                                </w:tcPr>
                                <w:p>
                                  <w:pPr>
                                    <w:pStyle w:val="14"/>
                                    <w:spacing w:before="21"/>
                                    <w:ind w:left="212" w:right="201"/>
                                    <w:rPr>
                                      <w:sz w:val="21"/>
                                    </w:rPr>
                                  </w:pPr>
                                  <w:r>
                                    <w:rPr>
                                      <w:sz w:val="21"/>
                                    </w:rPr>
                                    <w:t>中度</w:t>
                                  </w:r>
                                </w:p>
                              </w:tc>
                              <w:tc>
                                <w:tcPr>
                                  <w:tcW w:w="1319" w:type="dxa"/>
                                </w:tcPr>
                                <w:p>
                                  <w:pPr>
                                    <w:pStyle w:val="14"/>
                                    <w:spacing w:before="29"/>
                                    <w:ind w:left="232" w:right="220"/>
                                    <w:rPr>
                                      <w:rFonts w:ascii="Calibri"/>
                                      <w:sz w:val="21"/>
                                    </w:rPr>
                                  </w:pPr>
                                  <w:r>
                                    <w:rPr>
                                      <w:rFonts w:ascii="Calibri"/>
                                      <w:sz w:val="21"/>
                                    </w:rPr>
                                    <w:t>8.0-20.0</w:t>
                                  </w:r>
                                </w:p>
                              </w:tc>
                              <w:tc>
                                <w:tcPr>
                                  <w:tcW w:w="1319" w:type="dxa"/>
                                </w:tcPr>
                                <w:p>
                                  <w:pPr>
                                    <w:pStyle w:val="14"/>
                                    <w:spacing w:before="29"/>
                                    <w:ind w:left="234" w:right="220"/>
                                    <w:rPr>
                                      <w:rFonts w:ascii="Calibri"/>
                                      <w:sz w:val="21"/>
                                    </w:rPr>
                                  </w:pPr>
                                  <w:r>
                                    <w:rPr>
                                      <w:rFonts w:ascii="Calibri"/>
                                      <w:sz w:val="21"/>
                                    </w:rPr>
                                    <w:t>20.0-50.0</w:t>
                                  </w:r>
                                </w:p>
                              </w:tc>
                              <w:tc>
                                <w:tcPr>
                                  <w:tcW w:w="1133" w:type="dxa"/>
                                </w:tcPr>
                                <w:p>
                                  <w:pPr>
                                    <w:pStyle w:val="14"/>
                                    <w:spacing w:before="29"/>
                                    <w:ind w:left="143" w:right="131"/>
                                    <w:rPr>
                                      <w:rFonts w:ascii="Calibri"/>
                                      <w:sz w:val="21"/>
                                    </w:rPr>
                                  </w:pPr>
                                  <w:r>
                                    <w:rPr>
                                      <w:rFonts w:ascii="Calibri"/>
                                      <w:sz w:val="21"/>
                                    </w:rPr>
                                    <w:t>2.0-6.0</w:t>
                                  </w:r>
                                </w:p>
                              </w:tc>
                              <w:tc>
                                <w:tcPr>
                                  <w:tcW w:w="1133" w:type="dxa"/>
                                </w:tcPr>
                                <w:p>
                                  <w:pPr>
                                    <w:pStyle w:val="14"/>
                                    <w:spacing w:before="29"/>
                                    <w:ind w:right="251"/>
                                    <w:jc w:val="right"/>
                                    <w:rPr>
                                      <w:rFonts w:ascii="Calibri"/>
                                      <w:sz w:val="21"/>
                                    </w:rPr>
                                  </w:pPr>
                                  <w:r>
                                    <w:rPr>
                                      <w:rFonts w:ascii="Calibri"/>
                                      <w:sz w:val="21"/>
                                    </w:rPr>
                                    <w:t>0.3-1.0</w:t>
                                  </w:r>
                                </w:p>
                              </w:tc>
                              <w:tc>
                                <w:tcPr>
                                  <w:tcW w:w="1208" w:type="dxa"/>
                                </w:tcPr>
                                <w:p>
                                  <w:pPr>
                                    <w:pStyle w:val="14"/>
                                    <w:spacing w:before="29"/>
                                    <w:ind w:right="264"/>
                                    <w:jc w:val="right"/>
                                    <w:rPr>
                                      <w:rFonts w:ascii="Calibri"/>
                                      <w:sz w:val="21"/>
                                    </w:rPr>
                                  </w:pPr>
                                  <w:r>
                                    <w:rPr>
                                      <w:rFonts w:ascii="Calibri"/>
                                      <w:w w:val="95"/>
                                      <w:sz w:val="21"/>
                                    </w:rPr>
                                    <w:t>20-60.0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129" w:type="dxa"/>
                                  <w:vMerge w:val="continue"/>
                                  <w:tcBorders>
                                    <w:top w:val="nil"/>
                                  </w:tcBorders>
                                </w:tcPr>
                                <w:p>
                                  <w:pPr>
                                    <w:rPr>
                                      <w:sz w:val="2"/>
                                      <w:szCs w:val="2"/>
                                    </w:rPr>
                                  </w:pPr>
                                </w:p>
                              </w:tc>
                              <w:tc>
                                <w:tcPr>
                                  <w:tcW w:w="1311" w:type="dxa"/>
                                </w:tcPr>
                                <w:p>
                                  <w:pPr>
                                    <w:pStyle w:val="14"/>
                                    <w:spacing w:before="21"/>
                                    <w:ind w:left="212" w:right="201"/>
                                    <w:rPr>
                                      <w:sz w:val="21"/>
                                    </w:rPr>
                                  </w:pPr>
                                  <w:r>
                                    <w:rPr>
                                      <w:sz w:val="21"/>
                                    </w:rPr>
                                    <w:t>重度</w:t>
                                  </w:r>
                                </w:p>
                              </w:tc>
                              <w:tc>
                                <w:tcPr>
                                  <w:tcW w:w="1319" w:type="dxa"/>
                                </w:tcPr>
                                <w:p>
                                  <w:pPr>
                                    <w:pStyle w:val="14"/>
                                    <w:spacing w:before="21"/>
                                    <w:ind w:left="232" w:right="220"/>
                                    <w:rPr>
                                      <w:rFonts w:ascii="Calibri" w:eastAsia="Calibri"/>
                                      <w:sz w:val="21"/>
                                    </w:rPr>
                                  </w:pPr>
                                  <w:r>
                                    <w:rPr>
                                      <w:sz w:val="21"/>
                                    </w:rPr>
                                    <w:t>＞</w:t>
                                  </w:r>
                                  <w:r>
                                    <w:rPr>
                                      <w:rFonts w:ascii="Calibri" w:eastAsia="Calibri"/>
                                      <w:sz w:val="21"/>
                                    </w:rPr>
                                    <w:t>20.0</w:t>
                                  </w:r>
                                </w:p>
                              </w:tc>
                              <w:tc>
                                <w:tcPr>
                                  <w:tcW w:w="1319" w:type="dxa"/>
                                </w:tcPr>
                                <w:p>
                                  <w:pPr>
                                    <w:pStyle w:val="14"/>
                                    <w:spacing w:before="21"/>
                                    <w:ind w:left="232" w:right="220"/>
                                    <w:rPr>
                                      <w:rFonts w:ascii="Calibri" w:eastAsia="Calibri"/>
                                      <w:sz w:val="21"/>
                                    </w:rPr>
                                  </w:pPr>
                                  <w:r>
                                    <w:rPr>
                                      <w:sz w:val="21"/>
                                    </w:rPr>
                                    <w:t>＞</w:t>
                                  </w:r>
                                  <w:r>
                                    <w:rPr>
                                      <w:rFonts w:ascii="Calibri" w:eastAsia="Calibri"/>
                                      <w:sz w:val="21"/>
                                    </w:rPr>
                                    <w:t>50.0</w:t>
                                  </w:r>
                                </w:p>
                              </w:tc>
                              <w:tc>
                                <w:tcPr>
                                  <w:tcW w:w="1133" w:type="dxa"/>
                                </w:tcPr>
                                <w:p>
                                  <w:pPr>
                                    <w:pStyle w:val="14"/>
                                    <w:spacing w:before="21"/>
                                    <w:ind w:left="143" w:right="131"/>
                                    <w:rPr>
                                      <w:rFonts w:ascii="Calibri" w:eastAsia="Calibri"/>
                                      <w:sz w:val="21"/>
                                    </w:rPr>
                                  </w:pPr>
                                  <w:r>
                                    <w:rPr>
                                      <w:sz w:val="21"/>
                                    </w:rPr>
                                    <w:t>＞</w:t>
                                  </w:r>
                                  <w:r>
                                    <w:rPr>
                                      <w:rFonts w:ascii="Calibri" w:eastAsia="Calibri"/>
                                      <w:sz w:val="21"/>
                                    </w:rPr>
                                    <w:t>6.0</w:t>
                                  </w:r>
                                </w:p>
                              </w:tc>
                              <w:tc>
                                <w:tcPr>
                                  <w:tcW w:w="1133" w:type="dxa"/>
                                </w:tcPr>
                                <w:p>
                                  <w:pPr>
                                    <w:pStyle w:val="14"/>
                                    <w:spacing w:before="21"/>
                                    <w:ind w:right="314"/>
                                    <w:jc w:val="right"/>
                                    <w:rPr>
                                      <w:rFonts w:ascii="Calibri" w:eastAsia="Calibri"/>
                                      <w:sz w:val="21"/>
                                    </w:rPr>
                                  </w:pPr>
                                  <w:r>
                                    <w:rPr>
                                      <w:w w:val="95"/>
                                      <w:sz w:val="21"/>
                                    </w:rPr>
                                    <w:t>＜</w:t>
                                  </w:r>
                                  <w:r>
                                    <w:rPr>
                                      <w:rFonts w:ascii="Calibri" w:eastAsia="Calibri"/>
                                      <w:w w:val="95"/>
                                      <w:sz w:val="21"/>
                                    </w:rPr>
                                    <w:t>0.3</w:t>
                                  </w:r>
                                </w:p>
                              </w:tc>
                              <w:tc>
                                <w:tcPr>
                                  <w:tcW w:w="1208" w:type="dxa"/>
                                </w:tcPr>
                                <w:p>
                                  <w:pPr>
                                    <w:pStyle w:val="14"/>
                                    <w:spacing w:before="21"/>
                                    <w:ind w:right="298"/>
                                    <w:jc w:val="right"/>
                                    <w:rPr>
                                      <w:rFonts w:ascii="Calibri" w:eastAsia="Calibri"/>
                                      <w:sz w:val="21"/>
                                    </w:rPr>
                                  </w:pPr>
                                  <w:r>
                                    <w:rPr>
                                      <w:w w:val="95"/>
                                      <w:sz w:val="21"/>
                                    </w:rPr>
                                    <w:t>＞</w:t>
                                  </w:r>
                                  <w:r>
                                    <w:rPr>
                                      <w:rFonts w:ascii="Calibri" w:eastAsia="Calibri"/>
                                      <w:w w:val="95"/>
                                      <w:sz w:val="21"/>
                                    </w:rPr>
                                    <w:t>60.0</w:t>
                                  </w:r>
                                </w:p>
                              </w:tc>
                            </w:tr>
                          </w:tbl>
                          <w:p>
                            <w:pPr>
                              <w:pStyle w:val="6"/>
                            </w:pPr>
                          </w:p>
                        </w:txbxContent>
                      </wps:txbx>
                      <wps:bodyPr lIns="0" tIns="0" rIns="0" bIns="0" upright="1"/>
                    </wps:wsp>
                  </a:graphicData>
                </a:graphic>
              </wp:anchor>
            </w:drawing>
          </mc:Choice>
          <mc:Fallback>
            <w:pict>
              <v:shape id="文本框 114" o:spid="_x0000_s1026" o:spt="202" type="#_x0000_t202" style="position:absolute;left:0pt;margin-left:87.2pt;margin-top:60.45pt;height:244.5pt;width:428.7pt;mso-position-horizontal-relative:page;z-index:251740160;mso-width-relative:page;mso-height-relative:page;" filled="f" stroked="f" coordsize="21600,21600" o:gfxdata="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oEG/W2QAAAAwBAAAPAAAA&#10;AAAAAAEAIAAAACIAAABkcnMvZG93bnJldi54bWxQSwECFAAUAAAACACHTuJAbTYbB6IBAAApAwAA&#10;DgAAAAAAAAABACAAAAAoAQAAZHJzL2Uyb0RvYy54bWxQSwUGAAAAAAYABgBZAQAAPAUAAAAA&#10;">
                <v:fill on="f" focussize="0,0"/>
                <v:stroke on="f"/>
                <v:imagedata o:title=""/>
                <o:lock v:ext="edit" aspectratio="f"/>
                <v:textbox inset="0mm,0mm,0mm,0mm">
                  <w:txbxContent>
                    <w:tbl>
                      <w:tblPr>
                        <w:tblStyle w:val="10"/>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29"/>
                        <w:gridCol w:w="1311"/>
                        <w:gridCol w:w="1319"/>
                        <w:gridCol w:w="1319"/>
                        <w:gridCol w:w="1133"/>
                        <w:gridCol w:w="1133"/>
                        <w:gridCol w:w="120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936" w:hRule="atLeast"/>
                        </w:trPr>
                        <w:tc>
                          <w:tcPr>
                            <w:tcW w:w="1129" w:type="dxa"/>
                          </w:tcPr>
                          <w:p>
                            <w:pPr>
                              <w:pStyle w:val="14"/>
                              <w:spacing w:before="12"/>
                              <w:jc w:val="left"/>
                              <w:rPr>
                                <w:sz w:val="25"/>
                              </w:rPr>
                            </w:pPr>
                          </w:p>
                          <w:p>
                            <w:pPr>
                              <w:pStyle w:val="14"/>
                              <w:ind w:left="352"/>
                              <w:jc w:val="left"/>
                              <w:rPr>
                                <w:sz w:val="21"/>
                              </w:rPr>
                            </w:pPr>
                            <w:r>
                              <w:rPr>
                                <w:sz w:val="21"/>
                              </w:rPr>
                              <w:t>地类</w:t>
                            </w:r>
                          </w:p>
                        </w:tc>
                        <w:tc>
                          <w:tcPr>
                            <w:tcW w:w="1311" w:type="dxa"/>
                          </w:tcPr>
                          <w:p>
                            <w:pPr>
                              <w:pStyle w:val="14"/>
                              <w:spacing w:before="12"/>
                              <w:jc w:val="left"/>
                              <w:rPr>
                                <w:sz w:val="25"/>
                              </w:rPr>
                            </w:pPr>
                          </w:p>
                          <w:p>
                            <w:pPr>
                              <w:pStyle w:val="14"/>
                              <w:ind w:left="212" w:right="203"/>
                              <w:rPr>
                                <w:sz w:val="21"/>
                              </w:rPr>
                            </w:pPr>
                            <w:r>
                              <w:rPr>
                                <w:sz w:val="21"/>
                              </w:rPr>
                              <w:t>评价等级</w:t>
                            </w:r>
                          </w:p>
                        </w:tc>
                        <w:tc>
                          <w:tcPr>
                            <w:tcW w:w="1319" w:type="dxa"/>
                          </w:tcPr>
                          <w:p>
                            <w:pPr>
                              <w:pStyle w:val="14"/>
                              <w:spacing w:before="177"/>
                              <w:ind w:left="238"/>
                              <w:jc w:val="left"/>
                              <w:rPr>
                                <w:sz w:val="21"/>
                              </w:rPr>
                            </w:pPr>
                            <w:r>
                              <w:rPr>
                                <w:sz w:val="21"/>
                              </w:rPr>
                              <w:t>水平变形</w:t>
                            </w:r>
                          </w:p>
                          <w:p>
                            <w:pPr>
                              <w:pStyle w:val="14"/>
                              <w:spacing w:before="50"/>
                              <w:ind w:left="305"/>
                              <w:jc w:val="left"/>
                              <w:rPr>
                                <w:rFonts w:ascii="Calibri"/>
                                <w:sz w:val="21"/>
                              </w:rPr>
                            </w:pPr>
                            <w:r>
                              <w:rPr>
                                <w:rFonts w:ascii="Calibri"/>
                                <w:sz w:val="21"/>
                              </w:rPr>
                              <w:t>(mm/m)</w:t>
                            </w:r>
                          </w:p>
                        </w:tc>
                        <w:tc>
                          <w:tcPr>
                            <w:tcW w:w="1319" w:type="dxa"/>
                          </w:tcPr>
                          <w:p>
                            <w:pPr>
                              <w:pStyle w:val="14"/>
                              <w:spacing w:before="177"/>
                              <w:ind w:left="239"/>
                              <w:jc w:val="left"/>
                              <w:rPr>
                                <w:sz w:val="21"/>
                              </w:rPr>
                            </w:pPr>
                            <w:r>
                              <w:rPr>
                                <w:sz w:val="21"/>
                              </w:rPr>
                              <w:t>附加倾斜</w:t>
                            </w:r>
                          </w:p>
                          <w:p>
                            <w:pPr>
                              <w:pStyle w:val="14"/>
                              <w:spacing w:before="50"/>
                              <w:ind w:left="303"/>
                              <w:jc w:val="left"/>
                              <w:rPr>
                                <w:rFonts w:ascii="Calibri"/>
                                <w:sz w:val="21"/>
                              </w:rPr>
                            </w:pPr>
                            <w:r>
                              <w:rPr>
                                <w:rFonts w:ascii="Calibri"/>
                                <w:sz w:val="21"/>
                              </w:rPr>
                              <w:t>(mm/m)</w:t>
                            </w:r>
                          </w:p>
                        </w:tc>
                        <w:tc>
                          <w:tcPr>
                            <w:tcW w:w="1133" w:type="dxa"/>
                          </w:tcPr>
                          <w:p>
                            <w:pPr>
                              <w:pStyle w:val="14"/>
                              <w:spacing w:before="177"/>
                              <w:ind w:left="355"/>
                              <w:jc w:val="left"/>
                              <w:rPr>
                                <w:sz w:val="21"/>
                              </w:rPr>
                            </w:pPr>
                            <w:r>
                              <w:rPr>
                                <w:sz w:val="21"/>
                              </w:rPr>
                              <w:t>下沉</w:t>
                            </w:r>
                          </w:p>
                          <w:p>
                            <w:pPr>
                              <w:pStyle w:val="14"/>
                              <w:spacing w:before="43"/>
                              <w:ind w:left="273"/>
                              <w:jc w:val="left"/>
                              <w:rPr>
                                <w:sz w:val="21"/>
                              </w:rPr>
                            </w:pPr>
                            <w:r>
                              <w:rPr>
                                <w:sz w:val="21"/>
                              </w:rPr>
                              <w:t>（</w:t>
                            </w:r>
                            <w:r>
                              <w:rPr>
                                <w:rFonts w:ascii="Calibri" w:eastAsia="Calibri"/>
                                <w:sz w:val="21"/>
                              </w:rPr>
                              <w:t>m</w:t>
                            </w:r>
                            <w:r>
                              <w:rPr>
                                <w:sz w:val="21"/>
                              </w:rPr>
                              <w:t>）</w:t>
                            </w:r>
                          </w:p>
                        </w:tc>
                        <w:tc>
                          <w:tcPr>
                            <w:tcW w:w="1133" w:type="dxa"/>
                          </w:tcPr>
                          <w:p>
                            <w:pPr>
                              <w:pStyle w:val="14"/>
                              <w:spacing w:before="21" w:line="278" w:lineRule="auto"/>
                              <w:ind w:left="146" w:right="131"/>
                              <w:rPr>
                                <w:sz w:val="21"/>
                              </w:rPr>
                            </w:pPr>
                            <w:r>
                              <w:rPr>
                                <w:sz w:val="21"/>
                              </w:rPr>
                              <w:t>沉陷后潜水位埋深</w:t>
                            </w:r>
                          </w:p>
                          <w:p>
                            <w:pPr>
                              <w:pStyle w:val="14"/>
                              <w:spacing w:line="269" w:lineRule="exact"/>
                              <w:ind w:left="145" w:right="131"/>
                              <w:rPr>
                                <w:sz w:val="21"/>
                              </w:rPr>
                            </w:pPr>
                            <w:r>
                              <w:rPr>
                                <w:sz w:val="21"/>
                              </w:rPr>
                              <w:t>（</w:t>
                            </w:r>
                            <w:r>
                              <w:rPr>
                                <w:rFonts w:ascii="Calibri" w:eastAsia="Calibri"/>
                                <w:sz w:val="21"/>
                              </w:rPr>
                              <w:t>m</w:t>
                            </w:r>
                            <w:r>
                              <w:rPr>
                                <w:sz w:val="21"/>
                              </w:rPr>
                              <w:t>）</w:t>
                            </w:r>
                          </w:p>
                        </w:tc>
                        <w:tc>
                          <w:tcPr>
                            <w:tcW w:w="1208" w:type="dxa"/>
                          </w:tcPr>
                          <w:p>
                            <w:pPr>
                              <w:pStyle w:val="14"/>
                              <w:spacing w:before="21" w:line="278" w:lineRule="auto"/>
                              <w:ind w:left="393" w:right="379"/>
                              <w:rPr>
                                <w:sz w:val="21"/>
                              </w:rPr>
                            </w:pPr>
                            <w:r>
                              <w:rPr>
                                <w:spacing w:val="-8"/>
                                <w:sz w:val="21"/>
                              </w:rPr>
                              <w:t>产力</w:t>
                            </w:r>
                            <w:r>
                              <w:rPr>
                                <w:spacing w:val="-9"/>
                                <w:w w:val="95"/>
                                <w:sz w:val="21"/>
                              </w:rPr>
                              <w:t>降低</w:t>
                            </w:r>
                          </w:p>
                          <w:p>
                            <w:pPr>
                              <w:pStyle w:val="14"/>
                              <w:spacing w:before="7"/>
                              <w:ind w:left="393" w:right="379"/>
                              <w:rPr>
                                <w:rFonts w:ascii="Calibri"/>
                                <w:sz w:val="21"/>
                              </w:rPr>
                            </w:pPr>
                            <w:r>
                              <w:rPr>
                                <w:rFonts w:ascii="Calibri"/>
                                <w:sz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129" w:type="dxa"/>
                            <w:vMerge w:val="restart"/>
                          </w:tcPr>
                          <w:p>
                            <w:pPr>
                              <w:pStyle w:val="14"/>
                              <w:spacing w:before="3"/>
                              <w:jc w:val="left"/>
                              <w:rPr>
                                <w:sz w:val="27"/>
                              </w:rPr>
                            </w:pPr>
                          </w:p>
                          <w:p>
                            <w:pPr>
                              <w:pStyle w:val="14"/>
                              <w:ind w:left="352"/>
                              <w:jc w:val="left"/>
                              <w:rPr>
                                <w:sz w:val="21"/>
                              </w:rPr>
                            </w:pPr>
                            <w:r>
                              <w:rPr>
                                <w:sz w:val="21"/>
                              </w:rPr>
                              <w:t>水田</w:t>
                            </w:r>
                          </w:p>
                        </w:tc>
                        <w:tc>
                          <w:tcPr>
                            <w:tcW w:w="1311" w:type="dxa"/>
                          </w:tcPr>
                          <w:p>
                            <w:pPr>
                              <w:pStyle w:val="14"/>
                              <w:spacing w:before="20"/>
                              <w:ind w:left="212" w:right="201"/>
                              <w:rPr>
                                <w:sz w:val="21"/>
                              </w:rPr>
                            </w:pPr>
                            <w:r>
                              <w:rPr>
                                <w:sz w:val="21"/>
                              </w:rPr>
                              <w:t>轻度</w:t>
                            </w:r>
                          </w:p>
                        </w:tc>
                        <w:tc>
                          <w:tcPr>
                            <w:tcW w:w="1319" w:type="dxa"/>
                          </w:tcPr>
                          <w:p>
                            <w:pPr>
                              <w:pStyle w:val="14"/>
                              <w:spacing w:before="28"/>
                              <w:ind w:left="234" w:right="220"/>
                              <w:rPr>
                                <w:rFonts w:ascii="Calibri" w:hAnsi="Calibri"/>
                                <w:sz w:val="21"/>
                              </w:rPr>
                            </w:pPr>
                            <w:r>
                              <w:rPr>
                                <w:rFonts w:ascii="Calibri" w:hAnsi="Calibri"/>
                                <w:sz w:val="21"/>
                              </w:rPr>
                              <w:t>≤3.0</w:t>
                            </w:r>
                          </w:p>
                        </w:tc>
                        <w:tc>
                          <w:tcPr>
                            <w:tcW w:w="1319" w:type="dxa"/>
                          </w:tcPr>
                          <w:p>
                            <w:pPr>
                              <w:pStyle w:val="14"/>
                              <w:spacing w:before="28"/>
                              <w:ind w:left="232" w:right="220"/>
                              <w:rPr>
                                <w:rFonts w:ascii="Calibri" w:hAnsi="Calibri"/>
                                <w:sz w:val="21"/>
                              </w:rPr>
                            </w:pPr>
                            <w:r>
                              <w:rPr>
                                <w:rFonts w:ascii="Calibri" w:hAnsi="Calibri"/>
                                <w:sz w:val="21"/>
                              </w:rPr>
                              <w:t>≤4.0</w:t>
                            </w:r>
                          </w:p>
                        </w:tc>
                        <w:tc>
                          <w:tcPr>
                            <w:tcW w:w="1133" w:type="dxa"/>
                          </w:tcPr>
                          <w:p>
                            <w:pPr>
                              <w:pStyle w:val="14"/>
                              <w:spacing w:before="28"/>
                              <w:ind w:left="143" w:right="131"/>
                              <w:rPr>
                                <w:rFonts w:ascii="Calibri" w:hAnsi="Calibri"/>
                                <w:sz w:val="21"/>
                              </w:rPr>
                            </w:pPr>
                            <w:r>
                              <w:rPr>
                                <w:rFonts w:ascii="Calibri" w:hAnsi="Calibri"/>
                                <w:sz w:val="21"/>
                              </w:rPr>
                              <w:t>≤1.0</w:t>
                            </w:r>
                          </w:p>
                        </w:tc>
                        <w:tc>
                          <w:tcPr>
                            <w:tcW w:w="1133" w:type="dxa"/>
                          </w:tcPr>
                          <w:p>
                            <w:pPr>
                              <w:pStyle w:val="14"/>
                              <w:spacing w:before="28"/>
                              <w:ind w:left="381"/>
                              <w:jc w:val="left"/>
                              <w:rPr>
                                <w:rFonts w:ascii="Calibri" w:hAnsi="Calibri"/>
                                <w:sz w:val="21"/>
                              </w:rPr>
                            </w:pPr>
                            <w:r>
                              <w:rPr>
                                <w:rFonts w:ascii="Calibri" w:hAnsi="Calibri"/>
                                <w:sz w:val="21"/>
                              </w:rPr>
                              <w:t>≥1.0</w:t>
                            </w:r>
                          </w:p>
                        </w:tc>
                        <w:tc>
                          <w:tcPr>
                            <w:tcW w:w="1208" w:type="dxa"/>
                          </w:tcPr>
                          <w:p>
                            <w:pPr>
                              <w:pStyle w:val="14"/>
                              <w:spacing w:before="28"/>
                              <w:ind w:left="364"/>
                              <w:jc w:val="left"/>
                              <w:rPr>
                                <w:rFonts w:ascii="Calibri" w:hAnsi="Calibri"/>
                                <w:sz w:val="21"/>
                              </w:rPr>
                            </w:pPr>
                            <w:r>
                              <w:rPr>
                                <w:rFonts w:ascii="Calibri" w:hAnsi="Calibri"/>
                                <w:sz w:val="21"/>
                              </w:rP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129" w:type="dxa"/>
                            <w:vMerge w:val="continue"/>
                            <w:tcBorders>
                              <w:top w:val="nil"/>
                            </w:tcBorders>
                          </w:tcPr>
                          <w:p>
                            <w:pPr>
                              <w:rPr>
                                <w:sz w:val="2"/>
                                <w:szCs w:val="2"/>
                              </w:rPr>
                            </w:pPr>
                          </w:p>
                        </w:tc>
                        <w:tc>
                          <w:tcPr>
                            <w:tcW w:w="1311" w:type="dxa"/>
                          </w:tcPr>
                          <w:p>
                            <w:pPr>
                              <w:pStyle w:val="14"/>
                              <w:spacing w:before="22"/>
                              <w:ind w:left="212" w:right="201"/>
                              <w:rPr>
                                <w:sz w:val="21"/>
                              </w:rPr>
                            </w:pPr>
                            <w:r>
                              <w:rPr>
                                <w:sz w:val="21"/>
                              </w:rPr>
                              <w:t>中度</w:t>
                            </w:r>
                          </w:p>
                        </w:tc>
                        <w:tc>
                          <w:tcPr>
                            <w:tcW w:w="1319" w:type="dxa"/>
                          </w:tcPr>
                          <w:p>
                            <w:pPr>
                              <w:pStyle w:val="14"/>
                              <w:spacing w:before="27"/>
                              <w:ind w:left="232" w:right="220"/>
                              <w:rPr>
                                <w:rFonts w:ascii="Calibri"/>
                                <w:sz w:val="21"/>
                              </w:rPr>
                            </w:pPr>
                            <w:r>
                              <w:rPr>
                                <w:rFonts w:ascii="Calibri"/>
                                <w:sz w:val="21"/>
                              </w:rPr>
                              <w:t>3.0-6.0</w:t>
                            </w:r>
                          </w:p>
                        </w:tc>
                        <w:tc>
                          <w:tcPr>
                            <w:tcW w:w="1319" w:type="dxa"/>
                          </w:tcPr>
                          <w:p>
                            <w:pPr>
                              <w:pStyle w:val="14"/>
                              <w:spacing w:before="27"/>
                              <w:ind w:left="234" w:right="220"/>
                              <w:rPr>
                                <w:rFonts w:ascii="Calibri"/>
                                <w:sz w:val="21"/>
                              </w:rPr>
                            </w:pPr>
                            <w:r>
                              <w:rPr>
                                <w:rFonts w:ascii="Calibri"/>
                                <w:sz w:val="21"/>
                              </w:rPr>
                              <w:t>4.0-10.0</w:t>
                            </w:r>
                          </w:p>
                        </w:tc>
                        <w:tc>
                          <w:tcPr>
                            <w:tcW w:w="1133" w:type="dxa"/>
                          </w:tcPr>
                          <w:p>
                            <w:pPr>
                              <w:pStyle w:val="14"/>
                              <w:spacing w:before="27"/>
                              <w:ind w:left="143" w:right="131"/>
                              <w:rPr>
                                <w:rFonts w:ascii="Calibri"/>
                                <w:sz w:val="21"/>
                              </w:rPr>
                            </w:pPr>
                            <w:r>
                              <w:rPr>
                                <w:rFonts w:ascii="Calibri"/>
                                <w:sz w:val="21"/>
                              </w:rPr>
                              <w:t>1.0-2.0</w:t>
                            </w:r>
                          </w:p>
                        </w:tc>
                        <w:tc>
                          <w:tcPr>
                            <w:tcW w:w="1133" w:type="dxa"/>
                          </w:tcPr>
                          <w:p>
                            <w:pPr>
                              <w:pStyle w:val="14"/>
                              <w:spacing w:before="27"/>
                              <w:ind w:left="347"/>
                              <w:jc w:val="left"/>
                              <w:rPr>
                                <w:rFonts w:ascii="Calibri"/>
                                <w:sz w:val="21"/>
                              </w:rPr>
                            </w:pPr>
                            <w:r>
                              <w:rPr>
                                <w:rFonts w:ascii="Calibri"/>
                                <w:sz w:val="21"/>
                              </w:rPr>
                              <w:t>0-1.0</w:t>
                            </w:r>
                          </w:p>
                        </w:tc>
                        <w:tc>
                          <w:tcPr>
                            <w:tcW w:w="1208" w:type="dxa"/>
                          </w:tcPr>
                          <w:p>
                            <w:pPr>
                              <w:pStyle w:val="14"/>
                              <w:spacing w:before="27"/>
                              <w:ind w:right="264"/>
                              <w:jc w:val="right"/>
                              <w:rPr>
                                <w:rFonts w:ascii="Calibri"/>
                                <w:sz w:val="21"/>
                              </w:rPr>
                            </w:pPr>
                            <w:r>
                              <w:rPr>
                                <w:rFonts w:ascii="Calibri"/>
                                <w:w w:val="95"/>
                                <w:sz w:val="21"/>
                              </w:rPr>
                              <w:t>20-60.0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129" w:type="dxa"/>
                            <w:vMerge w:val="continue"/>
                            <w:tcBorders>
                              <w:top w:val="nil"/>
                            </w:tcBorders>
                          </w:tcPr>
                          <w:p>
                            <w:pPr>
                              <w:rPr>
                                <w:sz w:val="2"/>
                                <w:szCs w:val="2"/>
                              </w:rPr>
                            </w:pPr>
                          </w:p>
                        </w:tc>
                        <w:tc>
                          <w:tcPr>
                            <w:tcW w:w="1311" w:type="dxa"/>
                          </w:tcPr>
                          <w:p>
                            <w:pPr>
                              <w:pStyle w:val="14"/>
                              <w:spacing w:before="21"/>
                              <w:ind w:left="212" w:right="201"/>
                              <w:rPr>
                                <w:sz w:val="21"/>
                              </w:rPr>
                            </w:pPr>
                            <w:r>
                              <w:rPr>
                                <w:sz w:val="21"/>
                              </w:rPr>
                              <w:t>重度</w:t>
                            </w:r>
                          </w:p>
                        </w:tc>
                        <w:tc>
                          <w:tcPr>
                            <w:tcW w:w="1319" w:type="dxa"/>
                          </w:tcPr>
                          <w:p>
                            <w:pPr>
                              <w:pStyle w:val="14"/>
                              <w:spacing w:before="21"/>
                              <w:ind w:left="232" w:right="220"/>
                              <w:rPr>
                                <w:rFonts w:ascii="Calibri" w:eastAsia="Calibri"/>
                                <w:sz w:val="21"/>
                              </w:rPr>
                            </w:pPr>
                            <w:r>
                              <w:rPr>
                                <w:sz w:val="21"/>
                              </w:rPr>
                              <w:t>＞</w:t>
                            </w:r>
                            <w:r>
                              <w:rPr>
                                <w:rFonts w:ascii="Calibri" w:eastAsia="Calibri"/>
                                <w:sz w:val="21"/>
                              </w:rPr>
                              <w:t>6.0</w:t>
                            </w:r>
                          </w:p>
                        </w:tc>
                        <w:tc>
                          <w:tcPr>
                            <w:tcW w:w="1319" w:type="dxa"/>
                          </w:tcPr>
                          <w:p>
                            <w:pPr>
                              <w:pStyle w:val="14"/>
                              <w:spacing w:before="21"/>
                              <w:ind w:left="232" w:right="220"/>
                              <w:rPr>
                                <w:rFonts w:ascii="Calibri" w:eastAsia="Calibri"/>
                                <w:sz w:val="21"/>
                              </w:rPr>
                            </w:pPr>
                            <w:r>
                              <w:rPr>
                                <w:sz w:val="21"/>
                              </w:rPr>
                              <w:t>＞</w:t>
                            </w:r>
                            <w:r>
                              <w:rPr>
                                <w:rFonts w:ascii="Calibri" w:eastAsia="Calibri"/>
                                <w:sz w:val="21"/>
                              </w:rPr>
                              <w:t>10.0</w:t>
                            </w:r>
                          </w:p>
                        </w:tc>
                        <w:tc>
                          <w:tcPr>
                            <w:tcW w:w="1133" w:type="dxa"/>
                          </w:tcPr>
                          <w:p>
                            <w:pPr>
                              <w:pStyle w:val="14"/>
                              <w:spacing w:before="21"/>
                              <w:ind w:left="143" w:right="131"/>
                              <w:rPr>
                                <w:rFonts w:ascii="Calibri" w:eastAsia="Calibri"/>
                                <w:sz w:val="21"/>
                              </w:rPr>
                            </w:pPr>
                            <w:r>
                              <w:rPr>
                                <w:sz w:val="21"/>
                              </w:rPr>
                              <w:t>＞</w:t>
                            </w:r>
                            <w:r>
                              <w:rPr>
                                <w:rFonts w:ascii="Calibri" w:eastAsia="Calibri"/>
                                <w:sz w:val="21"/>
                              </w:rPr>
                              <w:t>2.0</w:t>
                            </w:r>
                          </w:p>
                        </w:tc>
                        <w:tc>
                          <w:tcPr>
                            <w:tcW w:w="1133" w:type="dxa"/>
                          </w:tcPr>
                          <w:p>
                            <w:pPr>
                              <w:pStyle w:val="14"/>
                              <w:spacing w:before="21"/>
                              <w:ind w:left="143" w:right="131"/>
                              <w:rPr>
                                <w:rFonts w:ascii="Calibri" w:eastAsia="Calibri"/>
                                <w:sz w:val="21"/>
                              </w:rPr>
                            </w:pPr>
                            <w:r>
                              <w:rPr>
                                <w:sz w:val="21"/>
                              </w:rPr>
                              <w:t>＜</w:t>
                            </w:r>
                            <w:r>
                              <w:rPr>
                                <w:rFonts w:ascii="Calibri" w:eastAsia="Calibri"/>
                                <w:sz w:val="21"/>
                              </w:rPr>
                              <w:t>0</w:t>
                            </w:r>
                          </w:p>
                        </w:tc>
                        <w:tc>
                          <w:tcPr>
                            <w:tcW w:w="1208" w:type="dxa"/>
                          </w:tcPr>
                          <w:p>
                            <w:pPr>
                              <w:pStyle w:val="14"/>
                              <w:spacing w:before="21"/>
                              <w:ind w:right="298"/>
                              <w:jc w:val="right"/>
                              <w:rPr>
                                <w:rFonts w:ascii="Calibri" w:eastAsia="Calibri"/>
                                <w:sz w:val="21"/>
                              </w:rPr>
                            </w:pPr>
                            <w:r>
                              <w:rPr>
                                <w:w w:val="95"/>
                                <w:sz w:val="21"/>
                              </w:rPr>
                              <w:t>＞</w:t>
                            </w:r>
                            <w:r>
                              <w:rPr>
                                <w:rFonts w:ascii="Calibri" w:eastAsia="Calibri"/>
                                <w:w w:val="95"/>
                                <w:sz w:val="21"/>
                              </w:rP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129" w:type="dxa"/>
                            <w:vMerge w:val="restart"/>
                          </w:tcPr>
                          <w:p>
                            <w:pPr>
                              <w:pStyle w:val="14"/>
                              <w:spacing w:before="1"/>
                              <w:jc w:val="left"/>
                              <w:rPr>
                                <w:sz w:val="27"/>
                              </w:rPr>
                            </w:pPr>
                          </w:p>
                          <w:p>
                            <w:pPr>
                              <w:pStyle w:val="14"/>
                              <w:ind w:left="249"/>
                              <w:jc w:val="left"/>
                              <w:rPr>
                                <w:sz w:val="21"/>
                              </w:rPr>
                            </w:pPr>
                            <w:r>
                              <w:rPr>
                                <w:sz w:val="21"/>
                              </w:rPr>
                              <w:t>水浇地</w:t>
                            </w:r>
                          </w:p>
                        </w:tc>
                        <w:tc>
                          <w:tcPr>
                            <w:tcW w:w="1311" w:type="dxa"/>
                          </w:tcPr>
                          <w:p>
                            <w:pPr>
                              <w:pStyle w:val="14"/>
                              <w:spacing w:before="21"/>
                              <w:ind w:left="212" w:right="201"/>
                              <w:rPr>
                                <w:sz w:val="21"/>
                              </w:rPr>
                            </w:pPr>
                            <w:r>
                              <w:rPr>
                                <w:sz w:val="21"/>
                              </w:rPr>
                              <w:t>轻度</w:t>
                            </w:r>
                          </w:p>
                        </w:tc>
                        <w:tc>
                          <w:tcPr>
                            <w:tcW w:w="1319" w:type="dxa"/>
                          </w:tcPr>
                          <w:p>
                            <w:pPr>
                              <w:pStyle w:val="14"/>
                              <w:spacing w:before="28"/>
                              <w:ind w:left="234" w:right="220"/>
                              <w:rPr>
                                <w:rFonts w:ascii="Calibri" w:hAnsi="Calibri"/>
                                <w:sz w:val="21"/>
                              </w:rPr>
                            </w:pPr>
                            <w:r>
                              <w:rPr>
                                <w:rFonts w:ascii="Calibri" w:hAnsi="Calibri"/>
                                <w:sz w:val="21"/>
                              </w:rPr>
                              <w:t>≤4.0</w:t>
                            </w:r>
                          </w:p>
                        </w:tc>
                        <w:tc>
                          <w:tcPr>
                            <w:tcW w:w="1319" w:type="dxa"/>
                          </w:tcPr>
                          <w:p>
                            <w:pPr>
                              <w:pStyle w:val="14"/>
                              <w:spacing w:before="28"/>
                              <w:ind w:left="232" w:right="220"/>
                              <w:rPr>
                                <w:rFonts w:ascii="Calibri" w:hAnsi="Calibri"/>
                                <w:sz w:val="21"/>
                              </w:rPr>
                            </w:pPr>
                            <w:r>
                              <w:rPr>
                                <w:rFonts w:ascii="Calibri" w:hAnsi="Calibri"/>
                                <w:sz w:val="21"/>
                              </w:rPr>
                              <w:t>≤6.0</w:t>
                            </w:r>
                          </w:p>
                        </w:tc>
                        <w:tc>
                          <w:tcPr>
                            <w:tcW w:w="1133" w:type="dxa"/>
                          </w:tcPr>
                          <w:p>
                            <w:pPr>
                              <w:pStyle w:val="14"/>
                              <w:spacing w:before="28"/>
                              <w:ind w:left="143" w:right="131"/>
                              <w:rPr>
                                <w:rFonts w:ascii="Calibri" w:hAnsi="Calibri"/>
                                <w:sz w:val="21"/>
                              </w:rPr>
                            </w:pPr>
                            <w:r>
                              <w:rPr>
                                <w:rFonts w:ascii="Calibri" w:hAnsi="Calibri"/>
                                <w:sz w:val="21"/>
                              </w:rPr>
                              <w:t>≤1.5</w:t>
                            </w:r>
                          </w:p>
                        </w:tc>
                        <w:tc>
                          <w:tcPr>
                            <w:tcW w:w="1133" w:type="dxa"/>
                          </w:tcPr>
                          <w:p>
                            <w:pPr>
                              <w:pStyle w:val="14"/>
                              <w:spacing w:before="28"/>
                              <w:ind w:left="381"/>
                              <w:jc w:val="left"/>
                              <w:rPr>
                                <w:rFonts w:ascii="Calibri" w:hAnsi="Calibri"/>
                                <w:sz w:val="21"/>
                              </w:rPr>
                            </w:pPr>
                            <w:r>
                              <w:rPr>
                                <w:rFonts w:ascii="Calibri" w:hAnsi="Calibri"/>
                                <w:sz w:val="21"/>
                              </w:rPr>
                              <w:t>≥1.5</w:t>
                            </w:r>
                          </w:p>
                        </w:tc>
                        <w:tc>
                          <w:tcPr>
                            <w:tcW w:w="1208" w:type="dxa"/>
                          </w:tcPr>
                          <w:p>
                            <w:pPr>
                              <w:pStyle w:val="14"/>
                              <w:spacing w:before="28"/>
                              <w:ind w:left="364"/>
                              <w:jc w:val="left"/>
                              <w:rPr>
                                <w:rFonts w:ascii="Calibri" w:hAnsi="Calibri"/>
                                <w:sz w:val="21"/>
                              </w:rPr>
                            </w:pPr>
                            <w:r>
                              <w:rPr>
                                <w:rFonts w:ascii="Calibri" w:hAnsi="Calibri"/>
                                <w:sz w:val="21"/>
                              </w:rP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129" w:type="dxa"/>
                            <w:vMerge w:val="continue"/>
                            <w:tcBorders>
                              <w:top w:val="nil"/>
                            </w:tcBorders>
                          </w:tcPr>
                          <w:p>
                            <w:pPr>
                              <w:rPr>
                                <w:sz w:val="2"/>
                                <w:szCs w:val="2"/>
                              </w:rPr>
                            </w:pPr>
                          </w:p>
                        </w:tc>
                        <w:tc>
                          <w:tcPr>
                            <w:tcW w:w="1311" w:type="dxa"/>
                          </w:tcPr>
                          <w:p>
                            <w:pPr>
                              <w:pStyle w:val="14"/>
                              <w:spacing w:before="20"/>
                              <w:ind w:left="212" w:right="201"/>
                              <w:rPr>
                                <w:sz w:val="21"/>
                              </w:rPr>
                            </w:pPr>
                            <w:r>
                              <w:rPr>
                                <w:sz w:val="21"/>
                              </w:rPr>
                              <w:t>中度</w:t>
                            </w:r>
                          </w:p>
                        </w:tc>
                        <w:tc>
                          <w:tcPr>
                            <w:tcW w:w="1319" w:type="dxa"/>
                          </w:tcPr>
                          <w:p>
                            <w:pPr>
                              <w:pStyle w:val="14"/>
                              <w:spacing w:before="28"/>
                              <w:ind w:left="232" w:right="220"/>
                              <w:rPr>
                                <w:rFonts w:ascii="Calibri"/>
                                <w:sz w:val="21"/>
                              </w:rPr>
                            </w:pPr>
                            <w:r>
                              <w:rPr>
                                <w:rFonts w:ascii="Calibri"/>
                                <w:sz w:val="21"/>
                              </w:rPr>
                              <w:t>4.0-8.0</w:t>
                            </w:r>
                          </w:p>
                        </w:tc>
                        <w:tc>
                          <w:tcPr>
                            <w:tcW w:w="1319" w:type="dxa"/>
                          </w:tcPr>
                          <w:p>
                            <w:pPr>
                              <w:pStyle w:val="14"/>
                              <w:spacing w:before="28"/>
                              <w:ind w:left="234" w:right="220"/>
                              <w:rPr>
                                <w:rFonts w:ascii="Calibri"/>
                                <w:sz w:val="21"/>
                              </w:rPr>
                            </w:pPr>
                            <w:r>
                              <w:rPr>
                                <w:rFonts w:ascii="Calibri"/>
                                <w:sz w:val="21"/>
                              </w:rPr>
                              <w:t>6.0-12.0</w:t>
                            </w:r>
                          </w:p>
                        </w:tc>
                        <w:tc>
                          <w:tcPr>
                            <w:tcW w:w="1133" w:type="dxa"/>
                          </w:tcPr>
                          <w:p>
                            <w:pPr>
                              <w:pStyle w:val="14"/>
                              <w:spacing w:before="28"/>
                              <w:ind w:left="143" w:right="131"/>
                              <w:rPr>
                                <w:rFonts w:ascii="Calibri"/>
                                <w:sz w:val="21"/>
                              </w:rPr>
                            </w:pPr>
                            <w:r>
                              <w:rPr>
                                <w:rFonts w:ascii="Calibri"/>
                                <w:sz w:val="21"/>
                              </w:rPr>
                              <w:t>1.5-3.0</w:t>
                            </w:r>
                          </w:p>
                        </w:tc>
                        <w:tc>
                          <w:tcPr>
                            <w:tcW w:w="1133" w:type="dxa"/>
                          </w:tcPr>
                          <w:p>
                            <w:pPr>
                              <w:pStyle w:val="14"/>
                              <w:spacing w:before="28"/>
                              <w:ind w:right="251"/>
                              <w:jc w:val="right"/>
                              <w:rPr>
                                <w:rFonts w:ascii="Calibri"/>
                                <w:sz w:val="21"/>
                              </w:rPr>
                            </w:pPr>
                            <w:r>
                              <w:rPr>
                                <w:rFonts w:ascii="Calibri"/>
                                <w:sz w:val="21"/>
                              </w:rPr>
                              <w:t>0.5-1.5</w:t>
                            </w:r>
                          </w:p>
                        </w:tc>
                        <w:tc>
                          <w:tcPr>
                            <w:tcW w:w="1208" w:type="dxa"/>
                          </w:tcPr>
                          <w:p>
                            <w:pPr>
                              <w:pStyle w:val="14"/>
                              <w:spacing w:before="28"/>
                              <w:ind w:right="264"/>
                              <w:jc w:val="right"/>
                              <w:rPr>
                                <w:rFonts w:ascii="Calibri"/>
                                <w:sz w:val="21"/>
                              </w:rPr>
                            </w:pPr>
                            <w:r>
                              <w:rPr>
                                <w:rFonts w:ascii="Calibri"/>
                                <w:w w:val="95"/>
                                <w:sz w:val="21"/>
                              </w:rPr>
                              <w:t>20-60.0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129" w:type="dxa"/>
                            <w:vMerge w:val="continue"/>
                            <w:tcBorders>
                              <w:top w:val="nil"/>
                            </w:tcBorders>
                          </w:tcPr>
                          <w:p>
                            <w:pPr>
                              <w:rPr>
                                <w:sz w:val="2"/>
                                <w:szCs w:val="2"/>
                              </w:rPr>
                            </w:pPr>
                          </w:p>
                        </w:tc>
                        <w:tc>
                          <w:tcPr>
                            <w:tcW w:w="1311" w:type="dxa"/>
                          </w:tcPr>
                          <w:p>
                            <w:pPr>
                              <w:pStyle w:val="14"/>
                              <w:spacing w:before="22"/>
                              <w:ind w:left="212" w:right="201"/>
                              <w:rPr>
                                <w:sz w:val="21"/>
                              </w:rPr>
                            </w:pPr>
                            <w:r>
                              <w:rPr>
                                <w:sz w:val="21"/>
                              </w:rPr>
                              <w:t>重度</w:t>
                            </w:r>
                          </w:p>
                        </w:tc>
                        <w:tc>
                          <w:tcPr>
                            <w:tcW w:w="1319" w:type="dxa"/>
                          </w:tcPr>
                          <w:p>
                            <w:pPr>
                              <w:pStyle w:val="14"/>
                              <w:spacing w:before="22"/>
                              <w:ind w:left="232" w:right="220"/>
                              <w:rPr>
                                <w:rFonts w:ascii="Calibri" w:eastAsia="Calibri"/>
                                <w:sz w:val="21"/>
                              </w:rPr>
                            </w:pPr>
                            <w:r>
                              <w:rPr>
                                <w:sz w:val="21"/>
                              </w:rPr>
                              <w:t>＞</w:t>
                            </w:r>
                            <w:r>
                              <w:rPr>
                                <w:rFonts w:ascii="Calibri" w:eastAsia="Calibri"/>
                                <w:sz w:val="21"/>
                              </w:rPr>
                              <w:t>8.0</w:t>
                            </w:r>
                          </w:p>
                        </w:tc>
                        <w:tc>
                          <w:tcPr>
                            <w:tcW w:w="1319" w:type="dxa"/>
                          </w:tcPr>
                          <w:p>
                            <w:pPr>
                              <w:pStyle w:val="14"/>
                              <w:spacing w:before="22"/>
                              <w:ind w:left="232" w:right="220"/>
                              <w:rPr>
                                <w:rFonts w:ascii="Calibri" w:eastAsia="Calibri"/>
                                <w:sz w:val="21"/>
                              </w:rPr>
                            </w:pPr>
                            <w:r>
                              <w:rPr>
                                <w:sz w:val="21"/>
                              </w:rPr>
                              <w:t>＞</w:t>
                            </w:r>
                            <w:r>
                              <w:rPr>
                                <w:rFonts w:ascii="Calibri" w:eastAsia="Calibri"/>
                                <w:sz w:val="21"/>
                              </w:rPr>
                              <w:t>12.0</w:t>
                            </w:r>
                          </w:p>
                        </w:tc>
                        <w:tc>
                          <w:tcPr>
                            <w:tcW w:w="1133" w:type="dxa"/>
                          </w:tcPr>
                          <w:p>
                            <w:pPr>
                              <w:pStyle w:val="14"/>
                              <w:spacing w:before="22"/>
                              <w:ind w:left="143" w:right="131"/>
                              <w:rPr>
                                <w:rFonts w:ascii="Calibri" w:eastAsia="Calibri"/>
                                <w:sz w:val="21"/>
                              </w:rPr>
                            </w:pPr>
                            <w:r>
                              <w:rPr>
                                <w:sz w:val="21"/>
                              </w:rPr>
                              <w:t>＞</w:t>
                            </w:r>
                            <w:r>
                              <w:rPr>
                                <w:rFonts w:ascii="Calibri" w:eastAsia="Calibri"/>
                                <w:sz w:val="21"/>
                              </w:rPr>
                              <w:t>3.0</w:t>
                            </w:r>
                          </w:p>
                        </w:tc>
                        <w:tc>
                          <w:tcPr>
                            <w:tcW w:w="1133" w:type="dxa"/>
                          </w:tcPr>
                          <w:p>
                            <w:pPr>
                              <w:pStyle w:val="14"/>
                              <w:spacing w:before="22"/>
                              <w:ind w:right="314"/>
                              <w:jc w:val="right"/>
                              <w:rPr>
                                <w:rFonts w:ascii="Calibri" w:eastAsia="Calibri"/>
                                <w:sz w:val="21"/>
                              </w:rPr>
                            </w:pPr>
                            <w:r>
                              <w:rPr>
                                <w:w w:val="95"/>
                                <w:sz w:val="21"/>
                              </w:rPr>
                              <w:t>＜</w:t>
                            </w:r>
                            <w:r>
                              <w:rPr>
                                <w:rFonts w:ascii="Calibri" w:eastAsia="Calibri"/>
                                <w:w w:val="95"/>
                                <w:sz w:val="21"/>
                              </w:rPr>
                              <w:t>0.5</w:t>
                            </w:r>
                          </w:p>
                        </w:tc>
                        <w:tc>
                          <w:tcPr>
                            <w:tcW w:w="1208" w:type="dxa"/>
                          </w:tcPr>
                          <w:p>
                            <w:pPr>
                              <w:pStyle w:val="14"/>
                              <w:spacing w:before="22"/>
                              <w:ind w:right="298"/>
                              <w:jc w:val="right"/>
                              <w:rPr>
                                <w:rFonts w:ascii="Calibri" w:eastAsia="Calibri"/>
                                <w:sz w:val="21"/>
                              </w:rPr>
                            </w:pPr>
                            <w:r>
                              <w:rPr>
                                <w:w w:val="95"/>
                                <w:sz w:val="21"/>
                              </w:rPr>
                              <w:t>＞</w:t>
                            </w:r>
                            <w:r>
                              <w:rPr>
                                <w:rFonts w:ascii="Calibri" w:eastAsia="Calibri"/>
                                <w:w w:val="95"/>
                                <w:sz w:val="21"/>
                              </w:rP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129" w:type="dxa"/>
                            <w:vMerge w:val="restart"/>
                          </w:tcPr>
                          <w:p>
                            <w:pPr>
                              <w:pStyle w:val="14"/>
                              <w:spacing w:before="2"/>
                              <w:jc w:val="left"/>
                              <w:rPr>
                                <w:sz w:val="27"/>
                              </w:rPr>
                            </w:pPr>
                          </w:p>
                          <w:p>
                            <w:pPr>
                              <w:pStyle w:val="14"/>
                              <w:ind w:left="352"/>
                              <w:jc w:val="left"/>
                              <w:rPr>
                                <w:sz w:val="21"/>
                              </w:rPr>
                            </w:pPr>
                            <w:r>
                              <w:rPr>
                                <w:sz w:val="21"/>
                              </w:rPr>
                              <w:t>旱地</w:t>
                            </w:r>
                          </w:p>
                        </w:tc>
                        <w:tc>
                          <w:tcPr>
                            <w:tcW w:w="1311" w:type="dxa"/>
                          </w:tcPr>
                          <w:p>
                            <w:pPr>
                              <w:pStyle w:val="14"/>
                              <w:spacing w:before="21"/>
                              <w:ind w:left="212" w:right="201"/>
                              <w:rPr>
                                <w:sz w:val="21"/>
                              </w:rPr>
                            </w:pPr>
                            <w:r>
                              <w:rPr>
                                <w:sz w:val="21"/>
                              </w:rPr>
                              <w:t>轻度</w:t>
                            </w:r>
                          </w:p>
                        </w:tc>
                        <w:tc>
                          <w:tcPr>
                            <w:tcW w:w="1319" w:type="dxa"/>
                          </w:tcPr>
                          <w:p>
                            <w:pPr>
                              <w:pStyle w:val="14"/>
                              <w:spacing w:before="29"/>
                              <w:ind w:left="234" w:right="220"/>
                              <w:rPr>
                                <w:rFonts w:ascii="Calibri" w:hAnsi="Calibri"/>
                                <w:sz w:val="21"/>
                              </w:rPr>
                            </w:pPr>
                            <w:r>
                              <w:rPr>
                                <w:rFonts w:ascii="Calibri" w:hAnsi="Calibri"/>
                                <w:sz w:val="21"/>
                              </w:rPr>
                              <w:t>≤8.0</w:t>
                            </w:r>
                          </w:p>
                        </w:tc>
                        <w:tc>
                          <w:tcPr>
                            <w:tcW w:w="1319" w:type="dxa"/>
                          </w:tcPr>
                          <w:p>
                            <w:pPr>
                              <w:pStyle w:val="14"/>
                              <w:spacing w:before="29"/>
                              <w:ind w:left="232" w:right="220"/>
                              <w:rPr>
                                <w:rFonts w:ascii="Calibri" w:hAnsi="Calibri"/>
                                <w:sz w:val="21"/>
                              </w:rPr>
                            </w:pPr>
                            <w:r>
                              <w:rPr>
                                <w:rFonts w:ascii="Calibri" w:hAnsi="Calibri"/>
                                <w:sz w:val="21"/>
                              </w:rPr>
                              <w:t>≤20.0</w:t>
                            </w:r>
                          </w:p>
                        </w:tc>
                        <w:tc>
                          <w:tcPr>
                            <w:tcW w:w="1133" w:type="dxa"/>
                          </w:tcPr>
                          <w:p>
                            <w:pPr>
                              <w:pStyle w:val="14"/>
                              <w:spacing w:before="29"/>
                              <w:ind w:left="143" w:right="131"/>
                              <w:rPr>
                                <w:rFonts w:ascii="Calibri" w:hAnsi="Calibri"/>
                                <w:sz w:val="21"/>
                              </w:rPr>
                            </w:pPr>
                            <w:r>
                              <w:rPr>
                                <w:rFonts w:ascii="Calibri" w:hAnsi="Calibri"/>
                                <w:sz w:val="21"/>
                              </w:rPr>
                              <w:t>≤2.0</w:t>
                            </w:r>
                          </w:p>
                        </w:tc>
                        <w:tc>
                          <w:tcPr>
                            <w:tcW w:w="1133" w:type="dxa"/>
                          </w:tcPr>
                          <w:p>
                            <w:pPr>
                              <w:pStyle w:val="14"/>
                              <w:spacing w:before="29"/>
                              <w:ind w:left="381"/>
                              <w:jc w:val="left"/>
                              <w:rPr>
                                <w:rFonts w:ascii="Calibri" w:hAnsi="Calibri"/>
                                <w:sz w:val="21"/>
                              </w:rPr>
                            </w:pPr>
                            <w:r>
                              <w:rPr>
                                <w:rFonts w:ascii="Calibri" w:hAnsi="Calibri"/>
                                <w:sz w:val="21"/>
                              </w:rPr>
                              <w:t>≥1.5</w:t>
                            </w:r>
                          </w:p>
                        </w:tc>
                        <w:tc>
                          <w:tcPr>
                            <w:tcW w:w="1208" w:type="dxa"/>
                          </w:tcPr>
                          <w:p>
                            <w:pPr>
                              <w:pStyle w:val="14"/>
                              <w:spacing w:before="29"/>
                              <w:ind w:left="364"/>
                              <w:jc w:val="left"/>
                              <w:rPr>
                                <w:rFonts w:ascii="Calibri" w:hAnsi="Calibri"/>
                                <w:sz w:val="21"/>
                              </w:rPr>
                            </w:pPr>
                            <w:r>
                              <w:rPr>
                                <w:rFonts w:ascii="Calibri" w:hAnsi="Calibri"/>
                                <w:sz w:val="21"/>
                              </w:rP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129" w:type="dxa"/>
                            <w:vMerge w:val="continue"/>
                            <w:tcBorders>
                              <w:top w:val="nil"/>
                            </w:tcBorders>
                          </w:tcPr>
                          <w:p>
                            <w:pPr>
                              <w:rPr>
                                <w:sz w:val="2"/>
                                <w:szCs w:val="2"/>
                              </w:rPr>
                            </w:pPr>
                          </w:p>
                        </w:tc>
                        <w:tc>
                          <w:tcPr>
                            <w:tcW w:w="1311" w:type="dxa"/>
                          </w:tcPr>
                          <w:p>
                            <w:pPr>
                              <w:pStyle w:val="14"/>
                              <w:spacing w:before="21"/>
                              <w:ind w:left="212" w:right="201"/>
                              <w:rPr>
                                <w:sz w:val="21"/>
                              </w:rPr>
                            </w:pPr>
                            <w:r>
                              <w:rPr>
                                <w:sz w:val="21"/>
                              </w:rPr>
                              <w:t>中度</w:t>
                            </w:r>
                          </w:p>
                        </w:tc>
                        <w:tc>
                          <w:tcPr>
                            <w:tcW w:w="1319" w:type="dxa"/>
                          </w:tcPr>
                          <w:p>
                            <w:pPr>
                              <w:pStyle w:val="14"/>
                              <w:spacing w:before="28"/>
                              <w:ind w:left="232" w:right="220"/>
                              <w:rPr>
                                <w:rFonts w:ascii="Calibri"/>
                                <w:sz w:val="21"/>
                              </w:rPr>
                            </w:pPr>
                            <w:r>
                              <w:rPr>
                                <w:rFonts w:ascii="Calibri"/>
                                <w:sz w:val="21"/>
                              </w:rPr>
                              <w:t>8.0-16.0</w:t>
                            </w:r>
                          </w:p>
                        </w:tc>
                        <w:tc>
                          <w:tcPr>
                            <w:tcW w:w="1319" w:type="dxa"/>
                          </w:tcPr>
                          <w:p>
                            <w:pPr>
                              <w:pStyle w:val="14"/>
                              <w:spacing w:before="28"/>
                              <w:ind w:left="234" w:right="220"/>
                              <w:rPr>
                                <w:rFonts w:ascii="Calibri"/>
                                <w:sz w:val="21"/>
                              </w:rPr>
                            </w:pPr>
                            <w:r>
                              <w:rPr>
                                <w:rFonts w:ascii="Calibri"/>
                                <w:sz w:val="21"/>
                              </w:rPr>
                              <w:t>20.0-40.0</w:t>
                            </w:r>
                          </w:p>
                        </w:tc>
                        <w:tc>
                          <w:tcPr>
                            <w:tcW w:w="1133" w:type="dxa"/>
                          </w:tcPr>
                          <w:p>
                            <w:pPr>
                              <w:pStyle w:val="14"/>
                              <w:spacing w:before="28"/>
                              <w:ind w:left="143" w:right="131"/>
                              <w:rPr>
                                <w:rFonts w:ascii="Calibri"/>
                                <w:sz w:val="21"/>
                              </w:rPr>
                            </w:pPr>
                            <w:r>
                              <w:rPr>
                                <w:rFonts w:ascii="Calibri"/>
                                <w:sz w:val="21"/>
                              </w:rPr>
                              <w:t>2.0-5.0</w:t>
                            </w:r>
                          </w:p>
                        </w:tc>
                        <w:tc>
                          <w:tcPr>
                            <w:tcW w:w="1133" w:type="dxa"/>
                          </w:tcPr>
                          <w:p>
                            <w:pPr>
                              <w:pStyle w:val="14"/>
                              <w:spacing w:before="28"/>
                              <w:ind w:right="251"/>
                              <w:jc w:val="right"/>
                              <w:rPr>
                                <w:rFonts w:ascii="Calibri"/>
                                <w:sz w:val="21"/>
                              </w:rPr>
                            </w:pPr>
                            <w:r>
                              <w:rPr>
                                <w:rFonts w:ascii="Calibri"/>
                                <w:sz w:val="21"/>
                              </w:rPr>
                              <w:t>0.5-1.5</w:t>
                            </w:r>
                          </w:p>
                        </w:tc>
                        <w:tc>
                          <w:tcPr>
                            <w:tcW w:w="1208" w:type="dxa"/>
                          </w:tcPr>
                          <w:p>
                            <w:pPr>
                              <w:pStyle w:val="14"/>
                              <w:spacing w:before="28"/>
                              <w:ind w:right="264"/>
                              <w:jc w:val="right"/>
                              <w:rPr>
                                <w:rFonts w:ascii="Calibri"/>
                                <w:sz w:val="21"/>
                              </w:rPr>
                            </w:pPr>
                            <w:r>
                              <w:rPr>
                                <w:rFonts w:ascii="Calibri"/>
                                <w:w w:val="95"/>
                                <w:sz w:val="21"/>
                              </w:rPr>
                              <w:t>20-60.0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129" w:type="dxa"/>
                            <w:vMerge w:val="continue"/>
                            <w:tcBorders>
                              <w:top w:val="nil"/>
                            </w:tcBorders>
                          </w:tcPr>
                          <w:p>
                            <w:pPr>
                              <w:rPr>
                                <w:sz w:val="2"/>
                                <w:szCs w:val="2"/>
                              </w:rPr>
                            </w:pPr>
                          </w:p>
                        </w:tc>
                        <w:tc>
                          <w:tcPr>
                            <w:tcW w:w="1311" w:type="dxa"/>
                          </w:tcPr>
                          <w:p>
                            <w:pPr>
                              <w:pStyle w:val="14"/>
                              <w:spacing w:before="20"/>
                              <w:ind w:left="212" w:right="201"/>
                              <w:rPr>
                                <w:sz w:val="21"/>
                              </w:rPr>
                            </w:pPr>
                            <w:r>
                              <w:rPr>
                                <w:sz w:val="21"/>
                              </w:rPr>
                              <w:t>重度</w:t>
                            </w:r>
                          </w:p>
                        </w:tc>
                        <w:tc>
                          <w:tcPr>
                            <w:tcW w:w="1319" w:type="dxa"/>
                          </w:tcPr>
                          <w:p>
                            <w:pPr>
                              <w:pStyle w:val="14"/>
                              <w:spacing w:before="23"/>
                              <w:ind w:left="232" w:right="220"/>
                              <w:rPr>
                                <w:rFonts w:ascii="Calibri" w:eastAsia="Calibri"/>
                                <w:sz w:val="21"/>
                              </w:rPr>
                            </w:pPr>
                            <w:r>
                              <w:rPr>
                                <w:sz w:val="21"/>
                              </w:rPr>
                              <w:t>＞</w:t>
                            </w:r>
                            <w:r>
                              <w:rPr>
                                <w:rFonts w:ascii="Calibri" w:eastAsia="Calibri"/>
                                <w:sz w:val="21"/>
                              </w:rPr>
                              <w:t>16.0</w:t>
                            </w:r>
                          </w:p>
                        </w:tc>
                        <w:tc>
                          <w:tcPr>
                            <w:tcW w:w="1319" w:type="dxa"/>
                          </w:tcPr>
                          <w:p>
                            <w:pPr>
                              <w:pStyle w:val="14"/>
                              <w:spacing w:before="23"/>
                              <w:ind w:left="232" w:right="220"/>
                              <w:rPr>
                                <w:rFonts w:ascii="Calibri" w:eastAsia="Calibri"/>
                                <w:sz w:val="21"/>
                              </w:rPr>
                            </w:pPr>
                            <w:r>
                              <w:rPr>
                                <w:sz w:val="21"/>
                              </w:rPr>
                              <w:t>＞</w:t>
                            </w:r>
                            <w:r>
                              <w:rPr>
                                <w:rFonts w:ascii="Calibri" w:eastAsia="Calibri"/>
                                <w:sz w:val="21"/>
                              </w:rPr>
                              <w:t>40.0</w:t>
                            </w:r>
                          </w:p>
                        </w:tc>
                        <w:tc>
                          <w:tcPr>
                            <w:tcW w:w="1133" w:type="dxa"/>
                          </w:tcPr>
                          <w:p>
                            <w:pPr>
                              <w:pStyle w:val="14"/>
                              <w:spacing w:before="23"/>
                              <w:ind w:left="143" w:right="131"/>
                              <w:rPr>
                                <w:rFonts w:ascii="Calibri" w:eastAsia="Calibri"/>
                                <w:sz w:val="21"/>
                              </w:rPr>
                            </w:pPr>
                            <w:r>
                              <w:rPr>
                                <w:sz w:val="21"/>
                              </w:rPr>
                              <w:t>＞</w:t>
                            </w:r>
                            <w:r>
                              <w:rPr>
                                <w:rFonts w:ascii="Calibri" w:eastAsia="Calibri"/>
                                <w:sz w:val="21"/>
                              </w:rPr>
                              <w:t>5.0</w:t>
                            </w:r>
                          </w:p>
                        </w:tc>
                        <w:tc>
                          <w:tcPr>
                            <w:tcW w:w="1133" w:type="dxa"/>
                          </w:tcPr>
                          <w:p>
                            <w:pPr>
                              <w:pStyle w:val="14"/>
                              <w:spacing w:before="23"/>
                              <w:ind w:right="314"/>
                              <w:jc w:val="right"/>
                              <w:rPr>
                                <w:rFonts w:ascii="Calibri" w:eastAsia="Calibri"/>
                                <w:sz w:val="21"/>
                              </w:rPr>
                            </w:pPr>
                            <w:r>
                              <w:rPr>
                                <w:w w:val="95"/>
                                <w:sz w:val="21"/>
                              </w:rPr>
                              <w:t>＜</w:t>
                            </w:r>
                            <w:r>
                              <w:rPr>
                                <w:rFonts w:ascii="Calibri" w:eastAsia="Calibri"/>
                                <w:w w:val="95"/>
                                <w:sz w:val="21"/>
                              </w:rPr>
                              <w:t>0.5</w:t>
                            </w:r>
                          </w:p>
                        </w:tc>
                        <w:tc>
                          <w:tcPr>
                            <w:tcW w:w="1208" w:type="dxa"/>
                          </w:tcPr>
                          <w:p>
                            <w:pPr>
                              <w:pStyle w:val="14"/>
                              <w:spacing w:before="23"/>
                              <w:ind w:right="298"/>
                              <w:jc w:val="right"/>
                              <w:rPr>
                                <w:rFonts w:ascii="Calibri" w:eastAsia="Calibri"/>
                                <w:sz w:val="21"/>
                              </w:rPr>
                            </w:pPr>
                            <w:r>
                              <w:rPr>
                                <w:w w:val="95"/>
                                <w:sz w:val="21"/>
                              </w:rPr>
                              <w:t>＞</w:t>
                            </w:r>
                            <w:r>
                              <w:rPr>
                                <w:rFonts w:ascii="Calibri" w:eastAsia="Calibri"/>
                                <w:w w:val="95"/>
                                <w:sz w:val="21"/>
                              </w:rP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129" w:type="dxa"/>
                            <w:vMerge w:val="restart"/>
                          </w:tcPr>
                          <w:p>
                            <w:pPr>
                              <w:pStyle w:val="14"/>
                              <w:jc w:val="left"/>
                              <w:rPr>
                                <w:sz w:val="15"/>
                              </w:rPr>
                            </w:pPr>
                          </w:p>
                          <w:p>
                            <w:pPr>
                              <w:pStyle w:val="14"/>
                              <w:spacing w:line="278" w:lineRule="auto"/>
                              <w:ind w:left="143" w:right="130"/>
                              <w:jc w:val="left"/>
                              <w:rPr>
                                <w:sz w:val="21"/>
                              </w:rPr>
                            </w:pPr>
                            <w:r>
                              <w:rPr>
                                <w:sz w:val="21"/>
                              </w:rPr>
                              <w:t>林地、草地、园地</w:t>
                            </w:r>
                          </w:p>
                        </w:tc>
                        <w:tc>
                          <w:tcPr>
                            <w:tcW w:w="1311" w:type="dxa"/>
                          </w:tcPr>
                          <w:p>
                            <w:pPr>
                              <w:pStyle w:val="14"/>
                              <w:spacing w:before="22"/>
                              <w:ind w:left="212" w:right="201"/>
                              <w:rPr>
                                <w:sz w:val="21"/>
                              </w:rPr>
                            </w:pPr>
                            <w:r>
                              <w:rPr>
                                <w:sz w:val="21"/>
                              </w:rPr>
                              <w:t>轻度</w:t>
                            </w:r>
                          </w:p>
                        </w:tc>
                        <w:tc>
                          <w:tcPr>
                            <w:tcW w:w="1319" w:type="dxa"/>
                          </w:tcPr>
                          <w:p>
                            <w:pPr>
                              <w:pStyle w:val="14"/>
                              <w:spacing w:before="27"/>
                              <w:ind w:left="234" w:right="220"/>
                              <w:rPr>
                                <w:rFonts w:ascii="Calibri" w:hAnsi="Calibri"/>
                                <w:sz w:val="21"/>
                              </w:rPr>
                            </w:pPr>
                            <w:r>
                              <w:rPr>
                                <w:rFonts w:ascii="Calibri" w:hAnsi="Calibri"/>
                                <w:sz w:val="21"/>
                              </w:rPr>
                              <w:t>≤8.0</w:t>
                            </w:r>
                          </w:p>
                        </w:tc>
                        <w:tc>
                          <w:tcPr>
                            <w:tcW w:w="1319" w:type="dxa"/>
                          </w:tcPr>
                          <w:p>
                            <w:pPr>
                              <w:pStyle w:val="14"/>
                              <w:spacing w:before="27"/>
                              <w:ind w:left="232" w:right="220"/>
                              <w:rPr>
                                <w:rFonts w:ascii="Calibri" w:hAnsi="Calibri"/>
                                <w:sz w:val="21"/>
                              </w:rPr>
                            </w:pPr>
                            <w:r>
                              <w:rPr>
                                <w:rFonts w:ascii="Calibri" w:hAnsi="Calibri"/>
                                <w:sz w:val="21"/>
                              </w:rPr>
                              <w:t>≤20.0</w:t>
                            </w:r>
                          </w:p>
                        </w:tc>
                        <w:tc>
                          <w:tcPr>
                            <w:tcW w:w="1133" w:type="dxa"/>
                          </w:tcPr>
                          <w:p>
                            <w:pPr>
                              <w:pStyle w:val="14"/>
                              <w:spacing w:before="27"/>
                              <w:ind w:left="143" w:right="131"/>
                              <w:rPr>
                                <w:rFonts w:ascii="Calibri" w:hAnsi="Calibri"/>
                                <w:sz w:val="21"/>
                              </w:rPr>
                            </w:pPr>
                            <w:r>
                              <w:rPr>
                                <w:rFonts w:ascii="Calibri" w:hAnsi="Calibri"/>
                                <w:sz w:val="21"/>
                              </w:rPr>
                              <w:t>≤2.0</w:t>
                            </w:r>
                          </w:p>
                        </w:tc>
                        <w:tc>
                          <w:tcPr>
                            <w:tcW w:w="1133" w:type="dxa"/>
                          </w:tcPr>
                          <w:p>
                            <w:pPr>
                              <w:pStyle w:val="14"/>
                              <w:spacing w:before="27"/>
                              <w:ind w:left="381"/>
                              <w:jc w:val="left"/>
                              <w:rPr>
                                <w:rFonts w:ascii="Calibri" w:hAnsi="Calibri"/>
                                <w:sz w:val="21"/>
                              </w:rPr>
                            </w:pPr>
                            <w:r>
                              <w:rPr>
                                <w:rFonts w:ascii="Calibri" w:hAnsi="Calibri"/>
                                <w:sz w:val="21"/>
                              </w:rPr>
                              <w:t>≥1.0</w:t>
                            </w:r>
                          </w:p>
                        </w:tc>
                        <w:tc>
                          <w:tcPr>
                            <w:tcW w:w="1208" w:type="dxa"/>
                          </w:tcPr>
                          <w:p>
                            <w:pPr>
                              <w:pStyle w:val="14"/>
                              <w:spacing w:before="27"/>
                              <w:ind w:left="364"/>
                              <w:jc w:val="left"/>
                              <w:rPr>
                                <w:rFonts w:ascii="Calibri" w:hAnsi="Calibri"/>
                                <w:sz w:val="21"/>
                              </w:rPr>
                            </w:pPr>
                            <w:r>
                              <w:rPr>
                                <w:rFonts w:ascii="Calibri" w:hAnsi="Calibri"/>
                                <w:sz w:val="21"/>
                              </w:rP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129" w:type="dxa"/>
                            <w:vMerge w:val="continue"/>
                            <w:tcBorders>
                              <w:top w:val="nil"/>
                            </w:tcBorders>
                          </w:tcPr>
                          <w:p>
                            <w:pPr>
                              <w:rPr>
                                <w:sz w:val="2"/>
                                <w:szCs w:val="2"/>
                              </w:rPr>
                            </w:pPr>
                          </w:p>
                        </w:tc>
                        <w:tc>
                          <w:tcPr>
                            <w:tcW w:w="1311" w:type="dxa"/>
                          </w:tcPr>
                          <w:p>
                            <w:pPr>
                              <w:pStyle w:val="14"/>
                              <w:spacing w:before="21"/>
                              <w:ind w:left="212" w:right="201"/>
                              <w:rPr>
                                <w:sz w:val="21"/>
                              </w:rPr>
                            </w:pPr>
                            <w:r>
                              <w:rPr>
                                <w:sz w:val="21"/>
                              </w:rPr>
                              <w:t>中度</w:t>
                            </w:r>
                          </w:p>
                        </w:tc>
                        <w:tc>
                          <w:tcPr>
                            <w:tcW w:w="1319" w:type="dxa"/>
                          </w:tcPr>
                          <w:p>
                            <w:pPr>
                              <w:pStyle w:val="14"/>
                              <w:spacing w:before="29"/>
                              <w:ind w:left="232" w:right="220"/>
                              <w:rPr>
                                <w:rFonts w:ascii="Calibri"/>
                                <w:sz w:val="21"/>
                              </w:rPr>
                            </w:pPr>
                            <w:r>
                              <w:rPr>
                                <w:rFonts w:ascii="Calibri"/>
                                <w:sz w:val="21"/>
                              </w:rPr>
                              <w:t>8.0-20.0</w:t>
                            </w:r>
                          </w:p>
                        </w:tc>
                        <w:tc>
                          <w:tcPr>
                            <w:tcW w:w="1319" w:type="dxa"/>
                          </w:tcPr>
                          <w:p>
                            <w:pPr>
                              <w:pStyle w:val="14"/>
                              <w:spacing w:before="29"/>
                              <w:ind w:left="234" w:right="220"/>
                              <w:rPr>
                                <w:rFonts w:ascii="Calibri"/>
                                <w:sz w:val="21"/>
                              </w:rPr>
                            </w:pPr>
                            <w:r>
                              <w:rPr>
                                <w:rFonts w:ascii="Calibri"/>
                                <w:sz w:val="21"/>
                              </w:rPr>
                              <w:t>20.0-50.0</w:t>
                            </w:r>
                          </w:p>
                        </w:tc>
                        <w:tc>
                          <w:tcPr>
                            <w:tcW w:w="1133" w:type="dxa"/>
                          </w:tcPr>
                          <w:p>
                            <w:pPr>
                              <w:pStyle w:val="14"/>
                              <w:spacing w:before="29"/>
                              <w:ind w:left="143" w:right="131"/>
                              <w:rPr>
                                <w:rFonts w:ascii="Calibri"/>
                                <w:sz w:val="21"/>
                              </w:rPr>
                            </w:pPr>
                            <w:r>
                              <w:rPr>
                                <w:rFonts w:ascii="Calibri"/>
                                <w:sz w:val="21"/>
                              </w:rPr>
                              <w:t>2.0-6.0</w:t>
                            </w:r>
                          </w:p>
                        </w:tc>
                        <w:tc>
                          <w:tcPr>
                            <w:tcW w:w="1133" w:type="dxa"/>
                          </w:tcPr>
                          <w:p>
                            <w:pPr>
                              <w:pStyle w:val="14"/>
                              <w:spacing w:before="29"/>
                              <w:ind w:right="251"/>
                              <w:jc w:val="right"/>
                              <w:rPr>
                                <w:rFonts w:ascii="Calibri"/>
                                <w:sz w:val="21"/>
                              </w:rPr>
                            </w:pPr>
                            <w:r>
                              <w:rPr>
                                <w:rFonts w:ascii="Calibri"/>
                                <w:sz w:val="21"/>
                              </w:rPr>
                              <w:t>0.3-1.0</w:t>
                            </w:r>
                          </w:p>
                        </w:tc>
                        <w:tc>
                          <w:tcPr>
                            <w:tcW w:w="1208" w:type="dxa"/>
                          </w:tcPr>
                          <w:p>
                            <w:pPr>
                              <w:pStyle w:val="14"/>
                              <w:spacing w:before="29"/>
                              <w:ind w:right="264"/>
                              <w:jc w:val="right"/>
                              <w:rPr>
                                <w:rFonts w:ascii="Calibri"/>
                                <w:sz w:val="21"/>
                              </w:rPr>
                            </w:pPr>
                            <w:r>
                              <w:rPr>
                                <w:rFonts w:ascii="Calibri"/>
                                <w:w w:val="95"/>
                                <w:sz w:val="21"/>
                              </w:rPr>
                              <w:t>20-60.0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129" w:type="dxa"/>
                            <w:vMerge w:val="continue"/>
                            <w:tcBorders>
                              <w:top w:val="nil"/>
                            </w:tcBorders>
                          </w:tcPr>
                          <w:p>
                            <w:pPr>
                              <w:rPr>
                                <w:sz w:val="2"/>
                                <w:szCs w:val="2"/>
                              </w:rPr>
                            </w:pPr>
                          </w:p>
                        </w:tc>
                        <w:tc>
                          <w:tcPr>
                            <w:tcW w:w="1311" w:type="dxa"/>
                          </w:tcPr>
                          <w:p>
                            <w:pPr>
                              <w:pStyle w:val="14"/>
                              <w:spacing w:before="21"/>
                              <w:ind w:left="212" w:right="201"/>
                              <w:rPr>
                                <w:sz w:val="21"/>
                              </w:rPr>
                            </w:pPr>
                            <w:r>
                              <w:rPr>
                                <w:sz w:val="21"/>
                              </w:rPr>
                              <w:t>重度</w:t>
                            </w:r>
                          </w:p>
                        </w:tc>
                        <w:tc>
                          <w:tcPr>
                            <w:tcW w:w="1319" w:type="dxa"/>
                          </w:tcPr>
                          <w:p>
                            <w:pPr>
                              <w:pStyle w:val="14"/>
                              <w:spacing w:before="21"/>
                              <w:ind w:left="232" w:right="220"/>
                              <w:rPr>
                                <w:rFonts w:ascii="Calibri" w:eastAsia="Calibri"/>
                                <w:sz w:val="21"/>
                              </w:rPr>
                            </w:pPr>
                            <w:r>
                              <w:rPr>
                                <w:sz w:val="21"/>
                              </w:rPr>
                              <w:t>＞</w:t>
                            </w:r>
                            <w:r>
                              <w:rPr>
                                <w:rFonts w:ascii="Calibri" w:eastAsia="Calibri"/>
                                <w:sz w:val="21"/>
                              </w:rPr>
                              <w:t>20.0</w:t>
                            </w:r>
                          </w:p>
                        </w:tc>
                        <w:tc>
                          <w:tcPr>
                            <w:tcW w:w="1319" w:type="dxa"/>
                          </w:tcPr>
                          <w:p>
                            <w:pPr>
                              <w:pStyle w:val="14"/>
                              <w:spacing w:before="21"/>
                              <w:ind w:left="232" w:right="220"/>
                              <w:rPr>
                                <w:rFonts w:ascii="Calibri" w:eastAsia="Calibri"/>
                                <w:sz w:val="21"/>
                              </w:rPr>
                            </w:pPr>
                            <w:r>
                              <w:rPr>
                                <w:sz w:val="21"/>
                              </w:rPr>
                              <w:t>＞</w:t>
                            </w:r>
                            <w:r>
                              <w:rPr>
                                <w:rFonts w:ascii="Calibri" w:eastAsia="Calibri"/>
                                <w:sz w:val="21"/>
                              </w:rPr>
                              <w:t>50.0</w:t>
                            </w:r>
                          </w:p>
                        </w:tc>
                        <w:tc>
                          <w:tcPr>
                            <w:tcW w:w="1133" w:type="dxa"/>
                          </w:tcPr>
                          <w:p>
                            <w:pPr>
                              <w:pStyle w:val="14"/>
                              <w:spacing w:before="21"/>
                              <w:ind w:left="143" w:right="131"/>
                              <w:rPr>
                                <w:rFonts w:ascii="Calibri" w:eastAsia="Calibri"/>
                                <w:sz w:val="21"/>
                              </w:rPr>
                            </w:pPr>
                            <w:r>
                              <w:rPr>
                                <w:sz w:val="21"/>
                              </w:rPr>
                              <w:t>＞</w:t>
                            </w:r>
                            <w:r>
                              <w:rPr>
                                <w:rFonts w:ascii="Calibri" w:eastAsia="Calibri"/>
                                <w:sz w:val="21"/>
                              </w:rPr>
                              <w:t>6.0</w:t>
                            </w:r>
                          </w:p>
                        </w:tc>
                        <w:tc>
                          <w:tcPr>
                            <w:tcW w:w="1133" w:type="dxa"/>
                          </w:tcPr>
                          <w:p>
                            <w:pPr>
                              <w:pStyle w:val="14"/>
                              <w:spacing w:before="21"/>
                              <w:ind w:right="314"/>
                              <w:jc w:val="right"/>
                              <w:rPr>
                                <w:rFonts w:ascii="Calibri" w:eastAsia="Calibri"/>
                                <w:sz w:val="21"/>
                              </w:rPr>
                            </w:pPr>
                            <w:r>
                              <w:rPr>
                                <w:w w:val="95"/>
                                <w:sz w:val="21"/>
                              </w:rPr>
                              <w:t>＜</w:t>
                            </w:r>
                            <w:r>
                              <w:rPr>
                                <w:rFonts w:ascii="Calibri" w:eastAsia="Calibri"/>
                                <w:w w:val="95"/>
                                <w:sz w:val="21"/>
                              </w:rPr>
                              <w:t>0.3</w:t>
                            </w:r>
                          </w:p>
                        </w:tc>
                        <w:tc>
                          <w:tcPr>
                            <w:tcW w:w="1208" w:type="dxa"/>
                          </w:tcPr>
                          <w:p>
                            <w:pPr>
                              <w:pStyle w:val="14"/>
                              <w:spacing w:before="21"/>
                              <w:ind w:right="298"/>
                              <w:jc w:val="right"/>
                              <w:rPr>
                                <w:rFonts w:ascii="Calibri" w:eastAsia="Calibri"/>
                                <w:sz w:val="21"/>
                              </w:rPr>
                            </w:pPr>
                            <w:r>
                              <w:rPr>
                                <w:w w:val="95"/>
                                <w:sz w:val="21"/>
                              </w:rPr>
                              <w:t>＞</w:t>
                            </w:r>
                            <w:r>
                              <w:rPr>
                                <w:rFonts w:ascii="Calibri" w:eastAsia="Calibri"/>
                                <w:w w:val="95"/>
                                <w:sz w:val="21"/>
                              </w:rPr>
                              <w:t>60.0</w:t>
                            </w:r>
                          </w:p>
                        </w:tc>
                      </w:tr>
                    </w:tbl>
                    <w:p>
                      <w:pPr>
                        <w:pStyle w:val="6"/>
                      </w:pPr>
                    </w:p>
                  </w:txbxContent>
                </v:textbox>
              </v:shape>
            </w:pict>
          </mc:Fallback>
        </mc:AlternateContent>
      </w:r>
      <w:r>
        <w:rPr>
          <w:sz w:val="24"/>
        </w:rPr>
        <w:t>联系起来以便于进行计算和对比。根据现场调查、观测和地表移动变形预计资料 的综合分析</w:t>
      </w:r>
      <w:r>
        <w:rPr>
          <w:spacing w:val="-60"/>
          <w:sz w:val="24"/>
        </w:rPr>
        <w:t>，</w:t>
      </w:r>
      <w:r>
        <w:rPr>
          <w:sz w:val="24"/>
        </w:rPr>
        <w:t>在区域煤层大面积开采条件下</w:t>
      </w:r>
      <w:r>
        <w:rPr>
          <w:spacing w:val="-60"/>
          <w:sz w:val="24"/>
        </w:rPr>
        <w:t>，</w:t>
      </w:r>
      <w:r>
        <w:rPr>
          <w:sz w:val="24"/>
        </w:rPr>
        <w:t>土地破坏等级分级情况可参考下表</w:t>
      </w:r>
      <w:r>
        <w:rPr>
          <w:spacing w:val="-19"/>
          <w:sz w:val="24"/>
        </w:rPr>
        <w:t>。</w:t>
      </w:r>
      <w:r>
        <w:rPr>
          <w:b/>
          <w:sz w:val="21"/>
        </w:rPr>
        <w:t>表</w:t>
      </w:r>
      <w:r>
        <w:rPr>
          <w:b/>
          <w:spacing w:val="-52"/>
          <w:sz w:val="21"/>
        </w:rPr>
        <w:t xml:space="preserve"> </w:t>
      </w:r>
      <w:r>
        <w:rPr>
          <w:b/>
          <w:sz w:val="21"/>
        </w:rPr>
        <w:t>5.3-3</w:t>
      </w:r>
      <w:r>
        <w:rPr>
          <w:b/>
          <w:sz w:val="21"/>
        </w:rPr>
        <w:tab/>
      </w:r>
      <w:r>
        <w:rPr>
          <w:b/>
          <w:sz w:val="21"/>
        </w:rPr>
        <w:t>待复垦土地损毁程度分级标准</w:t>
      </w: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spacing w:before="6"/>
        <w:rPr>
          <w:b/>
          <w:sz w:val="20"/>
        </w:rPr>
      </w:pPr>
    </w:p>
    <w:p>
      <w:pPr>
        <w:pStyle w:val="6"/>
        <w:spacing w:line="364" w:lineRule="auto"/>
        <w:ind w:left="451" w:right="453" w:firstLine="480"/>
        <w:jc w:val="both"/>
      </w:pPr>
      <w:r>
        <w:t>本矿山开采结束后产生的沉陷区范围的地类为旱地、果园、有林地、农村道路、河流、坑塘水面、祼地、村庄用地和采矿用地等，经系统分析与预测沉陷造成的破坏对旱地、林地、园地的程度均为轻度。沉陷情况详见下图</w:t>
      </w:r>
    </w:p>
    <w:p>
      <w:pPr>
        <w:spacing w:after="0" w:line="364" w:lineRule="auto"/>
        <w:jc w:val="both"/>
        <w:sectPr>
          <w:pgSz w:w="11910" w:h="16840"/>
          <w:pgMar w:top="1460" w:right="1300" w:bottom="1180" w:left="1300" w:header="0" w:footer="997" w:gutter="0"/>
        </w:sectPr>
      </w:pPr>
    </w:p>
    <w:p>
      <w:pPr>
        <w:pStyle w:val="6"/>
        <w:ind w:left="522"/>
        <w:rPr>
          <w:sz w:val="20"/>
        </w:rPr>
      </w:pPr>
      <w:r>
        <w:rPr>
          <w:sz w:val="20"/>
        </w:rPr>
        <w:drawing>
          <wp:inline distT="0" distB="0" distL="0" distR="0">
            <wp:extent cx="4650740" cy="4173855"/>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4.jpeg"/>
                    <pic:cNvPicPr>
                      <a:picLocks noChangeAspect="1"/>
                    </pic:cNvPicPr>
                  </pic:nvPicPr>
                  <pic:blipFill>
                    <a:blip r:embed="rId60" cstate="print"/>
                    <a:stretch>
                      <a:fillRect/>
                    </a:stretch>
                  </pic:blipFill>
                  <pic:spPr>
                    <a:xfrm>
                      <a:off x="0" y="0"/>
                      <a:ext cx="4651079" cy="4174236"/>
                    </a:xfrm>
                    <a:prstGeom prst="rect">
                      <a:avLst/>
                    </a:prstGeom>
                  </pic:spPr>
                </pic:pic>
              </a:graphicData>
            </a:graphic>
          </wp:inline>
        </w:drawing>
      </w:r>
    </w:p>
    <w:p>
      <w:pPr>
        <w:pStyle w:val="6"/>
        <w:spacing w:before="3"/>
        <w:rPr>
          <w:sz w:val="9"/>
        </w:rPr>
      </w:pPr>
    </w:p>
    <w:p>
      <w:pPr>
        <w:spacing w:before="77"/>
        <w:ind w:left="2856" w:right="0" w:firstLine="0"/>
        <w:jc w:val="both"/>
        <w:rPr>
          <w:b/>
          <w:sz w:val="21"/>
        </w:rPr>
      </w:pPr>
      <w:r>
        <w:rPr>
          <w:sz w:val="24"/>
        </w:rPr>
        <w:t xml:space="preserve">图 </w:t>
      </w:r>
      <w:r>
        <w:rPr>
          <w:rFonts w:ascii="Times New Roman" w:eastAsia="Times New Roman"/>
          <w:b/>
          <w:sz w:val="24"/>
        </w:rPr>
        <w:t xml:space="preserve">5.3-1 </w:t>
      </w:r>
      <w:r>
        <w:rPr>
          <w:b/>
          <w:sz w:val="21"/>
        </w:rPr>
        <w:t>沉陷所占地类及沉陷等值线图</w:t>
      </w:r>
    </w:p>
    <w:p>
      <w:pPr>
        <w:pStyle w:val="6"/>
        <w:spacing w:before="81" w:line="364" w:lineRule="auto"/>
        <w:ind w:left="451" w:right="449" w:firstLine="480"/>
        <w:jc w:val="both"/>
        <w:rPr>
          <w:rFonts w:ascii="Times New Roman" w:eastAsia="Times New Roman"/>
        </w:rPr>
      </w:pPr>
      <w:r>
        <w:rPr>
          <w:spacing w:val="-1"/>
        </w:rPr>
        <w:t>矿山处于丘陵区域，地表有起伏，本方案适用年限内，双鸭山大顺矿业有限</w:t>
      </w:r>
      <w:r>
        <w:rPr>
          <w:spacing w:val="-5"/>
        </w:rPr>
        <w:t xml:space="preserve">公司拟损毁土地主要为预测沉陷，预测矿山最大沉陷面积为 </w:t>
      </w:r>
      <w:r>
        <w:rPr>
          <w:rFonts w:ascii="Times New Roman" w:eastAsia="Times New Roman"/>
        </w:rPr>
        <w:t xml:space="preserve">327.9211 </w:t>
      </w:r>
      <w:r>
        <w:rPr>
          <w:spacing w:val="-8"/>
        </w:rPr>
        <w:t>公顷。由于</w:t>
      </w:r>
      <w:r>
        <w:rPr>
          <w:spacing w:val="-1"/>
        </w:rPr>
        <w:t>双鸭山大顺矿业有限公司开采煤层较薄，已生产多年，已产生的沉陷程度及规格较小，预测的地面沉陷加大可能性也很小，结合实际地形在未来也不一定出现大的沉陷坑，不会影响当地人民的生产与生活，故只将预测沉陷范围纳入拟损毁土</w:t>
      </w:r>
      <w:r>
        <w:t>地面积，不纳入土地复垦责任范围。沉陷区土地利用现状详见下表</w:t>
      </w:r>
      <w:r>
        <w:rPr>
          <w:rFonts w:ascii="Times New Roman" w:eastAsia="Times New Roman"/>
        </w:rPr>
        <w:t>.</w:t>
      </w:r>
    </w:p>
    <w:p>
      <w:pPr>
        <w:tabs>
          <w:tab w:val="left" w:pos="922"/>
        </w:tabs>
        <w:spacing w:before="0" w:after="22" w:line="214" w:lineRule="exact"/>
        <w:ind w:left="12" w:right="0" w:firstLine="0"/>
        <w:jc w:val="center"/>
        <w:rPr>
          <w:b/>
          <w:sz w:val="21"/>
        </w:rPr>
      </w:pPr>
      <w:r>
        <w:rPr>
          <w:b/>
          <w:sz w:val="21"/>
        </w:rPr>
        <w:t>表</w:t>
      </w:r>
      <w:r>
        <w:rPr>
          <w:b/>
          <w:spacing w:val="-55"/>
          <w:sz w:val="21"/>
        </w:rPr>
        <w:t xml:space="preserve"> </w:t>
      </w:r>
      <w:r>
        <w:rPr>
          <w:rFonts w:ascii="Times New Roman" w:eastAsia="Times New Roman"/>
          <w:b/>
          <w:sz w:val="21"/>
        </w:rPr>
        <w:t>5.3-4</w:t>
      </w:r>
      <w:r>
        <w:rPr>
          <w:rFonts w:ascii="Times New Roman" w:eastAsia="Times New Roman"/>
          <w:b/>
          <w:sz w:val="21"/>
        </w:rPr>
        <w:tab/>
      </w:r>
      <w:r>
        <w:rPr>
          <w:b/>
          <w:sz w:val="21"/>
        </w:rPr>
        <w:t>预测沉陷</w:t>
      </w:r>
      <w:r>
        <w:rPr>
          <w:b/>
          <w:spacing w:val="4"/>
          <w:sz w:val="21"/>
        </w:rPr>
        <w:t>区</w:t>
      </w:r>
      <w:r>
        <w:rPr>
          <w:b/>
          <w:sz w:val="21"/>
        </w:rPr>
        <w:t>土地利用现状面积统计表</w:t>
      </w:r>
    </w:p>
    <w:tbl>
      <w:tblPr>
        <w:tblStyle w:val="10"/>
        <w:tblW w:w="0" w:type="auto"/>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1"/>
        <w:gridCol w:w="2823"/>
        <w:gridCol w:w="789"/>
        <w:gridCol w:w="1500"/>
        <w:gridCol w:w="1582"/>
        <w:gridCol w:w="10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614" w:type="dxa"/>
            <w:gridSpan w:val="2"/>
          </w:tcPr>
          <w:p>
            <w:pPr>
              <w:pStyle w:val="14"/>
              <w:spacing w:before="41"/>
              <w:ind w:left="1426" w:right="1417"/>
              <w:rPr>
                <w:sz w:val="18"/>
              </w:rPr>
            </w:pPr>
            <w:r>
              <w:rPr>
                <w:sz w:val="18"/>
              </w:rPr>
              <w:t>一级地类</w:t>
            </w:r>
          </w:p>
        </w:tc>
        <w:tc>
          <w:tcPr>
            <w:tcW w:w="2289" w:type="dxa"/>
            <w:gridSpan w:val="2"/>
          </w:tcPr>
          <w:p>
            <w:pPr>
              <w:pStyle w:val="14"/>
              <w:spacing w:before="41"/>
              <w:ind w:left="762" w:right="756"/>
              <w:rPr>
                <w:sz w:val="18"/>
              </w:rPr>
            </w:pPr>
            <w:r>
              <w:rPr>
                <w:sz w:val="18"/>
              </w:rPr>
              <w:t>二级地类</w:t>
            </w:r>
          </w:p>
        </w:tc>
        <w:tc>
          <w:tcPr>
            <w:tcW w:w="1582" w:type="dxa"/>
            <w:vMerge w:val="restart"/>
          </w:tcPr>
          <w:p>
            <w:pPr>
              <w:pStyle w:val="14"/>
              <w:spacing w:before="10"/>
              <w:jc w:val="left"/>
              <w:rPr>
                <w:b/>
                <w:sz w:val="15"/>
              </w:rPr>
            </w:pPr>
          </w:p>
          <w:p>
            <w:pPr>
              <w:pStyle w:val="14"/>
              <w:ind w:left="432" w:right="424"/>
              <w:rPr>
                <w:sz w:val="18"/>
              </w:rPr>
            </w:pPr>
            <w:r>
              <w:rPr>
                <w:sz w:val="18"/>
              </w:rPr>
              <w:t>面积</w:t>
            </w:r>
          </w:p>
        </w:tc>
        <w:tc>
          <w:tcPr>
            <w:tcW w:w="1038" w:type="dxa"/>
            <w:vMerge w:val="restart"/>
          </w:tcPr>
          <w:p>
            <w:pPr>
              <w:pStyle w:val="14"/>
              <w:spacing w:before="10"/>
              <w:jc w:val="left"/>
              <w:rPr>
                <w:b/>
                <w:sz w:val="15"/>
              </w:rPr>
            </w:pPr>
          </w:p>
          <w:p>
            <w:pPr>
              <w:pStyle w:val="14"/>
              <w:ind w:left="338"/>
              <w:jc w:val="left"/>
              <w:rPr>
                <w:sz w:val="18"/>
              </w:rPr>
            </w:pPr>
            <w:r>
              <w:rPr>
                <w:sz w:val="18"/>
              </w:rPr>
              <w:t>占比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91" w:type="dxa"/>
          </w:tcPr>
          <w:p>
            <w:pPr>
              <w:pStyle w:val="14"/>
              <w:spacing w:before="41"/>
              <w:ind w:left="195" w:right="185"/>
              <w:rPr>
                <w:sz w:val="18"/>
              </w:rPr>
            </w:pPr>
            <w:r>
              <w:rPr>
                <w:sz w:val="18"/>
              </w:rPr>
              <w:t>编码</w:t>
            </w:r>
          </w:p>
        </w:tc>
        <w:tc>
          <w:tcPr>
            <w:tcW w:w="2823" w:type="dxa"/>
          </w:tcPr>
          <w:p>
            <w:pPr>
              <w:pStyle w:val="14"/>
              <w:spacing w:before="41"/>
              <w:ind w:left="578" w:right="572"/>
              <w:rPr>
                <w:sz w:val="18"/>
              </w:rPr>
            </w:pPr>
            <w:r>
              <w:rPr>
                <w:sz w:val="18"/>
              </w:rPr>
              <w:t>名称</w:t>
            </w:r>
          </w:p>
        </w:tc>
        <w:tc>
          <w:tcPr>
            <w:tcW w:w="789" w:type="dxa"/>
          </w:tcPr>
          <w:p>
            <w:pPr>
              <w:pStyle w:val="14"/>
              <w:spacing w:before="41"/>
              <w:ind w:left="213"/>
              <w:jc w:val="left"/>
              <w:rPr>
                <w:sz w:val="18"/>
              </w:rPr>
            </w:pPr>
            <w:r>
              <w:rPr>
                <w:sz w:val="18"/>
              </w:rPr>
              <w:t>编码</w:t>
            </w:r>
          </w:p>
        </w:tc>
        <w:tc>
          <w:tcPr>
            <w:tcW w:w="1500" w:type="dxa"/>
          </w:tcPr>
          <w:p>
            <w:pPr>
              <w:pStyle w:val="14"/>
              <w:spacing w:before="41"/>
              <w:ind w:left="369" w:right="360"/>
              <w:rPr>
                <w:sz w:val="18"/>
              </w:rPr>
            </w:pPr>
            <w:r>
              <w:rPr>
                <w:sz w:val="18"/>
              </w:rPr>
              <w:t>名称</w:t>
            </w:r>
          </w:p>
        </w:tc>
        <w:tc>
          <w:tcPr>
            <w:tcW w:w="1582" w:type="dxa"/>
            <w:vMerge w:val="continue"/>
            <w:tcBorders>
              <w:top w:val="nil"/>
            </w:tcBorders>
          </w:tcPr>
          <w:p>
            <w:pPr>
              <w:rPr>
                <w:sz w:val="2"/>
                <w:szCs w:val="2"/>
              </w:rPr>
            </w:pPr>
          </w:p>
        </w:tc>
        <w:tc>
          <w:tcPr>
            <w:tcW w:w="103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91" w:type="dxa"/>
          </w:tcPr>
          <w:p>
            <w:pPr>
              <w:pStyle w:val="14"/>
              <w:spacing w:before="47"/>
              <w:ind w:left="195" w:right="185"/>
              <w:rPr>
                <w:rFonts w:ascii="Calibri"/>
                <w:sz w:val="18"/>
              </w:rPr>
            </w:pPr>
            <w:r>
              <w:rPr>
                <w:rFonts w:ascii="Calibri"/>
                <w:sz w:val="18"/>
              </w:rPr>
              <w:t>01</w:t>
            </w:r>
          </w:p>
        </w:tc>
        <w:tc>
          <w:tcPr>
            <w:tcW w:w="2823" w:type="dxa"/>
          </w:tcPr>
          <w:p>
            <w:pPr>
              <w:pStyle w:val="14"/>
              <w:spacing w:before="41"/>
              <w:ind w:left="578" w:right="572"/>
              <w:rPr>
                <w:sz w:val="18"/>
              </w:rPr>
            </w:pPr>
            <w:r>
              <w:rPr>
                <w:sz w:val="18"/>
              </w:rPr>
              <w:t>耕地</w:t>
            </w:r>
          </w:p>
        </w:tc>
        <w:tc>
          <w:tcPr>
            <w:tcW w:w="789" w:type="dxa"/>
          </w:tcPr>
          <w:p>
            <w:pPr>
              <w:pStyle w:val="14"/>
              <w:spacing w:before="47"/>
              <w:ind w:left="256"/>
              <w:jc w:val="left"/>
              <w:rPr>
                <w:rFonts w:ascii="Calibri"/>
                <w:sz w:val="18"/>
              </w:rPr>
            </w:pPr>
            <w:r>
              <w:rPr>
                <w:rFonts w:ascii="Calibri"/>
                <w:sz w:val="18"/>
              </w:rPr>
              <w:t>013</w:t>
            </w:r>
          </w:p>
        </w:tc>
        <w:tc>
          <w:tcPr>
            <w:tcW w:w="1500" w:type="dxa"/>
          </w:tcPr>
          <w:p>
            <w:pPr>
              <w:pStyle w:val="14"/>
              <w:spacing w:before="41"/>
              <w:ind w:left="369" w:right="360"/>
              <w:rPr>
                <w:sz w:val="18"/>
              </w:rPr>
            </w:pPr>
            <w:r>
              <w:rPr>
                <w:sz w:val="18"/>
              </w:rPr>
              <w:t>旱地</w:t>
            </w:r>
          </w:p>
        </w:tc>
        <w:tc>
          <w:tcPr>
            <w:tcW w:w="1582" w:type="dxa"/>
          </w:tcPr>
          <w:p>
            <w:pPr>
              <w:pStyle w:val="14"/>
              <w:spacing w:before="52"/>
              <w:ind w:left="432" w:right="423"/>
              <w:rPr>
                <w:rFonts w:ascii="Times New Roman"/>
                <w:sz w:val="18"/>
              </w:rPr>
            </w:pPr>
            <w:r>
              <w:rPr>
                <w:rFonts w:ascii="Times New Roman"/>
                <w:sz w:val="18"/>
              </w:rPr>
              <w:t>55.9479</w:t>
            </w:r>
          </w:p>
        </w:tc>
        <w:tc>
          <w:tcPr>
            <w:tcW w:w="1038" w:type="dxa"/>
          </w:tcPr>
          <w:p>
            <w:pPr>
              <w:pStyle w:val="14"/>
              <w:spacing w:before="47"/>
              <w:ind w:left="135" w:right="124"/>
              <w:rPr>
                <w:rFonts w:ascii="Calibri"/>
                <w:sz w:val="18"/>
              </w:rPr>
            </w:pPr>
            <w:r>
              <w:rPr>
                <w:rFonts w:ascii="Calibri"/>
                <w:sz w:val="18"/>
              </w:rPr>
              <w:t>17.06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91" w:type="dxa"/>
          </w:tcPr>
          <w:p>
            <w:pPr>
              <w:pStyle w:val="14"/>
              <w:spacing w:before="46"/>
              <w:ind w:left="195" w:right="185"/>
              <w:rPr>
                <w:rFonts w:ascii="Calibri"/>
                <w:sz w:val="18"/>
              </w:rPr>
            </w:pPr>
            <w:r>
              <w:rPr>
                <w:rFonts w:ascii="Calibri"/>
                <w:sz w:val="18"/>
              </w:rPr>
              <w:t>02</w:t>
            </w:r>
          </w:p>
        </w:tc>
        <w:tc>
          <w:tcPr>
            <w:tcW w:w="2823" w:type="dxa"/>
          </w:tcPr>
          <w:p>
            <w:pPr>
              <w:pStyle w:val="14"/>
              <w:spacing w:before="40"/>
              <w:ind w:left="578" w:right="572"/>
              <w:rPr>
                <w:sz w:val="18"/>
              </w:rPr>
            </w:pPr>
            <w:r>
              <w:rPr>
                <w:sz w:val="18"/>
              </w:rPr>
              <w:t>园地</w:t>
            </w:r>
          </w:p>
        </w:tc>
        <w:tc>
          <w:tcPr>
            <w:tcW w:w="789" w:type="dxa"/>
          </w:tcPr>
          <w:p>
            <w:pPr>
              <w:pStyle w:val="14"/>
              <w:spacing w:before="46"/>
              <w:ind w:left="256"/>
              <w:jc w:val="left"/>
              <w:rPr>
                <w:rFonts w:ascii="Calibri"/>
                <w:sz w:val="18"/>
              </w:rPr>
            </w:pPr>
            <w:r>
              <w:rPr>
                <w:rFonts w:ascii="Calibri"/>
                <w:sz w:val="18"/>
              </w:rPr>
              <w:t>023</w:t>
            </w:r>
          </w:p>
        </w:tc>
        <w:tc>
          <w:tcPr>
            <w:tcW w:w="1500" w:type="dxa"/>
          </w:tcPr>
          <w:p>
            <w:pPr>
              <w:pStyle w:val="14"/>
              <w:spacing w:before="40"/>
              <w:ind w:left="369" w:right="360"/>
              <w:rPr>
                <w:sz w:val="18"/>
              </w:rPr>
            </w:pPr>
            <w:r>
              <w:rPr>
                <w:sz w:val="18"/>
              </w:rPr>
              <w:t>其他园地</w:t>
            </w:r>
          </w:p>
        </w:tc>
        <w:tc>
          <w:tcPr>
            <w:tcW w:w="1582" w:type="dxa"/>
          </w:tcPr>
          <w:p>
            <w:pPr>
              <w:pStyle w:val="14"/>
              <w:spacing w:before="52"/>
              <w:ind w:left="432" w:right="423"/>
              <w:rPr>
                <w:rFonts w:ascii="Times New Roman"/>
                <w:sz w:val="18"/>
              </w:rPr>
            </w:pPr>
            <w:r>
              <w:rPr>
                <w:rFonts w:ascii="Times New Roman"/>
                <w:sz w:val="18"/>
              </w:rPr>
              <w:t>1.1141</w:t>
            </w:r>
          </w:p>
        </w:tc>
        <w:tc>
          <w:tcPr>
            <w:tcW w:w="1038" w:type="dxa"/>
          </w:tcPr>
          <w:p>
            <w:pPr>
              <w:pStyle w:val="14"/>
              <w:spacing w:before="46"/>
              <w:ind w:left="136" w:right="124"/>
              <w:rPr>
                <w:rFonts w:ascii="Calibri"/>
                <w:sz w:val="18"/>
              </w:rPr>
            </w:pPr>
            <w:r>
              <w:rPr>
                <w:rFonts w:ascii="Calibri"/>
                <w:sz w:val="18"/>
              </w:rPr>
              <w:t>0.34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91" w:type="dxa"/>
          </w:tcPr>
          <w:p>
            <w:pPr>
              <w:pStyle w:val="14"/>
              <w:spacing w:before="46"/>
              <w:ind w:left="195" w:right="185"/>
              <w:rPr>
                <w:rFonts w:ascii="Calibri"/>
                <w:sz w:val="18"/>
              </w:rPr>
            </w:pPr>
            <w:r>
              <w:rPr>
                <w:rFonts w:ascii="Calibri"/>
                <w:sz w:val="18"/>
              </w:rPr>
              <w:t>03</w:t>
            </w:r>
          </w:p>
        </w:tc>
        <w:tc>
          <w:tcPr>
            <w:tcW w:w="2823" w:type="dxa"/>
          </w:tcPr>
          <w:p>
            <w:pPr>
              <w:pStyle w:val="14"/>
              <w:spacing w:before="40"/>
              <w:ind w:left="578" w:right="572"/>
              <w:rPr>
                <w:sz w:val="18"/>
              </w:rPr>
            </w:pPr>
            <w:r>
              <w:rPr>
                <w:sz w:val="18"/>
              </w:rPr>
              <w:t>林地</w:t>
            </w:r>
          </w:p>
        </w:tc>
        <w:tc>
          <w:tcPr>
            <w:tcW w:w="789" w:type="dxa"/>
          </w:tcPr>
          <w:p>
            <w:pPr>
              <w:pStyle w:val="14"/>
              <w:spacing w:before="46"/>
              <w:ind w:left="256"/>
              <w:jc w:val="left"/>
              <w:rPr>
                <w:rFonts w:ascii="Calibri"/>
                <w:sz w:val="18"/>
              </w:rPr>
            </w:pPr>
            <w:r>
              <w:rPr>
                <w:rFonts w:ascii="Calibri"/>
                <w:sz w:val="18"/>
              </w:rPr>
              <w:t>031</w:t>
            </w:r>
          </w:p>
        </w:tc>
        <w:tc>
          <w:tcPr>
            <w:tcW w:w="1500" w:type="dxa"/>
          </w:tcPr>
          <w:p>
            <w:pPr>
              <w:pStyle w:val="14"/>
              <w:spacing w:before="40"/>
              <w:ind w:left="369" w:right="358"/>
              <w:rPr>
                <w:sz w:val="18"/>
              </w:rPr>
            </w:pPr>
            <w:r>
              <w:rPr>
                <w:sz w:val="18"/>
              </w:rPr>
              <w:t>有林地</w:t>
            </w:r>
          </w:p>
        </w:tc>
        <w:tc>
          <w:tcPr>
            <w:tcW w:w="1582" w:type="dxa"/>
          </w:tcPr>
          <w:p>
            <w:pPr>
              <w:pStyle w:val="14"/>
              <w:spacing w:before="52"/>
              <w:ind w:left="432" w:right="425"/>
              <w:rPr>
                <w:rFonts w:ascii="Times New Roman"/>
                <w:sz w:val="18"/>
              </w:rPr>
            </w:pPr>
            <w:r>
              <w:rPr>
                <w:rFonts w:ascii="Times New Roman"/>
                <w:sz w:val="18"/>
              </w:rPr>
              <w:t>226.7994</w:t>
            </w:r>
          </w:p>
        </w:tc>
        <w:tc>
          <w:tcPr>
            <w:tcW w:w="1038" w:type="dxa"/>
          </w:tcPr>
          <w:p>
            <w:pPr>
              <w:pStyle w:val="14"/>
              <w:spacing w:before="46"/>
              <w:ind w:left="135" w:right="124"/>
              <w:rPr>
                <w:rFonts w:ascii="Calibri"/>
                <w:sz w:val="18"/>
              </w:rPr>
            </w:pPr>
            <w:r>
              <w:rPr>
                <w:rFonts w:ascii="Calibri"/>
                <w:sz w:val="18"/>
              </w:rPr>
              <w:t>69.16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91" w:type="dxa"/>
          </w:tcPr>
          <w:p>
            <w:pPr>
              <w:pStyle w:val="14"/>
              <w:spacing w:before="46"/>
              <w:ind w:left="195" w:right="185"/>
              <w:rPr>
                <w:rFonts w:ascii="Calibri"/>
                <w:sz w:val="18"/>
              </w:rPr>
            </w:pPr>
            <w:r>
              <w:rPr>
                <w:rFonts w:ascii="Calibri"/>
                <w:sz w:val="18"/>
              </w:rPr>
              <w:t>10</w:t>
            </w:r>
          </w:p>
        </w:tc>
        <w:tc>
          <w:tcPr>
            <w:tcW w:w="2823" w:type="dxa"/>
          </w:tcPr>
          <w:p>
            <w:pPr>
              <w:pStyle w:val="14"/>
              <w:spacing w:before="42"/>
              <w:ind w:left="578" w:right="572"/>
              <w:rPr>
                <w:sz w:val="18"/>
              </w:rPr>
            </w:pPr>
            <w:r>
              <w:rPr>
                <w:sz w:val="18"/>
              </w:rPr>
              <w:t>交通设施用地</w:t>
            </w:r>
          </w:p>
        </w:tc>
        <w:tc>
          <w:tcPr>
            <w:tcW w:w="789" w:type="dxa"/>
          </w:tcPr>
          <w:p>
            <w:pPr>
              <w:pStyle w:val="14"/>
              <w:spacing w:before="46"/>
              <w:ind w:left="256"/>
              <w:jc w:val="left"/>
              <w:rPr>
                <w:rFonts w:ascii="Calibri"/>
                <w:sz w:val="18"/>
              </w:rPr>
            </w:pPr>
            <w:r>
              <w:rPr>
                <w:rFonts w:ascii="Calibri"/>
                <w:sz w:val="18"/>
              </w:rPr>
              <w:t>104</w:t>
            </w:r>
          </w:p>
        </w:tc>
        <w:tc>
          <w:tcPr>
            <w:tcW w:w="1500" w:type="dxa"/>
          </w:tcPr>
          <w:p>
            <w:pPr>
              <w:pStyle w:val="14"/>
              <w:spacing w:before="42"/>
              <w:ind w:left="369" w:right="360"/>
              <w:rPr>
                <w:sz w:val="18"/>
              </w:rPr>
            </w:pPr>
            <w:r>
              <w:rPr>
                <w:sz w:val="18"/>
              </w:rPr>
              <w:t>农村道路</w:t>
            </w:r>
          </w:p>
        </w:tc>
        <w:tc>
          <w:tcPr>
            <w:tcW w:w="1582" w:type="dxa"/>
          </w:tcPr>
          <w:p>
            <w:pPr>
              <w:pStyle w:val="14"/>
              <w:spacing w:before="51"/>
              <w:ind w:left="432" w:right="423"/>
              <w:rPr>
                <w:rFonts w:ascii="Times New Roman"/>
                <w:sz w:val="18"/>
              </w:rPr>
            </w:pPr>
            <w:r>
              <w:rPr>
                <w:rFonts w:ascii="Times New Roman"/>
                <w:sz w:val="18"/>
              </w:rPr>
              <w:t>10.9999</w:t>
            </w:r>
          </w:p>
        </w:tc>
        <w:tc>
          <w:tcPr>
            <w:tcW w:w="1038" w:type="dxa"/>
          </w:tcPr>
          <w:p>
            <w:pPr>
              <w:pStyle w:val="14"/>
              <w:spacing w:before="46"/>
              <w:ind w:left="136" w:right="124"/>
              <w:rPr>
                <w:rFonts w:ascii="Calibri"/>
                <w:sz w:val="18"/>
              </w:rPr>
            </w:pPr>
            <w:r>
              <w:rPr>
                <w:rFonts w:ascii="Calibri"/>
                <w:sz w:val="18"/>
              </w:rPr>
              <w:t>3.35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91" w:type="dxa"/>
          </w:tcPr>
          <w:p>
            <w:pPr>
              <w:pStyle w:val="14"/>
              <w:spacing w:before="48"/>
              <w:ind w:left="195" w:right="185"/>
              <w:rPr>
                <w:rFonts w:ascii="Calibri"/>
                <w:sz w:val="18"/>
              </w:rPr>
            </w:pPr>
            <w:r>
              <w:rPr>
                <w:rFonts w:ascii="Calibri"/>
                <w:sz w:val="18"/>
              </w:rPr>
              <w:t>11</w:t>
            </w:r>
          </w:p>
        </w:tc>
        <w:tc>
          <w:tcPr>
            <w:tcW w:w="2823" w:type="dxa"/>
          </w:tcPr>
          <w:p>
            <w:pPr>
              <w:pStyle w:val="14"/>
              <w:spacing w:before="41"/>
              <w:ind w:left="580" w:right="572"/>
              <w:rPr>
                <w:sz w:val="18"/>
              </w:rPr>
            </w:pPr>
            <w:r>
              <w:rPr>
                <w:sz w:val="18"/>
              </w:rPr>
              <w:t>水域及水利设施用地</w:t>
            </w:r>
          </w:p>
        </w:tc>
        <w:tc>
          <w:tcPr>
            <w:tcW w:w="789" w:type="dxa"/>
          </w:tcPr>
          <w:p>
            <w:pPr>
              <w:pStyle w:val="14"/>
              <w:spacing w:before="48"/>
              <w:ind w:left="256"/>
              <w:jc w:val="left"/>
              <w:rPr>
                <w:rFonts w:ascii="Calibri"/>
                <w:sz w:val="18"/>
              </w:rPr>
            </w:pPr>
            <w:r>
              <w:rPr>
                <w:rFonts w:ascii="Calibri"/>
                <w:sz w:val="18"/>
              </w:rPr>
              <w:t>111</w:t>
            </w:r>
          </w:p>
        </w:tc>
        <w:tc>
          <w:tcPr>
            <w:tcW w:w="1500" w:type="dxa"/>
          </w:tcPr>
          <w:p>
            <w:pPr>
              <w:pStyle w:val="14"/>
              <w:spacing w:before="41"/>
              <w:ind w:left="369" w:right="360"/>
              <w:rPr>
                <w:sz w:val="18"/>
              </w:rPr>
            </w:pPr>
            <w:r>
              <w:rPr>
                <w:sz w:val="18"/>
              </w:rPr>
              <w:t>河流</w:t>
            </w:r>
          </w:p>
        </w:tc>
        <w:tc>
          <w:tcPr>
            <w:tcW w:w="1582" w:type="dxa"/>
          </w:tcPr>
          <w:p>
            <w:pPr>
              <w:pStyle w:val="14"/>
              <w:spacing w:before="51"/>
              <w:ind w:left="432" w:right="423"/>
              <w:rPr>
                <w:rFonts w:ascii="Times New Roman"/>
                <w:sz w:val="18"/>
              </w:rPr>
            </w:pPr>
            <w:r>
              <w:rPr>
                <w:rFonts w:ascii="Times New Roman"/>
                <w:sz w:val="18"/>
              </w:rPr>
              <w:t>0.6426</w:t>
            </w:r>
          </w:p>
        </w:tc>
        <w:tc>
          <w:tcPr>
            <w:tcW w:w="1038" w:type="dxa"/>
          </w:tcPr>
          <w:p>
            <w:pPr>
              <w:pStyle w:val="14"/>
              <w:spacing w:before="48"/>
              <w:ind w:left="136" w:right="124"/>
              <w:rPr>
                <w:rFonts w:ascii="Calibri"/>
                <w:sz w:val="18"/>
              </w:rPr>
            </w:pPr>
            <w:r>
              <w:rPr>
                <w:rFonts w:ascii="Calibri"/>
                <w:sz w:val="18"/>
              </w:rPr>
              <w:t>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91" w:type="dxa"/>
          </w:tcPr>
          <w:p>
            <w:pPr>
              <w:pStyle w:val="14"/>
              <w:spacing w:before="47"/>
              <w:ind w:left="195" w:right="185"/>
              <w:rPr>
                <w:rFonts w:ascii="Calibri"/>
                <w:sz w:val="18"/>
              </w:rPr>
            </w:pPr>
            <w:r>
              <w:rPr>
                <w:rFonts w:ascii="Calibri"/>
                <w:sz w:val="18"/>
              </w:rPr>
              <w:t>11</w:t>
            </w:r>
          </w:p>
        </w:tc>
        <w:tc>
          <w:tcPr>
            <w:tcW w:w="2823" w:type="dxa"/>
          </w:tcPr>
          <w:p>
            <w:pPr>
              <w:pStyle w:val="14"/>
              <w:spacing w:before="41"/>
              <w:ind w:left="580" w:right="572"/>
              <w:rPr>
                <w:sz w:val="18"/>
              </w:rPr>
            </w:pPr>
            <w:r>
              <w:rPr>
                <w:sz w:val="18"/>
              </w:rPr>
              <w:t>水域及水利设施用地</w:t>
            </w:r>
          </w:p>
        </w:tc>
        <w:tc>
          <w:tcPr>
            <w:tcW w:w="789" w:type="dxa"/>
          </w:tcPr>
          <w:p>
            <w:pPr>
              <w:pStyle w:val="14"/>
              <w:spacing w:before="47"/>
              <w:ind w:left="256"/>
              <w:jc w:val="left"/>
              <w:rPr>
                <w:rFonts w:ascii="Calibri"/>
                <w:sz w:val="18"/>
              </w:rPr>
            </w:pPr>
            <w:r>
              <w:rPr>
                <w:rFonts w:ascii="Calibri"/>
                <w:sz w:val="18"/>
              </w:rPr>
              <w:t>114</w:t>
            </w:r>
          </w:p>
        </w:tc>
        <w:tc>
          <w:tcPr>
            <w:tcW w:w="1500" w:type="dxa"/>
          </w:tcPr>
          <w:p>
            <w:pPr>
              <w:pStyle w:val="14"/>
              <w:spacing w:before="41"/>
              <w:ind w:left="369" w:right="360"/>
              <w:rPr>
                <w:sz w:val="18"/>
              </w:rPr>
            </w:pPr>
            <w:r>
              <w:rPr>
                <w:sz w:val="18"/>
              </w:rPr>
              <w:t>坑塘水面</w:t>
            </w:r>
          </w:p>
        </w:tc>
        <w:tc>
          <w:tcPr>
            <w:tcW w:w="1582" w:type="dxa"/>
          </w:tcPr>
          <w:p>
            <w:pPr>
              <w:pStyle w:val="14"/>
              <w:spacing w:before="53"/>
              <w:ind w:left="432" w:right="423"/>
              <w:rPr>
                <w:rFonts w:ascii="Times New Roman"/>
                <w:sz w:val="18"/>
              </w:rPr>
            </w:pPr>
            <w:r>
              <w:rPr>
                <w:rFonts w:ascii="Times New Roman"/>
                <w:sz w:val="18"/>
              </w:rPr>
              <w:t>7.4426</w:t>
            </w:r>
          </w:p>
        </w:tc>
        <w:tc>
          <w:tcPr>
            <w:tcW w:w="1038" w:type="dxa"/>
          </w:tcPr>
          <w:p>
            <w:pPr>
              <w:pStyle w:val="14"/>
              <w:spacing w:before="47"/>
              <w:ind w:left="136" w:right="124"/>
              <w:rPr>
                <w:rFonts w:ascii="Calibri"/>
                <w:sz w:val="18"/>
              </w:rPr>
            </w:pPr>
            <w:r>
              <w:rPr>
                <w:rFonts w:ascii="Calibri"/>
                <w:sz w:val="18"/>
              </w:rPr>
              <w:t>2.27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91" w:type="dxa"/>
          </w:tcPr>
          <w:p>
            <w:pPr>
              <w:pStyle w:val="14"/>
              <w:spacing w:before="47"/>
              <w:ind w:left="195" w:right="185"/>
              <w:rPr>
                <w:rFonts w:ascii="Calibri"/>
                <w:sz w:val="18"/>
              </w:rPr>
            </w:pPr>
            <w:r>
              <w:rPr>
                <w:rFonts w:ascii="Calibri"/>
                <w:sz w:val="18"/>
              </w:rPr>
              <w:t>12</w:t>
            </w:r>
          </w:p>
        </w:tc>
        <w:tc>
          <w:tcPr>
            <w:tcW w:w="2823" w:type="dxa"/>
          </w:tcPr>
          <w:p>
            <w:pPr>
              <w:pStyle w:val="14"/>
              <w:spacing w:before="41"/>
              <w:ind w:left="578" w:right="572"/>
              <w:rPr>
                <w:sz w:val="18"/>
              </w:rPr>
            </w:pPr>
            <w:r>
              <w:rPr>
                <w:sz w:val="18"/>
              </w:rPr>
              <w:t>其他土地</w:t>
            </w:r>
          </w:p>
        </w:tc>
        <w:tc>
          <w:tcPr>
            <w:tcW w:w="789" w:type="dxa"/>
          </w:tcPr>
          <w:p>
            <w:pPr>
              <w:pStyle w:val="14"/>
              <w:spacing w:before="47"/>
              <w:ind w:left="256"/>
              <w:jc w:val="left"/>
              <w:rPr>
                <w:rFonts w:ascii="Calibri"/>
                <w:sz w:val="18"/>
              </w:rPr>
            </w:pPr>
            <w:r>
              <w:rPr>
                <w:rFonts w:ascii="Calibri"/>
                <w:sz w:val="18"/>
              </w:rPr>
              <w:t>127</w:t>
            </w:r>
          </w:p>
        </w:tc>
        <w:tc>
          <w:tcPr>
            <w:tcW w:w="1500" w:type="dxa"/>
          </w:tcPr>
          <w:p>
            <w:pPr>
              <w:pStyle w:val="14"/>
              <w:spacing w:before="41"/>
              <w:ind w:left="369" w:right="360"/>
              <w:rPr>
                <w:sz w:val="18"/>
              </w:rPr>
            </w:pPr>
            <w:r>
              <w:rPr>
                <w:sz w:val="18"/>
              </w:rPr>
              <w:t>裸地</w:t>
            </w:r>
          </w:p>
        </w:tc>
        <w:tc>
          <w:tcPr>
            <w:tcW w:w="1582" w:type="dxa"/>
          </w:tcPr>
          <w:p>
            <w:pPr>
              <w:pStyle w:val="14"/>
              <w:spacing w:before="52"/>
              <w:ind w:left="432" w:right="423"/>
              <w:rPr>
                <w:rFonts w:ascii="Times New Roman"/>
                <w:sz w:val="18"/>
              </w:rPr>
            </w:pPr>
            <w:r>
              <w:rPr>
                <w:rFonts w:ascii="Times New Roman"/>
                <w:sz w:val="18"/>
              </w:rPr>
              <w:t>1.6841</w:t>
            </w:r>
          </w:p>
        </w:tc>
        <w:tc>
          <w:tcPr>
            <w:tcW w:w="1038" w:type="dxa"/>
          </w:tcPr>
          <w:p>
            <w:pPr>
              <w:pStyle w:val="14"/>
              <w:spacing w:before="47"/>
              <w:ind w:left="136" w:right="124"/>
              <w:rPr>
                <w:rFonts w:ascii="Calibri"/>
                <w:sz w:val="18"/>
              </w:rPr>
            </w:pPr>
            <w:r>
              <w:rPr>
                <w:rFonts w:ascii="Calibri"/>
                <w:sz w:val="18"/>
              </w:rPr>
              <w:t>0.51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91" w:type="dxa"/>
          </w:tcPr>
          <w:p>
            <w:pPr>
              <w:pStyle w:val="14"/>
              <w:spacing w:before="46"/>
              <w:ind w:left="195" w:right="185"/>
              <w:rPr>
                <w:rFonts w:ascii="Calibri"/>
                <w:sz w:val="18"/>
              </w:rPr>
            </w:pPr>
            <w:r>
              <w:rPr>
                <w:rFonts w:ascii="Calibri"/>
                <w:sz w:val="18"/>
              </w:rPr>
              <w:t>20</w:t>
            </w:r>
          </w:p>
        </w:tc>
        <w:tc>
          <w:tcPr>
            <w:tcW w:w="2823" w:type="dxa"/>
          </w:tcPr>
          <w:p>
            <w:pPr>
              <w:pStyle w:val="14"/>
              <w:spacing w:before="40"/>
              <w:ind w:left="578" w:right="572"/>
              <w:rPr>
                <w:sz w:val="18"/>
              </w:rPr>
            </w:pPr>
            <w:r>
              <w:rPr>
                <w:sz w:val="18"/>
              </w:rPr>
              <w:t>城镇村及工矿用地</w:t>
            </w:r>
          </w:p>
        </w:tc>
        <w:tc>
          <w:tcPr>
            <w:tcW w:w="789" w:type="dxa"/>
          </w:tcPr>
          <w:p>
            <w:pPr>
              <w:pStyle w:val="14"/>
              <w:spacing w:before="46"/>
              <w:ind w:left="256"/>
              <w:jc w:val="left"/>
              <w:rPr>
                <w:rFonts w:ascii="Calibri"/>
                <w:sz w:val="18"/>
              </w:rPr>
            </w:pPr>
            <w:r>
              <w:rPr>
                <w:rFonts w:ascii="Calibri"/>
                <w:sz w:val="18"/>
              </w:rPr>
              <w:t>203</w:t>
            </w:r>
          </w:p>
        </w:tc>
        <w:tc>
          <w:tcPr>
            <w:tcW w:w="1500" w:type="dxa"/>
          </w:tcPr>
          <w:p>
            <w:pPr>
              <w:pStyle w:val="14"/>
              <w:spacing w:before="40"/>
              <w:ind w:left="369" w:right="360"/>
              <w:rPr>
                <w:sz w:val="18"/>
              </w:rPr>
            </w:pPr>
            <w:r>
              <w:rPr>
                <w:sz w:val="18"/>
              </w:rPr>
              <w:t>村庄</w:t>
            </w:r>
          </w:p>
        </w:tc>
        <w:tc>
          <w:tcPr>
            <w:tcW w:w="1582" w:type="dxa"/>
          </w:tcPr>
          <w:p>
            <w:pPr>
              <w:pStyle w:val="14"/>
              <w:spacing w:before="52"/>
              <w:ind w:left="432" w:right="423"/>
              <w:rPr>
                <w:rFonts w:ascii="Times New Roman"/>
                <w:sz w:val="18"/>
              </w:rPr>
            </w:pPr>
            <w:r>
              <w:rPr>
                <w:rFonts w:ascii="Times New Roman"/>
                <w:sz w:val="18"/>
              </w:rPr>
              <w:t>4.1245</w:t>
            </w:r>
          </w:p>
        </w:tc>
        <w:tc>
          <w:tcPr>
            <w:tcW w:w="1038" w:type="dxa"/>
          </w:tcPr>
          <w:p>
            <w:pPr>
              <w:pStyle w:val="14"/>
              <w:spacing w:before="46"/>
              <w:ind w:left="136" w:right="124"/>
              <w:rPr>
                <w:rFonts w:ascii="Calibri"/>
                <w:sz w:val="18"/>
              </w:rPr>
            </w:pPr>
            <w:r>
              <w:rPr>
                <w:rFonts w:ascii="Calibri"/>
                <w:sz w:val="18"/>
              </w:rPr>
              <w:t>1.26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791" w:type="dxa"/>
          </w:tcPr>
          <w:p>
            <w:pPr>
              <w:pStyle w:val="14"/>
              <w:spacing w:before="46"/>
              <w:ind w:left="195" w:right="185"/>
              <w:rPr>
                <w:rFonts w:ascii="Calibri"/>
                <w:sz w:val="18"/>
              </w:rPr>
            </w:pPr>
            <w:r>
              <w:rPr>
                <w:rFonts w:ascii="Calibri"/>
                <w:sz w:val="18"/>
              </w:rPr>
              <w:t>20</w:t>
            </w:r>
          </w:p>
        </w:tc>
        <w:tc>
          <w:tcPr>
            <w:tcW w:w="2823" w:type="dxa"/>
          </w:tcPr>
          <w:p>
            <w:pPr>
              <w:pStyle w:val="14"/>
              <w:spacing w:before="40"/>
              <w:ind w:left="578" w:right="572"/>
              <w:rPr>
                <w:sz w:val="18"/>
              </w:rPr>
            </w:pPr>
            <w:r>
              <w:rPr>
                <w:sz w:val="18"/>
              </w:rPr>
              <w:t>城镇村及工矿用地</w:t>
            </w:r>
          </w:p>
        </w:tc>
        <w:tc>
          <w:tcPr>
            <w:tcW w:w="789" w:type="dxa"/>
          </w:tcPr>
          <w:p>
            <w:pPr>
              <w:pStyle w:val="14"/>
              <w:spacing w:before="46"/>
              <w:ind w:left="256"/>
              <w:jc w:val="left"/>
              <w:rPr>
                <w:rFonts w:ascii="Calibri"/>
                <w:sz w:val="18"/>
              </w:rPr>
            </w:pPr>
            <w:r>
              <w:rPr>
                <w:rFonts w:ascii="Calibri"/>
                <w:sz w:val="18"/>
              </w:rPr>
              <w:t>204</w:t>
            </w:r>
          </w:p>
        </w:tc>
        <w:tc>
          <w:tcPr>
            <w:tcW w:w="1500" w:type="dxa"/>
          </w:tcPr>
          <w:p>
            <w:pPr>
              <w:pStyle w:val="14"/>
              <w:spacing w:before="40"/>
              <w:ind w:left="369" w:right="360"/>
              <w:rPr>
                <w:sz w:val="18"/>
              </w:rPr>
            </w:pPr>
            <w:r>
              <w:rPr>
                <w:sz w:val="18"/>
              </w:rPr>
              <w:t>采矿用地</w:t>
            </w:r>
          </w:p>
        </w:tc>
        <w:tc>
          <w:tcPr>
            <w:tcW w:w="1582" w:type="dxa"/>
          </w:tcPr>
          <w:p>
            <w:pPr>
              <w:pStyle w:val="14"/>
              <w:spacing w:before="52"/>
              <w:ind w:left="432" w:right="423"/>
              <w:rPr>
                <w:rFonts w:ascii="Times New Roman"/>
                <w:sz w:val="18"/>
              </w:rPr>
            </w:pPr>
            <w:r>
              <w:rPr>
                <w:rFonts w:ascii="Times New Roman"/>
                <w:sz w:val="18"/>
              </w:rPr>
              <w:t>19.1660</w:t>
            </w:r>
          </w:p>
        </w:tc>
        <w:tc>
          <w:tcPr>
            <w:tcW w:w="1038" w:type="dxa"/>
          </w:tcPr>
          <w:p>
            <w:pPr>
              <w:pStyle w:val="14"/>
              <w:spacing w:before="46"/>
              <w:ind w:left="136" w:right="124"/>
              <w:rPr>
                <w:rFonts w:ascii="Calibri"/>
                <w:sz w:val="18"/>
              </w:rPr>
            </w:pPr>
            <w:r>
              <w:rPr>
                <w:rFonts w:ascii="Calibri"/>
                <w:sz w:val="18"/>
              </w:rPr>
              <w:t>5.84</w:t>
            </w:r>
          </w:p>
        </w:tc>
      </w:tr>
    </w:tbl>
    <w:p>
      <w:pPr>
        <w:spacing w:after="0"/>
        <w:rPr>
          <w:rFonts w:ascii="Calibri"/>
          <w:sz w:val="18"/>
        </w:rPr>
        <w:sectPr>
          <w:pgSz w:w="11910" w:h="16840"/>
          <w:pgMar w:top="1520" w:right="1300" w:bottom="1180" w:left="1300" w:header="0" w:footer="997" w:gutter="0"/>
        </w:sectPr>
      </w:pPr>
    </w:p>
    <w:tbl>
      <w:tblPr>
        <w:tblStyle w:val="10"/>
        <w:tblW w:w="0" w:type="auto"/>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1"/>
        <w:gridCol w:w="2823"/>
        <w:gridCol w:w="789"/>
        <w:gridCol w:w="1500"/>
        <w:gridCol w:w="1582"/>
        <w:gridCol w:w="10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91" w:type="dxa"/>
          </w:tcPr>
          <w:p>
            <w:pPr>
              <w:pStyle w:val="14"/>
              <w:spacing w:before="41"/>
              <w:ind w:left="215"/>
              <w:jc w:val="left"/>
              <w:rPr>
                <w:sz w:val="18"/>
              </w:rPr>
            </w:pPr>
            <w:r>
              <w:rPr>
                <w:sz w:val="18"/>
              </w:rPr>
              <w:t>合计</w:t>
            </w:r>
          </w:p>
        </w:tc>
        <w:tc>
          <w:tcPr>
            <w:tcW w:w="2823" w:type="dxa"/>
          </w:tcPr>
          <w:p>
            <w:pPr>
              <w:pStyle w:val="14"/>
              <w:spacing w:before="48"/>
              <w:ind w:left="8"/>
              <w:rPr>
                <w:rFonts w:ascii="Calibri"/>
                <w:sz w:val="18"/>
              </w:rPr>
            </w:pPr>
            <w:r>
              <w:rPr>
                <w:rFonts w:ascii="Calibri"/>
                <w:sz w:val="18"/>
              </w:rPr>
              <w:t>-</w:t>
            </w:r>
          </w:p>
        </w:tc>
        <w:tc>
          <w:tcPr>
            <w:tcW w:w="789" w:type="dxa"/>
          </w:tcPr>
          <w:p>
            <w:pPr>
              <w:pStyle w:val="14"/>
              <w:spacing w:before="48"/>
              <w:ind w:left="10"/>
              <w:rPr>
                <w:rFonts w:ascii="Calibri"/>
                <w:sz w:val="18"/>
              </w:rPr>
            </w:pPr>
            <w:r>
              <w:rPr>
                <w:rFonts w:ascii="Calibri"/>
                <w:sz w:val="18"/>
              </w:rPr>
              <w:t>-</w:t>
            </w:r>
          </w:p>
        </w:tc>
        <w:tc>
          <w:tcPr>
            <w:tcW w:w="1500" w:type="dxa"/>
          </w:tcPr>
          <w:p>
            <w:pPr>
              <w:pStyle w:val="14"/>
              <w:spacing w:before="48"/>
              <w:ind w:left="6"/>
              <w:rPr>
                <w:rFonts w:ascii="Calibri"/>
                <w:sz w:val="18"/>
              </w:rPr>
            </w:pPr>
            <w:r>
              <w:rPr>
                <w:rFonts w:ascii="Calibri"/>
                <w:sz w:val="18"/>
              </w:rPr>
              <w:t>-</w:t>
            </w:r>
          </w:p>
        </w:tc>
        <w:tc>
          <w:tcPr>
            <w:tcW w:w="1582" w:type="dxa"/>
          </w:tcPr>
          <w:p>
            <w:pPr>
              <w:pStyle w:val="14"/>
              <w:spacing w:before="51"/>
              <w:ind w:left="451"/>
              <w:jc w:val="left"/>
              <w:rPr>
                <w:rFonts w:ascii="Times New Roman"/>
                <w:sz w:val="18"/>
              </w:rPr>
            </w:pPr>
            <w:r>
              <w:rPr>
                <w:rFonts w:ascii="Times New Roman"/>
                <w:sz w:val="18"/>
              </w:rPr>
              <w:t>327.9211</w:t>
            </w:r>
          </w:p>
        </w:tc>
        <w:tc>
          <w:tcPr>
            <w:tcW w:w="1038" w:type="dxa"/>
          </w:tcPr>
          <w:p>
            <w:pPr>
              <w:pStyle w:val="14"/>
              <w:spacing w:before="48"/>
              <w:ind w:left="269"/>
              <w:jc w:val="left"/>
              <w:rPr>
                <w:rFonts w:ascii="Calibri"/>
                <w:sz w:val="18"/>
              </w:rPr>
            </w:pPr>
            <w:r>
              <w:rPr>
                <w:rFonts w:ascii="Calibri"/>
                <w:sz w:val="18"/>
              </w:rPr>
              <w:t>100.00</w:t>
            </w:r>
          </w:p>
        </w:tc>
      </w:tr>
    </w:tbl>
    <w:p>
      <w:pPr>
        <w:pStyle w:val="6"/>
        <w:rPr>
          <w:b/>
          <w:sz w:val="20"/>
        </w:rPr>
      </w:pPr>
    </w:p>
    <w:p>
      <w:pPr>
        <w:pStyle w:val="6"/>
        <w:spacing w:before="12"/>
        <w:rPr>
          <w:b/>
          <w:sz w:val="16"/>
        </w:rPr>
      </w:pPr>
    </w:p>
    <w:p>
      <w:pPr>
        <w:pStyle w:val="5"/>
        <w:numPr>
          <w:ilvl w:val="3"/>
          <w:numId w:val="38"/>
        </w:numPr>
        <w:tabs>
          <w:tab w:val="left" w:pos="1232"/>
        </w:tabs>
        <w:spacing w:before="77" w:after="0" w:line="240" w:lineRule="auto"/>
        <w:ind w:left="1232" w:right="0" w:hanging="781"/>
        <w:jc w:val="left"/>
      </w:pPr>
      <w:r>
        <w:t>地表移动持续时间</w:t>
      </w:r>
    </w:p>
    <w:p>
      <w:pPr>
        <w:pStyle w:val="6"/>
        <w:spacing w:before="160"/>
        <w:ind w:left="931"/>
      </w:pPr>
      <w:r>
        <w:t>地表移动持续时间计算：</w:t>
      </w:r>
    </w:p>
    <w:p>
      <w:pPr>
        <w:pStyle w:val="6"/>
        <w:tabs>
          <w:tab w:val="left" w:pos="7097"/>
        </w:tabs>
        <w:spacing w:before="161"/>
        <w:ind w:left="1647"/>
      </w:pPr>
      <w:r>
        <w:rPr>
          <w:rFonts w:ascii="Times New Roman" w:hAnsi="Times New Roman" w:eastAsia="Times New Roman"/>
        </w:rPr>
        <w:t>T=2.5×H</w:t>
      </w:r>
      <w:r>
        <w:rPr>
          <w:rFonts w:ascii="Times New Roman" w:hAnsi="Times New Roman" w:eastAsia="Times New Roman"/>
        </w:rPr>
        <w:tab/>
      </w:r>
      <w:r>
        <w:t>（</w:t>
      </w:r>
      <w:r>
        <w:rPr>
          <w:spacing w:val="-21"/>
        </w:rPr>
        <w:t xml:space="preserve">公式 </w:t>
      </w:r>
      <w:r>
        <w:rPr>
          <w:rFonts w:ascii="Times New Roman" w:hAnsi="Times New Roman" w:eastAsia="Times New Roman"/>
        </w:rPr>
        <w:t>3-9</w:t>
      </w:r>
      <w:r>
        <w:t>）</w:t>
      </w:r>
    </w:p>
    <w:p>
      <w:pPr>
        <w:pStyle w:val="6"/>
        <w:spacing w:before="160"/>
        <w:ind w:left="931"/>
      </w:pPr>
      <w:r>
        <w:t>式中：</w:t>
      </w:r>
      <w:r>
        <w:rPr>
          <w:rFonts w:ascii="Times New Roman" w:hAnsi="Times New Roman" w:eastAsia="Times New Roman"/>
        </w:rPr>
        <w:t>T—</w:t>
      </w:r>
      <w:r>
        <w:t>形成稳定沉降地面移动的持续时间，单位为天（</w:t>
      </w:r>
      <w:r>
        <w:rPr>
          <w:rFonts w:ascii="Times New Roman" w:hAnsi="Times New Roman" w:eastAsia="Times New Roman"/>
        </w:rPr>
        <w:t>d</w:t>
      </w:r>
      <w:r>
        <w:t>）。</w:t>
      </w:r>
    </w:p>
    <w:p>
      <w:pPr>
        <w:pStyle w:val="6"/>
        <w:spacing w:before="161"/>
        <w:ind w:left="1652"/>
      </w:pPr>
      <w:r>
        <w:rPr>
          <w:rFonts w:ascii="Times New Roman" w:hAnsi="Times New Roman" w:eastAsia="Times New Roman"/>
        </w:rPr>
        <w:t>H—</w:t>
      </w:r>
      <w:r>
        <w:t xml:space="preserve">工作面平均开采深度，单位为 </w:t>
      </w:r>
      <w:r>
        <w:rPr>
          <w:rFonts w:ascii="Times New Roman" w:hAnsi="Times New Roman" w:eastAsia="Times New Roman"/>
        </w:rPr>
        <w:t>m</w:t>
      </w:r>
      <w:r>
        <w:t>。</w:t>
      </w:r>
    </w:p>
    <w:p>
      <w:pPr>
        <w:pStyle w:val="6"/>
        <w:spacing w:before="160"/>
        <w:ind w:left="931"/>
      </w:pPr>
      <w:r>
        <w:t xml:space="preserve">工作面平均开采深度约为 </w:t>
      </w:r>
      <w:r>
        <w:rPr>
          <w:rFonts w:ascii="Times New Roman" w:eastAsia="Times New Roman"/>
        </w:rPr>
        <w:t xml:space="preserve">260m </w:t>
      </w:r>
      <w:r>
        <w:t xml:space="preserve">左右，地表移动持续时间为 </w:t>
      </w:r>
      <w:r>
        <w:rPr>
          <w:rFonts w:ascii="Times New Roman" w:eastAsia="Times New Roman"/>
        </w:rPr>
        <w:t xml:space="preserve">650 </w:t>
      </w:r>
      <w:r>
        <w:t>天。</w:t>
      </w:r>
    </w:p>
    <w:p>
      <w:pPr>
        <w:pStyle w:val="6"/>
        <w:spacing w:before="161" w:line="364" w:lineRule="auto"/>
        <w:ind w:left="451" w:right="453" w:firstLine="480"/>
      </w:pPr>
      <w:r>
        <w:t xml:space="preserve">地表移动基本稳沉时间一般为地表移动的初始期和活跃期一般为地表移动持续时间的 </w:t>
      </w:r>
      <w:r>
        <w:rPr>
          <w:rFonts w:ascii="Times New Roman" w:hAnsi="Times New Roman" w:eastAsia="Times New Roman"/>
        </w:rPr>
        <w:t>60—70</w:t>
      </w:r>
      <w:r>
        <w:t xml:space="preserve">％。本煤矿地表移动基本稳沉时间为 </w:t>
      </w:r>
      <w:r>
        <w:rPr>
          <w:rFonts w:ascii="Times New Roman" w:hAnsi="Times New Roman" w:eastAsia="Times New Roman"/>
        </w:rPr>
        <w:t xml:space="preserve">400 </w:t>
      </w:r>
      <w:r>
        <w:t>天左右。</w:t>
      </w:r>
    </w:p>
    <w:p>
      <w:pPr>
        <w:pStyle w:val="13"/>
        <w:numPr>
          <w:ilvl w:val="3"/>
          <w:numId w:val="38"/>
        </w:numPr>
        <w:tabs>
          <w:tab w:val="left" w:pos="1232"/>
        </w:tabs>
        <w:spacing w:before="1" w:after="0" w:line="369" w:lineRule="auto"/>
        <w:ind w:left="931" w:right="4700" w:hanging="480"/>
        <w:jc w:val="left"/>
        <w:rPr>
          <w:rFonts w:ascii="Times New Roman" w:hAnsi="Times New Roman" w:eastAsia="Times New Roman"/>
          <w:sz w:val="24"/>
        </w:rPr>
      </w:pPr>
      <w:r>
        <w:rPr>
          <w:b/>
          <w:spacing w:val="-2"/>
          <w:sz w:val="24"/>
        </w:rPr>
        <w:t>地面沉陷区地表最大下沉量预测</w:t>
      </w:r>
      <w:r>
        <w:rPr>
          <w:sz w:val="24"/>
        </w:rPr>
        <w:t>地表最大下沉量计算公式</w:t>
      </w:r>
      <w:r>
        <w:rPr>
          <w:rFonts w:ascii="Times New Roman" w:hAnsi="Times New Roman" w:eastAsia="Times New Roman"/>
          <w:sz w:val="24"/>
        </w:rPr>
        <w:t>w0=mqcosα</w:t>
      </w:r>
    </w:p>
    <w:p>
      <w:pPr>
        <w:pStyle w:val="6"/>
        <w:spacing w:before="32"/>
        <w:ind w:left="931"/>
      </w:pPr>
      <w:r>
        <w:t>式中：</w:t>
      </w:r>
      <w:r>
        <w:rPr>
          <w:rFonts w:ascii="Times New Roman" w:hAnsi="Times New Roman" w:eastAsia="Times New Roman"/>
        </w:rPr>
        <w:t>w0——</w:t>
      </w:r>
      <w:r>
        <w:t>累计最大下沉量，</w:t>
      </w:r>
      <w:r>
        <w:rPr>
          <w:rFonts w:ascii="Times New Roman" w:hAnsi="Times New Roman" w:eastAsia="Times New Roman"/>
        </w:rPr>
        <w:t>m</w:t>
      </w:r>
      <w:r>
        <w:t>；</w:t>
      </w:r>
    </w:p>
    <w:p>
      <w:pPr>
        <w:pStyle w:val="6"/>
        <w:spacing w:before="160" w:line="364" w:lineRule="auto"/>
        <w:ind w:left="451" w:right="449" w:firstLine="480"/>
      </w:pPr>
      <w:r>
        <w:rPr>
          <w:rFonts w:ascii="Times New Roman" w:hAnsi="Times New Roman" w:eastAsia="Times New Roman"/>
        </w:rPr>
        <w:t>m——</w:t>
      </w:r>
      <w:r>
        <w:rPr>
          <w:spacing w:val="-7"/>
        </w:rPr>
        <w:t xml:space="preserve">采出煤层平均厚度 </w:t>
      </w:r>
      <w:r>
        <w:rPr>
          <w:rFonts w:ascii="Times New Roman" w:hAnsi="Times New Roman" w:eastAsia="Times New Roman"/>
        </w:rPr>
        <w:t xml:space="preserve">10 </w:t>
      </w:r>
      <w:r>
        <w:rPr>
          <w:spacing w:val="-10"/>
        </w:rPr>
        <w:t xml:space="preserve">号煤层平均 </w:t>
      </w:r>
      <w:r>
        <w:rPr>
          <w:rFonts w:ascii="Times New Roman" w:hAnsi="Times New Roman" w:eastAsia="Times New Roman"/>
          <w:spacing w:val="-5"/>
        </w:rPr>
        <w:t>0.75m</w:t>
      </w:r>
      <w:r>
        <w:rPr>
          <w:spacing w:val="-5"/>
        </w:rPr>
        <w:t>，</w:t>
      </w:r>
      <w:r>
        <w:rPr>
          <w:rFonts w:ascii="Times New Roman" w:hAnsi="Times New Roman" w:eastAsia="Times New Roman"/>
          <w:spacing w:val="-5"/>
        </w:rPr>
        <w:t xml:space="preserve">15 </w:t>
      </w:r>
      <w:r>
        <w:rPr>
          <w:spacing w:val="-10"/>
        </w:rPr>
        <w:t xml:space="preserve">号煤层平均 </w:t>
      </w:r>
      <w:r>
        <w:rPr>
          <w:rFonts w:ascii="Times New Roman" w:hAnsi="Times New Roman" w:eastAsia="Times New Roman"/>
          <w:spacing w:val="-6"/>
        </w:rPr>
        <w:t>1.24m</w:t>
      </w:r>
      <w:r>
        <w:rPr>
          <w:spacing w:val="-6"/>
        </w:rPr>
        <w:t>，</w:t>
      </w:r>
      <w:r>
        <w:rPr>
          <w:rFonts w:ascii="Times New Roman" w:hAnsi="Times New Roman" w:eastAsia="Times New Roman"/>
          <w:spacing w:val="-6"/>
        </w:rPr>
        <w:t xml:space="preserve">20 </w:t>
      </w:r>
      <w:r>
        <w:rPr>
          <w:spacing w:val="-15"/>
        </w:rPr>
        <w:t>号</w:t>
      </w:r>
      <w:r>
        <w:rPr>
          <w:spacing w:val="-13"/>
        </w:rPr>
        <w:t xml:space="preserve">煤层平均 </w:t>
      </w:r>
      <w:r>
        <w:rPr>
          <w:rFonts w:ascii="Times New Roman" w:hAnsi="Times New Roman" w:eastAsia="Times New Roman"/>
        </w:rPr>
        <w:t>0.84m</w:t>
      </w:r>
      <w:r>
        <w:t>，</w:t>
      </w:r>
      <w:r>
        <w:rPr>
          <w:rFonts w:ascii="Times New Roman" w:hAnsi="Times New Roman" w:eastAsia="Times New Roman"/>
        </w:rPr>
        <w:t xml:space="preserve">30 </w:t>
      </w:r>
      <w:r>
        <w:rPr>
          <w:spacing w:val="-12"/>
        </w:rPr>
        <w:t xml:space="preserve">煤层平均 </w:t>
      </w:r>
      <w:r>
        <w:rPr>
          <w:rFonts w:ascii="Times New Roman" w:hAnsi="Times New Roman" w:eastAsia="Times New Roman"/>
        </w:rPr>
        <w:t>0.65m</w:t>
      </w:r>
      <w:r>
        <w:rPr>
          <w:spacing w:val="-5"/>
        </w:rPr>
        <w:t xml:space="preserve">，取四个煤层平均总厚度 </w:t>
      </w:r>
      <w:r>
        <w:rPr>
          <w:rFonts w:ascii="Times New Roman" w:hAnsi="Times New Roman" w:eastAsia="Times New Roman"/>
        </w:rPr>
        <w:t>3.48m</w:t>
      </w:r>
      <w:r>
        <w:t>；</w:t>
      </w:r>
    </w:p>
    <w:p>
      <w:pPr>
        <w:pStyle w:val="6"/>
        <w:spacing w:before="1" w:line="364" w:lineRule="auto"/>
        <w:ind w:left="451" w:right="333" w:firstLine="480"/>
      </w:pPr>
      <w:r>
        <w:rPr>
          <w:rFonts w:ascii="Times New Roman" w:hAnsi="Times New Roman" w:eastAsia="Times New Roman"/>
        </w:rPr>
        <w:t>q——</w:t>
      </w:r>
      <w:r>
        <w:t xml:space="preserve">下沉系数，与岩性、开采方式有关，根据双鸭山市地方煤矿开采经验， 一般取下沉系数为 </w:t>
      </w:r>
      <w:r>
        <w:rPr>
          <w:rFonts w:ascii="Times New Roman" w:hAnsi="Times New Roman" w:eastAsia="Times New Roman"/>
        </w:rPr>
        <w:t>0.60</w:t>
      </w:r>
      <w:r>
        <w:t>；</w:t>
      </w:r>
    </w:p>
    <w:p>
      <w:pPr>
        <w:pStyle w:val="6"/>
        <w:spacing w:before="2" w:line="364" w:lineRule="auto"/>
        <w:ind w:left="931" w:right="5194"/>
      </w:pPr>
      <w:r>
        <w:rPr>
          <w:rFonts w:ascii="Times New Roman" w:hAnsi="Times New Roman" w:eastAsia="Times New Roman"/>
        </w:rPr>
        <w:t xml:space="preserve">α— </w:t>
      </w:r>
      <w:r>
        <w:t xml:space="preserve">煤 层 倾 角 ， 取 </w:t>
      </w:r>
      <w:r>
        <w:rPr>
          <w:rFonts w:ascii="Times New Roman" w:hAnsi="Times New Roman" w:eastAsia="Times New Roman"/>
        </w:rPr>
        <w:t>25°</w:t>
      </w:r>
      <w:r>
        <w:t xml:space="preserve">； </w:t>
      </w:r>
      <w:r>
        <w:rPr>
          <w:rFonts w:ascii="Times New Roman" w:hAnsi="Times New Roman" w:eastAsia="Times New Roman"/>
        </w:rPr>
        <w:t>w0=3.48×0.60×cos25°=1.89m</w:t>
      </w:r>
      <w:r>
        <w:t>。</w:t>
      </w:r>
    </w:p>
    <w:p>
      <w:pPr>
        <w:pStyle w:val="6"/>
        <w:spacing w:before="1"/>
        <w:ind w:left="931"/>
        <w:jc w:val="both"/>
      </w:pPr>
      <w:r>
        <w:t xml:space="preserve">按上式计算，各煤层采空后，其地表累计最大下沉量为 </w:t>
      </w:r>
      <w:r>
        <w:rPr>
          <w:rFonts w:ascii="Times New Roman" w:eastAsia="Times New Roman"/>
        </w:rPr>
        <w:t>1.89m</w:t>
      </w:r>
      <w:r>
        <w:t>。</w:t>
      </w:r>
    </w:p>
    <w:p>
      <w:pPr>
        <w:pStyle w:val="6"/>
        <w:spacing w:before="160" w:line="364" w:lineRule="auto"/>
        <w:ind w:left="451" w:right="333" w:firstLine="480"/>
        <w:jc w:val="both"/>
      </w:pPr>
      <w:r>
        <w:t>结论：双鸭山大顺矿业有限公司煤层开采深度均大于冒落带最大高度及导水</w:t>
      </w:r>
      <w:r>
        <w:rPr>
          <w:spacing w:val="-8"/>
        </w:rPr>
        <w:t xml:space="preserve">裂隙带高度，采深与采厚比大于 </w:t>
      </w:r>
      <w:r>
        <w:rPr>
          <w:rFonts w:ascii="Times New Roman" w:hAnsi="Times New Roman" w:eastAsia="Times New Roman"/>
          <w:spacing w:val="-7"/>
        </w:rPr>
        <w:t>40</w:t>
      </w:r>
      <w:r>
        <w:rPr>
          <w:spacing w:val="-5"/>
        </w:rPr>
        <w:t>，该采空区上部会形成局部的地面变形，从采</w:t>
      </w:r>
      <w:r>
        <w:rPr>
          <w:spacing w:val="6"/>
        </w:rPr>
        <w:t>煤到未来变形所需时间很长，地表变形以轻度的地面沉陷为主，煤层平均倾角</w:t>
      </w:r>
      <w:r>
        <w:rPr>
          <w:rFonts w:ascii="Times New Roman" w:hAnsi="Times New Roman" w:eastAsia="Times New Roman"/>
          <w:spacing w:val="-8"/>
        </w:rPr>
        <w:t>25°</w:t>
      </w:r>
      <w:r>
        <w:rPr>
          <w:spacing w:val="-7"/>
        </w:rPr>
        <w:t>，且煤层间间距较大，采空完毕后矿区可能伴有地裂缝的产生，地表累计预测</w:t>
      </w:r>
      <w:r>
        <w:rPr>
          <w:spacing w:val="-15"/>
        </w:rPr>
        <w:t xml:space="preserve">最大下沉量为 </w:t>
      </w:r>
      <w:r>
        <w:rPr>
          <w:rFonts w:ascii="Times New Roman" w:hAnsi="Times New Roman" w:eastAsia="Times New Roman"/>
          <w:spacing w:val="-7"/>
        </w:rPr>
        <w:t>1.89m</w:t>
      </w:r>
      <w:r>
        <w:rPr>
          <w:spacing w:val="-8"/>
        </w:rPr>
        <w:t xml:space="preserve">，预测地面沉陷面积可达 </w:t>
      </w:r>
      <w:r>
        <w:rPr>
          <w:rFonts w:ascii="Times New Roman" w:hAnsi="Times New Roman" w:eastAsia="Times New Roman"/>
          <w:spacing w:val="-5"/>
        </w:rPr>
        <w:t>327.9211hm</w:t>
      </w:r>
      <w:r>
        <w:rPr>
          <w:rFonts w:ascii="Times New Roman" w:hAnsi="Times New Roman" w:eastAsia="Times New Roman"/>
          <w:spacing w:val="-5"/>
          <w:position w:val="8"/>
          <w:sz w:val="15"/>
        </w:rPr>
        <w:t>2</w:t>
      </w:r>
      <w:r>
        <w:rPr>
          <w:spacing w:val="-2"/>
        </w:rPr>
        <w:t>，预测未来的开采过程中，在矿区最上部开采煤层开采区形成局部的地面沉陷，预测沉陷范围内大部分为旱地、有林地和采矿用地，其他为其他园地、农村道路、河流、坑塘水面裸地和村庄用地，其中：预测沉陷区范围内的村庄用地范围内有部分房屋，但居民属</w:t>
      </w:r>
      <w:r>
        <w:rPr>
          <w:spacing w:val="-12"/>
        </w:rPr>
        <w:t>零散分布居住，项目区范围较大，沉陷较轻，因此对居民生活影响小，危险性小；</w:t>
      </w:r>
    </w:p>
    <w:p>
      <w:pPr>
        <w:spacing w:after="0" w:line="364" w:lineRule="auto"/>
        <w:jc w:val="both"/>
        <w:sectPr>
          <w:pgSz w:w="11910" w:h="16840"/>
          <w:pgMar w:top="1420" w:right="1300" w:bottom="1180" w:left="1300" w:header="0" w:footer="997" w:gutter="0"/>
        </w:sectPr>
      </w:pPr>
    </w:p>
    <w:p>
      <w:pPr>
        <w:pStyle w:val="6"/>
        <w:spacing w:before="42" w:line="364" w:lineRule="auto"/>
        <w:ind w:left="451" w:right="453"/>
        <w:jc w:val="both"/>
      </w:pPr>
      <w:r>
        <w:t>矿山沉陷程度不大，且处于丘陵区域，地表地势相对较高且地表有起伏，终合地形情况分析沉陷范围不会形成大的沉陷坑，不影响农作物耕种和树木的生长，但对地貌将有一定的改变，对建筑物也有可能造成破坏。</w:t>
      </w:r>
    </w:p>
    <w:p>
      <w:pPr>
        <w:pStyle w:val="4"/>
        <w:numPr>
          <w:ilvl w:val="2"/>
          <w:numId w:val="38"/>
        </w:numPr>
        <w:tabs>
          <w:tab w:val="left" w:pos="1153"/>
        </w:tabs>
        <w:spacing w:before="0" w:after="0" w:line="282" w:lineRule="exact"/>
        <w:ind w:left="1152" w:right="0" w:hanging="702"/>
        <w:jc w:val="left"/>
      </w:pPr>
      <w:bookmarkStart w:id="170" w:name="5.3.4 地表沉陷影响分析"/>
      <w:bookmarkEnd w:id="170"/>
      <w:bookmarkStart w:id="171" w:name="5.3.4 地表沉陷影响分析"/>
      <w:bookmarkEnd w:id="171"/>
      <w:r>
        <w:t>地表沉陷影响分析</w:t>
      </w:r>
    </w:p>
    <w:p>
      <w:pPr>
        <w:pStyle w:val="5"/>
        <w:numPr>
          <w:ilvl w:val="3"/>
          <w:numId w:val="38"/>
        </w:numPr>
        <w:tabs>
          <w:tab w:val="left" w:pos="1232"/>
        </w:tabs>
        <w:spacing w:before="264" w:after="0" w:line="240" w:lineRule="auto"/>
        <w:ind w:left="1232" w:right="0" w:hanging="781"/>
        <w:jc w:val="left"/>
      </w:pPr>
      <w:r>
        <w:t>地表沉陷对地形地貌景观的影响</w:t>
      </w:r>
    </w:p>
    <w:p>
      <w:pPr>
        <w:pStyle w:val="13"/>
        <w:numPr>
          <w:ilvl w:val="0"/>
          <w:numId w:val="40"/>
        </w:numPr>
        <w:tabs>
          <w:tab w:val="left" w:pos="1533"/>
        </w:tabs>
        <w:spacing w:before="161" w:after="0" w:line="240" w:lineRule="auto"/>
        <w:ind w:left="1533" w:right="0" w:hanging="602"/>
        <w:jc w:val="left"/>
        <w:rPr>
          <w:sz w:val="24"/>
        </w:rPr>
      </w:pPr>
      <w:r>
        <w:rPr>
          <w:sz w:val="24"/>
        </w:rPr>
        <w:t>矿区地形地貌破景观坏现状分析</w:t>
      </w:r>
    </w:p>
    <w:p>
      <w:pPr>
        <w:pStyle w:val="6"/>
        <w:spacing w:before="160" w:line="364" w:lineRule="auto"/>
        <w:ind w:left="451" w:right="453" w:firstLine="480"/>
        <w:jc w:val="both"/>
      </w:pPr>
      <w:r>
        <w:t>评估区地表植被覆盖较好。区内人为活动主要为农业和采矿活动。评估区存在地面沉陷地质灾害。目前采矿活动对地形地貌的破坏主要是地面沉陷及工业广场占用土地。</w:t>
      </w:r>
    </w:p>
    <w:p>
      <w:pPr>
        <w:pStyle w:val="6"/>
        <w:spacing w:before="2" w:line="364" w:lineRule="auto"/>
        <w:ind w:left="451" w:right="453" w:firstLine="480"/>
        <w:jc w:val="both"/>
      </w:pPr>
      <w:r>
        <w:t xml:space="preserve">矿区工业广场所占地大多为采矿用地。工业广场布置矿山生产的设备及其附属设施，有主井、副井、风井、绞车房、暖风房、风扇房、办公室、储煤场、矸石堆场等，矿区工业广场占地总面积为 </w:t>
      </w:r>
      <w:r>
        <w:rPr>
          <w:rFonts w:ascii="Times New Roman" w:eastAsia="Times New Roman"/>
        </w:rPr>
        <w:t>2.9767hm</w:t>
      </w:r>
      <w:r>
        <w:rPr>
          <w:rFonts w:ascii="Times New Roman" w:eastAsia="Times New Roman"/>
          <w:position w:val="8"/>
          <w:sz w:val="15"/>
        </w:rPr>
        <w:t>2</w:t>
      </w:r>
      <w:r>
        <w:t>，工业广场矸石较少，工业广场压占破坏了土地，土地类型全部为采矿用，工业广场破坏了现有的地貌，治理工程较难，对地形地貌景观影响大。</w:t>
      </w:r>
    </w:p>
    <w:p>
      <w:pPr>
        <w:pStyle w:val="6"/>
        <w:spacing w:before="3" w:line="364" w:lineRule="auto"/>
        <w:ind w:left="451" w:right="453" w:firstLine="480"/>
      </w:pPr>
      <w:r>
        <w:t>地面沉陷范围较小，沉陷程度小，不影响土地耕种和植被生长，对地形地貌景观影响程度较轻。</w:t>
      </w:r>
    </w:p>
    <w:p>
      <w:pPr>
        <w:pStyle w:val="13"/>
        <w:numPr>
          <w:ilvl w:val="0"/>
          <w:numId w:val="40"/>
        </w:numPr>
        <w:tabs>
          <w:tab w:val="left" w:pos="1533"/>
        </w:tabs>
        <w:spacing w:before="1" w:after="0" w:line="240" w:lineRule="auto"/>
        <w:ind w:left="1533" w:right="0" w:hanging="602"/>
        <w:jc w:val="left"/>
        <w:rPr>
          <w:sz w:val="24"/>
        </w:rPr>
      </w:pPr>
      <w:r>
        <w:rPr>
          <w:sz w:val="24"/>
        </w:rPr>
        <w:t>矿区地形地貌景观破坏预测</w:t>
      </w:r>
    </w:p>
    <w:p>
      <w:pPr>
        <w:pStyle w:val="6"/>
        <w:spacing w:before="161" w:line="364" w:lineRule="auto"/>
        <w:ind w:left="451" w:right="333" w:firstLine="480"/>
      </w:pPr>
      <w:r>
        <w:rPr>
          <w:spacing w:val="-13"/>
        </w:rPr>
        <w:t>随着矿山开采，对土地资源和地形地貌会产生破坏与影响并将呈现递增趋势。</w:t>
      </w:r>
      <w:r>
        <w:t>本矿山建设生产过程中预测对地质环境、地形地貌景观的主要影响：一是采矿活动可能形成潜在地面沉陷，二是矸石堆放污染环境。</w:t>
      </w:r>
    </w:p>
    <w:p>
      <w:pPr>
        <w:pStyle w:val="6"/>
        <w:spacing w:before="2" w:line="364" w:lineRule="auto"/>
        <w:ind w:left="451" w:right="453" w:firstLine="480"/>
      </w:pPr>
      <w:r>
        <w:t>工业广场将继续使用，直至矿山闭坑，所损毁形式为压占，破坏了已有的地形地貌景观，治理工程较难，对地形地貌景观影响大。</w:t>
      </w:r>
    </w:p>
    <w:p>
      <w:pPr>
        <w:pStyle w:val="6"/>
        <w:spacing w:before="1" w:line="364" w:lineRule="auto"/>
        <w:ind w:left="451" w:right="333" w:firstLine="480"/>
      </w:pPr>
      <w:r>
        <w:t>由于是地下开采，未来对地形地貌破景观影响可能使采空区上面产生地面沉</w:t>
      </w:r>
      <w:r>
        <w:rPr>
          <w:spacing w:val="-5"/>
        </w:rPr>
        <w:t xml:space="preserve">陷，预测最大沉降量为 </w:t>
      </w:r>
      <w:r>
        <w:rPr>
          <w:rFonts w:ascii="Times New Roman" w:eastAsia="Times New Roman"/>
        </w:rPr>
        <w:t>1.89m</w:t>
      </w:r>
      <w:r>
        <w:t>，在矿区最上部开采煤层开采区形成局部的地面沉</w:t>
      </w:r>
      <w:r>
        <w:rPr>
          <w:spacing w:val="-4"/>
        </w:rPr>
        <w:t xml:space="preserve">陷，预测地面沉陷面积可能达到 </w:t>
      </w:r>
      <w:r>
        <w:rPr>
          <w:rFonts w:ascii="Times New Roman" w:eastAsia="Times New Roman"/>
        </w:rPr>
        <w:t>3.117522km</w:t>
      </w:r>
      <w:r>
        <w:rPr>
          <w:rFonts w:ascii="Times New Roman" w:eastAsia="Times New Roman"/>
          <w:position w:val="8"/>
          <w:sz w:val="15"/>
        </w:rPr>
        <w:t>2</w:t>
      </w:r>
      <w:r>
        <w:t>。矿井生产每年还将排放大量的矸石，使矸石数量不断增加，占用土地资源，使土地功能发生改变。矸石应统一堆放在指定的堆放场内，并及时运出，不会对环境造成大的影响。矸石中含有砷、</w:t>
      </w:r>
      <w:r>
        <w:rPr>
          <w:spacing w:val="-11"/>
        </w:rPr>
        <w:t>铅等有毒有害成分，虽然含量较低，但长期也可能造成土地污染。矸石中含有磷、</w:t>
      </w:r>
      <w:r>
        <w:t>碳、硫等可燃成分，在一定的条件下，可能导致矸石堆自燃，产生有毒、有害气</w:t>
      </w:r>
    </w:p>
    <w:p>
      <w:pPr>
        <w:spacing w:after="0" w:line="364" w:lineRule="auto"/>
        <w:sectPr>
          <w:pgSz w:w="11910" w:h="16840"/>
          <w:pgMar w:top="1460" w:right="1300" w:bottom="1180" w:left="1300" w:header="0" w:footer="997" w:gutter="0"/>
        </w:sectPr>
      </w:pPr>
    </w:p>
    <w:p>
      <w:pPr>
        <w:pStyle w:val="6"/>
        <w:spacing w:before="42" w:line="364" w:lineRule="auto"/>
        <w:ind w:left="451" w:right="453"/>
        <w:jc w:val="both"/>
      </w:pPr>
      <w:r>
        <w:t>体，除污染环境外，对人体健康造成不良影响。对上述问题采取保护措施后，可使矿山开发对生态环境的影响有效控制，不会对生态环境产生大的影响。矿山邻近没有名胜风景区及自然保护区，属于资源环境功能规划要求较低的一般地区。矿山开采完毕后可逐步恢复治理，对地形地貌景观影响较轻。综合分析土地资源与地形地貌景观影响程度预测为较轻。</w:t>
      </w:r>
    </w:p>
    <w:p>
      <w:pPr>
        <w:pStyle w:val="5"/>
        <w:numPr>
          <w:ilvl w:val="3"/>
          <w:numId w:val="38"/>
        </w:numPr>
        <w:tabs>
          <w:tab w:val="left" w:pos="1232"/>
        </w:tabs>
        <w:spacing w:before="3" w:after="0" w:line="240" w:lineRule="auto"/>
        <w:ind w:left="1232" w:right="0" w:hanging="781"/>
        <w:jc w:val="both"/>
      </w:pPr>
      <w:r>
        <w:t>地表沉陷对地面村庄建筑物的影响</w:t>
      </w:r>
    </w:p>
    <w:p>
      <w:pPr>
        <w:pStyle w:val="6"/>
        <w:spacing w:before="160"/>
        <w:ind w:left="931"/>
      </w:pPr>
      <w:r>
        <w:t>本井田开采影响范围内无村庄建筑，故地表沉陷对地面村庄物无影响。</w:t>
      </w:r>
    </w:p>
    <w:p>
      <w:pPr>
        <w:pStyle w:val="5"/>
        <w:numPr>
          <w:ilvl w:val="3"/>
          <w:numId w:val="38"/>
        </w:numPr>
        <w:tabs>
          <w:tab w:val="left" w:pos="1172"/>
        </w:tabs>
        <w:spacing w:before="161" w:after="0" w:line="240" w:lineRule="auto"/>
        <w:ind w:left="1172" w:right="0" w:hanging="721"/>
        <w:jc w:val="both"/>
      </w:pPr>
      <w:r>
        <w:t>地表沉陷对浅部含水层的影响</w:t>
      </w:r>
    </w:p>
    <w:p>
      <w:pPr>
        <w:pStyle w:val="13"/>
        <w:numPr>
          <w:ilvl w:val="0"/>
          <w:numId w:val="41"/>
        </w:numPr>
        <w:tabs>
          <w:tab w:val="left" w:pos="1533"/>
        </w:tabs>
        <w:spacing w:before="160" w:after="0" w:line="240" w:lineRule="auto"/>
        <w:ind w:left="1533" w:right="0" w:hanging="602"/>
        <w:jc w:val="left"/>
        <w:rPr>
          <w:sz w:val="24"/>
        </w:rPr>
      </w:pPr>
      <w:r>
        <w:rPr>
          <w:sz w:val="24"/>
        </w:rPr>
        <w:t>矿区含水层破坏现状分析</w:t>
      </w:r>
    </w:p>
    <w:p>
      <w:pPr>
        <w:pStyle w:val="6"/>
        <w:spacing w:before="161" w:line="364" w:lineRule="auto"/>
        <w:ind w:left="451" w:right="449" w:firstLine="480"/>
        <w:jc w:val="both"/>
      </w:pPr>
      <w:r>
        <w:rPr>
          <w:spacing w:val="-1"/>
        </w:rPr>
        <w:t xml:space="preserve">本区所处地貌单元为构造剥蚀丘陵区，丘陵区分布有基岩风化裂隙水，但富水性差。对矿区开采层位内赋存的基岩风化裂隙水进行疏干排水进行采矿活动， </w:t>
      </w:r>
      <w:r>
        <w:rPr>
          <w:spacing w:val="-6"/>
        </w:rPr>
        <w:t xml:space="preserve">矿井现正常涌水量为 </w:t>
      </w:r>
      <w:r>
        <w:rPr>
          <w:rFonts w:ascii="Times New Roman" w:eastAsia="Times New Roman"/>
        </w:rPr>
        <w:t>20m</w:t>
      </w:r>
      <w:r>
        <w:rPr>
          <w:rFonts w:ascii="Times New Roman" w:eastAsia="Times New Roman"/>
          <w:position w:val="8"/>
          <w:sz w:val="15"/>
        </w:rPr>
        <w:t>3</w:t>
      </w:r>
      <w:r>
        <w:rPr>
          <w:rFonts w:ascii="Times New Roman" w:eastAsia="Times New Roman"/>
        </w:rPr>
        <w:t>/h</w:t>
      </w:r>
      <w:r>
        <w:rPr>
          <w:spacing w:val="-6"/>
        </w:rPr>
        <w:t>。矿井疏干排水虽已造成地下水不同程度的下降，但</w:t>
      </w:r>
      <w:r>
        <w:rPr>
          <w:spacing w:val="-1"/>
        </w:rPr>
        <w:t>影响范围较小，对区域地下水资源没有造成明显影响，矿井疏干排水形成的降落</w:t>
      </w:r>
      <w:r>
        <w:t>漏斗也仅局限于周围小范围内。</w:t>
      </w:r>
    </w:p>
    <w:p>
      <w:pPr>
        <w:pStyle w:val="6"/>
        <w:spacing w:before="3" w:line="364" w:lineRule="auto"/>
        <w:ind w:left="451" w:right="453" w:firstLine="480"/>
      </w:pPr>
      <w:r>
        <w:t>现状含水层影响：由于矿山开采导水裂隙带没波及到含水层，因此对含水层影响程度较轻。</w:t>
      </w:r>
    </w:p>
    <w:p>
      <w:pPr>
        <w:pStyle w:val="13"/>
        <w:numPr>
          <w:ilvl w:val="0"/>
          <w:numId w:val="41"/>
        </w:numPr>
        <w:tabs>
          <w:tab w:val="left" w:pos="1533"/>
        </w:tabs>
        <w:spacing w:before="1" w:after="0" w:line="240" w:lineRule="auto"/>
        <w:ind w:left="1533" w:right="0" w:hanging="602"/>
        <w:jc w:val="left"/>
        <w:rPr>
          <w:sz w:val="24"/>
        </w:rPr>
      </w:pPr>
      <w:r>
        <w:rPr>
          <w:sz w:val="24"/>
        </w:rPr>
        <w:t>矿区含水层破坏预测</w:t>
      </w:r>
    </w:p>
    <w:p>
      <w:pPr>
        <w:pStyle w:val="6"/>
        <w:spacing w:before="161"/>
        <w:ind w:left="931"/>
      </w:pPr>
      <w:r>
        <w:t>①地下水环境与矿山建设相互影响预测评价</w:t>
      </w:r>
    </w:p>
    <w:p>
      <w:pPr>
        <w:pStyle w:val="6"/>
        <w:spacing w:before="160" w:line="364" w:lineRule="auto"/>
        <w:ind w:left="451" w:right="449" w:firstLine="480"/>
        <w:jc w:val="both"/>
      </w:pPr>
      <w:r>
        <w:t>矿山开采时疏干排水是持久和连续性的，虽然预测该矿井正常涌水量为</w:t>
      </w:r>
      <w:r>
        <w:rPr>
          <w:rFonts w:ascii="Times New Roman" w:eastAsia="Times New Roman"/>
        </w:rPr>
        <w:t>76m</w:t>
      </w:r>
      <w:r>
        <w:rPr>
          <w:rFonts w:ascii="Times New Roman" w:eastAsia="Times New Roman"/>
          <w:position w:val="8"/>
          <w:sz w:val="15"/>
        </w:rPr>
        <w:t>3</w:t>
      </w:r>
      <w:r>
        <w:rPr>
          <w:rFonts w:ascii="Times New Roman" w:eastAsia="Times New Roman"/>
        </w:rPr>
        <w:t>/h</w:t>
      </w:r>
      <w:r>
        <w:t>。随着开采能力的增加和开采深度的加大，预计涌水量将还会增加，继续疏干降落漏斗内的地下水，使已经被破坏的地下水均衡将加剧。但该矿排出的地下水水量，对区域内地下水影响不大，地下水的下降对矿井建设影响也较轻。</w:t>
      </w:r>
    </w:p>
    <w:p>
      <w:pPr>
        <w:pStyle w:val="6"/>
        <w:spacing w:before="2"/>
        <w:ind w:left="931"/>
      </w:pPr>
      <w:r>
        <w:t>②地下水环境与矿山生产活动相互影响预测评估</w:t>
      </w:r>
    </w:p>
    <w:p>
      <w:pPr>
        <w:pStyle w:val="6"/>
        <w:spacing w:before="161" w:line="364" w:lineRule="auto"/>
        <w:ind w:left="451" w:right="453" w:firstLine="480"/>
        <w:jc w:val="both"/>
      </w:pPr>
      <w:r>
        <w:t>矿坑充水水源是裂隙含水带水，涌水量较小，虽然从开采以来未发生过突水等突发性环境地质问题。但随着上部采空区的冒落，裂隙加大，相对隔水层将变为透水层，在开采下部煤层时，要注意上部采空区老窑积水渗透速度，预防涌水突水灾害发生。</w:t>
      </w:r>
    </w:p>
    <w:p>
      <w:pPr>
        <w:pStyle w:val="6"/>
        <w:spacing w:before="2" w:line="364" w:lineRule="auto"/>
        <w:ind w:left="451" w:right="333" w:firstLine="480"/>
      </w:pPr>
      <w:r>
        <w:rPr>
          <w:spacing w:val="-12"/>
        </w:rPr>
        <w:t xml:space="preserve">总之，矿坑疏干排水对地下水资源环境影响较轻，主要是引起地下水位下降， </w:t>
      </w:r>
      <w:r>
        <w:rPr>
          <w:spacing w:val="-10"/>
        </w:rPr>
        <w:t>降低地表水质量，破坏局部范围内的水资源平衡，矿井关闭后将自行恢复，因此，</w:t>
      </w:r>
    </w:p>
    <w:p>
      <w:pPr>
        <w:spacing w:after="0" w:line="364" w:lineRule="auto"/>
        <w:sectPr>
          <w:pgSz w:w="11910" w:h="16840"/>
          <w:pgMar w:top="1460" w:right="1300" w:bottom="1180" w:left="1300" w:header="0" w:footer="997" w:gutter="0"/>
        </w:sectPr>
      </w:pPr>
    </w:p>
    <w:p>
      <w:pPr>
        <w:pStyle w:val="6"/>
        <w:spacing w:before="42"/>
        <w:ind w:left="451"/>
      </w:pPr>
      <w:r>
        <w:t>其影响较小，其影响程度分级属较轻。</w:t>
      </w:r>
    </w:p>
    <w:p>
      <w:pPr>
        <w:pStyle w:val="5"/>
        <w:numPr>
          <w:ilvl w:val="3"/>
          <w:numId w:val="38"/>
        </w:numPr>
        <w:tabs>
          <w:tab w:val="left" w:pos="1172"/>
        </w:tabs>
        <w:spacing w:before="160" w:after="0" w:line="240" w:lineRule="auto"/>
        <w:ind w:left="1172" w:right="0" w:hanging="721"/>
        <w:jc w:val="both"/>
      </w:pPr>
      <w:r>
        <w:t>地表沉陷对地面河流水系的影响</w:t>
      </w:r>
    </w:p>
    <w:p>
      <w:pPr>
        <w:pStyle w:val="6"/>
        <w:spacing w:before="161" w:line="364" w:lineRule="auto"/>
        <w:ind w:left="451" w:right="447" w:firstLine="480"/>
        <w:jc w:val="both"/>
      </w:pPr>
      <w:r>
        <w:rPr>
          <w:spacing w:val="-1"/>
        </w:rPr>
        <w:t>矿区范围位于低山丘陵区，地貌单元类型单一，该矿山井口门地势较高，自然降雨不能通过井口门流入矿井；水文地质条件简单，区内扁石河在矿区南部边</w:t>
      </w:r>
      <w:r>
        <w:rPr>
          <w:spacing w:val="-5"/>
        </w:rPr>
        <w:t xml:space="preserve">缘区域由西至东通过，属于季节性河流，河床宽度 </w:t>
      </w:r>
      <w:r>
        <w:rPr>
          <w:rFonts w:ascii="Times New Roman" w:eastAsia="Times New Roman"/>
        </w:rPr>
        <w:t xml:space="preserve">5-10 </w:t>
      </w:r>
      <w:r>
        <w:rPr>
          <w:spacing w:val="-15"/>
        </w:rPr>
        <w:t xml:space="preserve">米，水深 </w:t>
      </w:r>
      <w:r>
        <w:rPr>
          <w:rFonts w:ascii="Times New Roman" w:eastAsia="Times New Roman"/>
        </w:rPr>
        <w:t xml:space="preserve">0.50-1.0 </w:t>
      </w:r>
      <w:r>
        <w:rPr>
          <w:spacing w:val="-8"/>
        </w:rPr>
        <w:t>米，流</w:t>
      </w:r>
    </w:p>
    <w:p>
      <w:pPr>
        <w:pStyle w:val="6"/>
        <w:spacing w:before="2" w:line="364" w:lineRule="auto"/>
        <w:ind w:left="451" w:right="324"/>
      </w:pPr>
      <w:r>
        <w:rPr>
          <w:spacing w:val="-30"/>
        </w:rPr>
        <w:t xml:space="preserve">速 </w:t>
      </w:r>
      <w:r>
        <w:rPr>
          <w:rFonts w:ascii="Times New Roman" w:hAnsi="Times New Roman" w:eastAsia="Times New Roman"/>
        </w:rPr>
        <w:t xml:space="preserve">20-50 </w:t>
      </w:r>
      <w:r>
        <w:t>米</w:t>
      </w:r>
      <w:r>
        <w:rPr>
          <w:rFonts w:ascii="Times New Roman" w:hAnsi="Times New Roman" w:eastAsia="Times New Roman"/>
        </w:rPr>
        <w:t>/</w:t>
      </w:r>
      <w:r>
        <w:rPr>
          <w:spacing w:val="-13"/>
        </w:rPr>
        <w:t xml:space="preserve">分，河流量最大 </w:t>
      </w:r>
      <w:r>
        <w:rPr>
          <w:rFonts w:ascii="Times New Roman" w:hAnsi="Times New Roman" w:eastAsia="Times New Roman"/>
        </w:rPr>
        <w:t xml:space="preserve">500 </w:t>
      </w:r>
      <w:r>
        <w:t>立方米</w:t>
      </w:r>
      <w:r>
        <w:rPr>
          <w:rFonts w:ascii="Times New Roman" w:hAnsi="Times New Roman" w:eastAsia="Times New Roman"/>
        </w:rPr>
        <w:t>/</w:t>
      </w:r>
      <w:r>
        <w:rPr>
          <w:spacing w:val="-9"/>
        </w:rPr>
        <w:t>分，扁石河河底为泥底，会对对接的砂岩层有补给作用，对浅部开采有直接影响，但对矿井深部开采没有大的影响。井下有完善的排水系统，开采时留设了保护煤柱，地下水以孔隙、裂隙水为主，矿层</w:t>
      </w:r>
      <w:r>
        <w:rPr>
          <w:spacing w:val="-13"/>
        </w:rPr>
        <w:t xml:space="preserve">顶底板透水性中等，矿坑涌水量较小，预测最大涌水量为 </w:t>
      </w:r>
      <w:r>
        <w:rPr>
          <w:rFonts w:ascii="Times New Roman" w:hAnsi="Times New Roman" w:eastAsia="Times New Roman"/>
          <w:spacing w:val="-3"/>
        </w:rPr>
        <w:t>3720m3/d</w:t>
      </w:r>
      <w:r>
        <w:rPr>
          <w:spacing w:val="-2"/>
        </w:rPr>
        <w:t>；矿井积水可安全排至地面统一处理；可供开采的煤层结构特征煤层比较稳定，岩性单一，岩</w:t>
      </w:r>
      <w:r>
        <w:rPr>
          <w:spacing w:val="6"/>
        </w:rPr>
        <w:t>土体工程地质条件良好；矿区所处地震基本烈度为Ⅵ度，地震动峰值加速度为</w:t>
      </w:r>
      <w:r>
        <w:rPr>
          <w:rFonts w:ascii="Times New Roman" w:hAnsi="Times New Roman" w:eastAsia="Times New Roman"/>
          <w:spacing w:val="6"/>
        </w:rPr>
        <w:t>0.05g</w:t>
      </w:r>
      <w:r>
        <w:rPr>
          <w:spacing w:val="-2"/>
        </w:rPr>
        <w:t>；区内环境地质问题少，影响轻，地质灾害不发育，对矿山工程影响小。根据国土资源部《矿山地质环境保护与恢复治理方案编制规范》</w:t>
      </w:r>
      <w:r>
        <w:t>（</w:t>
      </w:r>
      <w:r>
        <w:rPr>
          <w:rFonts w:ascii="Times New Roman" w:hAnsi="Times New Roman" w:eastAsia="Times New Roman"/>
        </w:rPr>
        <w:t>DZ/T0223-2011</w:t>
      </w:r>
      <w:r>
        <w:t xml:space="preserve">） </w:t>
      </w:r>
      <w:r>
        <w:rPr>
          <w:spacing w:val="-15"/>
        </w:rPr>
        <w:t xml:space="preserve">中附录 </w:t>
      </w:r>
      <w:r>
        <w:rPr>
          <w:rFonts w:ascii="Times New Roman" w:hAnsi="Times New Roman" w:eastAsia="Times New Roman"/>
        </w:rPr>
        <w:t>C1</w:t>
      </w:r>
      <w:r>
        <w:rPr>
          <w:spacing w:val="-10"/>
        </w:rPr>
        <w:t>、</w:t>
      </w:r>
      <w:r>
        <w:rPr>
          <w:rFonts w:ascii="Times New Roman" w:hAnsi="Times New Roman" w:eastAsia="Times New Roman"/>
          <w:spacing w:val="-3"/>
        </w:rPr>
        <w:t>C2</w:t>
      </w:r>
      <w:r>
        <w:rPr>
          <w:spacing w:val="-3"/>
        </w:rPr>
        <w:t>（</w:t>
      </w:r>
      <w:r>
        <w:t>矿山地质环境条件复杂程度分级</w:t>
      </w:r>
      <w:r>
        <w:rPr>
          <w:spacing w:val="-8"/>
        </w:rPr>
        <w:t>）（</w:t>
      </w:r>
      <w:r>
        <w:rPr>
          <w:spacing w:val="-30"/>
        </w:rPr>
        <w:t xml:space="preserve">表 </w:t>
      </w:r>
      <w:r>
        <w:rPr>
          <w:rFonts w:ascii="Times New Roman" w:hAnsi="Times New Roman" w:eastAsia="Times New Roman"/>
          <w:spacing w:val="-3"/>
        </w:rPr>
        <w:t>3-5</w:t>
      </w:r>
      <w:r>
        <w:rPr>
          <w:spacing w:val="-3"/>
        </w:rPr>
        <w:t>）</w:t>
      </w:r>
      <w:r>
        <w:t>中的确定因素及指标，评估区现状条件下矿山地质环境问题的类型少、危害小、地质环境复杂程度为中等。</w:t>
      </w:r>
    </w:p>
    <w:p>
      <w:pPr>
        <w:pStyle w:val="5"/>
        <w:numPr>
          <w:ilvl w:val="3"/>
          <w:numId w:val="38"/>
        </w:numPr>
        <w:tabs>
          <w:tab w:val="left" w:pos="1172"/>
        </w:tabs>
        <w:spacing w:before="6" w:after="0" w:line="240" w:lineRule="auto"/>
        <w:ind w:left="1172" w:right="0" w:hanging="721"/>
        <w:jc w:val="left"/>
      </w:pPr>
      <w:r>
        <w:t>地表沉陷对土地利用的影响</w:t>
      </w:r>
    </w:p>
    <w:p>
      <w:pPr>
        <w:pStyle w:val="6"/>
        <w:spacing w:before="161" w:line="364" w:lineRule="auto"/>
        <w:ind w:left="451" w:right="453" w:firstLine="480"/>
        <w:jc w:val="both"/>
      </w:pPr>
      <w:r>
        <w:t>本区属稳定区，该区为丘陵区，周围主要为耕地和林地，地表有起伏，同时极少见山洪等自然地质灾害，自然环境良好。环境地质条件属于良好型。只要矿山严格按设计开采，并加强安全管理与地质灾害监测，该矿的开采不会引起规模性深强度地面沉陷。</w:t>
      </w:r>
    </w:p>
    <w:p>
      <w:pPr>
        <w:pStyle w:val="5"/>
        <w:numPr>
          <w:ilvl w:val="3"/>
          <w:numId w:val="38"/>
        </w:numPr>
        <w:tabs>
          <w:tab w:val="left" w:pos="1172"/>
        </w:tabs>
        <w:spacing w:before="2" w:after="0" w:line="240" w:lineRule="auto"/>
        <w:ind w:left="1172" w:right="0" w:hanging="721"/>
        <w:jc w:val="both"/>
      </w:pPr>
      <w:r>
        <w:t>地表沉陷对水利设施的影响</w:t>
      </w:r>
    </w:p>
    <w:p>
      <w:pPr>
        <w:pStyle w:val="6"/>
        <w:spacing w:before="161"/>
        <w:ind w:left="931"/>
      </w:pPr>
      <w:r>
        <w:t>本井田境界内无农灌机井，故开采对水利设施无影响。</w:t>
      </w:r>
    </w:p>
    <w:p>
      <w:pPr>
        <w:pStyle w:val="3"/>
        <w:numPr>
          <w:ilvl w:val="1"/>
          <w:numId w:val="42"/>
        </w:numPr>
        <w:tabs>
          <w:tab w:val="left" w:pos="978"/>
        </w:tabs>
        <w:spacing w:before="201" w:after="0" w:line="240" w:lineRule="auto"/>
        <w:ind w:left="977" w:right="0" w:hanging="527"/>
        <w:jc w:val="left"/>
      </w:pPr>
      <w:bookmarkStart w:id="172" w:name="_bookmark27"/>
      <w:bookmarkEnd w:id="172"/>
      <w:bookmarkStart w:id="173" w:name="_bookmark27"/>
      <w:bookmarkEnd w:id="173"/>
      <w:bookmarkStart w:id="174" w:name="5.4 生态影响评价"/>
      <w:bookmarkEnd w:id="174"/>
      <w:r>
        <w:t>生态影响评价</w:t>
      </w:r>
    </w:p>
    <w:p>
      <w:pPr>
        <w:pStyle w:val="4"/>
        <w:numPr>
          <w:ilvl w:val="2"/>
          <w:numId w:val="42"/>
        </w:numPr>
        <w:tabs>
          <w:tab w:val="left" w:pos="1081"/>
        </w:tabs>
        <w:spacing w:before="120" w:after="0" w:line="240" w:lineRule="auto"/>
        <w:ind w:left="1080" w:right="0" w:hanging="630"/>
        <w:jc w:val="left"/>
      </w:pPr>
      <w:bookmarkStart w:id="175" w:name="5.4.1概述"/>
      <w:bookmarkEnd w:id="175"/>
      <w:bookmarkStart w:id="176" w:name="5.4.1概述"/>
      <w:bookmarkEnd w:id="176"/>
      <w:r>
        <w:t>概述</w:t>
      </w:r>
    </w:p>
    <w:p>
      <w:pPr>
        <w:pStyle w:val="6"/>
        <w:spacing w:before="11"/>
        <w:rPr>
          <w:b/>
          <w:sz w:val="26"/>
        </w:rPr>
      </w:pPr>
    </w:p>
    <w:p>
      <w:pPr>
        <w:pStyle w:val="6"/>
        <w:spacing w:line="391" w:lineRule="auto"/>
        <w:ind w:left="451" w:right="453" w:firstLine="480"/>
        <w:jc w:val="both"/>
      </w:pPr>
      <w:r>
        <w:t>项目建设将会改变项目直接实施区域内原有自然景观，如矿井场地的开挖和充填，对原有地表形态、地层顺序、植被等发生直接的破坏，挖损产生的废弃岩土直接堆置于原地貌之上，将使施工区域内的自然景观遭受到完全破坏。此外， 随着与建设项目同步实施的道路建设，在路基施工中的填挖、取土、弃土等一系</w:t>
      </w:r>
    </w:p>
    <w:p>
      <w:pPr>
        <w:spacing w:after="0" w:line="391" w:lineRule="auto"/>
        <w:jc w:val="both"/>
        <w:sectPr>
          <w:pgSz w:w="11910" w:h="16840"/>
          <w:pgMar w:top="1460" w:right="1300" w:bottom="1180" w:left="1300" w:header="0" w:footer="997" w:gutter="0"/>
        </w:sectPr>
      </w:pPr>
    </w:p>
    <w:p>
      <w:pPr>
        <w:pStyle w:val="6"/>
        <w:spacing w:before="44" w:line="388" w:lineRule="auto"/>
        <w:ind w:left="451" w:right="453"/>
      </w:pPr>
      <w:r>
        <w:t>列施工活动，形成裸露边坡、取土坑、弃土场等一些人为劣质景观，造成与周围景观的不协调。</w:t>
      </w:r>
    </w:p>
    <w:p>
      <w:pPr>
        <w:pStyle w:val="6"/>
        <w:spacing w:before="2"/>
        <w:ind w:left="931"/>
      </w:pPr>
      <w:r>
        <w:t>项目营运后，地表沉陷会对局部地貌景观产生一定影响，但不会改变评价区</w:t>
      </w:r>
    </w:p>
    <w:p>
      <w:pPr>
        <w:pStyle w:val="6"/>
        <w:spacing w:before="194"/>
        <w:ind w:left="451"/>
      </w:pPr>
      <w:r>
        <w:t>整体自然景观。</w:t>
      </w:r>
    </w:p>
    <w:p>
      <w:pPr>
        <w:pStyle w:val="4"/>
        <w:numPr>
          <w:ilvl w:val="2"/>
          <w:numId w:val="42"/>
        </w:numPr>
        <w:tabs>
          <w:tab w:val="left" w:pos="1081"/>
        </w:tabs>
        <w:spacing w:before="34" w:after="0" w:line="240" w:lineRule="auto"/>
        <w:ind w:left="1080" w:right="0" w:hanging="630"/>
        <w:jc w:val="left"/>
      </w:pPr>
      <w:bookmarkStart w:id="177" w:name="5.4.2项目建设永久性占地和施工对生态的影响分析"/>
      <w:bookmarkEnd w:id="177"/>
      <w:bookmarkStart w:id="178" w:name="5.4.2项目建设永久性占地和施工对生态的影响分析"/>
      <w:bookmarkEnd w:id="178"/>
      <w:r>
        <w:t>项目建设永久性占地和施工对生态的影响分析</w:t>
      </w:r>
    </w:p>
    <w:p>
      <w:pPr>
        <w:pStyle w:val="6"/>
        <w:spacing w:before="262" w:line="364" w:lineRule="auto"/>
        <w:ind w:left="451" w:right="453" w:firstLine="480"/>
        <w:jc w:val="both"/>
      </w:pPr>
      <w:r>
        <w:t>本项目为单井扩储改扩建，基础设施大部分建成，已发生的土地损毁的办公区、储煤仓、生产用房、矸石场等已基本满足生产需求，仅进行环保设施更新， 故原有的景观格局未受到较大干扰，不会改变原有景观的空间结构。</w:t>
      </w:r>
    </w:p>
    <w:p>
      <w:pPr>
        <w:pStyle w:val="6"/>
        <w:spacing w:before="2" w:line="364" w:lineRule="auto"/>
        <w:ind w:left="451" w:right="333" w:firstLine="480"/>
      </w:pPr>
      <w:r>
        <w:t>本项目的工业场地建设、道路建设、辅助系统建设等工程已完成，并且由于项目用地占整个评价区域总面积的比例很小，对生态系统的影响是有限的；矿井在生产过程中的排污由于采取相对完善的治理措施，对生态体系的影响较小，而且是局部的。但项目在建设施工过程中必须高度重视对周围生态环境的保护，要</w:t>
      </w:r>
      <w:r>
        <w:rPr>
          <w:spacing w:val="-9"/>
        </w:rPr>
        <w:t xml:space="preserve">在施工各个阶段内做好各种防护措施，并且在施工完成及时做好恢复和补偿工作， </w:t>
      </w:r>
      <w:r>
        <w:t>加强绿化，在采取了的生态保护和水土保持措施后，可将施工期的生态环境影响降至最小程度。</w:t>
      </w:r>
    </w:p>
    <w:p>
      <w:pPr>
        <w:pStyle w:val="4"/>
        <w:numPr>
          <w:ilvl w:val="2"/>
          <w:numId w:val="42"/>
        </w:numPr>
        <w:tabs>
          <w:tab w:val="left" w:pos="1081"/>
        </w:tabs>
        <w:spacing w:before="0" w:after="0" w:line="285" w:lineRule="exact"/>
        <w:ind w:left="1080" w:right="0" w:hanging="630"/>
        <w:jc w:val="left"/>
      </w:pPr>
      <w:bookmarkStart w:id="179" w:name="5.4.3评价区生态影响分析"/>
      <w:bookmarkEnd w:id="179"/>
      <w:bookmarkStart w:id="180" w:name="5.4.3评价区生态影响分析"/>
      <w:bookmarkEnd w:id="180"/>
      <w:r>
        <w:t>评价区生态影响分析</w:t>
      </w:r>
    </w:p>
    <w:p>
      <w:pPr>
        <w:pStyle w:val="5"/>
        <w:numPr>
          <w:ilvl w:val="3"/>
          <w:numId w:val="42"/>
        </w:numPr>
        <w:tabs>
          <w:tab w:val="left" w:pos="1232"/>
        </w:tabs>
        <w:spacing w:before="264" w:after="0" w:line="240" w:lineRule="auto"/>
        <w:ind w:left="1232" w:right="0" w:hanging="781"/>
        <w:jc w:val="left"/>
      </w:pPr>
      <w:r>
        <w:t>项目建设对林地的影响</w:t>
      </w:r>
    </w:p>
    <w:p>
      <w:pPr>
        <w:pStyle w:val="13"/>
        <w:numPr>
          <w:ilvl w:val="4"/>
          <w:numId w:val="42"/>
        </w:numPr>
        <w:tabs>
          <w:tab w:val="left" w:pos="1533"/>
        </w:tabs>
        <w:spacing w:before="161" w:after="0" w:line="240" w:lineRule="auto"/>
        <w:ind w:left="1533" w:right="0" w:hanging="602"/>
        <w:jc w:val="left"/>
        <w:rPr>
          <w:sz w:val="24"/>
        </w:rPr>
      </w:pPr>
      <w:r>
        <w:rPr>
          <w:sz w:val="24"/>
        </w:rPr>
        <w:t>评价区土地分布状况</w:t>
      </w:r>
    </w:p>
    <w:p>
      <w:pPr>
        <w:pStyle w:val="6"/>
        <w:spacing w:before="160" w:line="364" w:lineRule="auto"/>
        <w:ind w:left="451" w:right="453" w:firstLine="480"/>
      </w:pPr>
      <w:r>
        <w:t xml:space="preserve">矿山处于丘陵区域，地表有起伏，井田内以林地为主，从土地利用现状分析中可知，双鸭山大顺矿业有任公司评价区内有林地占评价区总面积的 </w:t>
      </w:r>
      <w:r>
        <w:rPr>
          <w:rFonts w:ascii="Times New Roman" w:eastAsia="Times New Roman"/>
        </w:rPr>
        <w:t>68.54%</w:t>
      </w:r>
      <w:r>
        <w:t>。</w:t>
      </w:r>
    </w:p>
    <w:p>
      <w:pPr>
        <w:pStyle w:val="13"/>
        <w:numPr>
          <w:ilvl w:val="4"/>
          <w:numId w:val="42"/>
        </w:numPr>
        <w:tabs>
          <w:tab w:val="left" w:pos="1533"/>
        </w:tabs>
        <w:spacing w:before="1" w:after="0" w:line="240" w:lineRule="auto"/>
        <w:ind w:left="1533" w:right="0" w:hanging="602"/>
        <w:jc w:val="left"/>
        <w:rPr>
          <w:sz w:val="24"/>
        </w:rPr>
      </w:pPr>
      <w:r>
        <w:rPr>
          <w:sz w:val="24"/>
        </w:rPr>
        <w:t>项目建设占地对土地的影响</w:t>
      </w:r>
    </w:p>
    <w:p>
      <w:pPr>
        <w:pStyle w:val="6"/>
        <w:spacing w:before="161"/>
        <w:ind w:left="931"/>
      </w:pPr>
      <w:r>
        <w:t>本项目建设是在原工业用地上进行，对土地的影响无变化。</w:t>
      </w:r>
    </w:p>
    <w:p>
      <w:pPr>
        <w:pStyle w:val="13"/>
        <w:numPr>
          <w:ilvl w:val="4"/>
          <w:numId w:val="42"/>
        </w:numPr>
        <w:tabs>
          <w:tab w:val="left" w:pos="1533"/>
        </w:tabs>
        <w:spacing w:before="160" w:after="0" w:line="240" w:lineRule="auto"/>
        <w:ind w:left="1533" w:right="0" w:hanging="602"/>
        <w:jc w:val="left"/>
        <w:rPr>
          <w:sz w:val="24"/>
        </w:rPr>
      </w:pPr>
      <w:r>
        <w:rPr>
          <w:sz w:val="24"/>
        </w:rPr>
        <w:t>地表沉陷对土地的影响</w:t>
      </w:r>
    </w:p>
    <w:p>
      <w:pPr>
        <w:pStyle w:val="6"/>
        <w:spacing w:before="161" w:line="364" w:lineRule="auto"/>
        <w:ind w:left="451" w:right="453" w:firstLine="480"/>
        <w:jc w:val="both"/>
      </w:pPr>
      <w:r>
        <w:t>采煤沉陷将对井田范围内的部分林地造成一定程度的影响。根据煤炭开采沉陷土地破坏现状调查，大部分林地经过必要的整治后仍可以恢复其原有能力。经预测，根据地形、地表沉陷与裂缝情况，可将沉陷对林地的破坏程度分为二级， 分别为轻度、中度两种类型。</w:t>
      </w:r>
    </w:p>
    <w:p>
      <w:pPr>
        <w:pStyle w:val="6"/>
        <w:spacing w:before="2" w:line="364" w:lineRule="auto"/>
        <w:ind w:left="451" w:right="453" w:firstLine="480"/>
      </w:pPr>
      <w:r>
        <w:t>轻度：地面有轻微的变形，不影响林地、植被生长，水土流失略有增加。主要分布在井下主要大巷煤柱上方和达到充分采动的采区中央部分。</w:t>
      </w:r>
    </w:p>
    <w:p>
      <w:pPr>
        <w:spacing w:after="0" w:line="364" w:lineRule="auto"/>
        <w:sectPr>
          <w:pgSz w:w="11910" w:h="16840"/>
          <w:pgMar w:top="1540" w:right="1300" w:bottom="1180" w:left="1300" w:header="0" w:footer="997" w:gutter="0"/>
        </w:sectPr>
      </w:pPr>
    </w:p>
    <w:p>
      <w:pPr>
        <w:pStyle w:val="6"/>
        <w:spacing w:before="42" w:line="364" w:lineRule="auto"/>
        <w:ind w:left="451" w:right="453" w:firstLine="480"/>
        <w:jc w:val="both"/>
      </w:pPr>
      <w:r>
        <w:t>中度：地面塌陷破坏比较严重，出现方向明显的缝、坡、坎等，影响林地与植被生长，水土流失有所加剧。主要分布在煤柱的边缘地带，即下沉盆地的边缘部分。</w:t>
      </w:r>
    </w:p>
    <w:p>
      <w:pPr>
        <w:pStyle w:val="13"/>
        <w:numPr>
          <w:ilvl w:val="4"/>
          <w:numId w:val="42"/>
        </w:numPr>
        <w:tabs>
          <w:tab w:val="left" w:pos="1533"/>
        </w:tabs>
        <w:spacing w:before="0" w:after="0" w:line="230" w:lineRule="exact"/>
        <w:ind w:left="1533" w:right="0" w:hanging="602"/>
        <w:jc w:val="left"/>
        <w:rPr>
          <w:sz w:val="24"/>
        </w:rPr>
      </w:pPr>
      <w:r>
        <w:rPr>
          <w:sz w:val="24"/>
        </w:rPr>
        <w:t>地表沉陷对林业生产力的影响分析</w:t>
      </w:r>
    </w:p>
    <w:p>
      <w:pPr>
        <w:pStyle w:val="6"/>
        <w:spacing w:before="160" w:line="364" w:lineRule="auto"/>
        <w:ind w:left="451" w:right="329" w:firstLine="480"/>
      </w:pPr>
      <w:r>
        <w:t>地表沉陷对林地的影响主要表现在地表出现陡坡处和裂缝处的林木将产生歪斜或倾倒，进而对局部地区的林业生产力构成一定程度的影响。根据现场调查和</w:t>
      </w:r>
      <w:r>
        <w:rPr>
          <w:spacing w:val="-1"/>
        </w:rPr>
        <w:t>对当地林业部门的走访，井田范围内的林地主要以有林地为主，评价区内无需要</w:t>
      </w:r>
      <w:r>
        <w:rPr>
          <w:spacing w:val="-12"/>
        </w:rPr>
        <w:t xml:space="preserve">特殊保护的特殊用途林等。受轻度和中度影响的次生林地除个别树木发生倒伏外， </w:t>
      </w:r>
      <w:r>
        <w:t>不会影响大的林木正常生长。经预测，本井田的开采不会对当地的林业产生重度沉陷影响。</w:t>
      </w:r>
    </w:p>
    <w:p>
      <w:pPr>
        <w:pStyle w:val="6"/>
        <w:spacing w:before="76" w:line="364" w:lineRule="auto"/>
        <w:ind w:left="451" w:right="453" w:firstLine="480"/>
        <w:jc w:val="both"/>
      </w:pPr>
      <w:r>
        <w:t>双鸭山大顺矿业有限公司的开发建设与生产运营，使项目区的生态环境和林业生产力受到一定的负面影响，使少量的林木发生倾斜，但其影响可以通过加强矿区绿化和生态综合整治，使项目开发对当地林业经济与生态环境的负面影响得到有效的控制，从而维持生态系统的完整性和稳定性，保持生态平衡，实现可持续发展。</w:t>
      </w:r>
    </w:p>
    <w:p>
      <w:pPr>
        <w:pStyle w:val="3"/>
        <w:numPr>
          <w:ilvl w:val="1"/>
          <w:numId w:val="42"/>
        </w:numPr>
        <w:tabs>
          <w:tab w:val="left" w:pos="901"/>
        </w:tabs>
        <w:spacing w:before="41" w:after="0" w:line="240" w:lineRule="auto"/>
        <w:ind w:left="900" w:right="0" w:hanging="450"/>
        <w:jc w:val="left"/>
      </w:pPr>
      <w:bookmarkStart w:id="181" w:name="5.5地表沉陷区治理与生态环境综合整治"/>
      <w:bookmarkEnd w:id="181"/>
      <w:bookmarkStart w:id="182" w:name="_bookmark28"/>
      <w:bookmarkEnd w:id="182"/>
      <w:bookmarkStart w:id="183" w:name="_bookmark28"/>
      <w:bookmarkEnd w:id="183"/>
      <w:r>
        <w:t>地表沉陷区治理与生态环境综合整治</w:t>
      </w:r>
    </w:p>
    <w:p>
      <w:pPr>
        <w:pStyle w:val="4"/>
        <w:numPr>
          <w:ilvl w:val="2"/>
          <w:numId w:val="42"/>
        </w:numPr>
        <w:tabs>
          <w:tab w:val="left" w:pos="1153"/>
        </w:tabs>
        <w:spacing w:before="123" w:after="0" w:line="240" w:lineRule="auto"/>
        <w:ind w:left="1152" w:right="0" w:hanging="702"/>
        <w:jc w:val="left"/>
      </w:pPr>
      <w:bookmarkStart w:id="184" w:name="5.5.1 生态环境综合整治原则与目标"/>
      <w:bookmarkEnd w:id="184"/>
      <w:bookmarkStart w:id="185" w:name="5.5.1 生态环境综合整治原则与目标"/>
      <w:bookmarkEnd w:id="185"/>
      <w:r>
        <w:t>生态环境综合整治原则与目标</w:t>
      </w:r>
    </w:p>
    <w:p>
      <w:pPr>
        <w:pStyle w:val="5"/>
        <w:numPr>
          <w:ilvl w:val="3"/>
          <w:numId w:val="42"/>
        </w:numPr>
        <w:tabs>
          <w:tab w:val="left" w:pos="1232"/>
        </w:tabs>
        <w:spacing w:before="265" w:after="0" w:line="240" w:lineRule="auto"/>
        <w:ind w:left="1232" w:right="0" w:hanging="781"/>
        <w:jc w:val="left"/>
      </w:pPr>
      <w:r>
        <w:t>生态综合整治原则</w:t>
      </w:r>
    </w:p>
    <w:p>
      <w:pPr>
        <w:pStyle w:val="6"/>
        <w:spacing w:before="160" w:line="364" w:lineRule="auto"/>
        <w:ind w:left="451" w:right="453" w:firstLine="480"/>
      </w:pPr>
      <w:r>
        <w:rPr>
          <w:spacing w:val="-7"/>
        </w:rPr>
        <w:t>根据双鸭山大顺矿业有限公司建设及运行特点和《环境影响评价技术导则 生</w:t>
      </w:r>
      <w:r>
        <w:t>态影响》（</w:t>
      </w:r>
      <w:r>
        <w:rPr>
          <w:rFonts w:ascii="Times New Roman" w:eastAsia="Times New Roman"/>
        </w:rPr>
        <w:t>HJ91-2011</w:t>
      </w:r>
      <w:r>
        <w:t>）标准的规定，确定生态环境综合整治原则为：</w:t>
      </w:r>
    </w:p>
    <w:p>
      <w:pPr>
        <w:pStyle w:val="13"/>
        <w:numPr>
          <w:ilvl w:val="0"/>
          <w:numId w:val="43"/>
        </w:numPr>
        <w:tabs>
          <w:tab w:val="left" w:pos="1533"/>
        </w:tabs>
        <w:spacing w:before="1" w:after="0" w:line="240" w:lineRule="auto"/>
        <w:ind w:left="1533" w:right="0" w:hanging="602"/>
        <w:jc w:val="left"/>
        <w:rPr>
          <w:sz w:val="24"/>
        </w:rPr>
      </w:pPr>
      <w:r>
        <w:rPr>
          <w:sz w:val="24"/>
        </w:rPr>
        <w:t>自然资源的补偿原则</w:t>
      </w:r>
    </w:p>
    <w:p>
      <w:pPr>
        <w:pStyle w:val="6"/>
        <w:spacing w:before="161" w:line="364" w:lineRule="auto"/>
        <w:ind w:left="451" w:right="453" w:firstLine="480"/>
        <w:jc w:val="both"/>
      </w:pPr>
      <w:r>
        <w:t>由于项目区自然资源（植被、土壤）会因项目施工和运行受到一定程度的损耗，而这两种资源都属于再生期长，恢复速度较慢的资源，它们除自身存在市场价值外，还具有生态和社会效益，因而必须执行自然资源损失的补偿原则。</w:t>
      </w:r>
    </w:p>
    <w:p>
      <w:pPr>
        <w:pStyle w:val="13"/>
        <w:numPr>
          <w:ilvl w:val="0"/>
          <w:numId w:val="43"/>
        </w:numPr>
        <w:tabs>
          <w:tab w:val="left" w:pos="1533"/>
        </w:tabs>
        <w:spacing w:before="2" w:after="0" w:line="240" w:lineRule="auto"/>
        <w:ind w:left="1533" w:right="0" w:hanging="602"/>
        <w:jc w:val="left"/>
        <w:rPr>
          <w:sz w:val="24"/>
        </w:rPr>
      </w:pPr>
      <w:r>
        <w:rPr>
          <w:sz w:val="24"/>
        </w:rPr>
        <w:t>受损区域的恢复原则</w:t>
      </w:r>
    </w:p>
    <w:p>
      <w:pPr>
        <w:pStyle w:val="6"/>
        <w:spacing w:before="160" w:line="364" w:lineRule="auto"/>
        <w:ind w:left="451" w:right="333" w:firstLine="480"/>
      </w:pPr>
      <w:r>
        <w:t>项目影响最大的区域是占地区和直接影响区，用地格局的改变影响了原有自</w:t>
      </w:r>
      <w:r>
        <w:rPr>
          <w:spacing w:val="-12"/>
        </w:rPr>
        <w:t>然体系的功能，如物种移动，因此应进行生态学设计，尽量减少这种功能的损失。</w:t>
      </w:r>
      <w:r>
        <w:t>应根据本项目工作面接替计划和沉陷林地破坏的实际情况，结合双鸭山市土地利</w:t>
      </w:r>
      <w:r>
        <w:rPr>
          <w:spacing w:val="-6"/>
        </w:rPr>
        <w:t>用总体规划；根据整治后的土地状况，按</w:t>
      </w:r>
      <w:r>
        <w:rPr>
          <w:rFonts w:ascii="Times New Roman" w:hAnsi="Times New Roman" w:eastAsia="Times New Roman"/>
        </w:rPr>
        <w:t>“</w:t>
      </w:r>
      <w:r>
        <w:rPr>
          <w:spacing w:val="-8"/>
        </w:rPr>
        <w:t>合理布局、因地制宜、宜农则农、宜林</w:t>
      </w:r>
    </w:p>
    <w:p>
      <w:pPr>
        <w:spacing w:after="0" w:line="364" w:lineRule="auto"/>
        <w:sectPr>
          <w:pgSz w:w="11910" w:h="16840"/>
          <w:pgMar w:top="1460" w:right="1300" w:bottom="1180" w:left="1300" w:header="0" w:footer="997" w:gutter="0"/>
        </w:sectPr>
      </w:pPr>
    </w:p>
    <w:p>
      <w:pPr>
        <w:pStyle w:val="6"/>
        <w:spacing w:before="62"/>
        <w:ind w:left="451"/>
      </w:pPr>
      <w:r>
        <w:t>则林</w:t>
      </w:r>
      <w:r>
        <w:rPr>
          <w:rFonts w:ascii="Times New Roman" w:hAnsi="Times New Roman" w:eastAsia="Times New Roman"/>
        </w:rPr>
        <w:t>”</w:t>
      </w:r>
      <w:r>
        <w:t>的原则进行治理，建立新的土地利用系统，提高土地的生产力。</w:t>
      </w:r>
    </w:p>
    <w:p>
      <w:pPr>
        <w:pStyle w:val="13"/>
        <w:numPr>
          <w:ilvl w:val="0"/>
          <w:numId w:val="43"/>
        </w:numPr>
        <w:tabs>
          <w:tab w:val="left" w:pos="1533"/>
        </w:tabs>
        <w:spacing w:before="160" w:after="0" w:line="240" w:lineRule="auto"/>
        <w:ind w:left="1533" w:right="0" w:hanging="602"/>
        <w:jc w:val="left"/>
        <w:rPr>
          <w:sz w:val="24"/>
        </w:rPr>
      </w:pPr>
      <w:r>
        <w:rPr>
          <w:sz w:val="24"/>
        </w:rPr>
        <w:t>人类需求与生态完整性维护相协调的原则</w:t>
      </w:r>
    </w:p>
    <w:p>
      <w:pPr>
        <w:pStyle w:val="6"/>
        <w:spacing w:before="161" w:line="364" w:lineRule="auto"/>
        <w:ind w:left="451" w:right="453" w:firstLine="480"/>
        <w:jc w:val="both"/>
      </w:pPr>
      <w:r>
        <w:t>项目建设和运行是人类利用自然资源满足需求的行为，这种行为往往与生态完整性的维护发生矛盾，生态保护措施就在于尽力减缓这种矛盾，在自然体系可以承受的范围内开发利用资源，为社会经济的进步服务。</w:t>
      </w:r>
    </w:p>
    <w:p>
      <w:pPr>
        <w:pStyle w:val="13"/>
        <w:numPr>
          <w:ilvl w:val="0"/>
          <w:numId w:val="43"/>
        </w:numPr>
        <w:tabs>
          <w:tab w:val="left" w:pos="1533"/>
        </w:tabs>
        <w:spacing w:before="2" w:after="0" w:line="240" w:lineRule="auto"/>
        <w:ind w:left="1533" w:right="0" w:hanging="602"/>
        <w:jc w:val="left"/>
        <w:rPr>
          <w:sz w:val="24"/>
        </w:rPr>
      </w:pPr>
      <w:r>
        <w:rPr>
          <w:sz w:val="24"/>
        </w:rPr>
        <w:t>突出重点、分区治理的原则</w:t>
      </w:r>
    </w:p>
    <w:p>
      <w:pPr>
        <w:pStyle w:val="6"/>
        <w:spacing w:before="160" w:line="364" w:lineRule="auto"/>
        <w:ind w:left="451" w:right="333" w:firstLine="480"/>
      </w:pPr>
      <w:r>
        <w:t>双鸭山大顺矿业有限公司井田沉陷土地复垦的重点是有林地。根据双鸭山市土地利用总体规划，受沉陷影响的为有林地，因此井田沉陷区的治理应当符合规</w:t>
      </w:r>
      <w:r>
        <w:rPr>
          <w:spacing w:val="-12"/>
        </w:rPr>
        <w:t>划的要求，将沉陷土地主要恢复成林地。对林地一般保持原地貌，适当予以补植。</w:t>
      </w:r>
      <w:r>
        <w:t>根据双鸭山大顺矿业有限公司井田的采区开采接替计划和工作面推进情况，结合沉陷预测、土地破坏程度分析结果，分区域、分时段、分不同的复垦整治措施进行全井田沉陷区的综合整治，以提高治理方案的针对性，保证措施的真正落实。</w:t>
      </w:r>
    </w:p>
    <w:p>
      <w:pPr>
        <w:pStyle w:val="5"/>
        <w:numPr>
          <w:ilvl w:val="3"/>
          <w:numId w:val="42"/>
        </w:numPr>
        <w:tabs>
          <w:tab w:val="left" w:pos="1232"/>
        </w:tabs>
        <w:spacing w:before="4" w:after="0" w:line="240" w:lineRule="auto"/>
        <w:ind w:left="1232" w:right="0" w:hanging="781"/>
        <w:jc w:val="left"/>
      </w:pPr>
      <w:r>
        <w:t>生态综合整治目标</w:t>
      </w:r>
    </w:p>
    <w:p>
      <w:pPr>
        <w:pStyle w:val="6"/>
        <w:spacing w:before="160" w:line="364" w:lineRule="auto"/>
        <w:ind w:left="451" w:right="453" w:firstLine="480"/>
      </w:pPr>
      <w:r>
        <w:t>综合整治目标：结合本井田的生态环境现状及沉陷特征和双鸭山市土地利用总体规划，确定本项目沉陷区综合整治目标如下：</w:t>
      </w:r>
    </w:p>
    <w:p>
      <w:pPr>
        <w:pStyle w:val="13"/>
        <w:numPr>
          <w:ilvl w:val="0"/>
          <w:numId w:val="44"/>
        </w:numPr>
        <w:tabs>
          <w:tab w:val="left" w:pos="1533"/>
        </w:tabs>
        <w:spacing w:before="1" w:after="0" w:line="240" w:lineRule="auto"/>
        <w:ind w:left="1533" w:right="0" w:hanging="602"/>
        <w:jc w:val="left"/>
        <w:rPr>
          <w:sz w:val="24"/>
        </w:rPr>
      </w:pPr>
      <w:r>
        <w:rPr>
          <w:spacing w:val="-6"/>
          <w:sz w:val="24"/>
        </w:rPr>
        <w:t xml:space="preserve">沉陷土地的治理率达到 </w:t>
      </w:r>
      <w:r>
        <w:rPr>
          <w:rFonts w:ascii="Times New Roman" w:eastAsia="Times New Roman"/>
          <w:sz w:val="24"/>
        </w:rPr>
        <w:t>85%</w:t>
      </w:r>
      <w:r>
        <w:rPr>
          <w:sz w:val="24"/>
        </w:rPr>
        <w:t>；</w:t>
      </w:r>
    </w:p>
    <w:p>
      <w:pPr>
        <w:pStyle w:val="13"/>
        <w:numPr>
          <w:ilvl w:val="0"/>
          <w:numId w:val="44"/>
        </w:numPr>
        <w:tabs>
          <w:tab w:val="left" w:pos="1533"/>
        </w:tabs>
        <w:spacing w:before="161" w:after="0" w:line="240" w:lineRule="auto"/>
        <w:ind w:left="1533" w:right="0" w:hanging="602"/>
        <w:jc w:val="left"/>
        <w:rPr>
          <w:sz w:val="24"/>
        </w:rPr>
      </w:pPr>
      <w:r>
        <w:rPr>
          <w:spacing w:val="-7"/>
          <w:sz w:val="24"/>
        </w:rPr>
        <w:t xml:space="preserve">植被恢复系数达到 </w:t>
      </w:r>
      <w:r>
        <w:rPr>
          <w:rFonts w:ascii="Times New Roman" w:eastAsia="Times New Roman"/>
          <w:sz w:val="24"/>
        </w:rPr>
        <w:t>80%</w:t>
      </w:r>
      <w:r>
        <w:rPr>
          <w:sz w:val="24"/>
        </w:rPr>
        <w:t>；</w:t>
      </w:r>
    </w:p>
    <w:p>
      <w:pPr>
        <w:pStyle w:val="13"/>
        <w:numPr>
          <w:ilvl w:val="0"/>
          <w:numId w:val="44"/>
        </w:numPr>
        <w:tabs>
          <w:tab w:val="left" w:pos="1533"/>
        </w:tabs>
        <w:spacing w:before="160" w:after="0" w:line="240" w:lineRule="auto"/>
        <w:ind w:left="1533" w:right="0" w:hanging="602"/>
        <w:jc w:val="left"/>
        <w:rPr>
          <w:sz w:val="24"/>
        </w:rPr>
      </w:pPr>
      <w:r>
        <w:rPr>
          <w:spacing w:val="-4"/>
          <w:sz w:val="24"/>
        </w:rPr>
        <w:t xml:space="preserve">危害性沉坡、裂缝等沉陷灾害的治理率达到 </w:t>
      </w:r>
      <w:r>
        <w:rPr>
          <w:rFonts w:ascii="Times New Roman" w:eastAsia="Times New Roman"/>
          <w:sz w:val="24"/>
        </w:rPr>
        <w:t>100%</w:t>
      </w:r>
      <w:r>
        <w:rPr>
          <w:sz w:val="24"/>
        </w:rPr>
        <w:t>；</w:t>
      </w:r>
    </w:p>
    <w:p>
      <w:pPr>
        <w:pStyle w:val="13"/>
        <w:numPr>
          <w:ilvl w:val="0"/>
          <w:numId w:val="44"/>
        </w:numPr>
        <w:tabs>
          <w:tab w:val="left" w:pos="1533"/>
        </w:tabs>
        <w:spacing w:before="161" w:after="0" w:line="240" w:lineRule="auto"/>
        <w:ind w:left="1533" w:right="0" w:hanging="602"/>
        <w:jc w:val="left"/>
        <w:rPr>
          <w:sz w:val="24"/>
        </w:rPr>
      </w:pPr>
      <w:r>
        <w:rPr>
          <w:spacing w:val="-6"/>
          <w:sz w:val="24"/>
        </w:rPr>
        <w:t xml:space="preserve">整治区林草覆盖率达到 </w:t>
      </w:r>
      <w:r>
        <w:rPr>
          <w:rFonts w:ascii="Times New Roman" w:eastAsia="Times New Roman"/>
          <w:sz w:val="24"/>
        </w:rPr>
        <w:t>45%</w:t>
      </w:r>
      <w:r>
        <w:rPr>
          <w:sz w:val="24"/>
        </w:rPr>
        <w:t>。</w:t>
      </w:r>
    </w:p>
    <w:p>
      <w:pPr>
        <w:pStyle w:val="4"/>
        <w:numPr>
          <w:ilvl w:val="2"/>
          <w:numId w:val="42"/>
        </w:numPr>
        <w:tabs>
          <w:tab w:val="left" w:pos="1153"/>
        </w:tabs>
        <w:spacing w:before="82" w:after="0" w:line="240" w:lineRule="auto"/>
        <w:ind w:left="1152" w:right="0" w:hanging="702"/>
        <w:jc w:val="left"/>
      </w:pPr>
      <w:bookmarkStart w:id="186" w:name="5.5.2 沉陷区复垦与生态综合整治方案"/>
      <w:bookmarkEnd w:id="186"/>
      <w:bookmarkStart w:id="187" w:name="5.5.2 沉陷区复垦与生态综合整治方案"/>
      <w:bookmarkEnd w:id="187"/>
      <w:r>
        <w:rPr>
          <w:spacing w:val="-1"/>
          <w:w w:val="95"/>
        </w:rPr>
        <w:t>沉陷区复垦与生态综合整治方案</w:t>
      </w:r>
    </w:p>
    <w:p>
      <w:pPr>
        <w:pStyle w:val="5"/>
        <w:numPr>
          <w:ilvl w:val="3"/>
          <w:numId w:val="42"/>
        </w:numPr>
        <w:tabs>
          <w:tab w:val="left" w:pos="1172"/>
        </w:tabs>
        <w:spacing w:before="185" w:after="0" w:line="240" w:lineRule="auto"/>
        <w:ind w:left="1172" w:right="0" w:hanging="721"/>
        <w:jc w:val="left"/>
      </w:pPr>
      <w:bookmarkStart w:id="188" w:name="5.5.2.1土地复垦区与复垦责任范围"/>
      <w:bookmarkEnd w:id="188"/>
      <w:bookmarkStart w:id="189" w:name="5.5.2.1土地复垦区与复垦责任范围"/>
      <w:bookmarkEnd w:id="189"/>
      <w:r>
        <w:t>土地复垦区与复垦责任范围</w:t>
      </w:r>
    </w:p>
    <w:p>
      <w:pPr>
        <w:pStyle w:val="6"/>
        <w:spacing w:before="9"/>
        <w:rPr>
          <w:b/>
          <w:sz w:val="18"/>
        </w:rPr>
      </w:pPr>
    </w:p>
    <w:p>
      <w:pPr>
        <w:pStyle w:val="6"/>
        <w:ind w:left="931"/>
      </w:pPr>
      <w:r>
        <w:t>（</w:t>
      </w:r>
      <w:r>
        <w:rPr>
          <w:rFonts w:ascii="Times New Roman" w:eastAsia="Times New Roman"/>
        </w:rPr>
        <w:t>1</w:t>
      </w:r>
      <w:r>
        <w:t>）土地复垦区</w:t>
      </w:r>
    </w:p>
    <w:p>
      <w:pPr>
        <w:pStyle w:val="6"/>
        <w:spacing w:before="161" w:line="364" w:lineRule="auto"/>
        <w:ind w:left="451" w:right="453" w:firstLine="480"/>
        <w:jc w:val="both"/>
      </w:pPr>
      <w:r>
        <w:rPr>
          <w:spacing w:val="-1"/>
        </w:rPr>
        <w:t>土地复垦区包括已损毁土地和拟损毁土地，本项目土地复垦区为工业广场压占区及拟损毁沉陷区。依据本矿山开采土地损毁分析与预测结果，最终确定本次</w:t>
      </w:r>
      <w:r>
        <w:rPr>
          <w:spacing w:val="-5"/>
        </w:rPr>
        <w:t xml:space="preserve">方案复垦区为工业广场面积 </w:t>
      </w:r>
      <w:r>
        <w:rPr>
          <w:rFonts w:ascii="Times New Roman" w:eastAsia="Times New Roman"/>
        </w:rPr>
        <w:t xml:space="preserve">2.9767 </w:t>
      </w:r>
      <w:r>
        <w:rPr>
          <w:spacing w:val="-6"/>
        </w:rPr>
        <w:t xml:space="preserve">公顷和预测沉陷区面积 </w:t>
      </w:r>
      <w:r>
        <w:rPr>
          <w:rFonts w:ascii="Times New Roman" w:eastAsia="Times New Roman"/>
        </w:rPr>
        <w:t xml:space="preserve">327.9211 </w:t>
      </w:r>
      <w:r>
        <w:rPr>
          <w:spacing w:val="-22"/>
        </w:rPr>
        <w:t>公顷，最终破</w:t>
      </w:r>
    </w:p>
    <w:p>
      <w:pPr>
        <w:pStyle w:val="6"/>
        <w:spacing w:before="2"/>
        <w:ind w:left="451"/>
      </w:pPr>
      <w:r>
        <w:t xml:space="preserve">坏总面积为 </w:t>
      </w:r>
      <w:r>
        <w:rPr>
          <w:rFonts w:ascii="Times New Roman" w:eastAsia="Times New Roman"/>
        </w:rPr>
        <w:t xml:space="preserve">330.8978 </w:t>
      </w:r>
      <w:r>
        <w:t>公顷。</w:t>
      </w:r>
    </w:p>
    <w:p>
      <w:pPr>
        <w:pStyle w:val="5"/>
        <w:tabs>
          <w:tab w:val="left" w:pos="1061"/>
        </w:tabs>
        <w:spacing w:before="81" w:after="3"/>
        <w:ind w:left="19"/>
        <w:jc w:val="center"/>
      </w:pPr>
      <w:r>
        <w:t>表</w:t>
      </w:r>
      <w:r>
        <w:rPr>
          <w:spacing w:val="-62"/>
        </w:rPr>
        <w:t xml:space="preserve"> </w:t>
      </w:r>
      <w:r>
        <w:rPr>
          <w:rFonts w:ascii="Times New Roman" w:eastAsia="Times New Roman"/>
        </w:rPr>
        <w:t>5.5-1</w:t>
      </w:r>
      <w:r>
        <w:rPr>
          <w:rFonts w:ascii="Times New Roman" w:eastAsia="Times New Roman"/>
        </w:rPr>
        <w:tab/>
      </w:r>
      <w:r>
        <w:t>复垦区范围坐标一览表（</w:t>
      </w:r>
      <w:r>
        <w:rPr>
          <w:rFonts w:ascii="Times New Roman" w:eastAsia="Times New Roman"/>
        </w:rPr>
        <w:t xml:space="preserve">2000 </w:t>
      </w:r>
      <w:r>
        <w:t>国家坐标系，三度带）</w:t>
      </w:r>
    </w:p>
    <w:tbl>
      <w:tblPr>
        <w:tblStyle w:val="10"/>
        <w:tblW w:w="0" w:type="auto"/>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8"/>
        <w:gridCol w:w="1741"/>
        <w:gridCol w:w="1742"/>
        <w:gridCol w:w="820"/>
        <w:gridCol w:w="1745"/>
        <w:gridCol w:w="17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8" w:type="dxa"/>
          </w:tcPr>
          <w:p>
            <w:pPr>
              <w:pStyle w:val="14"/>
              <w:spacing w:before="19"/>
              <w:ind w:left="182" w:right="175"/>
              <w:rPr>
                <w:sz w:val="21"/>
              </w:rPr>
            </w:pPr>
            <w:r>
              <w:rPr>
                <w:sz w:val="21"/>
              </w:rPr>
              <w:t>点号</w:t>
            </w:r>
          </w:p>
        </w:tc>
        <w:tc>
          <w:tcPr>
            <w:tcW w:w="1741" w:type="dxa"/>
          </w:tcPr>
          <w:p>
            <w:pPr>
              <w:pStyle w:val="14"/>
              <w:spacing w:before="33"/>
              <w:ind w:left="8"/>
              <w:rPr>
                <w:rFonts w:ascii="Times New Roman"/>
                <w:sz w:val="21"/>
              </w:rPr>
            </w:pPr>
            <w:r>
              <w:rPr>
                <w:rFonts w:ascii="Times New Roman"/>
                <w:w w:val="99"/>
                <w:sz w:val="21"/>
              </w:rPr>
              <w:t>X</w:t>
            </w:r>
          </w:p>
        </w:tc>
        <w:tc>
          <w:tcPr>
            <w:tcW w:w="1742" w:type="dxa"/>
          </w:tcPr>
          <w:p>
            <w:pPr>
              <w:pStyle w:val="14"/>
              <w:spacing w:before="33"/>
              <w:ind w:left="10"/>
              <w:rPr>
                <w:rFonts w:ascii="Times New Roman"/>
                <w:sz w:val="21"/>
              </w:rPr>
            </w:pPr>
            <w:r>
              <w:rPr>
                <w:rFonts w:ascii="Times New Roman"/>
                <w:w w:val="99"/>
                <w:sz w:val="21"/>
              </w:rPr>
              <w:t>Y</w:t>
            </w:r>
          </w:p>
        </w:tc>
        <w:tc>
          <w:tcPr>
            <w:tcW w:w="820" w:type="dxa"/>
          </w:tcPr>
          <w:p>
            <w:pPr>
              <w:pStyle w:val="14"/>
              <w:spacing w:before="19"/>
              <w:ind w:left="179" w:right="170"/>
              <w:rPr>
                <w:sz w:val="21"/>
              </w:rPr>
            </w:pPr>
            <w:r>
              <w:rPr>
                <w:sz w:val="21"/>
              </w:rPr>
              <w:t>点号</w:t>
            </w:r>
          </w:p>
        </w:tc>
        <w:tc>
          <w:tcPr>
            <w:tcW w:w="1745" w:type="dxa"/>
          </w:tcPr>
          <w:p>
            <w:pPr>
              <w:pStyle w:val="14"/>
              <w:spacing w:before="33"/>
              <w:ind w:left="9"/>
              <w:rPr>
                <w:rFonts w:ascii="Times New Roman"/>
                <w:sz w:val="21"/>
              </w:rPr>
            </w:pPr>
            <w:r>
              <w:rPr>
                <w:rFonts w:ascii="Times New Roman"/>
                <w:w w:val="99"/>
                <w:sz w:val="21"/>
              </w:rPr>
              <w:t>X</w:t>
            </w:r>
          </w:p>
        </w:tc>
        <w:tc>
          <w:tcPr>
            <w:tcW w:w="1742" w:type="dxa"/>
          </w:tcPr>
          <w:p>
            <w:pPr>
              <w:pStyle w:val="14"/>
              <w:spacing w:before="33"/>
              <w:ind w:left="7"/>
              <w:rPr>
                <w:rFonts w:ascii="Times New Roman"/>
                <w:sz w:val="21"/>
              </w:rPr>
            </w:pPr>
            <w:r>
              <w:rPr>
                <w:rFonts w:ascii="Times New Roman"/>
                <w:w w:val="99"/>
                <w:sz w:val="21"/>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8" w:type="dxa"/>
          </w:tcPr>
          <w:p>
            <w:pPr>
              <w:pStyle w:val="14"/>
              <w:spacing w:before="33"/>
              <w:ind w:left="6"/>
              <w:rPr>
                <w:rFonts w:ascii="Times New Roman"/>
                <w:sz w:val="21"/>
              </w:rPr>
            </w:pPr>
            <w:r>
              <w:rPr>
                <w:rFonts w:ascii="Times New Roman"/>
                <w:w w:val="99"/>
                <w:sz w:val="21"/>
              </w:rPr>
              <w:t>1</w:t>
            </w:r>
          </w:p>
        </w:tc>
        <w:tc>
          <w:tcPr>
            <w:tcW w:w="1741" w:type="dxa"/>
          </w:tcPr>
          <w:p>
            <w:pPr>
              <w:pStyle w:val="14"/>
              <w:spacing w:before="33"/>
              <w:ind w:left="351" w:right="342"/>
              <w:rPr>
                <w:rFonts w:ascii="Times New Roman"/>
                <w:sz w:val="21"/>
              </w:rPr>
            </w:pPr>
            <w:r>
              <w:rPr>
                <w:rFonts w:ascii="Times New Roman"/>
                <w:sz w:val="21"/>
              </w:rPr>
              <w:t>5153343.59</w:t>
            </w:r>
          </w:p>
        </w:tc>
        <w:tc>
          <w:tcPr>
            <w:tcW w:w="1742" w:type="dxa"/>
          </w:tcPr>
          <w:p>
            <w:pPr>
              <w:pStyle w:val="14"/>
              <w:spacing w:before="33"/>
              <w:ind w:left="298" w:right="287"/>
              <w:rPr>
                <w:rFonts w:ascii="Times New Roman"/>
                <w:sz w:val="21"/>
              </w:rPr>
            </w:pPr>
            <w:r>
              <w:rPr>
                <w:rFonts w:ascii="Times New Roman"/>
                <w:sz w:val="21"/>
              </w:rPr>
              <w:t>44437712.51</w:t>
            </w:r>
          </w:p>
        </w:tc>
        <w:tc>
          <w:tcPr>
            <w:tcW w:w="820" w:type="dxa"/>
          </w:tcPr>
          <w:p>
            <w:pPr>
              <w:pStyle w:val="14"/>
              <w:spacing w:before="33"/>
              <w:ind w:left="178" w:right="170"/>
              <w:rPr>
                <w:rFonts w:ascii="Times New Roman"/>
                <w:sz w:val="21"/>
              </w:rPr>
            </w:pPr>
            <w:r>
              <w:rPr>
                <w:rFonts w:ascii="Times New Roman"/>
                <w:sz w:val="21"/>
              </w:rPr>
              <w:t>14</w:t>
            </w:r>
          </w:p>
        </w:tc>
        <w:tc>
          <w:tcPr>
            <w:tcW w:w="1745" w:type="dxa"/>
          </w:tcPr>
          <w:p>
            <w:pPr>
              <w:pStyle w:val="14"/>
              <w:spacing w:before="33"/>
              <w:ind w:left="239" w:right="228"/>
              <w:rPr>
                <w:rFonts w:ascii="Times New Roman"/>
                <w:sz w:val="21"/>
              </w:rPr>
            </w:pPr>
            <w:r>
              <w:rPr>
                <w:rFonts w:ascii="Times New Roman"/>
                <w:sz w:val="21"/>
              </w:rPr>
              <w:t>5151894.15</w:t>
            </w:r>
          </w:p>
        </w:tc>
        <w:tc>
          <w:tcPr>
            <w:tcW w:w="1742" w:type="dxa"/>
          </w:tcPr>
          <w:p>
            <w:pPr>
              <w:pStyle w:val="14"/>
              <w:spacing w:before="33"/>
              <w:ind w:left="297" w:right="289"/>
              <w:rPr>
                <w:rFonts w:ascii="Times New Roman"/>
                <w:sz w:val="21"/>
              </w:rPr>
            </w:pPr>
            <w:r>
              <w:rPr>
                <w:rFonts w:ascii="Times New Roman"/>
                <w:sz w:val="21"/>
              </w:rPr>
              <w:t>44435806.60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8" w:type="dxa"/>
          </w:tcPr>
          <w:p>
            <w:pPr>
              <w:pStyle w:val="14"/>
              <w:spacing w:before="35"/>
              <w:ind w:left="6"/>
              <w:rPr>
                <w:rFonts w:ascii="Times New Roman"/>
                <w:sz w:val="21"/>
              </w:rPr>
            </w:pPr>
            <w:r>
              <w:rPr>
                <w:rFonts w:ascii="Times New Roman"/>
                <w:w w:val="99"/>
                <w:sz w:val="21"/>
              </w:rPr>
              <w:t>2</w:t>
            </w:r>
          </w:p>
        </w:tc>
        <w:tc>
          <w:tcPr>
            <w:tcW w:w="1741" w:type="dxa"/>
          </w:tcPr>
          <w:p>
            <w:pPr>
              <w:pStyle w:val="14"/>
              <w:spacing w:before="35"/>
              <w:ind w:left="351" w:right="342"/>
              <w:rPr>
                <w:rFonts w:ascii="Times New Roman"/>
                <w:sz w:val="21"/>
              </w:rPr>
            </w:pPr>
            <w:r>
              <w:rPr>
                <w:rFonts w:ascii="Times New Roman"/>
                <w:sz w:val="21"/>
              </w:rPr>
              <w:t>5152019.07</w:t>
            </w:r>
          </w:p>
        </w:tc>
        <w:tc>
          <w:tcPr>
            <w:tcW w:w="1742" w:type="dxa"/>
          </w:tcPr>
          <w:p>
            <w:pPr>
              <w:pStyle w:val="14"/>
              <w:spacing w:before="35"/>
              <w:ind w:left="298" w:right="287"/>
              <w:rPr>
                <w:rFonts w:ascii="Times New Roman"/>
                <w:sz w:val="21"/>
              </w:rPr>
            </w:pPr>
            <w:r>
              <w:rPr>
                <w:rFonts w:ascii="Times New Roman"/>
                <w:sz w:val="21"/>
              </w:rPr>
              <w:t>44437712.51</w:t>
            </w:r>
          </w:p>
        </w:tc>
        <w:tc>
          <w:tcPr>
            <w:tcW w:w="820" w:type="dxa"/>
          </w:tcPr>
          <w:p>
            <w:pPr>
              <w:pStyle w:val="14"/>
              <w:spacing w:before="35"/>
              <w:ind w:left="178" w:right="170"/>
              <w:rPr>
                <w:rFonts w:ascii="Times New Roman"/>
                <w:sz w:val="21"/>
              </w:rPr>
            </w:pPr>
            <w:r>
              <w:rPr>
                <w:rFonts w:ascii="Times New Roman"/>
                <w:sz w:val="21"/>
              </w:rPr>
              <w:t>15</w:t>
            </w:r>
          </w:p>
        </w:tc>
        <w:tc>
          <w:tcPr>
            <w:tcW w:w="1745" w:type="dxa"/>
          </w:tcPr>
          <w:p>
            <w:pPr>
              <w:pStyle w:val="14"/>
              <w:spacing w:before="35"/>
              <w:ind w:left="239" w:right="228"/>
              <w:rPr>
                <w:rFonts w:ascii="Times New Roman"/>
                <w:sz w:val="21"/>
              </w:rPr>
            </w:pPr>
            <w:r>
              <w:rPr>
                <w:rFonts w:ascii="Times New Roman"/>
                <w:sz w:val="21"/>
              </w:rPr>
              <w:t>5152322.56</w:t>
            </w:r>
          </w:p>
        </w:tc>
        <w:tc>
          <w:tcPr>
            <w:tcW w:w="1742" w:type="dxa"/>
          </w:tcPr>
          <w:p>
            <w:pPr>
              <w:pStyle w:val="14"/>
              <w:spacing w:before="35"/>
              <w:ind w:left="297" w:right="289"/>
              <w:rPr>
                <w:rFonts w:ascii="Times New Roman"/>
                <w:sz w:val="21"/>
              </w:rPr>
            </w:pPr>
            <w:r>
              <w:rPr>
                <w:rFonts w:ascii="Times New Roman"/>
                <w:sz w:val="21"/>
              </w:rPr>
              <w:t>44435736.48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828" w:type="dxa"/>
          </w:tcPr>
          <w:p>
            <w:pPr>
              <w:pStyle w:val="14"/>
              <w:spacing w:before="34"/>
              <w:ind w:left="6"/>
              <w:rPr>
                <w:rFonts w:ascii="Times New Roman"/>
                <w:sz w:val="21"/>
              </w:rPr>
            </w:pPr>
            <w:r>
              <w:rPr>
                <w:rFonts w:ascii="Times New Roman"/>
                <w:w w:val="99"/>
                <w:sz w:val="21"/>
              </w:rPr>
              <w:t>3</w:t>
            </w:r>
          </w:p>
        </w:tc>
        <w:tc>
          <w:tcPr>
            <w:tcW w:w="1741" w:type="dxa"/>
          </w:tcPr>
          <w:p>
            <w:pPr>
              <w:pStyle w:val="14"/>
              <w:spacing w:before="34"/>
              <w:ind w:left="351" w:right="342"/>
              <w:rPr>
                <w:rFonts w:ascii="Times New Roman"/>
                <w:sz w:val="21"/>
              </w:rPr>
            </w:pPr>
            <w:r>
              <w:rPr>
                <w:rFonts w:ascii="Times New Roman"/>
                <w:sz w:val="21"/>
              </w:rPr>
              <w:t>5151727.93</w:t>
            </w:r>
          </w:p>
        </w:tc>
        <w:tc>
          <w:tcPr>
            <w:tcW w:w="1742" w:type="dxa"/>
          </w:tcPr>
          <w:p>
            <w:pPr>
              <w:pStyle w:val="14"/>
              <w:spacing w:before="34"/>
              <w:ind w:left="298" w:right="287"/>
              <w:rPr>
                <w:rFonts w:ascii="Times New Roman"/>
                <w:sz w:val="21"/>
              </w:rPr>
            </w:pPr>
            <w:r>
              <w:rPr>
                <w:rFonts w:ascii="Times New Roman"/>
                <w:sz w:val="21"/>
              </w:rPr>
              <w:t>44438064.02</w:t>
            </w:r>
          </w:p>
        </w:tc>
        <w:tc>
          <w:tcPr>
            <w:tcW w:w="820" w:type="dxa"/>
          </w:tcPr>
          <w:p>
            <w:pPr>
              <w:pStyle w:val="14"/>
              <w:spacing w:before="34"/>
              <w:ind w:left="178" w:right="170"/>
              <w:rPr>
                <w:rFonts w:ascii="Times New Roman"/>
                <w:sz w:val="21"/>
              </w:rPr>
            </w:pPr>
            <w:r>
              <w:rPr>
                <w:rFonts w:ascii="Times New Roman"/>
                <w:sz w:val="21"/>
              </w:rPr>
              <w:t>16</w:t>
            </w:r>
          </w:p>
        </w:tc>
        <w:tc>
          <w:tcPr>
            <w:tcW w:w="1745" w:type="dxa"/>
          </w:tcPr>
          <w:p>
            <w:pPr>
              <w:pStyle w:val="14"/>
              <w:spacing w:before="34"/>
              <w:ind w:left="239" w:right="228"/>
              <w:rPr>
                <w:rFonts w:ascii="Times New Roman"/>
                <w:sz w:val="21"/>
              </w:rPr>
            </w:pPr>
            <w:r>
              <w:rPr>
                <w:rFonts w:ascii="Times New Roman"/>
                <w:sz w:val="21"/>
              </w:rPr>
              <w:t>5152324.80</w:t>
            </w:r>
          </w:p>
        </w:tc>
        <w:tc>
          <w:tcPr>
            <w:tcW w:w="1742" w:type="dxa"/>
          </w:tcPr>
          <w:p>
            <w:pPr>
              <w:pStyle w:val="14"/>
              <w:spacing w:before="34"/>
              <w:ind w:left="297" w:right="289"/>
              <w:rPr>
                <w:rFonts w:ascii="Times New Roman"/>
                <w:sz w:val="21"/>
              </w:rPr>
            </w:pPr>
            <w:r>
              <w:rPr>
                <w:rFonts w:ascii="Times New Roman"/>
                <w:sz w:val="21"/>
              </w:rPr>
              <w:t>44435721.40</w:t>
            </w:r>
          </w:p>
        </w:tc>
      </w:tr>
    </w:tbl>
    <w:p>
      <w:pPr>
        <w:spacing w:after="0"/>
        <w:rPr>
          <w:rFonts w:ascii="Times New Roman"/>
          <w:sz w:val="21"/>
        </w:rPr>
        <w:sectPr>
          <w:footerReference r:id="rId17" w:type="default"/>
          <w:pgSz w:w="11910" w:h="16840"/>
          <w:pgMar w:top="1440" w:right="1300" w:bottom="1100" w:left="1300" w:header="0" w:footer="917" w:gutter="0"/>
          <w:pgNumType w:start="90"/>
        </w:sectPr>
      </w:pPr>
    </w:p>
    <w:tbl>
      <w:tblPr>
        <w:tblStyle w:val="10"/>
        <w:tblW w:w="0" w:type="auto"/>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8"/>
        <w:gridCol w:w="1731"/>
        <w:gridCol w:w="1752"/>
        <w:gridCol w:w="820"/>
        <w:gridCol w:w="1731"/>
        <w:gridCol w:w="17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8" w:type="dxa"/>
          </w:tcPr>
          <w:p>
            <w:pPr>
              <w:pStyle w:val="14"/>
              <w:spacing w:before="35"/>
              <w:ind w:left="6"/>
              <w:rPr>
                <w:rFonts w:ascii="Times New Roman"/>
                <w:sz w:val="21"/>
              </w:rPr>
            </w:pPr>
            <w:r>
              <w:rPr>
                <w:rFonts w:ascii="Times New Roman"/>
                <w:w w:val="99"/>
                <w:sz w:val="21"/>
              </w:rPr>
              <w:t>4</w:t>
            </w:r>
          </w:p>
        </w:tc>
        <w:tc>
          <w:tcPr>
            <w:tcW w:w="1731" w:type="dxa"/>
          </w:tcPr>
          <w:p>
            <w:pPr>
              <w:pStyle w:val="14"/>
              <w:spacing w:before="35"/>
              <w:ind w:left="371"/>
              <w:jc w:val="left"/>
              <w:rPr>
                <w:rFonts w:ascii="Times New Roman"/>
                <w:sz w:val="21"/>
              </w:rPr>
            </w:pPr>
            <w:r>
              <w:rPr>
                <w:rFonts w:ascii="Times New Roman"/>
                <w:sz w:val="21"/>
              </w:rPr>
              <w:t>5151703.05</w:t>
            </w:r>
          </w:p>
        </w:tc>
        <w:tc>
          <w:tcPr>
            <w:tcW w:w="1752" w:type="dxa"/>
          </w:tcPr>
          <w:p>
            <w:pPr>
              <w:pStyle w:val="14"/>
              <w:spacing w:before="35"/>
              <w:ind w:left="300" w:right="279"/>
              <w:rPr>
                <w:rFonts w:ascii="Times New Roman"/>
                <w:sz w:val="21"/>
              </w:rPr>
            </w:pPr>
            <w:r>
              <w:rPr>
                <w:rFonts w:ascii="Times New Roman"/>
                <w:sz w:val="21"/>
              </w:rPr>
              <w:t>44437817.20</w:t>
            </w:r>
          </w:p>
        </w:tc>
        <w:tc>
          <w:tcPr>
            <w:tcW w:w="820" w:type="dxa"/>
          </w:tcPr>
          <w:p>
            <w:pPr>
              <w:pStyle w:val="14"/>
              <w:spacing w:before="35"/>
              <w:ind w:left="303"/>
              <w:jc w:val="left"/>
              <w:rPr>
                <w:rFonts w:ascii="Times New Roman"/>
                <w:sz w:val="21"/>
              </w:rPr>
            </w:pPr>
            <w:r>
              <w:rPr>
                <w:rFonts w:ascii="Times New Roman"/>
                <w:sz w:val="21"/>
              </w:rPr>
              <w:t>17</w:t>
            </w:r>
          </w:p>
        </w:tc>
        <w:tc>
          <w:tcPr>
            <w:tcW w:w="1731" w:type="dxa"/>
          </w:tcPr>
          <w:p>
            <w:pPr>
              <w:pStyle w:val="14"/>
              <w:spacing w:before="35"/>
              <w:ind w:left="341" w:right="316"/>
              <w:rPr>
                <w:rFonts w:ascii="Times New Roman"/>
                <w:sz w:val="21"/>
              </w:rPr>
            </w:pPr>
            <w:r>
              <w:rPr>
                <w:rFonts w:ascii="Times New Roman"/>
                <w:sz w:val="21"/>
              </w:rPr>
              <w:t>5152612.98</w:t>
            </w:r>
          </w:p>
        </w:tc>
        <w:tc>
          <w:tcPr>
            <w:tcW w:w="1755" w:type="dxa"/>
          </w:tcPr>
          <w:p>
            <w:pPr>
              <w:pStyle w:val="14"/>
              <w:spacing w:before="35"/>
              <w:ind w:left="300" w:right="277"/>
              <w:rPr>
                <w:rFonts w:ascii="Times New Roman"/>
                <w:sz w:val="21"/>
              </w:rPr>
            </w:pPr>
            <w:r>
              <w:rPr>
                <w:rFonts w:ascii="Times New Roman"/>
                <w:sz w:val="21"/>
              </w:rPr>
              <w:t>44435635.77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28" w:type="dxa"/>
          </w:tcPr>
          <w:p>
            <w:pPr>
              <w:pStyle w:val="14"/>
              <w:spacing w:before="34"/>
              <w:ind w:left="6"/>
              <w:rPr>
                <w:rFonts w:ascii="Times New Roman"/>
                <w:sz w:val="21"/>
              </w:rPr>
            </w:pPr>
            <w:r>
              <w:rPr>
                <w:rFonts w:ascii="Times New Roman"/>
                <w:w w:val="99"/>
                <w:sz w:val="21"/>
              </w:rPr>
              <w:t>5</w:t>
            </w:r>
          </w:p>
        </w:tc>
        <w:tc>
          <w:tcPr>
            <w:tcW w:w="1731" w:type="dxa"/>
          </w:tcPr>
          <w:p>
            <w:pPr>
              <w:pStyle w:val="14"/>
              <w:spacing w:before="34"/>
              <w:ind w:left="371"/>
              <w:jc w:val="left"/>
              <w:rPr>
                <w:rFonts w:ascii="Times New Roman"/>
                <w:sz w:val="21"/>
              </w:rPr>
            </w:pPr>
            <w:r>
              <w:rPr>
                <w:rFonts w:ascii="Times New Roman"/>
                <w:sz w:val="21"/>
              </w:rPr>
              <w:t>5151600.06</w:t>
            </w:r>
          </w:p>
        </w:tc>
        <w:tc>
          <w:tcPr>
            <w:tcW w:w="1752" w:type="dxa"/>
          </w:tcPr>
          <w:p>
            <w:pPr>
              <w:pStyle w:val="14"/>
              <w:spacing w:before="34"/>
              <w:ind w:left="300" w:right="279"/>
              <w:rPr>
                <w:rFonts w:ascii="Times New Roman"/>
                <w:sz w:val="21"/>
              </w:rPr>
            </w:pPr>
            <w:r>
              <w:rPr>
                <w:rFonts w:ascii="Times New Roman"/>
                <w:sz w:val="21"/>
              </w:rPr>
              <w:t>44437637.73</w:t>
            </w:r>
          </w:p>
        </w:tc>
        <w:tc>
          <w:tcPr>
            <w:tcW w:w="820" w:type="dxa"/>
          </w:tcPr>
          <w:p>
            <w:pPr>
              <w:pStyle w:val="14"/>
              <w:spacing w:before="34"/>
              <w:ind w:left="303"/>
              <w:jc w:val="left"/>
              <w:rPr>
                <w:rFonts w:ascii="Times New Roman"/>
                <w:sz w:val="21"/>
              </w:rPr>
            </w:pPr>
            <w:r>
              <w:rPr>
                <w:rFonts w:ascii="Times New Roman"/>
                <w:sz w:val="21"/>
              </w:rPr>
              <w:t>18</w:t>
            </w:r>
          </w:p>
        </w:tc>
        <w:tc>
          <w:tcPr>
            <w:tcW w:w="1731" w:type="dxa"/>
          </w:tcPr>
          <w:p>
            <w:pPr>
              <w:pStyle w:val="14"/>
              <w:spacing w:before="34"/>
              <w:ind w:left="341" w:right="316"/>
              <w:rPr>
                <w:rFonts w:ascii="Times New Roman"/>
                <w:sz w:val="21"/>
              </w:rPr>
            </w:pPr>
            <w:r>
              <w:rPr>
                <w:rFonts w:ascii="Times New Roman"/>
                <w:sz w:val="21"/>
              </w:rPr>
              <w:t>5152888.48</w:t>
            </w:r>
          </w:p>
        </w:tc>
        <w:tc>
          <w:tcPr>
            <w:tcW w:w="1755" w:type="dxa"/>
          </w:tcPr>
          <w:p>
            <w:pPr>
              <w:pStyle w:val="14"/>
              <w:spacing w:before="34"/>
              <w:ind w:left="300" w:right="277"/>
              <w:rPr>
                <w:rFonts w:ascii="Times New Roman"/>
                <w:sz w:val="21"/>
              </w:rPr>
            </w:pPr>
            <w:r>
              <w:rPr>
                <w:rFonts w:ascii="Times New Roman"/>
                <w:sz w:val="21"/>
              </w:rPr>
              <w:t>44435708.59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8" w:type="dxa"/>
          </w:tcPr>
          <w:p>
            <w:pPr>
              <w:pStyle w:val="14"/>
              <w:spacing w:before="34"/>
              <w:ind w:left="6"/>
              <w:rPr>
                <w:rFonts w:ascii="Times New Roman"/>
                <w:sz w:val="21"/>
              </w:rPr>
            </w:pPr>
            <w:r>
              <w:rPr>
                <w:rFonts w:ascii="Times New Roman"/>
                <w:w w:val="99"/>
                <w:sz w:val="21"/>
              </w:rPr>
              <w:t>6</w:t>
            </w:r>
          </w:p>
        </w:tc>
        <w:tc>
          <w:tcPr>
            <w:tcW w:w="1731" w:type="dxa"/>
          </w:tcPr>
          <w:p>
            <w:pPr>
              <w:pStyle w:val="14"/>
              <w:spacing w:before="34"/>
              <w:ind w:left="371"/>
              <w:jc w:val="left"/>
              <w:rPr>
                <w:rFonts w:ascii="Times New Roman"/>
                <w:sz w:val="21"/>
              </w:rPr>
            </w:pPr>
            <w:r>
              <w:rPr>
                <w:rFonts w:ascii="Times New Roman"/>
                <w:sz w:val="21"/>
              </w:rPr>
              <w:t>5151527.22</w:t>
            </w:r>
          </w:p>
        </w:tc>
        <w:tc>
          <w:tcPr>
            <w:tcW w:w="1752" w:type="dxa"/>
          </w:tcPr>
          <w:p>
            <w:pPr>
              <w:pStyle w:val="14"/>
              <w:spacing w:before="34"/>
              <w:ind w:left="300" w:right="279"/>
              <w:rPr>
                <w:rFonts w:ascii="Times New Roman"/>
                <w:sz w:val="21"/>
              </w:rPr>
            </w:pPr>
            <w:r>
              <w:rPr>
                <w:rFonts w:ascii="Times New Roman"/>
                <w:sz w:val="21"/>
              </w:rPr>
              <w:t>44437968.49</w:t>
            </w:r>
          </w:p>
        </w:tc>
        <w:tc>
          <w:tcPr>
            <w:tcW w:w="820" w:type="dxa"/>
          </w:tcPr>
          <w:p>
            <w:pPr>
              <w:pStyle w:val="14"/>
              <w:spacing w:before="34"/>
              <w:ind w:left="303"/>
              <w:jc w:val="left"/>
              <w:rPr>
                <w:rFonts w:ascii="Times New Roman"/>
                <w:sz w:val="21"/>
              </w:rPr>
            </w:pPr>
            <w:r>
              <w:rPr>
                <w:rFonts w:ascii="Times New Roman"/>
                <w:sz w:val="21"/>
              </w:rPr>
              <w:t>19</w:t>
            </w:r>
          </w:p>
        </w:tc>
        <w:tc>
          <w:tcPr>
            <w:tcW w:w="1731" w:type="dxa"/>
          </w:tcPr>
          <w:p>
            <w:pPr>
              <w:pStyle w:val="14"/>
              <w:spacing w:before="34"/>
              <w:ind w:left="341" w:right="316"/>
              <w:rPr>
                <w:rFonts w:ascii="Times New Roman"/>
                <w:sz w:val="21"/>
              </w:rPr>
            </w:pPr>
            <w:r>
              <w:rPr>
                <w:rFonts w:ascii="Times New Roman"/>
                <w:sz w:val="21"/>
              </w:rPr>
              <w:t>5152846.16</w:t>
            </w:r>
          </w:p>
        </w:tc>
        <w:tc>
          <w:tcPr>
            <w:tcW w:w="1755" w:type="dxa"/>
          </w:tcPr>
          <w:p>
            <w:pPr>
              <w:pStyle w:val="14"/>
              <w:spacing w:before="34"/>
              <w:ind w:left="300" w:right="277"/>
              <w:rPr>
                <w:rFonts w:ascii="Times New Roman"/>
                <w:sz w:val="21"/>
              </w:rPr>
            </w:pPr>
            <w:r>
              <w:rPr>
                <w:rFonts w:ascii="Times New Roman"/>
                <w:sz w:val="21"/>
              </w:rPr>
              <w:t>44436179.59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8" w:type="dxa"/>
          </w:tcPr>
          <w:p>
            <w:pPr>
              <w:pStyle w:val="14"/>
              <w:spacing w:before="34"/>
              <w:ind w:left="6"/>
              <w:rPr>
                <w:rFonts w:ascii="Times New Roman"/>
                <w:sz w:val="21"/>
              </w:rPr>
            </w:pPr>
            <w:r>
              <w:rPr>
                <w:rFonts w:ascii="Times New Roman"/>
                <w:w w:val="99"/>
                <w:sz w:val="21"/>
              </w:rPr>
              <w:t>7</w:t>
            </w:r>
          </w:p>
        </w:tc>
        <w:tc>
          <w:tcPr>
            <w:tcW w:w="1731" w:type="dxa"/>
          </w:tcPr>
          <w:p>
            <w:pPr>
              <w:pStyle w:val="14"/>
              <w:spacing w:before="34"/>
              <w:ind w:left="371"/>
              <w:jc w:val="left"/>
              <w:rPr>
                <w:rFonts w:ascii="Times New Roman"/>
                <w:sz w:val="21"/>
              </w:rPr>
            </w:pPr>
            <w:r>
              <w:rPr>
                <w:rFonts w:ascii="Times New Roman"/>
                <w:sz w:val="21"/>
              </w:rPr>
              <w:t>5151498.69</w:t>
            </w:r>
          </w:p>
        </w:tc>
        <w:tc>
          <w:tcPr>
            <w:tcW w:w="1752" w:type="dxa"/>
          </w:tcPr>
          <w:p>
            <w:pPr>
              <w:pStyle w:val="14"/>
              <w:spacing w:before="34"/>
              <w:ind w:left="300" w:right="279"/>
              <w:rPr>
                <w:rFonts w:ascii="Times New Roman"/>
                <w:sz w:val="21"/>
              </w:rPr>
            </w:pPr>
            <w:r>
              <w:rPr>
                <w:rFonts w:ascii="Times New Roman"/>
                <w:sz w:val="21"/>
              </w:rPr>
              <w:t>44438137.57</w:t>
            </w:r>
          </w:p>
        </w:tc>
        <w:tc>
          <w:tcPr>
            <w:tcW w:w="820" w:type="dxa"/>
          </w:tcPr>
          <w:p>
            <w:pPr>
              <w:pStyle w:val="14"/>
              <w:spacing w:before="34"/>
              <w:ind w:left="303"/>
              <w:jc w:val="left"/>
              <w:rPr>
                <w:rFonts w:ascii="Times New Roman"/>
                <w:sz w:val="21"/>
              </w:rPr>
            </w:pPr>
            <w:r>
              <w:rPr>
                <w:rFonts w:ascii="Times New Roman"/>
                <w:sz w:val="21"/>
              </w:rPr>
              <w:t>20</w:t>
            </w:r>
          </w:p>
        </w:tc>
        <w:tc>
          <w:tcPr>
            <w:tcW w:w="1731" w:type="dxa"/>
          </w:tcPr>
          <w:p>
            <w:pPr>
              <w:pStyle w:val="14"/>
              <w:spacing w:before="34"/>
              <w:ind w:left="341" w:right="316"/>
              <w:rPr>
                <w:rFonts w:ascii="Times New Roman"/>
                <w:sz w:val="21"/>
              </w:rPr>
            </w:pPr>
            <w:r>
              <w:rPr>
                <w:rFonts w:ascii="Times New Roman"/>
                <w:sz w:val="21"/>
              </w:rPr>
              <w:t>5152899.16</w:t>
            </w:r>
          </w:p>
        </w:tc>
        <w:tc>
          <w:tcPr>
            <w:tcW w:w="1755" w:type="dxa"/>
          </w:tcPr>
          <w:p>
            <w:pPr>
              <w:pStyle w:val="14"/>
              <w:spacing w:before="34"/>
              <w:ind w:left="300" w:right="277"/>
              <w:rPr>
                <w:rFonts w:ascii="Times New Roman"/>
                <w:sz w:val="21"/>
              </w:rPr>
            </w:pPr>
            <w:r>
              <w:rPr>
                <w:rFonts w:ascii="Times New Roman"/>
                <w:sz w:val="21"/>
              </w:rPr>
              <w:t>44436339.60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8" w:type="dxa"/>
          </w:tcPr>
          <w:p>
            <w:pPr>
              <w:pStyle w:val="14"/>
              <w:spacing w:before="36"/>
              <w:ind w:left="6"/>
              <w:rPr>
                <w:rFonts w:ascii="Times New Roman"/>
                <w:sz w:val="21"/>
              </w:rPr>
            </w:pPr>
            <w:r>
              <w:rPr>
                <w:rFonts w:ascii="Times New Roman"/>
                <w:w w:val="99"/>
                <w:sz w:val="21"/>
              </w:rPr>
              <w:t>8</w:t>
            </w:r>
          </w:p>
        </w:tc>
        <w:tc>
          <w:tcPr>
            <w:tcW w:w="1731" w:type="dxa"/>
          </w:tcPr>
          <w:p>
            <w:pPr>
              <w:pStyle w:val="14"/>
              <w:spacing w:before="36"/>
              <w:ind w:left="371"/>
              <w:jc w:val="left"/>
              <w:rPr>
                <w:rFonts w:ascii="Times New Roman"/>
                <w:sz w:val="21"/>
              </w:rPr>
            </w:pPr>
            <w:r>
              <w:rPr>
                <w:rFonts w:ascii="Times New Roman"/>
                <w:sz w:val="21"/>
              </w:rPr>
              <w:t>5151375.92</w:t>
            </w:r>
          </w:p>
        </w:tc>
        <w:tc>
          <w:tcPr>
            <w:tcW w:w="1752" w:type="dxa"/>
          </w:tcPr>
          <w:p>
            <w:pPr>
              <w:pStyle w:val="14"/>
              <w:spacing w:before="36"/>
              <w:ind w:left="300" w:right="279"/>
              <w:rPr>
                <w:rFonts w:ascii="Times New Roman"/>
                <w:sz w:val="21"/>
              </w:rPr>
            </w:pPr>
            <w:r>
              <w:rPr>
                <w:rFonts w:ascii="Times New Roman"/>
                <w:sz w:val="21"/>
              </w:rPr>
              <w:t>44436888.08</w:t>
            </w:r>
          </w:p>
        </w:tc>
        <w:tc>
          <w:tcPr>
            <w:tcW w:w="820" w:type="dxa"/>
          </w:tcPr>
          <w:p>
            <w:pPr>
              <w:pStyle w:val="14"/>
              <w:spacing w:before="36"/>
              <w:ind w:left="303"/>
              <w:jc w:val="left"/>
              <w:rPr>
                <w:rFonts w:ascii="Times New Roman"/>
                <w:sz w:val="21"/>
              </w:rPr>
            </w:pPr>
            <w:r>
              <w:rPr>
                <w:rFonts w:ascii="Times New Roman"/>
                <w:sz w:val="21"/>
              </w:rPr>
              <w:t>21</w:t>
            </w:r>
          </w:p>
        </w:tc>
        <w:tc>
          <w:tcPr>
            <w:tcW w:w="1731" w:type="dxa"/>
          </w:tcPr>
          <w:p>
            <w:pPr>
              <w:pStyle w:val="14"/>
              <w:spacing w:before="36"/>
              <w:ind w:left="341" w:right="316"/>
              <w:rPr>
                <w:rFonts w:ascii="Times New Roman"/>
                <w:sz w:val="21"/>
              </w:rPr>
            </w:pPr>
            <w:r>
              <w:rPr>
                <w:rFonts w:ascii="Times New Roman"/>
                <w:sz w:val="21"/>
              </w:rPr>
              <w:t>5153238.81</w:t>
            </w:r>
          </w:p>
        </w:tc>
        <w:tc>
          <w:tcPr>
            <w:tcW w:w="1755" w:type="dxa"/>
          </w:tcPr>
          <w:p>
            <w:pPr>
              <w:pStyle w:val="14"/>
              <w:spacing w:before="36"/>
              <w:ind w:left="300" w:right="277"/>
              <w:rPr>
                <w:rFonts w:ascii="Times New Roman"/>
                <w:sz w:val="21"/>
              </w:rPr>
            </w:pPr>
            <w:r>
              <w:rPr>
                <w:rFonts w:ascii="Times New Roman"/>
                <w:sz w:val="21"/>
              </w:rPr>
              <w:t>44436512.23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8" w:type="dxa"/>
          </w:tcPr>
          <w:p>
            <w:pPr>
              <w:pStyle w:val="14"/>
              <w:spacing w:before="35"/>
              <w:ind w:left="6"/>
              <w:rPr>
                <w:rFonts w:ascii="Times New Roman"/>
                <w:sz w:val="21"/>
              </w:rPr>
            </w:pPr>
            <w:r>
              <w:rPr>
                <w:rFonts w:ascii="Times New Roman"/>
                <w:w w:val="99"/>
                <w:sz w:val="21"/>
              </w:rPr>
              <w:t>9</w:t>
            </w:r>
          </w:p>
        </w:tc>
        <w:tc>
          <w:tcPr>
            <w:tcW w:w="1731" w:type="dxa"/>
          </w:tcPr>
          <w:p>
            <w:pPr>
              <w:pStyle w:val="14"/>
              <w:spacing w:before="35"/>
              <w:ind w:left="371"/>
              <w:jc w:val="left"/>
              <w:rPr>
                <w:rFonts w:ascii="Times New Roman"/>
                <w:sz w:val="21"/>
              </w:rPr>
            </w:pPr>
            <w:r>
              <w:rPr>
                <w:rFonts w:ascii="Times New Roman"/>
                <w:sz w:val="21"/>
              </w:rPr>
              <w:t>5151464.93</w:t>
            </w:r>
          </w:p>
        </w:tc>
        <w:tc>
          <w:tcPr>
            <w:tcW w:w="1752" w:type="dxa"/>
          </w:tcPr>
          <w:p>
            <w:pPr>
              <w:pStyle w:val="14"/>
              <w:spacing w:before="35"/>
              <w:ind w:left="300" w:right="279"/>
              <w:rPr>
                <w:rFonts w:ascii="Times New Roman"/>
                <w:sz w:val="21"/>
              </w:rPr>
            </w:pPr>
            <w:r>
              <w:rPr>
                <w:rFonts w:ascii="Times New Roman"/>
                <w:sz w:val="21"/>
              </w:rPr>
              <w:t>44436694.26</w:t>
            </w:r>
          </w:p>
        </w:tc>
        <w:tc>
          <w:tcPr>
            <w:tcW w:w="820" w:type="dxa"/>
          </w:tcPr>
          <w:p>
            <w:pPr>
              <w:pStyle w:val="14"/>
              <w:spacing w:before="35"/>
              <w:ind w:left="303"/>
              <w:jc w:val="left"/>
              <w:rPr>
                <w:rFonts w:ascii="Times New Roman"/>
                <w:sz w:val="21"/>
              </w:rPr>
            </w:pPr>
            <w:r>
              <w:rPr>
                <w:rFonts w:ascii="Times New Roman"/>
                <w:sz w:val="21"/>
              </w:rPr>
              <w:t>22</w:t>
            </w:r>
          </w:p>
        </w:tc>
        <w:tc>
          <w:tcPr>
            <w:tcW w:w="1731" w:type="dxa"/>
          </w:tcPr>
          <w:p>
            <w:pPr>
              <w:pStyle w:val="14"/>
              <w:spacing w:before="35"/>
              <w:ind w:left="341" w:right="316"/>
              <w:rPr>
                <w:rFonts w:ascii="Times New Roman"/>
                <w:sz w:val="21"/>
              </w:rPr>
            </w:pPr>
            <w:r>
              <w:rPr>
                <w:rFonts w:ascii="Times New Roman"/>
                <w:sz w:val="21"/>
              </w:rPr>
              <w:t>5153254.53</w:t>
            </w:r>
          </w:p>
        </w:tc>
        <w:tc>
          <w:tcPr>
            <w:tcW w:w="1755" w:type="dxa"/>
          </w:tcPr>
          <w:p>
            <w:pPr>
              <w:pStyle w:val="14"/>
              <w:spacing w:before="35"/>
              <w:ind w:left="300" w:right="277"/>
              <w:rPr>
                <w:rFonts w:ascii="Times New Roman"/>
                <w:sz w:val="21"/>
              </w:rPr>
            </w:pPr>
            <w:r>
              <w:rPr>
                <w:rFonts w:ascii="Times New Roman"/>
                <w:sz w:val="21"/>
              </w:rPr>
              <w:t>44436692.33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28" w:type="dxa"/>
          </w:tcPr>
          <w:p>
            <w:pPr>
              <w:pStyle w:val="14"/>
              <w:spacing w:before="35"/>
              <w:ind w:left="182" w:right="172"/>
              <w:rPr>
                <w:rFonts w:ascii="Times New Roman"/>
                <w:sz w:val="21"/>
              </w:rPr>
            </w:pPr>
            <w:r>
              <w:rPr>
                <w:rFonts w:ascii="Times New Roman"/>
                <w:sz w:val="21"/>
              </w:rPr>
              <w:t>10</w:t>
            </w:r>
          </w:p>
        </w:tc>
        <w:tc>
          <w:tcPr>
            <w:tcW w:w="1731" w:type="dxa"/>
          </w:tcPr>
          <w:p>
            <w:pPr>
              <w:pStyle w:val="14"/>
              <w:spacing w:before="35"/>
              <w:ind w:left="371"/>
              <w:jc w:val="left"/>
              <w:rPr>
                <w:rFonts w:ascii="Times New Roman"/>
                <w:sz w:val="21"/>
              </w:rPr>
            </w:pPr>
            <w:r>
              <w:rPr>
                <w:rFonts w:ascii="Times New Roman"/>
                <w:sz w:val="21"/>
              </w:rPr>
              <w:t>5151456.61</w:t>
            </w:r>
          </w:p>
        </w:tc>
        <w:tc>
          <w:tcPr>
            <w:tcW w:w="1752" w:type="dxa"/>
          </w:tcPr>
          <w:p>
            <w:pPr>
              <w:pStyle w:val="14"/>
              <w:spacing w:before="35"/>
              <w:ind w:left="300" w:right="279"/>
              <w:rPr>
                <w:rFonts w:ascii="Times New Roman"/>
                <w:sz w:val="21"/>
              </w:rPr>
            </w:pPr>
            <w:r>
              <w:rPr>
                <w:rFonts w:ascii="Times New Roman"/>
                <w:sz w:val="21"/>
              </w:rPr>
              <w:t>44436245.47</w:t>
            </w:r>
          </w:p>
        </w:tc>
        <w:tc>
          <w:tcPr>
            <w:tcW w:w="820" w:type="dxa"/>
          </w:tcPr>
          <w:p>
            <w:pPr>
              <w:pStyle w:val="14"/>
              <w:spacing w:before="35"/>
              <w:ind w:left="303"/>
              <w:jc w:val="left"/>
              <w:rPr>
                <w:rFonts w:ascii="Times New Roman"/>
                <w:sz w:val="21"/>
              </w:rPr>
            </w:pPr>
            <w:r>
              <w:rPr>
                <w:rFonts w:ascii="Times New Roman"/>
                <w:sz w:val="21"/>
              </w:rPr>
              <w:t>23</w:t>
            </w:r>
          </w:p>
        </w:tc>
        <w:tc>
          <w:tcPr>
            <w:tcW w:w="1731" w:type="dxa"/>
          </w:tcPr>
          <w:p>
            <w:pPr>
              <w:pStyle w:val="14"/>
              <w:spacing w:before="35"/>
              <w:ind w:left="341" w:right="316"/>
              <w:rPr>
                <w:rFonts w:ascii="Times New Roman"/>
                <w:sz w:val="21"/>
              </w:rPr>
            </w:pPr>
            <w:r>
              <w:rPr>
                <w:rFonts w:ascii="Times New Roman"/>
                <w:sz w:val="21"/>
              </w:rPr>
              <w:t>5153257.27</w:t>
            </w:r>
          </w:p>
        </w:tc>
        <w:tc>
          <w:tcPr>
            <w:tcW w:w="1755" w:type="dxa"/>
          </w:tcPr>
          <w:p>
            <w:pPr>
              <w:pStyle w:val="14"/>
              <w:spacing w:before="35"/>
              <w:ind w:left="300" w:right="277"/>
              <w:rPr>
                <w:rFonts w:ascii="Times New Roman"/>
                <w:sz w:val="21"/>
              </w:rPr>
            </w:pPr>
            <w:r>
              <w:rPr>
                <w:rFonts w:ascii="Times New Roman"/>
                <w:sz w:val="21"/>
              </w:rPr>
              <w:t>44436692.78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8" w:type="dxa"/>
          </w:tcPr>
          <w:p>
            <w:pPr>
              <w:pStyle w:val="14"/>
              <w:spacing w:before="34"/>
              <w:ind w:left="182" w:right="172"/>
              <w:rPr>
                <w:rFonts w:ascii="Times New Roman"/>
                <w:sz w:val="21"/>
              </w:rPr>
            </w:pPr>
            <w:r>
              <w:rPr>
                <w:rFonts w:ascii="Times New Roman"/>
                <w:sz w:val="21"/>
              </w:rPr>
              <w:t>11</w:t>
            </w:r>
          </w:p>
        </w:tc>
        <w:tc>
          <w:tcPr>
            <w:tcW w:w="1731" w:type="dxa"/>
          </w:tcPr>
          <w:p>
            <w:pPr>
              <w:pStyle w:val="14"/>
              <w:spacing w:before="34"/>
              <w:ind w:left="371"/>
              <w:jc w:val="left"/>
              <w:rPr>
                <w:rFonts w:ascii="Times New Roman"/>
                <w:sz w:val="21"/>
              </w:rPr>
            </w:pPr>
            <w:r>
              <w:rPr>
                <w:rFonts w:ascii="Times New Roman"/>
                <w:sz w:val="21"/>
              </w:rPr>
              <w:t>5151946.42</w:t>
            </w:r>
          </w:p>
        </w:tc>
        <w:tc>
          <w:tcPr>
            <w:tcW w:w="1752" w:type="dxa"/>
          </w:tcPr>
          <w:p>
            <w:pPr>
              <w:pStyle w:val="14"/>
              <w:spacing w:before="34"/>
              <w:ind w:left="300" w:right="279"/>
              <w:rPr>
                <w:rFonts w:ascii="Times New Roman"/>
                <w:sz w:val="21"/>
              </w:rPr>
            </w:pPr>
            <w:r>
              <w:rPr>
                <w:rFonts w:ascii="Times New Roman"/>
                <w:sz w:val="21"/>
              </w:rPr>
              <w:t>44435924.65</w:t>
            </w:r>
          </w:p>
        </w:tc>
        <w:tc>
          <w:tcPr>
            <w:tcW w:w="820" w:type="dxa"/>
          </w:tcPr>
          <w:p>
            <w:pPr>
              <w:pStyle w:val="14"/>
              <w:spacing w:before="34"/>
              <w:ind w:left="303"/>
              <w:jc w:val="left"/>
              <w:rPr>
                <w:rFonts w:ascii="Times New Roman"/>
                <w:sz w:val="21"/>
              </w:rPr>
            </w:pPr>
            <w:r>
              <w:rPr>
                <w:rFonts w:ascii="Times New Roman"/>
                <w:sz w:val="21"/>
              </w:rPr>
              <w:t>24</w:t>
            </w:r>
          </w:p>
        </w:tc>
        <w:tc>
          <w:tcPr>
            <w:tcW w:w="1731" w:type="dxa"/>
          </w:tcPr>
          <w:p>
            <w:pPr>
              <w:pStyle w:val="14"/>
              <w:spacing w:before="34"/>
              <w:ind w:left="341" w:right="316"/>
              <w:rPr>
                <w:rFonts w:ascii="Times New Roman"/>
                <w:sz w:val="21"/>
              </w:rPr>
            </w:pPr>
            <w:r>
              <w:rPr>
                <w:rFonts w:ascii="Times New Roman"/>
                <w:sz w:val="21"/>
              </w:rPr>
              <w:t>5153260.07</w:t>
            </w:r>
          </w:p>
        </w:tc>
        <w:tc>
          <w:tcPr>
            <w:tcW w:w="1755" w:type="dxa"/>
          </w:tcPr>
          <w:p>
            <w:pPr>
              <w:pStyle w:val="14"/>
              <w:spacing w:before="34"/>
              <w:ind w:left="300" w:right="277"/>
              <w:rPr>
                <w:rFonts w:ascii="Times New Roman"/>
                <w:sz w:val="21"/>
              </w:rPr>
            </w:pPr>
            <w:r>
              <w:rPr>
                <w:rFonts w:ascii="Times New Roman"/>
                <w:sz w:val="21"/>
              </w:rPr>
              <w:t>44436725.91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8" w:type="dxa"/>
          </w:tcPr>
          <w:p>
            <w:pPr>
              <w:pStyle w:val="14"/>
              <w:spacing w:before="34"/>
              <w:ind w:left="182" w:right="172"/>
              <w:rPr>
                <w:rFonts w:ascii="Times New Roman"/>
                <w:sz w:val="21"/>
              </w:rPr>
            </w:pPr>
            <w:r>
              <w:rPr>
                <w:rFonts w:ascii="Times New Roman"/>
                <w:sz w:val="21"/>
              </w:rPr>
              <w:t>12</w:t>
            </w:r>
          </w:p>
        </w:tc>
        <w:tc>
          <w:tcPr>
            <w:tcW w:w="1731" w:type="dxa"/>
          </w:tcPr>
          <w:p>
            <w:pPr>
              <w:pStyle w:val="14"/>
              <w:spacing w:before="34"/>
              <w:ind w:left="371"/>
              <w:jc w:val="left"/>
              <w:rPr>
                <w:rFonts w:ascii="Times New Roman"/>
                <w:sz w:val="21"/>
              </w:rPr>
            </w:pPr>
            <w:r>
              <w:rPr>
                <w:rFonts w:ascii="Times New Roman"/>
                <w:sz w:val="21"/>
              </w:rPr>
              <w:t>5151914.15</w:t>
            </w:r>
          </w:p>
        </w:tc>
        <w:tc>
          <w:tcPr>
            <w:tcW w:w="1752" w:type="dxa"/>
          </w:tcPr>
          <w:p>
            <w:pPr>
              <w:pStyle w:val="14"/>
              <w:spacing w:before="34"/>
              <w:ind w:left="300" w:right="279"/>
              <w:rPr>
                <w:rFonts w:ascii="Times New Roman"/>
                <w:sz w:val="21"/>
              </w:rPr>
            </w:pPr>
            <w:r>
              <w:rPr>
                <w:rFonts w:ascii="Times New Roman"/>
                <w:sz w:val="21"/>
              </w:rPr>
              <w:t>44435901.60</w:t>
            </w:r>
          </w:p>
        </w:tc>
        <w:tc>
          <w:tcPr>
            <w:tcW w:w="820" w:type="dxa"/>
          </w:tcPr>
          <w:p>
            <w:pPr>
              <w:pStyle w:val="14"/>
              <w:spacing w:before="34"/>
              <w:ind w:left="303"/>
              <w:jc w:val="left"/>
              <w:rPr>
                <w:rFonts w:ascii="Times New Roman"/>
                <w:sz w:val="21"/>
              </w:rPr>
            </w:pPr>
            <w:r>
              <w:rPr>
                <w:rFonts w:ascii="Times New Roman"/>
                <w:sz w:val="21"/>
              </w:rPr>
              <w:t>25</w:t>
            </w:r>
          </w:p>
        </w:tc>
        <w:tc>
          <w:tcPr>
            <w:tcW w:w="1731" w:type="dxa"/>
          </w:tcPr>
          <w:p>
            <w:pPr>
              <w:pStyle w:val="14"/>
              <w:spacing w:before="34"/>
              <w:ind w:left="341" w:right="316"/>
              <w:rPr>
                <w:rFonts w:ascii="Times New Roman"/>
                <w:sz w:val="21"/>
              </w:rPr>
            </w:pPr>
            <w:r>
              <w:rPr>
                <w:rFonts w:ascii="Times New Roman"/>
                <w:sz w:val="21"/>
              </w:rPr>
              <w:t>5153260.08</w:t>
            </w:r>
          </w:p>
        </w:tc>
        <w:tc>
          <w:tcPr>
            <w:tcW w:w="1755" w:type="dxa"/>
          </w:tcPr>
          <w:p>
            <w:pPr>
              <w:pStyle w:val="14"/>
              <w:spacing w:before="34"/>
              <w:ind w:left="300" w:right="277"/>
              <w:rPr>
                <w:rFonts w:ascii="Times New Roman"/>
                <w:sz w:val="21"/>
              </w:rPr>
            </w:pPr>
            <w:r>
              <w:rPr>
                <w:rFonts w:ascii="Times New Roman"/>
                <w:sz w:val="21"/>
              </w:rPr>
              <w:t>44436725.91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8" w:type="dxa"/>
          </w:tcPr>
          <w:p>
            <w:pPr>
              <w:pStyle w:val="14"/>
              <w:spacing w:before="34"/>
              <w:ind w:left="182" w:right="172"/>
              <w:rPr>
                <w:rFonts w:ascii="Times New Roman"/>
                <w:sz w:val="21"/>
              </w:rPr>
            </w:pPr>
            <w:r>
              <w:rPr>
                <w:rFonts w:ascii="Times New Roman"/>
                <w:sz w:val="21"/>
              </w:rPr>
              <w:t>13</w:t>
            </w:r>
          </w:p>
        </w:tc>
        <w:tc>
          <w:tcPr>
            <w:tcW w:w="1731" w:type="dxa"/>
          </w:tcPr>
          <w:p>
            <w:pPr>
              <w:pStyle w:val="14"/>
              <w:spacing w:before="34"/>
              <w:ind w:left="371"/>
              <w:jc w:val="left"/>
              <w:rPr>
                <w:rFonts w:ascii="Times New Roman"/>
                <w:sz w:val="21"/>
              </w:rPr>
            </w:pPr>
            <w:r>
              <w:rPr>
                <w:rFonts w:ascii="Times New Roman"/>
                <w:sz w:val="21"/>
              </w:rPr>
              <w:t>5151957.15</w:t>
            </w:r>
          </w:p>
        </w:tc>
        <w:tc>
          <w:tcPr>
            <w:tcW w:w="1752" w:type="dxa"/>
          </w:tcPr>
          <w:p>
            <w:pPr>
              <w:pStyle w:val="14"/>
              <w:spacing w:before="34"/>
              <w:ind w:left="300" w:right="279"/>
              <w:rPr>
                <w:rFonts w:ascii="Times New Roman"/>
                <w:sz w:val="21"/>
              </w:rPr>
            </w:pPr>
            <w:r>
              <w:rPr>
                <w:rFonts w:ascii="Times New Roman"/>
                <w:sz w:val="21"/>
              </w:rPr>
              <w:t>44435863.60</w:t>
            </w:r>
          </w:p>
        </w:tc>
        <w:tc>
          <w:tcPr>
            <w:tcW w:w="820" w:type="dxa"/>
          </w:tcPr>
          <w:p>
            <w:pPr>
              <w:pStyle w:val="14"/>
              <w:spacing w:before="34"/>
              <w:ind w:left="303"/>
              <w:jc w:val="left"/>
              <w:rPr>
                <w:rFonts w:ascii="Times New Roman"/>
                <w:sz w:val="21"/>
              </w:rPr>
            </w:pPr>
            <w:r>
              <w:rPr>
                <w:rFonts w:ascii="Times New Roman"/>
                <w:sz w:val="21"/>
              </w:rPr>
              <w:t>26</w:t>
            </w:r>
          </w:p>
        </w:tc>
        <w:tc>
          <w:tcPr>
            <w:tcW w:w="1731" w:type="dxa"/>
          </w:tcPr>
          <w:p>
            <w:pPr>
              <w:pStyle w:val="14"/>
              <w:spacing w:before="34"/>
              <w:ind w:left="341" w:right="316"/>
              <w:rPr>
                <w:rFonts w:ascii="Times New Roman"/>
                <w:sz w:val="21"/>
              </w:rPr>
            </w:pPr>
            <w:r>
              <w:rPr>
                <w:rFonts w:ascii="Times New Roman"/>
                <w:sz w:val="21"/>
              </w:rPr>
              <w:t>5153343.59</w:t>
            </w:r>
          </w:p>
        </w:tc>
        <w:tc>
          <w:tcPr>
            <w:tcW w:w="1755" w:type="dxa"/>
          </w:tcPr>
          <w:p>
            <w:pPr>
              <w:pStyle w:val="14"/>
              <w:spacing w:before="34"/>
              <w:ind w:left="300" w:right="277"/>
              <w:rPr>
                <w:rFonts w:ascii="Times New Roman"/>
                <w:sz w:val="21"/>
              </w:rPr>
            </w:pPr>
            <w:r>
              <w:rPr>
                <w:rFonts w:ascii="Times New Roman"/>
                <w:sz w:val="21"/>
              </w:rPr>
              <w:t>44437712.51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617" w:type="dxa"/>
            <w:gridSpan w:val="6"/>
          </w:tcPr>
          <w:p>
            <w:pPr>
              <w:pStyle w:val="14"/>
              <w:spacing w:before="22"/>
              <w:ind w:left="2924" w:right="2913"/>
              <w:rPr>
                <w:sz w:val="21"/>
              </w:rPr>
            </w:pPr>
            <w:r>
              <w:rPr>
                <w:sz w:val="21"/>
              </w:rPr>
              <w:t>复垦区面积：</w:t>
            </w:r>
            <w:r>
              <w:rPr>
                <w:rFonts w:ascii="Times New Roman" w:eastAsia="Times New Roman"/>
                <w:sz w:val="21"/>
              </w:rPr>
              <w:t xml:space="preserve">330.8978 </w:t>
            </w:r>
            <w:r>
              <w:rPr>
                <w:sz w:val="21"/>
              </w:rPr>
              <w:t>公顷。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28" w:type="dxa"/>
          </w:tcPr>
          <w:p>
            <w:pPr>
              <w:pStyle w:val="14"/>
              <w:spacing w:before="35"/>
              <w:ind w:left="6"/>
              <w:rPr>
                <w:rFonts w:ascii="Times New Roman"/>
                <w:sz w:val="21"/>
              </w:rPr>
            </w:pPr>
            <w:r>
              <w:rPr>
                <w:rFonts w:ascii="Times New Roman"/>
                <w:w w:val="99"/>
                <w:sz w:val="21"/>
              </w:rPr>
              <w:t>1</w:t>
            </w:r>
          </w:p>
        </w:tc>
        <w:tc>
          <w:tcPr>
            <w:tcW w:w="1731" w:type="dxa"/>
          </w:tcPr>
          <w:p>
            <w:pPr>
              <w:pStyle w:val="14"/>
              <w:spacing w:before="35"/>
              <w:ind w:left="362"/>
              <w:jc w:val="left"/>
              <w:rPr>
                <w:rFonts w:ascii="Times New Roman"/>
                <w:sz w:val="21"/>
              </w:rPr>
            </w:pPr>
            <w:r>
              <w:rPr>
                <w:rFonts w:ascii="Times New Roman"/>
                <w:sz w:val="21"/>
              </w:rPr>
              <w:t>5152249.58</w:t>
            </w:r>
          </w:p>
        </w:tc>
        <w:tc>
          <w:tcPr>
            <w:tcW w:w="1752" w:type="dxa"/>
          </w:tcPr>
          <w:p>
            <w:pPr>
              <w:pStyle w:val="14"/>
              <w:spacing w:before="35"/>
              <w:ind w:left="291" w:right="289"/>
              <w:rPr>
                <w:rFonts w:ascii="Times New Roman"/>
                <w:sz w:val="21"/>
              </w:rPr>
            </w:pPr>
            <w:r>
              <w:rPr>
                <w:rFonts w:ascii="Times New Roman"/>
                <w:sz w:val="21"/>
              </w:rPr>
              <w:t>44436666.66</w:t>
            </w:r>
          </w:p>
        </w:tc>
        <w:tc>
          <w:tcPr>
            <w:tcW w:w="820" w:type="dxa"/>
          </w:tcPr>
          <w:p>
            <w:pPr>
              <w:pStyle w:val="14"/>
              <w:spacing w:before="35"/>
              <w:ind w:left="356"/>
              <w:jc w:val="left"/>
              <w:rPr>
                <w:rFonts w:ascii="Times New Roman"/>
                <w:sz w:val="21"/>
              </w:rPr>
            </w:pPr>
            <w:r>
              <w:rPr>
                <w:rFonts w:ascii="Times New Roman"/>
                <w:w w:val="99"/>
                <w:sz w:val="21"/>
              </w:rPr>
              <w:t>6</w:t>
            </w:r>
          </w:p>
        </w:tc>
        <w:tc>
          <w:tcPr>
            <w:tcW w:w="1731" w:type="dxa"/>
          </w:tcPr>
          <w:p>
            <w:pPr>
              <w:pStyle w:val="14"/>
              <w:spacing w:before="35"/>
              <w:ind w:left="328" w:right="329"/>
              <w:rPr>
                <w:rFonts w:ascii="Times New Roman"/>
                <w:sz w:val="21"/>
              </w:rPr>
            </w:pPr>
            <w:r>
              <w:rPr>
                <w:rFonts w:ascii="Times New Roman"/>
                <w:sz w:val="21"/>
              </w:rPr>
              <w:t>5152071.86</w:t>
            </w:r>
          </w:p>
        </w:tc>
        <w:tc>
          <w:tcPr>
            <w:tcW w:w="1755" w:type="dxa"/>
          </w:tcPr>
          <w:p>
            <w:pPr>
              <w:pStyle w:val="14"/>
              <w:spacing w:before="35"/>
              <w:ind w:left="289" w:right="289"/>
              <w:rPr>
                <w:rFonts w:ascii="Times New Roman"/>
                <w:sz w:val="21"/>
              </w:rPr>
            </w:pPr>
            <w:r>
              <w:rPr>
                <w:rFonts w:ascii="Times New Roman"/>
                <w:sz w:val="21"/>
              </w:rPr>
              <w:t>44436518.11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8" w:type="dxa"/>
          </w:tcPr>
          <w:p>
            <w:pPr>
              <w:pStyle w:val="14"/>
              <w:spacing w:before="35"/>
              <w:ind w:left="6"/>
              <w:rPr>
                <w:rFonts w:ascii="Times New Roman"/>
                <w:sz w:val="21"/>
              </w:rPr>
            </w:pPr>
            <w:r>
              <w:rPr>
                <w:rFonts w:ascii="Times New Roman"/>
                <w:w w:val="99"/>
                <w:sz w:val="21"/>
              </w:rPr>
              <w:t>2</w:t>
            </w:r>
          </w:p>
        </w:tc>
        <w:tc>
          <w:tcPr>
            <w:tcW w:w="1731" w:type="dxa"/>
          </w:tcPr>
          <w:p>
            <w:pPr>
              <w:pStyle w:val="14"/>
              <w:spacing w:before="35"/>
              <w:ind w:left="364"/>
              <w:jc w:val="left"/>
              <w:rPr>
                <w:rFonts w:ascii="Times New Roman"/>
                <w:sz w:val="21"/>
              </w:rPr>
            </w:pPr>
            <w:r>
              <w:rPr>
                <w:rFonts w:ascii="Times New Roman"/>
                <w:sz w:val="21"/>
              </w:rPr>
              <w:t>5152278.11</w:t>
            </w:r>
          </w:p>
        </w:tc>
        <w:tc>
          <w:tcPr>
            <w:tcW w:w="1752" w:type="dxa"/>
          </w:tcPr>
          <w:p>
            <w:pPr>
              <w:pStyle w:val="14"/>
              <w:spacing w:before="35"/>
              <w:ind w:left="291" w:right="289"/>
              <w:rPr>
                <w:rFonts w:ascii="Times New Roman"/>
                <w:sz w:val="21"/>
              </w:rPr>
            </w:pPr>
            <w:r>
              <w:rPr>
                <w:rFonts w:ascii="Times New Roman"/>
                <w:sz w:val="21"/>
              </w:rPr>
              <w:t>44436566.66</w:t>
            </w:r>
          </w:p>
        </w:tc>
        <w:tc>
          <w:tcPr>
            <w:tcW w:w="820" w:type="dxa"/>
          </w:tcPr>
          <w:p>
            <w:pPr>
              <w:pStyle w:val="14"/>
              <w:spacing w:before="35"/>
              <w:ind w:left="356"/>
              <w:jc w:val="left"/>
              <w:rPr>
                <w:rFonts w:ascii="Times New Roman"/>
                <w:sz w:val="21"/>
              </w:rPr>
            </w:pPr>
            <w:r>
              <w:rPr>
                <w:rFonts w:ascii="Times New Roman"/>
                <w:w w:val="99"/>
                <w:sz w:val="21"/>
              </w:rPr>
              <w:t>7</w:t>
            </w:r>
          </w:p>
        </w:tc>
        <w:tc>
          <w:tcPr>
            <w:tcW w:w="1731" w:type="dxa"/>
          </w:tcPr>
          <w:p>
            <w:pPr>
              <w:pStyle w:val="14"/>
              <w:spacing w:before="35"/>
              <w:ind w:left="328" w:right="329"/>
              <w:rPr>
                <w:rFonts w:ascii="Times New Roman"/>
                <w:sz w:val="21"/>
              </w:rPr>
            </w:pPr>
            <w:r>
              <w:rPr>
                <w:rFonts w:ascii="Times New Roman"/>
                <w:sz w:val="21"/>
              </w:rPr>
              <w:t>5152005.02</w:t>
            </w:r>
          </w:p>
        </w:tc>
        <w:tc>
          <w:tcPr>
            <w:tcW w:w="1755" w:type="dxa"/>
          </w:tcPr>
          <w:p>
            <w:pPr>
              <w:pStyle w:val="14"/>
              <w:spacing w:before="35"/>
              <w:ind w:left="287" w:right="289"/>
              <w:rPr>
                <w:rFonts w:ascii="Times New Roman"/>
                <w:sz w:val="21"/>
              </w:rPr>
            </w:pPr>
            <w:r>
              <w:rPr>
                <w:rFonts w:ascii="Times New Roman"/>
                <w:sz w:val="21"/>
              </w:rPr>
              <w:t>44436614.00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28" w:type="dxa"/>
          </w:tcPr>
          <w:p>
            <w:pPr>
              <w:pStyle w:val="14"/>
              <w:spacing w:before="34"/>
              <w:ind w:left="6"/>
              <w:rPr>
                <w:rFonts w:ascii="Times New Roman"/>
                <w:sz w:val="21"/>
              </w:rPr>
            </w:pPr>
            <w:r>
              <w:rPr>
                <w:rFonts w:ascii="Times New Roman"/>
                <w:w w:val="99"/>
                <w:sz w:val="21"/>
              </w:rPr>
              <w:t>3</w:t>
            </w:r>
          </w:p>
        </w:tc>
        <w:tc>
          <w:tcPr>
            <w:tcW w:w="1731" w:type="dxa"/>
          </w:tcPr>
          <w:p>
            <w:pPr>
              <w:pStyle w:val="14"/>
              <w:spacing w:before="34"/>
              <w:ind w:left="362"/>
              <w:jc w:val="left"/>
              <w:rPr>
                <w:rFonts w:ascii="Times New Roman"/>
                <w:sz w:val="21"/>
              </w:rPr>
            </w:pPr>
            <w:r>
              <w:rPr>
                <w:rFonts w:ascii="Times New Roman"/>
                <w:sz w:val="21"/>
              </w:rPr>
              <w:t>5152161.52</w:t>
            </w:r>
          </w:p>
        </w:tc>
        <w:tc>
          <w:tcPr>
            <w:tcW w:w="1752" w:type="dxa"/>
          </w:tcPr>
          <w:p>
            <w:pPr>
              <w:pStyle w:val="14"/>
              <w:spacing w:before="34"/>
              <w:ind w:left="291" w:right="289"/>
              <w:rPr>
                <w:rFonts w:ascii="Times New Roman"/>
                <w:sz w:val="21"/>
              </w:rPr>
            </w:pPr>
            <w:r>
              <w:rPr>
                <w:rFonts w:ascii="Times New Roman"/>
                <w:sz w:val="21"/>
              </w:rPr>
              <w:t>44436528.47</w:t>
            </w:r>
          </w:p>
        </w:tc>
        <w:tc>
          <w:tcPr>
            <w:tcW w:w="820" w:type="dxa"/>
          </w:tcPr>
          <w:p>
            <w:pPr>
              <w:pStyle w:val="14"/>
              <w:spacing w:before="34"/>
              <w:ind w:left="356"/>
              <w:jc w:val="left"/>
              <w:rPr>
                <w:rFonts w:ascii="Times New Roman"/>
                <w:sz w:val="21"/>
              </w:rPr>
            </w:pPr>
            <w:r>
              <w:rPr>
                <w:rFonts w:ascii="Times New Roman"/>
                <w:w w:val="99"/>
                <w:sz w:val="21"/>
              </w:rPr>
              <w:t>8</w:t>
            </w:r>
          </w:p>
        </w:tc>
        <w:tc>
          <w:tcPr>
            <w:tcW w:w="1731" w:type="dxa"/>
          </w:tcPr>
          <w:p>
            <w:pPr>
              <w:pStyle w:val="14"/>
              <w:spacing w:before="34"/>
              <w:ind w:left="328" w:right="329"/>
              <w:rPr>
                <w:rFonts w:ascii="Times New Roman"/>
                <w:sz w:val="21"/>
              </w:rPr>
            </w:pPr>
            <w:r>
              <w:rPr>
                <w:rFonts w:ascii="Times New Roman"/>
                <w:sz w:val="21"/>
              </w:rPr>
              <w:t>5152011.94</w:t>
            </w:r>
          </w:p>
        </w:tc>
        <w:tc>
          <w:tcPr>
            <w:tcW w:w="1755" w:type="dxa"/>
          </w:tcPr>
          <w:p>
            <w:pPr>
              <w:pStyle w:val="14"/>
              <w:spacing w:before="34"/>
              <w:ind w:left="287" w:right="289"/>
              <w:rPr>
                <w:rFonts w:ascii="Times New Roman"/>
                <w:sz w:val="21"/>
              </w:rPr>
            </w:pPr>
            <w:r>
              <w:rPr>
                <w:rFonts w:ascii="Times New Roman"/>
                <w:sz w:val="21"/>
              </w:rPr>
              <w:t>44436648.76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8" w:type="dxa"/>
          </w:tcPr>
          <w:p>
            <w:pPr>
              <w:pStyle w:val="14"/>
              <w:spacing w:before="34"/>
              <w:ind w:left="6"/>
              <w:rPr>
                <w:rFonts w:ascii="Times New Roman"/>
                <w:sz w:val="21"/>
              </w:rPr>
            </w:pPr>
            <w:r>
              <w:rPr>
                <w:rFonts w:ascii="Times New Roman"/>
                <w:w w:val="99"/>
                <w:sz w:val="21"/>
              </w:rPr>
              <w:t>4</w:t>
            </w:r>
          </w:p>
        </w:tc>
        <w:tc>
          <w:tcPr>
            <w:tcW w:w="1731" w:type="dxa"/>
          </w:tcPr>
          <w:p>
            <w:pPr>
              <w:pStyle w:val="14"/>
              <w:spacing w:before="34"/>
              <w:ind w:left="364"/>
              <w:jc w:val="left"/>
              <w:rPr>
                <w:rFonts w:ascii="Times New Roman"/>
                <w:sz w:val="21"/>
              </w:rPr>
            </w:pPr>
            <w:r>
              <w:rPr>
                <w:rFonts w:ascii="Times New Roman"/>
                <w:sz w:val="21"/>
              </w:rPr>
              <w:t>5152116.73</w:t>
            </w:r>
          </w:p>
        </w:tc>
        <w:tc>
          <w:tcPr>
            <w:tcW w:w="1752" w:type="dxa"/>
          </w:tcPr>
          <w:p>
            <w:pPr>
              <w:pStyle w:val="14"/>
              <w:spacing w:before="34"/>
              <w:ind w:left="291" w:right="289"/>
              <w:rPr>
                <w:rFonts w:ascii="Times New Roman"/>
                <w:sz w:val="21"/>
              </w:rPr>
            </w:pPr>
            <w:r>
              <w:rPr>
                <w:rFonts w:ascii="Times New Roman"/>
                <w:sz w:val="21"/>
              </w:rPr>
              <w:t>44436520.48</w:t>
            </w:r>
          </w:p>
        </w:tc>
        <w:tc>
          <w:tcPr>
            <w:tcW w:w="820" w:type="dxa"/>
          </w:tcPr>
          <w:p>
            <w:pPr>
              <w:pStyle w:val="14"/>
              <w:spacing w:before="34"/>
              <w:ind w:left="356"/>
              <w:jc w:val="left"/>
              <w:rPr>
                <w:rFonts w:ascii="Times New Roman"/>
                <w:sz w:val="21"/>
              </w:rPr>
            </w:pPr>
            <w:r>
              <w:rPr>
                <w:rFonts w:ascii="Times New Roman"/>
                <w:w w:val="99"/>
                <w:sz w:val="21"/>
              </w:rPr>
              <w:t>9</w:t>
            </w:r>
          </w:p>
        </w:tc>
        <w:tc>
          <w:tcPr>
            <w:tcW w:w="1731" w:type="dxa"/>
          </w:tcPr>
          <w:p>
            <w:pPr>
              <w:pStyle w:val="14"/>
              <w:spacing w:before="34"/>
              <w:ind w:left="328" w:right="329"/>
              <w:rPr>
                <w:rFonts w:ascii="Times New Roman"/>
                <w:sz w:val="21"/>
              </w:rPr>
            </w:pPr>
            <w:r>
              <w:rPr>
                <w:rFonts w:ascii="Times New Roman"/>
                <w:sz w:val="21"/>
              </w:rPr>
              <w:t>5152137.95</w:t>
            </w:r>
          </w:p>
        </w:tc>
        <w:tc>
          <w:tcPr>
            <w:tcW w:w="1755" w:type="dxa"/>
          </w:tcPr>
          <w:p>
            <w:pPr>
              <w:pStyle w:val="14"/>
              <w:spacing w:before="34"/>
              <w:ind w:left="287" w:right="289"/>
              <w:rPr>
                <w:rFonts w:ascii="Times New Roman"/>
                <w:sz w:val="21"/>
              </w:rPr>
            </w:pPr>
            <w:r>
              <w:rPr>
                <w:rFonts w:ascii="Times New Roman"/>
                <w:sz w:val="21"/>
              </w:rPr>
              <w:t>44436670.35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8" w:type="dxa"/>
          </w:tcPr>
          <w:p>
            <w:pPr>
              <w:pStyle w:val="14"/>
              <w:spacing w:before="34"/>
              <w:ind w:left="6"/>
              <w:rPr>
                <w:rFonts w:ascii="Times New Roman"/>
                <w:sz w:val="21"/>
              </w:rPr>
            </w:pPr>
            <w:r>
              <w:rPr>
                <w:rFonts w:ascii="Times New Roman"/>
                <w:w w:val="99"/>
                <w:sz w:val="21"/>
              </w:rPr>
              <w:t>5</w:t>
            </w:r>
          </w:p>
        </w:tc>
        <w:tc>
          <w:tcPr>
            <w:tcW w:w="1731" w:type="dxa"/>
          </w:tcPr>
          <w:p>
            <w:pPr>
              <w:pStyle w:val="14"/>
              <w:spacing w:before="34"/>
              <w:ind w:left="364"/>
              <w:jc w:val="left"/>
              <w:rPr>
                <w:rFonts w:ascii="Times New Roman"/>
                <w:sz w:val="21"/>
              </w:rPr>
            </w:pPr>
            <w:r>
              <w:rPr>
                <w:rFonts w:ascii="Times New Roman"/>
                <w:sz w:val="21"/>
              </w:rPr>
              <w:t>5152114.72</w:t>
            </w:r>
          </w:p>
        </w:tc>
        <w:tc>
          <w:tcPr>
            <w:tcW w:w="1752" w:type="dxa"/>
          </w:tcPr>
          <w:p>
            <w:pPr>
              <w:pStyle w:val="14"/>
              <w:spacing w:before="34"/>
              <w:ind w:left="291" w:right="289"/>
              <w:rPr>
                <w:rFonts w:ascii="Times New Roman"/>
                <w:sz w:val="21"/>
              </w:rPr>
            </w:pPr>
            <w:r>
              <w:rPr>
                <w:rFonts w:ascii="Times New Roman"/>
                <w:sz w:val="21"/>
              </w:rPr>
              <w:t>44436528.88</w:t>
            </w:r>
          </w:p>
        </w:tc>
        <w:tc>
          <w:tcPr>
            <w:tcW w:w="820" w:type="dxa"/>
          </w:tcPr>
          <w:p>
            <w:pPr>
              <w:pStyle w:val="14"/>
              <w:spacing w:before="34"/>
              <w:ind w:left="303"/>
              <w:jc w:val="left"/>
              <w:rPr>
                <w:rFonts w:ascii="Times New Roman"/>
                <w:sz w:val="21"/>
              </w:rPr>
            </w:pPr>
            <w:r>
              <w:rPr>
                <w:rFonts w:ascii="Times New Roman"/>
                <w:sz w:val="21"/>
              </w:rPr>
              <w:t>10</w:t>
            </w:r>
          </w:p>
        </w:tc>
        <w:tc>
          <w:tcPr>
            <w:tcW w:w="1731" w:type="dxa"/>
          </w:tcPr>
          <w:p>
            <w:pPr>
              <w:pStyle w:val="14"/>
              <w:spacing w:before="34"/>
              <w:ind w:left="328" w:right="329"/>
              <w:rPr>
                <w:rFonts w:ascii="Times New Roman"/>
                <w:sz w:val="21"/>
              </w:rPr>
            </w:pPr>
            <w:r>
              <w:rPr>
                <w:rFonts w:ascii="Times New Roman"/>
                <w:sz w:val="21"/>
              </w:rPr>
              <w:t>5152154.01</w:t>
            </w:r>
          </w:p>
        </w:tc>
        <w:tc>
          <w:tcPr>
            <w:tcW w:w="1755" w:type="dxa"/>
          </w:tcPr>
          <w:p>
            <w:pPr>
              <w:pStyle w:val="14"/>
              <w:spacing w:before="34"/>
              <w:ind w:left="287" w:right="289"/>
              <w:rPr>
                <w:rFonts w:ascii="Times New Roman"/>
                <w:sz w:val="21"/>
              </w:rPr>
            </w:pPr>
            <w:r>
              <w:rPr>
                <w:rFonts w:ascii="Times New Roman"/>
                <w:sz w:val="21"/>
              </w:rPr>
              <w:t>44436646.99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617" w:type="dxa"/>
            <w:gridSpan w:val="6"/>
          </w:tcPr>
          <w:p>
            <w:pPr>
              <w:pStyle w:val="14"/>
              <w:spacing w:before="22"/>
              <w:ind w:left="2924" w:right="2913"/>
              <w:rPr>
                <w:sz w:val="21"/>
              </w:rPr>
            </w:pPr>
            <w:r>
              <w:rPr>
                <w:sz w:val="21"/>
              </w:rPr>
              <w:t>工业广场面积：</w:t>
            </w:r>
            <w:r>
              <w:rPr>
                <w:rFonts w:ascii="Times New Roman" w:eastAsia="Times New Roman"/>
                <w:sz w:val="21"/>
              </w:rPr>
              <w:t xml:space="preserve">2.9767 </w:t>
            </w:r>
            <w:r>
              <w:rPr>
                <w:sz w:val="21"/>
              </w:rPr>
              <w:t>公顷。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617" w:type="dxa"/>
            <w:gridSpan w:val="6"/>
          </w:tcPr>
          <w:p>
            <w:pPr>
              <w:pStyle w:val="14"/>
              <w:spacing w:before="21"/>
              <w:ind w:left="743"/>
              <w:jc w:val="left"/>
              <w:rPr>
                <w:sz w:val="21"/>
              </w:rPr>
            </w:pPr>
            <w:r>
              <w:rPr>
                <w:sz w:val="21"/>
              </w:rPr>
              <w:t>扣除工业广场范围的复垦区为预测沉陷区范围：沉陷区面积：</w:t>
            </w:r>
            <w:r>
              <w:rPr>
                <w:rFonts w:ascii="Times New Roman" w:eastAsia="Times New Roman"/>
                <w:sz w:val="21"/>
              </w:rPr>
              <w:t xml:space="preserve">327.9211 </w:t>
            </w:r>
            <w:r>
              <w:rPr>
                <w:sz w:val="21"/>
              </w:rPr>
              <w:t>公顷。</w:t>
            </w:r>
          </w:p>
        </w:tc>
      </w:tr>
    </w:tbl>
    <w:p>
      <w:pPr>
        <w:spacing w:after="0"/>
        <w:jc w:val="left"/>
        <w:rPr>
          <w:sz w:val="21"/>
        </w:rPr>
        <w:sectPr>
          <w:pgSz w:w="11910" w:h="16840"/>
          <w:pgMar w:top="1420" w:right="1300" w:bottom="1100" w:left="1300" w:header="0" w:footer="917" w:gutter="0"/>
        </w:sectPr>
      </w:pPr>
    </w:p>
    <w:p>
      <w:pPr>
        <w:pStyle w:val="6"/>
        <w:rPr>
          <w:b/>
          <w:sz w:val="20"/>
        </w:rPr>
      </w:pPr>
      <w:r>
        <mc:AlternateContent>
          <mc:Choice Requires="wpg">
            <w:drawing>
              <wp:anchor distT="0" distB="0" distL="114300" distR="114300" simplePos="0" relativeHeight="251742208" behindDoc="0" locked="0" layoutInCell="1" allowOverlap="1">
                <wp:simplePos x="0" y="0"/>
                <wp:positionH relativeFrom="page">
                  <wp:posOffset>1705610</wp:posOffset>
                </wp:positionH>
                <wp:positionV relativeFrom="page">
                  <wp:posOffset>1679575</wp:posOffset>
                </wp:positionV>
                <wp:extent cx="7833995" cy="5010785"/>
                <wp:effectExtent l="635" t="635" r="13970" b="17780"/>
                <wp:wrapNone/>
                <wp:docPr id="252" name="组合 115"/>
                <wp:cNvGraphicFramePr/>
                <a:graphic xmlns:a="http://schemas.openxmlformats.org/drawingml/2006/main">
                  <a:graphicData uri="http://schemas.microsoft.com/office/word/2010/wordprocessingGroup">
                    <wpg:wgp>
                      <wpg:cNvGrpSpPr/>
                      <wpg:grpSpPr>
                        <a:xfrm>
                          <a:off x="0" y="0"/>
                          <a:ext cx="7833995" cy="5010785"/>
                          <a:chOff x="2687" y="2646"/>
                          <a:chExt cx="12337" cy="7891"/>
                        </a:xfrm>
                      </wpg:grpSpPr>
                      <pic:pic xmlns:pic="http://schemas.openxmlformats.org/drawingml/2006/picture">
                        <pic:nvPicPr>
                          <pic:cNvPr id="249" name="图片 116"/>
                          <pic:cNvPicPr>
                            <a:picLocks noChangeAspect="1"/>
                          </pic:cNvPicPr>
                        </pic:nvPicPr>
                        <pic:blipFill>
                          <a:blip r:embed="rId61"/>
                          <a:stretch>
                            <a:fillRect/>
                          </a:stretch>
                        </pic:blipFill>
                        <pic:spPr>
                          <a:xfrm>
                            <a:off x="2686" y="2645"/>
                            <a:ext cx="12337" cy="7328"/>
                          </a:xfrm>
                          <a:prstGeom prst="rect">
                            <a:avLst/>
                          </a:prstGeom>
                          <a:noFill/>
                          <a:ln>
                            <a:noFill/>
                          </a:ln>
                        </pic:spPr>
                      </pic:pic>
                      <pic:pic xmlns:pic="http://schemas.openxmlformats.org/drawingml/2006/picture">
                        <pic:nvPicPr>
                          <pic:cNvPr id="250" name="图片 117"/>
                          <pic:cNvPicPr>
                            <a:picLocks noChangeAspect="1"/>
                          </pic:cNvPicPr>
                        </pic:nvPicPr>
                        <pic:blipFill>
                          <a:blip r:embed="rId62"/>
                          <a:stretch>
                            <a:fillRect/>
                          </a:stretch>
                        </pic:blipFill>
                        <pic:spPr>
                          <a:xfrm>
                            <a:off x="6372" y="10039"/>
                            <a:ext cx="4172" cy="497"/>
                          </a:xfrm>
                          <a:prstGeom prst="rect">
                            <a:avLst/>
                          </a:prstGeom>
                          <a:noFill/>
                          <a:ln>
                            <a:noFill/>
                          </a:ln>
                        </pic:spPr>
                      </pic:pic>
                      <wps:wsp>
                        <wps:cNvPr id="251" name="文本框 118"/>
                        <wps:cNvSpPr txBox="1"/>
                        <wps:spPr>
                          <a:xfrm>
                            <a:off x="6372" y="10039"/>
                            <a:ext cx="4172" cy="497"/>
                          </a:xfrm>
                          <a:prstGeom prst="rect">
                            <a:avLst/>
                          </a:prstGeom>
                          <a:noFill/>
                          <a:ln>
                            <a:noFill/>
                          </a:ln>
                        </wps:spPr>
                        <wps:txbx>
                          <w:txbxContent>
                            <w:p>
                              <w:pPr>
                                <w:spacing w:before="75"/>
                                <w:ind w:left="815" w:right="0" w:firstLine="0"/>
                                <w:jc w:val="left"/>
                                <w:rPr>
                                  <w:rFonts w:hint="eastAsia" w:ascii="仿宋" w:eastAsia="仿宋"/>
                                  <w:b/>
                                  <w:sz w:val="24"/>
                                </w:rPr>
                              </w:pPr>
                              <w:r>
                                <w:rPr>
                                  <w:b/>
                                  <w:sz w:val="24"/>
                                </w:rPr>
                                <w:t xml:space="preserve">图 </w:t>
                              </w:r>
                              <w:r>
                                <w:rPr>
                                  <w:rFonts w:ascii="Times New Roman" w:eastAsia="Times New Roman"/>
                                  <w:b/>
                                  <w:sz w:val="24"/>
                                </w:rPr>
                                <w:t xml:space="preserve">5.5-1 </w:t>
                              </w:r>
                              <w:r>
                                <w:rPr>
                                  <w:rFonts w:hint="eastAsia" w:ascii="仿宋" w:eastAsia="仿宋"/>
                                  <w:b/>
                                  <w:sz w:val="24"/>
                                </w:rPr>
                                <w:t>土地复垦规划图</w:t>
                              </w:r>
                            </w:p>
                          </w:txbxContent>
                        </wps:txbx>
                        <wps:bodyPr lIns="0" tIns="0" rIns="0" bIns="0" upright="1"/>
                      </wps:wsp>
                    </wpg:wgp>
                  </a:graphicData>
                </a:graphic>
              </wp:anchor>
            </w:drawing>
          </mc:Choice>
          <mc:Fallback>
            <w:pict>
              <v:group id="组合 115" o:spid="_x0000_s1026" o:spt="203" style="position:absolute;left:0pt;margin-left:134.3pt;margin-top:132.25pt;height:394.55pt;width:616.85pt;mso-position-horizontal-relative:page;mso-position-vertical-relative:page;z-index:251742208;mso-width-relative:page;mso-height-relative:page;" coordorigin="2687,2646" coordsize="12337,7891" o:gfxdata="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">
                <o:lock v:ext="edit" aspectratio="f"/>
                <v:shape id="图片 116" o:spid="_x0000_s1026" o:spt="75" alt="" type="#_x0000_t75" style="position:absolute;left:2686;top:2645;height:7328;width:12337;" filled="f" o:preferrelative="t" stroked="f" coordsize="21600,21600" o:gfxdata="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xDM8vQAA&#10;ANwAAAAPAAAAAAAAAAEAIAAAACIAAABkcnMvZG93bnJldi54bWxQSwECFAAUAAAACACHTuJAMy8F&#10;njsAAAA5AAAAEAAAAAAAAAABACAAAAAMAQAAZHJzL3NoYXBleG1sLnhtbFBLBQYAAAAABgAGAFsB&#10;AAC2AwAAAAA=&#10;">
                  <v:fill on="f" focussize="0,0"/>
                  <v:stroke on="f"/>
                  <v:imagedata r:id="rId61" o:title=""/>
                  <o:lock v:ext="edit" aspectratio="t"/>
                </v:shape>
                <v:shape id="图片 117" o:spid="_x0000_s1026" o:spt="75" alt="" type="#_x0000_t75" style="position:absolute;left:6372;top:10039;height:497;width:4172;" filled="f" o:preferrelative="t" stroked="f" coordsize="21600,21600" o:gfxdata="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GaYVLsAAADc&#10;AAAADwAAAAAAAAABACAAAAAiAAAAZHJzL2Rvd25yZXYueG1sUEsBAhQAFAAAAAgAh07iQDMvBZ47&#10;AAAAOQAAABAAAAAAAAAAAQAgAAAACgEAAGRycy9zaGFwZXhtbC54bWxQSwUGAAAAAAYABgBbAQAA&#10;tAMAAAAA&#10;">
                  <v:fill on="f" focussize="0,0"/>
                  <v:stroke on="f"/>
                  <v:imagedata r:id="rId62" o:title=""/>
                  <o:lock v:ext="edit" aspectratio="t"/>
                </v:shape>
                <v:shape id="文本框 118" o:spid="_x0000_s1026" o:spt="202" type="#_x0000_t202" style="position:absolute;left:6372;top:10039;height:497;width:4172;" filled="f" stroked="f" coordsize="21600,21600" o:gfxdata="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q9m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75"/>
                          <w:ind w:left="815" w:right="0" w:firstLine="0"/>
                          <w:jc w:val="left"/>
                          <w:rPr>
                            <w:rFonts w:hint="eastAsia" w:ascii="仿宋" w:eastAsia="仿宋"/>
                            <w:b/>
                            <w:sz w:val="24"/>
                          </w:rPr>
                        </w:pPr>
                        <w:r>
                          <w:rPr>
                            <w:b/>
                            <w:sz w:val="24"/>
                          </w:rPr>
                          <w:t xml:space="preserve">图 </w:t>
                        </w:r>
                        <w:r>
                          <w:rPr>
                            <w:rFonts w:ascii="Times New Roman" w:eastAsia="Times New Roman"/>
                            <w:b/>
                            <w:sz w:val="24"/>
                          </w:rPr>
                          <w:t xml:space="preserve">5.5-1 </w:t>
                        </w:r>
                        <w:r>
                          <w:rPr>
                            <w:rFonts w:hint="eastAsia" w:ascii="仿宋" w:eastAsia="仿宋"/>
                            <w:b/>
                            <w:sz w:val="24"/>
                          </w:rPr>
                          <w:t>土地复垦规划图</w:t>
                        </w:r>
                      </w:p>
                    </w:txbxContent>
                  </v:textbox>
                </v:shape>
              </v:group>
            </w:pict>
          </mc:Fallback>
        </mc:AlternateContent>
      </w: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spacing w:before="9"/>
        <w:rPr>
          <w:b/>
          <w:sz w:val="21"/>
        </w:rPr>
      </w:pPr>
    </w:p>
    <w:p>
      <w:pPr>
        <w:spacing w:before="63"/>
        <w:ind w:left="5888" w:right="5888" w:firstLine="0"/>
        <w:jc w:val="center"/>
        <w:rPr>
          <w:rFonts w:ascii="Calibri"/>
          <w:sz w:val="18"/>
        </w:rPr>
      </w:pPr>
      <w:r>
        <w:rPr>
          <w:rFonts w:ascii="Calibri"/>
          <w:sz w:val="18"/>
        </w:rPr>
        <w:t>92</w:t>
      </w:r>
    </w:p>
    <w:p>
      <w:pPr>
        <w:spacing w:after="0"/>
        <w:jc w:val="center"/>
        <w:rPr>
          <w:rFonts w:ascii="Calibri"/>
          <w:sz w:val="18"/>
        </w:rPr>
        <w:sectPr>
          <w:footerReference r:id="rId18" w:type="default"/>
          <w:pgSz w:w="16840" w:h="11910" w:orient="landscape"/>
          <w:pgMar w:top="1100" w:right="2420" w:bottom="280" w:left="2420" w:header="0" w:footer="0" w:gutter="0"/>
        </w:sectPr>
      </w:pPr>
    </w:p>
    <w:p>
      <w:pPr>
        <w:pStyle w:val="6"/>
        <w:spacing w:before="42"/>
        <w:ind w:left="1031"/>
      </w:pPr>
      <w:r>
        <w:t>复垦区土地利用现状见下表：</w:t>
      </w:r>
    </w:p>
    <w:p>
      <w:pPr>
        <w:pStyle w:val="5"/>
        <w:tabs>
          <w:tab w:val="left" w:pos="1039"/>
        </w:tabs>
        <w:spacing w:before="84"/>
        <w:ind w:right="396"/>
        <w:jc w:val="center"/>
      </w:pPr>
      <w:r>
        <w:t>表</w:t>
      </w:r>
      <w:r>
        <w:rPr>
          <w:spacing w:val="-62"/>
        </w:rPr>
        <w:t xml:space="preserve"> </w:t>
      </w:r>
      <w:r>
        <w:rPr>
          <w:rFonts w:ascii="Times New Roman" w:eastAsia="Times New Roman"/>
        </w:rPr>
        <w:t>5.5-2</w:t>
      </w:r>
      <w:r>
        <w:rPr>
          <w:rFonts w:ascii="Times New Roman" w:eastAsia="Times New Roman"/>
        </w:rPr>
        <w:tab/>
      </w:r>
      <w:r>
        <w:t>双鸭山大顺矿业有限公司土地复垦区土地利用现状表</w:t>
      </w:r>
    </w:p>
    <w:tbl>
      <w:tblPr>
        <w:tblStyle w:val="10"/>
        <w:tblW w:w="0" w:type="auto"/>
        <w:tblInd w:w="4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3"/>
        <w:gridCol w:w="874"/>
        <w:gridCol w:w="2323"/>
        <w:gridCol w:w="750"/>
        <w:gridCol w:w="1400"/>
        <w:gridCol w:w="1400"/>
        <w:gridCol w:w="11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23" w:type="dxa"/>
            <w:vMerge w:val="restart"/>
          </w:tcPr>
          <w:p>
            <w:pPr>
              <w:pStyle w:val="14"/>
              <w:spacing w:before="1"/>
              <w:jc w:val="left"/>
              <w:rPr>
                <w:b/>
                <w:sz w:val="16"/>
              </w:rPr>
            </w:pPr>
          </w:p>
          <w:p>
            <w:pPr>
              <w:pStyle w:val="14"/>
              <w:ind w:left="150"/>
              <w:jc w:val="left"/>
              <w:rPr>
                <w:sz w:val="21"/>
              </w:rPr>
            </w:pPr>
            <w:r>
              <w:rPr>
                <w:sz w:val="21"/>
              </w:rPr>
              <w:t>区域</w:t>
            </w:r>
          </w:p>
        </w:tc>
        <w:tc>
          <w:tcPr>
            <w:tcW w:w="3197" w:type="dxa"/>
            <w:gridSpan w:val="2"/>
          </w:tcPr>
          <w:p>
            <w:pPr>
              <w:pStyle w:val="14"/>
              <w:spacing w:before="33"/>
              <w:ind w:left="1156" w:right="1151"/>
              <w:rPr>
                <w:sz w:val="21"/>
              </w:rPr>
            </w:pPr>
            <w:r>
              <w:rPr>
                <w:sz w:val="21"/>
              </w:rPr>
              <w:t>一级地类</w:t>
            </w:r>
          </w:p>
        </w:tc>
        <w:tc>
          <w:tcPr>
            <w:tcW w:w="2150" w:type="dxa"/>
            <w:gridSpan w:val="2"/>
          </w:tcPr>
          <w:p>
            <w:pPr>
              <w:pStyle w:val="14"/>
              <w:spacing w:before="33"/>
              <w:ind w:left="654"/>
              <w:jc w:val="left"/>
              <w:rPr>
                <w:sz w:val="21"/>
              </w:rPr>
            </w:pPr>
            <w:r>
              <w:rPr>
                <w:sz w:val="21"/>
              </w:rPr>
              <w:t>二级地类</w:t>
            </w:r>
          </w:p>
        </w:tc>
        <w:tc>
          <w:tcPr>
            <w:tcW w:w="1400" w:type="dxa"/>
            <w:vMerge w:val="restart"/>
          </w:tcPr>
          <w:p>
            <w:pPr>
              <w:pStyle w:val="14"/>
              <w:spacing w:before="1"/>
              <w:jc w:val="left"/>
              <w:rPr>
                <w:b/>
                <w:sz w:val="16"/>
              </w:rPr>
            </w:pPr>
          </w:p>
          <w:p>
            <w:pPr>
              <w:pStyle w:val="14"/>
              <w:ind w:left="210"/>
              <w:jc w:val="left"/>
              <w:rPr>
                <w:rFonts w:ascii="Times New Roman" w:eastAsia="Times New Roman"/>
                <w:sz w:val="21"/>
              </w:rPr>
            </w:pPr>
            <w:r>
              <w:rPr>
                <w:sz w:val="21"/>
              </w:rPr>
              <w:t>面积</w:t>
            </w:r>
            <w:r>
              <w:rPr>
                <w:rFonts w:ascii="Times New Roman" w:eastAsia="Times New Roman"/>
                <w:sz w:val="21"/>
              </w:rPr>
              <w:t>(</w:t>
            </w:r>
            <w:r>
              <w:rPr>
                <w:sz w:val="21"/>
              </w:rPr>
              <w:t>公顷</w:t>
            </w:r>
            <w:r>
              <w:rPr>
                <w:rFonts w:ascii="Times New Roman" w:eastAsia="Times New Roman"/>
                <w:sz w:val="21"/>
              </w:rPr>
              <w:t>)</w:t>
            </w:r>
          </w:p>
        </w:tc>
        <w:tc>
          <w:tcPr>
            <w:tcW w:w="1148" w:type="dxa"/>
            <w:vMerge w:val="restart"/>
          </w:tcPr>
          <w:p>
            <w:pPr>
              <w:pStyle w:val="14"/>
              <w:spacing w:before="86" w:line="255" w:lineRule="exact"/>
              <w:ind w:left="257"/>
              <w:jc w:val="left"/>
              <w:rPr>
                <w:sz w:val="21"/>
              </w:rPr>
            </w:pPr>
            <w:r>
              <w:rPr>
                <w:w w:val="95"/>
                <w:sz w:val="21"/>
              </w:rPr>
              <w:t>百分比</w:t>
            </w:r>
          </w:p>
          <w:p>
            <w:pPr>
              <w:pStyle w:val="14"/>
              <w:spacing w:line="255" w:lineRule="exact"/>
              <w:ind w:left="276"/>
              <w:jc w:val="left"/>
              <w:rPr>
                <w:sz w:val="21"/>
              </w:rPr>
            </w:pPr>
            <w:r>
              <w:rPr>
                <w:sz w:val="21"/>
              </w:rPr>
              <w:t>（</w:t>
            </w:r>
            <w:r>
              <w:rPr>
                <w:rFonts w:ascii="Times New Roman" w:eastAsia="Times New Roman"/>
                <w:sz w:val="21"/>
              </w:rPr>
              <w:t>%</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23" w:type="dxa"/>
            <w:vMerge w:val="continue"/>
            <w:tcBorders>
              <w:top w:val="nil"/>
            </w:tcBorders>
          </w:tcPr>
          <w:p>
            <w:pPr>
              <w:rPr>
                <w:sz w:val="2"/>
                <w:szCs w:val="2"/>
              </w:rPr>
            </w:pPr>
          </w:p>
        </w:tc>
        <w:tc>
          <w:tcPr>
            <w:tcW w:w="874" w:type="dxa"/>
          </w:tcPr>
          <w:p>
            <w:pPr>
              <w:pStyle w:val="14"/>
              <w:spacing w:before="31"/>
              <w:ind w:left="205" w:right="197"/>
              <w:rPr>
                <w:sz w:val="21"/>
              </w:rPr>
            </w:pPr>
            <w:r>
              <w:rPr>
                <w:sz w:val="21"/>
              </w:rPr>
              <w:t>编码</w:t>
            </w:r>
          </w:p>
        </w:tc>
        <w:tc>
          <w:tcPr>
            <w:tcW w:w="2323" w:type="dxa"/>
          </w:tcPr>
          <w:p>
            <w:pPr>
              <w:pStyle w:val="14"/>
              <w:spacing w:before="31"/>
              <w:ind w:left="299" w:right="292"/>
              <w:rPr>
                <w:sz w:val="21"/>
              </w:rPr>
            </w:pPr>
            <w:r>
              <w:rPr>
                <w:sz w:val="21"/>
              </w:rPr>
              <w:t>名称</w:t>
            </w:r>
          </w:p>
        </w:tc>
        <w:tc>
          <w:tcPr>
            <w:tcW w:w="750" w:type="dxa"/>
          </w:tcPr>
          <w:p>
            <w:pPr>
              <w:pStyle w:val="14"/>
              <w:spacing w:before="31"/>
              <w:ind w:left="164"/>
              <w:jc w:val="left"/>
              <w:rPr>
                <w:sz w:val="21"/>
              </w:rPr>
            </w:pPr>
            <w:r>
              <w:rPr>
                <w:sz w:val="21"/>
              </w:rPr>
              <w:t>编码</w:t>
            </w:r>
          </w:p>
        </w:tc>
        <w:tc>
          <w:tcPr>
            <w:tcW w:w="1400" w:type="dxa"/>
          </w:tcPr>
          <w:p>
            <w:pPr>
              <w:pStyle w:val="14"/>
              <w:spacing w:before="31"/>
              <w:ind w:left="240" w:right="233"/>
              <w:rPr>
                <w:sz w:val="21"/>
              </w:rPr>
            </w:pPr>
            <w:r>
              <w:rPr>
                <w:sz w:val="21"/>
              </w:rPr>
              <w:t>名称</w:t>
            </w:r>
          </w:p>
        </w:tc>
        <w:tc>
          <w:tcPr>
            <w:tcW w:w="1400" w:type="dxa"/>
            <w:vMerge w:val="continue"/>
            <w:tcBorders>
              <w:top w:val="nil"/>
            </w:tcBorders>
          </w:tcPr>
          <w:p>
            <w:pPr>
              <w:rPr>
                <w:sz w:val="2"/>
                <w:szCs w:val="2"/>
              </w:rPr>
            </w:pPr>
          </w:p>
        </w:tc>
        <w:tc>
          <w:tcPr>
            <w:tcW w:w="114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23" w:type="dxa"/>
            <w:vMerge w:val="restart"/>
          </w:tcPr>
          <w:p>
            <w:pPr>
              <w:pStyle w:val="14"/>
              <w:spacing w:before="110" w:line="213" w:lineRule="auto"/>
              <w:ind w:left="150" w:right="142"/>
              <w:jc w:val="left"/>
              <w:rPr>
                <w:sz w:val="21"/>
              </w:rPr>
            </w:pPr>
            <w:r>
              <w:rPr>
                <w:sz w:val="21"/>
              </w:rPr>
              <w:t>工业广场</w:t>
            </w:r>
          </w:p>
        </w:tc>
        <w:tc>
          <w:tcPr>
            <w:tcW w:w="874" w:type="dxa"/>
          </w:tcPr>
          <w:p>
            <w:pPr>
              <w:pStyle w:val="14"/>
              <w:spacing w:before="45"/>
              <w:ind w:left="205" w:right="194"/>
              <w:rPr>
                <w:rFonts w:ascii="Times New Roman"/>
                <w:sz w:val="21"/>
              </w:rPr>
            </w:pPr>
            <w:r>
              <w:rPr>
                <w:rFonts w:ascii="Times New Roman"/>
                <w:sz w:val="21"/>
              </w:rPr>
              <w:t>20</w:t>
            </w:r>
          </w:p>
        </w:tc>
        <w:tc>
          <w:tcPr>
            <w:tcW w:w="2323" w:type="dxa"/>
          </w:tcPr>
          <w:p>
            <w:pPr>
              <w:pStyle w:val="14"/>
              <w:spacing w:before="31"/>
              <w:ind w:left="299" w:right="294"/>
              <w:rPr>
                <w:sz w:val="21"/>
              </w:rPr>
            </w:pPr>
            <w:r>
              <w:rPr>
                <w:sz w:val="21"/>
              </w:rPr>
              <w:t>城镇村及工矿用地</w:t>
            </w:r>
          </w:p>
        </w:tc>
        <w:tc>
          <w:tcPr>
            <w:tcW w:w="750" w:type="dxa"/>
          </w:tcPr>
          <w:p>
            <w:pPr>
              <w:pStyle w:val="14"/>
              <w:spacing w:before="45"/>
              <w:ind w:left="217"/>
              <w:jc w:val="left"/>
              <w:rPr>
                <w:rFonts w:ascii="Times New Roman"/>
                <w:sz w:val="21"/>
              </w:rPr>
            </w:pPr>
            <w:r>
              <w:rPr>
                <w:rFonts w:ascii="Times New Roman"/>
                <w:sz w:val="21"/>
              </w:rPr>
              <w:t>204</w:t>
            </w:r>
          </w:p>
        </w:tc>
        <w:tc>
          <w:tcPr>
            <w:tcW w:w="1400" w:type="dxa"/>
          </w:tcPr>
          <w:p>
            <w:pPr>
              <w:pStyle w:val="14"/>
              <w:spacing w:before="31"/>
              <w:ind w:right="271"/>
              <w:jc w:val="right"/>
              <w:rPr>
                <w:sz w:val="21"/>
              </w:rPr>
            </w:pPr>
            <w:r>
              <w:rPr>
                <w:w w:val="95"/>
                <w:sz w:val="21"/>
              </w:rPr>
              <w:t>采矿用地</w:t>
            </w:r>
          </w:p>
        </w:tc>
        <w:tc>
          <w:tcPr>
            <w:tcW w:w="1400" w:type="dxa"/>
          </w:tcPr>
          <w:p>
            <w:pPr>
              <w:pStyle w:val="14"/>
              <w:spacing w:before="45"/>
              <w:ind w:left="239" w:right="233"/>
              <w:rPr>
                <w:rFonts w:ascii="Times New Roman"/>
                <w:sz w:val="21"/>
              </w:rPr>
            </w:pPr>
            <w:r>
              <w:rPr>
                <w:rFonts w:ascii="Times New Roman"/>
                <w:sz w:val="21"/>
              </w:rPr>
              <w:t>2.9767</w:t>
            </w:r>
          </w:p>
        </w:tc>
        <w:tc>
          <w:tcPr>
            <w:tcW w:w="1148" w:type="dxa"/>
          </w:tcPr>
          <w:p>
            <w:pPr>
              <w:pStyle w:val="14"/>
              <w:spacing w:before="45"/>
              <w:ind w:right="274"/>
              <w:jc w:val="right"/>
              <w:rPr>
                <w:rFonts w:ascii="Times New Roman"/>
                <w:sz w:val="21"/>
              </w:rPr>
            </w:pPr>
            <w:r>
              <w:rPr>
                <w:rFonts w:ascii="Times New Roman"/>
                <w:w w:val="95"/>
                <w:sz w:val="21"/>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23" w:type="dxa"/>
            <w:vMerge w:val="continue"/>
            <w:tcBorders>
              <w:top w:val="nil"/>
            </w:tcBorders>
          </w:tcPr>
          <w:p>
            <w:pPr>
              <w:rPr>
                <w:sz w:val="2"/>
                <w:szCs w:val="2"/>
              </w:rPr>
            </w:pPr>
          </w:p>
        </w:tc>
        <w:tc>
          <w:tcPr>
            <w:tcW w:w="5347" w:type="dxa"/>
            <w:gridSpan w:val="4"/>
          </w:tcPr>
          <w:p>
            <w:pPr>
              <w:pStyle w:val="14"/>
              <w:spacing w:before="32"/>
              <w:ind w:left="2440" w:right="2437"/>
              <w:rPr>
                <w:sz w:val="21"/>
              </w:rPr>
            </w:pPr>
            <w:r>
              <w:rPr>
                <w:sz w:val="21"/>
              </w:rPr>
              <w:t>小计</w:t>
            </w:r>
          </w:p>
        </w:tc>
        <w:tc>
          <w:tcPr>
            <w:tcW w:w="1400" w:type="dxa"/>
          </w:tcPr>
          <w:p>
            <w:pPr>
              <w:pStyle w:val="14"/>
              <w:spacing w:before="46"/>
              <w:ind w:left="239" w:right="233"/>
              <w:rPr>
                <w:rFonts w:ascii="Times New Roman"/>
                <w:sz w:val="21"/>
              </w:rPr>
            </w:pPr>
            <w:r>
              <w:rPr>
                <w:rFonts w:ascii="Times New Roman"/>
                <w:sz w:val="21"/>
              </w:rPr>
              <w:t>2.9767</w:t>
            </w:r>
          </w:p>
        </w:tc>
        <w:tc>
          <w:tcPr>
            <w:tcW w:w="1148" w:type="dxa"/>
          </w:tcPr>
          <w:p>
            <w:pPr>
              <w:pStyle w:val="14"/>
              <w:spacing w:before="46"/>
              <w:ind w:left="370" w:right="360"/>
              <w:rPr>
                <w:rFonts w:ascii="Times New Roman"/>
                <w:sz w:val="21"/>
              </w:rPr>
            </w:pPr>
            <w:r>
              <w:rPr>
                <w:rFonts w:ascii="Times New Roman"/>
                <w:sz w:val="21"/>
              </w:rPr>
              <w:t>0.90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23" w:type="dxa"/>
            <w:vMerge w:val="restart"/>
          </w:tcPr>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spacing w:before="8"/>
              <w:jc w:val="left"/>
              <w:rPr>
                <w:b/>
                <w:sz w:val="20"/>
              </w:rPr>
            </w:pPr>
          </w:p>
          <w:p>
            <w:pPr>
              <w:pStyle w:val="14"/>
              <w:spacing w:line="204" w:lineRule="auto"/>
              <w:ind w:left="141" w:right="127"/>
              <w:jc w:val="both"/>
              <w:rPr>
                <w:sz w:val="22"/>
              </w:rPr>
            </w:pPr>
            <w:r>
              <w:rPr>
                <w:sz w:val="22"/>
              </w:rPr>
              <w:t>预测沉陷区</w:t>
            </w:r>
          </w:p>
        </w:tc>
        <w:tc>
          <w:tcPr>
            <w:tcW w:w="874" w:type="dxa"/>
          </w:tcPr>
          <w:p>
            <w:pPr>
              <w:pStyle w:val="14"/>
              <w:spacing w:before="74"/>
              <w:ind w:left="205" w:right="194"/>
              <w:rPr>
                <w:rFonts w:ascii="Times New Roman"/>
                <w:sz w:val="18"/>
              </w:rPr>
            </w:pPr>
            <w:r>
              <w:rPr>
                <w:rFonts w:ascii="Times New Roman"/>
                <w:sz w:val="18"/>
              </w:rPr>
              <w:t>01</w:t>
            </w:r>
          </w:p>
        </w:tc>
        <w:tc>
          <w:tcPr>
            <w:tcW w:w="2323" w:type="dxa"/>
          </w:tcPr>
          <w:p>
            <w:pPr>
              <w:pStyle w:val="14"/>
              <w:spacing w:before="62"/>
              <w:ind w:left="299" w:right="292"/>
              <w:rPr>
                <w:sz w:val="18"/>
              </w:rPr>
            </w:pPr>
            <w:r>
              <w:rPr>
                <w:sz w:val="18"/>
              </w:rPr>
              <w:t>耕地</w:t>
            </w:r>
          </w:p>
        </w:tc>
        <w:tc>
          <w:tcPr>
            <w:tcW w:w="750" w:type="dxa"/>
          </w:tcPr>
          <w:p>
            <w:pPr>
              <w:pStyle w:val="14"/>
              <w:spacing w:before="74"/>
              <w:ind w:left="238"/>
              <w:jc w:val="left"/>
              <w:rPr>
                <w:rFonts w:ascii="Times New Roman"/>
                <w:sz w:val="18"/>
              </w:rPr>
            </w:pPr>
            <w:r>
              <w:rPr>
                <w:rFonts w:ascii="Times New Roman"/>
                <w:sz w:val="18"/>
              </w:rPr>
              <w:t>013</w:t>
            </w:r>
          </w:p>
        </w:tc>
        <w:tc>
          <w:tcPr>
            <w:tcW w:w="1400" w:type="dxa"/>
          </w:tcPr>
          <w:p>
            <w:pPr>
              <w:pStyle w:val="14"/>
              <w:spacing w:before="62"/>
              <w:ind w:left="240" w:right="233"/>
              <w:rPr>
                <w:sz w:val="18"/>
              </w:rPr>
            </w:pPr>
            <w:r>
              <w:rPr>
                <w:sz w:val="18"/>
              </w:rPr>
              <w:t>旱地</w:t>
            </w:r>
          </w:p>
        </w:tc>
        <w:tc>
          <w:tcPr>
            <w:tcW w:w="1400" w:type="dxa"/>
          </w:tcPr>
          <w:p>
            <w:pPr>
              <w:pStyle w:val="14"/>
              <w:spacing w:before="46"/>
              <w:ind w:left="242" w:right="231"/>
              <w:rPr>
                <w:rFonts w:ascii="Times New Roman"/>
                <w:sz w:val="21"/>
              </w:rPr>
            </w:pPr>
            <w:r>
              <w:rPr>
                <w:rFonts w:ascii="Times New Roman"/>
                <w:sz w:val="21"/>
              </w:rPr>
              <w:t>55.9479</w:t>
            </w:r>
          </w:p>
        </w:tc>
        <w:tc>
          <w:tcPr>
            <w:tcW w:w="1148" w:type="dxa"/>
          </w:tcPr>
          <w:p>
            <w:pPr>
              <w:pStyle w:val="14"/>
              <w:spacing w:before="46"/>
              <w:ind w:right="324"/>
              <w:jc w:val="right"/>
              <w:rPr>
                <w:rFonts w:ascii="Times New Roman"/>
                <w:sz w:val="21"/>
              </w:rPr>
            </w:pPr>
            <w:r>
              <w:rPr>
                <w:rFonts w:ascii="Times New Roman"/>
                <w:sz w:val="21"/>
              </w:rPr>
              <w:t>17.06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23" w:type="dxa"/>
            <w:vMerge w:val="continue"/>
            <w:tcBorders>
              <w:top w:val="nil"/>
            </w:tcBorders>
          </w:tcPr>
          <w:p>
            <w:pPr>
              <w:rPr>
                <w:sz w:val="2"/>
                <w:szCs w:val="2"/>
              </w:rPr>
            </w:pPr>
          </w:p>
        </w:tc>
        <w:tc>
          <w:tcPr>
            <w:tcW w:w="874" w:type="dxa"/>
          </w:tcPr>
          <w:p>
            <w:pPr>
              <w:pStyle w:val="14"/>
              <w:spacing w:before="74"/>
              <w:ind w:left="205" w:right="194"/>
              <w:rPr>
                <w:rFonts w:ascii="Times New Roman"/>
                <w:sz w:val="18"/>
              </w:rPr>
            </w:pPr>
            <w:r>
              <w:rPr>
                <w:rFonts w:ascii="Times New Roman"/>
                <w:sz w:val="18"/>
              </w:rPr>
              <w:t>02</w:t>
            </w:r>
          </w:p>
        </w:tc>
        <w:tc>
          <w:tcPr>
            <w:tcW w:w="2323" w:type="dxa"/>
          </w:tcPr>
          <w:p>
            <w:pPr>
              <w:pStyle w:val="14"/>
              <w:spacing w:before="62"/>
              <w:ind w:left="299" w:right="292"/>
              <w:rPr>
                <w:sz w:val="18"/>
              </w:rPr>
            </w:pPr>
            <w:r>
              <w:rPr>
                <w:sz w:val="18"/>
              </w:rPr>
              <w:t>园地</w:t>
            </w:r>
          </w:p>
        </w:tc>
        <w:tc>
          <w:tcPr>
            <w:tcW w:w="750" w:type="dxa"/>
          </w:tcPr>
          <w:p>
            <w:pPr>
              <w:pStyle w:val="14"/>
              <w:spacing w:before="74"/>
              <w:ind w:left="238"/>
              <w:jc w:val="left"/>
              <w:rPr>
                <w:rFonts w:ascii="Times New Roman"/>
                <w:sz w:val="18"/>
              </w:rPr>
            </w:pPr>
            <w:r>
              <w:rPr>
                <w:rFonts w:ascii="Times New Roman"/>
                <w:sz w:val="18"/>
              </w:rPr>
              <w:t>023</w:t>
            </w:r>
          </w:p>
        </w:tc>
        <w:tc>
          <w:tcPr>
            <w:tcW w:w="1400" w:type="dxa"/>
          </w:tcPr>
          <w:p>
            <w:pPr>
              <w:pStyle w:val="14"/>
              <w:spacing w:before="62"/>
              <w:ind w:right="329"/>
              <w:jc w:val="right"/>
              <w:rPr>
                <w:sz w:val="18"/>
              </w:rPr>
            </w:pPr>
            <w:r>
              <w:rPr>
                <w:sz w:val="18"/>
              </w:rPr>
              <w:t>其他园地</w:t>
            </w:r>
          </w:p>
        </w:tc>
        <w:tc>
          <w:tcPr>
            <w:tcW w:w="1400" w:type="dxa"/>
          </w:tcPr>
          <w:p>
            <w:pPr>
              <w:pStyle w:val="14"/>
              <w:spacing w:before="46"/>
              <w:ind w:left="239" w:right="233"/>
              <w:rPr>
                <w:rFonts w:ascii="Times New Roman"/>
                <w:sz w:val="21"/>
              </w:rPr>
            </w:pPr>
            <w:r>
              <w:rPr>
                <w:rFonts w:ascii="Times New Roman"/>
                <w:sz w:val="21"/>
              </w:rPr>
              <w:t>1.1141</w:t>
            </w:r>
          </w:p>
        </w:tc>
        <w:tc>
          <w:tcPr>
            <w:tcW w:w="1148" w:type="dxa"/>
          </w:tcPr>
          <w:p>
            <w:pPr>
              <w:pStyle w:val="14"/>
              <w:spacing w:before="46"/>
              <w:ind w:left="370" w:right="360"/>
              <w:rPr>
                <w:rFonts w:ascii="Times New Roman"/>
                <w:sz w:val="21"/>
              </w:rPr>
            </w:pPr>
            <w:r>
              <w:rPr>
                <w:rFonts w:ascii="Times New Roman"/>
                <w:sz w:val="21"/>
              </w:rPr>
              <w:t>0.34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23" w:type="dxa"/>
            <w:vMerge w:val="continue"/>
            <w:tcBorders>
              <w:top w:val="nil"/>
            </w:tcBorders>
          </w:tcPr>
          <w:p>
            <w:pPr>
              <w:rPr>
                <w:sz w:val="2"/>
                <w:szCs w:val="2"/>
              </w:rPr>
            </w:pPr>
          </w:p>
        </w:tc>
        <w:tc>
          <w:tcPr>
            <w:tcW w:w="874" w:type="dxa"/>
          </w:tcPr>
          <w:p>
            <w:pPr>
              <w:pStyle w:val="14"/>
              <w:spacing w:before="75"/>
              <w:ind w:left="205" w:right="194"/>
              <w:rPr>
                <w:rFonts w:ascii="Times New Roman"/>
                <w:sz w:val="18"/>
              </w:rPr>
            </w:pPr>
            <w:r>
              <w:rPr>
                <w:rFonts w:ascii="Times New Roman"/>
                <w:sz w:val="18"/>
              </w:rPr>
              <w:t>03</w:t>
            </w:r>
          </w:p>
        </w:tc>
        <w:tc>
          <w:tcPr>
            <w:tcW w:w="2323" w:type="dxa"/>
          </w:tcPr>
          <w:p>
            <w:pPr>
              <w:pStyle w:val="14"/>
              <w:spacing w:before="63"/>
              <w:ind w:left="299" w:right="292"/>
              <w:rPr>
                <w:sz w:val="18"/>
              </w:rPr>
            </w:pPr>
            <w:r>
              <w:rPr>
                <w:sz w:val="18"/>
              </w:rPr>
              <w:t>林地</w:t>
            </w:r>
          </w:p>
        </w:tc>
        <w:tc>
          <w:tcPr>
            <w:tcW w:w="750" w:type="dxa"/>
          </w:tcPr>
          <w:p>
            <w:pPr>
              <w:pStyle w:val="14"/>
              <w:spacing w:before="75"/>
              <w:ind w:left="238"/>
              <w:jc w:val="left"/>
              <w:rPr>
                <w:rFonts w:ascii="Times New Roman"/>
                <w:sz w:val="18"/>
              </w:rPr>
            </w:pPr>
            <w:r>
              <w:rPr>
                <w:rFonts w:ascii="Times New Roman"/>
                <w:sz w:val="18"/>
              </w:rPr>
              <w:t>031</w:t>
            </w:r>
          </w:p>
        </w:tc>
        <w:tc>
          <w:tcPr>
            <w:tcW w:w="1400" w:type="dxa"/>
          </w:tcPr>
          <w:p>
            <w:pPr>
              <w:pStyle w:val="14"/>
              <w:spacing w:before="63"/>
              <w:ind w:left="429"/>
              <w:jc w:val="left"/>
              <w:rPr>
                <w:sz w:val="18"/>
              </w:rPr>
            </w:pPr>
            <w:r>
              <w:rPr>
                <w:sz w:val="18"/>
              </w:rPr>
              <w:t>有林地</w:t>
            </w:r>
          </w:p>
        </w:tc>
        <w:tc>
          <w:tcPr>
            <w:tcW w:w="1400" w:type="dxa"/>
          </w:tcPr>
          <w:p>
            <w:pPr>
              <w:pStyle w:val="14"/>
              <w:spacing w:before="47"/>
              <w:ind w:left="242" w:right="231"/>
              <w:rPr>
                <w:rFonts w:ascii="Times New Roman"/>
                <w:sz w:val="21"/>
              </w:rPr>
            </w:pPr>
            <w:r>
              <w:rPr>
                <w:rFonts w:ascii="Times New Roman"/>
                <w:sz w:val="21"/>
              </w:rPr>
              <w:t>226.7994</w:t>
            </w:r>
          </w:p>
        </w:tc>
        <w:tc>
          <w:tcPr>
            <w:tcW w:w="1148" w:type="dxa"/>
          </w:tcPr>
          <w:p>
            <w:pPr>
              <w:pStyle w:val="14"/>
              <w:spacing w:before="47"/>
              <w:ind w:right="324"/>
              <w:jc w:val="right"/>
              <w:rPr>
                <w:rFonts w:ascii="Times New Roman"/>
                <w:sz w:val="21"/>
              </w:rPr>
            </w:pPr>
            <w:r>
              <w:rPr>
                <w:rFonts w:ascii="Times New Roman"/>
                <w:sz w:val="21"/>
              </w:rPr>
              <w:t>69.16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23" w:type="dxa"/>
            <w:vMerge w:val="continue"/>
            <w:tcBorders>
              <w:top w:val="nil"/>
            </w:tcBorders>
          </w:tcPr>
          <w:p>
            <w:pPr>
              <w:rPr>
                <w:sz w:val="2"/>
                <w:szCs w:val="2"/>
              </w:rPr>
            </w:pPr>
          </w:p>
        </w:tc>
        <w:tc>
          <w:tcPr>
            <w:tcW w:w="874" w:type="dxa"/>
          </w:tcPr>
          <w:p>
            <w:pPr>
              <w:pStyle w:val="14"/>
              <w:spacing w:before="73"/>
              <w:ind w:left="205" w:right="194"/>
              <w:rPr>
                <w:rFonts w:ascii="Times New Roman"/>
                <w:sz w:val="18"/>
              </w:rPr>
            </w:pPr>
            <w:r>
              <w:rPr>
                <w:rFonts w:ascii="Times New Roman"/>
                <w:sz w:val="18"/>
              </w:rPr>
              <w:t>10</w:t>
            </w:r>
          </w:p>
        </w:tc>
        <w:tc>
          <w:tcPr>
            <w:tcW w:w="2323" w:type="dxa"/>
          </w:tcPr>
          <w:p>
            <w:pPr>
              <w:pStyle w:val="14"/>
              <w:spacing w:before="63"/>
              <w:ind w:left="299" w:right="292"/>
              <w:rPr>
                <w:sz w:val="18"/>
              </w:rPr>
            </w:pPr>
            <w:r>
              <w:rPr>
                <w:sz w:val="18"/>
              </w:rPr>
              <w:t>交通设施用地</w:t>
            </w:r>
          </w:p>
        </w:tc>
        <w:tc>
          <w:tcPr>
            <w:tcW w:w="750" w:type="dxa"/>
          </w:tcPr>
          <w:p>
            <w:pPr>
              <w:pStyle w:val="14"/>
              <w:spacing w:before="73"/>
              <w:ind w:left="238"/>
              <w:jc w:val="left"/>
              <w:rPr>
                <w:rFonts w:ascii="Times New Roman"/>
                <w:sz w:val="18"/>
              </w:rPr>
            </w:pPr>
            <w:r>
              <w:rPr>
                <w:rFonts w:ascii="Times New Roman"/>
                <w:sz w:val="18"/>
              </w:rPr>
              <w:t>104</w:t>
            </w:r>
          </w:p>
        </w:tc>
        <w:tc>
          <w:tcPr>
            <w:tcW w:w="1400" w:type="dxa"/>
          </w:tcPr>
          <w:p>
            <w:pPr>
              <w:pStyle w:val="14"/>
              <w:spacing w:before="63"/>
              <w:ind w:right="329"/>
              <w:jc w:val="right"/>
              <w:rPr>
                <w:sz w:val="18"/>
              </w:rPr>
            </w:pPr>
            <w:r>
              <w:rPr>
                <w:sz w:val="18"/>
              </w:rPr>
              <w:t>农村道路</w:t>
            </w:r>
          </w:p>
        </w:tc>
        <w:tc>
          <w:tcPr>
            <w:tcW w:w="1400" w:type="dxa"/>
          </w:tcPr>
          <w:p>
            <w:pPr>
              <w:pStyle w:val="14"/>
              <w:spacing w:before="45"/>
              <w:ind w:left="242" w:right="231"/>
              <w:rPr>
                <w:rFonts w:ascii="Times New Roman"/>
                <w:sz w:val="21"/>
              </w:rPr>
            </w:pPr>
            <w:r>
              <w:rPr>
                <w:rFonts w:ascii="Times New Roman"/>
                <w:sz w:val="21"/>
              </w:rPr>
              <w:t>10.9999</w:t>
            </w:r>
          </w:p>
        </w:tc>
        <w:tc>
          <w:tcPr>
            <w:tcW w:w="1148" w:type="dxa"/>
          </w:tcPr>
          <w:p>
            <w:pPr>
              <w:pStyle w:val="14"/>
              <w:spacing w:before="45"/>
              <w:ind w:left="370" w:right="360"/>
              <w:rPr>
                <w:rFonts w:ascii="Times New Roman"/>
                <w:sz w:val="21"/>
              </w:rPr>
            </w:pPr>
            <w:r>
              <w:rPr>
                <w:rFonts w:ascii="Times New Roman"/>
                <w:sz w:val="21"/>
              </w:rPr>
              <w:t>3.35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23" w:type="dxa"/>
            <w:vMerge w:val="continue"/>
            <w:tcBorders>
              <w:top w:val="nil"/>
            </w:tcBorders>
          </w:tcPr>
          <w:p>
            <w:pPr>
              <w:rPr>
                <w:sz w:val="2"/>
                <w:szCs w:val="2"/>
              </w:rPr>
            </w:pPr>
          </w:p>
        </w:tc>
        <w:tc>
          <w:tcPr>
            <w:tcW w:w="874" w:type="dxa"/>
          </w:tcPr>
          <w:p>
            <w:pPr>
              <w:pStyle w:val="14"/>
              <w:spacing w:before="73"/>
              <w:ind w:left="205" w:right="194"/>
              <w:rPr>
                <w:rFonts w:ascii="Times New Roman"/>
                <w:sz w:val="18"/>
              </w:rPr>
            </w:pPr>
            <w:r>
              <w:rPr>
                <w:rFonts w:ascii="Times New Roman"/>
                <w:sz w:val="18"/>
              </w:rPr>
              <w:t>11</w:t>
            </w:r>
          </w:p>
        </w:tc>
        <w:tc>
          <w:tcPr>
            <w:tcW w:w="2323" w:type="dxa"/>
          </w:tcPr>
          <w:p>
            <w:pPr>
              <w:pStyle w:val="14"/>
              <w:spacing w:before="64"/>
              <w:ind w:left="299" w:right="289"/>
              <w:rPr>
                <w:sz w:val="18"/>
              </w:rPr>
            </w:pPr>
            <w:r>
              <w:rPr>
                <w:sz w:val="18"/>
              </w:rPr>
              <w:t>水域及水利设施用地</w:t>
            </w:r>
          </w:p>
        </w:tc>
        <w:tc>
          <w:tcPr>
            <w:tcW w:w="750" w:type="dxa"/>
          </w:tcPr>
          <w:p>
            <w:pPr>
              <w:pStyle w:val="14"/>
              <w:spacing w:before="73"/>
              <w:ind w:left="238"/>
              <w:jc w:val="left"/>
              <w:rPr>
                <w:rFonts w:ascii="Times New Roman"/>
                <w:sz w:val="18"/>
              </w:rPr>
            </w:pPr>
            <w:r>
              <w:rPr>
                <w:rFonts w:ascii="Times New Roman"/>
                <w:sz w:val="18"/>
              </w:rPr>
              <w:t>111</w:t>
            </w:r>
          </w:p>
        </w:tc>
        <w:tc>
          <w:tcPr>
            <w:tcW w:w="1400" w:type="dxa"/>
          </w:tcPr>
          <w:p>
            <w:pPr>
              <w:pStyle w:val="14"/>
              <w:spacing w:before="64"/>
              <w:ind w:left="240" w:right="233"/>
              <w:rPr>
                <w:sz w:val="18"/>
              </w:rPr>
            </w:pPr>
            <w:r>
              <w:rPr>
                <w:sz w:val="18"/>
              </w:rPr>
              <w:t>河流</w:t>
            </w:r>
          </w:p>
        </w:tc>
        <w:tc>
          <w:tcPr>
            <w:tcW w:w="1400" w:type="dxa"/>
          </w:tcPr>
          <w:p>
            <w:pPr>
              <w:pStyle w:val="14"/>
              <w:spacing w:before="45"/>
              <w:ind w:left="239" w:right="233"/>
              <w:rPr>
                <w:rFonts w:ascii="Times New Roman"/>
                <w:sz w:val="21"/>
              </w:rPr>
            </w:pPr>
            <w:r>
              <w:rPr>
                <w:rFonts w:ascii="Times New Roman"/>
                <w:sz w:val="21"/>
              </w:rPr>
              <w:t>0.6426</w:t>
            </w:r>
          </w:p>
        </w:tc>
        <w:tc>
          <w:tcPr>
            <w:tcW w:w="1148" w:type="dxa"/>
          </w:tcPr>
          <w:p>
            <w:pPr>
              <w:pStyle w:val="14"/>
              <w:spacing w:before="45"/>
              <w:ind w:left="370" w:right="360"/>
              <w:rPr>
                <w:rFonts w:ascii="Times New Roman"/>
                <w:sz w:val="21"/>
              </w:rPr>
            </w:pPr>
            <w:r>
              <w:rPr>
                <w:rFonts w:ascii="Times New Roman"/>
                <w:sz w:val="21"/>
              </w:rPr>
              <w:t>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23" w:type="dxa"/>
            <w:vMerge w:val="continue"/>
            <w:tcBorders>
              <w:top w:val="nil"/>
            </w:tcBorders>
          </w:tcPr>
          <w:p>
            <w:pPr>
              <w:rPr>
                <w:sz w:val="2"/>
                <w:szCs w:val="2"/>
              </w:rPr>
            </w:pPr>
          </w:p>
        </w:tc>
        <w:tc>
          <w:tcPr>
            <w:tcW w:w="874" w:type="dxa"/>
          </w:tcPr>
          <w:p>
            <w:pPr>
              <w:pStyle w:val="14"/>
              <w:spacing w:before="74"/>
              <w:ind w:left="205" w:right="194"/>
              <w:rPr>
                <w:rFonts w:ascii="Times New Roman"/>
                <w:sz w:val="18"/>
              </w:rPr>
            </w:pPr>
            <w:r>
              <w:rPr>
                <w:rFonts w:ascii="Times New Roman"/>
                <w:sz w:val="18"/>
              </w:rPr>
              <w:t>11</w:t>
            </w:r>
          </w:p>
        </w:tc>
        <w:tc>
          <w:tcPr>
            <w:tcW w:w="2323" w:type="dxa"/>
          </w:tcPr>
          <w:p>
            <w:pPr>
              <w:pStyle w:val="14"/>
              <w:spacing w:before="62"/>
              <w:ind w:left="299" w:right="289"/>
              <w:rPr>
                <w:sz w:val="18"/>
              </w:rPr>
            </w:pPr>
            <w:r>
              <w:rPr>
                <w:sz w:val="18"/>
              </w:rPr>
              <w:t>水域及水利设施用地</w:t>
            </w:r>
          </w:p>
        </w:tc>
        <w:tc>
          <w:tcPr>
            <w:tcW w:w="750" w:type="dxa"/>
          </w:tcPr>
          <w:p>
            <w:pPr>
              <w:pStyle w:val="14"/>
              <w:spacing w:before="74"/>
              <w:ind w:left="238"/>
              <w:jc w:val="left"/>
              <w:rPr>
                <w:rFonts w:ascii="Times New Roman"/>
                <w:sz w:val="18"/>
              </w:rPr>
            </w:pPr>
            <w:r>
              <w:rPr>
                <w:rFonts w:ascii="Times New Roman"/>
                <w:sz w:val="18"/>
              </w:rPr>
              <w:t>114</w:t>
            </w:r>
          </w:p>
        </w:tc>
        <w:tc>
          <w:tcPr>
            <w:tcW w:w="1400" w:type="dxa"/>
          </w:tcPr>
          <w:p>
            <w:pPr>
              <w:pStyle w:val="14"/>
              <w:spacing w:before="62"/>
              <w:ind w:right="329"/>
              <w:jc w:val="right"/>
              <w:rPr>
                <w:sz w:val="18"/>
              </w:rPr>
            </w:pPr>
            <w:r>
              <w:rPr>
                <w:sz w:val="18"/>
              </w:rPr>
              <w:t>坑塘水面</w:t>
            </w:r>
          </w:p>
        </w:tc>
        <w:tc>
          <w:tcPr>
            <w:tcW w:w="1400" w:type="dxa"/>
          </w:tcPr>
          <w:p>
            <w:pPr>
              <w:pStyle w:val="14"/>
              <w:spacing w:before="46"/>
              <w:ind w:left="239" w:right="233"/>
              <w:rPr>
                <w:rFonts w:ascii="Times New Roman"/>
                <w:sz w:val="21"/>
              </w:rPr>
            </w:pPr>
            <w:r>
              <w:rPr>
                <w:rFonts w:ascii="Times New Roman"/>
                <w:sz w:val="21"/>
              </w:rPr>
              <w:t>7.4426</w:t>
            </w:r>
          </w:p>
        </w:tc>
        <w:tc>
          <w:tcPr>
            <w:tcW w:w="1148" w:type="dxa"/>
          </w:tcPr>
          <w:p>
            <w:pPr>
              <w:pStyle w:val="14"/>
              <w:spacing w:before="46"/>
              <w:ind w:left="370" w:right="360"/>
              <w:rPr>
                <w:rFonts w:ascii="Times New Roman"/>
                <w:sz w:val="21"/>
              </w:rPr>
            </w:pPr>
            <w:r>
              <w:rPr>
                <w:rFonts w:ascii="Times New Roman"/>
                <w:sz w:val="21"/>
              </w:rPr>
              <w:t>2.27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23" w:type="dxa"/>
            <w:vMerge w:val="continue"/>
            <w:tcBorders>
              <w:top w:val="nil"/>
            </w:tcBorders>
          </w:tcPr>
          <w:p>
            <w:pPr>
              <w:rPr>
                <w:sz w:val="2"/>
                <w:szCs w:val="2"/>
              </w:rPr>
            </w:pPr>
          </w:p>
        </w:tc>
        <w:tc>
          <w:tcPr>
            <w:tcW w:w="874" w:type="dxa"/>
          </w:tcPr>
          <w:p>
            <w:pPr>
              <w:pStyle w:val="14"/>
              <w:spacing w:before="74"/>
              <w:ind w:left="205" w:right="194"/>
              <w:rPr>
                <w:rFonts w:ascii="Times New Roman"/>
                <w:sz w:val="18"/>
              </w:rPr>
            </w:pPr>
            <w:r>
              <w:rPr>
                <w:rFonts w:ascii="Times New Roman"/>
                <w:sz w:val="18"/>
              </w:rPr>
              <w:t>12</w:t>
            </w:r>
          </w:p>
        </w:tc>
        <w:tc>
          <w:tcPr>
            <w:tcW w:w="2323" w:type="dxa"/>
          </w:tcPr>
          <w:p>
            <w:pPr>
              <w:pStyle w:val="14"/>
              <w:spacing w:before="62"/>
              <w:ind w:left="299" w:right="292"/>
              <w:rPr>
                <w:sz w:val="18"/>
              </w:rPr>
            </w:pPr>
            <w:r>
              <w:rPr>
                <w:sz w:val="18"/>
              </w:rPr>
              <w:t>其他土地</w:t>
            </w:r>
          </w:p>
        </w:tc>
        <w:tc>
          <w:tcPr>
            <w:tcW w:w="750" w:type="dxa"/>
          </w:tcPr>
          <w:p>
            <w:pPr>
              <w:pStyle w:val="14"/>
              <w:spacing w:before="74"/>
              <w:ind w:left="238"/>
              <w:jc w:val="left"/>
              <w:rPr>
                <w:rFonts w:ascii="Times New Roman"/>
                <w:sz w:val="18"/>
              </w:rPr>
            </w:pPr>
            <w:r>
              <w:rPr>
                <w:rFonts w:ascii="Times New Roman"/>
                <w:sz w:val="18"/>
              </w:rPr>
              <w:t>127</w:t>
            </w:r>
          </w:p>
        </w:tc>
        <w:tc>
          <w:tcPr>
            <w:tcW w:w="1400" w:type="dxa"/>
          </w:tcPr>
          <w:p>
            <w:pPr>
              <w:pStyle w:val="14"/>
              <w:spacing w:before="62"/>
              <w:ind w:left="240" w:right="233"/>
              <w:rPr>
                <w:sz w:val="18"/>
              </w:rPr>
            </w:pPr>
            <w:r>
              <w:rPr>
                <w:sz w:val="18"/>
              </w:rPr>
              <w:t>裸地</w:t>
            </w:r>
          </w:p>
        </w:tc>
        <w:tc>
          <w:tcPr>
            <w:tcW w:w="1400" w:type="dxa"/>
          </w:tcPr>
          <w:p>
            <w:pPr>
              <w:pStyle w:val="14"/>
              <w:spacing w:before="46"/>
              <w:ind w:left="239" w:right="233"/>
              <w:rPr>
                <w:rFonts w:ascii="Times New Roman"/>
                <w:sz w:val="21"/>
              </w:rPr>
            </w:pPr>
            <w:r>
              <w:rPr>
                <w:rFonts w:ascii="Times New Roman"/>
                <w:sz w:val="21"/>
              </w:rPr>
              <w:t>1.6841</w:t>
            </w:r>
          </w:p>
        </w:tc>
        <w:tc>
          <w:tcPr>
            <w:tcW w:w="1148" w:type="dxa"/>
          </w:tcPr>
          <w:p>
            <w:pPr>
              <w:pStyle w:val="14"/>
              <w:spacing w:before="46"/>
              <w:ind w:left="370" w:right="360"/>
              <w:rPr>
                <w:rFonts w:ascii="Times New Roman"/>
                <w:sz w:val="21"/>
              </w:rPr>
            </w:pPr>
            <w:r>
              <w:rPr>
                <w:rFonts w:ascii="Times New Roman"/>
                <w:sz w:val="21"/>
              </w:rPr>
              <w:t>0.51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23" w:type="dxa"/>
            <w:vMerge w:val="continue"/>
            <w:tcBorders>
              <w:top w:val="nil"/>
            </w:tcBorders>
          </w:tcPr>
          <w:p>
            <w:pPr>
              <w:rPr>
                <w:sz w:val="2"/>
                <w:szCs w:val="2"/>
              </w:rPr>
            </w:pPr>
          </w:p>
        </w:tc>
        <w:tc>
          <w:tcPr>
            <w:tcW w:w="874" w:type="dxa"/>
          </w:tcPr>
          <w:p>
            <w:pPr>
              <w:pStyle w:val="14"/>
              <w:spacing w:before="74"/>
              <w:ind w:left="205" w:right="194"/>
              <w:rPr>
                <w:rFonts w:ascii="Times New Roman"/>
                <w:sz w:val="18"/>
              </w:rPr>
            </w:pPr>
            <w:r>
              <w:rPr>
                <w:rFonts w:ascii="Times New Roman"/>
                <w:sz w:val="18"/>
              </w:rPr>
              <w:t>20</w:t>
            </w:r>
          </w:p>
        </w:tc>
        <w:tc>
          <w:tcPr>
            <w:tcW w:w="2323" w:type="dxa"/>
          </w:tcPr>
          <w:p>
            <w:pPr>
              <w:pStyle w:val="14"/>
              <w:spacing w:before="62"/>
              <w:ind w:left="299" w:right="292"/>
              <w:rPr>
                <w:sz w:val="18"/>
              </w:rPr>
            </w:pPr>
            <w:r>
              <w:rPr>
                <w:sz w:val="18"/>
              </w:rPr>
              <w:t>城镇村及工矿用地</w:t>
            </w:r>
          </w:p>
        </w:tc>
        <w:tc>
          <w:tcPr>
            <w:tcW w:w="750" w:type="dxa"/>
          </w:tcPr>
          <w:p>
            <w:pPr>
              <w:pStyle w:val="14"/>
              <w:spacing w:before="74"/>
              <w:ind w:left="238"/>
              <w:jc w:val="left"/>
              <w:rPr>
                <w:rFonts w:ascii="Times New Roman"/>
                <w:sz w:val="18"/>
              </w:rPr>
            </w:pPr>
            <w:r>
              <w:rPr>
                <w:rFonts w:ascii="Times New Roman"/>
                <w:sz w:val="18"/>
              </w:rPr>
              <w:t>203</w:t>
            </w:r>
          </w:p>
        </w:tc>
        <w:tc>
          <w:tcPr>
            <w:tcW w:w="1400" w:type="dxa"/>
          </w:tcPr>
          <w:p>
            <w:pPr>
              <w:pStyle w:val="14"/>
              <w:spacing w:before="62"/>
              <w:ind w:left="240" w:right="233"/>
              <w:rPr>
                <w:sz w:val="18"/>
              </w:rPr>
            </w:pPr>
            <w:r>
              <w:rPr>
                <w:sz w:val="18"/>
              </w:rPr>
              <w:t>村庄</w:t>
            </w:r>
          </w:p>
        </w:tc>
        <w:tc>
          <w:tcPr>
            <w:tcW w:w="1400" w:type="dxa"/>
          </w:tcPr>
          <w:p>
            <w:pPr>
              <w:pStyle w:val="14"/>
              <w:spacing w:before="46"/>
              <w:ind w:left="239" w:right="233"/>
              <w:rPr>
                <w:rFonts w:ascii="Times New Roman"/>
                <w:sz w:val="21"/>
              </w:rPr>
            </w:pPr>
            <w:r>
              <w:rPr>
                <w:rFonts w:ascii="Times New Roman"/>
                <w:sz w:val="21"/>
              </w:rPr>
              <w:t>4.1245</w:t>
            </w:r>
          </w:p>
        </w:tc>
        <w:tc>
          <w:tcPr>
            <w:tcW w:w="1148" w:type="dxa"/>
          </w:tcPr>
          <w:p>
            <w:pPr>
              <w:pStyle w:val="14"/>
              <w:spacing w:before="46"/>
              <w:ind w:left="370" w:right="360"/>
              <w:rPr>
                <w:rFonts w:ascii="Times New Roman"/>
                <w:sz w:val="21"/>
              </w:rPr>
            </w:pPr>
            <w:r>
              <w:rPr>
                <w:rFonts w:ascii="Times New Roman"/>
                <w:sz w:val="21"/>
              </w:rPr>
              <w:t>1.26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23" w:type="dxa"/>
            <w:vMerge w:val="continue"/>
            <w:tcBorders>
              <w:top w:val="nil"/>
            </w:tcBorders>
          </w:tcPr>
          <w:p>
            <w:pPr>
              <w:rPr>
                <w:sz w:val="2"/>
                <w:szCs w:val="2"/>
              </w:rPr>
            </w:pPr>
          </w:p>
        </w:tc>
        <w:tc>
          <w:tcPr>
            <w:tcW w:w="874" w:type="dxa"/>
          </w:tcPr>
          <w:p>
            <w:pPr>
              <w:pStyle w:val="14"/>
              <w:spacing w:before="75"/>
              <w:ind w:left="205" w:right="194"/>
              <w:rPr>
                <w:rFonts w:ascii="Times New Roman"/>
                <w:sz w:val="18"/>
              </w:rPr>
            </w:pPr>
            <w:r>
              <w:rPr>
                <w:rFonts w:ascii="Times New Roman"/>
                <w:sz w:val="18"/>
              </w:rPr>
              <w:t>20</w:t>
            </w:r>
          </w:p>
        </w:tc>
        <w:tc>
          <w:tcPr>
            <w:tcW w:w="2323" w:type="dxa"/>
          </w:tcPr>
          <w:p>
            <w:pPr>
              <w:pStyle w:val="14"/>
              <w:spacing w:before="63"/>
              <w:ind w:left="299" w:right="292"/>
              <w:rPr>
                <w:sz w:val="18"/>
              </w:rPr>
            </w:pPr>
            <w:r>
              <w:rPr>
                <w:sz w:val="18"/>
              </w:rPr>
              <w:t>城镇村及工矿用地</w:t>
            </w:r>
          </w:p>
        </w:tc>
        <w:tc>
          <w:tcPr>
            <w:tcW w:w="750" w:type="dxa"/>
          </w:tcPr>
          <w:p>
            <w:pPr>
              <w:pStyle w:val="14"/>
              <w:spacing w:before="75"/>
              <w:ind w:left="238"/>
              <w:jc w:val="left"/>
              <w:rPr>
                <w:rFonts w:ascii="Times New Roman"/>
                <w:sz w:val="18"/>
              </w:rPr>
            </w:pPr>
            <w:r>
              <w:rPr>
                <w:rFonts w:ascii="Times New Roman"/>
                <w:sz w:val="18"/>
              </w:rPr>
              <w:t>204</w:t>
            </w:r>
          </w:p>
        </w:tc>
        <w:tc>
          <w:tcPr>
            <w:tcW w:w="1400" w:type="dxa"/>
          </w:tcPr>
          <w:p>
            <w:pPr>
              <w:pStyle w:val="14"/>
              <w:spacing w:before="63"/>
              <w:ind w:right="329"/>
              <w:jc w:val="right"/>
              <w:rPr>
                <w:sz w:val="18"/>
              </w:rPr>
            </w:pPr>
            <w:r>
              <w:rPr>
                <w:sz w:val="18"/>
              </w:rPr>
              <w:t>采矿用地</w:t>
            </w:r>
          </w:p>
        </w:tc>
        <w:tc>
          <w:tcPr>
            <w:tcW w:w="1400" w:type="dxa"/>
          </w:tcPr>
          <w:p>
            <w:pPr>
              <w:pStyle w:val="14"/>
              <w:spacing w:before="47"/>
              <w:ind w:left="239" w:right="233"/>
              <w:rPr>
                <w:rFonts w:ascii="Times New Roman"/>
                <w:sz w:val="21"/>
              </w:rPr>
            </w:pPr>
            <w:r>
              <w:rPr>
                <w:rFonts w:ascii="Times New Roman"/>
                <w:sz w:val="21"/>
              </w:rPr>
              <w:t>19.166</w:t>
            </w:r>
          </w:p>
        </w:tc>
        <w:tc>
          <w:tcPr>
            <w:tcW w:w="1148" w:type="dxa"/>
          </w:tcPr>
          <w:p>
            <w:pPr>
              <w:pStyle w:val="14"/>
              <w:spacing w:before="47"/>
              <w:ind w:left="370" w:right="360"/>
              <w:rPr>
                <w:rFonts w:ascii="Times New Roman"/>
                <w:sz w:val="21"/>
              </w:rPr>
            </w:pPr>
            <w:r>
              <w:rPr>
                <w:rFonts w:ascii="Times New Roman"/>
                <w:sz w:val="21"/>
              </w:rPr>
              <w:t>5.84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23" w:type="dxa"/>
            <w:vMerge w:val="continue"/>
            <w:tcBorders>
              <w:top w:val="nil"/>
            </w:tcBorders>
          </w:tcPr>
          <w:p>
            <w:pPr>
              <w:rPr>
                <w:sz w:val="2"/>
                <w:szCs w:val="2"/>
              </w:rPr>
            </w:pPr>
          </w:p>
        </w:tc>
        <w:tc>
          <w:tcPr>
            <w:tcW w:w="5347" w:type="dxa"/>
            <w:gridSpan w:val="4"/>
          </w:tcPr>
          <w:p>
            <w:pPr>
              <w:pStyle w:val="14"/>
              <w:spacing w:before="31"/>
              <w:ind w:left="2440" w:right="2437"/>
              <w:rPr>
                <w:sz w:val="21"/>
              </w:rPr>
            </w:pPr>
            <w:r>
              <w:rPr>
                <w:sz w:val="21"/>
              </w:rPr>
              <w:t>小计</w:t>
            </w:r>
          </w:p>
        </w:tc>
        <w:tc>
          <w:tcPr>
            <w:tcW w:w="1400" w:type="dxa"/>
          </w:tcPr>
          <w:p>
            <w:pPr>
              <w:pStyle w:val="14"/>
              <w:spacing w:before="45"/>
              <w:ind w:left="242" w:right="231"/>
              <w:rPr>
                <w:rFonts w:ascii="Times New Roman"/>
                <w:sz w:val="21"/>
              </w:rPr>
            </w:pPr>
            <w:r>
              <w:rPr>
                <w:rFonts w:ascii="Times New Roman"/>
                <w:sz w:val="21"/>
              </w:rPr>
              <w:t>327.9211</w:t>
            </w:r>
          </w:p>
        </w:tc>
        <w:tc>
          <w:tcPr>
            <w:tcW w:w="1148" w:type="dxa"/>
          </w:tcPr>
          <w:p>
            <w:pPr>
              <w:pStyle w:val="14"/>
              <w:spacing w:before="45"/>
              <w:ind w:right="324"/>
              <w:jc w:val="right"/>
              <w:rPr>
                <w:rFonts w:ascii="Times New Roman"/>
                <w:sz w:val="21"/>
              </w:rPr>
            </w:pPr>
            <w:r>
              <w:rPr>
                <w:rFonts w:ascii="Times New Roman"/>
                <w:sz w:val="21"/>
              </w:rPr>
              <w:t>99.10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70" w:type="dxa"/>
            <w:gridSpan w:val="5"/>
          </w:tcPr>
          <w:p>
            <w:pPr>
              <w:pStyle w:val="14"/>
              <w:spacing w:before="31"/>
              <w:ind w:left="2803" w:right="2797"/>
              <w:rPr>
                <w:sz w:val="21"/>
              </w:rPr>
            </w:pPr>
            <w:r>
              <w:rPr>
                <w:sz w:val="21"/>
              </w:rPr>
              <w:t>合计</w:t>
            </w:r>
          </w:p>
        </w:tc>
        <w:tc>
          <w:tcPr>
            <w:tcW w:w="1400" w:type="dxa"/>
          </w:tcPr>
          <w:p>
            <w:pPr>
              <w:pStyle w:val="14"/>
              <w:spacing w:before="45"/>
              <w:ind w:left="242" w:right="231"/>
              <w:rPr>
                <w:rFonts w:ascii="Times New Roman"/>
                <w:sz w:val="21"/>
              </w:rPr>
            </w:pPr>
            <w:r>
              <w:rPr>
                <w:rFonts w:ascii="Times New Roman"/>
                <w:sz w:val="21"/>
              </w:rPr>
              <w:t>330.8978</w:t>
            </w:r>
          </w:p>
        </w:tc>
        <w:tc>
          <w:tcPr>
            <w:tcW w:w="1148" w:type="dxa"/>
          </w:tcPr>
          <w:p>
            <w:pPr>
              <w:pStyle w:val="14"/>
              <w:spacing w:before="45"/>
              <w:ind w:right="274"/>
              <w:jc w:val="right"/>
              <w:rPr>
                <w:rFonts w:ascii="Times New Roman"/>
                <w:sz w:val="21"/>
              </w:rPr>
            </w:pPr>
            <w:r>
              <w:rPr>
                <w:rFonts w:ascii="Times New Roman"/>
                <w:w w:val="95"/>
                <w:sz w:val="21"/>
              </w:rPr>
              <w:t>100.00</w:t>
            </w:r>
          </w:p>
        </w:tc>
      </w:tr>
    </w:tbl>
    <w:p>
      <w:pPr>
        <w:pStyle w:val="6"/>
        <w:spacing w:before="81"/>
        <w:ind w:left="1031"/>
      </w:pPr>
      <w:r>
        <w:t>（</w:t>
      </w:r>
      <w:r>
        <w:rPr>
          <w:rFonts w:ascii="Times New Roman" w:eastAsia="Times New Roman"/>
        </w:rPr>
        <w:t>2</w:t>
      </w:r>
      <w:r>
        <w:t>）复垦责任范围</w:t>
      </w:r>
    </w:p>
    <w:p>
      <w:pPr>
        <w:pStyle w:val="6"/>
        <w:spacing w:before="161" w:line="364" w:lineRule="auto"/>
        <w:ind w:left="551" w:right="853" w:firstLine="480"/>
      </w:pPr>
      <w:r>
        <w:rPr>
          <w:spacing w:val="-2"/>
        </w:rPr>
        <w:t xml:space="preserve">通过土地损毁预测，矿区范围沉降沉陷最大程度为 </w:t>
      </w:r>
      <w:r>
        <w:rPr>
          <w:rFonts w:ascii="Times New Roman" w:eastAsia="Times New Roman"/>
        </w:rPr>
        <w:t>1.89m</w:t>
      </w:r>
      <w:r>
        <w:t>，为轻度损毁，不</w:t>
      </w:r>
      <w:r>
        <w:rPr>
          <w:spacing w:val="-11"/>
        </w:rPr>
        <w:t>列为复垦责任范围。工业广场损毁表现为压占，本项目复垦责任范围为工业广场。</w:t>
      </w:r>
    </w:p>
    <w:p>
      <w:pPr>
        <w:pStyle w:val="6"/>
        <w:spacing w:before="1" w:line="364" w:lineRule="auto"/>
        <w:ind w:left="551" w:right="853" w:firstLine="480"/>
      </w:pPr>
      <w:r>
        <w:rPr>
          <w:spacing w:val="-7"/>
        </w:rPr>
        <w:t xml:space="preserve">复垦责任范围为复垦区中已损毁和拟损毁土地，已损毁土地为工业场地压占， </w:t>
      </w:r>
      <w:r>
        <w:t>拟损毁土地为地面沉陷损毁土地，因双鸭山大顺矿业有限公司的最大塌陷深度为</w:t>
      </w:r>
      <w:r>
        <w:rPr>
          <w:rFonts w:ascii="Times New Roman" w:eastAsia="Times New Roman"/>
        </w:rPr>
        <w:t>1.89m</w:t>
      </w:r>
      <w:r>
        <w:t>，由于地面沉陷是一个缓慢沉降的过程，且具有不确定性和未知性，矿区所处地貌单元丘陵区域，地表有一定的起伏，且矿山开采暂未发现大程度的地面沉陷现象、由于农民在连年耕种的同时逐年进行土地平整等措施现状也没有发现地裂缝现象，并且预测地面塌陷对项目区土地损毁程度为轻度，即使发生塌陷， 也不会影响区域排水，地表耕地的耕作和林木的生长，因此，此方案不将预测塌陷区作为复垦责任范围，只进行矿山环境恢复治理，不计入土地复垦责任范围范围。本方案只对工业场地损毁的土地进行复垦，即复垦责任范围为工业广场。其土地利用现状见下表：</w:t>
      </w:r>
    </w:p>
    <w:p>
      <w:pPr>
        <w:pStyle w:val="5"/>
        <w:tabs>
          <w:tab w:val="left" w:pos="2152"/>
        </w:tabs>
        <w:spacing w:after="3" w:line="234" w:lineRule="exact"/>
        <w:ind w:left="1113"/>
      </w:pPr>
      <w:r>
        <w:t>表</w:t>
      </w:r>
      <w:r>
        <w:rPr>
          <w:spacing w:val="-62"/>
        </w:rPr>
        <w:t xml:space="preserve"> </w:t>
      </w:r>
      <w:r>
        <w:rPr>
          <w:rFonts w:ascii="Times New Roman" w:eastAsia="Times New Roman"/>
        </w:rPr>
        <w:t>5.5-3</w:t>
      </w:r>
      <w:r>
        <w:rPr>
          <w:rFonts w:ascii="Times New Roman" w:eastAsia="Times New Roman"/>
        </w:rPr>
        <w:tab/>
      </w:r>
      <w:r>
        <w:t>双鸭山大顺矿业有限公司土地复垦责任范围土地利用现状表</w:t>
      </w:r>
    </w:p>
    <w:tbl>
      <w:tblPr>
        <w:tblStyle w:val="10"/>
        <w:tblW w:w="0" w:type="auto"/>
        <w:tblInd w:w="4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9"/>
        <w:gridCol w:w="674"/>
        <w:gridCol w:w="2118"/>
        <w:gridCol w:w="1036"/>
        <w:gridCol w:w="1300"/>
        <w:gridCol w:w="1131"/>
        <w:gridCol w:w="10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99" w:type="dxa"/>
            <w:vMerge w:val="restart"/>
          </w:tcPr>
          <w:p>
            <w:pPr>
              <w:pStyle w:val="14"/>
              <w:spacing w:before="3"/>
              <w:jc w:val="left"/>
              <w:rPr>
                <w:b/>
                <w:sz w:val="14"/>
              </w:rPr>
            </w:pPr>
          </w:p>
          <w:p>
            <w:pPr>
              <w:pStyle w:val="14"/>
              <w:ind w:left="311" w:right="305"/>
              <w:rPr>
                <w:sz w:val="21"/>
              </w:rPr>
            </w:pPr>
            <w:r>
              <w:rPr>
                <w:sz w:val="21"/>
              </w:rPr>
              <w:t>区域</w:t>
            </w:r>
          </w:p>
        </w:tc>
        <w:tc>
          <w:tcPr>
            <w:tcW w:w="2792" w:type="dxa"/>
            <w:gridSpan w:val="2"/>
          </w:tcPr>
          <w:p>
            <w:pPr>
              <w:pStyle w:val="14"/>
              <w:spacing w:before="22"/>
              <w:ind w:left="954" w:right="947"/>
              <w:rPr>
                <w:sz w:val="21"/>
              </w:rPr>
            </w:pPr>
            <w:r>
              <w:rPr>
                <w:sz w:val="21"/>
              </w:rPr>
              <w:t>一级地类</w:t>
            </w:r>
          </w:p>
        </w:tc>
        <w:tc>
          <w:tcPr>
            <w:tcW w:w="2336" w:type="dxa"/>
            <w:gridSpan w:val="2"/>
          </w:tcPr>
          <w:p>
            <w:pPr>
              <w:pStyle w:val="14"/>
              <w:spacing w:before="22"/>
              <w:ind w:left="747"/>
              <w:jc w:val="left"/>
              <w:rPr>
                <w:sz w:val="21"/>
              </w:rPr>
            </w:pPr>
            <w:r>
              <w:rPr>
                <w:sz w:val="21"/>
              </w:rPr>
              <w:t>二级地类</w:t>
            </w:r>
          </w:p>
        </w:tc>
        <w:tc>
          <w:tcPr>
            <w:tcW w:w="1131" w:type="dxa"/>
            <w:vMerge w:val="restart"/>
          </w:tcPr>
          <w:p>
            <w:pPr>
              <w:pStyle w:val="14"/>
              <w:spacing w:before="26"/>
              <w:ind w:left="355"/>
              <w:jc w:val="left"/>
              <w:rPr>
                <w:sz w:val="21"/>
              </w:rPr>
            </w:pPr>
            <w:r>
              <w:rPr>
                <w:sz w:val="21"/>
              </w:rPr>
              <w:t>面积</w:t>
            </w:r>
          </w:p>
          <w:p>
            <w:pPr>
              <w:pStyle w:val="14"/>
              <w:spacing w:before="43"/>
              <w:ind w:left="285"/>
              <w:jc w:val="left"/>
              <w:rPr>
                <w:rFonts w:ascii="Times New Roman" w:eastAsia="Times New Roman"/>
                <w:sz w:val="21"/>
              </w:rPr>
            </w:pPr>
            <w:r>
              <w:rPr>
                <w:rFonts w:ascii="Times New Roman" w:eastAsia="Times New Roman"/>
                <w:sz w:val="21"/>
              </w:rPr>
              <w:t>(</w:t>
            </w:r>
            <w:r>
              <w:rPr>
                <w:sz w:val="21"/>
              </w:rPr>
              <w:t>公顷</w:t>
            </w:r>
            <w:r>
              <w:rPr>
                <w:rFonts w:ascii="Times New Roman" w:eastAsia="Times New Roman"/>
                <w:sz w:val="21"/>
              </w:rPr>
              <w:t>)</w:t>
            </w:r>
          </w:p>
        </w:tc>
        <w:tc>
          <w:tcPr>
            <w:tcW w:w="1060" w:type="dxa"/>
            <w:vMerge w:val="restart"/>
          </w:tcPr>
          <w:p>
            <w:pPr>
              <w:pStyle w:val="14"/>
              <w:spacing w:before="26"/>
              <w:ind w:left="215"/>
              <w:jc w:val="left"/>
              <w:rPr>
                <w:sz w:val="21"/>
              </w:rPr>
            </w:pPr>
            <w:r>
              <w:rPr>
                <w:w w:val="95"/>
                <w:sz w:val="21"/>
              </w:rPr>
              <w:t>百分比</w:t>
            </w:r>
          </w:p>
          <w:p>
            <w:pPr>
              <w:pStyle w:val="14"/>
              <w:spacing w:before="43"/>
              <w:ind w:left="232"/>
              <w:jc w:val="left"/>
              <w:rPr>
                <w:sz w:val="21"/>
              </w:rPr>
            </w:pPr>
            <w:r>
              <w:rPr>
                <w:sz w:val="21"/>
              </w:rPr>
              <w:t>（</w:t>
            </w:r>
            <w:r>
              <w:rPr>
                <w:rFonts w:ascii="Times New Roman" w:eastAsia="Times New Roman"/>
                <w:sz w:val="21"/>
              </w:rPr>
              <w:t>%</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99" w:type="dxa"/>
            <w:vMerge w:val="continue"/>
            <w:tcBorders>
              <w:top w:val="nil"/>
            </w:tcBorders>
          </w:tcPr>
          <w:p>
            <w:pPr>
              <w:rPr>
                <w:sz w:val="2"/>
                <w:szCs w:val="2"/>
              </w:rPr>
            </w:pPr>
          </w:p>
        </w:tc>
        <w:tc>
          <w:tcPr>
            <w:tcW w:w="674" w:type="dxa"/>
          </w:tcPr>
          <w:p>
            <w:pPr>
              <w:pStyle w:val="14"/>
              <w:spacing w:before="21"/>
              <w:ind w:left="105" w:right="99"/>
              <w:rPr>
                <w:sz w:val="21"/>
              </w:rPr>
            </w:pPr>
            <w:r>
              <w:rPr>
                <w:sz w:val="21"/>
              </w:rPr>
              <w:t>编码</w:t>
            </w:r>
          </w:p>
        </w:tc>
        <w:tc>
          <w:tcPr>
            <w:tcW w:w="2118" w:type="dxa"/>
          </w:tcPr>
          <w:p>
            <w:pPr>
              <w:pStyle w:val="14"/>
              <w:spacing w:before="21"/>
              <w:ind w:left="196" w:right="188"/>
              <w:rPr>
                <w:sz w:val="21"/>
              </w:rPr>
            </w:pPr>
            <w:r>
              <w:rPr>
                <w:sz w:val="21"/>
              </w:rPr>
              <w:t>名称</w:t>
            </w:r>
          </w:p>
        </w:tc>
        <w:tc>
          <w:tcPr>
            <w:tcW w:w="1036" w:type="dxa"/>
          </w:tcPr>
          <w:p>
            <w:pPr>
              <w:pStyle w:val="14"/>
              <w:spacing w:before="21"/>
              <w:ind w:left="307"/>
              <w:jc w:val="left"/>
              <w:rPr>
                <w:sz w:val="21"/>
              </w:rPr>
            </w:pPr>
            <w:r>
              <w:rPr>
                <w:sz w:val="21"/>
              </w:rPr>
              <w:t>编码</w:t>
            </w:r>
          </w:p>
        </w:tc>
        <w:tc>
          <w:tcPr>
            <w:tcW w:w="1300" w:type="dxa"/>
          </w:tcPr>
          <w:p>
            <w:pPr>
              <w:pStyle w:val="14"/>
              <w:spacing w:before="21"/>
              <w:ind w:left="208" w:right="199"/>
              <w:rPr>
                <w:sz w:val="21"/>
              </w:rPr>
            </w:pPr>
            <w:r>
              <w:rPr>
                <w:sz w:val="21"/>
              </w:rPr>
              <w:t>名称</w:t>
            </w:r>
          </w:p>
        </w:tc>
        <w:tc>
          <w:tcPr>
            <w:tcW w:w="1131" w:type="dxa"/>
            <w:vMerge w:val="continue"/>
            <w:tcBorders>
              <w:top w:val="nil"/>
            </w:tcBorders>
          </w:tcPr>
          <w:p>
            <w:pPr>
              <w:rPr>
                <w:sz w:val="2"/>
                <w:szCs w:val="2"/>
              </w:rPr>
            </w:pPr>
          </w:p>
        </w:tc>
        <w:tc>
          <w:tcPr>
            <w:tcW w:w="106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99" w:type="dxa"/>
            <w:vMerge w:val="restart"/>
          </w:tcPr>
          <w:p>
            <w:pPr>
              <w:pStyle w:val="14"/>
              <w:spacing w:before="2"/>
              <w:jc w:val="left"/>
              <w:rPr>
                <w:b/>
                <w:sz w:val="14"/>
              </w:rPr>
            </w:pPr>
          </w:p>
          <w:p>
            <w:pPr>
              <w:pStyle w:val="14"/>
              <w:ind w:left="227"/>
              <w:jc w:val="left"/>
              <w:rPr>
                <w:sz w:val="21"/>
              </w:rPr>
            </w:pPr>
            <w:r>
              <w:rPr>
                <w:sz w:val="21"/>
              </w:rPr>
              <w:t>工业广场</w:t>
            </w:r>
          </w:p>
        </w:tc>
        <w:tc>
          <w:tcPr>
            <w:tcW w:w="674" w:type="dxa"/>
          </w:tcPr>
          <w:p>
            <w:pPr>
              <w:pStyle w:val="14"/>
              <w:spacing w:before="35"/>
              <w:ind w:left="105" w:right="95"/>
              <w:rPr>
                <w:rFonts w:ascii="Times New Roman"/>
                <w:sz w:val="21"/>
              </w:rPr>
            </w:pPr>
            <w:r>
              <w:rPr>
                <w:rFonts w:ascii="Times New Roman"/>
                <w:sz w:val="21"/>
              </w:rPr>
              <w:t>20</w:t>
            </w:r>
          </w:p>
        </w:tc>
        <w:tc>
          <w:tcPr>
            <w:tcW w:w="2118" w:type="dxa"/>
          </w:tcPr>
          <w:p>
            <w:pPr>
              <w:pStyle w:val="14"/>
              <w:spacing w:before="21"/>
              <w:ind w:left="196" w:right="191"/>
              <w:rPr>
                <w:sz w:val="21"/>
              </w:rPr>
            </w:pPr>
            <w:r>
              <w:rPr>
                <w:sz w:val="21"/>
              </w:rPr>
              <w:t>城镇村及工矿用地</w:t>
            </w:r>
          </w:p>
        </w:tc>
        <w:tc>
          <w:tcPr>
            <w:tcW w:w="1036" w:type="dxa"/>
          </w:tcPr>
          <w:p>
            <w:pPr>
              <w:pStyle w:val="14"/>
              <w:spacing w:before="35"/>
              <w:ind w:left="360"/>
              <w:jc w:val="left"/>
              <w:rPr>
                <w:rFonts w:ascii="Times New Roman"/>
                <w:sz w:val="21"/>
              </w:rPr>
            </w:pPr>
            <w:r>
              <w:rPr>
                <w:rFonts w:ascii="Times New Roman"/>
                <w:sz w:val="21"/>
              </w:rPr>
              <w:t>204</w:t>
            </w:r>
          </w:p>
        </w:tc>
        <w:tc>
          <w:tcPr>
            <w:tcW w:w="1300" w:type="dxa"/>
          </w:tcPr>
          <w:p>
            <w:pPr>
              <w:pStyle w:val="14"/>
              <w:spacing w:before="21"/>
              <w:ind w:left="208" w:right="202"/>
              <w:rPr>
                <w:sz w:val="21"/>
              </w:rPr>
            </w:pPr>
            <w:r>
              <w:rPr>
                <w:sz w:val="21"/>
              </w:rPr>
              <w:t>采矿用地</w:t>
            </w:r>
          </w:p>
        </w:tc>
        <w:tc>
          <w:tcPr>
            <w:tcW w:w="1131" w:type="dxa"/>
          </w:tcPr>
          <w:p>
            <w:pPr>
              <w:pStyle w:val="14"/>
              <w:spacing w:before="35"/>
              <w:ind w:left="255" w:right="247"/>
              <w:rPr>
                <w:rFonts w:ascii="Times New Roman"/>
                <w:sz w:val="21"/>
              </w:rPr>
            </w:pPr>
            <w:r>
              <w:rPr>
                <w:rFonts w:ascii="Times New Roman"/>
                <w:sz w:val="21"/>
              </w:rPr>
              <w:t>2.9767</w:t>
            </w:r>
          </w:p>
        </w:tc>
        <w:tc>
          <w:tcPr>
            <w:tcW w:w="1060" w:type="dxa"/>
          </w:tcPr>
          <w:p>
            <w:pPr>
              <w:pStyle w:val="14"/>
              <w:spacing w:before="35"/>
              <w:ind w:left="221" w:right="211"/>
              <w:rPr>
                <w:rFonts w:ascii="Times New Roman"/>
                <w:sz w:val="21"/>
              </w:rPr>
            </w:pPr>
            <w:r>
              <w:rPr>
                <w:rFonts w:ascii="Times New Roman"/>
                <w:sz w:val="21"/>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99" w:type="dxa"/>
            <w:vMerge w:val="continue"/>
            <w:tcBorders>
              <w:top w:val="nil"/>
            </w:tcBorders>
          </w:tcPr>
          <w:p>
            <w:pPr>
              <w:rPr>
                <w:sz w:val="2"/>
                <w:szCs w:val="2"/>
              </w:rPr>
            </w:pPr>
          </w:p>
        </w:tc>
        <w:tc>
          <w:tcPr>
            <w:tcW w:w="5128" w:type="dxa"/>
            <w:gridSpan w:val="4"/>
          </w:tcPr>
          <w:p>
            <w:pPr>
              <w:pStyle w:val="14"/>
              <w:spacing w:before="21"/>
              <w:ind w:left="2332" w:right="2326"/>
              <w:rPr>
                <w:sz w:val="21"/>
              </w:rPr>
            </w:pPr>
            <w:r>
              <w:rPr>
                <w:sz w:val="21"/>
              </w:rPr>
              <w:t>小计</w:t>
            </w:r>
          </w:p>
        </w:tc>
        <w:tc>
          <w:tcPr>
            <w:tcW w:w="1131" w:type="dxa"/>
          </w:tcPr>
          <w:p>
            <w:pPr>
              <w:pStyle w:val="14"/>
              <w:spacing w:before="34"/>
              <w:ind w:left="255" w:right="247"/>
              <w:rPr>
                <w:rFonts w:ascii="Times New Roman"/>
                <w:sz w:val="21"/>
              </w:rPr>
            </w:pPr>
            <w:r>
              <w:rPr>
                <w:rFonts w:ascii="Times New Roman"/>
                <w:sz w:val="21"/>
              </w:rPr>
              <w:t>2.9767</w:t>
            </w:r>
          </w:p>
        </w:tc>
        <w:tc>
          <w:tcPr>
            <w:tcW w:w="1060" w:type="dxa"/>
          </w:tcPr>
          <w:p>
            <w:pPr>
              <w:pStyle w:val="14"/>
              <w:spacing w:before="34"/>
              <w:ind w:left="221" w:right="211"/>
              <w:rPr>
                <w:rFonts w:ascii="Times New Roman"/>
                <w:sz w:val="21"/>
              </w:rPr>
            </w:pPr>
            <w:r>
              <w:rPr>
                <w:rFonts w:ascii="Times New Roman"/>
                <w:sz w:val="21"/>
              </w:rPr>
              <w:t>100.00</w:t>
            </w:r>
          </w:p>
        </w:tc>
      </w:tr>
    </w:tbl>
    <w:p>
      <w:pPr>
        <w:spacing w:after="0"/>
        <w:rPr>
          <w:rFonts w:ascii="Times New Roman"/>
          <w:sz w:val="21"/>
        </w:rPr>
        <w:sectPr>
          <w:footerReference r:id="rId19" w:type="default"/>
          <w:pgSz w:w="11910" w:h="16840"/>
          <w:pgMar w:top="1460" w:right="780" w:bottom="1180" w:left="1200" w:header="0" w:footer="997" w:gutter="0"/>
          <w:pgNumType w:start="93"/>
        </w:sectPr>
      </w:pPr>
    </w:p>
    <w:p>
      <w:pPr>
        <w:pStyle w:val="6"/>
        <w:spacing w:before="45"/>
        <w:ind w:left="1031"/>
      </w:pPr>
      <w:r>
        <w:t>复垦责任范围坐标见下表：</w:t>
      </w:r>
    </w:p>
    <w:p>
      <w:pPr>
        <w:pStyle w:val="5"/>
        <w:tabs>
          <w:tab w:val="left" w:pos="1041"/>
        </w:tabs>
        <w:spacing w:before="5"/>
        <w:ind w:right="398"/>
        <w:jc w:val="center"/>
      </w:pPr>
      <w:r>
        <w:t>表</w:t>
      </w:r>
      <w:r>
        <w:rPr>
          <w:spacing w:val="-62"/>
        </w:rPr>
        <w:t xml:space="preserve"> </w:t>
      </w:r>
      <w:r>
        <w:rPr>
          <w:rFonts w:ascii="Times New Roman" w:eastAsia="Times New Roman"/>
        </w:rPr>
        <w:t>5.5-4</w:t>
      </w:r>
      <w:r>
        <w:rPr>
          <w:rFonts w:ascii="Times New Roman" w:eastAsia="Times New Roman"/>
        </w:rPr>
        <w:tab/>
      </w:r>
      <w:r>
        <w:t>复垦责任范围坐标一览表（</w:t>
      </w:r>
      <w:r>
        <w:rPr>
          <w:rFonts w:ascii="Times New Roman" w:eastAsia="Times New Roman"/>
        </w:rPr>
        <w:t xml:space="preserve">2000 </w:t>
      </w:r>
      <w:r>
        <w:t>国家坐标系，三度带）</w:t>
      </w:r>
    </w:p>
    <w:tbl>
      <w:tblPr>
        <w:tblStyle w:val="10"/>
        <w:tblW w:w="0" w:type="auto"/>
        <w:tblInd w:w="4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8"/>
        <w:gridCol w:w="1721"/>
        <w:gridCol w:w="1762"/>
        <w:gridCol w:w="820"/>
        <w:gridCol w:w="1718"/>
        <w:gridCol w:w="17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8" w:type="dxa"/>
          </w:tcPr>
          <w:p>
            <w:pPr>
              <w:pStyle w:val="14"/>
              <w:spacing w:before="21"/>
              <w:ind w:left="182" w:right="175"/>
              <w:rPr>
                <w:sz w:val="21"/>
              </w:rPr>
            </w:pPr>
            <w:r>
              <w:rPr>
                <w:sz w:val="21"/>
              </w:rPr>
              <w:t>点号</w:t>
            </w:r>
          </w:p>
        </w:tc>
        <w:tc>
          <w:tcPr>
            <w:tcW w:w="1721" w:type="dxa"/>
          </w:tcPr>
          <w:p>
            <w:pPr>
              <w:pStyle w:val="14"/>
              <w:spacing w:before="35"/>
              <w:ind w:left="28"/>
              <w:rPr>
                <w:rFonts w:ascii="Times New Roman"/>
                <w:sz w:val="21"/>
              </w:rPr>
            </w:pPr>
            <w:r>
              <w:rPr>
                <w:rFonts w:ascii="Times New Roman"/>
                <w:w w:val="99"/>
                <w:sz w:val="21"/>
              </w:rPr>
              <w:t>X</w:t>
            </w:r>
          </w:p>
        </w:tc>
        <w:tc>
          <w:tcPr>
            <w:tcW w:w="1762" w:type="dxa"/>
          </w:tcPr>
          <w:p>
            <w:pPr>
              <w:pStyle w:val="14"/>
              <w:spacing w:before="35"/>
              <w:ind w:left="30"/>
              <w:rPr>
                <w:rFonts w:ascii="Times New Roman"/>
                <w:sz w:val="21"/>
              </w:rPr>
            </w:pPr>
            <w:r>
              <w:rPr>
                <w:rFonts w:ascii="Times New Roman"/>
                <w:w w:val="99"/>
                <w:sz w:val="21"/>
              </w:rPr>
              <w:t>Y</w:t>
            </w:r>
          </w:p>
        </w:tc>
        <w:tc>
          <w:tcPr>
            <w:tcW w:w="820" w:type="dxa"/>
          </w:tcPr>
          <w:p>
            <w:pPr>
              <w:pStyle w:val="14"/>
              <w:spacing w:before="21"/>
              <w:ind w:left="179" w:right="170"/>
              <w:rPr>
                <w:sz w:val="21"/>
              </w:rPr>
            </w:pPr>
            <w:r>
              <w:rPr>
                <w:sz w:val="21"/>
              </w:rPr>
              <w:t>点号</w:t>
            </w:r>
          </w:p>
        </w:tc>
        <w:tc>
          <w:tcPr>
            <w:tcW w:w="1718" w:type="dxa"/>
          </w:tcPr>
          <w:p>
            <w:pPr>
              <w:pStyle w:val="14"/>
              <w:spacing w:before="35"/>
              <w:ind w:left="36"/>
              <w:rPr>
                <w:rFonts w:ascii="Times New Roman"/>
                <w:sz w:val="21"/>
              </w:rPr>
            </w:pPr>
            <w:r>
              <w:rPr>
                <w:rFonts w:ascii="Times New Roman"/>
                <w:w w:val="99"/>
                <w:sz w:val="21"/>
              </w:rPr>
              <w:t>X</w:t>
            </w:r>
          </w:p>
        </w:tc>
        <w:tc>
          <w:tcPr>
            <w:tcW w:w="1769" w:type="dxa"/>
          </w:tcPr>
          <w:p>
            <w:pPr>
              <w:pStyle w:val="14"/>
              <w:spacing w:before="35"/>
              <w:ind w:left="34"/>
              <w:rPr>
                <w:rFonts w:ascii="Times New Roman"/>
                <w:sz w:val="21"/>
              </w:rPr>
            </w:pPr>
            <w:r>
              <w:rPr>
                <w:rFonts w:ascii="Times New Roman"/>
                <w:w w:val="99"/>
                <w:sz w:val="21"/>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8" w:type="dxa"/>
          </w:tcPr>
          <w:p>
            <w:pPr>
              <w:pStyle w:val="14"/>
              <w:spacing w:before="34"/>
              <w:ind w:left="6"/>
              <w:rPr>
                <w:rFonts w:ascii="Times New Roman"/>
                <w:sz w:val="21"/>
              </w:rPr>
            </w:pPr>
            <w:r>
              <w:rPr>
                <w:rFonts w:ascii="Times New Roman"/>
                <w:w w:val="99"/>
                <w:sz w:val="21"/>
              </w:rPr>
              <w:t>1</w:t>
            </w:r>
          </w:p>
        </w:tc>
        <w:tc>
          <w:tcPr>
            <w:tcW w:w="1721" w:type="dxa"/>
          </w:tcPr>
          <w:p>
            <w:pPr>
              <w:pStyle w:val="14"/>
              <w:spacing w:before="34"/>
              <w:ind w:left="340" w:right="330"/>
              <w:rPr>
                <w:rFonts w:ascii="Times New Roman"/>
                <w:sz w:val="21"/>
              </w:rPr>
            </w:pPr>
            <w:r>
              <w:rPr>
                <w:rFonts w:ascii="Times New Roman"/>
                <w:sz w:val="21"/>
              </w:rPr>
              <w:t>5152249.58</w:t>
            </w:r>
          </w:p>
        </w:tc>
        <w:tc>
          <w:tcPr>
            <w:tcW w:w="1762" w:type="dxa"/>
          </w:tcPr>
          <w:p>
            <w:pPr>
              <w:pStyle w:val="14"/>
              <w:spacing w:before="34"/>
              <w:ind w:left="310" w:right="298"/>
              <w:rPr>
                <w:rFonts w:ascii="Times New Roman"/>
                <w:sz w:val="21"/>
              </w:rPr>
            </w:pPr>
            <w:r>
              <w:rPr>
                <w:rFonts w:ascii="Times New Roman"/>
                <w:sz w:val="21"/>
              </w:rPr>
              <w:t>44436666.66</w:t>
            </w:r>
          </w:p>
        </w:tc>
        <w:tc>
          <w:tcPr>
            <w:tcW w:w="820" w:type="dxa"/>
          </w:tcPr>
          <w:p>
            <w:pPr>
              <w:pStyle w:val="14"/>
              <w:spacing w:before="34"/>
              <w:ind w:left="8"/>
              <w:rPr>
                <w:rFonts w:ascii="Times New Roman"/>
                <w:sz w:val="21"/>
              </w:rPr>
            </w:pPr>
            <w:r>
              <w:rPr>
                <w:rFonts w:ascii="Times New Roman"/>
                <w:w w:val="99"/>
                <w:sz w:val="21"/>
              </w:rPr>
              <w:t>6</w:t>
            </w:r>
          </w:p>
        </w:tc>
        <w:tc>
          <w:tcPr>
            <w:tcW w:w="1718" w:type="dxa"/>
          </w:tcPr>
          <w:p>
            <w:pPr>
              <w:pStyle w:val="14"/>
              <w:spacing w:before="34"/>
              <w:ind w:left="338" w:right="329"/>
              <w:rPr>
                <w:rFonts w:ascii="Times New Roman"/>
                <w:sz w:val="21"/>
              </w:rPr>
            </w:pPr>
            <w:r>
              <w:rPr>
                <w:rFonts w:ascii="Times New Roman"/>
                <w:sz w:val="21"/>
              </w:rPr>
              <w:t>5152071.86</w:t>
            </w:r>
          </w:p>
        </w:tc>
        <w:tc>
          <w:tcPr>
            <w:tcW w:w="1769" w:type="dxa"/>
          </w:tcPr>
          <w:p>
            <w:pPr>
              <w:pStyle w:val="14"/>
              <w:spacing w:before="34"/>
              <w:ind w:left="311" w:right="300"/>
              <w:rPr>
                <w:rFonts w:ascii="Times New Roman"/>
                <w:sz w:val="21"/>
              </w:rPr>
            </w:pPr>
            <w:r>
              <w:rPr>
                <w:rFonts w:ascii="Times New Roman"/>
                <w:sz w:val="21"/>
              </w:rPr>
              <w:t>44436518.11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8" w:type="dxa"/>
          </w:tcPr>
          <w:p>
            <w:pPr>
              <w:pStyle w:val="14"/>
              <w:spacing w:before="34"/>
              <w:ind w:left="6"/>
              <w:rPr>
                <w:rFonts w:ascii="Times New Roman"/>
                <w:sz w:val="21"/>
              </w:rPr>
            </w:pPr>
            <w:r>
              <w:rPr>
                <w:rFonts w:ascii="Times New Roman"/>
                <w:w w:val="99"/>
                <w:sz w:val="21"/>
              </w:rPr>
              <w:t>2</w:t>
            </w:r>
          </w:p>
        </w:tc>
        <w:tc>
          <w:tcPr>
            <w:tcW w:w="1721" w:type="dxa"/>
          </w:tcPr>
          <w:p>
            <w:pPr>
              <w:pStyle w:val="14"/>
              <w:spacing w:before="34"/>
              <w:ind w:left="340" w:right="330"/>
              <w:rPr>
                <w:rFonts w:ascii="Times New Roman"/>
                <w:sz w:val="21"/>
              </w:rPr>
            </w:pPr>
            <w:r>
              <w:rPr>
                <w:rFonts w:ascii="Times New Roman"/>
                <w:sz w:val="21"/>
              </w:rPr>
              <w:t>5152278.11</w:t>
            </w:r>
          </w:p>
        </w:tc>
        <w:tc>
          <w:tcPr>
            <w:tcW w:w="1762" w:type="dxa"/>
          </w:tcPr>
          <w:p>
            <w:pPr>
              <w:pStyle w:val="14"/>
              <w:spacing w:before="34"/>
              <w:ind w:left="310" w:right="298"/>
              <w:rPr>
                <w:rFonts w:ascii="Times New Roman"/>
                <w:sz w:val="21"/>
              </w:rPr>
            </w:pPr>
            <w:r>
              <w:rPr>
                <w:rFonts w:ascii="Times New Roman"/>
                <w:sz w:val="21"/>
              </w:rPr>
              <w:t>44436566.66</w:t>
            </w:r>
          </w:p>
        </w:tc>
        <w:tc>
          <w:tcPr>
            <w:tcW w:w="820" w:type="dxa"/>
          </w:tcPr>
          <w:p>
            <w:pPr>
              <w:pStyle w:val="14"/>
              <w:spacing w:before="34"/>
              <w:ind w:left="8"/>
              <w:rPr>
                <w:rFonts w:ascii="Times New Roman"/>
                <w:sz w:val="21"/>
              </w:rPr>
            </w:pPr>
            <w:r>
              <w:rPr>
                <w:rFonts w:ascii="Times New Roman"/>
                <w:w w:val="99"/>
                <w:sz w:val="21"/>
              </w:rPr>
              <w:t>7</w:t>
            </w:r>
          </w:p>
        </w:tc>
        <w:tc>
          <w:tcPr>
            <w:tcW w:w="1718" w:type="dxa"/>
          </w:tcPr>
          <w:p>
            <w:pPr>
              <w:pStyle w:val="14"/>
              <w:spacing w:before="34"/>
              <w:ind w:left="338" w:right="329"/>
              <w:rPr>
                <w:rFonts w:ascii="Times New Roman"/>
                <w:sz w:val="21"/>
              </w:rPr>
            </w:pPr>
            <w:r>
              <w:rPr>
                <w:rFonts w:ascii="Times New Roman"/>
                <w:sz w:val="21"/>
              </w:rPr>
              <w:t>5152005.02</w:t>
            </w:r>
          </w:p>
        </w:tc>
        <w:tc>
          <w:tcPr>
            <w:tcW w:w="1769" w:type="dxa"/>
          </w:tcPr>
          <w:p>
            <w:pPr>
              <w:pStyle w:val="14"/>
              <w:spacing w:before="34"/>
              <w:ind w:left="309" w:right="302"/>
              <w:rPr>
                <w:rFonts w:ascii="Times New Roman"/>
                <w:sz w:val="21"/>
              </w:rPr>
            </w:pPr>
            <w:r>
              <w:rPr>
                <w:rFonts w:ascii="Times New Roman"/>
                <w:sz w:val="21"/>
              </w:rPr>
              <w:t>44436614.00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8" w:type="dxa"/>
          </w:tcPr>
          <w:p>
            <w:pPr>
              <w:pStyle w:val="14"/>
              <w:spacing w:before="34"/>
              <w:ind w:left="6"/>
              <w:rPr>
                <w:rFonts w:ascii="Times New Roman"/>
                <w:sz w:val="21"/>
              </w:rPr>
            </w:pPr>
            <w:r>
              <w:rPr>
                <w:rFonts w:ascii="Times New Roman"/>
                <w:w w:val="99"/>
                <w:sz w:val="21"/>
              </w:rPr>
              <w:t>3</w:t>
            </w:r>
          </w:p>
        </w:tc>
        <w:tc>
          <w:tcPr>
            <w:tcW w:w="1721" w:type="dxa"/>
          </w:tcPr>
          <w:p>
            <w:pPr>
              <w:pStyle w:val="14"/>
              <w:spacing w:before="34"/>
              <w:ind w:left="340" w:right="330"/>
              <w:rPr>
                <w:rFonts w:ascii="Times New Roman"/>
                <w:sz w:val="21"/>
              </w:rPr>
            </w:pPr>
            <w:r>
              <w:rPr>
                <w:rFonts w:ascii="Times New Roman"/>
                <w:sz w:val="21"/>
              </w:rPr>
              <w:t>5152161.52</w:t>
            </w:r>
          </w:p>
        </w:tc>
        <w:tc>
          <w:tcPr>
            <w:tcW w:w="1762" w:type="dxa"/>
          </w:tcPr>
          <w:p>
            <w:pPr>
              <w:pStyle w:val="14"/>
              <w:spacing w:before="34"/>
              <w:ind w:left="310" w:right="298"/>
              <w:rPr>
                <w:rFonts w:ascii="Times New Roman"/>
                <w:sz w:val="21"/>
              </w:rPr>
            </w:pPr>
            <w:r>
              <w:rPr>
                <w:rFonts w:ascii="Times New Roman"/>
                <w:sz w:val="21"/>
              </w:rPr>
              <w:t>44436528.47</w:t>
            </w:r>
          </w:p>
        </w:tc>
        <w:tc>
          <w:tcPr>
            <w:tcW w:w="820" w:type="dxa"/>
          </w:tcPr>
          <w:p>
            <w:pPr>
              <w:pStyle w:val="14"/>
              <w:spacing w:before="34"/>
              <w:ind w:left="8"/>
              <w:rPr>
                <w:rFonts w:ascii="Times New Roman"/>
                <w:sz w:val="21"/>
              </w:rPr>
            </w:pPr>
            <w:r>
              <w:rPr>
                <w:rFonts w:ascii="Times New Roman"/>
                <w:w w:val="99"/>
                <w:sz w:val="21"/>
              </w:rPr>
              <w:t>8</w:t>
            </w:r>
          </w:p>
        </w:tc>
        <w:tc>
          <w:tcPr>
            <w:tcW w:w="1718" w:type="dxa"/>
          </w:tcPr>
          <w:p>
            <w:pPr>
              <w:pStyle w:val="14"/>
              <w:spacing w:before="34"/>
              <w:ind w:left="339" w:right="328"/>
              <w:rPr>
                <w:rFonts w:ascii="Times New Roman"/>
                <w:sz w:val="21"/>
              </w:rPr>
            </w:pPr>
            <w:r>
              <w:rPr>
                <w:rFonts w:ascii="Times New Roman"/>
                <w:sz w:val="21"/>
              </w:rPr>
              <w:t>5152011.94</w:t>
            </w:r>
          </w:p>
        </w:tc>
        <w:tc>
          <w:tcPr>
            <w:tcW w:w="1769" w:type="dxa"/>
          </w:tcPr>
          <w:p>
            <w:pPr>
              <w:pStyle w:val="14"/>
              <w:spacing w:before="34"/>
              <w:ind w:left="309" w:right="302"/>
              <w:rPr>
                <w:rFonts w:ascii="Times New Roman"/>
                <w:sz w:val="21"/>
              </w:rPr>
            </w:pPr>
            <w:r>
              <w:rPr>
                <w:rFonts w:ascii="Times New Roman"/>
                <w:sz w:val="21"/>
              </w:rPr>
              <w:t>44436648.76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28" w:type="dxa"/>
          </w:tcPr>
          <w:p>
            <w:pPr>
              <w:pStyle w:val="14"/>
              <w:spacing w:before="36"/>
              <w:ind w:left="6"/>
              <w:rPr>
                <w:rFonts w:ascii="Times New Roman"/>
                <w:sz w:val="21"/>
              </w:rPr>
            </w:pPr>
            <w:r>
              <w:rPr>
                <w:rFonts w:ascii="Times New Roman"/>
                <w:w w:val="99"/>
                <w:sz w:val="21"/>
              </w:rPr>
              <w:t>4</w:t>
            </w:r>
          </w:p>
        </w:tc>
        <w:tc>
          <w:tcPr>
            <w:tcW w:w="1721" w:type="dxa"/>
          </w:tcPr>
          <w:p>
            <w:pPr>
              <w:pStyle w:val="14"/>
              <w:spacing w:before="36"/>
              <w:ind w:left="339" w:right="331"/>
              <w:rPr>
                <w:rFonts w:ascii="Times New Roman"/>
                <w:sz w:val="21"/>
              </w:rPr>
            </w:pPr>
            <w:r>
              <w:rPr>
                <w:rFonts w:ascii="Times New Roman"/>
                <w:sz w:val="21"/>
              </w:rPr>
              <w:t>5152116.73</w:t>
            </w:r>
          </w:p>
        </w:tc>
        <w:tc>
          <w:tcPr>
            <w:tcW w:w="1762" w:type="dxa"/>
          </w:tcPr>
          <w:p>
            <w:pPr>
              <w:pStyle w:val="14"/>
              <w:spacing w:before="36"/>
              <w:ind w:left="310" w:right="298"/>
              <w:rPr>
                <w:rFonts w:ascii="Times New Roman"/>
                <w:sz w:val="21"/>
              </w:rPr>
            </w:pPr>
            <w:r>
              <w:rPr>
                <w:rFonts w:ascii="Times New Roman"/>
                <w:sz w:val="21"/>
              </w:rPr>
              <w:t>44436520.48</w:t>
            </w:r>
          </w:p>
        </w:tc>
        <w:tc>
          <w:tcPr>
            <w:tcW w:w="820" w:type="dxa"/>
          </w:tcPr>
          <w:p>
            <w:pPr>
              <w:pStyle w:val="14"/>
              <w:spacing w:before="36"/>
              <w:ind w:left="8"/>
              <w:rPr>
                <w:rFonts w:ascii="Times New Roman"/>
                <w:sz w:val="21"/>
              </w:rPr>
            </w:pPr>
            <w:r>
              <w:rPr>
                <w:rFonts w:ascii="Times New Roman"/>
                <w:w w:val="99"/>
                <w:sz w:val="21"/>
              </w:rPr>
              <w:t>9</w:t>
            </w:r>
          </w:p>
        </w:tc>
        <w:tc>
          <w:tcPr>
            <w:tcW w:w="1718" w:type="dxa"/>
          </w:tcPr>
          <w:p>
            <w:pPr>
              <w:pStyle w:val="14"/>
              <w:spacing w:before="36"/>
              <w:ind w:left="338" w:right="329"/>
              <w:rPr>
                <w:rFonts w:ascii="Times New Roman"/>
                <w:sz w:val="21"/>
              </w:rPr>
            </w:pPr>
            <w:r>
              <w:rPr>
                <w:rFonts w:ascii="Times New Roman"/>
                <w:sz w:val="21"/>
              </w:rPr>
              <w:t>5152137.95</w:t>
            </w:r>
          </w:p>
        </w:tc>
        <w:tc>
          <w:tcPr>
            <w:tcW w:w="1769" w:type="dxa"/>
          </w:tcPr>
          <w:p>
            <w:pPr>
              <w:pStyle w:val="14"/>
              <w:spacing w:before="36"/>
              <w:ind w:left="309" w:right="302"/>
              <w:rPr>
                <w:rFonts w:ascii="Times New Roman"/>
                <w:sz w:val="21"/>
              </w:rPr>
            </w:pPr>
            <w:r>
              <w:rPr>
                <w:rFonts w:ascii="Times New Roman"/>
                <w:sz w:val="21"/>
              </w:rPr>
              <w:t>44436670.35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8" w:type="dxa"/>
          </w:tcPr>
          <w:p>
            <w:pPr>
              <w:pStyle w:val="14"/>
              <w:spacing w:before="35"/>
              <w:ind w:left="6"/>
              <w:rPr>
                <w:rFonts w:ascii="Times New Roman"/>
                <w:sz w:val="21"/>
              </w:rPr>
            </w:pPr>
            <w:r>
              <w:rPr>
                <w:rFonts w:ascii="Times New Roman"/>
                <w:w w:val="99"/>
                <w:sz w:val="21"/>
              </w:rPr>
              <w:t>5</w:t>
            </w:r>
          </w:p>
        </w:tc>
        <w:tc>
          <w:tcPr>
            <w:tcW w:w="1721" w:type="dxa"/>
          </w:tcPr>
          <w:p>
            <w:pPr>
              <w:pStyle w:val="14"/>
              <w:spacing w:before="35"/>
              <w:ind w:left="339" w:right="331"/>
              <w:rPr>
                <w:rFonts w:ascii="Times New Roman"/>
                <w:sz w:val="21"/>
              </w:rPr>
            </w:pPr>
            <w:r>
              <w:rPr>
                <w:rFonts w:ascii="Times New Roman"/>
                <w:sz w:val="21"/>
              </w:rPr>
              <w:t>5152114.72</w:t>
            </w:r>
          </w:p>
        </w:tc>
        <w:tc>
          <w:tcPr>
            <w:tcW w:w="1762" w:type="dxa"/>
          </w:tcPr>
          <w:p>
            <w:pPr>
              <w:pStyle w:val="14"/>
              <w:spacing w:before="35"/>
              <w:ind w:left="310" w:right="298"/>
              <w:rPr>
                <w:rFonts w:ascii="Times New Roman"/>
                <w:sz w:val="21"/>
              </w:rPr>
            </w:pPr>
            <w:r>
              <w:rPr>
                <w:rFonts w:ascii="Times New Roman"/>
                <w:sz w:val="21"/>
              </w:rPr>
              <w:t>44436528.88</w:t>
            </w:r>
          </w:p>
        </w:tc>
        <w:tc>
          <w:tcPr>
            <w:tcW w:w="820" w:type="dxa"/>
          </w:tcPr>
          <w:p>
            <w:pPr>
              <w:pStyle w:val="14"/>
              <w:spacing w:before="35"/>
              <w:ind w:left="178" w:right="170"/>
              <w:rPr>
                <w:rFonts w:ascii="Times New Roman"/>
                <w:sz w:val="21"/>
              </w:rPr>
            </w:pPr>
            <w:r>
              <w:rPr>
                <w:rFonts w:ascii="Times New Roman"/>
                <w:sz w:val="21"/>
              </w:rPr>
              <w:t>10</w:t>
            </w:r>
          </w:p>
        </w:tc>
        <w:tc>
          <w:tcPr>
            <w:tcW w:w="1718" w:type="dxa"/>
          </w:tcPr>
          <w:p>
            <w:pPr>
              <w:pStyle w:val="14"/>
              <w:spacing w:before="35"/>
              <w:ind w:left="338" w:right="329"/>
              <w:rPr>
                <w:rFonts w:ascii="Times New Roman"/>
                <w:sz w:val="21"/>
              </w:rPr>
            </w:pPr>
            <w:r>
              <w:rPr>
                <w:rFonts w:ascii="Times New Roman"/>
                <w:sz w:val="21"/>
              </w:rPr>
              <w:t>5152154.01</w:t>
            </w:r>
          </w:p>
        </w:tc>
        <w:tc>
          <w:tcPr>
            <w:tcW w:w="1769" w:type="dxa"/>
          </w:tcPr>
          <w:p>
            <w:pPr>
              <w:pStyle w:val="14"/>
              <w:spacing w:before="35"/>
              <w:ind w:left="309" w:right="302"/>
              <w:rPr>
                <w:rFonts w:ascii="Times New Roman"/>
                <w:sz w:val="21"/>
              </w:rPr>
            </w:pPr>
            <w:r>
              <w:rPr>
                <w:rFonts w:ascii="Times New Roman"/>
                <w:sz w:val="21"/>
              </w:rPr>
              <w:t>44436646.99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618" w:type="dxa"/>
            <w:gridSpan w:val="6"/>
          </w:tcPr>
          <w:p>
            <w:pPr>
              <w:pStyle w:val="14"/>
              <w:spacing w:before="21"/>
              <w:ind w:left="2924" w:right="2914"/>
              <w:rPr>
                <w:sz w:val="21"/>
              </w:rPr>
            </w:pPr>
            <w:r>
              <w:rPr>
                <w:sz w:val="21"/>
              </w:rPr>
              <w:t>工业广场面积：</w:t>
            </w:r>
            <w:r>
              <w:rPr>
                <w:rFonts w:ascii="Times New Roman" w:eastAsia="Times New Roman"/>
                <w:sz w:val="21"/>
              </w:rPr>
              <w:t xml:space="preserve">2.9767 </w:t>
            </w:r>
            <w:r>
              <w:rPr>
                <w:sz w:val="21"/>
              </w:rPr>
              <w:t>公顷。</w:t>
            </w:r>
          </w:p>
        </w:tc>
      </w:tr>
    </w:tbl>
    <w:p>
      <w:pPr>
        <w:pStyle w:val="13"/>
        <w:numPr>
          <w:ilvl w:val="3"/>
          <w:numId w:val="42"/>
        </w:numPr>
        <w:tabs>
          <w:tab w:val="left" w:pos="1332"/>
        </w:tabs>
        <w:spacing w:before="82" w:after="0" w:line="240" w:lineRule="auto"/>
        <w:ind w:left="1332" w:right="0" w:hanging="781"/>
        <w:jc w:val="both"/>
        <w:rPr>
          <w:b/>
          <w:sz w:val="24"/>
        </w:rPr>
      </w:pPr>
      <w:r>
        <w:rPr>
          <w:b/>
          <w:sz w:val="24"/>
        </w:rPr>
        <w:t>土地复垦、生态综合整治方案</w:t>
      </w:r>
    </w:p>
    <w:p>
      <w:pPr>
        <w:pStyle w:val="6"/>
        <w:spacing w:before="160" w:line="364" w:lineRule="auto"/>
        <w:ind w:left="551" w:right="969" w:firstLine="480"/>
        <w:jc w:val="both"/>
      </w:pPr>
      <w:r>
        <w:t>结合本矿实际，坚持</w:t>
      </w:r>
      <w:r>
        <w:rPr>
          <w:rFonts w:ascii="Times New Roman" w:hAnsi="Times New Roman" w:eastAsia="Times New Roman"/>
        </w:rPr>
        <w:t>“</w:t>
      </w:r>
      <w:r>
        <w:t>以人为本</w:t>
      </w:r>
      <w:r>
        <w:rPr>
          <w:rFonts w:ascii="Times New Roman" w:hAnsi="Times New Roman" w:eastAsia="Times New Roman"/>
        </w:rPr>
        <w:t>”</w:t>
      </w:r>
      <w:r>
        <w:t>，在对矿区矿山地质环境影响现状评估和预测评估的基础上，主要根据矿区矿山地质灾害、土地资源及地形地貌景观等影响因素，将评估区划分为重点防治区（Ⅰ区）、次重点防治区（Ⅱ区）和一般防治区（Ⅲ区）三个区</w:t>
      </w:r>
    </w:p>
    <w:p>
      <w:pPr>
        <w:pStyle w:val="5"/>
        <w:tabs>
          <w:tab w:val="left" w:pos="1039"/>
        </w:tabs>
        <w:spacing w:after="3" w:line="231" w:lineRule="exact"/>
        <w:ind w:right="403"/>
        <w:jc w:val="center"/>
      </w:pPr>
      <w:r>
        <w:t>表</w:t>
      </w:r>
      <w:r>
        <w:rPr>
          <w:spacing w:val="-62"/>
        </w:rPr>
        <w:t xml:space="preserve"> </w:t>
      </w:r>
      <w:r>
        <w:rPr>
          <w:rFonts w:ascii="Times New Roman" w:eastAsia="Times New Roman"/>
        </w:rPr>
        <w:t>5.5-5</w:t>
      </w:r>
      <w:r>
        <w:rPr>
          <w:rFonts w:ascii="Times New Roman" w:eastAsia="Times New Roman"/>
        </w:rPr>
        <w:tab/>
      </w:r>
      <w:r>
        <w:t>矿山地质环境保护与恢复治理分区表</w:t>
      </w:r>
    </w:p>
    <w:tbl>
      <w:tblPr>
        <w:tblStyle w:val="10"/>
        <w:tblW w:w="0" w:type="auto"/>
        <w:tblInd w:w="3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0"/>
        <w:gridCol w:w="708"/>
        <w:gridCol w:w="851"/>
        <w:gridCol w:w="992"/>
        <w:gridCol w:w="2283"/>
        <w:gridCol w:w="32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418" w:type="dxa"/>
            <w:gridSpan w:val="2"/>
          </w:tcPr>
          <w:p>
            <w:pPr>
              <w:pStyle w:val="14"/>
              <w:spacing w:line="220" w:lineRule="exact"/>
              <w:ind w:left="287"/>
              <w:jc w:val="left"/>
              <w:rPr>
                <w:rFonts w:hint="eastAsia" w:ascii="仿宋" w:eastAsia="仿宋"/>
                <w:sz w:val="21"/>
              </w:rPr>
            </w:pPr>
            <w:r>
              <w:rPr>
                <w:rFonts w:hint="eastAsia" w:ascii="仿宋" w:eastAsia="仿宋"/>
                <w:sz w:val="21"/>
              </w:rPr>
              <w:t>影响分区</w:t>
            </w:r>
          </w:p>
        </w:tc>
        <w:tc>
          <w:tcPr>
            <w:tcW w:w="851" w:type="dxa"/>
            <w:vMerge w:val="restart"/>
          </w:tcPr>
          <w:p>
            <w:pPr>
              <w:pStyle w:val="14"/>
              <w:spacing w:before="4" w:line="240" w:lineRule="exact"/>
              <w:ind w:left="319" w:right="99" w:hanging="209"/>
              <w:jc w:val="left"/>
              <w:rPr>
                <w:rFonts w:hint="eastAsia" w:ascii="仿宋" w:eastAsia="仿宋"/>
                <w:sz w:val="21"/>
              </w:rPr>
            </w:pPr>
            <w:r>
              <w:rPr>
                <w:rFonts w:hint="eastAsia" w:ascii="仿宋" w:eastAsia="仿宋"/>
                <w:sz w:val="21"/>
              </w:rPr>
              <w:t>分布范围</w:t>
            </w:r>
          </w:p>
        </w:tc>
        <w:tc>
          <w:tcPr>
            <w:tcW w:w="992" w:type="dxa"/>
            <w:vMerge w:val="restart"/>
          </w:tcPr>
          <w:p>
            <w:pPr>
              <w:pStyle w:val="14"/>
              <w:spacing w:line="248" w:lineRule="exact"/>
              <w:ind w:left="286"/>
              <w:jc w:val="left"/>
              <w:rPr>
                <w:rFonts w:hint="eastAsia" w:ascii="仿宋" w:eastAsia="仿宋"/>
                <w:sz w:val="21"/>
              </w:rPr>
            </w:pPr>
            <w:r>
              <w:rPr>
                <w:rFonts w:hint="eastAsia" w:ascii="仿宋" w:eastAsia="仿宋"/>
                <w:spacing w:val="-1"/>
                <w:w w:val="95"/>
                <w:sz w:val="21"/>
              </w:rPr>
              <w:t>面积</w:t>
            </w:r>
          </w:p>
          <w:p>
            <w:pPr>
              <w:pStyle w:val="14"/>
              <w:spacing w:line="222" w:lineRule="exact"/>
              <w:ind w:left="327"/>
              <w:jc w:val="left"/>
              <w:rPr>
                <w:rFonts w:ascii="Times New Roman"/>
                <w:sz w:val="13"/>
              </w:rPr>
            </w:pPr>
            <w:r>
              <w:rPr>
                <w:rFonts w:ascii="Times New Roman"/>
                <w:sz w:val="21"/>
              </w:rPr>
              <w:t>hm</w:t>
            </w:r>
            <w:r>
              <w:rPr>
                <w:rFonts w:ascii="Times New Roman"/>
                <w:position w:val="7"/>
                <w:sz w:val="13"/>
              </w:rPr>
              <w:t>2</w:t>
            </w:r>
          </w:p>
        </w:tc>
        <w:tc>
          <w:tcPr>
            <w:tcW w:w="2283" w:type="dxa"/>
            <w:vMerge w:val="restart"/>
          </w:tcPr>
          <w:p>
            <w:pPr>
              <w:pStyle w:val="14"/>
              <w:spacing w:before="4" w:line="240" w:lineRule="exact"/>
              <w:ind w:left="1034" w:right="187" w:hanging="840"/>
              <w:jc w:val="left"/>
              <w:rPr>
                <w:rFonts w:hint="eastAsia" w:ascii="仿宋" w:eastAsia="仿宋"/>
                <w:sz w:val="21"/>
              </w:rPr>
            </w:pPr>
            <w:r>
              <w:rPr>
                <w:rFonts w:hint="eastAsia" w:ascii="仿宋" w:eastAsia="仿宋"/>
                <w:sz w:val="21"/>
              </w:rPr>
              <w:t>主要矿山地质环境问题</w:t>
            </w:r>
          </w:p>
        </w:tc>
        <w:tc>
          <w:tcPr>
            <w:tcW w:w="3232" w:type="dxa"/>
            <w:vMerge w:val="restart"/>
          </w:tcPr>
          <w:p>
            <w:pPr>
              <w:pStyle w:val="14"/>
              <w:spacing w:before="106"/>
              <w:ind w:left="985"/>
              <w:jc w:val="left"/>
              <w:rPr>
                <w:rFonts w:hint="eastAsia" w:ascii="仿宋" w:eastAsia="仿宋"/>
                <w:sz w:val="21"/>
              </w:rPr>
            </w:pPr>
            <w:r>
              <w:rPr>
                <w:rFonts w:hint="eastAsia" w:ascii="仿宋" w:eastAsia="仿宋"/>
                <w:sz w:val="21"/>
              </w:rPr>
              <w:t>主要防治措施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710" w:type="dxa"/>
          </w:tcPr>
          <w:p>
            <w:pPr>
              <w:pStyle w:val="14"/>
              <w:spacing w:line="220" w:lineRule="exact"/>
              <w:ind w:left="143"/>
              <w:jc w:val="left"/>
              <w:rPr>
                <w:rFonts w:hint="eastAsia" w:ascii="仿宋" w:eastAsia="仿宋"/>
                <w:sz w:val="21"/>
              </w:rPr>
            </w:pPr>
            <w:r>
              <w:rPr>
                <w:rFonts w:hint="eastAsia" w:ascii="仿宋" w:eastAsia="仿宋"/>
                <w:sz w:val="21"/>
              </w:rPr>
              <w:t>分级</w:t>
            </w:r>
          </w:p>
        </w:tc>
        <w:tc>
          <w:tcPr>
            <w:tcW w:w="708" w:type="dxa"/>
          </w:tcPr>
          <w:p>
            <w:pPr>
              <w:pStyle w:val="14"/>
              <w:spacing w:line="220" w:lineRule="exact"/>
              <w:ind w:left="122" w:right="115"/>
              <w:rPr>
                <w:rFonts w:hint="eastAsia" w:ascii="仿宋" w:eastAsia="仿宋"/>
                <w:sz w:val="21"/>
              </w:rPr>
            </w:pPr>
            <w:r>
              <w:rPr>
                <w:rFonts w:hint="eastAsia" w:ascii="仿宋" w:eastAsia="仿宋"/>
                <w:sz w:val="21"/>
              </w:rPr>
              <w:t>编号</w:t>
            </w:r>
          </w:p>
        </w:tc>
        <w:tc>
          <w:tcPr>
            <w:tcW w:w="851" w:type="dxa"/>
            <w:vMerge w:val="continue"/>
            <w:tcBorders>
              <w:top w:val="nil"/>
            </w:tcBorders>
          </w:tcPr>
          <w:p>
            <w:pPr>
              <w:rPr>
                <w:sz w:val="2"/>
                <w:szCs w:val="2"/>
              </w:rPr>
            </w:pPr>
          </w:p>
        </w:tc>
        <w:tc>
          <w:tcPr>
            <w:tcW w:w="992" w:type="dxa"/>
            <w:vMerge w:val="continue"/>
            <w:tcBorders>
              <w:top w:val="nil"/>
            </w:tcBorders>
          </w:tcPr>
          <w:p>
            <w:pPr>
              <w:rPr>
                <w:sz w:val="2"/>
                <w:szCs w:val="2"/>
              </w:rPr>
            </w:pPr>
          </w:p>
        </w:tc>
        <w:tc>
          <w:tcPr>
            <w:tcW w:w="2283" w:type="dxa"/>
            <w:vMerge w:val="continue"/>
            <w:tcBorders>
              <w:top w:val="nil"/>
            </w:tcBorders>
          </w:tcPr>
          <w:p>
            <w:pPr>
              <w:rPr>
                <w:sz w:val="2"/>
                <w:szCs w:val="2"/>
              </w:rPr>
            </w:pPr>
          </w:p>
        </w:tc>
        <w:tc>
          <w:tcPr>
            <w:tcW w:w="323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 w:hRule="atLeast"/>
        </w:trPr>
        <w:tc>
          <w:tcPr>
            <w:tcW w:w="710" w:type="dxa"/>
          </w:tcPr>
          <w:p>
            <w:pPr>
              <w:pStyle w:val="14"/>
              <w:jc w:val="left"/>
              <w:rPr>
                <w:b/>
                <w:sz w:val="20"/>
              </w:rPr>
            </w:pPr>
          </w:p>
          <w:p>
            <w:pPr>
              <w:pStyle w:val="14"/>
              <w:spacing w:before="10"/>
              <w:jc w:val="left"/>
              <w:rPr>
                <w:b/>
                <w:sz w:val="17"/>
              </w:rPr>
            </w:pPr>
          </w:p>
          <w:p>
            <w:pPr>
              <w:pStyle w:val="14"/>
              <w:spacing w:line="213" w:lineRule="auto"/>
              <w:ind w:left="249" w:right="136" w:hanging="106"/>
              <w:jc w:val="left"/>
              <w:rPr>
                <w:rFonts w:hint="eastAsia" w:ascii="仿宋" w:eastAsia="仿宋"/>
                <w:sz w:val="21"/>
              </w:rPr>
            </w:pPr>
            <w:r>
              <w:rPr>
                <w:rFonts w:hint="eastAsia" w:ascii="仿宋" w:eastAsia="仿宋"/>
                <w:sz w:val="21"/>
              </w:rPr>
              <w:t>重点区</w:t>
            </w:r>
          </w:p>
        </w:tc>
        <w:tc>
          <w:tcPr>
            <w:tcW w:w="708" w:type="dxa"/>
          </w:tcPr>
          <w:p>
            <w:pPr>
              <w:pStyle w:val="14"/>
              <w:jc w:val="left"/>
              <w:rPr>
                <w:b/>
                <w:sz w:val="22"/>
              </w:rPr>
            </w:pPr>
          </w:p>
          <w:p>
            <w:pPr>
              <w:pStyle w:val="14"/>
              <w:spacing w:before="4"/>
              <w:jc w:val="left"/>
              <w:rPr>
                <w:b/>
                <w:sz w:val="23"/>
              </w:rPr>
            </w:pPr>
          </w:p>
          <w:p>
            <w:pPr>
              <w:pStyle w:val="14"/>
              <w:ind w:left="122" w:right="114"/>
              <w:rPr>
                <w:rFonts w:ascii="Times New Roman" w:hAnsi="Times New Roman"/>
                <w:sz w:val="21"/>
              </w:rPr>
            </w:pPr>
            <w:r>
              <w:rPr>
                <w:rFonts w:ascii="仿宋" w:hAnsi="仿宋"/>
                <w:sz w:val="21"/>
              </w:rPr>
              <w:t>Ⅰ</w:t>
            </w:r>
            <w:r>
              <w:rPr>
                <w:rFonts w:ascii="Times New Roman" w:hAnsi="Times New Roman"/>
                <w:sz w:val="21"/>
              </w:rPr>
              <w:t>1</w:t>
            </w:r>
          </w:p>
        </w:tc>
        <w:tc>
          <w:tcPr>
            <w:tcW w:w="851" w:type="dxa"/>
          </w:tcPr>
          <w:p>
            <w:pPr>
              <w:pStyle w:val="14"/>
              <w:jc w:val="left"/>
              <w:rPr>
                <w:b/>
                <w:sz w:val="20"/>
              </w:rPr>
            </w:pPr>
          </w:p>
          <w:p>
            <w:pPr>
              <w:pStyle w:val="14"/>
              <w:spacing w:before="10"/>
              <w:jc w:val="left"/>
              <w:rPr>
                <w:b/>
                <w:sz w:val="17"/>
              </w:rPr>
            </w:pPr>
          </w:p>
          <w:p>
            <w:pPr>
              <w:pStyle w:val="14"/>
              <w:spacing w:line="213" w:lineRule="auto"/>
              <w:ind w:left="319" w:right="99" w:hanging="209"/>
              <w:jc w:val="left"/>
              <w:rPr>
                <w:rFonts w:hint="eastAsia" w:ascii="仿宋" w:eastAsia="仿宋"/>
                <w:sz w:val="21"/>
              </w:rPr>
            </w:pPr>
            <w:r>
              <w:rPr>
                <w:rFonts w:hint="eastAsia" w:ascii="仿宋" w:eastAsia="仿宋"/>
                <w:sz w:val="21"/>
              </w:rPr>
              <w:t>工业广场</w:t>
            </w:r>
          </w:p>
        </w:tc>
        <w:tc>
          <w:tcPr>
            <w:tcW w:w="992" w:type="dxa"/>
          </w:tcPr>
          <w:p>
            <w:pPr>
              <w:pStyle w:val="14"/>
              <w:jc w:val="left"/>
              <w:rPr>
                <w:b/>
                <w:sz w:val="22"/>
              </w:rPr>
            </w:pPr>
          </w:p>
          <w:p>
            <w:pPr>
              <w:pStyle w:val="14"/>
              <w:spacing w:before="10"/>
              <w:jc w:val="left"/>
              <w:rPr>
                <w:b/>
                <w:sz w:val="24"/>
              </w:rPr>
            </w:pPr>
          </w:p>
          <w:p>
            <w:pPr>
              <w:pStyle w:val="14"/>
              <w:ind w:left="56" w:right="46"/>
              <w:rPr>
                <w:rFonts w:ascii="Times New Roman"/>
                <w:sz w:val="21"/>
              </w:rPr>
            </w:pPr>
            <w:r>
              <w:rPr>
                <w:rFonts w:ascii="Times New Roman"/>
                <w:sz w:val="21"/>
              </w:rPr>
              <w:t>2.9767</w:t>
            </w:r>
          </w:p>
        </w:tc>
        <w:tc>
          <w:tcPr>
            <w:tcW w:w="2283" w:type="dxa"/>
          </w:tcPr>
          <w:p>
            <w:pPr>
              <w:pStyle w:val="14"/>
              <w:spacing w:before="5"/>
              <w:jc w:val="left"/>
              <w:rPr>
                <w:b/>
                <w:sz w:val="28"/>
              </w:rPr>
            </w:pPr>
          </w:p>
          <w:p>
            <w:pPr>
              <w:pStyle w:val="14"/>
              <w:spacing w:line="213" w:lineRule="auto"/>
              <w:ind w:left="80" w:right="68"/>
              <w:rPr>
                <w:rFonts w:hint="eastAsia" w:ascii="仿宋" w:eastAsia="仿宋"/>
                <w:sz w:val="21"/>
              </w:rPr>
            </w:pPr>
            <w:r>
              <w:rPr>
                <w:rFonts w:hint="eastAsia" w:ascii="仿宋" w:eastAsia="仿宋"/>
                <w:sz w:val="21"/>
              </w:rPr>
              <w:t>破坏地形地貌，破坏地类为旱地、有林地和村庄用地</w:t>
            </w:r>
          </w:p>
        </w:tc>
        <w:tc>
          <w:tcPr>
            <w:tcW w:w="3232" w:type="dxa"/>
          </w:tcPr>
          <w:p>
            <w:pPr>
              <w:pStyle w:val="14"/>
              <w:spacing w:before="4" w:line="213" w:lineRule="auto"/>
              <w:ind w:left="107" w:right="69"/>
              <w:jc w:val="both"/>
              <w:rPr>
                <w:rFonts w:hint="eastAsia" w:ascii="仿宋" w:eastAsia="仿宋"/>
                <w:sz w:val="21"/>
              </w:rPr>
            </w:pPr>
            <w:r>
              <w:rPr>
                <w:rFonts w:ascii="Times New Roman" w:eastAsia="Times New Roman"/>
                <w:sz w:val="21"/>
              </w:rPr>
              <w:t>1</w:t>
            </w:r>
            <w:r>
              <w:rPr>
                <w:rFonts w:hint="eastAsia" w:ascii="仿宋" w:eastAsia="仿宋"/>
                <w:sz w:val="21"/>
              </w:rPr>
              <w:t>、工业广场留续使用，本次进行土地复垦工程设计，环境治理只进行环境监测工程设计；</w:t>
            </w:r>
            <w:r>
              <w:rPr>
                <w:rFonts w:ascii="Times New Roman" w:eastAsia="Times New Roman"/>
                <w:sz w:val="21"/>
              </w:rPr>
              <w:t>2</w:t>
            </w:r>
            <w:r>
              <w:rPr>
                <w:rFonts w:hint="eastAsia" w:ascii="仿宋" w:eastAsia="仿宋"/>
                <w:sz w:val="21"/>
              </w:rPr>
              <w:t>、临时矸石场进行监测，防止滑坡；</w:t>
            </w:r>
            <w:r>
              <w:rPr>
                <w:rFonts w:ascii="Times New Roman" w:eastAsia="Times New Roman"/>
                <w:sz w:val="21"/>
              </w:rPr>
              <w:t>3</w:t>
            </w:r>
            <w:r>
              <w:rPr>
                <w:rFonts w:hint="eastAsia" w:ascii="仿宋" w:eastAsia="仿宋"/>
                <w:sz w:val="21"/>
              </w:rPr>
              <w:t>、进行土层厚度监测，防止水土流</w:t>
            </w:r>
          </w:p>
          <w:p>
            <w:pPr>
              <w:pStyle w:val="14"/>
              <w:spacing w:line="218" w:lineRule="exact"/>
              <w:ind w:left="1384" w:right="1377"/>
              <w:rPr>
                <w:rFonts w:hint="eastAsia" w:ascii="仿宋" w:eastAsia="仿宋"/>
                <w:sz w:val="21"/>
              </w:rPr>
            </w:pPr>
            <w:r>
              <w:rPr>
                <w:rFonts w:hint="eastAsia" w:ascii="仿宋" w:eastAsia="仿宋"/>
                <w:sz w:val="21"/>
              </w:rPr>
              <w:t>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0" w:hRule="atLeast"/>
        </w:trPr>
        <w:tc>
          <w:tcPr>
            <w:tcW w:w="710" w:type="dxa"/>
          </w:tcPr>
          <w:p>
            <w:pPr>
              <w:pStyle w:val="14"/>
              <w:jc w:val="left"/>
              <w:rPr>
                <w:b/>
                <w:sz w:val="20"/>
              </w:rPr>
            </w:pPr>
          </w:p>
          <w:p>
            <w:pPr>
              <w:pStyle w:val="14"/>
              <w:jc w:val="left"/>
              <w:rPr>
                <w:b/>
                <w:sz w:val="20"/>
              </w:rPr>
            </w:pPr>
          </w:p>
          <w:p>
            <w:pPr>
              <w:pStyle w:val="14"/>
              <w:jc w:val="left"/>
              <w:rPr>
                <w:b/>
                <w:sz w:val="26"/>
              </w:rPr>
            </w:pPr>
          </w:p>
          <w:p>
            <w:pPr>
              <w:pStyle w:val="14"/>
              <w:spacing w:line="213" w:lineRule="auto"/>
              <w:ind w:left="143" w:right="136"/>
              <w:jc w:val="left"/>
              <w:rPr>
                <w:rFonts w:hint="eastAsia" w:ascii="仿宋" w:eastAsia="仿宋"/>
                <w:sz w:val="21"/>
              </w:rPr>
            </w:pPr>
            <w:r>
              <w:rPr>
                <w:rFonts w:hint="eastAsia" w:ascii="仿宋" w:eastAsia="仿宋"/>
                <w:sz w:val="21"/>
              </w:rPr>
              <w:t>次重点区</w:t>
            </w:r>
          </w:p>
        </w:tc>
        <w:tc>
          <w:tcPr>
            <w:tcW w:w="708" w:type="dxa"/>
          </w:tcPr>
          <w:p>
            <w:pPr>
              <w:pStyle w:val="14"/>
              <w:jc w:val="left"/>
              <w:rPr>
                <w:b/>
                <w:sz w:val="22"/>
              </w:rPr>
            </w:pPr>
          </w:p>
          <w:p>
            <w:pPr>
              <w:pStyle w:val="14"/>
              <w:jc w:val="left"/>
              <w:rPr>
                <w:b/>
                <w:sz w:val="22"/>
              </w:rPr>
            </w:pPr>
          </w:p>
          <w:p>
            <w:pPr>
              <w:pStyle w:val="14"/>
              <w:spacing w:before="7"/>
              <w:jc w:val="left"/>
              <w:rPr>
                <w:b/>
                <w:sz w:val="29"/>
              </w:rPr>
            </w:pPr>
          </w:p>
          <w:p>
            <w:pPr>
              <w:pStyle w:val="14"/>
              <w:spacing w:before="1"/>
              <w:ind w:left="122" w:right="114"/>
              <w:rPr>
                <w:rFonts w:ascii="Times New Roman" w:hAnsi="Times New Roman"/>
                <w:sz w:val="21"/>
              </w:rPr>
            </w:pPr>
            <w:r>
              <w:rPr>
                <w:rFonts w:ascii="仿宋" w:hAnsi="仿宋"/>
                <w:sz w:val="21"/>
              </w:rPr>
              <w:t>Ⅱ</w:t>
            </w:r>
            <w:r>
              <w:rPr>
                <w:rFonts w:ascii="Times New Roman" w:hAnsi="Times New Roman"/>
                <w:sz w:val="21"/>
              </w:rPr>
              <w:t>1</w:t>
            </w:r>
          </w:p>
        </w:tc>
        <w:tc>
          <w:tcPr>
            <w:tcW w:w="851" w:type="dxa"/>
          </w:tcPr>
          <w:p>
            <w:pPr>
              <w:pStyle w:val="14"/>
              <w:jc w:val="left"/>
              <w:rPr>
                <w:b/>
                <w:sz w:val="20"/>
              </w:rPr>
            </w:pPr>
          </w:p>
          <w:p>
            <w:pPr>
              <w:pStyle w:val="14"/>
              <w:jc w:val="left"/>
              <w:rPr>
                <w:b/>
                <w:sz w:val="20"/>
              </w:rPr>
            </w:pPr>
          </w:p>
          <w:p>
            <w:pPr>
              <w:pStyle w:val="14"/>
              <w:jc w:val="left"/>
              <w:rPr>
                <w:b/>
                <w:sz w:val="26"/>
              </w:rPr>
            </w:pPr>
          </w:p>
          <w:p>
            <w:pPr>
              <w:pStyle w:val="14"/>
              <w:spacing w:line="213" w:lineRule="auto"/>
              <w:ind w:left="213" w:right="99" w:hanging="104"/>
              <w:jc w:val="left"/>
              <w:rPr>
                <w:rFonts w:hint="eastAsia" w:ascii="仿宋" w:eastAsia="仿宋"/>
                <w:sz w:val="21"/>
              </w:rPr>
            </w:pPr>
            <w:r>
              <w:rPr>
                <w:rFonts w:hint="eastAsia" w:ascii="仿宋" w:eastAsia="仿宋"/>
                <w:sz w:val="21"/>
              </w:rPr>
              <w:t>沉陷区范围</w:t>
            </w:r>
          </w:p>
        </w:tc>
        <w:tc>
          <w:tcPr>
            <w:tcW w:w="992" w:type="dxa"/>
          </w:tcPr>
          <w:p>
            <w:pPr>
              <w:pStyle w:val="14"/>
              <w:jc w:val="left"/>
              <w:rPr>
                <w:b/>
                <w:sz w:val="22"/>
              </w:rPr>
            </w:pPr>
          </w:p>
          <w:p>
            <w:pPr>
              <w:pStyle w:val="14"/>
              <w:jc w:val="left"/>
              <w:rPr>
                <w:b/>
                <w:sz w:val="22"/>
              </w:rPr>
            </w:pPr>
          </w:p>
          <w:p>
            <w:pPr>
              <w:pStyle w:val="14"/>
              <w:spacing w:before="4"/>
              <w:jc w:val="left"/>
              <w:rPr>
                <w:b/>
                <w:sz w:val="21"/>
              </w:rPr>
            </w:pPr>
          </w:p>
          <w:p>
            <w:pPr>
              <w:pStyle w:val="14"/>
              <w:ind w:left="56" w:right="46"/>
              <w:rPr>
                <w:rFonts w:ascii="Times New Roman"/>
                <w:sz w:val="21"/>
              </w:rPr>
            </w:pPr>
            <w:r>
              <w:rPr>
                <w:rFonts w:ascii="Times New Roman"/>
                <w:sz w:val="21"/>
              </w:rPr>
              <w:t>327.921</w:t>
            </w:r>
          </w:p>
          <w:p>
            <w:pPr>
              <w:pStyle w:val="14"/>
              <w:spacing w:before="1"/>
              <w:ind w:left="7"/>
              <w:rPr>
                <w:rFonts w:ascii="Times New Roman"/>
                <w:sz w:val="21"/>
              </w:rPr>
            </w:pPr>
            <w:r>
              <w:rPr>
                <w:rFonts w:ascii="Times New Roman"/>
                <w:w w:val="99"/>
                <w:sz w:val="21"/>
              </w:rPr>
              <w:t>1</w:t>
            </w:r>
          </w:p>
        </w:tc>
        <w:tc>
          <w:tcPr>
            <w:tcW w:w="2283" w:type="dxa"/>
          </w:tcPr>
          <w:p>
            <w:pPr>
              <w:pStyle w:val="14"/>
              <w:spacing w:before="7"/>
              <w:jc w:val="left"/>
              <w:rPr>
                <w:b/>
                <w:sz w:val="28"/>
              </w:rPr>
            </w:pPr>
          </w:p>
          <w:p>
            <w:pPr>
              <w:pStyle w:val="14"/>
              <w:spacing w:line="213" w:lineRule="auto"/>
              <w:ind w:left="108" w:right="65" w:hanging="32"/>
              <w:rPr>
                <w:rFonts w:hint="eastAsia" w:ascii="仿宋" w:eastAsia="仿宋"/>
                <w:sz w:val="21"/>
              </w:rPr>
            </w:pPr>
            <w:r>
              <w:rPr>
                <w:rFonts w:hint="eastAsia" w:ascii="仿宋" w:eastAsia="仿宋"/>
                <w:spacing w:val="-6"/>
                <w:sz w:val="21"/>
              </w:rPr>
              <w:t>地面沉陷，破坏村庄建</w:t>
            </w:r>
            <w:r>
              <w:rPr>
                <w:rFonts w:hint="eastAsia" w:ascii="仿宋" w:eastAsia="仿宋"/>
                <w:spacing w:val="-7"/>
                <w:sz w:val="21"/>
              </w:rPr>
              <w:t>筑，破坏地形地貌，破</w:t>
            </w:r>
            <w:r>
              <w:rPr>
                <w:rFonts w:hint="eastAsia" w:ascii="仿宋" w:eastAsia="仿宋"/>
                <w:spacing w:val="-8"/>
                <w:w w:val="95"/>
                <w:sz w:val="21"/>
              </w:rPr>
              <w:t>坏地类有耕地、园地、</w:t>
            </w:r>
            <w:r>
              <w:rPr>
                <w:rFonts w:hint="eastAsia" w:ascii="仿宋" w:eastAsia="仿宋"/>
                <w:spacing w:val="-2"/>
                <w:w w:val="95"/>
                <w:sz w:val="21"/>
              </w:rPr>
              <w:t>林地、交通设施用地、</w:t>
            </w:r>
            <w:r>
              <w:rPr>
                <w:rFonts w:hint="eastAsia" w:ascii="仿宋" w:eastAsia="仿宋"/>
                <w:sz w:val="21"/>
              </w:rPr>
              <w:t>水利设施用地和城镇 村及工矿用地</w:t>
            </w:r>
          </w:p>
        </w:tc>
        <w:tc>
          <w:tcPr>
            <w:tcW w:w="3232" w:type="dxa"/>
          </w:tcPr>
          <w:p>
            <w:pPr>
              <w:pStyle w:val="14"/>
              <w:spacing w:before="1" w:line="240" w:lineRule="exact"/>
              <w:ind w:left="107" w:right="-15" w:hanging="106"/>
              <w:rPr>
                <w:rFonts w:hint="eastAsia" w:ascii="仿宋" w:eastAsia="仿宋"/>
                <w:sz w:val="21"/>
              </w:rPr>
            </w:pPr>
            <w:r>
              <w:rPr>
                <w:rFonts w:ascii="Times New Roman" w:eastAsia="Times New Roman"/>
                <w:sz w:val="21"/>
              </w:rPr>
              <w:t>1</w:t>
            </w:r>
            <w:r>
              <w:rPr>
                <w:rFonts w:hint="eastAsia" w:ascii="仿宋" w:eastAsia="仿宋"/>
                <w:spacing w:val="-6"/>
                <w:sz w:val="21"/>
              </w:rPr>
              <w:t>、村庄的影响破坏，采取房屋维 修整治方案，采取对建筑物的监 测方案</w:t>
            </w:r>
            <w:r>
              <w:rPr>
                <w:rFonts w:ascii="Times New Roman" w:eastAsia="Times New Roman"/>
                <w:spacing w:val="-6"/>
                <w:sz w:val="21"/>
              </w:rPr>
              <w:t>.</w:t>
            </w:r>
            <w:r>
              <w:rPr>
                <w:rFonts w:hint="eastAsia" w:ascii="仿宋" w:eastAsia="仿宋"/>
                <w:spacing w:val="-6"/>
                <w:sz w:val="21"/>
              </w:rPr>
              <w:t>发现异常时及时修缮；</w:t>
            </w:r>
            <w:r>
              <w:rPr>
                <w:rFonts w:ascii="Times New Roman" w:eastAsia="Times New Roman"/>
                <w:spacing w:val="-6"/>
                <w:sz w:val="21"/>
              </w:rPr>
              <w:t>2</w:t>
            </w:r>
            <w:r>
              <w:rPr>
                <w:rFonts w:hint="eastAsia" w:ascii="仿宋" w:eastAsia="仿宋"/>
                <w:spacing w:val="-6"/>
                <w:sz w:val="21"/>
              </w:rPr>
              <w:t>、</w:t>
            </w:r>
            <w:r>
              <w:rPr>
                <w:rFonts w:hint="eastAsia" w:ascii="仿宋" w:eastAsia="仿宋"/>
                <w:spacing w:val="-8"/>
                <w:w w:val="95"/>
                <w:sz w:val="21"/>
              </w:rPr>
              <w:t xml:space="preserve">对区内乡间公路、农用生产道路、 </w:t>
            </w:r>
            <w:r>
              <w:rPr>
                <w:rFonts w:hint="eastAsia" w:ascii="仿宋" w:eastAsia="仿宋"/>
                <w:spacing w:val="-8"/>
                <w:sz w:val="21"/>
              </w:rPr>
              <w:t>通讯输电线路和沟渠堤防定时进 行巡查，发现异常及时维修保证 其正常运行；</w:t>
            </w:r>
            <w:r>
              <w:rPr>
                <w:rFonts w:ascii="Times New Roman" w:eastAsia="Times New Roman"/>
                <w:spacing w:val="-7"/>
                <w:sz w:val="21"/>
              </w:rPr>
              <w:t>3</w:t>
            </w:r>
            <w:r>
              <w:rPr>
                <w:rFonts w:hint="eastAsia" w:ascii="仿宋" w:eastAsia="仿宋"/>
                <w:spacing w:val="-4"/>
                <w:sz w:val="21"/>
              </w:rPr>
              <w:t>、局部土地简单平 整后即可恢复土地资源使用功能 及地形地貌景观。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710" w:type="dxa"/>
          </w:tcPr>
          <w:p>
            <w:pPr>
              <w:pStyle w:val="14"/>
              <w:spacing w:before="125" w:line="213" w:lineRule="auto"/>
              <w:ind w:left="249" w:right="136" w:hanging="106"/>
              <w:jc w:val="left"/>
              <w:rPr>
                <w:rFonts w:hint="eastAsia" w:ascii="仿宋" w:eastAsia="仿宋"/>
                <w:sz w:val="21"/>
              </w:rPr>
            </w:pPr>
            <w:r>
              <w:rPr>
                <w:rFonts w:hint="eastAsia" w:ascii="仿宋" w:eastAsia="仿宋"/>
                <w:sz w:val="21"/>
              </w:rPr>
              <w:t>一般区</w:t>
            </w:r>
          </w:p>
        </w:tc>
        <w:tc>
          <w:tcPr>
            <w:tcW w:w="708" w:type="dxa"/>
          </w:tcPr>
          <w:p>
            <w:pPr>
              <w:pStyle w:val="14"/>
              <w:spacing w:before="3"/>
              <w:jc w:val="left"/>
              <w:rPr>
                <w:b/>
                <w:sz w:val="17"/>
              </w:rPr>
            </w:pPr>
          </w:p>
          <w:p>
            <w:pPr>
              <w:pStyle w:val="14"/>
              <w:spacing w:before="1"/>
              <w:ind w:left="122" w:right="114"/>
              <w:rPr>
                <w:rFonts w:ascii="Times New Roman" w:hAnsi="Times New Roman"/>
                <w:sz w:val="21"/>
              </w:rPr>
            </w:pPr>
            <w:r>
              <w:rPr>
                <w:rFonts w:ascii="仿宋" w:hAnsi="仿宋"/>
                <w:sz w:val="21"/>
              </w:rPr>
              <w:t>Ⅲ</w:t>
            </w:r>
            <w:r>
              <w:rPr>
                <w:rFonts w:ascii="Times New Roman" w:hAnsi="Times New Roman"/>
                <w:sz w:val="21"/>
              </w:rPr>
              <w:t>1</w:t>
            </w:r>
          </w:p>
        </w:tc>
        <w:tc>
          <w:tcPr>
            <w:tcW w:w="851" w:type="dxa"/>
          </w:tcPr>
          <w:p>
            <w:pPr>
              <w:pStyle w:val="14"/>
              <w:spacing w:before="125" w:line="213" w:lineRule="auto"/>
              <w:ind w:left="319" w:right="99" w:hanging="209"/>
              <w:jc w:val="left"/>
              <w:rPr>
                <w:rFonts w:hint="eastAsia" w:ascii="仿宋" w:eastAsia="仿宋"/>
                <w:sz w:val="21"/>
              </w:rPr>
            </w:pPr>
            <w:r>
              <w:rPr>
                <w:rFonts w:hint="eastAsia" w:ascii="仿宋" w:eastAsia="仿宋"/>
                <w:sz w:val="21"/>
              </w:rPr>
              <w:t>其它区域</w:t>
            </w:r>
          </w:p>
        </w:tc>
        <w:tc>
          <w:tcPr>
            <w:tcW w:w="992" w:type="dxa"/>
          </w:tcPr>
          <w:p>
            <w:pPr>
              <w:pStyle w:val="14"/>
              <w:spacing w:before="7"/>
              <w:jc w:val="left"/>
              <w:rPr>
                <w:b/>
                <w:sz w:val="18"/>
              </w:rPr>
            </w:pPr>
          </w:p>
          <w:p>
            <w:pPr>
              <w:pStyle w:val="14"/>
              <w:ind w:left="56" w:right="46"/>
              <w:rPr>
                <w:rFonts w:ascii="Times New Roman"/>
                <w:sz w:val="21"/>
              </w:rPr>
            </w:pPr>
            <w:r>
              <w:rPr>
                <w:rFonts w:ascii="Times New Roman"/>
                <w:sz w:val="21"/>
              </w:rPr>
              <w:t>45.9788</w:t>
            </w:r>
          </w:p>
        </w:tc>
        <w:tc>
          <w:tcPr>
            <w:tcW w:w="2283" w:type="dxa"/>
          </w:tcPr>
          <w:p>
            <w:pPr>
              <w:pStyle w:val="14"/>
              <w:spacing w:line="240" w:lineRule="exact"/>
              <w:ind w:left="108" w:right="96" w:hanging="5"/>
              <w:rPr>
                <w:rFonts w:hint="eastAsia" w:ascii="仿宋" w:eastAsia="仿宋"/>
                <w:sz w:val="21"/>
              </w:rPr>
            </w:pPr>
            <w:r>
              <w:rPr>
                <w:rFonts w:hint="eastAsia" w:ascii="仿宋" w:eastAsia="仿宋"/>
                <w:sz w:val="21"/>
              </w:rPr>
              <w:t>占用地类有耕地、园</w:t>
            </w:r>
            <w:r>
              <w:rPr>
                <w:rFonts w:hint="eastAsia" w:ascii="仿宋" w:eastAsia="仿宋"/>
                <w:w w:val="95"/>
                <w:sz w:val="21"/>
              </w:rPr>
              <w:t>地、林地、交通设施用</w:t>
            </w:r>
            <w:r>
              <w:rPr>
                <w:rFonts w:hint="eastAsia" w:ascii="仿宋" w:eastAsia="仿宋"/>
                <w:sz w:val="21"/>
              </w:rPr>
              <w:t>地、水利设施用地</w:t>
            </w:r>
          </w:p>
        </w:tc>
        <w:tc>
          <w:tcPr>
            <w:tcW w:w="3232" w:type="dxa"/>
          </w:tcPr>
          <w:p>
            <w:pPr>
              <w:pStyle w:val="14"/>
              <w:spacing w:before="3"/>
              <w:jc w:val="left"/>
              <w:rPr>
                <w:b/>
                <w:sz w:val="17"/>
              </w:rPr>
            </w:pPr>
          </w:p>
          <w:p>
            <w:pPr>
              <w:pStyle w:val="14"/>
              <w:spacing w:before="1"/>
              <w:ind w:left="774"/>
              <w:jc w:val="left"/>
              <w:rPr>
                <w:rFonts w:hint="eastAsia" w:ascii="仿宋" w:eastAsia="仿宋"/>
                <w:sz w:val="21"/>
              </w:rPr>
            </w:pPr>
            <w:r>
              <w:rPr>
                <w:rFonts w:hint="eastAsia" w:ascii="仿宋" w:eastAsia="仿宋"/>
                <w:sz w:val="21"/>
              </w:rPr>
              <w:t>对此区域加强监测</w:t>
            </w:r>
          </w:p>
        </w:tc>
      </w:tr>
    </w:tbl>
    <w:p>
      <w:pPr>
        <w:pStyle w:val="13"/>
        <w:numPr>
          <w:ilvl w:val="0"/>
          <w:numId w:val="45"/>
        </w:numPr>
        <w:tabs>
          <w:tab w:val="left" w:pos="1633"/>
        </w:tabs>
        <w:spacing w:before="82" w:after="0" w:line="240" w:lineRule="auto"/>
        <w:ind w:left="1633" w:right="0" w:hanging="602"/>
        <w:jc w:val="left"/>
        <w:rPr>
          <w:sz w:val="24"/>
        </w:rPr>
      </w:pPr>
      <w:r>
        <w:rPr>
          <w:sz w:val="24"/>
        </w:rPr>
        <w:t>重点防治区（Ⅰ）</w:t>
      </w:r>
    </w:p>
    <w:p>
      <w:pPr>
        <w:pStyle w:val="6"/>
        <w:spacing w:before="160" w:line="364" w:lineRule="auto"/>
        <w:ind w:left="551" w:right="972" w:firstLine="480"/>
        <w:jc w:val="both"/>
      </w:pPr>
      <w:r>
        <w:t xml:space="preserve">重点防治区分共划分一个区，即工业广场，面积为 </w:t>
      </w:r>
      <w:r>
        <w:rPr>
          <w:rFonts w:ascii="Times New Roman" w:eastAsia="Times New Roman"/>
        </w:rPr>
        <w:t>2.9767hm</w:t>
      </w:r>
      <w:r>
        <w:rPr>
          <w:rFonts w:ascii="Times New Roman" w:eastAsia="Times New Roman"/>
          <w:position w:val="8"/>
          <w:sz w:val="15"/>
        </w:rPr>
        <w:t>2</w:t>
      </w:r>
      <w:r>
        <w:t>，工业广场建设对地形地貌景观破坏严重。</w:t>
      </w:r>
    </w:p>
    <w:p>
      <w:pPr>
        <w:pStyle w:val="6"/>
        <w:spacing w:before="2" w:line="364" w:lineRule="auto"/>
        <w:ind w:left="551" w:right="973" w:firstLine="480"/>
        <w:jc w:val="both"/>
      </w:pPr>
      <w:r>
        <w:t>防治措施：采矿许可证服务年限内，矿山仍有大量资源储量待开采，老工业广场需留续使用。因此，本方案暂不对工业广场进行治理。场地内堆放的矸石应进行充分利用，主要用于开发相应的建材产品和修整道路；进行土层厚度监测， 防止水土流失。</w:t>
      </w:r>
    </w:p>
    <w:p>
      <w:pPr>
        <w:spacing w:after="0" w:line="364" w:lineRule="auto"/>
        <w:jc w:val="both"/>
        <w:sectPr>
          <w:pgSz w:w="11910" w:h="16840"/>
          <w:pgMar w:top="1380" w:right="780" w:bottom="1180" w:left="1200" w:header="0" w:footer="997" w:gutter="0"/>
        </w:sectPr>
      </w:pPr>
    </w:p>
    <w:p>
      <w:pPr>
        <w:pStyle w:val="13"/>
        <w:numPr>
          <w:ilvl w:val="0"/>
          <w:numId w:val="45"/>
        </w:numPr>
        <w:tabs>
          <w:tab w:val="left" w:pos="1633"/>
        </w:tabs>
        <w:spacing w:before="62" w:after="0" w:line="240" w:lineRule="auto"/>
        <w:ind w:left="1633" w:right="0" w:hanging="602"/>
        <w:jc w:val="left"/>
        <w:rPr>
          <w:sz w:val="24"/>
        </w:rPr>
      </w:pPr>
      <w:r>
        <w:rPr>
          <w:sz w:val="24"/>
        </w:rPr>
        <w:t>次重点防治区（Ⅱ）</w:t>
      </w:r>
    </w:p>
    <w:p>
      <w:pPr>
        <w:pStyle w:val="6"/>
        <w:spacing w:before="160" w:line="364" w:lineRule="auto"/>
        <w:ind w:left="551" w:right="849" w:firstLine="480"/>
      </w:pPr>
      <w:r>
        <w:rPr>
          <w:spacing w:val="-6"/>
        </w:rPr>
        <w:t xml:space="preserve">次重点防治区共划分为一个区，即地面预测沉陷区域，总面积 </w:t>
      </w:r>
      <w:r>
        <w:rPr>
          <w:rFonts w:ascii="Times New Roman" w:eastAsia="Times New Roman"/>
        </w:rPr>
        <w:t>327.9211hm</w:t>
      </w:r>
      <w:r>
        <w:rPr>
          <w:rFonts w:ascii="Times New Roman" w:eastAsia="Times New Roman"/>
          <w:position w:val="8"/>
          <w:sz w:val="15"/>
        </w:rPr>
        <w:t>2</w:t>
      </w:r>
      <w:r>
        <w:rPr>
          <w:spacing w:val="-12"/>
        </w:rPr>
        <w:t>。</w:t>
      </w:r>
      <w:r>
        <w:rPr>
          <w:spacing w:val="-6"/>
        </w:rPr>
        <w:t xml:space="preserve">该区可能发生的采空沉陷及伴生地裂缝地质灾害可能性较大，地表变形预测较轻， </w:t>
      </w:r>
      <w:r>
        <w:t>对区内的农田、村庄、道路、坑塘水面和一般农田配套设施影响较轻；对原生的地形地貌景观破坏较严重；可能造成地表农田减产；对含水层结构的破坏较轻； 地面建筑设施可能遭受的财产损失较大。</w:t>
      </w:r>
    </w:p>
    <w:p>
      <w:pPr>
        <w:pStyle w:val="6"/>
        <w:spacing w:before="3" w:line="364" w:lineRule="auto"/>
        <w:ind w:left="551" w:right="853" w:firstLine="480"/>
        <w:jc w:val="both"/>
      </w:pPr>
      <w:r>
        <w:t>主要防治措施为：针对地形地貌景观的破坏，应及时开展土地平整等临时工程措施，待沉陷稳沉后及时开展沉陷地治理工作。对影响到的村庄采取房屋修缮的整治方案，来确保村庄用地中房屋的安全；对区内乡间公路、农用生产道路、</w:t>
      </w:r>
      <w:r>
        <w:rPr>
          <w:spacing w:val="-7"/>
        </w:rPr>
        <w:t>通讯输电线路和坑塘水面堤防定时进行巡查，发现异常及时维修保证其正常运行。</w:t>
      </w:r>
    </w:p>
    <w:p>
      <w:pPr>
        <w:pStyle w:val="13"/>
        <w:numPr>
          <w:ilvl w:val="0"/>
          <w:numId w:val="45"/>
        </w:numPr>
        <w:tabs>
          <w:tab w:val="left" w:pos="1633"/>
        </w:tabs>
        <w:spacing w:before="3" w:after="0" w:line="240" w:lineRule="auto"/>
        <w:ind w:left="1633" w:right="0" w:hanging="602"/>
        <w:jc w:val="left"/>
        <w:rPr>
          <w:sz w:val="24"/>
        </w:rPr>
      </w:pPr>
      <w:r>
        <w:rPr>
          <w:sz w:val="24"/>
        </w:rPr>
        <w:t>一般防治区（Ⅲ）</w:t>
      </w:r>
    </w:p>
    <w:p>
      <w:pPr>
        <w:pStyle w:val="6"/>
        <w:spacing w:before="160" w:line="364" w:lineRule="auto"/>
        <w:ind w:left="551" w:right="973" w:firstLine="480"/>
        <w:jc w:val="both"/>
      </w:pPr>
      <w:r>
        <w:t xml:space="preserve">一般防治区共划分为一个区，去除重点防治区和次重点防治区以外的评估区范围，总面积 </w:t>
      </w:r>
      <w:r>
        <w:rPr>
          <w:rFonts w:ascii="Times New Roman" w:eastAsia="Times New Roman"/>
        </w:rPr>
        <w:t>45.9788hm</w:t>
      </w:r>
      <w:r>
        <w:rPr>
          <w:rFonts w:ascii="Times New Roman" w:eastAsia="Times New Roman"/>
          <w:position w:val="8"/>
          <w:sz w:val="15"/>
        </w:rPr>
        <w:t>2</w:t>
      </w:r>
      <w:r>
        <w:t>。</w:t>
      </w:r>
    </w:p>
    <w:p>
      <w:pPr>
        <w:pStyle w:val="6"/>
        <w:spacing w:before="1" w:line="364" w:lineRule="auto"/>
        <w:ind w:left="551" w:right="973" w:firstLine="480"/>
        <w:jc w:val="both"/>
      </w:pPr>
      <w:r>
        <w:t>该区可能发生的采空沉陷及伴生地裂缝地质灾害可能性小，地表变形轻微， 对区内的农田、村庄、道路和一般农田配套设施影响较轻。沉陷对原生的地形地貌景观破坏较轻；对含水层结构的破坏较轻；地面建筑设施可能遭受的财产损失小，影响程度较轻。</w:t>
      </w:r>
    </w:p>
    <w:p>
      <w:pPr>
        <w:pStyle w:val="6"/>
        <w:spacing w:before="3"/>
        <w:ind w:left="1031"/>
      </w:pPr>
      <w:r>
        <w:t>主要防治措施为：加强监测。</w:t>
      </w:r>
    </w:p>
    <w:p>
      <w:pPr>
        <w:pStyle w:val="4"/>
        <w:numPr>
          <w:ilvl w:val="2"/>
          <w:numId w:val="42"/>
        </w:numPr>
        <w:tabs>
          <w:tab w:val="left" w:pos="1253"/>
        </w:tabs>
        <w:spacing w:before="82" w:after="0" w:line="240" w:lineRule="auto"/>
        <w:ind w:left="1252" w:right="0" w:hanging="702"/>
        <w:jc w:val="left"/>
      </w:pPr>
      <w:bookmarkStart w:id="190" w:name="5.5.3 沉陷区复垦与生态综合整治方案"/>
      <w:bookmarkEnd w:id="190"/>
      <w:bookmarkStart w:id="191" w:name="5.5.3 沉陷区复垦与生态综合整治方案"/>
      <w:bookmarkEnd w:id="191"/>
      <w:r>
        <w:t>沉陷区复垦与生态综合整治方案</w:t>
      </w:r>
    </w:p>
    <w:p>
      <w:pPr>
        <w:pStyle w:val="13"/>
        <w:numPr>
          <w:ilvl w:val="0"/>
          <w:numId w:val="46"/>
        </w:numPr>
        <w:tabs>
          <w:tab w:val="left" w:pos="1633"/>
        </w:tabs>
        <w:spacing w:before="264" w:after="0" w:line="240" w:lineRule="auto"/>
        <w:ind w:left="1633" w:right="0" w:hanging="602"/>
        <w:jc w:val="left"/>
        <w:rPr>
          <w:sz w:val="24"/>
        </w:rPr>
      </w:pPr>
      <w:r>
        <w:rPr>
          <w:sz w:val="24"/>
        </w:rPr>
        <w:t>破坏特征</w:t>
      </w:r>
    </w:p>
    <w:p>
      <w:pPr>
        <w:pStyle w:val="6"/>
        <w:spacing w:before="161" w:line="364" w:lineRule="auto"/>
        <w:ind w:left="551" w:right="973" w:firstLine="480"/>
      </w:pPr>
      <w:r>
        <w:t>山体滑坡，裂缝导致的树木倾斜、枯死等，可能使部分区域植被发生逆行演替，景观发生改变。</w:t>
      </w:r>
    </w:p>
    <w:p>
      <w:pPr>
        <w:pStyle w:val="13"/>
        <w:numPr>
          <w:ilvl w:val="0"/>
          <w:numId w:val="46"/>
        </w:numPr>
        <w:tabs>
          <w:tab w:val="left" w:pos="1633"/>
        </w:tabs>
        <w:spacing w:before="1" w:after="0" w:line="240" w:lineRule="auto"/>
        <w:ind w:left="1633" w:right="0" w:hanging="602"/>
        <w:jc w:val="left"/>
        <w:rPr>
          <w:sz w:val="24"/>
        </w:rPr>
      </w:pPr>
      <w:r>
        <w:rPr>
          <w:sz w:val="24"/>
        </w:rPr>
        <w:t>复垦措施及工艺</w:t>
      </w:r>
    </w:p>
    <w:p>
      <w:pPr>
        <w:pStyle w:val="6"/>
        <w:spacing w:before="161" w:line="364" w:lineRule="auto"/>
        <w:ind w:left="551" w:right="973" w:firstLine="480"/>
      </w:pPr>
      <w:r>
        <w:rPr>
          <w:spacing w:val="-1"/>
        </w:rPr>
        <w:t xml:space="preserve">根据《双鸭山大顺矿业有限公司矿山地质环境保护与土地复垦方案》可知， </w:t>
      </w:r>
      <w:r>
        <w:t>根据优先用于农业的原则，确定将其复垦为有林地。</w:t>
      </w:r>
    </w:p>
    <w:p>
      <w:pPr>
        <w:pStyle w:val="6"/>
        <w:spacing w:before="1" w:line="364" w:lineRule="auto"/>
        <w:ind w:left="551" w:right="973" w:firstLine="480"/>
        <w:jc w:val="both"/>
      </w:pPr>
      <w:r>
        <w:rPr>
          <w:spacing w:val="-1"/>
        </w:rPr>
        <w:t>一是对受损的树木及时扶正树体，填补裂缝，保证正常生长。二是对沉陷严重的地块，根据海拔、坡向、坡度、土壤质地、地层厚度等，采取适宜的整地措</w:t>
      </w:r>
      <w:r>
        <w:t>施，选择适宜的品种，适地适树，增加植被覆盖度。</w:t>
      </w:r>
    </w:p>
    <w:p>
      <w:pPr>
        <w:spacing w:after="0" w:line="364" w:lineRule="auto"/>
        <w:jc w:val="both"/>
        <w:sectPr>
          <w:pgSz w:w="11910" w:h="16840"/>
          <w:pgMar w:top="1440" w:right="780" w:bottom="1180" w:left="1200" w:header="0" w:footer="997" w:gutter="0"/>
        </w:sectPr>
      </w:pPr>
    </w:p>
    <w:p>
      <w:pPr>
        <w:pStyle w:val="4"/>
        <w:numPr>
          <w:ilvl w:val="2"/>
          <w:numId w:val="42"/>
        </w:numPr>
        <w:tabs>
          <w:tab w:val="left" w:pos="1181"/>
        </w:tabs>
        <w:spacing w:before="44" w:after="0" w:line="240" w:lineRule="auto"/>
        <w:ind w:left="1180" w:right="0" w:hanging="630"/>
        <w:jc w:val="left"/>
      </w:pPr>
      <w:bookmarkStart w:id="192" w:name="5.5.4土地复垦、地质环境保护进度、费用安排"/>
      <w:bookmarkEnd w:id="192"/>
      <w:bookmarkStart w:id="193" w:name="5.5.4土地复垦、地质环境保护进度、费用安排"/>
      <w:bookmarkEnd w:id="193"/>
      <w:r>
        <w:t>土地复垦、地质环境保护进度、费用安排</w:t>
      </w:r>
    </w:p>
    <w:p>
      <w:pPr>
        <w:pStyle w:val="6"/>
        <w:spacing w:before="264" w:line="364" w:lineRule="auto"/>
        <w:ind w:left="551" w:right="973" w:firstLine="480"/>
      </w:pPr>
      <w:r>
        <w:rPr>
          <w:spacing w:val="-1"/>
        </w:rPr>
        <w:t>根据《双鸭山大顺矿业有限公司矿山地质环境保护与土地复垦方案》，土地</w:t>
      </w:r>
      <w:r>
        <w:rPr>
          <w:spacing w:val="-5"/>
        </w:rPr>
        <w:t xml:space="preserve">复垦静态总投资为 </w:t>
      </w:r>
      <w:r>
        <w:rPr>
          <w:rFonts w:ascii="Times New Roman" w:eastAsia="Times New Roman"/>
        </w:rPr>
        <w:t>129.2729</w:t>
      </w:r>
      <w:r>
        <w:rPr>
          <w:rFonts w:ascii="Times New Roman" w:eastAsia="Times New Roman"/>
          <w:spacing w:val="6"/>
        </w:rPr>
        <w:t xml:space="preserve"> </w:t>
      </w:r>
      <w:r>
        <w:rPr>
          <w:spacing w:val="-3"/>
        </w:rPr>
        <w:t xml:space="preserve">万元，其中：工程施工费 </w:t>
      </w:r>
      <w:r>
        <w:rPr>
          <w:rFonts w:ascii="Times New Roman" w:eastAsia="Times New Roman"/>
        </w:rPr>
        <w:t>102.6071</w:t>
      </w:r>
      <w:r>
        <w:rPr>
          <w:rFonts w:ascii="Times New Roman" w:eastAsia="Times New Roman"/>
          <w:spacing w:val="6"/>
        </w:rPr>
        <w:t xml:space="preserve"> </w:t>
      </w:r>
      <w:r>
        <w:rPr>
          <w:spacing w:val="2"/>
        </w:rPr>
        <w:t>万元，其他费用</w:t>
      </w:r>
    </w:p>
    <w:p>
      <w:pPr>
        <w:pStyle w:val="6"/>
        <w:spacing w:before="1"/>
        <w:ind w:left="551"/>
      </w:pPr>
      <w:r>
        <w:rPr>
          <w:rFonts w:ascii="Times New Roman" w:eastAsia="Times New Roman"/>
        </w:rPr>
        <w:t xml:space="preserve">15.6578 </w:t>
      </w:r>
      <w:r>
        <w:rPr>
          <w:spacing w:val="-6"/>
        </w:rPr>
        <w:t xml:space="preserve">万元，监测与管护费用 </w:t>
      </w:r>
      <w:r>
        <w:rPr>
          <w:rFonts w:ascii="Times New Roman" w:eastAsia="Times New Roman"/>
        </w:rPr>
        <w:t xml:space="preserve">3.9120 </w:t>
      </w:r>
      <w:r>
        <w:rPr>
          <w:spacing w:val="-7"/>
        </w:rPr>
        <w:t xml:space="preserve">万元，基本预备费 </w:t>
      </w:r>
      <w:r>
        <w:rPr>
          <w:rFonts w:ascii="Times New Roman" w:eastAsia="Times New Roman"/>
        </w:rPr>
        <w:t xml:space="preserve">7.0959 </w:t>
      </w:r>
      <w:r>
        <w:t>万元。复垦面积</w:t>
      </w:r>
    </w:p>
    <w:p>
      <w:pPr>
        <w:pStyle w:val="6"/>
        <w:spacing w:before="161" w:line="364" w:lineRule="auto"/>
        <w:ind w:left="1031" w:right="973" w:hanging="480"/>
      </w:pPr>
      <w:r>
        <w:rPr>
          <w:spacing w:val="-21"/>
        </w:rPr>
        <w:t xml:space="preserve">为 </w:t>
      </w:r>
      <w:r>
        <w:rPr>
          <w:rFonts w:ascii="Times New Roman" w:eastAsia="Times New Roman"/>
        </w:rPr>
        <w:t>2.9767</w:t>
      </w:r>
      <w:r>
        <w:rPr>
          <w:rFonts w:ascii="Times New Roman" w:eastAsia="Times New Roman"/>
          <w:spacing w:val="20"/>
        </w:rPr>
        <w:t xml:space="preserve"> </w:t>
      </w:r>
      <w:r>
        <w:rPr>
          <w:spacing w:val="-3"/>
        </w:rPr>
        <w:t xml:space="preserve">公顷，静态亩均土地复垦投资 </w:t>
      </w:r>
      <w:r>
        <w:rPr>
          <w:rFonts w:ascii="Times New Roman" w:eastAsia="Times New Roman"/>
        </w:rPr>
        <w:t>2.8952</w:t>
      </w:r>
      <w:r>
        <w:rPr>
          <w:rFonts w:ascii="Times New Roman" w:eastAsia="Times New Roman"/>
          <w:spacing w:val="20"/>
        </w:rPr>
        <w:t xml:space="preserve"> </w:t>
      </w:r>
      <w:r>
        <w:t>万元（</w:t>
      </w:r>
      <w:r>
        <w:rPr>
          <w:spacing w:val="-20"/>
        </w:rPr>
        <w:t xml:space="preserve">合 </w:t>
      </w:r>
      <w:r>
        <w:rPr>
          <w:rFonts w:ascii="Times New Roman" w:eastAsia="Times New Roman"/>
        </w:rPr>
        <w:t>43.43</w:t>
      </w:r>
      <w:r>
        <w:rPr>
          <w:rFonts w:ascii="Times New Roman" w:eastAsia="Times New Roman"/>
          <w:spacing w:val="20"/>
        </w:rPr>
        <w:t xml:space="preserve"> </w:t>
      </w:r>
      <w:r>
        <w:t>元</w:t>
      </w:r>
      <w:r>
        <w:rPr>
          <w:rFonts w:ascii="Times New Roman" w:eastAsia="Times New Roman"/>
        </w:rPr>
        <w:t>/</w:t>
      </w:r>
      <w:r>
        <w:t>平方米）。考</w:t>
      </w:r>
      <w:r>
        <w:rPr>
          <w:spacing w:val="-1"/>
        </w:rPr>
        <w:t>虑到资金的时间价值、物价上涨、通货膨胀、国家宏观调控以及地方经济</w:t>
      </w:r>
    </w:p>
    <w:p>
      <w:pPr>
        <w:pStyle w:val="6"/>
        <w:spacing w:before="1" w:line="364" w:lineRule="auto"/>
        <w:ind w:left="551" w:right="973"/>
      </w:pPr>
      <w:r>
        <w:rPr>
          <w:spacing w:val="-1"/>
        </w:rPr>
        <w:t>发展等因素，需对土地复垦静态投资进行动态投资分析。本复垦方案价差预备费</w:t>
      </w:r>
      <w:r>
        <w:rPr>
          <w:spacing w:val="-30"/>
        </w:rPr>
        <w:t xml:space="preserve">为 </w:t>
      </w:r>
      <w:r>
        <w:rPr>
          <w:rFonts w:ascii="Times New Roman" w:eastAsia="Times New Roman"/>
        </w:rPr>
        <w:t xml:space="preserve">48.3632 </w:t>
      </w:r>
      <w:r>
        <w:rPr>
          <w:spacing w:val="-11"/>
        </w:rPr>
        <w:t xml:space="preserve">万元，动态总投资为 </w:t>
      </w:r>
      <w:r>
        <w:rPr>
          <w:rFonts w:ascii="Times New Roman" w:eastAsia="Times New Roman"/>
        </w:rPr>
        <w:t xml:space="preserve">177.6361 </w:t>
      </w:r>
      <w:r>
        <w:rPr>
          <w:spacing w:val="-12"/>
        </w:rPr>
        <w:t xml:space="preserve">万元。复垦面积为 </w:t>
      </w:r>
      <w:r>
        <w:rPr>
          <w:rFonts w:ascii="Times New Roman" w:eastAsia="Times New Roman"/>
        </w:rPr>
        <w:t xml:space="preserve">2.9767 </w:t>
      </w:r>
      <w:r>
        <w:rPr>
          <w:spacing w:val="-7"/>
        </w:rPr>
        <w:t>公顷，动态亩</w:t>
      </w:r>
    </w:p>
    <w:p>
      <w:pPr>
        <w:pStyle w:val="6"/>
        <w:spacing w:before="1"/>
        <w:ind w:left="551"/>
      </w:pPr>
      <w:r>
        <w:t xml:space="preserve">均土地复垦投资 </w:t>
      </w:r>
      <w:r>
        <w:rPr>
          <w:rFonts w:ascii="Times New Roman" w:eastAsia="Times New Roman"/>
        </w:rPr>
        <w:t xml:space="preserve">3.9784 </w:t>
      </w:r>
      <w:r>
        <w:t xml:space="preserve">万元（合 </w:t>
      </w:r>
      <w:r>
        <w:rPr>
          <w:rFonts w:ascii="Times New Roman" w:eastAsia="Times New Roman"/>
        </w:rPr>
        <w:t xml:space="preserve">59.68 </w:t>
      </w:r>
      <w:r>
        <w:t>元</w:t>
      </w:r>
      <w:r>
        <w:rPr>
          <w:rFonts w:ascii="Times New Roman" w:eastAsia="Times New Roman"/>
        </w:rPr>
        <w:t>/</w:t>
      </w:r>
      <w:r>
        <w:t>平方米）。</w:t>
      </w:r>
    </w:p>
    <w:p>
      <w:pPr>
        <w:pStyle w:val="6"/>
        <w:spacing w:before="161"/>
        <w:ind w:left="1031"/>
        <w:jc w:val="both"/>
      </w:pPr>
      <w:r>
        <w:rPr>
          <w:spacing w:val="-2"/>
        </w:rPr>
        <w:t xml:space="preserve">本项目矿山地质环境保护估算静态总投资为 </w:t>
      </w:r>
      <w:r>
        <w:rPr>
          <w:rFonts w:ascii="Times New Roman" w:eastAsia="Times New Roman"/>
        </w:rPr>
        <w:t>34.7047</w:t>
      </w:r>
      <w:r>
        <w:rPr>
          <w:rFonts w:ascii="Times New Roman" w:eastAsia="Times New Roman"/>
          <w:spacing w:val="25"/>
        </w:rPr>
        <w:t xml:space="preserve"> </w:t>
      </w:r>
      <w:r>
        <w:t>万元，其中：工程施工</w:t>
      </w:r>
    </w:p>
    <w:p>
      <w:pPr>
        <w:pStyle w:val="6"/>
        <w:spacing w:before="160"/>
        <w:ind w:left="551"/>
        <w:rPr>
          <w:rFonts w:ascii="Times New Roman" w:eastAsia="Times New Roman"/>
        </w:rPr>
      </w:pPr>
      <w:r>
        <w:rPr>
          <w:spacing w:val="-35"/>
        </w:rPr>
        <w:t xml:space="preserve">费 </w:t>
      </w:r>
      <w:r>
        <w:rPr>
          <w:rFonts w:ascii="Times New Roman" w:eastAsia="Times New Roman"/>
        </w:rPr>
        <w:t>10.1000</w:t>
      </w:r>
      <w:r>
        <w:rPr>
          <w:rFonts w:ascii="Times New Roman" w:eastAsia="Times New Roman"/>
          <w:spacing w:val="-8"/>
        </w:rPr>
        <w:t xml:space="preserve"> </w:t>
      </w:r>
      <w:r>
        <w:rPr>
          <w:spacing w:val="-25"/>
        </w:rPr>
        <w:t xml:space="preserve">万元，其他费用 </w:t>
      </w:r>
      <w:r>
        <w:rPr>
          <w:rFonts w:ascii="Times New Roman" w:eastAsia="Times New Roman"/>
        </w:rPr>
        <w:t>1.5413</w:t>
      </w:r>
      <w:r>
        <w:rPr>
          <w:rFonts w:ascii="Times New Roman" w:eastAsia="Times New Roman"/>
          <w:spacing w:val="-9"/>
        </w:rPr>
        <w:t xml:space="preserve"> </w:t>
      </w:r>
      <w:r>
        <w:rPr>
          <w:spacing w:val="-25"/>
        </w:rPr>
        <w:t xml:space="preserve">万元，监测费用 </w:t>
      </w:r>
      <w:r>
        <w:rPr>
          <w:rFonts w:ascii="Times New Roman" w:eastAsia="Times New Roman"/>
        </w:rPr>
        <w:t>22.3650</w:t>
      </w:r>
      <w:r>
        <w:rPr>
          <w:rFonts w:ascii="Times New Roman" w:eastAsia="Times New Roman"/>
          <w:spacing w:val="-8"/>
        </w:rPr>
        <w:t xml:space="preserve"> </w:t>
      </w:r>
      <w:r>
        <w:rPr>
          <w:spacing w:val="-22"/>
        </w:rPr>
        <w:t xml:space="preserve">万元，基本预备费 </w:t>
      </w:r>
      <w:r>
        <w:rPr>
          <w:rFonts w:ascii="Times New Roman" w:eastAsia="Times New Roman"/>
        </w:rPr>
        <w:t>0.6985</w:t>
      </w:r>
    </w:p>
    <w:p>
      <w:pPr>
        <w:pStyle w:val="6"/>
        <w:spacing w:before="161"/>
        <w:ind w:left="551"/>
      </w:pPr>
      <w:r>
        <w:t>万元。</w:t>
      </w:r>
    </w:p>
    <w:p>
      <w:pPr>
        <w:pStyle w:val="6"/>
        <w:spacing w:before="160" w:line="364" w:lineRule="auto"/>
        <w:ind w:left="551" w:right="973" w:firstLine="480"/>
        <w:jc w:val="both"/>
      </w:pPr>
      <w:r>
        <w:t xml:space="preserve">考虑到资金的时间价值、物价上涨、通货膨胀、国家宏观调控以及地方经济发展等因素，需对矿山地质环境保护静态投资进行动态投资分析。本矿山地质环境保护方案价差预备费 </w:t>
      </w:r>
      <w:r>
        <w:rPr>
          <w:rFonts w:ascii="Times New Roman" w:eastAsia="Times New Roman"/>
        </w:rPr>
        <w:t xml:space="preserve">6.4391 </w:t>
      </w:r>
      <w:r>
        <w:t xml:space="preserve">万元，动态总投资为 </w:t>
      </w:r>
      <w:r>
        <w:rPr>
          <w:rFonts w:ascii="Times New Roman" w:eastAsia="Times New Roman"/>
        </w:rPr>
        <w:t xml:space="preserve">41.1438 </w:t>
      </w:r>
      <w:r>
        <w:t>万元。</w:t>
      </w:r>
    </w:p>
    <w:p>
      <w:pPr>
        <w:pStyle w:val="6"/>
        <w:spacing w:before="2"/>
        <w:ind w:left="1031"/>
        <w:jc w:val="both"/>
      </w:pPr>
      <w:r>
        <w:rPr>
          <w:spacing w:val="-3"/>
        </w:rPr>
        <w:t xml:space="preserve">大顺煤矿矿山地质环境保护与土地复垦费用预计为 </w:t>
      </w:r>
      <w:r>
        <w:rPr>
          <w:rFonts w:ascii="Times New Roman" w:eastAsia="Times New Roman"/>
        </w:rPr>
        <w:t xml:space="preserve">218.7799 </w:t>
      </w:r>
      <w:r>
        <w:rPr>
          <w:spacing w:val="-10"/>
        </w:rPr>
        <w:t>万元，其中：土</w:t>
      </w:r>
    </w:p>
    <w:p>
      <w:pPr>
        <w:pStyle w:val="6"/>
        <w:spacing w:before="160" w:line="364" w:lineRule="auto"/>
        <w:ind w:left="1031" w:right="973" w:hanging="480"/>
        <w:jc w:val="both"/>
      </w:pPr>
      <w:r>
        <w:rPr>
          <w:spacing w:val="-10"/>
        </w:rPr>
        <w:t xml:space="preserve">地复垦费用 </w:t>
      </w:r>
      <w:r>
        <w:rPr>
          <w:rFonts w:ascii="Times New Roman" w:eastAsia="Times New Roman"/>
        </w:rPr>
        <w:t>177.6361</w:t>
      </w:r>
      <w:r>
        <w:rPr>
          <w:rFonts w:ascii="Times New Roman" w:eastAsia="Times New Roman"/>
          <w:spacing w:val="2"/>
        </w:rPr>
        <w:t xml:space="preserve"> </w:t>
      </w:r>
      <w:r>
        <w:rPr>
          <w:spacing w:val="-4"/>
        </w:rPr>
        <w:t xml:space="preserve">万元，矿山地质环境保护与恢复治理费用 </w:t>
      </w:r>
      <w:r>
        <w:rPr>
          <w:rFonts w:ascii="Times New Roman" w:eastAsia="Times New Roman"/>
        </w:rPr>
        <w:t>41.1438</w:t>
      </w:r>
      <w:r>
        <w:rPr>
          <w:rFonts w:ascii="Times New Roman" w:eastAsia="Times New Roman"/>
          <w:spacing w:val="2"/>
        </w:rPr>
        <w:t xml:space="preserve"> </w:t>
      </w:r>
      <w:r>
        <w:t xml:space="preserve">万元。 </w:t>
      </w:r>
      <w:r>
        <w:rPr>
          <w:spacing w:val="-1"/>
        </w:rPr>
        <w:t>土地复垦费用根据《土地复垦条例实施办法》，生产建设周期在三年以下的</w:t>
      </w:r>
    </w:p>
    <w:p>
      <w:pPr>
        <w:pStyle w:val="6"/>
        <w:spacing w:before="2" w:line="364" w:lineRule="auto"/>
        <w:ind w:left="551" w:right="853"/>
      </w:pPr>
      <w:r>
        <w:t>项目，应当一次性全额预存土地复垦费用。生产建设周期在三年以上的项目，可以分期预存费用，但第一次预存的数额不得少于费用总金额的百分之二十。余额按照方案确定的费用预存计划预存，在生产建设活动结束前一年预存完毕。大顺</w:t>
      </w:r>
      <w:r>
        <w:rPr>
          <w:spacing w:val="-7"/>
        </w:rPr>
        <w:t xml:space="preserve">煤矿矿山企业现正在办理扩储改扩建工作，并办理采矿证变更。按保有资源储量， </w:t>
      </w:r>
      <w:r>
        <w:rPr>
          <w:spacing w:val="-13"/>
        </w:rPr>
        <w:t xml:space="preserve">根据前面内容，该矿剩余生产年限为 </w:t>
      </w:r>
      <w:r>
        <w:rPr>
          <w:rFonts w:ascii="Times New Roman" w:eastAsia="Times New Roman"/>
        </w:rPr>
        <w:t xml:space="preserve">15.4 </w:t>
      </w:r>
      <w:r>
        <w:rPr>
          <w:spacing w:val="-12"/>
        </w:rPr>
        <w:t xml:space="preserve">年。矿山剩余生产建设周期在三年以上， </w:t>
      </w:r>
      <w:r>
        <w:t>可选择一次性全额或分期预存矿山地质环境保护与土地复垦费用，并于开采结束前壹年预存完毕所有费用。本方案按照投资资金计提，预存资金可按万吨计提， 因此在本方案通过后企业应将相关费用存与专用账户。</w:t>
      </w:r>
    </w:p>
    <w:p>
      <w:pPr>
        <w:pStyle w:val="6"/>
        <w:spacing w:before="4" w:line="364" w:lineRule="auto"/>
        <w:ind w:left="551" w:right="973" w:firstLine="480"/>
        <w:jc w:val="both"/>
      </w:pPr>
      <w:r>
        <w:t xml:space="preserve">因矿山生产建设周期在三年以上，为减轻矿山一次性投入造成企业负担大的问题，本次选择分期预存矿山地质环境保护与土地复垦费用。具体预计建议详见表 </w:t>
      </w:r>
      <w:r>
        <w:rPr>
          <w:rFonts w:ascii="Times New Roman" w:eastAsia="Times New Roman"/>
        </w:rPr>
        <w:t>5.5-6</w:t>
      </w:r>
      <w:r>
        <w:t xml:space="preserve">、表 </w:t>
      </w:r>
      <w:r>
        <w:rPr>
          <w:rFonts w:ascii="Times New Roman" w:eastAsia="Times New Roman"/>
        </w:rPr>
        <w:t>5.5-7</w:t>
      </w:r>
      <w:r>
        <w:t>。</w:t>
      </w:r>
    </w:p>
    <w:p>
      <w:pPr>
        <w:spacing w:after="0" w:line="364" w:lineRule="auto"/>
        <w:jc w:val="both"/>
        <w:sectPr>
          <w:pgSz w:w="11910" w:h="16840"/>
          <w:pgMar w:top="1380" w:right="780" w:bottom="1180" w:left="1200" w:header="0" w:footer="997" w:gutter="0"/>
        </w:sectPr>
      </w:pPr>
    </w:p>
    <w:p>
      <w:pPr>
        <w:pStyle w:val="6"/>
        <w:spacing w:before="42" w:line="364" w:lineRule="auto"/>
        <w:ind w:left="551" w:right="973" w:firstLine="480"/>
        <w:jc w:val="both"/>
      </w:pPr>
      <w:r>
        <w:t>又因双鸭山大顺矿业有限公司是改扩建延续矿山，现处于整改扩建阶段，之前已预存了部分环境保证金和土地复垦费用，但矿山处于生产阶段，矿山环境保护与土地复垦工作还没有正式开展。本次方案的制订是因矿山开采范围、生产规模改变为重新编制，工程项目包含原有需要治理范围，同时按国家相关规定可以将前期预存费用转移本期费用，因此建议矿山提供已预存的相关费用相关材料和票据，在重新签订三方监管协议时将以往已预存的相关费用可在本次费用的基地上给予抵减。</w:t>
      </w:r>
    </w:p>
    <w:p>
      <w:pPr>
        <w:pStyle w:val="6"/>
        <w:spacing w:before="4"/>
        <w:ind w:left="1031"/>
      </w:pPr>
      <w:r>
        <w:t>矿山环境保护与恢复治理费用预存分为四个阶段安排表如下：</w:t>
      </w:r>
    </w:p>
    <w:p>
      <w:pPr>
        <w:pStyle w:val="5"/>
        <w:tabs>
          <w:tab w:val="left" w:pos="1058"/>
        </w:tabs>
        <w:spacing w:before="84"/>
        <w:ind w:left="19"/>
        <w:jc w:val="center"/>
        <w:rPr>
          <w:rFonts w:hint="eastAsia" w:ascii="仿宋" w:eastAsia="仿宋"/>
        </w:rPr>
      </w:pPr>
      <w:r>
        <w:rPr>
          <w:rFonts w:hint="eastAsia" w:ascii="仿宋" w:eastAsia="仿宋"/>
        </w:rPr>
        <w:t>表</w:t>
      </w:r>
      <w:r>
        <w:rPr>
          <w:rFonts w:hint="eastAsia" w:ascii="仿宋" w:eastAsia="仿宋"/>
          <w:spacing w:val="-62"/>
        </w:rPr>
        <w:t xml:space="preserve"> </w:t>
      </w:r>
      <w:r>
        <w:rPr>
          <w:rFonts w:ascii="Times New Roman" w:eastAsia="Times New Roman"/>
        </w:rPr>
        <w:t>5.5-6</w:t>
      </w:r>
      <w:r>
        <w:rPr>
          <w:rFonts w:ascii="Times New Roman" w:eastAsia="Times New Roman"/>
        </w:rPr>
        <w:tab/>
      </w:r>
      <w:r>
        <w:rPr>
          <w:rFonts w:hint="eastAsia" w:ascii="仿宋" w:eastAsia="仿宋"/>
        </w:rPr>
        <w:t>矿山环境保护与恢复治理费用预存安排表</w:t>
      </w:r>
    </w:p>
    <w:tbl>
      <w:tblPr>
        <w:tblStyle w:val="10"/>
        <w:tblW w:w="0" w:type="auto"/>
        <w:tblInd w:w="4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4"/>
        <w:gridCol w:w="953"/>
        <w:gridCol w:w="822"/>
        <w:gridCol w:w="837"/>
        <w:gridCol w:w="866"/>
        <w:gridCol w:w="1463"/>
        <w:gridCol w:w="1465"/>
        <w:gridCol w:w="14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664" w:type="dxa"/>
          </w:tcPr>
          <w:p>
            <w:pPr>
              <w:pStyle w:val="14"/>
              <w:jc w:val="left"/>
              <w:rPr>
                <w:rFonts w:ascii="仿宋"/>
                <w:b/>
                <w:sz w:val="20"/>
              </w:rPr>
            </w:pPr>
          </w:p>
          <w:p>
            <w:pPr>
              <w:pStyle w:val="14"/>
              <w:spacing w:before="135"/>
              <w:ind w:right="121"/>
              <w:jc w:val="right"/>
              <w:rPr>
                <w:rFonts w:hint="eastAsia" w:ascii="仿宋" w:eastAsia="仿宋"/>
                <w:sz w:val="20"/>
              </w:rPr>
            </w:pPr>
            <w:r>
              <w:rPr>
                <w:rFonts w:hint="eastAsia" w:ascii="仿宋" w:eastAsia="仿宋"/>
                <w:w w:val="95"/>
                <w:sz w:val="20"/>
              </w:rPr>
              <w:t>阶段</w:t>
            </w:r>
          </w:p>
        </w:tc>
        <w:tc>
          <w:tcPr>
            <w:tcW w:w="953" w:type="dxa"/>
          </w:tcPr>
          <w:p>
            <w:pPr>
              <w:pStyle w:val="14"/>
              <w:spacing w:before="5"/>
              <w:jc w:val="left"/>
              <w:rPr>
                <w:rFonts w:ascii="仿宋"/>
                <w:b/>
                <w:sz w:val="20"/>
              </w:rPr>
            </w:pPr>
          </w:p>
          <w:p>
            <w:pPr>
              <w:pStyle w:val="14"/>
              <w:ind w:left="176"/>
              <w:jc w:val="left"/>
              <w:rPr>
                <w:rFonts w:hint="eastAsia" w:ascii="仿宋" w:eastAsia="仿宋"/>
                <w:sz w:val="20"/>
              </w:rPr>
            </w:pPr>
            <w:r>
              <w:rPr>
                <w:rFonts w:hint="eastAsia" w:ascii="仿宋" w:eastAsia="仿宋"/>
                <w:w w:val="95"/>
                <w:sz w:val="20"/>
              </w:rPr>
              <w:t>总投资</w:t>
            </w:r>
          </w:p>
          <w:p>
            <w:pPr>
              <w:pStyle w:val="14"/>
              <w:spacing w:before="3"/>
              <w:ind w:left="209"/>
              <w:jc w:val="left"/>
              <w:rPr>
                <w:rFonts w:ascii="Times New Roman" w:eastAsia="Times New Roman"/>
                <w:sz w:val="20"/>
              </w:rPr>
            </w:pPr>
            <w:r>
              <w:rPr>
                <w:rFonts w:ascii="Times New Roman" w:eastAsia="Times New Roman"/>
                <w:w w:val="95"/>
                <w:sz w:val="20"/>
              </w:rPr>
              <w:t>(</w:t>
            </w:r>
            <w:r>
              <w:rPr>
                <w:rFonts w:hint="eastAsia" w:ascii="仿宋" w:eastAsia="仿宋"/>
                <w:w w:val="95"/>
                <w:sz w:val="20"/>
              </w:rPr>
              <w:t>万元</w:t>
            </w:r>
            <w:r>
              <w:rPr>
                <w:rFonts w:ascii="Times New Roman" w:eastAsia="Times New Roman"/>
                <w:w w:val="95"/>
                <w:sz w:val="20"/>
              </w:rPr>
              <w:t>)</w:t>
            </w:r>
          </w:p>
        </w:tc>
        <w:tc>
          <w:tcPr>
            <w:tcW w:w="822" w:type="dxa"/>
          </w:tcPr>
          <w:p>
            <w:pPr>
              <w:pStyle w:val="14"/>
              <w:jc w:val="left"/>
              <w:rPr>
                <w:rFonts w:ascii="仿宋"/>
                <w:b/>
                <w:sz w:val="20"/>
              </w:rPr>
            </w:pPr>
          </w:p>
          <w:p>
            <w:pPr>
              <w:pStyle w:val="14"/>
              <w:spacing w:before="135"/>
              <w:ind w:left="149" w:right="144"/>
              <w:rPr>
                <w:rFonts w:hint="eastAsia" w:ascii="仿宋" w:eastAsia="仿宋"/>
                <w:sz w:val="20"/>
              </w:rPr>
            </w:pPr>
            <w:r>
              <w:rPr>
                <w:rFonts w:hint="eastAsia" w:ascii="仿宋" w:eastAsia="仿宋"/>
                <w:sz w:val="20"/>
              </w:rPr>
              <w:t>年份</w:t>
            </w:r>
          </w:p>
        </w:tc>
        <w:tc>
          <w:tcPr>
            <w:tcW w:w="837" w:type="dxa"/>
          </w:tcPr>
          <w:p>
            <w:pPr>
              <w:pStyle w:val="14"/>
              <w:spacing w:before="5"/>
              <w:jc w:val="left"/>
              <w:rPr>
                <w:rFonts w:ascii="仿宋"/>
                <w:b/>
                <w:sz w:val="20"/>
              </w:rPr>
            </w:pPr>
          </w:p>
          <w:p>
            <w:pPr>
              <w:pStyle w:val="14"/>
              <w:ind w:left="117"/>
              <w:jc w:val="left"/>
              <w:rPr>
                <w:rFonts w:hint="eastAsia" w:ascii="仿宋" w:eastAsia="仿宋"/>
                <w:sz w:val="20"/>
              </w:rPr>
            </w:pPr>
            <w:r>
              <w:rPr>
                <w:rFonts w:hint="eastAsia" w:ascii="仿宋" w:eastAsia="仿宋"/>
                <w:sz w:val="20"/>
              </w:rPr>
              <w:t>年产量</w:t>
            </w:r>
          </w:p>
          <w:p>
            <w:pPr>
              <w:pStyle w:val="14"/>
              <w:spacing w:before="3"/>
              <w:ind w:left="107"/>
              <w:jc w:val="left"/>
              <w:rPr>
                <w:rFonts w:hint="eastAsia" w:ascii="仿宋" w:eastAsia="仿宋"/>
                <w:sz w:val="20"/>
              </w:rPr>
            </w:pPr>
            <w:r>
              <w:rPr>
                <w:rFonts w:hint="eastAsia" w:ascii="仿宋" w:eastAsia="仿宋"/>
                <w:sz w:val="20"/>
              </w:rPr>
              <w:t>（</w:t>
            </w:r>
            <w:r>
              <w:rPr>
                <w:rFonts w:hint="eastAsia" w:ascii="仿宋" w:eastAsia="仿宋"/>
                <w:spacing w:val="-27"/>
                <w:sz w:val="20"/>
              </w:rPr>
              <w:t xml:space="preserve">万 </w:t>
            </w:r>
            <w:r>
              <w:rPr>
                <w:rFonts w:ascii="Times New Roman" w:eastAsia="Times New Roman"/>
                <w:sz w:val="20"/>
              </w:rPr>
              <w:t>t</w:t>
            </w:r>
            <w:r>
              <w:rPr>
                <w:rFonts w:hint="eastAsia" w:ascii="仿宋" w:eastAsia="仿宋"/>
                <w:sz w:val="20"/>
              </w:rPr>
              <w:t>）</w:t>
            </w:r>
          </w:p>
        </w:tc>
        <w:tc>
          <w:tcPr>
            <w:tcW w:w="866" w:type="dxa"/>
          </w:tcPr>
          <w:p>
            <w:pPr>
              <w:pStyle w:val="14"/>
              <w:spacing w:before="132" w:line="242" w:lineRule="auto"/>
              <w:ind w:left="132" w:right="121"/>
              <w:jc w:val="both"/>
              <w:rPr>
                <w:rFonts w:ascii="Times New Roman" w:eastAsia="Times New Roman"/>
                <w:sz w:val="20"/>
              </w:rPr>
            </w:pPr>
            <w:r>
              <w:rPr>
                <w:rFonts w:hint="eastAsia" w:ascii="仿宋" w:eastAsia="仿宋"/>
                <w:sz w:val="20"/>
              </w:rPr>
              <w:t>年度投资额度</w:t>
            </w:r>
            <w:r>
              <w:rPr>
                <w:rFonts w:ascii="Times New Roman" w:eastAsia="Times New Roman"/>
                <w:sz w:val="20"/>
              </w:rPr>
              <w:t>(</w:t>
            </w:r>
            <w:r>
              <w:rPr>
                <w:rFonts w:hint="eastAsia" w:ascii="仿宋" w:eastAsia="仿宋"/>
                <w:sz w:val="20"/>
              </w:rPr>
              <w:t>万元</w:t>
            </w:r>
            <w:r>
              <w:rPr>
                <w:rFonts w:ascii="Times New Roman" w:eastAsia="Times New Roman"/>
                <w:sz w:val="20"/>
              </w:rPr>
              <w:t>)</w:t>
            </w:r>
          </w:p>
        </w:tc>
        <w:tc>
          <w:tcPr>
            <w:tcW w:w="1463" w:type="dxa"/>
          </w:tcPr>
          <w:p>
            <w:pPr>
              <w:pStyle w:val="14"/>
              <w:spacing w:before="2" w:line="242" w:lineRule="auto"/>
              <w:ind w:left="130" w:right="120"/>
              <w:jc w:val="both"/>
              <w:rPr>
                <w:rFonts w:hint="eastAsia" w:ascii="仿宋" w:eastAsia="仿宋"/>
                <w:sz w:val="20"/>
              </w:rPr>
            </w:pPr>
            <w:r>
              <w:rPr>
                <w:rFonts w:hint="eastAsia" w:ascii="仿宋" w:eastAsia="仿宋"/>
                <w:sz w:val="20"/>
              </w:rPr>
              <w:t>单位产量投资矿山环境保护与恢复治理预</w:t>
            </w:r>
          </w:p>
          <w:p>
            <w:pPr>
              <w:pStyle w:val="14"/>
              <w:spacing w:before="1" w:line="238" w:lineRule="exact"/>
              <w:ind w:left="310"/>
              <w:jc w:val="left"/>
              <w:rPr>
                <w:rFonts w:ascii="Times New Roman" w:eastAsia="Times New Roman"/>
                <w:sz w:val="20"/>
              </w:rPr>
            </w:pPr>
            <w:r>
              <w:rPr>
                <w:rFonts w:hint="eastAsia" w:ascii="仿宋" w:eastAsia="仿宋"/>
                <w:sz w:val="20"/>
              </w:rPr>
              <w:t>存额</w:t>
            </w:r>
            <w:r>
              <w:rPr>
                <w:rFonts w:ascii="Times New Roman" w:eastAsia="Times New Roman"/>
                <w:sz w:val="20"/>
              </w:rPr>
              <w:t>(</w:t>
            </w:r>
            <w:r>
              <w:rPr>
                <w:rFonts w:hint="eastAsia" w:ascii="仿宋" w:eastAsia="仿宋"/>
                <w:sz w:val="20"/>
              </w:rPr>
              <w:t>元</w:t>
            </w:r>
            <w:r>
              <w:rPr>
                <w:rFonts w:ascii="Times New Roman" w:eastAsia="Times New Roman"/>
                <w:sz w:val="20"/>
              </w:rPr>
              <w:t>/t)</w:t>
            </w:r>
          </w:p>
        </w:tc>
        <w:tc>
          <w:tcPr>
            <w:tcW w:w="1465" w:type="dxa"/>
          </w:tcPr>
          <w:p>
            <w:pPr>
              <w:pStyle w:val="14"/>
              <w:spacing w:before="2" w:line="242" w:lineRule="auto"/>
              <w:ind w:left="131" w:right="121"/>
              <w:jc w:val="both"/>
              <w:rPr>
                <w:rFonts w:hint="eastAsia" w:ascii="仿宋" w:eastAsia="仿宋"/>
                <w:sz w:val="20"/>
              </w:rPr>
            </w:pPr>
            <w:r>
              <w:rPr>
                <w:rFonts w:hint="eastAsia" w:ascii="仿宋" w:eastAsia="仿宋"/>
                <w:sz w:val="20"/>
              </w:rPr>
              <w:t>年度矿山环境保护与恢复治理费用预存额</w:t>
            </w:r>
          </w:p>
          <w:p>
            <w:pPr>
              <w:pStyle w:val="14"/>
              <w:spacing w:before="1" w:line="238" w:lineRule="exact"/>
              <w:ind w:left="330"/>
              <w:jc w:val="left"/>
              <w:rPr>
                <w:rFonts w:hint="eastAsia" w:ascii="仿宋" w:eastAsia="仿宋"/>
                <w:sz w:val="20"/>
              </w:rPr>
            </w:pPr>
            <w:r>
              <w:rPr>
                <w:rFonts w:hint="eastAsia" w:ascii="仿宋" w:eastAsia="仿宋"/>
                <w:sz w:val="20"/>
              </w:rPr>
              <w:t>（万元）</w:t>
            </w:r>
          </w:p>
        </w:tc>
        <w:tc>
          <w:tcPr>
            <w:tcW w:w="1458" w:type="dxa"/>
          </w:tcPr>
          <w:p>
            <w:pPr>
              <w:pStyle w:val="14"/>
              <w:spacing w:before="2" w:line="242" w:lineRule="auto"/>
              <w:ind w:left="127" w:right="118"/>
              <w:jc w:val="both"/>
              <w:rPr>
                <w:rFonts w:hint="eastAsia" w:ascii="仿宋" w:eastAsia="仿宋"/>
                <w:sz w:val="20"/>
              </w:rPr>
            </w:pPr>
            <w:r>
              <w:rPr>
                <w:rFonts w:hint="eastAsia" w:ascii="仿宋" w:eastAsia="仿宋"/>
                <w:sz w:val="20"/>
              </w:rPr>
              <w:t>阶段矿山环境保护与恢复治理费用预存额</w:t>
            </w:r>
          </w:p>
          <w:p>
            <w:pPr>
              <w:pStyle w:val="14"/>
              <w:spacing w:before="1" w:line="238" w:lineRule="exact"/>
              <w:ind w:left="329"/>
              <w:jc w:val="left"/>
              <w:rPr>
                <w:rFonts w:hint="eastAsia" w:ascii="仿宋" w:eastAsia="仿宋"/>
                <w:sz w:val="20"/>
              </w:rPr>
            </w:pPr>
            <w:r>
              <w:rPr>
                <w:rFonts w:hint="eastAsia" w:ascii="仿宋" w:eastAsia="仿宋"/>
                <w:sz w:val="20"/>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664" w:type="dxa"/>
            <w:vMerge w:val="restart"/>
          </w:tcPr>
          <w:p>
            <w:pPr>
              <w:pStyle w:val="14"/>
              <w:jc w:val="left"/>
              <w:rPr>
                <w:rFonts w:ascii="仿宋"/>
                <w:b/>
                <w:sz w:val="20"/>
              </w:rPr>
            </w:pPr>
          </w:p>
          <w:p>
            <w:pPr>
              <w:pStyle w:val="14"/>
              <w:spacing w:before="9"/>
              <w:jc w:val="left"/>
              <w:rPr>
                <w:rFonts w:ascii="仿宋"/>
                <w:b/>
                <w:sz w:val="26"/>
              </w:rPr>
            </w:pPr>
          </w:p>
          <w:p>
            <w:pPr>
              <w:pStyle w:val="14"/>
              <w:ind w:left="6"/>
              <w:rPr>
                <w:sz w:val="20"/>
              </w:rPr>
            </w:pPr>
            <w:r>
              <w:rPr>
                <w:w w:val="99"/>
                <w:sz w:val="20"/>
              </w:rPr>
              <w:t>一</w:t>
            </w:r>
          </w:p>
        </w:tc>
        <w:tc>
          <w:tcPr>
            <w:tcW w:w="953" w:type="dxa"/>
            <w:vMerge w:val="restart"/>
          </w:tcPr>
          <w:p>
            <w:pPr>
              <w:pStyle w:val="14"/>
              <w:jc w:val="left"/>
              <w:rPr>
                <w:rFonts w:ascii="仿宋"/>
                <w:b/>
                <w:sz w:val="22"/>
              </w:rPr>
            </w:pPr>
          </w:p>
          <w:p>
            <w:pPr>
              <w:pStyle w:val="14"/>
              <w:spacing w:before="9"/>
              <w:jc w:val="left"/>
              <w:rPr>
                <w:rFonts w:ascii="仿宋"/>
                <w:b/>
                <w:sz w:val="25"/>
              </w:rPr>
            </w:pPr>
          </w:p>
          <w:p>
            <w:pPr>
              <w:pStyle w:val="14"/>
              <w:ind w:left="149"/>
              <w:jc w:val="left"/>
              <w:rPr>
                <w:rFonts w:ascii="Times New Roman"/>
                <w:sz w:val="20"/>
              </w:rPr>
            </w:pPr>
            <w:r>
              <w:rPr>
                <w:rFonts w:ascii="Times New Roman"/>
                <w:sz w:val="20"/>
              </w:rPr>
              <w:t>11.9830</w:t>
            </w:r>
          </w:p>
        </w:tc>
        <w:tc>
          <w:tcPr>
            <w:tcW w:w="822" w:type="dxa"/>
          </w:tcPr>
          <w:p>
            <w:pPr>
              <w:pStyle w:val="14"/>
              <w:spacing w:before="26"/>
              <w:ind w:left="151" w:right="144"/>
              <w:rPr>
                <w:rFonts w:ascii="Times New Roman"/>
                <w:sz w:val="20"/>
              </w:rPr>
            </w:pPr>
            <w:r>
              <w:rPr>
                <w:rFonts w:ascii="Times New Roman"/>
                <w:sz w:val="20"/>
              </w:rPr>
              <w:t>2021</w:t>
            </w:r>
          </w:p>
        </w:tc>
        <w:tc>
          <w:tcPr>
            <w:tcW w:w="837" w:type="dxa"/>
          </w:tcPr>
          <w:p>
            <w:pPr>
              <w:pStyle w:val="14"/>
              <w:spacing w:before="26"/>
              <w:ind w:left="232" w:right="226"/>
              <w:rPr>
                <w:rFonts w:ascii="Times New Roman"/>
                <w:sz w:val="20"/>
              </w:rPr>
            </w:pPr>
            <w:r>
              <w:rPr>
                <w:rFonts w:ascii="Times New Roman"/>
                <w:sz w:val="20"/>
              </w:rPr>
              <w:t>30</w:t>
            </w:r>
          </w:p>
        </w:tc>
        <w:tc>
          <w:tcPr>
            <w:tcW w:w="866" w:type="dxa"/>
          </w:tcPr>
          <w:p>
            <w:pPr>
              <w:pStyle w:val="14"/>
              <w:spacing w:before="26"/>
              <w:ind w:left="87" w:right="75"/>
              <w:rPr>
                <w:rFonts w:ascii="Times New Roman"/>
                <w:sz w:val="20"/>
              </w:rPr>
            </w:pPr>
            <w:r>
              <w:rPr>
                <w:rFonts w:ascii="Times New Roman"/>
                <w:sz w:val="20"/>
              </w:rPr>
              <w:t>2.7823</w:t>
            </w:r>
          </w:p>
        </w:tc>
        <w:tc>
          <w:tcPr>
            <w:tcW w:w="1463" w:type="dxa"/>
          </w:tcPr>
          <w:p>
            <w:pPr>
              <w:pStyle w:val="14"/>
              <w:spacing w:before="26"/>
              <w:ind w:left="535" w:right="527"/>
              <w:rPr>
                <w:rFonts w:ascii="Times New Roman"/>
                <w:sz w:val="20"/>
              </w:rPr>
            </w:pPr>
            <w:r>
              <w:rPr>
                <w:rFonts w:ascii="Times New Roman"/>
                <w:sz w:val="20"/>
              </w:rPr>
              <w:t>0.27</w:t>
            </w:r>
          </w:p>
        </w:tc>
        <w:tc>
          <w:tcPr>
            <w:tcW w:w="1465" w:type="dxa"/>
          </w:tcPr>
          <w:p>
            <w:pPr>
              <w:pStyle w:val="14"/>
              <w:spacing w:before="26"/>
              <w:ind w:left="386" w:right="375"/>
              <w:rPr>
                <w:rFonts w:ascii="Times New Roman"/>
                <w:sz w:val="20"/>
              </w:rPr>
            </w:pPr>
            <w:r>
              <w:rPr>
                <w:rFonts w:ascii="Times New Roman"/>
                <w:sz w:val="20"/>
              </w:rPr>
              <w:t>8.2288</w:t>
            </w:r>
          </w:p>
        </w:tc>
        <w:tc>
          <w:tcPr>
            <w:tcW w:w="1458" w:type="dxa"/>
            <w:vMerge w:val="restart"/>
          </w:tcPr>
          <w:p>
            <w:pPr>
              <w:pStyle w:val="14"/>
              <w:jc w:val="left"/>
              <w:rPr>
                <w:rFonts w:ascii="仿宋"/>
                <w:b/>
                <w:sz w:val="22"/>
              </w:rPr>
            </w:pPr>
          </w:p>
          <w:p>
            <w:pPr>
              <w:pStyle w:val="14"/>
              <w:spacing w:before="9"/>
              <w:jc w:val="left"/>
              <w:rPr>
                <w:rFonts w:ascii="仿宋"/>
                <w:b/>
                <w:sz w:val="25"/>
              </w:rPr>
            </w:pPr>
          </w:p>
          <w:p>
            <w:pPr>
              <w:pStyle w:val="14"/>
              <w:ind w:left="403"/>
              <w:jc w:val="left"/>
              <w:rPr>
                <w:rFonts w:ascii="Times New Roman"/>
                <w:sz w:val="20"/>
              </w:rPr>
            </w:pPr>
            <w:r>
              <w:rPr>
                <w:rFonts w:ascii="Times New Roman"/>
                <w:sz w:val="20"/>
              </w:rPr>
              <w:t>18.3565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664" w:type="dxa"/>
            <w:vMerge w:val="continue"/>
            <w:tcBorders>
              <w:top w:val="nil"/>
            </w:tcBorders>
          </w:tcPr>
          <w:p>
            <w:pPr>
              <w:rPr>
                <w:sz w:val="2"/>
                <w:szCs w:val="2"/>
              </w:rPr>
            </w:pPr>
          </w:p>
        </w:tc>
        <w:tc>
          <w:tcPr>
            <w:tcW w:w="953" w:type="dxa"/>
            <w:vMerge w:val="continue"/>
            <w:tcBorders>
              <w:top w:val="nil"/>
            </w:tcBorders>
          </w:tcPr>
          <w:p>
            <w:pPr>
              <w:rPr>
                <w:sz w:val="2"/>
                <w:szCs w:val="2"/>
              </w:rPr>
            </w:pPr>
          </w:p>
        </w:tc>
        <w:tc>
          <w:tcPr>
            <w:tcW w:w="822" w:type="dxa"/>
          </w:tcPr>
          <w:p>
            <w:pPr>
              <w:pStyle w:val="14"/>
              <w:spacing w:before="26"/>
              <w:ind w:left="151" w:right="144"/>
              <w:rPr>
                <w:rFonts w:ascii="Times New Roman"/>
                <w:sz w:val="20"/>
              </w:rPr>
            </w:pPr>
            <w:r>
              <w:rPr>
                <w:rFonts w:ascii="Times New Roman"/>
                <w:sz w:val="20"/>
              </w:rPr>
              <w:t>2022</w:t>
            </w:r>
          </w:p>
        </w:tc>
        <w:tc>
          <w:tcPr>
            <w:tcW w:w="837" w:type="dxa"/>
          </w:tcPr>
          <w:p>
            <w:pPr>
              <w:pStyle w:val="14"/>
              <w:spacing w:before="26"/>
              <w:ind w:left="232" w:right="226"/>
              <w:rPr>
                <w:rFonts w:ascii="Times New Roman"/>
                <w:sz w:val="20"/>
              </w:rPr>
            </w:pPr>
            <w:r>
              <w:rPr>
                <w:rFonts w:ascii="Times New Roman"/>
                <w:sz w:val="20"/>
              </w:rPr>
              <w:t>30</w:t>
            </w:r>
          </w:p>
        </w:tc>
        <w:tc>
          <w:tcPr>
            <w:tcW w:w="866" w:type="dxa"/>
          </w:tcPr>
          <w:p>
            <w:pPr>
              <w:pStyle w:val="14"/>
              <w:spacing w:before="26"/>
              <w:ind w:left="87" w:right="75"/>
              <w:rPr>
                <w:rFonts w:ascii="Times New Roman"/>
                <w:sz w:val="20"/>
              </w:rPr>
            </w:pPr>
            <w:r>
              <w:rPr>
                <w:rFonts w:ascii="Times New Roman"/>
                <w:sz w:val="20"/>
              </w:rPr>
              <w:t>2.2323</w:t>
            </w:r>
          </w:p>
        </w:tc>
        <w:tc>
          <w:tcPr>
            <w:tcW w:w="1463" w:type="dxa"/>
          </w:tcPr>
          <w:p>
            <w:pPr>
              <w:pStyle w:val="14"/>
              <w:spacing w:before="26"/>
              <w:ind w:left="535" w:right="527"/>
              <w:rPr>
                <w:rFonts w:ascii="Times New Roman"/>
                <w:sz w:val="20"/>
              </w:rPr>
            </w:pPr>
            <w:r>
              <w:rPr>
                <w:rFonts w:ascii="Times New Roman"/>
                <w:sz w:val="20"/>
              </w:rPr>
              <w:t>0.08</w:t>
            </w:r>
          </w:p>
        </w:tc>
        <w:tc>
          <w:tcPr>
            <w:tcW w:w="1465" w:type="dxa"/>
          </w:tcPr>
          <w:p>
            <w:pPr>
              <w:pStyle w:val="14"/>
              <w:spacing w:before="26"/>
              <w:ind w:left="386" w:right="375"/>
              <w:rPr>
                <w:rFonts w:ascii="Times New Roman"/>
                <w:sz w:val="20"/>
              </w:rPr>
            </w:pPr>
            <w:r>
              <w:rPr>
                <w:rFonts w:ascii="Times New Roman"/>
                <w:sz w:val="20"/>
              </w:rPr>
              <w:t>2.5319</w:t>
            </w:r>
          </w:p>
        </w:tc>
        <w:tc>
          <w:tcPr>
            <w:tcW w:w="145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64" w:type="dxa"/>
            <w:vMerge w:val="continue"/>
            <w:tcBorders>
              <w:top w:val="nil"/>
            </w:tcBorders>
          </w:tcPr>
          <w:p>
            <w:pPr>
              <w:rPr>
                <w:sz w:val="2"/>
                <w:szCs w:val="2"/>
              </w:rPr>
            </w:pPr>
          </w:p>
        </w:tc>
        <w:tc>
          <w:tcPr>
            <w:tcW w:w="953" w:type="dxa"/>
            <w:vMerge w:val="continue"/>
            <w:tcBorders>
              <w:top w:val="nil"/>
            </w:tcBorders>
          </w:tcPr>
          <w:p>
            <w:pPr>
              <w:rPr>
                <w:sz w:val="2"/>
                <w:szCs w:val="2"/>
              </w:rPr>
            </w:pPr>
          </w:p>
        </w:tc>
        <w:tc>
          <w:tcPr>
            <w:tcW w:w="822" w:type="dxa"/>
          </w:tcPr>
          <w:p>
            <w:pPr>
              <w:pStyle w:val="14"/>
              <w:spacing w:before="25"/>
              <w:ind w:left="151" w:right="144"/>
              <w:rPr>
                <w:rFonts w:ascii="Times New Roman"/>
                <w:sz w:val="20"/>
              </w:rPr>
            </w:pPr>
            <w:r>
              <w:rPr>
                <w:rFonts w:ascii="Times New Roman"/>
                <w:sz w:val="20"/>
              </w:rPr>
              <w:t>2023</w:t>
            </w:r>
          </w:p>
        </w:tc>
        <w:tc>
          <w:tcPr>
            <w:tcW w:w="837" w:type="dxa"/>
          </w:tcPr>
          <w:p>
            <w:pPr>
              <w:pStyle w:val="14"/>
              <w:spacing w:before="25"/>
              <w:ind w:left="232" w:right="226"/>
              <w:rPr>
                <w:rFonts w:ascii="Times New Roman"/>
                <w:sz w:val="20"/>
              </w:rPr>
            </w:pPr>
            <w:r>
              <w:rPr>
                <w:rFonts w:ascii="Times New Roman"/>
                <w:sz w:val="20"/>
              </w:rPr>
              <w:t>30</w:t>
            </w:r>
          </w:p>
        </w:tc>
        <w:tc>
          <w:tcPr>
            <w:tcW w:w="866" w:type="dxa"/>
          </w:tcPr>
          <w:p>
            <w:pPr>
              <w:pStyle w:val="14"/>
              <w:spacing w:before="25"/>
              <w:ind w:left="87" w:right="75"/>
              <w:rPr>
                <w:rFonts w:ascii="Times New Roman"/>
                <w:sz w:val="20"/>
              </w:rPr>
            </w:pPr>
            <w:r>
              <w:rPr>
                <w:rFonts w:ascii="Times New Roman"/>
                <w:sz w:val="20"/>
              </w:rPr>
              <w:t>2.2769</w:t>
            </w:r>
          </w:p>
        </w:tc>
        <w:tc>
          <w:tcPr>
            <w:tcW w:w="1463" w:type="dxa"/>
          </w:tcPr>
          <w:p>
            <w:pPr>
              <w:pStyle w:val="14"/>
              <w:spacing w:before="25"/>
              <w:ind w:left="535" w:right="527"/>
              <w:rPr>
                <w:rFonts w:ascii="Times New Roman"/>
                <w:sz w:val="20"/>
              </w:rPr>
            </w:pPr>
            <w:r>
              <w:rPr>
                <w:rFonts w:ascii="Times New Roman"/>
                <w:sz w:val="20"/>
              </w:rPr>
              <w:t>0.08</w:t>
            </w:r>
          </w:p>
        </w:tc>
        <w:tc>
          <w:tcPr>
            <w:tcW w:w="1465" w:type="dxa"/>
          </w:tcPr>
          <w:p>
            <w:pPr>
              <w:pStyle w:val="14"/>
              <w:spacing w:before="25"/>
              <w:ind w:left="386" w:right="375"/>
              <w:rPr>
                <w:rFonts w:ascii="Times New Roman"/>
                <w:sz w:val="20"/>
              </w:rPr>
            </w:pPr>
            <w:r>
              <w:rPr>
                <w:rFonts w:ascii="Times New Roman"/>
                <w:sz w:val="20"/>
              </w:rPr>
              <w:t>2.5319</w:t>
            </w:r>
          </w:p>
        </w:tc>
        <w:tc>
          <w:tcPr>
            <w:tcW w:w="145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664" w:type="dxa"/>
            <w:vMerge w:val="continue"/>
            <w:tcBorders>
              <w:top w:val="nil"/>
            </w:tcBorders>
          </w:tcPr>
          <w:p>
            <w:pPr>
              <w:rPr>
                <w:sz w:val="2"/>
                <w:szCs w:val="2"/>
              </w:rPr>
            </w:pPr>
          </w:p>
        </w:tc>
        <w:tc>
          <w:tcPr>
            <w:tcW w:w="953" w:type="dxa"/>
            <w:vMerge w:val="continue"/>
            <w:tcBorders>
              <w:top w:val="nil"/>
            </w:tcBorders>
          </w:tcPr>
          <w:p>
            <w:pPr>
              <w:rPr>
                <w:sz w:val="2"/>
                <w:szCs w:val="2"/>
              </w:rPr>
            </w:pPr>
          </w:p>
        </w:tc>
        <w:tc>
          <w:tcPr>
            <w:tcW w:w="822" w:type="dxa"/>
          </w:tcPr>
          <w:p>
            <w:pPr>
              <w:pStyle w:val="14"/>
              <w:spacing w:before="25"/>
              <w:ind w:left="151" w:right="144"/>
              <w:rPr>
                <w:rFonts w:ascii="Times New Roman"/>
                <w:sz w:val="20"/>
              </w:rPr>
            </w:pPr>
            <w:r>
              <w:rPr>
                <w:rFonts w:ascii="Times New Roman"/>
                <w:sz w:val="20"/>
              </w:rPr>
              <w:t>2024</w:t>
            </w:r>
          </w:p>
        </w:tc>
        <w:tc>
          <w:tcPr>
            <w:tcW w:w="837" w:type="dxa"/>
          </w:tcPr>
          <w:p>
            <w:pPr>
              <w:pStyle w:val="14"/>
              <w:spacing w:before="25"/>
              <w:ind w:left="232" w:right="226"/>
              <w:rPr>
                <w:rFonts w:ascii="Times New Roman"/>
                <w:sz w:val="20"/>
              </w:rPr>
            </w:pPr>
            <w:r>
              <w:rPr>
                <w:rFonts w:ascii="Times New Roman"/>
                <w:sz w:val="20"/>
              </w:rPr>
              <w:t>30</w:t>
            </w:r>
          </w:p>
        </w:tc>
        <w:tc>
          <w:tcPr>
            <w:tcW w:w="866" w:type="dxa"/>
          </w:tcPr>
          <w:p>
            <w:pPr>
              <w:pStyle w:val="14"/>
              <w:spacing w:before="25"/>
              <w:ind w:left="87" w:right="75"/>
              <w:rPr>
                <w:rFonts w:ascii="Times New Roman"/>
                <w:sz w:val="20"/>
              </w:rPr>
            </w:pPr>
            <w:r>
              <w:rPr>
                <w:rFonts w:ascii="Times New Roman"/>
                <w:sz w:val="20"/>
              </w:rPr>
              <w:t>2.3225</w:t>
            </w:r>
          </w:p>
        </w:tc>
        <w:tc>
          <w:tcPr>
            <w:tcW w:w="1463" w:type="dxa"/>
          </w:tcPr>
          <w:p>
            <w:pPr>
              <w:pStyle w:val="14"/>
              <w:spacing w:before="25"/>
              <w:ind w:left="535" w:right="527"/>
              <w:rPr>
                <w:rFonts w:ascii="Times New Roman"/>
                <w:sz w:val="20"/>
              </w:rPr>
            </w:pPr>
            <w:r>
              <w:rPr>
                <w:rFonts w:ascii="Times New Roman"/>
                <w:sz w:val="20"/>
              </w:rPr>
              <w:t>0.08</w:t>
            </w:r>
          </w:p>
        </w:tc>
        <w:tc>
          <w:tcPr>
            <w:tcW w:w="1465" w:type="dxa"/>
          </w:tcPr>
          <w:p>
            <w:pPr>
              <w:pStyle w:val="14"/>
              <w:spacing w:before="25"/>
              <w:ind w:left="386" w:right="375"/>
              <w:rPr>
                <w:rFonts w:ascii="Times New Roman"/>
                <w:sz w:val="20"/>
              </w:rPr>
            </w:pPr>
            <w:r>
              <w:rPr>
                <w:rFonts w:ascii="Times New Roman"/>
                <w:sz w:val="20"/>
              </w:rPr>
              <w:t>2.5319</w:t>
            </w:r>
          </w:p>
        </w:tc>
        <w:tc>
          <w:tcPr>
            <w:tcW w:w="145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64" w:type="dxa"/>
            <w:vMerge w:val="continue"/>
            <w:tcBorders>
              <w:top w:val="nil"/>
            </w:tcBorders>
          </w:tcPr>
          <w:p>
            <w:pPr>
              <w:rPr>
                <w:sz w:val="2"/>
                <w:szCs w:val="2"/>
              </w:rPr>
            </w:pPr>
          </w:p>
        </w:tc>
        <w:tc>
          <w:tcPr>
            <w:tcW w:w="953" w:type="dxa"/>
            <w:vMerge w:val="continue"/>
            <w:tcBorders>
              <w:top w:val="nil"/>
            </w:tcBorders>
          </w:tcPr>
          <w:p>
            <w:pPr>
              <w:rPr>
                <w:sz w:val="2"/>
                <w:szCs w:val="2"/>
              </w:rPr>
            </w:pPr>
          </w:p>
        </w:tc>
        <w:tc>
          <w:tcPr>
            <w:tcW w:w="822" w:type="dxa"/>
          </w:tcPr>
          <w:p>
            <w:pPr>
              <w:pStyle w:val="14"/>
              <w:spacing w:before="25"/>
              <w:ind w:left="151" w:right="144"/>
              <w:rPr>
                <w:rFonts w:ascii="Times New Roman"/>
                <w:sz w:val="20"/>
              </w:rPr>
            </w:pPr>
            <w:r>
              <w:rPr>
                <w:rFonts w:ascii="Times New Roman"/>
                <w:sz w:val="20"/>
              </w:rPr>
              <w:t>2025</w:t>
            </w:r>
          </w:p>
        </w:tc>
        <w:tc>
          <w:tcPr>
            <w:tcW w:w="837" w:type="dxa"/>
          </w:tcPr>
          <w:p>
            <w:pPr>
              <w:pStyle w:val="14"/>
              <w:spacing w:before="25"/>
              <w:ind w:left="232" w:right="226"/>
              <w:rPr>
                <w:rFonts w:ascii="Times New Roman"/>
                <w:sz w:val="20"/>
              </w:rPr>
            </w:pPr>
            <w:r>
              <w:rPr>
                <w:rFonts w:ascii="Times New Roman"/>
                <w:sz w:val="20"/>
              </w:rPr>
              <w:t>30</w:t>
            </w:r>
          </w:p>
        </w:tc>
        <w:tc>
          <w:tcPr>
            <w:tcW w:w="866" w:type="dxa"/>
          </w:tcPr>
          <w:p>
            <w:pPr>
              <w:pStyle w:val="14"/>
              <w:spacing w:before="25"/>
              <w:ind w:left="87" w:right="75"/>
              <w:rPr>
                <w:rFonts w:ascii="Times New Roman"/>
                <w:sz w:val="20"/>
              </w:rPr>
            </w:pPr>
            <w:r>
              <w:rPr>
                <w:rFonts w:ascii="Times New Roman"/>
                <w:sz w:val="20"/>
              </w:rPr>
              <w:t>2.3689</w:t>
            </w:r>
          </w:p>
        </w:tc>
        <w:tc>
          <w:tcPr>
            <w:tcW w:w="1463" w:type="dxa"/>
          </w:tcPr>
          <w:p>
            <w:pPr>
              <w:pStyle w:val="14"/>
              <w:spacing w:before="25"/>
              <w:ind w:left="535" w:right="527"/>
              <w:rPr>
                <w:rFonts w:ascii="Times New Roman"/>
                <w:sz w:val="20"/>
              </w:rPr>
            </w:pPr>
            <w:r>
              <w:rPr>
                <w:rFonts w:ascii="Times New Roman"/>
                <w:sz w:val="20"/>
              </w:rPr>
              <w:t>0.08</w:t>
            </w:r>
          </w:p>
        </w:tc>
        <w:tc>
          <w:tcPr>
            <w:tcW w:w="1465" w:type="dxa"/>
          </w:tcPr>
          <w:p>
            <w:pPr>
              <w:pStyle w:val="14"/>
              <w:spacing w:before="25"/>
              <w:ind w:left="386" w:right="375"/>
              <w:rPr>
                <w:rFonts w:ascii="Times New Roman"/>
                <w:sz w:val="20"/>
              </w:rPr>
            </w:pPr>
            <w:r>
              <w:rPr>
                <w:rFonts w:ascii="Times New Roman"/>
                <w:sz w:val="20"/>
              </w:rPr>
              <w:t>2.5319</w:t>
            </w:r>
          </w:p>
        </w:tc>
        <w:tc>
          <w:tcPr>
            <w:tcW w:w="145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64" w:type="dxa"/>
            <w:vMerge w:val="restart"/>
          </w:tcPr>
          <w:p>
            <w:pPr>
              <w:pStyle w:val="14"/>
              <w:jc w:val="left"/>
              <w:rPr>
                <w:rFonts w:ascii="仿宋"/>
                <w:b/>
                <w:sz w:val="20"/>
              </w:rPr>
            </w:pPr>
          </w:p>
          <w:p>
            <w:pPr>
              <w:pStyle w:val="14"/>
              <w:spacing w:before="10"/>
              <w:jc w:val="left"/>
              <w:rPr>
                <w:rFonts w:ascii="仿宋"/>
                <w:b/>
                <w:sz w:val="26"/>
              </w:rPr>
            </w:pPr>
          </w:p>
          <w:p>
            <w:pPr>
              <w:pStyle w:val="14"/>
              <w:ind w:left="6"/>
              <w:rPr>
                <w:sz w:val="20"/>
              </w:rPr>
            </w:pPr>
            <w:r>
              <w:rPr>
                <w:w w:val="99"/>
                <w:sz w:val="20"/>
              </w:rPr>
              <w:t>二</w:t>
            </w:r>
          </w:p>
        </w:tc>
        <w:tc>
          <w:tcPr>
            <w:tcW w:w="953" w:type="dxa"/>
            <w:vMerge w:val="restart"/>
          </w:tcPr>
          <w:p>
            <w:pPr>
              <w:pStyle w:val="14"/>
              <w:jc w:val="left"/>
              <w:rPr>
                <w:rFonts w:ascii="仿宋"/>
                <w:b/>
                <w:sz w:val="22"/>
              </w:rPr>
            </w:pPr>
          </w:p>
          <w:p>
            <w:pPr>
              <w:pStyle w:val="14"/>
              <w:spacing w:before="10"/>
              <w:jc w:val="left"/>
              <w:rPr>
                <w:rFonts w:ascii="仿宋"/>
                <w:b/>
                <w:sz w:val="25"/>
              </w:rPr>
            </w:pPr>
          </w:p>
          <w:p>
            <w:pPr>
              <w:pStyle w:val="14"/>
              <w:spacing w:before="1"/>
              <w:ind w:left="149"/>
              <w:jc w:val="left"/>
              <w:rPr>
                <w:rFonts w:ascii="Times New Roman"/>
                <w:sz w:val="20"/>
              </w:rPr>
            </w:pPr>
            <w:r>
              <w:rPr>
                <w:rFonts w:ascii="Times New Roman"/>
                <w:sz w:val="20"/>
              </w:rPr>
              <w:t>12.5746</w:t>
            </w:r>
          </w:p>
        </w:tc>
        <w:tc>
          <w:tcPr>
            <w:tcW w:w="822" w:type="dxa"/>
          </w:tcPr>
          <w:p>
            <w:pPr>
              <w:pStyle w:val="14"/>
              <w:spacing w:before="27"/>
              <w:ind w:left="151" w:right="144"/>
              <w:rPr>
                <w:rFonts w:ascii="Times New Roman"/>
                <w:sz w:val="20"/>
              </w:rPr>
            </w:pPr>
            <w:r>
              <w:rPr>
                <w:rFonts w:ascii="Times New Roman"/>
                <w:sz w:val="20"/>
              </w:rPr>
              <w:t>2026</w:t>
            </w:r>
          </w:p>
        </w:tc>
        <w:tc>
          <w:tcPr>
            <w:tcW w:w="837" w:type="dxa"/>
          </w:tcPr>
          <w:p>
            <w:pPr>
              <w:pStyle w:val="14"/>
              <w:spacing w:before="27"/>
              <w:ind w:left="232" w:right="226"/>
              <w:rPr>
                <w:rFonts w:ascii="Times New Roman"/>
                <w:sz w:val="20"/>
              </w:rPr>
            </w:pPr>
            <w:r>
              <w:rPr>
                <w:rFonts w:ascii="Times New Roman"/>
                <w:sz w:val="20"/>
              </w:rPr>
              <w:t>30</w:t>
            </w:r>
          </w:p>
        </w:tc>
        <w:tc>
          <w:tcPr>
            <w:tcW w:w="866" w:type="dxa"/>
          </w:tcPr>
          <w:p>
            <w:pPr>
              <w:pStyle w:val="14"/>
              <w:spacing w:before="27"/>
              <w:ind w:left="87" w:right="75"/>
              <w:rPr>
                <w:rFonts w:ascii="Times New Roman"/>
                <w:sz w:val="20"/>
              </w:rPr>
            </w:pPr>
            <w:r>
              <w:rPr>
                <w:rFonts w:ascii="Times New Roman"/>
                <w:sz w:val="20"/>
              </w:rPr>
              <w:t>2.4163</w:t>
            </w:r>
          </w:p>
        </w:tc>
        <w:tc>
          <w:tcPr>
            <w:tcW w:w="1463" w:type="dxa"/>
          </w:tcPr>
          <w:p>
            <w:pPr>
              <w:pStyle w:val="14"/>
              <w:spacing w:before="27"/>
              <w:ind w:left="535" w:right="527"/>
              <w:rPr>
                <w:rFonts w:ascii="Times New Roman"/>
                <w:sz w:val="20"/>
              </w:rPr>
            </w:pPr>
            <w:r>
              <w:rPr>
                <w:rFonts w:ascii="Times New Roman"/>
                <w:sz w:val="20"/>
              </w:rPr>
              <w:t>0.08</w:t>
            </w:r>
          </w:p>
        </w:tc>
        <w:tc>
          <w:tcPr>
            <w:tcW w:w="1465" w:type="dxa"/>
          </w:tcPr>
          <w:p>
            <w:pPr>
              <w:pStyle w:val="14"/>
              <w:spacing w:before="27"/>
              <w:ind w:left="386" w:right="375"/>
              <w:rPr>
                <w:rFonts w:ascii="Times New Roman"/>
                <w:sz w:val="20"/>
              </w:rPr>
            </w:pPr>
            <w:r>
              <w:rPr>
                <w:rFonts w:ascii="Times New Roman"/>
                <w:sz w:val="20"/>
              </w:rPr>
              <w:t>2.5319</w:t>
            </w:r>
          </w:p>
        </w:tc>
        <w:tc>
          <w:tcPr>
            <w:tcW w:w="1458" w:type="dxa"/>
            <w:vMerge w:val="restart"/>
          </w:tcPr>
          <w:p>
            <w:pPr>
              <w:pStyle w:val="14"/>
              <w:jc w:val="left"/>
              <w:rPr>
                <w:rFonts w:ascii="仿宋"/>
                <w:b/>
                <w:sz w:val="22"/>
              </w:rPr>
            </w:pPr>
          </w:p>
          <w:p>
            <w:pPr>
              <w:pStyle w:val="14"/>
              <w:spacing w:before="10"/>
              <w:jc w:val="left"/>
              <w:rPr>
                <w:rFonts w:ascii="仿宋"/>
                <w:b/>
                <w:sz w:val="25"/>
              </w:rPr>
            </w:pPr>
          </w:p>
          <w:p>
            <w:pPr>
              <w:pStyle w:val="14"/>
              <w:spacing w:before="1"/>
              <w:ind w:left="403"/>
              <w:jc w:val="left"/>
              <w:rPr>
                <w:rFonts w:ascii="Times New Roman"/>
                <w:sz w:val="20"/>
              </w:rPr>
            </w:pPr>
            <w:r>
              <w:rPr>
                <w:rFonts w:ascii="Times New Roman"/>
                <w:sz w:val="20"/>
              </w:rPr>
              <w:t>12.6596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664" w:type="dxa"/>
            <w:vMerge w:val="continue"/>
            <w:tcBorders>
              <w:top w:val="nil"/>
            </w:tcBorders>
          </w:tcPr>
          <w:p>
            <w:pPr>
              <w:rPr>
                <w:sz w:val="2"/>
                <w:szCs w:val="2"/>
              </w:rPr>
            </w:pPr>
          </w:p>
        </w:tc>
        <w:tc>
          <w:tcPr>
            <w:tcW w:w="953" w:type="dxa"/>
            <w:vMerge w:val="continue"/>
            <w:tcBorders>
              <w:top w:val="nil"/>
            </w:tcBorders>
          </w:tcPr>
          <w:p>
            <w:pPr>
              <w:rPr>
                <w:sz w:val="2"/>
                <w:szCs w:val="2"/>
              </w:rPr>
            </w:pPr>
          </w:p>
        </w:tc>
        <w:tc>
          <w:tcPr>
            <w:tcW w:w="822" w:type="dxa"/>
          </w:tcPr>
          <w:p>
            <w:pPr>
              <w:pStyle w:val="14"/>
              <w:spacing w:before="27"/>
              <w:ind w:left="151" w:right="144"/>
              <w:rPr>
                <w:rFonts w:ascii="Times New Roman"/>
                <w:sz w:val="20"/>
              </w:rPr>
            </w:pPr>
            <w:r>
              <w:rPr>
                <w:rFonts w:ascii="Times New Roman"/>
                <w:sz w:val="20"/>
              </w:rPr>
              <w:t>2027</w:t>
            </w:r>
          </w:p>
        </w:tc>
        <w:tc>
          <w:tcPr>
            <w:tcW w:w="837" w:type="dxa"/>
          </w:tcPr>
          <w:p>
            <w:pPr>
              <w:pStyle w:val="14"/>
              <w:spacing w:before="27"/>
              <w:ind w:left="232" w:right="226"/>
              <w:rPr>
                <w:rFonts w:ascii="Times New Roman"/>
                <w:sz w:val="20"/>
              </w:rPr>
            </w:pPr>
            <w:r>
              <w:rPr>
                <w:rFonts w:ascii="Times New Roman"/>
                <w:sz w:val="20"/>
              </w:rPr>
              <w:t>30</w:t>
            </w:r>
          </w:p>
        </w:tc>
        <w:tc>
          <w:tcPr>
            <w:tcW w:w="866" w:type="dxa"/>
          </w:tcPr>
          <w:p>
            <w:pPr>
              <w:pStyle w:val="14"/>
              <w:spacing w:before="27"/>
              <w:ind w:left="87" w:right="75"/>
              <w:rPr>
                <w:rFonts w:ascii="Times New Roman"/>
                <w:sz w:val="20"/>
              </w:rPr>
            </w:pPr>
            <w:r>
              <w:rPr>
                <w:rFonts w:ascii="Times New Roman"/>
                <w:sz w:val="20"/>
              </w:rPr>
              <w:t>2.4646</w:t>
            </w:r>
          </w:p>
        </w:tc>
        <w:tc>
          <w:tcPr>
            <w:tcW w:w="1463" w:type="dxa"/>
          </w:tcPr>
          <w:p>
            <w:pPr>
              <w:pStyle w:val="14"/>
              <w:spacing w:before="27"/>
              <w:ind w:left="535" w:right="527"/>
              <w:rPr>
                <w:rFonts w:ascii="Times New Roman"/>
                <w:sz w:val="20"/>
              </w:rPr>
            </w:pPr>
            <w:r>
              <w:rPr>
                <w:rFonts w:ascii="Times New Roman"/>
                <w:sz w:val="20"/>
              </w:rPr>
              <w:t>0.08</w:t>
            </w:r>
          </w:p>
        </w:tc>
        <w:tc>
          <w:tcPr>
            <w:tcW w:w="1465" w:type="dxa"/>
          </w:tcPr>
          <w:p>
            <w:pPr>
              <w:pStyle w:val="14"/>
              <w:spacing w:before="27"/>
              <w:ind w:left="386" w:right="375"/>
              <w:rPr>
                <w:rFonts w:ascii="Times New Roman"/>
                <w:sz w:val="20"/>
              </w:rPr>
            </w:pPr>
            <w:r>
              <w:rPr>
                <w:rFonts w:ascii="Times New Roman"/>
                <w:sz w:val="20"/>
              </w:rPr>
              <w:t>2.5319</w:t>
            </w:r>
          </w:p>
        </w:tc>
        <w:tc>
          <w:tcPr>
            <w:tcW w:w="145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64" w:type="dxa"/>
            <w:vMerge w:val="continue"/>
            <w:tcBorders>
              <w:top w:val="nil"/>
            </w:tcBorders>
          </w:tcPr>
          <w:p>
            <w:pPr>
              <w:rPr>
                <w:sz w:val="2"/>
                <w:szCs w:val="2"/>
              </w:rPr>
            </w:pPr>
          </w:p>
        </w:tc>
        <w:tc>
          <w:tcPr>
            <w:tcW w:w="953" w:type="dxa"/>
            <w:vMerge w:val="continue"/>
            <w:tcBorders>
              <w:top w:val="nil"/>
            </w:tcBorders>
          </w:tcPr>
          <w:p>
            <w:pPr>
              <w:rPr>
                <w:sz w:val="2"/>
                <w:szCs w:val="2"/>
              </w:rPr>
            </w:pPr>
          </w:p>
        </w:tc>
        <w:tc>
          <w:tcPr>
            <w:tcW w:w="822" w:type="dxa"/>
          </w:tcPr>
          <w:p>
            <w:pPr>
              <w:pStyle w:val="14"/>
              <w:spacing w:before="27"/>
              <w:ind w:left="151" w:right="144"/>
              <w:rPr>
                <w:rFonts w:ascii="Times New Roman"/>
                <w:sz w:val="20"/>
              </w:rPr>
            </w:pPr>
            <w:r>
              <w:rPr>
                <w:rFonts w:ascii="Times New Roman"/>
                <w:sz w:val="20"/>
              </w:rPr>
              <w:t>2028</w:t>
            </w:r>
          </w:p>
        </w:tc>
        <w:tc>
          <w:tcPr>
            <w:tcW w:w="837" w:type="dxa"/>
          </w:tcPr>
          <w:p>
            <w:pPr>
              <w:pStyle w:val="14"/>
              <w:spacing w:before="27"/>
              <w:ind w:left="232" w:right="226"/>
              <w:rPr>
                <w:rFonts w:ascii="Times New Roman"/>
                <w:sz w:val="20"/>
              </w:rPr>
            </w:pPr>
            <w:r>
              <w:rPr>
                <w:rFonts w:ascii="Times New Roman"/>
                <w:sz w:val="20"/>
              </w:rPr>
              <w:t>30</w:t>
            </w:r>
          </w:p>
        </w:tc>
        <w:tc>
          <w:tcPr>
            <w:tcW w:w="866" w:type="dxa"/>
          </w:tcPr>
          <w:p>
            <w:pPr>
              <w:pStyle w:val="14"/>
              <w:spacing w:before="27"/>
              <w:ind w:left="87" w:right="75"/>
              <w:rPr>
                <w:rFonts w:ascii="Times New Roman"/>
                <w:sz w:val="20"/>
              </w:rPr>
            </w:pPr>
            <w:r>
              <w:rPr>
                <w:rFonts w:ascii="Times New Roman"/>
                <w:sz w:val="20"/>
              </w:rPr>
              <w:t>2.5139</w:t>
            </w:r>
          </w:p>
        </w:tc>
        <w:tc>
          <w:tcPr>
            <w:tcW w:w="1463" w:type="dxa"/>
          </w:tcPr>
          <w:p>
            <w:pPr>
              <w:pStyle w:val="14"/>
              <w:spacing w:before="27"/>
              <w:ind w:left="535" w:right="527"/>
              <w:rPr>
                <w:rFonts w:ascii="Times New Roman"/>
                <w:sz w:val="20"/>
              </w:rPr>
            </w:pPr>
            <w:r>
              <w:rPr>
                <w:rFonts w:ascii="Times New Roman"/>
                <w:sz w:val="20"/>
              </w:rPr>
              <w:t>0.08</w:t>
            </w:r>
          </w:p>
        </w:tc>
        <w:tc>
          <w:tcPr>
            <w:tcW w:w="1465" w:type="dxa"/>
          </w:tcPr>
          <w:p>
            <w:pPr>
              <w:pStyle w:val="14"/>
              <w:spacing w:before="27"/>
              <w:ind w:left="386" w:right="375"/>
              <w:rPr>
                <w:rFonts w:ascii="Times New Roman"/>
                <w:sz w:val="20"/>
              </w:rPr>
            </w:pPr>
            <w:r>
              <w:rPr>
                <w:rFonts w:ascii="Times New Roman"/>
                <w:sz w:val="20"/>
              </w:rPr>
              <w:t>2.5319</w:t>
            </w:r>
          </w:p>
        </w:tc>
        <w:tc>
          <w:tcPr>
            <w:tcW w:w="145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664" w:type="dxa"/>
            <w:vMerge w:val="continue"/>
            <w:tcBorders>
              <w:top w:val="nil"/>
            </w:tcBorders>
          </w:tcPr>
          <w:p>
            <w:pPr>
              <w:rPr>
                <w:sz w:val="2"/>
                <w:szCs w:val="2"/>
              </w:rPr>
            </w:pPr>
          </w:p>
        </w:tc>
        <w:tc>
          <w:tcPr>
            <w:tcW w:w="953" w:type="dxa"/>
            <w:vMerge w:val="continue"/>
            <w:tcBorders>
              <w:top w:val="nil"/>
            </w:tcBorders>
          </w:tcPr>
          <w:p>
            <w:pPr>
              <w:rPr>
                <w:sz w:val="2"/>
                <w:szCs w:val="2"/>
              </w:rPr>
            </w:pPr>
          </w:p>
        </w:tc>
        <w:tc>
          <w:tcPr>
            <w:tcW w:w="822" w:type="dxa"/>
          </w:tcPr>
          <w:p>
            <w:pPr>
              <w:pStyle w:val="14"/>
              <w:spacing w:before="27"/>
              <w:ind w:left="151" w:right="144"/>
              <w:rPr>
                <w:rFonts w:ascii="Times New Roman"/>
                <w:sz w:val="20"/>
              </w:rPr>
            </w:pPr>
            <w:r>
              <w:rPr>
                <w:rFonts w:ascii="Times New Roman"/>
                <w:sz w:val="20"/>
              </w:rPr>
              <w:t>2029</w:t>
            </w:r>
          </w:p>
        </w:tc>
        <w:tc>
          <w:tcPr>
            <w:tcW w:w="837" w:type="dxa"/>
          </w:tcPr>
          <w:p>
            <w:pPr>
              <w:pStyle w:val="14"/>
              <w:spacing w:before="27"/>
              <w:ind w:left="232" w:right="226"/>
              <w:rPr>
                <w:rFonts w:ascii="Times New Roman"/>
                <w:sz w:val="20"/>
              </w:rPr>
            </w:pPr>
            <w:r>
              <w:rPr>
                <w:rFonts w:ascii="Times New Roman"/>
                <w:sz w:val="20"/>
              </w:rPr>
              <w:t>30</w:t>
            </w:r>
          </w:p>
        </w:tc>
        <w:tc>
          <w:tcPr>
            <w:tcW w:w="866" w:type="dxa"/>
          </w:tcPr>
          <w:p>
            <w:pPr>
              <w:pStyle w:val="14"/>
              <w:spacing w:before="27"/>
              <w:ind w:left="87" w:right="75"/>
              <w:rPr>
                <w:rFonts w:ascii="Times New Roman"/>
                <w:sz w:val="20"/>
              </w:rPr>
            </w:pPr>
            <w:r>
              <w:rPr>
                <w:rFonts w:ascii="Times New Roman"/>
                <w:sz w:val="20"/>
              </w:rPr>
              <w:t>2.5642</w:t>
            </w:r>
          </w:p>
        </w:tc>
        <w:tc>
          <w:tcPr>
            <w:tcW w:w="1463" w:type="dxa"/>
          </w:tcPr>
          <w:p>
            <w:pPr>
              <w:pStyle w:val="14"/>
              <w:spacing w:before="27"/>
              <w:ind w:left="535" w:right="527"/>
              <w:rPr>
                <w:rFonts w:ascii="Times New Roman"/>
                <w:sz w:val="20"/>
              </w:rPr>
            </w:pPr>
            <w:r>
              <w:rPr>
                <w:rFonts w:ascii="Times New Roman"/>
                <w:sz w:val="20"/>
              </w:rPr>
              <w:t>0.08</w:t>
            </w:r>
          </w:p>
        </w:tc>
        <w:tc>
          <w:tcPr>
            <w:tcW w:w="1465" w:type="dxa"/>
          </w:tcPr>
          <w:p>
            <w:pPr>
              <w:pStyle w:val="14"/>
              <w:spacing w:before="27"/>
              <w:ind w:left="386" w:right="375"/>
              <w:rPr>
                <w:rFonts w:ascii="Times New Roman"/>
                <w:sz w:val="20"/>
              </w:rPr>
            </w:pPr>
            <w:r>
              <w:rPr>
                <w:rFonts w:ascii="Times New Roman"/>
                <w:sz w:val="20"/>
              </w:rPr>
              <w:t>2.5319</w:t>
            </w:r>
          </w:p>
        </w:tc>
        <w:tc>
          <w:tcPr>
            <w:tcW w:w="145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64" w:type="dxa"/>
            <w:vMerge w:val="continue"/>
            <w:tcBorders>
              <w:top w:val="nil"/>
            </w:tcBorders>
          </w:tcPr>
          <w:p>
            <w:pPr>
              <w:rPr>
                <w:sz w:val="2"/>
                <w:szCs w:val="2"/>
              </w:rPr>
            </w:pPr>
          </w:p>
        </w:tc>
        <w:tc>
          <w:tcPr>
            <w:tcW w:w="953" w:type="dxa"/>
            <w:vMerge w:val="continue"/>
            <w:tcBorders>
              <w:top w:val="nil"/>
            </w:tcBorders>
          </w:tcPr>
          <w:p>
            <w:pPr>
              <w:rPr>
                <w:sz w:val="2"/>
                <w:szCs w:val="2"/>
              </w:rPr>
            </w:pPr>
          </w:p>
        </w:tc>
        <w:tc>
          <w:tcPr>
            <w:tcW w:w="822" w:type="dxa"/>
          </w:tcPr>
          <w:p>
            <w:pPr>
              <w:pStyle w:val="14"/>
              <w:spacing w:before="26"/>
              <w:ind w:left="151" w:right="144"/>
              <w:rPr>
                <w:rFonts w:ascii="Times New Roman"/>
                <w:sz w:val="20"/>
              </w:rPr>
            </w:pPr>
            <w:r>
              <w:rPr>
                <w:rFonts w:ascii="Times New Roman"/>
                <w:sz w:val="20"/>
              </w:rPr>
              <w:t>2030</w:t>
            </w:r>
          </w:p>
        </w:tc>
        <w:tc>
          <w:tcPr>
            <w:tcW w:w="837" w:type="dxa"/>
          </w:tcPr>
          <w:p>
            <w:pPr>
              <w:pStyle w:val="14"/>
              <w:spacing w:before="26"/>
              <w:ind w:left="232" w:right="226"/>
              <w:rPr>
                <w:rFonts w:ascii="Times New Roman"/>
                <w:sz w:val="20"/>
              </w:rPr>
            </w:pPr>
            <w:r>
              <w:rPr>
                <w:rFonts w:ascii="Times New Roman"/>
                <w:sz w:val="20"/>
              </w:rPr>
              <w:t>30</w:t>
            </w:r>
          </w:p>
        </w:tc>
        <w:tc>
          <w:tcPr>
            <w:tcW w:w="866" w:type="dxa"/>
          </w:tcPr>
          <w:p>
            <w:pPr>
              <w:pStyle w:val="14"/>
              <w:spacing w:before="26"/>
              <w:ind w:left="87" w:right="75"/>
              <w:rPr>
                <w:rFonts w:ascii="Times New Roman"/>
                <w:sz w:val="20"/>
              </w:rPr>
            </w:pPr>
            <w:r>
              <w:rPr>
                <w:rFonts w:ascii="Times New Roman"/>
                <w:sz w:val="20"/>
              </w:rPr>
              <w:t>2.6155</w:t>
            </w:r>
          </w:p>
        </w:tc>
        <w:tc>
          <w:tcPr>
            <w:tcW w:w="1463" w:type="dxa"/>
          </w:tcPr>
          <w:p>
            <w:pPr>
              <w:pStyle w:val="14"/>
              <w:spacing w:before="26"/>
              <w:ind w:left="535" w:right="527"/>
              <w:rPr>
                <w:rFonts w:ascii="Times New Roman"/>
                <w:sz w:val="20"/>
              </w:rPr>
            </w:pPr>
            <w:r>
              <w:rPr>
                <w:rFonts w:ascii="Times New Roman"/>
                <w:sz w:val="20"/>
              </w:rPr>
              <w:t>0.08</w:t>
            </w:r>
          </w:p>
        </w:tc>
        <w:tc>
          <w:tcPr>
            <w:tcW w:w="1465" w:type="dxa"/>
          </w:tcPr>
          <w:p>
            <w:pPr>
              <w:pStyle w:val="14"/>
              <w:spacing w:before="26"/>
              <w:ind w:left="386" w:right="375"/>
              <w:rPr>
                <w:rFonts w:ascii="Times New Roman"/>
                <w:sz w:val="20"/>
              </w:rPr>
            </w:pPr>
            <w:r>
              <w:rPr>
                <w:rFonts w:ascii="Times New Roman"/>
                <w:sz w:val="20"/>
              </w:rPr>
              <w:t>2.5319</w:t>
            </w:r>
          </w:p>
        </w:tc>
        <w:tc>
          <w:tcPr>
            <w:tcW w:w="145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64" w:type="dxa"/>
            <w:vMerge w:val="restart"/>
          </w:tcPr>
          <w:p>
            <w:pPr>
              <w:pStyle w:val="14"/>
              <w:jc w:val="left"/>
              <w:rPr>
                <w:rFonts w:ascii="仿宋"/>
                <w:b/>
                <w:sz w:val="20"/>
              </w:rPr>
            </w:pPr>
          </w:p>
          <w:p>
            <w:pPr>
              <w:pStyle w:val="14"/>
              <w:spacing w:before="9"/>
              <w:jc w:val="left"/>
              <w:rPr>
                <w:rFonts w:ascii="仿宋"/>
                <w:b/>
                <w:sz w:val="26"/>
              </w:rPr>
            </w:pPr>
          </w:p>
          <w:p>
            <w:pPr>
              <w:pStyle w:val="14"/>
              <w:ind w:left="6"/>
              <w:rPr>
                <w:sz w:val="20"/>
              </w:rPr>
            </w:pPr>
            <w:r>
              <w:rPr>
                <w:w w:val="99"/>
                <w:sz w:val="20"/>
              </w:rPr>
              <w:t>三</w:t>
            </w:r>
          </w:p>
        </w:tc>
        <w:tc>
          <w:tcPr>
            <w:tcW w:w="953" w:type="dxa"/>
            <w:vMerge w:val="restart"/>
          </w:tcPr>
          <w:p>
            <w:pPr>
              <w:pStyle w:val="14"/>
              <w:jc w:val="left"/>
              <w:rPr>
                <w:rFonts w:ascii="仿宋"/>
                <w:b/>
                <w:sz w:val="22"/>
              </w:rPr>
            </w:pPr>
          </w:p>
          <w:p>
            <w:pPr>
              <w:pStyle w:val="14"/>
              <w:spacing w:before="9"/>
              <w:jc w:val="left"/>
              <w:rPr>
                <w:rFonts w:ascii="仿宋"/>
                <w:b/>
                <w:sz w:val="25"/>
              </w:rPr>
            </w:pPr>
          </w:p>
          <w:p>
            <w:pPr>
              <w:pStyle w:val="14"/>
              <w:spacing w:before="1"/>
              <w:ind w:left="149"/>
              <w:jc w:val="left"/>
              <w:rPr>
                <w:rFonts w:ascii="Times New Roman"/>
                <w:sz w:val="20"/>
              </w:rPr>
            </w:pPr>
            <w:r>
              <w:rPr>
                <w:rFonts w:ascii="Times New Roman"/>
                <w:sz w:val="20"/>
              </w:rPr>
              <w:t>13.8833</w:t>
            </w:r>
          </w:p>
        </w:tc>
        <w:tc>
          <w:tcPr>
            <w:tcW w:w="822" w:type="dxa"/>
          </w:tcPr>
          <w:p>
            <w:pPr>
              <w:pStyle w:val="14"/>
              <w:spacing w:before="26"/>
              <w:ind w:left="151" w:right="144"/>
              <w:rPr>
                <w:rFonts w:ascii="Times New Roman"/>
                <w:sz w:val="20"/>
              </w:rPr>
            </w:pPr>
            <w:r>
              <w:rPr>
                <w:rFonts w:ascii="Times New Roman"/>
                <w:sz w:val="20"/>
              </w:rPr>
              <w:t>2031</w:t>
            </w:r>
          </w:p>
        </w:tc>
        <w:tc>
          <w:tcPr>
            <w:tcW w:w="837" w:type="dxa"/>
          </w:tcPr>
          <w:p>
            <w:pPr>
              <w:pStyle w:val="14"/>
              <w:spacing w:before="26"/>
              <w:ind w:left="232" w:right="226"/>
              <w:rPr>
                <w:rFonts w:ascii="Times New Roman"/>
                <w:sz w:val="20"/>
              </w:rPr>
            </w:pPr>
            <w:r>
              <w:rPr>
                <w:rFonts w:ascii="Times New Roman"/>
                <w:sz w:val="20"/>
              </w:rPr>
              <w:t>30</w:t>
            </w:r>
          </w:p>
        </w:tc>
        <w:tc>
          <w:tcPr>
            <w:tcW w:w="866" w:type="dxa"/>
          </w:tcPr>
          <w:p>
            <w:pPr>
              <w:pStyle w:val="14"/>
              <w:spacing w:before="26"/>
              <w:ind w:left="87" w:right="75"/>
              <w:rPr>
                <w:rFonts w:ascii="Times New Roman"/>
                <w:sz w:val="20"/>
              </w:rPr>
            </w:pPr>
            <w:r>
              <w:rPr>
                <w:rFonts w:ascii="Times New Roman"/>
                <w:sz w:val="20"/>
              </w:rPr>
              <w:t>2.6678</w:t>
            </w:r>
          </w:p>
        </w:tc>
        <w:tc>
          <w:tcPr>
            <w:tcW w:w="1463" w:type="dxa"/>
          </w:tcPr>
          <w:p>
            <w:pPr>
              <w:pStyle w:val="14"/>
              <w:spacing w:before="26"/>
              <w:ind w:left="535" w:right="527"/>
              <w:rPr>
                <w:rFonts w:ascii="Times New Roman"/>
                <w:sz w:val="20"/>
              </w:rPr>
            </w:pPr>
            <w:r>
              <w:rPr>
                <w:rFonts w:ascii="Times New Roman"/>
                <w:sz w:val="20"/>
              </w:rPr>
              <w:t>0.08</w:t>
            </w:r>
          </w:p>
        </w:tc>
        <w:tc>
          <w:tcPr>
            <w:tcW w:w="1465" w:type="dxa"/>
          </w:tcPr>
          <w:p>
            <w:pPr>
              <w:pStyle w:val="14"/>
              <w:spacing w:before="26"/>
              <w:ind w:left="386" w:right="375"/>
              <w:rPr>
                <w:rFonts w:ascii="Times New Roman"/>
                <w:sz w:val="20"/>
              </w:rPr>
            </w:pPr>
            <w:r>
              <w:rPr>
                <w:rFonts w:ascii="Times New Roman"/>
                <w:sz w:val="20"/>
              </w:rPr>
              <w:t>2.5319</w:t>
            </w:r>
          </w:p>
        </w:tc>
        <w:tc>
          <w:tcPr>
            <w:tcW w:w="1458" w:type="dxa"/>
            <w:vMerge w:val="restart"/>
          </w:tcPr>
          <w:p>
            <w:pPr>
              <w:pStyle w:val="14"/>
              <w:jc w:val="left"/>
              <w:rPr>
                <w:rFonts w:ascii="仿宋"/>
                <w:b/>
                <w:sz w:val="22"/>
              </w:rPr>
            </w:pPr>
          </w:p>
          <w:p>
            <w:pPr>
              <w:pStyle w:val="14"/>
              <w:spacing w:before="9"/>
              <w:jc w:val="left"/>
              <w:rPr>
                <w:rFonts w:ascii="仿宋"/>
                <w:b/>
                <w:sz w:val="25"/>
              </w:rPr>
            </w:pPr>
          </w:p>
          <w:p>
            <w:pPr>
              <w:pStyle w:val="14"/>
              <w:spacing w:before="1"/>
              <w:ind w:left="403"/>
              <w:jc w:val="left"/>
              <w:rPr>
                <w:rFonts w:ascii="Times New Roman"/>
                <w:sz w:val="20"/>
              </w:rPr>
            </w:pPr>
            <w:r>
              <w:rPr>
                <w:rFonts w:ascii="Times New Roman"/>
                <w:sz w:val="20"/>
              </w:rPr>
              <w:t>10.1277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664" w:type="dxa"/>
            <w:vMerge w:val="continue"/>
            <w:tcBorders>
              <w:top w:val="nil"/>
            </w:tcBorders>
          </w:tcPr>
          <w:p>
            <w:pPr>
              <w:rPr>
                <w:sz w:val="2"/>
                <w:szCs w:val="2"/>
              </w:rPr>
            </w:pPr>
          </w:p>
        </w:tc>
        <w:tc>
          <w:tcPr>
            <w:tcW w:w="953" w:type="dxa"/>
            <w:vMerge w:val="continue"/>
            <w:tcBorders>
              <w:top w:val="nil"/>
            </w:tcBorders>
          </w:tcPr>
          <w:p>
            <w:pPr>
              <w:rPr>
                <w:sz w:val="2"/>
                <w:szCs w:val="2"/>
              </w:rPr>
            </w:pPr>
          </w:p>
        </w:tc>
        <w:tc>
          <w:tcPr>
            <w:tcW w:w="822" w:type="dxa"/>
          </w:tcPr>
          <w:p>
            <w:pPr>
              <w:pStyle w:val="14"/>
              <w:spacing w:before="26"/>
              <w:ind w:left="151" w:right="144"/>
              <w:rPr>
                <w:rFonts w:ascii="Times New Roman"/>
                <w:sz w:val="20"/>
              </w:rPr>
            </w:pPr>
            <w:r>
              <w:rPr>
                <w:rFonts w:ascii="Times New Roman"/>
                <w:sz w:val="20"/>
              </w:rPr>
              <w:t>2032</w:t>
            </w:r>
          </w:p>
        </w:tc>
        <w:tc>
          <w:tcPr>
            <w:tcW w:w="837" w:type="dxa"/>
          </w:tcPr>
          <w:p>
            <w:pPr>
              <w:pStyle w:val="14"/>
              <w:spacing w:before="26"/>
              <w:ind w:left="232" w:right="226"/>
              <w:rPr>
                <w:rFonts w:ascii="Times New Roman"/>
                <w:sz w:val="20"/>
              </w:rPr>
            </w:pPr>
            <w:r>
              <w:rPr>
                <w:rFonts w:ascii="Times New Roman"/>
                <w:sz w:val="20"/>
              </w:rPr>
              <w:t>30</w:t>
            </w:r>
          </w:p>
        </w:tc>
        <w:tc>
          <w:tcPr>
            <w:tcW w:w="866" w:type="dxa"/>
          </w:tcPr>
          <w:p>
            <w:pPr>
              <w:pStyle w:val="14"/>
              <w:spacing w:before="26"/>
              <w:ind w:left="87" w:right="75"/>
              <w:rPr>
                <w:rFonts w:ascii="Times New Roman"/>
                <w:sz w:val="20"/>
              </w:rPr>
            </w:pPr>
            <w:r>
              <w:rPr>
                <w:rFonts w:ascii="Times New Roman"/>
                <w:sz w:val="20"/>
              </w:rPr>
              <w:t>2.7212</w:t>
            </w:r>
          </w:p>
        </w:tc>
        <w:tc>
          <w:tcPr>
            <w:tcW w:w="1463" w:type="dxa"/>
          </w:tcPr>
          <w:p>
            <w:pPr>
              <w:pStyle w:val="14"/>
              <w:spacing w:before="26"/>
              <w:ind w:left="535" w:right="527"/>
              <w:rPr>
                <w:rFonts w:ascii="Times New Roman"/>
                <w:sz w:val="20"/>
              </w:rPr>
            </w:pPr>
            <w:r>
              <w:rPr>
                <w:rFonts w:ascii="Times New Roman"/>
                <w:sz w:val="20"/>
              </w:rPr>
              <w:t>0.08</w:t>
            </w:r>
          </w:p>
        </w:tc>
        <w:tc>
          <w:tcPr>
            <w:tcW w:w="1465" w:type="dxa"/>
          </w:tcPr>
          <w:p>
            <w:pPr>
              <w:pStyle w:val="14"/>
              <w:spacing w:before="26"/>
              <w:ind w:left="386" w:right="375"/>
              <w:rPr>
                <w:rFonts w:ascii="Times New Roman"/>
                <w:sz w:val="20"/>
              </w:rPr>
            </w:pPr>
            <w:r>
              <w:rPr>
                <w:rFonts w:ascii="Times New Roman"/>
                <w:sz w:val="20"/>
              </w:rPr>
              <w:t>2.5319</w:t>
            </w:r>
          </w:p>
        </w:tc>
        <w:tc>
          <w:tcPr>
            <w:tcW w:w="145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64" w:type="dxa"/>
            <w:vMerge w:val="continue"/>
            <w:tcBorders>
              <w:top w:val="nil"/>
            </w:tcBorders>
          </w:tcPr>
          <w:p>
            <w:pPr>
              <w:rPr>
                <w:sz w:val="2"/>
                <w:szCs w:val="2"/>
              </w:rPr>
            </w:pPr>
          </w:p>
        </w:tc>
        <w:tc>
          <w:tcPr>
            <w:tcW w:w="953" w:type="dxa"/>
            <w:vMerge w:val="continue"/>
            <w:tcBorders>
              <w:top w:val="nil"/>
            </w:tcBorders>
          </w:tcPr>
          <w:p>
            <w:pPr>
              <w:rPr>
                <w:sz w:val="2"/>
                <w:szCs w:val="2"/>
              </w:rPr>
            </w:pPr>
          </w:p>
        </w:tc>
        <w:tc>
          <w:tcPr>
            <w:tcW w:w="822" w:type="dxa"/>
          </w:tcPr>
          <w:p>
            <w:pPr>
              <w:pStyle w:val="14"/>
              <w:spacing w:before="26"/>
              <w:ind w:left="151" w:right="144"/>
              <w:rPr>
                <w:rFonts w:ascii="Times New Roman"/>
                <w:sz w:val="20"/>
              </w:rPr>
            </w:pPr>
            <w:r>
              <w:rPr>
                <w:rFonts w:ascii="Times New Roman"/>
                <w:sz w:val="20"/>
              </w:rPr>
              <w:t>2033</w:t>
            </w:r>
          </w:p>
        </w:tc>
        <w:tc>
          <w:tcPr>
            <w:tcW w:w="837" w:type="dxa"/>
          </w:tcPr>
          <w:p>
            <w:pPr>
              <w:pStyle w:val="14"/>
              <w:spacing w:before="26"/>
              <w:ind w:left="232" w:right="226"/>
              <w:rPr>
                <w:rFonts w:ascii="Times New Roman"/>
                <w:sz w:val="20"/>
              </w:rPr>
            </w:pPr>
            <w:r>
              <w:rPr>
                <w:rFonts w:ascii="Times New Roman"/>
                <w:sz w:val="20"/>
              </w:rPr>
              <w:t>30</w:t>
            </w:r>
          </w:p>
        </w:tc>
        <w:tc>
          <w:tcPr>
            <w:tcW w:w="866" w:type="dxa"/>
          </w:tcPr>
          <w:p>
            <w:pPr>
              <w:pStyle w:val="14"/>
              <w:spacing w:before="26"/>
              <w:ind w:left="87" w:right="75"/>
              <w:rPr>
                <w:rFonts w:ascii="Times New Roman"/>
                <w:sz w:val="20"/>
              </w:rPr>
            </w:pPr>
            <w:r>
              <w:rPr>
                <w:rFonts w:ascii="Times New Roman"/>
                <w:sz w:val="20"/>
              </w:rPr>
              <w:t>2.7756</w:t>
            </w:r>
          </w:p>
        </w:tc>
        <w:tc>
          <w:tcPr>
            <w:tcW w:w="1463" w:type="dxa"/>
          </w:tcPr>
          <w:p>
            <w:pPr>
              <w:pStyle w:val="14"/>
              <w:spacing w:before="26"/>
              <w:ind w:left="535" w:right="527"/>
              <w:rPr>
                <w:rFonts w:ascii="Times New Roman"/>
                <w:sz w:val="20"/>
              </w:rPr>
            </w:pPr>
            <w:r>
              <w:rPr>
                <w:rFonts w:ascii="Times New Roman"/>
                <w:sz w:val="20"/>
              </w:rPr>
              <w:t>0.08</w:t>
            </w:r>
          </w:p>
        </w:tc>
        <w:tc>
          <w:tcPr>
            <w:tcW w:w="1465" w:type="dxa"/>
          </w:tcPr>
          <w:p>
            <w:pPr>
              <w:pStyle w:val="14"/>
              <w:spacing w:before="26"/>
              <w:ind w:left="386" w:right="375"/>
              <w:rPr>
                <w:rFonts w:ascii="Times New Roman"/>
                <w:sz w:val="20"/>
              </w:rPr>
            </w:pPr>
            <w:r>
              <w:rPr>
                <w:rFonts w:ascii="Times New Roman"/>
                <w:sz w:val="20"/>
              </w:rPr>
              <w:t>2.5319</w:t>
            </w:r>
          </w:p>
        </w:tc>
        <w:tc>
          <w:tcPr>
            <w:tcW w:w="145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64" w:type="dxa"/>
            <w:vMerge w:val="continue"/>
            <w:tcBorders>
              <w:top w:val="nil"/>
            </w:tcBorders>
          </w:tcPr>
          <w:p>
            <w:pPr>
              <w:rPr>
                <w:sz w:val="2"/>
                <w:szCs w:val="2"/>
              </w:rPr>
            </w:pPr>
          </w:p>
        </w:tc>
        <w:tc>
          <w:tcPr>
            <w:tcW w:w="953" w:type="dxa"/>
            <w:vMerge w:val="continue"/>
            <w:tcBorders>
              <w:top w:val="nil"/>
            </w:tcBorders>
          </w:tcPr>
          <w:p>
            <w:pPr>
              <w:rPr>
                <w:sz w:val="2"/>
                <w:szCs w:val="2"/>
              </w:rPr>
            </w:pPr>
          </w:p>
        </w:tc>
        <w:tc>
          <w:tcPr>
            <w:tcW w:w="822" w:type="dxa"/>
          </w:tcPr>
          <w:p>
            <w:pPr>
              <w:pStyle w:val="14"/>
              <w:spacing w:before="26"/>
              <w:ind w:left="151" w:right="144"/>
              <w:rPr>
                <w:rFonts w:ascii="Times New Roman"/>
                <w:sz w:val="20"/>
              </w:rPr>
            </w:pPr>
            <w:r>
              <w:rPr>
                <w:rFonts w:ascii="Times New Roman"/>
                <w:sz w:val="20"/>
              </w:rPr>
              <w:t>2034</w:t>
            </w:r>
          </w:p>
        </w:tc>
        <w:tc>
          <w:tcPr>
            <w:tcW w:w="837" w:type="dxa"/>
          </w:tcPr>
          <w:p>
            <w:pPr>
              <w:pStyle w:val="14"/>
              <w:spacing w:before="26"/>
              <w:ind w:left="232" w:right="226"/>
              <w:rPr>
                <w:rFonts w:ascii="Times New Roman"/>
                <w:sz w:val="20"/>
              </w:rPr>
            </w:pPr>
            <w:r>
              <w:rPr>
                <w:rFonts w:ascii="Times New Roman"/>
                <w:sz w:val="20"/>
              </w:rPr>
              <w:t>30</w:t>
            </w:r>
          </w:p>
        </w:tc>
        <w:tc>
          <w:tcPr>
            <w:tcW w:w="866" w:type="dxa"/>
          </w:tcPr>
          <w:p>
            <w:pPr>
              <w:pStyle w:val="14"/>
              <w:spacing w:before="26"/>
              <w:ind w:left="87" w:right="75"/>
              <w:rPr>
                <w:rFonts w:ascii="Times New Roman"/>
                <w:sz w:val="20"/>
              </w:rPr>
            </w:pPr>
            <w:r>
              <w:rPr>
                <w:rFonts w:ascii="Times New Roman"/>
                <w:sz w:val="20"/>
              </w:rPr>
              <w:t>2.8311</w:t>
            </w:r>
          </w:p>
        </w:tc>
        <w:tc>
          <w:tcPr>
            <w:tcW w:w="1463" w:type="dxa"/>
          </w:tcPr>
          <w:p>
            <w:pPr>
              <w:pStyle w:val="14"/>
              <w:spacing w:before="26"/>
              <w:ind w:left="535" w:right="527"/>
              <w:rPr>
                <w:rFonts w:ascii="Times New Roman"/>
                <w:sz w:val="20"/>
              </w:rPr>
            </w:pPr>
            <w:r>
              <w:rPr>
                <w:rFonts w:ascii="Times New Roman"/>
                <w:sz w:val="20"/>
              </w:rPr>
              <w:t>0.08</w:t>
            </w:r>
          </w:p>
        </w:tc>
        <w:tc>
          <w:tcPr>
            <w:tcW w:w="1465" w:type="dxa"/>
          </w:tcPr>
          <w:p>
            <w:pPr>
              <w:pStyle w:val="14"/>
              <w:spacing w:before="26"/>
              <w:ind w:left="386" w:right="375"/>
              <w:rPr>
                <w:rFonts w:ascii="Times New Roman"/>
                <w:sz w:val="20"/>
              </w:rPr>
            </w:pPr>
            <w:r>
              <w:rPr>
                <w:rFonts w:ascii="Times New Roman"/>
                <w:sz w:val="20"/>
              </w:rPr>
              <w:t>2.5319</w:t>
            </w:r>
          </w:p>
        </w:tc>
        <w:tc>
          <w:tcPr>
            <w:tcW w:w="145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664" w:type="dxa"/>
            <w:vMerge w:val="continue"/>
            <w:tcBorders>
              <w:top w:val="nil"/>
            </w:tcBorders>
          </w:tcPr>
          <w:p>
            <w:pPr>
              <w:rPr>
                <w:sz w:val="2"/>
                <w:szCs w:val="2"/>
              </w:rPr>
            </w:pPr>
          </w:p>
        </w:tc>
        <w:tc>
          <w:tcPr>
            <w:tcW w:w="953" w:type="dxa"/>
            <w:vMerge w:val="continue"/>
            <w:tcBorders>
              <w:top w:val="nil"/>
            </w:tcBorders>
          </w:tcPr>
          <w:p>
            <w:pPr>
              <w:rPr>
                <w:sz w:val="2"/>
                <w:szCs w:val="2"/>
              </w:rPr>
            </w:pPr>
          </w:p>
        </w:tc>
        <w:tc>
          <w:tcPr>
            <w:tcW w:w="822" w:type="dxa"/>
          </w:tcPr>
          <w:p>
            <w:pPr>
              <w:pStyle w:val="14"/>
              <w:spacing w:before="25"/>
              <w:ind w:left="151" w:right="144"/>
              <w:rPr>
                <w:rFonts w:ascii="Times New Roman"/>
                <w:sz w:val="20"/>
              </w:rPr>
            </w:pPr>
            <w:r>
              <w:rPr>
                <w:rFonts w:ascii="Times New Roman"/>
                <w:sz w:val="20"/>
              </w:rPr>
              <w:t>2035</w:t>
            </w:r>
          </w:p>
        </w:tc>
        <w:tc>
          <w:tcPr>
            <w:tcW w:w="837" w:type="dxa"/>
          </w:tcPr>
          <w:p>
            <w:pPr>
              <w:pStyle w:val="14"/>
              <w:spacing w:before="25"/>
              <w:ind w:left="232" w:right="226"/>
              <w:rPr>
                <w:rFonts w:ascii="Times New Roman"/>
                <w:sz w:val="20"/>
              </w:rPr>
            </w:pPr>
            <w:r>
              <w:rPr>
                <w:rFonts w:ascii="Times New Roman"/>
                <w:sz w:val="20"/>
              </w:rPr>
              <w:t>30</w:t>
            </w:r>
          </w:p>
        </w:tc>
        <w:tc>
          <w:tcPr>
            <w:tcW w:w="866" w:type="dxa"/>
          </w:tcPr>
          <w:p>
            <w:pPr>
              <w:pStyle w:val="14"/>
              <w:spacing w:before="25"/>
              <w:ind w:left="87" w:right="75"/>
              <w:rPr>
                <w:rFonts w:ascii="Times New Roman"/>
                <w:sz w:val="20"/>
              </w:rPr>
            </w:pPr>
            <w:r>
              <w:rPr>
                <w:rFonts w:ascii="Times New Roman"/>
                <w:sz w:val="20"/>
              </w:rPr>
              <w:t>2.8877</w:t>
            </w:r>
          </w:p>
        </w:tc>
        <w:tc>
          <w:tcPr>
            <w:tcW w:w="1463" w:type="dxa"/>
          </w:tcPr>
          <w:p>
            <w:pPr>
              <w:pStyle w:val="14"/>
              <w:spacing w:before="25"/>
              <w:ind w:left="6"/>
              <w:rPr>
                <w:rFonts w:ascii="Times New Roman"/>
                <w:sz w:val="20"/>
              </w:rPr>
            </w:pPr>
            <w:r>
              <w:rPr>
                <w:rFonts w:ascii="Times New Roman"/>
                <w:w w:val="99"/>
                <w:sz w:val="20"/>
              </w:rPr>
              <w:t>-</w:t>
            </w:r>
          </w:p>
        </w:tc>
        <w:tc>
          <w:tcPr>
            <w:tcW w:w="1465" w:type="dxa"/>
          </w:tcPr>
          <w:p>
            <w:pPr>
              <w:pStyle w:val="14"/>
              <w:spacing w:before="25"/>
              <w:ind w:left="6"/>
              <w:rPr>
                <w:rFonts w:ascii="Times New Roman"/>
                <w:sz w:val="20"/>
              </w:rPr>
            </w:pPr>
            <w:r>
              <w:rPr>
                <w:rFonts w:ascii="Times New Roman"/>
                <w:w w:val="99"/>
                <w:sz w:val="20"/>
              </w:rPr>
              <w:t>-</w:t>
            </w:r>
          </w:p>
        </w:tc>
        <w:tc>
          <w:tcPr>
            <w:tcW w:w="145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64" w:type="dxa"/>
            <w:vMerge w:val="restart"/>
          </w:tcPr>
          <w:p>
            <w:pPr>
              <w:pStyle w:val="14"/>
              <w:jc w:val="left"/>
              <w:rPr>
                <w:rFonts w:ascii="仿宋"/>
                <w:b/>
                <w:sz w:val="20"/>
              </w:rPr>
            </w:pPr>
          </w:p>
          <w:p>
            <w:pPr>
              <w:pStyle w:val="14"/>
              <w:spacing w:before="5"/>
              <w:jc w:val="left"/>
              <w:rPr>
                <w:rFonts w:ascii="仿宋"/>
                <w:b/>
                <w:sz w:val="15"/>
              </w:rPr>
            </w:pPr>
          </w:p>
          <w:p>
            <w:pPr>
              <w:pStyle w:val="14"/>
              <w:ind w:left="6"/>
              <w:rPr>
                <w:sz w:val="20"/>
              </w:rPr>
            </w:pPr>
            <w:r>
              <w:rPr>
                <w:w w:val="99"/>
                <w:sz w:val="20"/>
              </w:rPr>
              <w:t>四</w:t>
            </w:r>
          </w:p>
        </w:tc>
        <w:tc>
          <w:tcPr>
            <w:tcW w:w="953" w:type="dxa"/>
            <w:vMerge w:val="restart"/>
          </w:tcPr>
          <w:p>
            <w:pPr>
              <w:pStyle w:val="14"/>
              <w:jc w:val="left"/>
              <w:rPr>
                <w:rFonts w:ascii="仿宋"/>
                <w:b/>
                <w:sz w:val="22"/>
              </w:rPr>
            </w:pPr>
          </w:p>
          <w:p>
            <w:pPr>
              <w:pStyle w:val="14"/>
              <w:spacing w:before="185"/>
              <w:ind w:left="200"/>
              <w:jc w:val="left"/>
              <w:rPr>
                <w:rFonts w:ascii="Times New Roman"/>
                <w:sz w:val="20"/>
              </w:rPr>
            </w:pPr>
            <w:r>
              <w:rPr>
                <w:rFonts w:ascii="Times New Roman"/>
                <w:sz w:val="20"/>
              </w:rPr>
              <w:t>2.7030</w:t>
            </w:r>
          </w:p>
        </w:tc>
        <w:tc>
          <w:tcPr>
            <w:tcW w:w="822" w:type="dxa"/>
          </w:tcPr>
          <w:p>
            <w:pPr>
              <w:pStyle w:val="14"/>
              <w:spacing w:before="25"/>
              <w:ind w:left="151" w:right="144"/>
              <w:rPr>
                <w:rFonts w:ascii="Times New Roman"/>
                <w:sz w:val="20"/>
              </w:rPr>
            </w:pPr>
            <w:r>
              <w:rPr>
                <w:rFonts w:ascii="Times New Roman"/>
                <w:sz w:val="20"/>
              </w:rPr>
              <w:t>2036</w:t>
            </w:r>
          </w:p>
        </w:tc>
        <w:tc>
          <w:tcPr>
            <w:tcW w:w="837" w:type="dxa"/>
          </w:tcPr>
          <w:p>
            <w:pPr>
              <w:pStyle w:val="14"/>
              <w:spacing w:before="25"/>
              <w:ind w:left="232" w:right="226"/>
              <w:rPr>
                <w:rFonts w:ascii="Times New Roman"/>
                <w:sz w:val="20"/>
              </w:rPr>
            </w:pPr>
            <w:r>
              <w:rPr>
                <w:rFonts w:ascii="Times New Roman"/>
                <w:sz w:val="20"/>
              </w:rPr>
              <w:t>12</w:t>
            </w:r>
          </w:p>
        </w:tc>
        <w:tc>
          <w:tcPr>
            <w:tcW w:w="866" w:type="dxa"/>
          </w:tcPr>
          <w:p>
            <w:pPr>
              <w:pStyle w:val="14"/>
              <w:spacing w:before="25"/>
              <w:ind w:left="87" w:right="75"/>
              <w:rPr>
                <w:rFonts w:ascii="Times New Roman"/>
                <w:sz w:val="20"/>
              </w:rPr>
            </w:pPr>
            <w:r>
              <w:rPr>
                <w:rFonts w:ascii="Times New Roman"/>
                <w:sz w:val="20"/>
              </w:rPr>
              <w:t>1.4748</w:t>
            </w:r>
          </w:p>
        </w:tc>
        <w:tc>
          <w:tcPr>
            <w:tcW w:w="1463" w:type="dxa"/>
          </w:tcPr>
          <w:p>
            <w:pPr>
              <w:pStyle w:val="14"/>
              <w:spacing w:before="25"/>
              <w:ind w:left="6"/>
              <w:rPr>
                <w:rFonts w:ascii="Times New Roman"/>
                <w:sz w:val="20"/>
              </w:rPr>
            </w:pPr>
            <w:r>
              <w:rPr>
                <w:rFonts w:ascii="Times New Roman"/>
                <w:w w:val="99"/>
                <w:sz w:val="20"/>
              </w:rPr>
              <w:t>-</w:t>
            </w:r>
          </w:p>
        </w:tc>
        <w:tc>
          <w:tcPr>
            <w:tcW w:w="1465" w:type="dxa"/>
          </w:tcPr>
          <w:p>
            <w:pPr>
              <w:pStyle w:val="14"/>
              <w:spacing w:before="25"/>
              <w:ind w:left="6"/>
              <w:rPr>
                <w:rFonts w:ascii="Times New Roman"/>
                <w:sz w:val="20"/>
              </w:rPr>
            </w:pPr>
            <w:r>
              <w:rPr>
                <w:rFonts w:ascii="Times New Roman"/>
                <w:w w:val="99"/>
                <w:sz w:val="20"/>
              </w:rPr>
              <w:t>-</w:t>
            </w:r>
          </w:p>
        </w:tc>
        <w:tc>
          <w:tcPr>
            <w:tcW w:w="1458" w:type="dxa"/>
            <w:vMerge w:val="restart"/>
          </w:tcPr>
          <w:p>
            <w:pPr>
              <w:pStyle w:val="14"/>
              <w:jc w:val="left"/>
              <w:rPr>
                <w:rFonts w:ascii="仿宋"/>
                <w:b/>
                <w:sz w:val="22"/>
              </w:rPr>
            </w:pPr>
          </w:p>
          <w:p>
            <w:pPr>
              <w:pStyle w:val="14"/>
              <w:spacing w:before="185"/>
              <w:ind w:left="454"/>
              <w:jc w:val="left"/>
              <w:rPr>
                <w:rFonts w:ascii="Times New Roman"/>
                <w:sz w:val="20"/>
              </w:rPr>
            </w:pPr>
            <w:r>
              <w:rPr>
                <w:rFonts w:ascii="Times New Roman"/>
                <w:sz w:val="20"/>
              </w:rPr>
              <w:t>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64" w:type="dxa"/>
            <w:vMerge w:val="continue"/>
            <w:tcBorders>
              <w:top w:val="nil"/>
            </w:tcBorders>
          </w:tcPr>
          <w:p>
            <w:pPr>
              <w:rPr>
                <w:sz w:val="2"/>
                <w:szCs w:val="2"/>
              </w:rPr>
            </w:pPr>
          </w:p>
        </w:tc>
        <w:tc>
          <w:tcPr>
            <w:tcW w:w="953" w:type="dxa"/>
            <w:vMerge w:val="continue"/>
            <w:tcBorders>
              <w:top w:val="nil"/>
            </w:tcBorders>
          </w:tcPr>
          <w:p>
            <w:pPr>
              <w:rPr>
                <w:sz w:val="2"/>
                <w:szCs w:val="2"/>
              </w:rPr>
            </w:pPr>
          </w:p>
        </w:tc>
        <w:tc>
          <w:tcPr>
            <w:tcW w:w="822" w:type="dxa"/>
          </w:tcPr>
          <w:p>
            <w:pPr>
              <w:pStyle w:val="14"/>
              <w:spacing w:before="25"/>
              <w:ind w:left="151" w:right="144"/>
              <w:rPr>
                <w:rFonts w:ascii="Times New Roman"/>
                <w:sz w:val="20"/>
              </w:rPr>
            </w:pPr>
            <w:r>
              <w:rPr>
                <w:rFonts w:ascii="Times New Roman"/>
                <w:sz w:val="20"/>
              </w:rPr>
              <w:t>2037</w:t>
            </w:r>
          </w:p>
        </w:tc>
        <w:tc>
          <w:tcPr>
            <w:tcW w:w="837" w:type="dxa"/>
          </w:tcPr>
          <w:p>
            <w:pPr>
              <w:pStyle w:val="14"/>
              <w:spacing w:before="25"/>
              <w:ind w:left="6"/>
              <w:rPr>
                <w:rFonts w:ascii="Times New Roman"/>
                <w:sz w:val="20"/>
              </w:rPr>
            </w:pPr>
            <w:r>
              <w:rPr>
                <w:rFonts w:ascii="Times New Roman"/>
                <w:w w:val="99"/>
                <w:sz w:val="20"/>
              </w:rPr>
              <w:t>-</w:t>
            </w:r>
          </w:p>
        </w:tc>
        <w:tc>
          <w:tcPr>
            <w:tcW w:w="866" w:type="dxa"/>
          </w:tcPr>
          <w:p>
            <w:pPr>
              <w:pStyle w:val="14"/>
              <w:spacing w:before="25"/>
              <w:ind w:left="87" w:right="75"/>
              <w:rPr>
                <w:rFonts w:ascii="Times New Roman"/>
                <w:sz w:val="20"/>
              </w:rPr>
            </w:pPr>
            <w:r>
              <w:rPr>
                <w:rFonts w:ascii="Times New Roman"/>
                <w:sz w:val="20"/>
              </w:rPr>
              <w:t>0.5042</w:t>
            </w:r>
          </w:p>
        </w:tc>
        <w:tc>
          <w:tcPr>
            <w:tcW w:w="1463" w:type="dxa"/>
          </w:tcPr>
          <w:p>
            <w:pPr>
              <w:pStyle w:val="14"/>
              <w:spacing w:before="25"/>
              <w:ind w:left="6"/>
              <w:rPr>
                <w:rFonts w:ascii="Times New Roman"/>
                <w:sz w:val="20"/>
              </w:rPr>
            </w:pPr>
            <w:r>
              <w:rPr>
                <w:rFonts w:ascii="Times New Roman"/>
                <w:w w:val="99"/>
                <w:sz w:val="20"/>
              </w:rPr>
              <w:t>-</w:t>
            </w:r>
          </w:p>
        </w:tc>
        <w:tc>
          <w:tcPr>
            <w:tcW w:w="1465" w:type="dxa"/>
          </w:tcPr>
          <w:p>
            <w:pPr>
              <w:pStyle w:val="14"/>
              <w:spacing w:before="25"/>
              <w:ind w:left="6"/>
              <w:rPr>
                <w:rFonts w:ascii="Times New Roman"/>
                <w:sz w:val="20"/>
              </w:rPr>
            </w:pPr>
            <w:r>
              <w:rPr>
                <w:rFonts w:ascii="Times New Roman"/>
                <w:w w:val="99"/>
                <w:sz w:val="20"/>
              </w:rPr>
              <w:t>-</w:t>
            </w:r>
          </w:p>
        </w:tc>
        <w:tc>
          <w:tcPr>
            <w:tcW w:w="145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64" w:type="dxa"/>
            <w:vMerge w:val="continue"/>
            <w:tcBorders>
              <w:top w:val="nil"/>
            </w:tcBorders>
          </w:tcPr>
          <w:p>
            <w:pPr>
              <w:rPr>
                <w:sz w:val="2"/>
                <w:szCs w:val="2"/>
              </w:rPr>
            </w:pPr>
          </w:p>
        </w:tc>
        <w:tc>
          <w:tcPr>
            <w:tcW w:w="953" w:type="dxa"/>
            <w:vMerge w:val="continue"/>
            <w:tcBorders>
              <w:top w:val="nil"/>
            </w:tcBorders>
          </w:tcPr>
          <w:p>
            <w:pPr>
              <w:rPr>
                <w:sz w:val="2"/>
                <w:szCs w:val="2"/>
              </w:rPr>
            </w:pPr>
          </w:p>
        </w:tc>
        <w:tc>
          <w:tcPr>
            <w:tcW w:w="822" w:type="dxa"/>
          </w:tcPr>
          <w:p>
            <w:pPr>
              <w:pStyle w:val="14"/>
              <w:spacing w:before="27"/>
              <w:ind w:left="151" w:right="144"/>
              <w:rPr>
                <w:rFonts w:ascii="Times New Roman"/>
                <w:sz w:val="20"/>
              </w:rPr>
            </w:pPr>
            <w:r>
              <w:rPr>
                <w:rFonts w:ascii="Times New Roman"/>
                <w:sz w:val="20"/>
              </w:rPr>
              <w:t>2038</w:t>
            </w:r>
          </w:p>
        </w:tc>
        <w:tc>
          <w:tcPr>
            <w:tcW w:w="837" w:type="dxa"/>
          </w:tcPr>
          <w:p>
            <w:pPr>
              <w:pStyle w:val="14"/>
              <w:spacing w:before="27"/>
              <w:ind w:left="6"/>
              <w:rPr>
                <w:rFonts w:ascii="Times New Roman"/>
                <w:sz w:val="20"/>
              </w:rPr>
            </w:pPr>
            <w:r>
              <w:rPr>
                <w:rFonts w:ascii="Times New Roman"/>
                <w:w w:val="99"/>
                <w:sz w:val="20"/>
              </w:rPr>
              <w:t>-</w:t>
            </w:r>
          </w:p>
        </w:tc>
        <w:tc>
          <w:tcPr>
            <w:tcW w:w="866" w:type="dxa"/>
          </w:tcPr>
          <w:p>
            <w:pPr>
              <w:pStyle w:val="14"/>
              <w:spacing w:before="27"/>
              <w:ind w:left="87" w:right="75"/>
              <w:rPr>
                <w:rFonts w:ascii="Times New Roman"/>
                <w:sz w:val="20"/>
              </w:rPr>
            </w:pPr>
            <w:r>
              <w:rPr>
                <w:rFonts w:ascii="Times New Roman"/>
                <w:sz w:val="20"/>
              </w:rPr>
              <w:t>0.5142</w:t>
            </w:r>
          </w:p>
        </w:tc>
        <w:tc>
          <w:tcPr>
            <w:tcW w:w="1463" w:type="dxa"/>
          </w:tcPr>
          <w:p>
            <w:pPr>
              <w:pStyle w:val="14"/>
              <w:spacing w:before="27"/>
              <w:ind w:left="6"/>
              <w:rPr>
                <w:rFonts w:ascii="Times New Roman"/>
                <w:sz w:val="20"/>
              </w:rPr>
            </w:pPr>
            <w:r>
              <w:rPr>
                <w:rFonts w:ascii="Times New Roman"/>
                <w:w w:val="99"/>
                <w:sz w:val="20"/>
              </w:rPr>
              <w:t>-</w:t>
            </w:r>
          </w:p>
        </w:tc>
        <w:tc>
          <w:tcPr>
            <w:tcW w:w="1465" w:type="dxa"/>
          </w:tcPr>
          <w:p>
            <w:pPr>
              <w:pStyle w:val="14"/>
              <w:spacing w:before="27"/>
              <w:ind w:left="6"/>
              <w:rPr>
                <w:rFonts w:ascii="Times New Roman"/>
                <w:sz w:val="20"/>
              </w:rPr>
            </w:pPr>
            <w:r>
              <w:rPr>
                <w:rFonts w:ascii="Times New Roman"/>
                <w:w w:val="99"/>
                <w:sz w:val="20"/>
              </w:rPr>
              <w:t>-</w:t>
            </w:r>
          </w:p>
        </w:tc>
        <w:tc>
          <w:tcPr>
            <w:tcW w:w="145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64" w:type="dxa"/>
            <w:vMerge w:val="continue"/>
            <w:tcBorders>
              <w:top w:val="nil"/>
            </w:tcBorders>
          </w:tcPr>
          <w:p>
            <w:pPr>
              <w:rPr>
                <w:sz w:val="2"/>
                <w:szCs w:val="2"/>
              </w:rPr>
            </w:pPr>
          </w:p>
        </w:tc>
        <w:tc>
          <w:tcPr>
            <w:tcW w:w="953" w:type="dxa"/>
            <w:vMerge w:val="continue"/>
            <w:tcBorders>
              <w:top w:val="nil"/>
            </w:tcBorders>
          </w:tcPr>
          <w:p>
            <w:pPr>
              <w:rPr>
                <w:sz w:val="2"/>
                <w:szCs w:val="2"/>
              </w:rPr>
            </w:pPr>
          </w:p>
        </w:tc>
        <w:tc>
          <w:tcPr>
            <w:tcW w:w="822" w:type="dxa"/>
          </w:tcPr>
          <w:p>
            <w:pPr>
              <w:pStyle w:val="14"/>
              <w:spacing w:before="27"/>
              <w:ind w:left="151" w:right="144"/>
              <w:rPr>
                <w:rFonts w:ascii="Times New Roman"/>
                <w:sz w:val="20"/>
              </w:rPr>
            </w:pPr>
            <w:r>
              <w:rPr>
                <w:rFonts w:ascii="Times New Roman"/>
                <w:sz w:val="20"/>
              </w:rPr>
              <w:t>2039</w:t>
            </w:r>
          </w:p>
        </w:tc>
        <w:tc>
          <w:tcPr>
            <w:tcW w:w="837" w:type="dxa"/>
          </w:tcPr>
          <w:p>
            <w:pPr>
              <w:pStyle w:val="14"/>
              <w:spacing w:before="27"/>
              <w:ind w:left="6"/>
              <w:rPr>
                <w:rFonts w:ascii="Times New Roman"/>
                <w:sz w:val="20"/>
              </w:rPr>
            </w:pPr>
            <w:r>
              <w:rPr>
                <w:rFonts w:ascii="Times New Roman"/>
                <w:w w:val="99"/>
                <w:sz w:val="20"/>
              </w:rPr>
              <w:t>-</w:t>
            </w:r>
          </w:p>
        </w:tc>
        <w:tc>
          <w:tcPr>
            <w:tcW w:w="866" w:type="dxa"/>
          </w:tcPr>
          <w:p>
            <w:pPr>
              <w:pStyle w:val="14"/>
              <w:spacing w:before="27"/>
              <w:ind w:left="87" w:right="75"/>
              <w:rPr>
                <w:rFonts w:ascii="Times New Roman"/>
                <w:sz w:val="20"/>
              </w:rPr>
            </w:pPr>
            <w:r>
              <w:rPr>
                <w:rFonts w:ascii="Times New Roman"/>
                <w:sz w:val="20"/>
              </w:rPr>
              <w:t>0.2098</w:t>
            </w:r>
          </w:p>
        </w:tc>
        <w:tc>
          <w:tcPr>
            <w:tcW w:w="1463" w:type="dxa"/>
          </w:tcPr>
          <w:p>
            <w:pPr>
              <w:pStyle w:val="14"/>
              <w:spacing w:before="27"/>
              <w:ind w:left="6"/>
              <w:rPr>
                <w:rFonts w:ascii="Times New Roman"/>
                <w:sz w:val="20"/>
              </w:rPr>
            </w:pPr>
            <w:r>
              <w:rPr>
                <w:rFonts w:ascii="Times New Roman"/>
                <w:w w:val="99"/>
                <w:sz w:val="20"/>
              </w:rPr>
              <w:t>-</w:t>
            </w:r>
          </w:p>
        </w:tc>
        <w:tc>
          <w:tcPr>
            <w:tcW w:w="1465" w:type="dxa"/>
          </w:tcPr>
          <w:p>
            <w:pPr>
              <w:pStyle w:val="14"/>
              <w:spacing w:before="27"/>
              <w:ind w:left="6"/>
              <w:rPr>
                <w:rFonts w:ascii="Times New Roman"/>
                <w:sz w:val="20"/>
              </w:rPr>
            </w:pPr>
            <w:r>
              <w:rPr>
                <w:rFonts w:ascii="Times New Roman"/>
                <w:w w:val="99"/>
                <w:sz w:val="20"/>
              </w:rPr>
              <w:t>-</w:t>
            </w:r>
          </w:p>
        </w:tc>
        <w:tc>
          <w:tcPr>
            <w:tcW w:w="145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664" w:type="dxa"/>
          </w:tcPr>
          <w:p>
            <w:pPr>
              <w:pStyle w:val="14"/>
              <w:spacing w:before="11" w:line="252" w:lineRule="exact"/>
              <w:ind w:right="121"/>
              <w:jc w:val="right"/>
              <w:rPr>
                <w:rFonts w:hint="eastAsia" w:ascii="仿宋" w:eastAsia="仿宋"/>
                <w:sz w:val="20"/>
              </w:rPr>
            </w:pPr>
            <w:r>
              <w:rPr>
                <w:rFonts w:hint="eastAsia" w:ascii="仿宋" w:eastAsia="仿宋"/>
                <w:w w:val="95"/>
                <w:sz w:val="20"/>
              </w:rPr>
              <w:t>总计</w:t>
            </w:r>
          </w:p>
        </w:tc>
        <w:tc>
          <w:tcPr>
            <w:tcW w:w="953" w:type="dxa"/>
          </w:tcPr>
          <w:p>
            <w:pPr>
              <w:pStyle w:val="14"/>
              <w:spacing w:before="24"/>
              <w:ind w:left="149"/>
              <w:jc w:val="left"/>
              <w:rPr>
                <w:rFonts w:ascii="Times New Roman"/>
                <w:b/>
                <w:sz w:val="20"/>
              </w:rPr>
            </w:pPr>
            <w:r>
              <w:rPr>
                <w:rFonts w:ascii="Times New Roman"/>
                <w:b/>
                <w:sz w:val="20"/>
              </w:rPr>
              <w:t>41.1417</w:t>
            </w:r>
          </w:p>
        </w:tc>
        <w:tc>
          <w:tcPr>
            <w:tcW w:w="822" w:type="dxa"/>
          </w:tcPr>
          <w:p>
            <w:pPr>
              <w:pStyle w:val="14"/>
              <w:spacing w:before="24"/>
              <w:ind w:left="8"/>
              <w:rPr>
                <w:rFonts w:ascii="Times New Roman" w:hAnsi="Times New Roman"/>
                <w:b/>
                <w:sz w:val="20"/>
              </w:rPr>
            </w:pPr>
            <w:r>
              <w:rPr>
                <w:rFonts w:ascii="Times New Roman" w:hAnsi="Times New Roman"/>
                <w:b/>
                <w:w w:val="99"/>
                <w:sz w:val="20"/>
              </w:rPr>
              <w:t>—</w:t>
            </w:r>
          </w:p>
        </w:tc>
        <w:tc>
          <w:tcPr>
            <w:tcW w:w="837" w:type="dxa"/>
          </w:tcPr>
          <w:p>
            <w:pPr>
              <w:pStyle w:val="14"/>
              <w:spacing w:before="24"/>
              <w:ind w:left="5"/>
              <w:rPr>
                <w:rFonts w:ascii="Times New Roman" w:hAnsi="Times New Roman"/>
                <w:b/>
                <w:sz w:val="20"/>
              </w:rPr>
            </w:pPr>
            <w:r>
              <w:rPr>
                <w:rFonts w:ascii="Times New Roman" w:hAnsi="Times New Roman"/>
                <w:b/>
                <w:w w:val="99"/>
                <w:sz w:val="20"/>
              </w:rPr>
              <w:t>—</w:t>
            </w:r>
          </w:p>
        </w:tc>
        <w:tc>
          <w:tcPr>
            <w:tcW w:w="866" w:type="dxa"/>
          </w:tcPr>
          <w:p>
            <w:pPr>
              <w:pStyle w:val="14"/>
              <w:spacing w:before="24"/>
              <w:ind w:left="87" w:right="78"/>
              <w:rPr>
                <w:rFonts w:ascii="Times New Roman"/>
                <w:b/>
                <w:sz w:val="20"/>
              </w:rPr>
            </w:pPr>
            <w:r>
              <w:rPr>
                <w:rFonts w:ascii="Times New Roman"/>
                <w:b/>
                <w:sz w:val="20"/>
              </w:rPr>
              <w:t>41.1417</w:t>
            </w:r>
          </w:p>
        </w:tc>
        <w:tc>
          <w:tcPr>
            <w:tcW w:w="1463" w:type="dxa"/>
          </w:tcPr>
          <w:p>
            <w:pPr>
              <w:pStyle w:val="14"/>
              <w:spacing w:before="24"/>
              <w:ind w:left="6"/>
              <w:rPr>
                <w:rFonts w:ascii="Times New Roman"/>
                <w:b/>
                <w:sz w:val="20"/>
              </w:rPr>
            </w:pPr>
            <w:r>
              <w:rPr>
                <w:rFonts w:ascii="Times New Roman"/>
                <w:b/>
                <w:w w:val="99"/>
                <w:sz w:val="20"/>
              </w:rPr>
              <w:t>-</w:t>
            </w:r>
          </w:p>
        </w:tc>
        <w:tc>
          <w:tcPr>
            <w:tcW w:w="1465" w:type="dxa"/>
          </w:tcPr>
          <w:p>
            <w:pPr>
              <w:pStyle w:val="14"/>
              <w:spacing w:before="24"/>
              <w:ind w:left="386" w:right="378"/>
              <w:rPr>
                <w:rFonts w:ascii="Times New Roman"/>
                <w:b/>
                <w:sz w:val="20"/>
              </w:rPr>
            </w:pPr>
            <w:r>
              <w:rPr>
                <w:rFonts w:ascii="Times New Roman"/>
                <w:b/>
                <w:sz w:val="20"/>
              </w:rPr>
              <w:t>41.1417</w:t>
            </w:r>
          </w:p>
        </w:tc>
        <w:tc>
          <w:tcPr>
            <w:tcW w:w="1458" w:type="dxa"/>
          </w:tcPr>
          <w:p>
            <w:pPr>
              <w:pStyle w:val="14"/>
              <w:spacing w:before="24"/>
              <w:ind w:left="403"/>
              <w:jc w:val="left"/>
              <w:rPr>
                <w:rFonts w:ascii="Times New Roman"/>
                <w:b/>
                <w:sz w:val="20"/>
              </w:rPr>
            </w:pPr>
            <w:r>
              <w:rPr>
                <w:rFonts w:ascii="Times New Roman"/>
                <w:b/>
                <w:sz w:val="20"/>
              </w:rPr>
              <w:t>41.1417</w:t>
            </w:r>
          </w:p>
        </w:tc>
      </w:tr>
    </w:tbl>
    <w:p>
      <w:pPr>
        <w:pStyle w:val="6"/>
        <w:spacing w:before="79"/>
        <w:ind w:left="1031"/>
      </w:pPr>
      <w:r>
        <w:t>土地复垦费用预存分为四个阶段安排表如下：</w:t>
      </w:r>
    </w:p>
    <w:p>
      <w:pPr>
        <w:pStyle w:val="5"/>
        <w:tabs>
          <w:tab w:val="left" w:pos="1051"/>
        </w:tabs>
        <w:spacing w:before="84" w:after="2"/>
        <w:ind w:left="12"/>
        <w:jc w:val="center"/>
        <w:rPr>
          <w:rFonts w:hint="eastAsia" w:ascii="仿宋" w:eastAsia="仿宋"/>
        </w:rPr>
      </w:pPr>
      <w:r>
        <w:rPr>
          <w:rFonts w:hint="eastAsia" w:ascii="仿宋" w:eastAsia="仿宋"/>
        </w:rPr>
        <w:t>表</w:t>
      </w:r>
      <w:r>
        <w:rPr>
          <w:rFonts w:hint="eastAsia" w:ascii="仿宋" w:eastAsia="仿宋"/>
          <w:spacing w:val="-62"/>
        </w:rPr>
        <w:t xml:space="preserve"> </w:t>
      </w:r>
      <w:r>
        <w:rPr>
          <w:rFonts w:ascii="Times New Roman" w:eastAsia="Times New Roman"/>
        </w:rPr>
        <w:t>5.5-7</w:t>
      </w:r>
      <w:r>
        <w:rPr>
          <w:rFonts w:ascii="Times New Roman" w:eastAsia="Times New Roman"/>
        </w:rPr>
        <w:tab/>
      </w:r>
      <w:r>
        <w:rPr>
          <w:rFonts w:hint="eastAsia" w:ascii="仿宋" w:eastAsia="仿宋"/>
        </w:rPr>
        <w:t>土地复垦费用预存安排表</w:t>
      </w:r>
    </w:p>
    <w:tbl>
      <w:tblPr>
        <w:tblStyle w:val="10"/>
        <w:tblW w:w="0" w:type="auto"/>
        <w:tblInd w:w="4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3"/>
        <w:gridCol w:w="1023"/>
        <w:gridCol w:w="694"/>
        <w:gridCol w:w="831"/>
        <w:gridCol w:w="1056"/>
        <w:gridCol w:w="1447"/>
        <w:gridCol w:w="1453"/>
        <w:gridCol w:w="14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683" w:type="dxa"/>
          </w:tcPr>
          <w:p>
            <w:pPr>
              <w:pStyle w:val="14"/>
              <w:spacing w:before="4"/>
              <w:jc w:val="left"/>
              <w:rPr>
                <w:rFonts w:ascii="仿宋"/>
                <w:b/>
                <w:sz w:val="20"/>
              </w:rPr>
            </w:pPr>
          </w:p>
          <w:p>
            <w:pPr>
              <w:pStyle w:val="14"/>
              <w:ind w:left="140"/>
              <w:jc w:val="left"/>
              <w:rPr>
                <w:sz w:val="20"/>
              </w:rPr>
            </w:pPr>
            <w:r>
              <w:rPr>
                <w:sz w:val="20"/>
              </w:rPr>
              <w:t>阶段</w:t>
            </w:r>
          </w:p>
        </w:tc>
        <w:tc>
          <w:tcPr>
            <w:tcW w:w="1023" w:type="dxa"/>
          </w:tcPr>
          <w:p>
            <w:pPr>
              <w:pStyle w:val="14"/>
              <w:spacing w:before="131"/>
              <w:ind w:left="210"/>
              <w:jc w:val="left"/>
              <w:rPr>
                <w:sz w:val="20"/>
              </w:rPr>
            </w:pPr>
            <w:r>
              <w:rPr>
                <w:w w:val="95"/>
                <w:sz w:val="20"/>
              </w:rPr>
              <w:t>总投资</w:t>
            </w:r>
          </w:p>
          <w:p>
            <w:pPr>
              <w:pStyle w:val="14"/>
              <w:spacing w:before="2"/>
              <w:ind w:left="244"/>
              <w:jc w:val="left"/>
              <w:rPr>
                <w:rFonts w:ascii="Times New Roman" w:eastAsia="Times New Roman"/>
                <w:sz w:val="20"/>
              </w:rPr>
            </w:pPr>
            <w:r>
              <w:rPr>
                <w:rFonts w:ascii="Times New Roman" w:eastAsia="Times New Roman"/>
                <w:w w:val="95"/>
                <w:sz w:val="20"/>
              </w:rPr>
              <w:t>(</w:t>
            </w:r>
            <w:r>
              <w:rPr>
                <w:w w:val="95"/>
                <w:sz w:val="20"/>
              </w:rPr>
              <w:t>万元</w:t>
            </w:r>
            <w:r>
              <w:rPr>
                <w:rFonts w:ascii="Times New Roman" w:eastAsia="Times New Roman"/>
                <w:w w:val="95"/>
                <w:sz w:val="20"/>
              </w:rPr>
              <w:t>)</w:t>
            </w:r>
          </w:p>
        </w:tc>
        <w:tc>
          <w:tcPr>
            <w:tcW w:w="694" w:type="dxa"/>
          </w:tcPr>
          <w:p>
            <w:pPr>
              <w:pStyle w:val="14"/>
              <w:spacing w:before="4"/>
              <w:jc w:val="left"/>
              <w:rPr>
                <w:rFonts w:ascii="仿宋"/>
                <w:b/>
                <w:sz w:val="20"/>
              </w:rPr>
            </w:pPr>
          </w:p>
          <w:p>
            <w:pPr>
              <w:pStyle w:val="14"/>
              <w:ind w:right="138"/>
              <w:jc w:val="right"/>
              <w:rPr>
                <w:sz w:val="20"/>
              </w:rPr>
            </w:pPr>
            <w:r>
              <w:rPr>
                <w:w w:val="95"/>
                <w:sz w:val="20"/>
              </w:rPr>
              <w:t>年份</w:t>
            </w:r>
          </w:p>
        </w:tc>
        <w:tc>
          <w:tcPr>
            <w:tcW w:w="831" w:type="dxa"/>
          </w:tcPr>
          <w:p>
            <w:pPr>
              <w:pStyle w:val="14"/>
              <w:spacing w:before="131"/>
              <w:ind w:left="113"/>
              <w:jc w:val="left"/>
              <w:rPr>
                <w:sz w:val="20"/>
              </w:rPr>
            </w:pPr>
            <w:r>
              <w:rPr>
                <w:sz w:val="20"/>
              </w:rPr>
              <w:t>年产量</w:t>
            </w:r>
          </w:p>
          <w:p>
            <w:pPr>
              <w:pStyle w:val="14"/>
              <w:spacing w:before="2"/>
              <w:ind w:left="106"/>
              <w:jc w:val="left"/>
              <w:rPr>
                <w:sz w:val="20"/>
              </w:rPr>
            </w:pPr>
            <w:r>
              <w:rPr>
                <w:sz w:val="20"/>
              </w:rPr>
              <w:t>（</w:t>
            </w:r>
            <w:r>
              <w:rPr>
                <w:spacing w:val="-26"/>
                <w:sz w:val="20"/>
              </w:rPr>
              <w:t xml:space="preserve">万 </w:t>
            </w:r>
            <w:r>
              <w:rPr>
                <w:rFonts w:ascii="Times New Roman" w:eastAsia="Times New Roman"/>
                <w:sz w:val="20"/>
              </w:rPr>
              <w:t>t</w:t>
            </w:r>
            <w:r>
              <w:rPr>
                <w:sz w:val="20"/>
              </w:rPr>
              <w:t>）</w:t>
            </w:r>
          </w:p>
        </w:tc>
        <w:tc>
          <w:tcPr>
            <w:tcW w:w="1056" w:type="dxa"/>
          </w:tcPr>
          <w:p>
            <w:pPr>
              <w:pStyle w:val="14"/>
              <w:spacing w:before="1" w:line="242" w:lineRule="auto"/>
              <w:ind w:left="127" w:right="117"/>
              <w:rPr>
                <w:sz w:val="20"/>
              </w:rPr>
            </w:pPr>
            <w:r>
              <w:rPr>
                <w:sz w:val="20"/>
              </w:rPr>
              <w:t>年度投资额度</w:t>
            </w:r>
            <w:r>
              <w:rPr>
                <w:rFonts w:ascii="Times New Roman" w:eastAsia="Times New Roman"/>
                <w:sz w:val="20"/>
              </w:rPr>
              <w:t>(</w:t>
            </w:r>
            <w:r>
              <w:rPr>
                <w:sz w:val="20"/>
              </w:rPr>
              <w:t>万</w:t>
            </w:r>
          </w:p>
          <w:p>
            <w:pPr>
              <w:pStyle w:val="14"/>
              <w:spacing w:before="1" w:line="238" w:lineRule="exact"/>
              <w:ind w:left="127" w:right="117"/>
              <w:rPr>
                <w:rFonts w:ascii="Times New Roman" w:eastAsia="Times New Roman"/>
                <w:sz w:val="20"/>
              </w:rPr>
            </w:pPr>
            <w:r>
              <w:rPr>
                <w:sz w:val="20"/>
              </w:rPr>
              <w:t>元</w:t>
            </w:r>
            <w:r>
              <w:rPr>
                <w:rFonts w:ascii="Times New Roman" w:eastAsia="Times New Roman"/>
                <w:sz w:val="20"/>
              </w:rPr>
              <w:t>)</w:t>
            </w:r>
          </w:p>
        </w:tc>
        <w:tc>
          <w:tcPr>
            <w:tcW w:w="1447" w:type="dxa"/>
          </w:tcPr>
          <w:p>
            <w:pPr>
              <w:pStyle w:val="14"/>
              <w:spacing w:before="1" w:line="242" w:lineRule="auto"/>
              <w:ind w:left="122" w:right="112"/>
              <w:rPr>
                <w:sz w:val="20"/>
              </w:rPr>
            </w:pPr>
            <w:r>
              <w:rPr>
                <w:sz w:val="20"/>
              </w:rPr>
              <w:t>单位产量投资复垦费用预存</w:t>
            </w:r>
          </w:p>
          <w:p>
            <w:pPr>
              <w:pStyle w:val="14"/>
              <w:spacing w:before="1" w:line="238" w:lineRule="exact"/>
              <w:ind w:left="120" w:right="112"/>
              <w:rPr>
                <w:rFonts w:ascii="Times New Roman" w:eastAsia="Times New Roman"/>
                <w:sz w:val="20"/>
              </w:rPr>
            </w:pPr>
            <w:r>
              <w:rPr>
                <w:sz w:val="20"/>
              </w:rPr>
              <w:t>额</w:t>
            </w:r>
            <w:r>
              <w:rPr>
                <w:rFonts w:ascii="Times New Roman" w:eastAsia="Times New Roman"/>
                <w:sz w:val="20"/>
              </w:rPr>
              <w:t>(</w:t>
            </w:r>
            <w:r>
              <w:rPr>
                <w:sz w:val="20"/>
              </w:rPr>
              <w:t>元</w:t>
            </w:r>
            <w:r>
              <w:rPr>
                <w:rFonts w:ascii="Times New Roman" w:eastAsia="Times New Roman"/>
                <w:sz w:val="20"/>
              </w:rPr>
              <w:t>/t)</w:t>
            </w:r>
          </w:p>
        </w:tc>
        <w:tc>
          <w:tcPr>
            <w:tcW w:w="1453" w:type="dxa"/>
          </w:tcPr>
          <w:p>
            <w:pPr>
              <w:pStyle w:val="14"/>
              <w:spacing w:before="131" w:line="242" w:lineRule="auto"/>
              <w:ind w:left="108" w:firstLine="16"/>
              <w:jc w:val="left"/>
              <w:rPr>
                <w:sz w:val="20"/>
              </w:rPr>
            </w:pPr>
            <w:r>
              <w:rPr>
                <w:sz w:val="20"/>
              </w:rPr>
              <w:t>年度复垦费用</w:t>
            </w:r>
            <w:r>
              <w:rPr>
                <w:spacing w:val="-22"/>
                <w:sz w:val="20"/>
              </w:rPr>
              <w:t>预存额</w:t>
            </w:r>
            <w:r>
              <w:rPr>
                <w:sz w:val="20"/>
              </w:rPr>
              <w:t>（万元</w:t>
            </w:r>
            <w:r>
              <w:rPr>
                <w:spacing w:val="-17"/>
                <w:sz w:val="20"/>
              </w:rPr>
              <w:t>）</w:t>
            </w:r>
          </w:p>
        </w:tc>
        <w:tc>
          <w:tcPr>
            <w:tcW w:w="1453" w:type="dxa"/>
          </w:tcPr>
          <w:p>
            <w:pPr>
              <w:pStyle w:val="14"/>
              <w:spacing w:before="131" w:line="242" w:lineRule="auto"/>
              <w:ind w:left="107" w:right="-15" w:firstLine="16"/>
              <w:jc w:val="left"/>
              <w:rPr>
                <w:sz w:val="20"/>
              </w:rPr>
            </w:pPr>
            <w:r>
              <w:rPr>
                <w:sz w:val="20"/>
              </w:rPr>
              <w:t>阶段复垦费用</w:t>
            </w:r>
            <w:r>
              <w:rPr>
                <w:spacing w:val="-21"/>
                <w:sz w:val="20"/>
              </w:rPr>
              <w:t>预存额</w:t>
            </w:r>
            <w:r>
              <w:rPr>
                <w:sz w:val="20"/>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83" w:type="dxa"/>
            <w:vMerge w:val="restart"/>
          </w:tcPr>
          <w:p>
            <w:pPr>
              <w:pStyle w:val="14"/>
              <w:jc w:val="left"/>
              <w:rPr>
                <w:rFonts w:ascii="仿宋"/>
                <w:b/>
                <w:sz w:val="20"/>
              </w:rPr>
            </w:pPr>
          </w:p>
          <w:p>
            <w:pPr>
              <w:pStyle w:val="14"/>
              <w:spacing w:before="5"/>
              <w:jc w:val="left"/>
              <w:rPr>
                <w:rFonts w:ascii="仿宋"/>
                <w:b/>
                <w:sz w:val="18"/>
              </w:rPr>
            </w:pPr>
          </w:p>
          <w:p>
            <w:pPr>
              <w:pStyle w:val="14"/>
              <w:ind w:left="8"/>
              <w:rPr>
                <w:sz w:val="20"/>
              </w:rPr>
            </w:pPr>
            <w:r>
              <w:rPr>
                <w:w w:val="99"/>
                <w:sz w:val="20"/>
              </w:rPr>
              <w:t>一</w:t>
            </w:r>
          </w:p>
        </w:tc>
        <w:tc>
          <w:tcPr>
            <w:tcW w:w="1023" w:type="dxa"/>
            <w:vMerge w:val="restart"/>
          </w:tcPr>
          <w:p>
            <w:pPr>
              <w:pStyle w:val="14"/>
              <w:jc w:val="left"/>
              <w:rPr>
                <w:rFonts w:ascii="仿宋"/>
                <w:b/>
                <w:sz w:val="22"/>
              </w:rPr>
            </w:pPr>
          </w:p>
          <w:p>
            <w:pPr>
              <w:pStyle w:val="14"/>
              <w:spacing w:before="5"/>
              <w:jc w:val="left"/>
              <w:rPr>
                <w:rFonts w:ascii="仿宋"/>
                <w:b/>
                <w:sz w:val="17"/>
              </w:rPr>
            </w:pPr>
          </w:p>
          <w:p>
            <w:pPr>
              <w:pStyle w:val="14"/>
              <w:spacing w:before="1"/>
              <w:ind w:left="234"/>
              <w:jc w:val="left"/>
              <w:rPr>
                <w:rFonts w:ascii="Times New Roman"/>
                <w:sz w:val="20"/>
              </w:rPr>
            </w:pPr>
            <w:r>
              <w:rPr>
                <w:rFonts w:ascii="Times New Roman"/>
                <w:sz w:val="20"/>
              </w:rPr>
              <w:t>0.0000</w:t>
            </w:r>
          </w:p>
        </w:tc>
        <w:tc>
          <w:tcPr>
            <w:tcW w:w="694" w:type="dxa"/>
          </w:tcPr>
          <w:p>
            <w:pPr>
              <w:pStyle w:val="14"/>
              <w:spacing w:before="6" w:line="214" w:lineRule="exact"/>
              <w:ind w:right="136"/>
              <w:jc w:val="right"/>
              <w:rPr>
                <w:rFonts w:ascii="Times New Roman"/>
                <w:sz w:val="20"/>
              </w:rPr>
            </w:pPr>
            <w:r>
              <w:rPr>
                <w:rFonts w:ascii="Times New Roman"/>
                <w:w w:val="95"/>
                <w:sz w:val="20"/>
              </w:rPr>
              <w:t>2021</w:t>
            </w:r>
          </w:p>
        </w:tc>
        <w:tc>
          <w:tcPr>
            <w:tcW w:w="831" w:type="dxa"/>
          </w:tcPr>
          <w:p>
            <w:pPr>
              <w:pStyle w:val="14"/>
              <w:spacing w:before="6" w:line="214" w:lineRule="exact"/>
              <w:ind w:left="295" w:right="285"/>
              <w:rPr>
                <w:rFonts w:ascii="Times New Roman"/>
                <w:sz w:val="20"/>
              </w:rPr>
            </w:pPr>
            <w:r>
              <w:rPr>
                <w:rFonts w:ascii="Times New Roman"/>
                <w:sz w:val="20"/>
              </w:rPr>
              <w:t>30</w:t>
            </w:r>
          </w:p>
        </w:tc>
        <w:tc>
          <w:tcPr>
            <w:tcW w:w="1056" w:type="dxa"/>
          </w:tcPr>
          <w:p>
            <w:pPr>
              <w:pStyle w:val="14"/>
              <w:spacing w:before="6" w:line="214" w:lineRule="exact"/>
              <w:ind w:left="126" w:right="117"/>
              <w:rPr>
                <w:rFonts w:ascii="Times New Roman"/>
                <w:sz w:val="20"/>
              </w:rPr>
            </w:pPr>
            <w:r>
              <w:rPr>
                <w:rFonts w:ascii="Times New Roman"/>
                <w:sz w:val="20"/>
              </w:rPr>
              <w:t>0.0000</w:t>
            </w:r>
          </w:p>
        </w:tc>
        <w:tc>
          <w:tcPr>
            <w:tcW w:w="1447" w:type="dxa"/>
          </w:tcPr>
          <w:p>
            <w:pPr>
              <w:pStyle w:val="14"/>
              <w:spacing w:before="6" w:line="214" w:lineRule="exact"/>
              <w:ind w:left="122" w:right="112"/>
              <w:rPr>
                <w:rFonts w:ascii="Times New Roman"/>
                <w:sz w:val="20"/>
              </w:rPr>
            </w:pPr>
            <w:r>
              <w:rPr>
                <w:rFonts w:ascii="Times New Roman"/>
                <w:sz w:val="20"/>
              </w:rPr>
              <w:t>1.18</w:t>
            </w:r>
          </w:p>
        </w:tc>
        <w:tc>
          <w:tcPr>
            <w:tcW w:w="1453" w:type="dxa"/>
          </w:tcPr>
          <w:p>
            <w:pPr>
              <w:pStyle w:val="14"/>
              <w:spacing w:before="6" w:line="214" w:lineRule="exact"/>
              <w:ind w:left="381" w:right="372"/>
              <w:rPr>
                <w:rFonts w:ascii="Times New Roman"/>
                <w:sz w:val="20"/>
              </w:rPr>
            </w:pPr>
            <w:r>
              <w:rPr>
                <w:rFonts w:ascii="Times New Roman"/>
                <w:sz w:val="20"/>
              </w:rPr>
              <w:t>35.5272</w:t>
            </w:r>
          </w:p>
        </w:tc>
        <w:tc>
          <w:tcPr>
            <w:tcW w:w="1453" w:type="dxa"/>
            <w:vMerge w:val="restart"/>
          </w:tcPr>
          <w:p>
            <w:pPr>
              <w:pStyle w:val="14"/>
              <w:jc w:val="left"/>
              <w:rPr>
                <w:rFonts w:ascii="仿宋"/>
                <w:b/>
                <w:sz w:val="22"/>
              </w:rPr>
            </w:pPr>
          </w:p>
          <w:p>
            <w:pPr>
              <w:pStyle w:val="14"/>
              <w:spacing w:before="5"/>
              <w:jc w:val="left"/>
              <w:rPr>
                <w:rFonts w:ascii="仿宋"/>
                <w:b/>
                <w:sz w:val="17"/>
              </w:rPr>
            </w:pPr>
          </w:p>
          <w:p>
            <w:pPr>
              <w:pStyle w:val="14"/>
              <w:spacing w:before="1"/>
              <w:ind w:left="400"/>
              <w:jc w:val="left"/>
              <w:rPr>
                <w:rFonts w:ascii="Times New Roman"/>
                <w:sz w:val="20"/>
              </w:rPr>
            </w:pPr>
            <w:r>
              <w:rPr>
                <w:rFonts w:ascii="Times New Roman"/>
                <w:sz w:val="20"/>
              </w:rPr>
              <w:t>79.2530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83" w:type="dxa"/>
            <w:vMerge w:val="continue"/>
            <w:tcBorders>
              <w:top w:val="nil"/>
            </w:tcBorders>
          </w:tcPr>
          <w:p>
            <w:pPr>
              <w:rPr>
                <w:sz w:val="2"/>
                <w:szCs w:val="2"/>
              </w:rPr>
            </w:pPr>
          </w:p>
        </w:tc>
        <w:tc>
          <w:tcPr>
            <w:tcW w:w="1023" w:type="dxa"/>
            <w:vMerge w:val="continue"/>
            <w:tcBorders>
              <w:top w:val="nil"/>
            </w:tcBorders>
          </w:tcPr>
          <w:p>
            <w:pPr>
              <w:rPr>
                <w:sz w:val="2"/>
                <w:szCs w:val="2"/>
              </w:rPr>
            </w:pPr>
          </w:p>
        </w:tc>
        <w:tc>
          <w:tcPr>
            <w:tcW w:w="694" w:type="dxa"/>
          </w:tcPr>
          <w:p>
            <w:pPr>
              <w:pStyle w:val="14"/>
              <w:spacing w:before="6" w:line="214" w:lineRule="exact"/>
              <w:ind w:right="136"/>
              <w:jc w:val="right"/>
              <w:rPr>
                <w:rFonts w:ascii="Times New Roman"/>
                <w:sz w:val="20"/>
              </w:rPr>
            </w:pPr>
            <w:r>
              <w:rPr>
                <w:rFonts w:ascii="Times New Roman"/>
                <w:w w:val="95"/>
                <w:sz w:val="20"/>
              </w:rPr>
              <w:t>2022</w:t>
            </w:r>
          </w:p>
        </w:tc>
        <w:tc>
          <w:tcPr>
            <w:tcW w:w="831" w:type="dxa"/>
          </w:tcPr>
          <w:p>
            <w:pPr>
              <w:pStyle w:val="14"/>
              <w:spacing w:before="6" w:line="214" w:lineRule="exact"/>
              <w:ind w:left="295" w:right="285"/>
              <w:rPr>
                <w:rFonts w:ascii="Times New Roman"/>
                <w:sz w:val="20"/>
              </w:rPr>
            </w:pPr>
            <w:r>
              <w:rPr>
                <w:rFonts w:ascii="Times New Roman"/>
                <w:sz w:val="20"/>
              </w:rPr>
              <w:t>30</w:t>
            </w:r>
          </w:p>
        </w:tc>
        <w:tc>
          <w:tcPr>
            <w:tcW w:w="1056" w:type="dxa"/>
          </w:tcPr>
          <w:p>
            <w:pPr>
              <w:pStyle w:val="14"/>
              <w:spacing w:before="6" w:line="214" w:lineRule="exact"/>
              <w:ind w:left="126" w:right="117"/>
              <w:rPr>
                <w:rFonts w:ascii="Times New Roman"/>
                <w:sz w:val="20"/>
              </w:rPr>
            </w:pPr>
            <w:r>
              <w:rPr>
                <w:rFonts w:ascii="Times New Roman"/>
                <w:sz w:val="20"/>
              </w:rPr>
              <w:t>0.0000</w:t>
            </w:r>
          </w:p>
        </w:tc>
        <w:tc>
          <w:tcPr>
            <w:tcW w:w="1447" w:type="dxa"/>
          </w:tcPr>
          <w:p>
            <w:pPr>
              <w:pStyle w:val="14"/>
              <w:spacing w:before="6" w:line="214" w:lineRule="exact"/>
              <w:ind w:left="122" w:right="112"/>
              <w:rPr>
                <w:rFonts w:ascii="Times New Roman"/>
                <w:sz w:val="20"/>
              </w:rPr>
            </w:pPr>
            <w:r>
              <w:rPr>
                <w:rFonts w:ascii="Times New Roman"/>
                <w:sz w:val="20"/>
              </w:rPr>
              <w:t>0.36</w:t>
            </w:r>
          </w:p>
        </w:tc>
        <w:tc>
          <w:tcPr>
            <w:tcW w:w="1453" w:type="dxa"/>
          </w:tcPr>
          <w:p>
            <w:pPr>
              <w:pStyle w:val="14"/>
              <w:spacing w:before="6" w:line="214" w:lineRule="exact"/>
              <w:ind w:left="381" w:right="372"/>
              <w:rPr>
                <w:rFonts w:ascii="Times New Roman"/>
                <w:sz w:val="20"/>
              </w:rPr>
            </w:pPr>
            <w:r>
              <w:rPr>
                <w:rFonts w:ascii="Times New Roman"/>
                <w:sz w:val="20"/>
              </w:rPr>
              <w:t>10.9315</w:t>
            </w:r>
          </w:p>
        </w:tc>
        <w:tc>
          <w:tcPr>
            <w:tcW w:w="145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83" w:type="dxa"/>
            <w:vMerge w:val="continue"/>
            <w:tcBorders>
              <w:top w:val="nil"/>
            </w:tcBorders>
          </w:tcPr>
          <w:p>
            <w:pPr>
              <w:rPr>
                <w:sz w:val="2"/>
                <w:szCs w:val="2"/>
              </w:rPr>
            </w:pPr>
          </w:p>
        </w:tc>
        <w:tc>
          <w:tcPr>
            <w:tcW w:w="1023" w:type="dxa"/>
            <w:vMerge w:val="continue"/>
            <w:tcBorders>
              <w:top w:val="nil"/>
            </w:tcBorders>
          </w:tcPr>
          <w:p>
            <w:pPr>
              <w:rPr>
                <w:sz w:val="2"/>
                <w:szCs w:val="2"/>
              </w:rPr>
            </w:pPr>
          </w:p>
        </w:tc>
        <w:tc>
          <w:tcPr>
            <w:tcW w:w="694" w:type="dxa"/>
          </w:tcPr>
          <w:p>
            <w:pPr>
              <w:pStyle w:val="14"/>
              <w:spacing w:before="5" w:line="214" w:lineRule="exact"/>
              <w:ind w:right="136"/>
              <w:jc w:val="right"/>
              <w:rPr>
                <w:rFonts w:ascii="Times New Roman"/>
                <w:sz w:val="20"/>
              </w:rPr>
            </w:pPr>
            <w:r>
              <w:rPr>
                <w:rFonts w:ascii="Times New Roman"/>
                <w:w w:val="95"/>
                <w:sz w:val="20"/>
              </w:rPr>
              <w:t>2023</w:t>
            </w:r>
          </w:p>
        </w:tc>
        <w:tc>
          <w:tcPr>
            <w:tcW w:w="831" w:type="dxa"/>
          </w:tcPr>
          <w:p>
            <w:pPr>
              <w:pStyle w:val="14"/>
              <w:spacing w:before="5" w:line="214" w:lineRule="exact"/>
              <w:ind w:left="295" w:right="285"/>
              <w:rPr>
                <w:rFonts w:ascii="Times New Roman"/>
                <w:sz w:val="20"/>
              </w:rPr>
            </w:pPr>
            <w:r>
              <w:rPr>
                <w:rFonts w:ascii="Times New Roman"/>
                <w:sz w:val="20"/>
              </w:rPr>
              <w:t>30</w:t>
            </w:r>
          </w:p>
        </w:tc>
        <w:tc>
          <w:tcPr>
            <w:tcW w:w="1056" w:type="dxa"/>
          </w:tcPr>
          <w:p>
            <w:pPr>
              <w:pStyle w:val="14"/>
              <w:spacing w:before="5" w:line="214" w:lineRule="exact"/>
              <w:ind w:left="126" w:right="117"/>
              <w:rPr>
                <w:rFonts w:ascii="Times New Roman"/>
                <w:sz w:val="20"/>
              </w:rPr>
            </w:pPr>
            <w:r>
              <w:rPr>
                <w:rFonts w:ascii="Times New Roman"/>
                <w:sz w:val="20"/>
              </w:rPr>
              <w:t>0.0000</w:t>
            </w:r>
          </w:p>
        </w:tc>
        <w:tc>
          <w:tcPr>
            <w:tcW w:w="1447" w:type="dxa"/>
          </w:tcPr>
          <w:p>
            <w:pPr>
              <w:pStyle w:val="14"/>
              <w:spacing w:before="5" w:line="214" w:lineRule="exact"/>
              <w:ind w:left="122" w:right="112"/>
              <w:rPr>
                <w:rFonts w:ascii="Times New Roman"/>
                <w:sz w:val="20"/>
              </w:rPr>
            </w:pPr>
            <w:r>
              <w:rPr>
                <w:rFonts w:ascii="Times New Roman"/>
                <w:sz w:val="20"/>
              </w:rPr>
              <w:t>0.36</w:t>
            </w:r>
          </w:p>
        </w:tc>
        <w:tc>
          <w:tcPr>
            <w:tcW w:w="1453" w:type="dxa"/>
          </w:tcPr>
          <w:p>
            <w:pPr>
              <w:pStyle w:val="14"/>
              <w:spacing w:before="5" w:line="214" w:lineRule="exact"/>
              <w:ind w:left="381" w:right="372"/>
              <w:rPr>
                <w:rFonts w:ascii="Times New Roman"/>
                <w:sz w:val="20"/>
              </w:rPr>
            </w:pPr>
            <w:r>
              <w:rPr>
                <w:rFonts w:ascii="Times New Roman"/>
                <w:sz w:val="20"/>
              </w:rPr>
              <w:t>10.9315</w:t>
            </w:r>
          </w:p>
        </w:tc>
        <w:tc>
          <w:tcPr>
            <w:tcW w:w="145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83" w:type="dxa"/>
            <w:vMerge w:val="continue"/>
            <w:tcBorders>
              <w:top w:val="nil"/>
            </w:tcBorders>
          </w:tcPr>
          <w:p>
            <w:pPr>
              <w:rPr>
                <w:sz w:val="2"/>
                <w:szCs w:val="2"/>
              </w:rPr>
            </w:pPr>
          </w:p>
        </w:tc>
        <w:tc>
          <w:tcPr>
            <w:tcW w:w="1023" w:type="dxa"/>
            <w:vMerge w:val="continue"/>
            <w:tcBorders>
              <w:top w:val="nil"/>
            </w:tcBorders>
          </w:tcPr>
          <w:p>
            <w:pPr>
              <w:rPr>
                <w:sz w:val="2"/>
                <w:szCs w:val="2"/>
              </w:rPr>
            </w:pPr>
          </w:p>
        </w:tc>
        <w:tc>
          <w:tcPr>
            <w:tcW w:w="694" w:type="dxa"/>
          </w:tcPr>
          <w:p>
            <w:pPr>
              <w:pStyle w:val="14"/>
              <w:spacing w:before="5" w:line="215" w:lineRule="exact"/>
              <w:ind w:right="136"/>
              <w:jc w:val="right"/>
              <w:rPr>
                <w:rFonts w:ascii="Times New Roman"/>
                <w:sz w:val="20"/>
              </w:rPr>
            </w:pPr>
            <w:r>
              <w:rPr>
                <w:rFonts w:ascii="Times New Roman"/>
                <w:w w:val="95"/>
                <w:sz w:val="20"/>
              </w:rPr>
              <w:t>2024</w:t>
            </w:r>
          </w:p>
        </w:tc>
        <w:tc>
          <w:tcPr>
            <w:tcW w:w="831" w:type="dxa"/>
          </w:tcPr>
          <w:p>
            <w:pPr>
              <w:pStyle w:val="14"/>
              <w:spacing w:before="5" w:line="215" w:lineRule="exact"/>
              <w:ind w:left="295" w:right="285"/>
              <w:rPr>
                <w:rFonts w:ascii="Times New Roman"/>
                <w:sz w:val="20"/>
              </w:rPr>
            </w:pPr>
            <w:r>
              <w:rPr>
                <w:rFonts w:ascii="Times New Roman"/>
                <w:sz w:val="20"/>
              </w:rPr>
              <w:t>30</w:t>
            </w:r>
          </w:p>
        </w:tc>
        <w:tc>
          <w:tcPr>
            <w:tcW w:w="1056" w:type="dxa"/>
          </w:tcPr>
          <w:p>
            <w:pPr>
              <w:pStyle w:val="14"/>
              <w:spacing w:before="5" w:line="215" w:lineRule="exact"/>
              <w:ind w:left="126" w:right="117"/>
              <w:rPr>
                <w:rFonts w:ascii="Times New Roman"/>
                <w:sz w:val="20"/>
              </w:rPr>
            </w:pPr>
            <w:r>
              <w:rPr>
                <w:rFonts w:ascii="Times New Roman"/>
                <w:sz w:val="20"/>
              </w:rPr>
              <w:t>0.0000</w:t>
            </w:r>
          </w:p>
        </w:tc>
        <w:tc>
          <w:tcPr>
            <w:tcW w:w="1447" w:type="dxa"/>
          </w:tcPr>
          <w:p>
            <w:pPr>
              <w:pStyle w:val="14"/>
              <w:spacing w:before="5" w:line="215" w:lineRule="exact"/>
              <w:ind w:left="122" w:right="112"/>
              <w:rPr>
                <w:rFonts w:ascii="Times New Roman"/>
                <w:sz w:val="20"/>
              </w:rPr>
            </w:pPr>
            <w:r>
              <w:rPr>
                <w:rFonts w:ascii="Times New Roman"/>
                <w:sz w:val="20"/>
              </w:rPr>
              <w:t>0.36</w:t>
            </w:r>
          </w:p>
        </w:tc>
        <w:tc>
          <w:tcPr>
            <w:tcW w:w="1453" w:type="dxa"/>
          </w:tcPr>
          <w:p>
            <w:pPr>
              <w:pStyle w:val="14"/>
              <w:spacing w:before="5" w:line="215" w:lineRule="exact"/>
              <w:ind w:left="381" w:right="372"/>
              <w:rPr>
                <w:rFonts w:ascii="Times New Roman"/>
                <w:sz w:val="20"/>
              </w:rPr>
            </w:pPr>
            <w:r>
              <w:rPr>
                <w:rFonts w:ascii="Times New Roman"/>
                <w:sz w:val="20"/>
              </w:rPr>
              <w:t>10.9315</w:t>
            </w:r>
          </w:p>
        </w:tc>
        <w:tc>
          <w:tcPr>
            <w:tcW w:w="145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683" w:type="dxa"/>
            <w:vMerge w:val="continue"/>
            <w:tcBorders>
              <w:top w:val="nil"/>
            </w:tcBorders>
          </w:tcPr>
          <w:p>
            <w:pPr>
              <w:rPr>
                <w:sz w:val="2"/>
                <w:szCs w:val="2"/>
              </w:rPr>
            </w:pPr>
          </w:p>
        </w:tc>
        <w:tc>
          <w:tcPr>
            <w:tcW w:w="1023" w:type="dxa"/>
            <w:vMerge w:val="continue"/>
            <w:tcBorders>
              <w:top w:val="nil"/>
            </w:tcBorders>
          </w:tcPr>
          <w:p>
            <w:pPr>
              <w:rPr>
                <w:sz w:val="2"/>
                <w:szCs w:val="2"/>
              </w:rPr>
            </w:pPr>
          </w:p>
        </w:tc>
        <w:tc>
          <w:tcPr>
            <w:tcW w:w="694" w:type="dxa"/>
          </w:tcPr>
          <w:p>
            <w:pPr>
              <w:pStyle w:val="14"/>
              <w:spacing w:before="5" w:line="213" w:lineRule="exact"/>
              <w:ind w:right="136"/>
              <w:jc w:val="right"/>
              <w:rPr>
                <w:rFonts w:ascii="Times New Roman"/>
                <w:sz w:val="20"/>
              </w:rPr>
            </w:pPr>
            <w:r>
              <w:rPr>
                <w:rFonts w:ascii="Times New Roman"/>
                <w:w w:val="95"/>
                <w:sz w:val="20"/>
              </w:rPr>
              <w:t>2025</w:t>
            </w:r>
          </w:p>
        </w:tc>
        <w:tc>
          <w:tcPr>
            <w:tcW w:w="831" w:type="dxa"/>
          </w:tcPr>
          <w:p>
            <w:pPr>
              <w:pStyle w:val="14"/>
              <w:spacing w:before="5" w:line="213" w:lineRule="exact"/>
              <w:ind w:left="295" w:right="285"/>
              <w:rPr>
                <w:rFonts w:ascii="Times New Roman"/>
                <w:sz w:val="20"/>
              </w:rPr>
            </w:pPr>
            <w:r>
              <w:rPr>
                <w:rFonts w:ascii="Times New Roman"/>
                <w:sz w:val="20"/>
              </w:rPr>
              <w:t>30</w:t>
            </w:r>
          </w:p>
        </w:tc>
        <w:tc>
          <w:tcPr>
            <w:tcW w:w="1056" w:type="dxa"/>
          </w:tcPr>
          <w:p>
            <w:pPr>
              <w:pStyle w:val="14"/>
              <w:spacing w:before="5" w:line="213" w:lineRule="exact"/>
              <w:ind w:left="126" w:right="117"/>
              <w:rPr>
                <w:rFonts w:ascii="Times New Roman"/>
                <w:sz w:val="20"/>
              </w:rPr>
            </w:pPr>
            <w:r>
              <w:rPr>
                <w:rFonts w:ascii="Times New Roman"/>
                <w:sz w:val="20"/>
              </w:rPr>
              <w:t>0.0000</w:t>
            </w:r>
          </w:p>
        </w:tc>
        <w:tc>
          <w:tcPr>
            <w:tcW w:w="1447" w:type="dxa"/>
          </w:tcPr>
          <w:p>
            <w:pPr>
              <w:pStyle w:val="14"/>
              <w:spacing w:before="5" w:line="213" w:lineRule="exact"/>
              <w:ind w:left="122" w:right="112"/>
              <w:rPr>
                <w:rFonts w:ascii="Times New Roman"/>
                <w:sz w:val="20"/>
              </w:rPr>
            </w:pPr>
            <w:r>
              <w:rPr>
                <w:rFonts w:ascii="Times New Roman"/>
                <w:sz w:val="20"/>
              </w:rPr>
              <w:t>0.36</w:t>
            </w:r>
          </w:p>
        </w:tc>
        <w:tc>
          <w:tcPr>
            <w:tcW w:w="1453" w:type="dxa"/>
          </w:tcPr>
          <w:p>
            <w:pPr>
              <w:pStyle w:val="14"/>
              <w:spacing w:before="5" w:line="213" w:lineRule="exact"/>
              <w:ind w:left="381" w:right="372"/>
              <w:rPr>
                <w:rFonts w:ascii="Times New Roman"/>
                <w:sz w:val="20"/>
              </w:rPr>
            </w:pPr>
            <w:r>
              <w:rPr>
                <w:rFonts w:ascii="Times New Roman"/>
                <w:sz w:val="20"/>
              </w:rPr>
              <w:t>10.9315</w:t>
            </w:r>
          </w:p>
        </w:tc>
        <w:tc>
          <w:tcPr>
            <w:tcW w:w="1453" w:type="dxa"/>
            <w:vMerge w:val="continue"/>
            <w:tcBorders>
              <w:top w:val="nil"/>
            </w:tcBorders>
          </w:tcPr>
          <w:p>
            <w:pPr>
              <w:rPr>
                <w:sz w:val="2"/>
                <w:szCs w:val="2"/>
              </w:rPr>
            </w:pPr>
          </w:p>
        </w:tc>
      </w:tr>
    </w:tbl>
    <w:p>
      <w:pPr>
        <w:spacing w:after="0"/>
        <w:rPr>
          <w:sz w:val="2"/>
          <w:szCs w:val="2"/>
        </w:rPr>
        <w:sectPr>
          <w:pgSz w:w="11910" w:h="16840"/>
          <w:pgMar w:top="1460" w:right="780" w:bottom="1180" w:left="1200" w:header="0" w:footer="997" w:gutter="0"/>
        </w:sectPr>
      </w:pPr>
    </w:p>
    <w:tbl>
      <w:tblPr>
        <w:tblStyle w:val="10"/>
        <w:tblW w:w="0" w:type="auto"/>
        <w:tblInd w:w="4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3"/>
        <w:gridCol w:w="1023"/>
        <w:gridCol w:w="694"/>
        <w:gridCol w:w="831"/>
        <w:gridCol w:w="1056"/>
        <w:gridCol w:w="1447"/>
        <w:gridCol w:w="1453"/>
        <w:gridCol w:w="14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83" w:type="dxa"/>
            <w:vMerge w:val="restart"/>
          </w:tcPr>
          <w:p>
            <w:pPr>
              <w:pStyle w:val="14"/>
              <w:jc w:val="left"/>
              <w:rPr>
                <w:rFonts w:ascii="仿宋"/>
                <w:b/>
                <w:sz w:val="20"/>
              </w:rPr>
            </w:pPr>
          </w:p>
          <w:p>
            <w:pPr>
              <w:pStyle w:val="14"/>
              <w:spacing w:before="5"/>
              <w:jc w:val="left"/>
              <w:rPr>
                <w:rFonts w:ascii="仿宋"/>
                <w:b/>
                <w:sz w:val="18"/>
              </w:rPr>
            </w:pPr>
          </w:p>
          <w:p>
            <w:pPr>
              <w:pStyle w:val="14"/>
              <w:ind w:left="8"/>
              <w:rPr>
                <w:sz w:val="20"/>
              </w:rPr>
            </w:pPr>
            <w:r>
              <w:rPr>
                <w:w w:val="99"/>
                <w:sz w:val="20"/>
              </w:rPr>
              <w:t>二</w:t>
            </w:r>
          </w:p>
        </w:tc>
        <w:tc>
          <w:tcPr>
            <w:tcW w:w="1023" w:type="dxa"/>
            <w:vMerge w:val="restart"/>
          </w:tcPr>
          <w:p>
            <w:pPr>
              <w:pStyle w:val="14"/>
              <w:jc w:val="left"/>
              <w:rPr>
                <w:rFonts w:ascii="仿宋"/>
                <w:b/>
                <w:sz w:val="22"/>
              </w:rPr>
            </w:pPr>
          </w:p>
          <w:p>
            <w:pPr>
              <w:pStyle w:val="14"/>
              <w:spacing w:before="5"/>
              <w:jc w:val="left"/>
              <w:rPr>
                <w:rFonts w:ascii="仿宋"/>
                <w:b/>
                <w:sz w:val="17"/>
              </w:rPr>
            </w:pPr>
          </w:p>
          <w:p>
            <w:pPr>
              <w:pStyle w:val="14"/>
              <w:ind w:left="234"/>
              <w:jc w:val="left"/>
              <w:rPr>
                <w:rFonts w:ascii="Times New Roman"/>
                <w:sz w:val="20"/>
              </w:rPr>
            </w:pPr>
            <w:r>
              <w:rPr>
                <w:rFonts w:ascii="Times New Roman"/>
                <w:sz w:val="20"/>
              </w:rPr>
              <w:t>0.0000</w:t>
            </w:r>
          </w:p>
        </w:tc>
        <w:tc>
          <w:tcPr>
            <w:tcW w:w="694" w:type="dxa"/>
          </w:tcPr>
          <w:p>
            <w:pPr>
              <w:pStyle w:val="14"/>
              <w:spacing w:before="6" w:line="214" w:lineRule="exact"/>
              <w:ind w:left="125" w:right="119"/>
              <w:rPr>
                <w:rFonts w:ascii="Times New Roman"/>
                <w:sz w:val="20"/>
              </w:rPr>
            </w:pPr>
            <w:r>
              <w:rPr>
                <w:rFonts w:ascii="Times New Roman"/>
                <w:sz w:val="20"/>
              </w:rPr>
              <w:t>2026</w:t>
            </w:r>
          </w:p>
        </w:tc>
        <w:tc>
          <w:tcPr>
            <w:tcW w:w="831" w:type="dxa"/>
          </w:tcPr>
          <w:p>
            <w:pPr>
              <w:pStyle w:val="14"/>
              <w:spacing w:before="6" w:line="214" w:lineRule="exact"/>
              <w:ind w:right="303"/>
              <w:jc w:val="right"/>
              <w:rPr>
                <w:rFonts w:ascii="Times New Roman"/>
                <w:sz w:val="20"/>
              </w:rPr>
            </w:pPr>
            <w:r>
              <w:rPr>
                <w:rFonts w:ascii="Times New Roman"/>
                <w:sz w:val="20"/>
              </w:rPr>
              <w:t>30</w:t>
            </w:r>
          </w:p>
        </w:tc>
        <w:tc>
          <w:tcPr>
            <w:tcW w:w="1056" w:type="dxa"/>
          </w:tcPr>
          <w:p>
            <w:pPr>
              <w:pStyle w:val="14"/>
              <w:spacing w:before="6" w:line="214" w:lineRule="exact"/>
              <w:ind w:left="126" w:right="117"/>
              <w:rPr>
                <w:rFonts w:ascii="Times New Roman"/>
                <w:sz w:val="20"/>
              </w:rPr>
            </w:pPr>
            <w:r>
              <w:rPr>
                <w:rFonts w:ascii="Times New Roman"/>
                <w:sz w:val="20"/>
              </w:rPr>
              <w:t>0.0000</w:t>
            </w:r>
          </w:p>
        </w:tc>
        <w:tc>
          <w:tcPr>
            <w:tcW w:w="1447" w:type="dxa"/>
          </w:tcPr>
          <w:p>
            <w:pPr>
              <w:pStyle w:val="14"/>
              <w:spacing w:before="6" w:line="214" w:lineRule="exact"/>
              <w:ind w:left="122" w:right="112"/>
              <w:rPr>
                <w:rFonts w:ascii="Times New Roman"/>
                <w:sz w:val="20"/>
              </w:rPr>
            </w:pPr>
            <w:r>
              <w:rPr>
                <w:rFonts w:ascii="Times New Roman"/>
                <w:sz w:val="20"/>
              </w:rPr>
              <w:t>0.36</w:t>
            </w:r>
          </w:p>
        </w:tc>
        <w:tc>
          <w:tcPr>
            <w:tcW w:w="1453" w:type="dxa"/>
          </w:tcPr>
          <w:p>
            <w:pPr>
              <w:pStyle w:val="14"/>
              <w:spacing w:before="6" w:line="214" w:lineRule="exact"/>
              <w:ind w:right="390"/>
              <w:jc w:val="right"/>
              <w:rPr>
                <w:rFonts w:ascii="Times New Roman"/>
                <w:sz w:val="20"/>
              </w:rPr>
            </w:pPr>
            <w:r>
              <w:rPr>
                <w:rFonts w:ascii="Times New Roman"/>
                <w:sz w:val="20"/>
              </w:rPr>
              <w:t>10.9315</w:t>
            </w:r>
          </w:p>
        </w:tc>
        <w:tc>
          <w:tcPr>
            <w:tcW w:w="1453" w:type="dxa"/>
            <w:vMerge w:val="restart"/>
          </w:tcPr>
          <w:p>
            <w:pPr>
              <w:pStyle w:val="14"/>
              <w:jc w:val="left"/>
              <w:rPr>
                <w:rFonts w:ascii="仿宋"/>
                <w:b/>
                <w:sz w:val="22"/>
              </w:rPr>
            </w:pPr>
          </w:p>
          <w:p>
            <w:pPr>
              <w:pStyle w:val="14"/>
              <w:spacing w:before="5"/>
              <w:jc w:val="left"/>
              <w:rPr>
                <w:rFonts w:ascii="仿宋"/>
                <w:b/>
                <w:sz w:val="17"/>
              </w:rPr>
            </w:pPr>
          </w:p>
          <w:p>
            <w:pPr>
              <w:pStyle w:val="14"/>
              <w:ind w:left="400"/>
              <w:jc w:val="left"/>
              <w:rPr>
                <w:rFonts w:ascii="Times New Roman"/>
                <w:sz w:val="20"/>
              </w:rPr>
            </w:pPr>
            <w:r>
              <w:rPr>
                <w:rFonts w:ascii="Times New Roman"/>
                <w:sz w:val="20"/>
              </w:rPr>
              <w:t>54.6573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83" w:type="dxa"/>
            <w:vMerge w:val="continue"/>
            <w:tcBorders>
              <w:top w:val="nil"/>
            </w:tcBorders>
          </w:tcPr>
          <w:p>
            <w:pPr>
              <w:rPr>
                <w:sz w:val="2"/>
                <w:szCs w:val="2"/>
              </w:rPr>
            </w:pPr>
          </w:p>
        </w:tc>
        <w:tc>
          <w:tcPr>
            <w:tcW w:w="1023" w:type="dxa"/>
            <w:vMerge w:val="continue"/>
            <w:tcBorders>
              <w:top w:val="nil"/>
            </w:tcBorders>
          </w:tcPr>
          <w:p>
            <w:pPr>
              <w:rPr>
                <w:sz w:val="2"/>
                <w:szCs w:val="2"/>
              </w:rPr>
            </w:pPr>
          </w:p>
        </w:tc>
        <w:tc>
          <w:tcPr>
            <w:tcW w:w="694" w:type="dxa"/>
          </w:tcPr>
          <w:p>
            <w:pPr>
              <w:pStyle w:val="14"/>
              <w:spacing w:before="5" w:line="214" w:lineRule="exact"/>
              <w:ind w:left="125" w:right="119"/>
              <w:rPr>
                <w:rFonts w:ascii="Times New Roman"/>
                <w:sz w:val="20"/>
              </w:rPr>
            </w:pPr>
            <w:r>
              <w:rPr>
                <w:rFonts w:ascii="Times New Roman"/>
                <w:sz w:val="20"/>
              </w:rPr>
              <w:t>2027</w:t>
            </w:r>
          </w:p>
        </w:tc>
        <w:tc>
          <w:tcPr>
            <w:tcW w:w="831" w:type="dxa"/>
          </w:tcPr>
          <w:p>
            <w:pPr>
              <w:pStyle w:val="14"/>
              <w:spacing w:before="5" w:line="214" w:lineRule="exact"/>
              <w:ind w:right="303"/>
              <w:jc w:val="right"/>
              <w:rPr>
                <w:rFonts w:ascii="Times New Roman"/>
                <w:sz w:val="20"/>
              </w:rPr>
            </w:pPr>
            <w:r>
              <w:rPr>
                <w:rFonts w:ascii="Times New Roman"/>
                <w:sz w:val="20"/>
              </w:rPr>
              <w:t>30</w:t>
            </w:r>
          </w:p>
        </w:tc>
        <w:tc>
          <w:tcPr>
            <w:tcW w:w="1056" w:type="dxa"/>
          </w:tcPr>
          <w:p>
            <w:pPr>
              <w:pStyle w:val="14"/>
              <w:spacing w:before="5" w:line="214" w:lineRule="exact"/>
              <w:ind w:left="126" w:right="117"/>
              <w:rPr>
                <w:rFonts w:ascii="Times New Roman"/>
                <w:sz w:val="20"/>
              </w:rPr>
            </w:pPr>
            <w:r>
              <w:rPr>
                <w:rFonts w:ascii="Times New Roman"/>
                <w:sz w:val="20"/>
              </w:rPr>
              <w:t>0.0000</w:t>
            </w:r>
          </w:p>
        </w:tc>
        <w:tc>
          <w:tcPr>
            <w:tcW w:w="1447" w:type="dxa"/>
          </w:tcPr>
          <w:p>
            <w:pPr>
              <w:pStyle w:val="14"/>
              <w:spacing w:before="5" w:line="214" w:lineRule="exact"/>
              <w:ind w:left="122" w:right="112"/>
              <w:rPr>
                <w:rFonts w:ascii="Times New Roman"/>
                <w:sz w:val="20"/>
              </w:rPr>
            </w:pPr>
            <w:r>
              <w:rPr>
                <w:rFonts w:ascii="Times New Roman"/>
                <w:sz w:val="20"/>
              </w:rPr>
              <w:t>0.36</w:t>
            </w:r>
          </w:p>
        </w:tc>
        <w:tc>
          <w:tcPr>
            <w:tcW w:w="1453" w:type="dxa"/>
          </w:tcPr>
          <w:p>
            <w:pPr>
              <w:pStyle w:val="14"/>
              <w:spacing w:before="5" w:line="214" w:lineRule="exact"/>
              <w:ind w:right="390"/>
              <w:jc w:val="right"/>
              <w:rPr>
                <w:rFonts w:ascii="Times New Roman"/>
                <w:sz w:val="20"/>
              </w:rPr>
            </w:pPr>
            <w:r>
              <w:rPr>
                <w:rFonts w:ascii="Times New Roman"/>
                <w:sz w:val="20"/>
              </w:rPr>
              <w:t>10.9315</w:t>
            </w:r>
          </w:p>
        </w:tc>
        <w:tc>
          <w:tcPr>
            <w:tcW w:w="145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83" w:type="dxa"/>
            <w:vMerge w:val="continue"/>
            <w:tcBorders>
              <w:top w:val="nil"/>
            </w:tcBorders>
          </w:tcPr>
          <w:p>
            <w:pPr>
              <w:rPr>
                <w:sz w:val="2"/>
                <w:szCs w:val="2"/>
              </w:rPr>
            </w:pPr>
          </w:p>
        </w:tc>
        <w:tc>
          <w:tcPr>
            <w:tcW w:w="1023" w:type="dxa"/>
            <w:vMerge w:val="continue"/>
            <w:tcBorders>
              <w:top w:val="nil"/>
            </w:tcBorders>
          </w:tcPr>
          <w:p>
            <w:pPr>
              <w:rPr>
                <w:sz w:val="2"/>
                <w:szCs w:val="2"/>
              </w:rPr>
            </w:pPr>
          </w:p>
        </w:tc>
        <w:tc>
          <w:tcPr>
            <w:tcW w:w="694" w:type="dxa"/>
          </w:tcPr>
          <w:p>
            <w:pPr>
              <w:pStyle w:val="14"/>
              <w:spacing w:before="5" w:line="215" w:lineRule="exact"/>
              <w:ind w:left="125" w:right="119"/>
              <w:rPr>
                <w:rFonts w:ascii="Times New Roman"/>
                <w:sz w:val="20"/>
              </w:rPr>
            </w:pPr>
            <w:r>
              <w:rPr>
                <w:rFonts w:ascii="Times New Roman"/>
                <w:sz w:val="20"/>
              </w:rPr>
              <w:t>2028</w:t>
            </w:r>
          </w:p>
        </w:tc>
        <w:tc>
          <w:tcPr>
            <w:tcW w:w="831" w:type="dxa"/>
          </w:tcPr>
          <w:p>
            <w:pPr>
              <w:pStyle w:val="14"/>
              <w:spacing w:before="5" w:line="215" w:lineRule="exact"/>
              <w:ind w:right="303"/>
              <w:jc w:val="right"/>
              <w:rPr>
                <w:rFonts w:ascii="Times New Roman"/>
                <w:sz w:val="20"/>
              </w:rPr>
            </w:pPr>
            <w:r>
              <w:rPr>
                <w:rFonts w:ascii="Times New Roman"/>
                <w:sz w:val="20"/>
              </w:rPr>
              <w:t>30</w:t>
            </w:r>
          </w:p>
        </w:tc>
        <w:tc>
          <w:tcPr>
            <w:tcW w:w="1056" w:type="dxa"/>
          </w:tcPr>
          <w:p>
            <w:pPr>
              <w:pStyle w:val="14"/>
              <w:spacing w:before="5" w:line="215" w:lineRule="exact"/>
              <w:ind w:left="126" w:right="117"/>
              <w:rPr>
                <w:rFonts w:ascii="Times New Roman"/>
                <w:sz w:val="20"/>
              </w:rPr>
            </w:pPr>
            <w:r>
              <w:rPr>
                <w:rFonts w:ascii="Times New Roman"/>
                <w:sz w:val="20"/>
              </w:rPr>
              <w:t>0.0000</w:t>
            </w:r>
          </w:p>
        </w:tc>
        <w:tc>
          <w:tcPr>
            <w:tcW w:w="1447" w:type="dxa"/>
          </w:tcPr>
          <w:p>
            <w:pPr>
              <w:pStyle w:val="14"/>
              <w:spacing w:before="5" w:line="215" w:lineRule="exact"/>
              <w:ind w:left="122" w:right="112"/>
              <w:rPr>
                <w:rFonts w:ascii="Times New Roman"/>
                <w:sz w:val="20"/>
              </w:rPr>
            </w:pPr>
            <w:r>
              <w:rPr>
                <w:rFonts w:ascii="Times New Roman"/>
                <w:sz w:val="20"/>
              </w:rPr>
              <w:t>0.36</w:t>
            </w:r>
          </w:p>
        </w:tc>
        <w:tc>
          <w:tcPr>
            <w:tcW w:w="1453" w:type="dxa"/>
          </w:tcPr>
          <w:p>
            <w:pPr>
              <w:pStyle w:val="14"/>
              <w:spacing w:before="5" w:line="215" w:lineRule="exact"/>
              <w:ind w:right="390"/>
              <w:jc w:val="right"/>
              <w:rPr>
                <w:rFonts w:ascii="Times New Roman"/>
                <w:sz w:val="20"/>
              </w:rPr>
            </w:pPr>
            <w:r>
              <w:rPr>
                <w:rFonts w:ascii="Times New Roman"/>
                <w:sz w:val="20"/>
              </w:rPr>
              <w:t>10.9315</w:t>
            </w:r>
          </w:p>
        </w:tc>
        <w:tc>
          <w:tcPr>
            <w:tcW w:w="145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83" w:type="dxa"/>
            <w:vMerge w:val="continue"/>
            <w:tcBorders>
              <w:top w:val="nil"/>
            </w:tcBorders>
          </w:tcPr>
          <w:p>
            <w:pPr>
              <w:rPr>
                <w:sz w:val="2"/>
                <w:szCs w:val="2"/>
              </w:rPr>
            </w:pPr>
          </w:p>
        </w:tc>
        <w:tc>
          <w:tcPr>
            <w:tcW w:w="1023" w:type="dxa"/>
            <w:vMerge w:val="continue"/>
            <w:tcBorders>
              <w:top w:val="nil"/>
            </w:tcBorders>
          </w:tcPr>
          <w:p>
            <w:pPr>
              <w:rPr>
                <w:sz w:val="2"/>
                <w:szCs w:val="2"/>
              </w:rPr>
            </w:pPr>
          </w:p>
        </w:tc>
        <w:tc>
          <w:tcPr>
            <w:tcW w:w="694" w:type="dxa"/>
          </w:tcPr>
          <w:p>
            <w:pPr>
              <w:pStyle w:val="14"/>
              <w:spacing w:before="7" w:line="213" w:lineRule="exact"/>
              <w:ind w:left="125" w:right="119"/>
              <w:rPr>
                <w:rFonts w:ascii="Times New Roman"/>
                <w:sz w:val="20"/>
              </w:rPr>
            </w:pPr>
            <w:r>
              <w:rPr>
                <w:rFonts w:ascii="Times New Roman"/>
                <w:sz w:val="20"/>
              </w:rPr>
              <w:t>2029</w:t>
            </w:r>
          </w:p>
        </w:tc>
        <w:tc>
          <w:tcPr>
            <w:tcW w:w="831" w:type="dxa"/>
          </w:tcPr>
          <w:p>
            <w:pPr>
              <w:pStyle w:val="14"/>
              <w:spacing w:before="7" w:line="213" w:lineRule="exact"/>
              <w:ind w:right="303"/>
              <w:jc w:val="right"/>
              <w:rPr>
                <w:rFonts w:ascii="Times New Roman"/>
                <w:sz w:val="20"/>
              </w:rPr>
            </w:pPr>
            <w:r>
              <w:rPr>
                <w:rFonts w:ascii="Times New Roman"/>
                <w:sz w:val="20"/>
              </w:rPr>
              <w:t>30</w:t>
            </w:r>
          </w:p>
        </w:tc>
        <w:tc>
          <w:tcPr>
            <w:tcW w:w="1056" w:type="dxa"/>
          </w:tcPr>
          <w:p>
            <w:pPr>
              <w:pStyle w:val="14"/>
              <w:spacing w:before="7" w:line="213" w:lineRule="exact"/>
              <w:ind w:left="126" w:right="117"/>
              <w:rPr>
                <w:rFonts w:ascii="Times New Roman"/>
                <w:sz w:val="20"/>
              </w:rPr>
            </w:pPr>
            <w:r>
              <w:rPr>
                <w:rFonts w:ascii="Times New Roman"/>
                <w:sz w:val="20"/>
              </w:rPr>
              <w:t>0.0000</w:t>
            </w:r>
          </w:p>
        </w:tc>
        <w:tc>
          <w:tcPr>
            <w:tcW w:w="1447" w:type="dxa"/>
          </w:tcPr>
          <w:p>
            <w:pPr>
              <w:pStyle w:val="14"/>
              <w:spacing w:before="7" w:line="213" w:lineRule="exact"/>
              <w:ind w:left="122" w:right="112"/>
              <w:rPr>
                <w:rFonts w:ascii="Times New Roman"/>
                <w:sz w:val="20"/>
              </w:rPr>
            </w:pPr>
            <w:r>
              <w:rPr>
                <w:rFonts w:ascii="Times New Roman"/>
                <w:sz w:val="20"/>
              </w:rPr>
              <w:t>0.36</w:t>
            </w:r>
          </w:p>
        </w:tc>
        <w:tc>
          <w:tcPr>
            <w:tcW w:w="1453" w:type="dxa"/>
          </w:tcPr>
          <w:p>
            <w:pPr>
              <w:pStyle w:val="14"/>
              <w:spacing w:before="7" w:line="213" w:lineRule="exact"/>
              <w:ind w:right="390"/>
              <w:jc w:val="right"/>
              <w:rPr>
                <w:rFonts w:ascii="Times New Roman"/>
                <w:sz w:val="20"/>
              </w:rPr>
            </w:pPr>
            <w:r>
              <w:rPr>
                <w:rFonts w:ascii="Times New Roman"/>
                <w:sz w:val="20"/>
              </w:rPr>
              <w:t>10.9315</w:t>
            </w:r>
          </w:p>
        </w:tc>
        <w:tc>
          <w:tcPr>
            <w:tcW w:w="145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83" w:type="dxa"/>
            <w:vMerge w:val="continue"/>
            <w:tcBorders>
              <w:top w:val="nil"/>
            </w:tcBorders>
          </w:tcPr>
          <w:p>
            <w:pPr>
              <w:rPr>
                <w:sz w:val="2"/>
                <w:szCs w:val="2"/>
              </w:rPr>
            </w:pPr>
          </w:p>
        </w:tc>
        <w:tc>
          <w:tcPr>
            <w:tcW w:w="1023" w:type="dxa"/>
            <w:vMerge w:val="continue"/>
            <w:tcBorders>
              <w:top w:val="nil"/>
            </w:tcBorders>
          </w:tcPr>
          <w:p>
            <w:pPr>
              <w:rPr>
                <w:sz w:val="2"/>
                <w:szCs w:val="2"/>
              </w:rPr>
            </w:pPr>
          </w:p>
        </w:tc>
        <w:tc>
          <w:tcPr>
            <w:tcW w:w="694" w:type="dxa"/>
          </w:tcPr>
          <w:p>
            <w:pPr>
              <w:pStyle w:val="14"/>
              <w:spacing w:before="7" w:line="213" w:lineRule="exact"/>
              <w:ind w:left="125" w:right="119"/>
              <w:rPr>
                <w:rFonts w:ascii="Times New Roman"/>
                <w:sz w:val="20"/>
              </w:rPr>
            </w:pPr>
            <w:r>
              <w:rPr>
                <w:rFonts w:ascii="Times New Roman"/>
                <w:sz w:val="20"/>
              </w:rPr>
              <w:t>2030</w:t>
            </w:r>
          </w:p>
        </w:tc>
        <w:tc>
          <w:tcPr>
            <w:tcW w:w="831" w:type="dxa"/>
          </w:tcPr>
          <w:p>
            <w:pPr>
              <w:pStyle w:val="14"/>
              <w:spacing w:before="7" w:line="213" w:lineRule="exact"/>
              <w:ind w:right="303"/>
              <w:jc w:val="right"/>
              <w:rPr>
                <w:rFonts w:ascii="Times New Roman"/>
                <w:sz w:val="20"/>
              </w:rPr>
            </w:pPr>
            <w:r>
              <w:rPr>
                <w:rFonts w:ascii="Times New Roman"/>
                <w:sz w:val="20"/>
              </w:rPr>
              <w:t>30</w:t>
            </w:r>
          </w:p>
        </w:tc>
        <w:tc>
          <w:tcPr>
            <w:tcW w:w="1056" w:type="dxa"/>
          </w:tcPr>
          <w:p>
            <w:pPr>
              <w:pStyle w:val="14"/>
              <w:spacing w:before="7" w:line="213" w:lineRule="exact"/>
              <w:ind w:left="126" w:right="117"/>
              <w:rPr>
                <w:rFonts w:ascii="Times New Roman"/>
                <w:sz w:val="20"/>
              </w:rPr>
            </w:pPr>
            <w:r>
              <w:rPr>
                <w:rFonts w:ascii="Times New Roman"/>
                <w:sz w:val="20"/>
              </w:rPr>
              <w:t>0.0000</w:t>
            </w:r>
          </w:p>
        </w:tc>
        <w:tc>
          <w:tcPr>
            <w:tcW w:w="1447" w:type="dxa"/>
          </w:tcPr>
          <w:p>
            <w:pPr>
              <w:pStyle w:val="14"/>
              <w:spacing w:before="7" w:line="213" w:lineRule="exact"/>
              <w:ind w:left="122" w:right="112"/>
              <w:rPr>
                <w:rFonts w:ascii="Times New Roman"/>
                <w:sz w:val="20"/>
              </w:rPr>
            </w:pPr>
            <w:r>
              <w:rPr>
                <w:rFonts w:ascii="Times New Roman"/>
                <w:sz w:val="20"/>
              </w:rPr>
              <w:t>0.36</w:t>
            </w:r>
          </w:p>
        </w:tc>
        <w:tc>
          <w:tcPr>
            <w:tcW w:w="1453" w:type="dxa"/>
          </w:tcPr>
          <w:p>
            <w:pPr>
              <w:pStyle w:val="14"/>
              <w:spacing w:before="7" w:line="213" w:lineRule="exact"/>
              <w:ind w:right="390"/>
              <w:jc w:val="right"/>
              <w:rPr>
                <w:rFonts w:ascii="Times New Roman"/>
                <w:sz w:val="20"/>
              </w:rPr>
            </w:pPr>
            <w:r>
              <w:rPr>
                <w:rFonts w:ascii="Times New Roman"/>
                <w:sz w:val="20"/>
              </w:rPr>
              <w:t>10.9315</w:t>
            </w:r>
          </w:p>
        </w:tc>
        <w:tc>
          <w:tcPr>
            <w:tcW w:w="145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83" w:type="dxa"/>
            <w:vMerge w:val="restart"/>
          </w:tcPr>
          <w:p>
            <w:pPr>
              <w:pStyle w:val="14"/>
              <w:jc w:val="left"/>
              <w:rPr>
                <w:rFonts w:ascii="仿宋"/>
                <w:b/>
                <w:sz w:val="20"/>
              </w:rPr>
            </w:pPr>
          </w:p>
          <w:p>
            <w:pPr>
              <w:pStyle w:val="14"/>
              <w:spacing w:before="5"/>
              <w:jc w:val="left"/>
              <w:rPr>
                <w:rFonts w:ascii="仿宋"/>
                <w:b/>
                <w:sz w:val="18"/>
              </w:rPr>
            </w:pPr>
          </w:p>
          <w:p>
            <w:pPr>
              <w:pStyle w:val="14"/>
              <w:ind w:left="8"/>
              <w:rPr>
                <w:sz w:val="20"/>
              </w:rPr>
            </w:pPr>
            <w:r>
              <w:rPr>
                <w:w w:val="99"/>
                <w:sz w:val="20"/>
              </w:rPr>
              <w:t>三</w:t>
            </w:r>
          </w:p>
        </w:tc>
        <w:tc>
          <w:tcPr>
            <w:tcW w:w="1023" w:type="dxa"/>
            <w:vMerge w:val="restart"/>
          </w:tcPr>
          <w:p>
            <w:pPr>
              <w:pStyle w:val="14"/>
              <w:jc w:val="left"/>
              <w:rPr>
                <w:rFonts w:ascii="仿宋"/>
                <w:b/>
                <w:sz w:val="22"/>
              </w:rPr>
            </w:pPr>
          </w:p>
          <w:p>
            <w:pPr>
              <w:pStyle w:val="14"/>
              <w:spacing w:before="5"/>
              <w:jc w:val="left"/>
              <w:rPr>
                <w:rFonts w:ascii="仿宋"/>
                <w:b/>
                <w:sz w:val="17"/>
              </w:rPr>
            </w:pPr>
          </w:p>
          <w:p>
            <w:pPr>
              <w:pStyle w:val="14"/>
              <w:spacing w:before="1"/>
              <w:ind w:left="234"/>
              <w:jc w:val="left"/>
              <w:rPr>
                <w:rFonts w:ascii="Times New Roman"/>
                <w:sz w:val="20"/>
              </w:rPr>
            </w:pPr>
            <w:r>
              <w:rPr>
                <w:rFonts w:ascii="Times New Roman"/>
                <w:sz w:val="20"/>
              </w:rPr>
              <w:t>0.0000</w:t>
            </w:r>
          </w:p>
        </w:tc>
        <w:tc>
          <w:tcPr>
            <w:tcW w:w="694" w:type="dxa"/>
          </w:tcPr>
          <w:p>
            <w:pPr>
              <w:pStyle w:val="14"/>
              <w:spacing w:before="6" w:line="214" w:lineRule="exact"/>
              <w:ind w:left="125" w:right="119"/>
              <w:rPr>
                <w:rFonts w:ascii="Times New Roman"/>
                <w:sz w:val="20"/>
              </w:rPr>
            </w:pPr>
            <w:r>
              <w:rPr>
                <w:rFonts w:ascii="Times New Roman"/>
                <w:sz w:val="20"/>
              </w:rPr>
              <w:t>2031</w:t>
            </w:r>
          </w:p>
        </w:tc>
        <w:tc>
          <w:tcPr>
            <w:tcW w:w="831" w:type="dxa"/>
          </w:tcPr>
          <w:p>
            <w:pPr>
              <w:pStyle w:val="14"/>
              <w:spacing w:before="6" w:line="214" w:lineRule="exact"/>
              <w:ind w:right="303"/>
              <w:jc w:val="right"/>
              <w:rPr>
                <w:rFonts w:ascii="Times New Roman"/>
                <w:sz w:val="20"/>
              </w:rPr>
            </w:pPr>
            <w:r>
              <w:rPr>
                <w:rFonts w:ascii="Times New Roman"/>
                <w:sz w:val="20"/>
              </w:rPr>
              <w:t>30</w:t>
            </w:r>
          </w:p>
        </w:tc>
        <w:tc>
          <w:tcPr>
            <w:tcW w:w="1056" w:type="dxa"/>
          </w:tcPr>
          <w:p>
            <w:pPr>
              <w:pStyle w:val="14"/>
              <w:spacing w:before="6" w:line="214" w:lineRule="exact"/>
              <w:ind w:left="126" w:right="117"/>
              <w:rPr>
                <w:rFonts w:ascii="Times New Roman"/>
                <w:sz w:val="20"/>
              </w:rPr>
            </w:pPr>
            <w:r>
              <w:rPr>
                <w:rFonts w:ascii="Times New Roman"/>
                <w:sz w:val="20"/>
              </w:rPr>
              <w:t>0.0000</w:t>
            </w:r>
          </w:p>
        </w:tc>
        <w:tc>
          <w:tcPr>
            <w:tcW w:w="1447" w:type="dxa"/>
          </w:tcPr>
          <w:p>
            <w:pPr>
              <w:pStyle w:val="14"/>
              <w:spacing w:before="6" w:line="214" w:lineRule="exact"/>
              <w:ind w:left="122" w:right="112"/>
              <w:rPr>
                <w:rFonts w:ascii="Times New Roman"/>
                <w:sz w:val="20"/>
              </w:rPr>
            </w:pPr>
            <w:r>
              <w:rPr>
                <w:rFonts w:ascii="Times New Roman"/>
                <w:sz w:val="20"/>
              </w:rPr>
              <w:t>0.36</w:t>
            </w:r>
          </w:p>
        </w:tc>
        <w:tc>
          <w:tcPr>
            <w:tcW w:w="1453" w:type="dxa"/>
          </w:tcPr>
          <w:p>
            <w:pPr>
              <w:pStyle w:val="14"/>
              <w:spacing w:before="6" w:line="214" w:lineRule="exact"/>
              <w:ind w:right="390"/>
              <w:jc w:val="right"/>
              <w:rPr>
                <w:rFonts w:ascii="Times New Roman"/>
                <w:sz w:val="20"/>
              </w:rPr>
            </w:pPr>
            <w:r>
              <w:rPr>
                <w:rFonts w:ascii="Times New Roman"/>
                <w:sz w:val="20"/>
              </w:rPr>
              <w:t>10.9315</w:t>
            </w:r>
          </w:p>
        </w:tc>
        <w:tc>
          <w:tcPr>
            <w:tcW w:w="1453" w:type="dxa"/>
            <w:vMerge w:val="restart"/>
          </w:tcPr>
          <w:p>
            <w:pPr>
              <w:pStyle w:val="14"/>
              <w:jc w:val="left"/>
              <w:rPr>
                <w:rFonts w:ascii="仿宋"/>
                <w:b/>
                <w:sz w:val="22"/>
              </w:rPr>
            </w:pPr>
          </w:p>
          <w:p>
            <w:pPr>
              <w:pStyle w:val="14"/>
              <w:spacing w:before="5"/>
              <w:jc w:val="left"/>
              <w:rPr>
                <w:rFonts w:ascii="仿宋"/>
                <w:b/>
                <w:sz w:val="17"/>
              </w:rPr>
            </w:pPr>
          </w:p>
          <w:p>
            <w:pPr>
              <w:pStyle w:val="14"/>
              <w:spacing w:before="1"/>
              <w:ind w:left="400"/>
              <w:jc w:val="left"/>
              <w:rPr>
                <w:rFonts w:ascii="Times New Roman"/>
                <w:sz w:val="20"/>
              </w:rPr>
            </w:pPr>
            <w:r>
              <w:rPr>
                <w:rFonts w:ascii="Times New Roman"/>
                <w:sz w:val="20"/>
              </w:rPr>
              <w:t>43.7258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83" w:type="dxa"/>
            <w:vMerge w:val="continue"/>
            <w:tcBorders>
              <w:top w:val="nil"/>
            </w:tcBorders>
          </w:tcPr>
          <w:p>
            <w:pPr>
              <w:rPr>
                <w:sz w:val="2"/>
                <w:szCs w:val="2"/>
              </w:rPr>
            </w:pPr>
          </w:p>
        </w:tc>
        <w:tc>
          <w:tcPr>
            <w:tcW w:w="1023" w:type="dxa"/>
            <w:vMerge w:val="continue"/>
            <w:tcBorders>
              <w:top w:val="nil"/>
            </w:tcBorders>
          </w:tcPr>
          <w:p>
            <w:pPr>
              <w:rPr>
                <w:sz w:val="2"/>
                <w:szCs w:val="2"/>
              </w:rPr>
            </w:pPr>
          </w:p>
        </w:tc>
        <w:tc>
          <w:tcPr>
            <w:tcW w:w="694" w:type="dxa"/>
          </w:tcPr>
          <w:p>
            <w:pPr>
              <w:pStyle w:val="14"/>
              <w:spacing w:before="6" w:line="214" w:lineRule="exact"/>
              <w:ind w:left="125" w:right="119"/>
              <w:rPr>
                <w:rFonts w:ascii="Times New Roman"/>
                <w:sz w:val="20"/>
              </w:rPr>
            </w:pPr>
            <w:r>
              <w:rPr>
                <w:rFonts w:ascii="Times New Roman"/>
                <w:sz w:val="20"/>
              </w:rPr>
              <w:t>2032</w:t>
            </w:r>
          </w:p>
        </w:tc>
        <w:tc>
          <w:tcPr>
            <w:tcW w:w="831" w:type="dxa"/>
          </w:tcPr>
          <w:p>
            <w:pPr>
              <w:pStyle w:val="14"/>
              <w:spacing w:before="6" w:line="214" w:lineRule="exact"/>
              <w:ind w:right="303"/>
              <w:jc w:val="right"/>
              <w:rPr>
                <w:rFonts w:ascii="Times New Roman"/>
                <w:sz w:val="20"/>
              </w:rPr>
            </w:pPr>
            <w:r>
              <w:rPr>
                <w:rFonts w:ascii="Times New Roman"/>
                <w:sz w:val="20"/>
              </w:rPr>
              <w:t>30</w:t>
            </w:r>
          </w:p>
        </w:tc>
        <w:tc>
          <w:tcPr>
            <w:tcW w:w="1056" w:type="dxa"/>
          </w:tcPr>
          <w:p>
            <w:pPr>
              <w:pStyle w:val="14"/>
              <w:spacing w:before="6" w:line="214" w:lineRule="exact"/>
              <w:ind w:left="126" w:right="117"/>
              <w:rPr>
                <w:rFonts w:ascii="Times New Roman"/>
                <w:sz w:val="20"/>
              </w:rPr>
            </w:pPr>
            <w:r>
              <w:rPr>
                <w:rFonts w:ascii="Times New Roman"/>
                <w:sz w:val="20"/>
              </w:rPr>
              <w:t>0.0000</w:t>
            </w:r>
          </w:p>
        </w:tc>
        <w:tc>
          <w:tcPr>
            <w:tcW w:w="1447" w:type="dxa"/>
          </w:tcPr>
          <w:p>
            <w:pPr>
              <w:pStyle w:val="14"/>
              <w:spacing w:before="6" w:line="214" w:lineRule="exact"/>
              <w:ind w:left="122" w:right="112"/>
              <w:rPr>
                <w:rFonts w:ascii="Times New Roman"/>
                <w:sz w:val="20"/>
              </w:rPr>
            </w:pPr>
            <w:r>
              <w:rPr>
                <w:rFonts w:ascii="Times New Roman"/>
                <w:sz w:val="20"/>
              </w:rPr>
              <w:t>0.36</w:t>
            </w:r>
          </w:p>
        </w:tc>
        <w:tc>
          <w:tcPr>
            <w:tcW w:w="1453" w:type="dxa"/>
          </w:tcPr>
          <w:p>
            <w:pPr>
              <w:pStyle w:val="14"/>
              <w:spacing w:before="6" w:line="214" w:lineRule="exact"/>
              <w:ind w:right="390"/>
              <w:jc w:val="right"/>
              <w:rPr>
                <w:rFonts w:ascii="Times New Roman"/>
                <w:sz w:val="20"/>
              </w:rPr>
            </w:pPr>
            <w:r>
              <w:rPr>
                <w:rFonts w:ascii="Times New Roman"/>
                <w:sz w:val="20"/>
              </w:rPr>
              <w:t>10.9315</w:t>
            </w:r>
          </w:p>
        </w:tc>
        <w:tc>
          <w:tcPr>
            <w:tcW w:w="145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83" w:type="dxa"/>
            <w:vMerge w:val="continue"/>
            <w:tcBorders>
              <w:top w:val="nil"/>
            </w:tcBorders>
          </w:tcPr>
          <w:p>
            <w:pPr>
              <w:rPr>
                <w:sz w:val="2"/>
                <w:szCs w:val="2"/>
              </w:rPr>
            </w:pPr>
          </w:p>
        </w:tc>
        <w:tc>
          <w:tcPr>
            <w:tcW w:w="1023" w:type="dxa"/>
            <w:vMerge w:val="continue"/>
            <w:tcBorders>
              <w:top w:val="nil"/>
            </w:tcBorders>
          </w:tcPr>
          <w:p>
            <w:pPr>
              <w:rPr>
                <w:sz w:val="2"/>
                <w:szCs w:val="2"/>
              </w:rPr>
            </w:pPr>
          </w:p>
        </w:tc>
        <w:tc>
          <w:tcPr>
            <w:tcW w:w="694" w:type="dxa"/>
          </w:tcPr>
          <w:p>
            <w:pPr>
              <w:pStyle w:val="14"/>
              <w:spacing w:before="5" w:line="214" w:lineRule="exact"/>
              <w:ind w:left="125" w:right="119"/>
              <w:rPr>
                <w:rFonts w:ascii="Times New Roman"/>
                <w:sz w:val="20"/>
              </w:rPr>
            </w:pPr>
            <w:r>
              <w:rPr>
                <w:rFonts w:ascii="Times New Roman"/>
                <w:sz w:val="20"/>
              </w:rPr>
              <w:t>2033</w:t>
            </w:r>
          </w:p>
        </w:tc>
        <w:tc>
          <w:tcPr>
            <w:tcW w:w="831" w:type="dxa"/>
          </w:tcPr>
          <w:p>
            <w:pPr>
              <w:pStyle w:val="14"/>
              <w:spacing w:before="5" w:line="214" w:lineRule="exact"/>
              <w:ind w:right="303"/>
              <w:jc w:val="right"/>
              <w:rPr>
                <w:rFonts w:ascii="Times New Roman"/>
                <w:sz w:val="20"/>
              </w:rPr>
            </w:pPr>
            <w:r>
              <w:rPr>
                <w:rFonts w:ascii="Times New Roman"/>
                <w:sz w:val="20"/>
              </w:rPr>
              <w:t>30</w:t>
            </w:r>
          </w:p>
        </w:tc>
        <w:tc>
          <w:tcPr>
            <w:tcW w:w="1056" w:type="dxa"/>
          </w:tcPr>
          <w:p>
            <w:pPr>
              <w:pStyle w:val="14"/>
              <w:spacing w:before="5" w:line="214" w:lineRule="exact"/>
              <w:ind w:left="126" w:right="117"/>
              <w:rPr>
                <w:rFonts w:ascii="Times New Roman"/>
                <w:sz w:val="20"/>
              </w:rPr>
            </w:pPr>
            <w:r>
              <w:rPr>
                <w:rFonts w:ascii="Times New Roman"/>
                <w:sz w:val="20"/>
              </w:rPr>
              <w:t>0.0000</w:t>
            </w:r>
          </w:p>
        </w:tc>
        <w:tc>
          <w:tcPr>
            <w:tcW w:w="1447" w:type="dxa"/>
          </w:tcPr>
          <w:p>
            <w:pPr>
              <w:pStyle w:val="14"/>
              <w:spacing w:before="5" w:line="214" w:lineRule="exact"/>
              <w:ind w:left="122" w:right="112"/>
              <w:rPr>
                <w:rFonts w:ascii="Times New Roman"/>
                <w:sz w:val="20"/>
              </w:rPr>
            </w:pPr>
            <w:r>
              <w:rPr>
                <w:rFonts w:ascii="Times New Roman"/>
                <w:sz w:val="20"/>
              </w:rPr>
              <w:t>0.36</w:t>
            </w:r>
          </w:p>
        </w:tc>
        <w:tc>
          <w:tcPr>
            <w:tcW w:w="1453" w:type="dxa"/>
          </w:tcPr>
          <w:p>
            <w:pPr>
              <w:pStyle w:val="14"/>
              <w:spacing w:before="5" w:line="214" w:lineRule="exact"/>
              <w:ind w:right="390"/>
              <w:jc w:val="right"/>
              <w:rPr>
                <w:rFonts w:ascii="Times New Roman"/>
                <w:sz w:val="20"/>
              </w:rPr>
            </w:pPr>
            <w:r>
              <w:rPr>
                <w:rFonts w:ascii="Times New Roman"/>
                <w:sz w:val="20"/>
              </w:rPr>
              <w:t>10.9315</w:t>
            </w:r>
          </w:p>
        </w:tc>
        <w:tc>
          <w:tcPr>
            <w:tcW w:w="145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83" w:type="dxa"/>
            <w:vMerge w:val="continue"/>
            <w:tcBorders>
              <w:top w:val="nil"/>
            </w:tcBorders>
          </w:tcPr>
          <w:p>
            <w:pPr>
              <w:rPr>
                <w:sz w:val="2"/>
                <w:szCs w:val="2"/>
              </w:rPr>
            </w:pPr>
          </w:p>
        </w:tc>
        <w:tc>
          <w:tcPr>
            <w:tcW w:w="1023" w:type="dxa"/>
            <w:vMerge w:val="continue"/>
            <w:tcBorders>
              <w:top w:val="nil"/>
            </w:tcBorders>
          </w:tcPr>
          <w:p>
            <w:pPr>
              <w:rPr>
                <w:sz w:val="2"/>
                <w:szCs w:val="2"/>
              </w:rPr>
            </w:pPr>
          </w:p>
        </w:tc>
        <w:tc>
          <w:tcPr>
            <w:tcW w:w="694" w:type="dxa"/>
          </w:tcPr>
          <w:p>
            <w:pPr>
              <w:pStyle w:val="14"/>
              <w:spacing w:before="5" w:line="215" w:lineRule="exact"/>
              <w:ind w:left="125" w:right="119"/>
              <w:rPr>
                <w:rFonts w:ascii="Times New Roman"/>
                <w:sz w:val="20"/>
              </w:rPr>
            </w:pPr>
            <w:r>
              <w:rPr>
                <w:rFonts w:ascii="Times New Roman"/>
                <w:sz w:val="20"/>
              </w:rPr>
              <w:t>2034</w:t>
            </w:r>
          </w:p>
        </w:tc>
        <w:tc>
          <w:tcPr>
            <w:tcW w:w="831" w:type="dxa"/>
          </w:tcPr>
          <w:p>
            <w:pPr>
              <w:pStyle w:val="14"/>
              <w:spacing w:before="5" w:line="215" w:lineRule="exact"/>
              <w:ind w:right="303"/>
              <w:jc w:val="right"/>
              <w:rPr>
                <w:rFonts w:ascii="Times New Roman"/>
                <w:sz w:val="20"/>
              </w:rPr>
            </w:pPr>
            <w:r>
              <w:rPr>
                <w:rFonts w:ascii="Times New Roman"/>
                <w:sz w:val="20"/>
              </w:rPr>
              <w:t>30</w:t>
            </w:r>
          </w:p>
        </w:tc>
        <w:tc>
          <w:tcPr>
            <w:tcW w:w="1056" w:type="dxa"/>
          </w:tcPr>
          <w:p>
            <w:pPr>
              <w:pStyle w:val="14"/>
              <w:spacing w:before="5" w:line="215" w:lineRule="exact"/>
              <w:ind w:left="126" w:right="117"/>
              <w:rPr>
                <w:rFonts w:ascii="Times New Roman"/>
                <w:sz w:val="20"/>
              </w:rPr>
            </w:pPr>
            <w:r>
              <w:rPr>
                <w:rFonts w:ascii="Times New Roman"/>
                <w:sz w:val="20"/>
              </w:rPr>
              <w:t>0.0000</w:t>
            </w:r>
          </w:p>
        </w:tc>
        <w:tc>
          <w:tcPr>
            <w:tcW w:w="1447" w:type="dxa"/>
          </w:tcPr>
          <w:p>
            <w:pPr>
              <w:pStyle w:val="14"/>
              <w:spacing w:before="5" w:line="215" w:lineRule="exact"/>
              <w:ind w:left="122" w:right="112"/>
              <w:rPr>
                <w:rFonts w:ascii="Times New Roman"/>
                <w:sz w:val="20"/>
              </w:rPr>
            </w:pPr>
            <w:r>
              <w:rPr>
                <w:rFonts w:ascii="Times New Roman"/>
                <w:sz w:val="20"/>
              </w:rPr>
              <w:t>0.36</w:t>
            </w:r>
          </w:p>
        </w:tc>
        <w:tc>
          <w:tcPr>
            <w:tcW w:w="1453" w:type="dxa"/>
          </w:tcPr>
          <w:p>
            <w:pPr>
              <w:pStyle w:val="14"/>
              <w:spacing w:before="5" w:line="215" w:lineRule="exact"/>
              <w:ind w:right="390"/>
              <w:jc w:val="right"/>
              <w:rPr>
                <w:rFonts w:ascii="Times New Roman"/>
                <w:sz w:val="20"/>
              </w:rPr>
            </w:pPr>
            <w:r>
              <w:rPr>
                <w:rFonts w:ascii="Times New Roman"/>
                <w:sz w:val="20"/>
              </w:rPr>
              <w:t>10.9315</w:t>
            </w:r>
          </w:p>
        </w:tc>
        <w:tc>
          <w:tcPr>
            <w:tcW w:w="145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83" w:type="dxa"/>
            <w:vMerge w:val="continue"/>
            <w:tcBorders>
              <w:top w:val="nil"/>
            </w:tcBorders>
          </w:tcPr>
          <w:p>
            <w:pPr>
              <w:rPr>
                <w:sz w:val="2"/>
                <w:szCs w:val="2"/>
              </w:rPr>
            </w:pPr>
          </w:p>
        </w:tc>
        <w:tc>
          <w:tcPr>
            <w:tcW w:w="1023" w:type="dxa"/>
            <w:vMerge w:val="continue"/>
            <w:tcBorders>
              <w:top w:val="nil"/>
            </w:tcBorders>
          </w:tcPr>
          <w:p>
            <w:pPr>
              <w:rPr>
                <w:sz w:val="2"/>
                <w:szCs w:val="2"/>
              </w:rPr>
            </w:pPr>
          </w:p>
        </w:tc>
        <w:tc>
          <w:tcPr>
            <w:tcW w:w="694" w:type="dxa"/>
          </w:tcPr>
          <w:p>
            <w:pPr>
              <w:pStyle w:val="14"/>
              <w:spacing w:before="7" w:line="213" w:lineRule="exact"/>
              <w:ind w:left="125" w:right="119"/>
              <w:rPr>
                <w:rFonts w:ascii="Times New Roman"/>
                <w:sz w:val="20"/>
              </w:rPr>
            </w:pPr>
            <w:r>
              <w:rPr>
                <w:rFonts w:ascii="Times New Roman"/>
                <w:sz w:val="20"/>
              </w:rPr>
              <w:t>2035</w:t>
            </w:r>
          </w:p>
        </w:tc>
        <w:tc>
          <w:tcPr>
            <w:tcW w:w="831" w:type="dxa"/>
          </w:tcPr>
          <w:p>
            <w:pPr>
              <w:pStyle w:val="14"/>
              <w:spacing w:before="7" w:line="213" w:lineRule="exact"/>
              <w:ind w:right="303"/>
              <w:jc w:val="right"/>
              <w:rPr>
                <w:rFonts w:ascii="Times New Roman"/>
                <w:sz w:val="20"/>
              </w:rPr>
            </w:pPr>
            <w:r>
              <w:rPr>
                <w:rFonts w:ascii="Times New Roman"/>
                <w:sz w:val="20"/>
              </w:rPr>
              <w:t>30</w:t>
            </w:r>
          </w:p>
        </w:tc>
        <w:tc>
          <w:tcPr>
            <w:tcW w:w="1056" w:type="dxa"/>
          </w:tcPr>
          <w:p>
            <w:pPr>
              <w:pStyle w:val="14"/>
              <w:spacing w:before="7" w:line="213" w:lineRule="exact"/>
              <w:ind w:left="126" w:right="117"/>
              <w:rPr>
                <w:rFonts w:ascii="Times New Roman"/>
                <w:sz w:val="20"/>
              </w:rPr>
            </w:pPr>
            <w:r>
              <w:rPr>
                <w:rFonts w:ascii="Times New Roman"/>
                <w:sz w:val="20"/>
              </w:rPr>
              <w:t>0.0000</w:t>
            </w:r>
          </w:p>
        </w:tc>
        <w:tc>
          <w:tcPr>
            <w:tcW w:w="1447" w:type="dxa"/>
          </w:tcPr>
          <w:p>
            <w:pPr>
              <w:pStyle w:val="14"/>
              <w:spacing w:before="7" w:line="213" w:lineRule="exact"/>
              <w:ind w:left="8"/>
              <w:rPr>
                <w:rFonts w:ascii="Times New Roman"/>
                <w:sz w:val="20"/>
              </w:rPr>
            </w:pPr>
            <w:r>
              <w:rPr>
                <w:rFonts w:ascii="Times New Roman"/>
                <w:w w:val="99"/>
                <w:sz w:val="20"/>
              </w:rPr>
              <w:t>-</w:t>
            </w:r>
          </w:p>
        </w:tc>
        <w:tc>
          <w:tcPr>
            <w:tcW w:w="1453" w:type="dxa"/>
          </w:tcPr>
          <w:p>
            <w:pPr>
              <w:pStyle w:val="14"/>
              <w:spacing w:before="7" w:line="213" w:lineRule="exact"/>
              <w:ind w:left="7"/>
              <w:rPr>
                <w:rFonts w:ascii="Times New Roman"/>
                <w:sz w:val="20"/>
              </w:rPr>
            </w:pPr>
            <w:r>
              <w:rPr>
                <w:rFonts w:ascii="Times New Roman"/>
                <w:w w:val="99"/>
                <w:sz w:val="20"/>
              </w:rPr>
              <w:t>-</w:t>
            </w:r>
          </w:p>
        </w:tc>
        <w:tc>
          <w:tcPr>
            <w:tcW w:w="145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83" w:type="dxa"/>
            <w:vMerge w:val="restart"/>
          </w:tcPr>
          <w:p>
            <w:pPr>
              <w:pStyle w:val="14"/>
              <w:spacing w:before="9"/>
              <w:jc w:val="left"/>
              <w:rPr>
                <w:rFonts w:ascii="仿宋"/>
                <w:b/>
                <w:sz w:val="28"/>
              </w:rPr>
            </w:pPr>
          </w:p>
          <w:p>
            <w:pPr>
              <w:pStyle w:val="14"/>
              <w:ind w:left="8"/>
              <w:rPr>
                <w:sz w:val="20"/>
              </w:rPr>
            </w:pPr>
            <w:r>
              <w:rPr>
                <w:w w:val="99"/>
                <w:sz w:val="20"/>
              </w:rPr>
              <w:t>四</w:t>
            </w:r>
          </w:p>
        </w:tc>
        <w:tc>
          <w:tcPr>
            <w:tcW w:w="1023" w:type="dxa"/>
            <w:vMerge w:val="restart"/>
          </w:tcPr>
          <w:p>
            <w:pPr>
              <w:pStyle w:val="14"/>
              <w:spacing w:before="9"/>
              <w:jc w:val="left"/>
              <w:rPr>
                <w:rFonts w:ascii="仿宋"/>
                <w:b/>
                <w:sz w:val="29"/>
              </w:rPr>
            </w:pPr>
          </w:p>
          <w:p>
            <w:pPr>
              <w:pStyle w:val="14"/>
              <w:ind w:left="136"/>
              <w:jc w:val="left"/>
              <w:rPr>
                <w:rFonts w:ascii="Times New Roman"/>
                <w:sz w:val="20"/>
              </w:rPr>
            </w:pPr>
            <w:r>
              <w:rPr>
                <w:rFonts w:ascii="Times New Roman"/>
                <w:sz w:val="20"/>
              </w:rPr>
              <w:t>177.6361</w:t>
            </w:r>
          </w:p>
        </w:tc>
        <w:tc>
          <w:tcPr>
            <w:tcW w:w="694" w:type="dxa"/>
          </w:tcPr>
          <w:p>
            <w:pPr>
              <w:pStyle w:val="14"/>
              <w:spacing w:before="7" w:line="213" w:lineRule="exact"/>
              <w:ind w:left="125" w:right="119"/>
              <w:rPr>
                <w:rFonts w:ascii="Times New Roman"/>
                <w:sz w:val="20"/>
              </w:rPr>
            </w:pPr>
            <w:r>
              <w:rPr>
                <w:rFonts w:ascii="Times New Roman"/>
                <w:sz w:val="20"/>
              </w:rPr>
              <w:t>2036</w:t>
            </w:r>
          </w:p>
        </w:tc>
        <w:tc>
          <w:tcPr>
            <w:tcW w:w="831" w:type="dxa"/>
          </w:tcPr>
          <w:p>
            <w:pPr>
              <w:pStyle w:val="14"/>
              <w:spacing w:before="7" w:line="213" w:lineRule="exact"/>
              <w:ind w:right="303"/>
              <w:jc w:val="right"/>
              <w:rPr>
                <w:rFonts w:ascii="Times New Roman"/>
                <w:sz w:val="20"/>
              </w:rPr>
            </w:pPr>
            <w:r>
              <w:rPr>
                <w:rFonts w:ascii="Times New Roman"/>
                <w:sz w:val="20"/>
              </w:rPr>
              <w:t>12</w:t>
            </w:r>
          </w:p>
        </w:tc>
        <w:tc>
          <w:tcPr>
            <w:tcW w:w="1056" w:type="dxa"/>
          </w:tcPr>
          <w:p>
            <w:pPr>
              <w:pStyle w:val="14"/>
              <w:spacing w:before="7" w:line="213" w:lineRule="exact"/>
              <w:ind w:left="124" w:right="117"/>
              <w:rPr>
                <w:rFonts w:ascii="Times New Roman"/>
                <w:sz w:val="20"/>
              </w:rPr>
            </w:pPr>
            <w:r>
              <w:rPr>
                <w:rFonts w:ascii="Times New Roman"/>
                <w:sz w:val="20"/>
              </w:rPr>
              <w:t>172.8572</w:t>
            </w:r>
          </w:p>
        </w:tc>
        <w:tc>
          <w:tcPr>
            <w:tcW w:w="1447" w:type="dxa"/>
          </w:tcPr>
          <w:p>
            <w:pPr>
              <w:pStyle w:val="14"/>
              <w:spacing w:before="7" w:line="213" w:lineRule="exact"/>
              <w:ind w:left="8"/>
              <w:rPr>
                <w:rFonts w:ascii="Times New Roman"/>
                <w:sz w:val="20"/>
              </w:rPr>
            </w:pPr>
            <w:r>
              <w:rPr>
                <w:rFonts w:ascii="Times New Roman"/>
                <w:w w:val="99"/>
                <w:sz w:val="20"/>
              </w:rPr>
              <w:t>-</w:t>
            </w:r>
          </w:p>
        </w:tc>
        <w:tc>
          <w:tcPr>
            <w:tcW w:w="1453" w:type="dxa"/>
          </w:tcPr>
          <w:p>
            <w:pPr>
              <w:pStyle w:val="14"/>
              <w:spacing w:before="7" w:line="213" w:lineRule="exact"/>
              <w:ind w:left="7"/>
              <w:rPr>
                <w:rFonts w:ascii="Times New Roman"/>
                <w:sz w:val="20"/>
              </w:rPr>
            </w:pPr>
            <w:r>
              <w:rPr>
                <w:rFonts w:ascii="Times New Roman"/>
                <w:w w:val="99"/>
                <w:sz w:val="20"/>
              </w:rPr>
              <w:t>-</w:t>
            </w:r>
          </w:p>
        </w:tc>
        <w:tc>
          <w:tcPr>
            <w:tcW w:w="1453" w:type="dxa"/>
            <w:vMerge w:val="restart"/>
          </w:tcPr>
          <w:p>
            <w:pPr>
              <w:pStyle w:val="14"/>
              <w:spacing w:before="9"/>
              <w:jc w:val="left"/>
              <w:rPr>
                <w:rFonts w:ascii="仿宋"/>
                <w:b/>
                <w:sz w:val="29"/>
              </w:rPr>
            </w:pPr>
          </w:p>
          <w:p>
            <w:pPr>
              <w:pStyle w:val="14"/>
              <w:ind w:left="450"/>
              <w:jc w:val="left"/>
              <w:rPr>
                <w:rFonts w:ascii="Times New Roman"/>
                <w:sz w:val="20"/>
              </w:rPr>
            </w:pPr>
            <w:r>
              <w:rPr>
                <w:rFonts w:ascii="Times New Roman"/>
                <w:sz w:val="20"/>
              </w:rPr>
              <w:t>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83" w:type="dxa"/>
            <w:vMerge w:val="continue"/>
            <w:tcBorders>
              <w:top w:val="nil"/>
            </w:tcBorders>
          </w:tcPr>
          <w:p>
            <w:pPr>
              <w:rPr>
                <w:sz w:val="2"/>
                <w:szCs w:val="2"/>
              </w:rPr>
            </w:pPr>
          </w:p>
        </w:tc>
        <w:tc>
          <w:tcPr>
            <w:tcW w:w="1023" w:type="dxa"/>
            <w:vMerge w:val="continue"/>
            <w:tcBorders>
              <w:top w:val="nil"/>
            </w:tcBorders>
          </w:tcPr>
          <w:p>
            <w:pPr>
              <w:rPr>
                <w:sz w:val="2"/>
                <w:szCs w:val="2"/>
              </w:rPr>
            </w:pPr>
          </w:p>
        </w:tc>
        <w:tc>
          <w:tcPr>
            <w:tcW w:w="694" w:type="dxa"/>
          </w:tcPr>
          <w:p>
            <w:pPr>
              <w:pStyle w:val="14"/>
              <w:spacing w:before="6" w:line="214" w:lineRule="exact"/>
              <w:ind w:left="125" w:right="119"/>
              <w:rPr>
                <w:rFonts w:ascii="Times New Roman"/>
                <w:sz w:val="20"/>
              </w:rPr>
            </w:pPr>
            <w:r>
              <w:rPr>
                <w:rFonts w:ascii="Times New Roman"/>
                <w:sz w:val="20"/>
              </w:rPr>
              <w:t>2037</w:t>
            </w:r>
          </w:p>
        </w:tc>
        <w:tc>
          <w:tcPr>
            <w:tcW w:w="831" w:type="dxa"/>
          </w:tcPr>
          <w:p>
            <w:pPr>
              <w:pStyle w:val="14"/>
              <w:spacing w:before="6" w:line="214" w:lineRule="exact"/>
              <w:ind w:right="369"/>
              <w:jc w:val="right"/>
              <w:rPr>
                <w:rFonts w:ascii="Times New Roman"/>
                <w:sz w:val="20"/>
              </w:rPr>
            </w:pPr>
            <w:r>
              <w:rPr>
                <w:rFonts w:ascii="Times New Roman"/>
                <w:w w:val="99"/>
                <w:sz w:val="20"/>
              </w:rPr>
              <w:t>-</w:t>
            </w:r>
          </w:p>
        </w:tc>
        <w:tc>
          <w:tcPr>
            <w:tcW w:w="1056" w:type="dxa"/>
          </w:tcPr>
          <w:p>
            <w:pPr>
              <w:pStyle w:val="14"/>
              <w:spacing w:before="6" w:line="214" w:lineRule="exact"/>
              <w:ind w:left="126" w:right="117"/>
              <w:rPr>
                <w:rFonts w:ascii="Times New Roman"/>
                <w:sz w:val="20"/>
              </w:rPr>
            </w:pPr>
            <w:r>
              <w:rPr>
                <w:rFonts w:ascii="Times New Roman"/>
                <w:sz w:val="20"/>
              </w:rPr>
              <w:t>1.8073</w:t>
            </w:r>
          </w:p>
        </w:tc>
        <w:tc>
          <w:tcPr>
            <w:tcW w:w="1447" w:type="dxa"/>
          </w:tcPr>
          <w:p>
            <w:pPr>
              <w:pStyle w:val="14"/>
              <w:spacing w:before="6" w:line="214" w:lineRule="exact"/>
              <w:ind w:left="8"/>
              <w:rPr>
                <w:rFonts w:ascii="Times New Roman"/>
                <w:sz w:val="20"/>
              </w:rPr>
            </w:pPr>
            <w:r>
              <w:rPr>
                <w:rFonts w:ascii="Times New Roman"/>
                <w:w w:val="99"/>
                <w:sz w:val="20"/>
              </w:rPr>
              <w:t>-</w:t>
            </w:r>
          </w:p>
        </w:tc>
        <w:tc>
          <w:tcPr>
            <w:tcW w:w="1453" w:type="dxa"/>
          </w:tcPr>
          <w:p>
            <w:pPr>
              <w:pStyle w:val="14"/>
              <w:spacing w:before="6" w:line="214" w:lineRule="exact"/>
              <w:ind w:left="7"/>
              <w:rPr>
                <w:rFonts w:ascii="Times New Roman"/>
                <w:sz w:val="20"/>
              </w:rPr>
            </w:pPr>
            <w:r>
              <w:rPr>
                <w:rFonts w:ascii="Times New Roman"/>
                <w:w w:val="99"/>
                <w:sz w:val="20"/>
              </w:rPr>
              <w:t>-</w:t>
            </w:r>
          </w:p>
        </w:tc>
        <w:tc>
          <w:tcPr>
            <w:tcW w:w="145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83" w:type="dxa"/>
            <w:vMerge w:val="continue"/>
            <w:tcBorders>
              <w:top w:val="nil"/>
            </w:tcBorders>
          </w:tcPr>
          <w:p>
            <w:pPr>
              <w:rPr>
                <w:sz w:val="2"/>
                <w:szCs w:val="2"/>
              </w:rPr>
            </w:pPr>
          </w:p>
        </w:tc>
        <w:tc>
          <w:tcPr>
            <w:tcW w:w="1023" w:type="dxa"/>
            <w:vMerge w:val="continue"/>
            <w:tcBorders>
              <w:top w:val="nil"/>
            </w:tcBorders>
          </w:tcPr>
          <w:p>
            <w:pPr>
              <w:rPr>
                <w:sz w:val="2"/>
                <w:szCs w:val="2"/>
              </w:rPr>
            </w:pPr>
          </w:p>
        </w:tc>
        <w:tc>
          <w:tcPr>
            <w:tcW w:w="694" w:type="dxa"/>
          </w:tcPr>
          <w:p>
            <w:pPr>
              <w:pStyle w:val="14"/>
              <w:spacing w:before="6" w:line="214" w:lineRule="exact"/>
              <w:ind w:left="125" w:right="119"/>
              <w:rPr>
                <w:rFonts w:ascii="Times New Roman"/>
                <w:sz w:val="20"/>
              </w:rPr>
            </w:pPr>
            <w:r>
              <w:rPr>
                <w:rFonts w:ascii="Times New Roman"/>
                <w:sz w:val="20"/>
              </w:rPr>
              <w:t>2038</w:t>
            </w:r>
          </w:p>
        </w:tc>
        <w:tc>
          <w:tcPr>
            <w:tcW w:w="831" w:type="dxa"/>
          </w:tcPr>
          <w:p>
            <w:pPr>
              <w:pStyle w:val="14"/>
              <w:spacing w:before="6" w:line="214" w:lineRule="exact"/>
              <w:ind w:right="369"/>
              <w:jc w:val="right"/>
              <w:rPr>
                <w:rFonts w:ascii="Times New Roman"/>
                <w:sz w:val="20"/>
              </w:rPr>
            </w:pPr>
            <w:r>
              <w:rPr>
                <w:rFonts w:ascii="Times New Roman"/>
                <w:w w:val="99"/>
                <w:sz w:val="20"/>
              </w:rPr>
              <w:t>-</w:t>
            </w:r>
          </w:p>
        </w:tc>
        <w:tc>
          <w:tcPr>
            <w:tcW w:w="1056" w:type="dxa"/>
          </w:tcPr>
          <w:p>
            <w:pPr>
              <w:pStyle w:val="14"/>
              <w:spacing w:before="6" w:line="214" w:lineRule="exact"/>
              <w:ind w:left="126" w:right="117"/>
              <w:rPr>
                <w:rFonts w:ascii="Times New Roman"/>
                <w:sz w:val="20"/>
              </w:rPr>
            </w:pPr>
            <w:r>
              <w:rPr>
                <w:rFonts w:ascii="Times New Roman"/>
                <w:sz w:val="20"/>
              </w:rPr>
              <w:t>1.8434</w:t>
            </w:r>
          </w:p>
        </w:tc>
        <w:tc>
          <w:tcPr>
            <w:tcW w:w="1447" w:type="dxa"/>
          </w:tcPr>
          <w:p>
            <w:pPr>
              <w:pStyle w:val="14"/>
              <w:spacing w:before="6" w:line="214" w:lineRule="exact"/>
              <w:ind w:left="8"/>
              <w:rPr>
                <w:rFonts w:ascii="Times New Roman"/>
                <w:sz w:val="20"/>
              </w:rPr>
            </w:pPr>
            <w:r>
              <w:rPr>
                <w:rFonts w:ascii="Times New Roman"/>
                <w:w w:val="99"/>
                <w:sz w:val="20"/>
              </w:rPr>
              <w:t>-</w:t>
            </w:r>
          </w:p>
        </w:tc>
        <w:tc>
          <w:tcPr>
            <w:tcW w:w="1453" w:type="dxa"/>
          </w:tcPr>
          <w:p>
            <w:pPr>
              <w:pStyle w:val="14"/>
              <w:spacing w:before="6" w:line="214" w:lineRule="exact"/>
              <w:ind w:left="7"/>
              <w:rPr>
                <w:rFonts w:ascii="Times New Roman"/>
                <w:sz w:val="20"/>
              </w:rPr>
            </w:pPr>
            <w:r>
              <w:rPr>
                <w:rFonts w:ascii="Times New Roman"/>
                <w:w w:val="99"/>
                <w:sz w:val="20"/>
              </w:rPr>
              <w:t>-</w:t>
            </w:r>
          </w:p>
        </w:tc>
        <w:tc>
          <w:tcPr>
            <w:tcW w:w="145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83" w:type="dxa"/>
            <w:vMerge w:val="continue"/>
            <w:tcBorders>
              <w:top w:val="nil"/>
            </w:tcBorders>
          </w:tcPr>
          <w:p>
            <w:pPr>
              <w:rPr>
                <w:sz w:val="2"/>
                <w:szCs w:val="2"/>
              </w:rPr>
            </w:pPr>
          </w:p>
        </w:tc>
        <w:tc>
          <w:tcPr>
            <w:tcW w:w="1023" w:type="dxa"/>
            <w:vMerge w:val="continue"/>
            <w:tcBorders>
              <w:top w:val="nil"/>
            </w:tcBorders>
          </w:tcPr>
          <w:p>
            <w:pPr>
              <w:rPr>
                <w:sz w:val="2"/>
                <w:szCs w:val="2"/>
              </w:rPr>
            </w:pPr>
          </w:p>
        </w:tc>
        <w:tc>
          <w:tcPr>
            <w:tcW w:w="694" w:type="dxa"/>
          </w:tcPr>
          <w:p>
            <w:pPr>
              <w:pStyle w:val="14"/>
              <w:spacing w:before="5" w:line="214" w:lineRule="exact"/>
              <w:ind w:left="125" w:right="119"/>
              <w:rPr>
                <w:rFonts w:ascii="Times New Roman"/>
                <w:sz w:val="20"/>
              </w:rPr>
            </w:pPr>
            <w:r>
              <w:rPr>
                <w:rFonts w:ascii="Times New Roman"/>
                <w:sz w:val="20"/>
              </w:rPr>
              <w:t>2039</w:t>
            </w:r>
          </w:p>
        </w:tc>
        <w:tc>
          <w:tcPr>
            <w:tcW w:w="831" w:type="dxa"/>
          </w:tcPr>
          <w:p>
            <w:pPr>
              <w:pStyle w:val="14"/>
              <w:spacing w:before="5" w:line="214" w:lineRule="exact"/>
              <w:ind w:right="369"/>
              <w:jc w:val="right"/>
              <w:rPr>
                <w:rFonts w:ascii="Times New Roman"/>
                <w:sz w:val="20"/>
              </w:rPr>
            </w:pPr>
            <w:r>
              <w:rPr>
                <w:rFonts w:ascii="Times New Roman"/>
                <w:w w:val="99"/>
                <w:sz w:val="20"/>
              </w:rPr>
              <w:t>-</w:t>
            </w:r>
          </w:p>
        </w:tc>
        <w:tc>
          <w:tcPr>
            <w:tcW w:w="1056" w:type="dxa"/>
          </w:tcPr>
          <w:p>
            <w:pPr>
              <w:pStyle w:val="14"/>
              <w:spacing w:before="5" w:line="214" w:lineRule="exact"/>
              <w:ind w:left="126" w:right="117"/>
              <w:rPr>
                <w:rFonts w:ascii="Times New Roman"/>
                <w:sz w:val="20"/>
              </w:rPr>
            </w:pPr>
            <w:r>
              <w:rPr>
                <w:rFonts w:ascii="Times New Roman"/>
                <w:sz w:val="20"/>
              </w:rPr>
              <w:t>1.1282</w:t>
            </w:r>
          </w:p>
        </w:tc>
        <w:tc>
          <w:tcPr>
            <w:tcW w:w="1447" w:type="dxa"/>
          </w:tcPr>
          <w:p>
            <w:pPr>
              <w:pStyle w:val="14"/>
              <w:spacing w:before="5" w:line="214" w:lineRule="exact"/>
              <w:ind w:left="8"/>
              <w:rPr>
                <w:rFonts w:ascii="Times New Roman"/>
                <w:sz w:val="20"/>
              </w:rPr>
            </w:pPr>
            <w:r>
              <w:rPr>
                <w:rFonts w:ascii="Times New Roman"/>
                <w:w w:val="99"/>
                <w:sz w:val="20"/>
              </w:rPr>
              <w:t>-</w:t>
            </w:r>
          </w:p>
        </w:tc>
        <w:tc>
          <w:tcPr>
            <w:tcW w:w="1453" w:type="dxa"/>
          </w:tcPr>
          <w:p>
            <w:pPr>
              <w:pStyle w:val="14"/>
              <w:spacing w:before="5" w:line="214" w:lineRule="exact"/>
              <w:ind w:left="7"/>
              <w:rPr>
                <w:rFonts w:ascii="Times New Roman"/>
                <w:sz w:val="20"/>
              </w:rPr>
            </w:pPr>
            <w:r>
              <w:rPr>
                <w:rFonts w:ascii="Times New Roman"/>
                <w:w w:val="99"/>
                <w:sz w:val="20"/>
              </w:rPr>
              <w:t>-</w:t>
            </w:r>
          </w:p>
        </w:tc>
        <w:tc>
          <w:tcPr>
            <w:tcW w:w="145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683" w:type="dxa"/>
          </w:tcPr>
          <w:p>
            <w:pPr>
              <w:pStyle w:val="14"/>
              <w:spacing w:before="1" w:line="237" w:lineRule="exact"/>
              <w:ind w:left="140"/>
              <w:jc w:val="left"/>
              <w:rPr>
                <w:sz w:val="20"/>
              </w:rPr>
            </w:pPr>
            <w:r>
              <w:rPr>
                <w:sz w:val="20"/>
              </w:rPr>
              <w:t>总计</w:t>
            </w:r>
          </w:p>
        </w:tc>
        <w:tc>
          <w:tcPr>
            <w:tcW w:w="1023" w:type="dxa"/>
          </w:tcPr>
          <w:p>
            <w:pPr>
              <w:pStyle w:val="14"/>
              <w:spacing w:before="15" w:line="224" w:lineRule="exact"/>
              <w:ind w:left="136"/>
              <w:jc w:val="left"/>
              <w:rPr>
                <w:rFonts w:ascii="Times New Roman"/>
                <w:b/>
                <w:sz w:val="20"/>
              </w:rPr>
            </w:pPr>
            <w:r>
              <w:rPr>
                <w:rFonts w:ascii="Times New Roman"/>
                <w:b/>
                <w:sz w:val="20"/>
              </w:rPr>
              <w:t>177.6361</w:t>
            </w:r>
          </w:p>
        </w:tc>
        <w:tc>
          <w:tcPr>
            <w:tcW w:w="694" w:type="dxa"/>
          </w:tcPr>
          <w:p>
            <w:pPr>
              <w:pStyle w:val="14"/>
              <w:spacing w:before="15" w:line="224" w:lineRule="exact"/>
              <w:ind w:left="7"/>
              <w:rPr>
                <w:rFonts w:ascii="Times New Roman" w:hAnsi="Times New Roman"/>
                <w:b/>
                <w:sz w:val="20"/>
              </w:rPr>
            </w:pPr>
            <w:r>
              <w:rPr>
                <w:rFonts w:ascii="Times New Roman" w:hAnsi="Times New Roman"/>
                <w:b/>
                <w:w w:val="99"/>
                <w:sz w:val="20"/>
              </w:rPr>
              <w:t>—</w:t>
            </w:r>
          </w:p>
        </w:tc>
        <w:tc>
          <w:tcPr>
            <w:tcW w:w="831" w:type="dxa"/>
          </w:tcPr>
          <w:p>
            <w:pPr>
              <w:pStyle w:val="14"/>
              <w:spacing w:before="15" w:line="224" w:lineRule="exact"/>
              <w:ind w:right="304"/>
              <w:jc w:val="right"/>
              <w:rPr>
                <w:rFonts w:ascii="Times New Roman" w:hAnsi="Times New Roman"/>
                <w:b/>
                <w:sz w:val="20"/>
              </w:rPr>
            </w:pPr>
            <w:r>
              <w:rPr>
                <w:rFonts w:ascii="Times New Roman" w:hAnsi="Times New Roman"/>
                <w:b/>
                <w:w w:val="99"/>
                <w:sz w:val="20"/>
              </w:rPr>
              <w:t>—</w:t>
            </w:r>
          </w:p>
        </w:tc>
        <w:tc>
          <w:tcPr>
            <w:tcW w:w="1056" w:type="dxa"/>
          </w:tcPr>
          <w:p>
            <w:pPr>
              <w:pStyle w:val="14"/>
              <w:spacing w:before="15" w:line="224" w:lineRule="exact"/>
              <w:ind w:left="124" w:right="117"/>
              <w:rPr>
                <w:rFonts w:ascii="Times New Roman"/>
                <w:b/>
                <w:sz w:val="20"/>
              </w:rPr>
            </w:pPr>
            <w:r>
              <w:rPr>
                <w:rFonts w:ascii="Times New Roman"/>
                <w:b/>
                <w:sz w:val="20"/>
              </w:rPr>
              <w:t>177.6361</w:t>
            </w:r>
          </w:p>
        </w:tc>
        <w:tc>
          <w:tcPr>
            <w:tcW w:w="1447" w:type="dxa"/>
          </w:tcPr>
          <w:p>
            <w:pPr>
              <w:pStyle w:val="14"/>
              <w:spacing w:before="15" w:line="224" w:lineRule="exact"/>
              <w:ind w:left="8"/>
              <w:rPr>
                <w:rFonts w:ascii="Times New Roman"/>
                <w:b/>
                <w:sz w:val="20"/>
              </w:rPr>
            </w:pPr>
            <w:r>
              <w:rPr>
                <w:rFonts w:ascii="Times New Roman"/>
                <w:b/>
                <w:w w:val="99"/>
                <w:sz w:val="20"/>
              </w:rPr>
              <w:t>-</w:t>
            </w:r>
          </w:p>
        </w:tc>
        <w:tc>
          <w:tcPr>
            <w:tcW w:w="1453" w:type="dxa"/>
          </w:tcPr>
          <w:p>
            <w:pPr>
              <w:pStyle w:val="14"/>
              <w:spacing w:before="15" w:line="224" w:lineRule="exact"/>
              <w:ind w:right="339"/>
              <w:jc w:val="right"/>
              <w:rPr>
                <w:rFonts w:ascii="Times New Roman"/>
                <w:b/>
                <w:sz w:val="20"/>
              </w:rPr>
            </w:pPr>
            <w:r>
              <w:rPr>
                <w:rFonts w:ascii="Times New Roman"/>
                <w:b/>
                <w:w w:val="95"/>
                <w:sz w:val="20"/>
              </w:rPr>
              <w:t>177.6361</w:t>
            </w:r>
          </w:p>
        </w:tc>
        <w:tc>
          <w:tcPr>
            <w:tcW w:w="1453" w:type="dxa"/>
          </w:tcPr>
          <w:p>
            <w:pPr>
              <w:pStyle w:val="14"/>
              <w:spacing w:before="15" w:line="224" w:lineRule="exact"/>
              <w:ind w:left="350"/>
              <w:jc w:val="left"/>
              <w:rPr>
                <w:rFonts w:ascii="Times New Roman"/>
                <w:b/>
                <w:sz w:val="20"/>
              </w:rPr>
            </w:pPr>
            <w:r>
              <w:rPr>
                <w:rFonts w:ascii="Times New Roman"/>
                <w:b/>
                <w:sz w:val="20"/>
              </w:rPr>
              <w:t>177.6361</w:t>
            </w:r>
          </w:p>
        </w:tc>
      </w:tr>
    </w:tbl>
    <w:p>
      <w:pPr>
        <w:pStyle w:val="13"/>
        <w:numPr>
          <w:ilvl w:val="2"/>
          <w:numId w:val="42"/>
        </w:numPr>
        <w:tabs>
          <w:tab w:val="left" w:pos="1181"/>
        </w:tabs>
        <w:spacing w:before="3" w:after="0" w:line="240" w:lineRule="auto"/>
        <w:ind w:left="1180" w:right="0" w:hanging="630"/>
        <w:jc w:val="left"/>
        <w:rPr>
          <w:b/>
          <w:sz w:val="28"/>
        </w:rPr>
      </w:pPr>
      <w:bookmarkStart w:id="194" w:name="5.5.5生态管理及监控目标及内容"/>
      <w:bookmarkEnd w:id="194"/>
      <w:bookmarkStart w:id="195" w:name="5.5.5生态管理及监控目标及内容"/>
      <w:bookmarkEnd w:id="195"/>
      <w:r>
        <w:rPr>
          <w:b/>
          <w:sz w:val="28"/>
        </w:rPr>
        <w:t>生态管理及监控目标及内容</w:t>
      </w:r>
    </w:p>
    <w:p>
      <w:pPr>
        <w:pStyle w:val="6"/>
        <w:spacing w:before="264" w:line="364" w:lineRule="auto"/>
        <w:ind w:left="551" w:right="973" w:firstLine="480"/>
        <w:jc w:val="both"/>
      </w:pPr>
      <w:r>
        <w:t>生态管理和监控是政府环境保护机构依据国家和地方制订的有关自然资源和生态保护的法律、法规、条例、技术规范、标准等所进行的行政工作，应列为本项目日常工作的一个重要组成部分。</w:t>
      </w:r>
    </w:p>
    <w:p>
      <w:pPr>
        <w:pStyle w:val="6"/>
        <w:spacing w:before="2" w:line="364" w:lineRule="auto"/>
        <w:ind w:left="551" w:right="973" w:firstLine="480"/>
      </w:pPr>
      <w:r>
        <w:t>评价根据项目建设的性质、规模、生态影响的程度和范围、项目所在地的自然、经济、社会等因素提出如下生态管理及监控内容：</w:t>
      </w:r>
    </w:p>
    <w:p>
      <w:pPr>
        <w:pStyle w:val="13"/>
        <w:numPr>
          <w:ilvl w:val="0"/>
          <w:numId w:val="47"/>
        </w:numPr>
        <w:tabs>
          <w:tab w:val="left" w:pos="1633"/>
        </w:tabs>
        <w:spacing w:before="1" w:after="0" w:line="364" w:lineRule="auto"/>
        <w:ind w:left="551" w:right="853" w:firstLine="480"/>
        <w:jc w:val="left"/>
        <w:rPr>
          <w:sz w:val="24"/>
        </w:rPr>
      </w:pPr>
      <w:r>
        <w:rPr>
          <w:spacing w:val="-6"/>
          <w:sz w:val="24"/>
        </w:rPr>
        <w:t xml:space="preserve">在采区靠近公路附近 </w:t>
      </w:r>
      <w:r>
        <w:rPr>
          <w:rFonts w:ascii="Times New Roman" w:eastAsia="Times New Roman"/>
          <w:sz w:val="24"/>
        </w:rPr>
        <w:t xml:space="preserve">200m </w:t>
      </w:r>
      <w:r>
        <w:rPr>
          <w:spacing w:val="-3"/>
          <w:sz w:val="24"/>
        </w:rPr>
        <w:t>内设地表移动变形长期观测点，进行地表沉</w:t>
      </w:r>
      <w:r>
        <w:rPr>
          <w:spacing w:val="-12"/>
          <w:sz w:val="24"/>
        </w:rPr>
        <w:t xml:space="preserve">陷的变化观测，监控其下沉速率、时间、裂缝宽度与深度、积水时段、积水面积， </w:t>
      </w:r>
      <w:r>
        <w:rPr>
          <w:sz w:val="24"/>
        </w:rPr>
        <w:t>为后续土地复垦建立可借鉴的数据。</w:t>
      </w:r>
    </w:p>
    <w:p>
      <w:pPr>
        <w:pStyle w:val="13"/>
        <w:numPr>
          <w:ilvl w:val="0"/>
          <w:numId w:val="47"/>
        </w:numPr>
        <w:tabs>
          <w:tab w:val="left" w:pos="1633"/>
        </w:tabs>
        <w:spacing w:before="2" w:after="0" w:line="364" w:lineRule="auto"/>
        <w:ind w:left="551" w:right="973" w:firstLine="480"/>
        <w:jc w:val="left"/>
        <w:rPr>
          <w:sz w:val="24"/>
        </w:rPr>
      </w:pPr>
      <w:r>
        <w:rPr>
          <w:spacing w:val="-3"/>
          <w:sz w:val="24"/>
        </w:rPr>
        <w:t>在采区北部次生林地地段设生态监测点一处，定点进行沉陷区植被的</w:t>
      </w:r>
      <w:r>
        <w:rPr>
          <w:spacing w:val="-5"/>
          <w:sz w:val="24"/>
        </w:rPr>
        <w:t>生长与物种演替，为后续土地复垦提供有益借鉴。</w:t>
      </w:r>
    </w:p>
    <w:p>
      <w:pPr>
        <w:pStyle w:val="4"/>
        <w:numPr>
          <w:ilvl w:val="2"/>
          <w:numId w:val="42"/>
        </w:numPr>
        <w:tabs>
          <w:tab w:val="left" w:pos="1181"/>
        </w:tabs>
        <w:spacing w:before="0" w:after="0" w:line="282" w:lineRule="exact"/>
        <w:ind w:left="1180" w:right="0" w:hanging="630"/>
        <w:jc w:val="left"/>
      </w:pPr>
      <w:bookmarkStart w:id="196" w:name="5.5.6管理计划"/>
      <w:bookmarkEnd w:id="196"/>
      <w:bookmarkStart w:id="197" w:name="5.5.6管理计划"/>
      <w:bookmarkEnd w:id="197"/>
      <w:r>
        <w:rPr>
          <w:spacing w:val="-1"/>
          <w:w w:val="95"/>
        </w:rPr>
        <w:t>管理计划</w:t>
      </w:r>
    </w:p>
    <w:p>
      <w:pPr>
        <w:pStyle w:val="5"/>
        <w:numPr>
          <w:ilvl w:val="3"/>
          <w:numId w:val="42"/>
        </w:numPr>
        <w:tabs>
          <w:tab w:val="left" w:pos="1272"/>
        </w:tabs>
        <w:spacing w:before="265" w:after="0" w:line="240" w:lineRule="auto"/>
        <w:ind w:left="1272" w:right="0" w:hanging="721"/>
        <w:jc w:val="left"/>
      </w:pPr>
      <w:r>
        <w:rPr>
          <w:w w:val="95"/>
        </w:rPr>
        <w:t>管理体系</w:t>
      </w:r>
    </w:p>
    <w:p>
      <w:pPr>
        <w:pStyle w:val="6"/>
        <w:spacing w:before="160" w:line="364" w:lineRule="auto"/>
        <w:ind w:left="551" w:right="973" w:firstLine="480"/>
        <w:jc w:val="both"/>
      </w:pPr>
      <w:r>
        <w:t>矿区建设一套完整的环境管理、监测机构，有一名矿级领导负责环保工作， 形成矿区环保办公室、环保科、车间及施工队三级环境保护管理体系，配有专职环保管理、监测人员，并设有环境监测组。</w:t>
      </w:r>
    </w:p>
    <w:p>
      <w:pPr>
        <w:pStyle w:val="6"/>
        <w:spacing w:before="2"/>
        <w:ind w:left="1031"/>
        <w:jc w:val="both"/>
      </w:pPr>
      <w:r>
        <w:rPr>
          <w:spacing w:val="-4"/>
        </w:rPr>
        <w:t xml:space="preserve">环保办公室设置：专职环保人员 </w:t>
      </w:r>
      <w:r>
        <w:rPr>
          <w:rFonts w:ascii="Times New Roman" w:eastAsia="Times New Roman"/>
        </w:rPr>
        <w:t xml:space="preserve">1 </w:t>
      </w:r>
      <w:r>
        <w:t>名，负责总体环境规划、管理工作；环保</w:t>
      </w:r>
    </w:p>
    <w:p>
      <w:pPr>
        <w:pStyle w:val="6"/>
        <w:spacing w:before="160"/>
        <w:ind w:left="551"/>
      </w:pPr>
      <w:r>
        <w:rPr>
          <w:spacing w:val="-5"/>
        </w:rPr>
        <w:t xml:space="preserve">科专职、兼职环保人员各 </w:t>
      </w:r>
      <w:r>
        <w:rPr>
          <w:rFonts w:ascii="Times New Roman" w:eastAsia="Times New Roman"/>
        </w:rPr>
        <w:t xml:space="preserve">1 </w:t>
      </w:r>
      <w:r>
        <w:t>名，协助环保办公室工作，负责环境工程规划、实施</w:t>
      </w:r>
    </w:p>
    <w:p>
      <w:pPr>
        <w:pStyle w:val="6"/>
        <w:spacing w:before="161" w:line="364" w:lineRule="auto"/>
        <w:ind w:left="551" w:right="906"/>
      </w:pPr>
      <w:r>
        <w:t xml:space="preserve">及监督检查工作；环境监测组专职环保人员 </w:t>
      </w:r>
      <w:r>
        <w:rPr>
          <w:rFonts w:ascii="Times New Roman" w:eastAsia="Times New Roman"/>
        </w:rPr>
        <w:t xml:space="preserve">2 </w:t>
      </w:r>
      <w:r>
        <w:t>名，负责定期排污监测、治理设施运行监测，建立该矿污染排放档案。</w:t>
      </w:r>
    </w:p>
    <w:p>
      <w:pPr>
        <w:pStyle w:val="5"/>
        <w:numPr>
          <w:ilvl w:val="3"/>
          <w:numId w:val="42"/>
        </w:numPr>
        <w:tabs>
          <w:tab w:val="left" w:pos="1272"/>
        </w:tabs>
        <w:spacing w:before="1" w:after="0" w:line="240" w:lineRule="auto"/>
        <w:ind w:left="1272" w:right="0" w:hanging="721"/>
        <w:jc w:val="left"/>
      </w:pPr>
      <w:r>
        <w:t>管理机构的职责</w:t>
      </w:r>
    </w:p>
    <w:p>
      <w:pPr>
        <w:spacing w:after="0" w:line="240" w:lineRule="auto"/>
        <w:jc w:val="left"/>
        <w:sectPr>
          <w:pgSz w:w="11910" w:h="16840"/>
          <w:pgMar w:top="1420" w:right="780" w:bottom="1180" w:left="1200" w:header="0" w:footer="997" w:gutter="0"/>
        </w:sectPr>
      </w:pPr>
    </w:p>
    <w:p>
      <w:pPr>
        <w:pStyle w:val="13"/>
        <w:numPr>
          <w:ilvl w:val="0"/>
          <w:numId w:val="48"/>
        </w:numPr>
        <w:tabs>
          <w:tab w:val="left" w:pos="1633"/>
        </w:tabs>
        <w:spacing w:before="62" w:after="0" w:line="364" w:lineRule="auto"/>
        <w:ind w:left="551" w:right="973" w:firstLine="480"/>
        <w:jc w:val="left"/>
        <w:rPr>
          <w:sz w:val="24"/>
        </w:rPr>
      </w:pPr>
      <w:r>
        <w:rPr>
          <w:spacing w:val="-5"/>
          <w:sz w:val="24"/>
        </w:rPr>
        <w:t>贯彻执行国家及省市各项环保方针、政策和法规，制定本项目的生态</w:t>
      </w:r>
      <w:r>
        <w:rPr>
          <w:spacing w:val="-4"/>
          <w:sz w:val="24"/>
        </w:rPr>
        <w:t>环境管理办法。</w:t>
      </w:r>
    </w:p>
    <w:p>
      <w:pPr>
        <w:pStyle w:val="13"/>
        <w:numPr>
          <w:ilvl w:val="0"/>
          <w:numId w:val="48"/>
        </w:numPr>
        <w:tabs>
          <w:tab w:val="left" w:pos="1633"/>
        </w:tabs>
        <w:spacing w:before="1" w:after="0" w:line="364" w:lineRule="auto"/>
        <w:ind w:left="551" w:right="973" w:firstLine="480"/>
        <w:jc w:val="both"/>
        <w:rPr>
          <w:sz w:val="24"/>
        </w:rPr>
      </w:pPr>
      <w:r>
        <w:rPr>
          <w:spacing w:val="-3"/>
          <w:sz w:val="24"/>
        </w:rPr>
        <w:t>对项目实施涉及的生态环保工作进行监督管理，制定项目的生态环境</w:t>
      </w:r>
      <w:r>
        <w:rPr>
          <w:spacing w:val="-5"/>
          <w:sz w:val="24"/>
        </w:rPr>
        <w:t>管理与工作计划并进行实施，负责项目建设中各项生态环保措施实施的监督和日常管理工作。</w:t>
      </w:r>
    </w:p>
    <w:p>
      <w:pPr>
        <w:pStyle w:val="13"/>
        <w:numPr>
          <w:ilvl w:val="0"/>
          <w:numId w:val="48"/>
        </w:numPr>
        <w:tabs>
          <w:tab w:val="left" w:pos="1633"/>
        </w:tabs>
        <w:spacing w:before="2" w:after="0" w:line="364" w:lineRule="auto"/>
        <w:ind w:left="551" w:right="973" w:firstLine="480"/>
        <w:jc w:val="left"/>
        <w:rPr>
          <w:sz w:val="24"/>
        </w:rPr>
      </w:pPr>
      <w:r>
        <w:rPr>
          <w:spacing w:val="-4"/>
          <w:sz w:val="24"/>
        </w:rPr>
        <w:t>组织开展本项目的生态环保宣传，提高各级管理人员和施工人员的生</w:t>
      </w:r>
      <w:r>
        <w:rPr>
          <w:spacing w:val="-5"/>
          <w:sz w:val="24"/>
        </w:rPr>
        <w:t>态环保意识和管理水平。</w:t>
      </w:r>
    </w:p>
    <w:p>
      <w:pPr>
        <w:pStyle w:val="13"/>
        <w:numPr>
          <w:ilvl w:val="0"/>
          <w:numId w:val="48"/>
        </w:numPr>
        <w:tabs>
          <w:tab w:val="left" w:pos="1633"/>
        </w:tabs>
        <w:spacing w:before="1" w:after="0" w:line="364" w:lineRule="auto"/>
        <w:ind w:left="551" w:right="973" w:firstLine="480"/>
        <w:jc w:val="left"/>
        <w:rPr>
          <w:sz w:val="24"/>
        </w:rPr>
      </w:pPr>
      <w:r>
        <w:rPr>
          <w:spacing w:val="-9"/>
          <w:sz w:val="24"/>
        </w:rPr>
        <w:t>组织、领导项目在施工期、营运期的生态环保科研和信息工作，推广</w:t>
      </w:r>
      <w:r>
        <w:rPr>
          <w:spacing w:val="-4"/>
          <w:sz w:val="24"/>
        </w:rPr>
        <w:t>先进的生态环保经验和技术。</w:t>
      </w:r>
    </w:p>
    <w:p>
      <w:pPr>
        <w:pStyle w:val="13"/>
        <w:numPr>
          <w:ilvl w:val="0"/>
          <w:numId w:val="48"/>
        </w:numPr>
        <w:tabs>
          <w:tab w:val="left" w:pos="1633"/>
        </w:tabs>
        <w:spacing w:before="1" w:after="0" w:line="240" w:lineRule="auto"/>
        <w:ind w:left="1633" w:right="0" w:hanging="602"/>
        <w:jc w:val="left"/>
        <w:rPr>
          <w:sz w:val="24"/>
        </w:rPr>
      </w:pPr>
      <w:r>
        <w:rPr>
          <w:sz w:val="24"/>
        </w:rPr>
        <w:t>下达项目在施工期、营运期的生态环境监测任务。</w:t>
      </w:r>
    </w:p>
    <w:p>
      <w:pPr>
        <w:pStyle w:val="13"/>
        <w:numPr>
          <w:ilvl w:val="0"/>
          <w:numId w:val="48"/>
        </w:numPr>
        <w:tabs>
          <w:tab w:val="left" w:pos="1633"/>
        </w:tabs>
        <w:spacing w:before="161" w:after="0" w:line="240" w:lineRule="auto"/>
        <w:ind w:left="1633" w:right="0" w:hanging="602"/>
        <w:jc w:val="left"/>
        <w:rPr>
          <w:sz w:val="24"/>
        </w:rPr>
      </w:pPr>
      <w:r>
        <w:rPr>
          <w:sz w:val="24"/>
        </w:rPr>
        <w:t>负责项目在施工期、营运期的生态破坏事故的调查和处理。</w:t>
      </w:r>
    </w:p>
    <w:p>
      <w:pPr>
        <w:pStyle w:val="13"/>
        <w:numPr>
          <w:ilvl w:val="0"/>
          <w:numId w:val="48"/>
        </w:numPr>
        <w:tabs>
          <w:tab w:val="left" w:pos="1633"/>
        </w:tabs>
        <w:spacing w:before="160" w:after="0" w:line="364" w:lineRule="auto"/>
        <w:ind w:left="551" w:right="973" w:firstLine="480"/>
        <w:jc w:val="left"/>
        <w:rPr>
          <w:sz w:val="24"/>
        </w:rPr>
      </w:pPr>
      <w:r>
        <w:rPr>
          <w:spacing w:val="-3"/>
          <w:sz w:val="24"/>
        </w:rPr>
        <w:t>做好生态环保工作方面的横向和纵向协调工作，负责生态环境监测和</w:t>
      </w:r>
      <w:r>
        <w:rPr>
          <w:spacing w:val="-5"/>
          <w:sz w:val="24"/>
        </w:rPr>
        <w:t>科研等资料汇总整理工作，及时上报各级环保部门，积极推动项目生态环保工作</w:t>
      </w:r>
      <w:r>
        <w:rPr>
          <w:spacing w:val="-18"/>
          <w:sz w:val="24"/>
        </w:rPr>
        <w:t>。</w:t>
      </w:r>
    </w:p>
    <w:p>
      <w:pPr>
        <w:pStyle w:val="4"/>
        <w:numPr>
          <w:ilvl w:val="2"/>
          <w:numId w:val="42"/>
        </w:numPr>
        <w:tabs>
          <w:tab w:val="left" w:pos="1181"/>
        </w:tabs>
        <w:spacing w:before="0" w:after="0" w:line="282" w:lineRule="exact"/>
        <w:ind w:left="1180" w:right="0" w:hanging="630"/>
        <w:jc w:val="left"/>
      </w:pPr>
      <w:bookmarkStart w:id="198" w:name="5.5.7监测计划"/>
      <w:bookmarkEnd w:id="198"/>
      <w:bookmarkStart w:id="199" w:name="5.5.7监测计划"/>
      <w:bookmarkEnd w:id="199"/>
      <w:r>
        <w:t>监测计划</w:t>
      </w:r>
    </w:p>
    <w:p>
      <w:pPr>
        <w:pStyle w:val="6"/>
        <w:spacing w:before="265" w:line="364" w:lineRule="auto"/>
        <w:ind w:left="551" w:right="973" w:firstLine="480"/>
        <w:jc w:val="both"/>
      </w:pPr>
      <w:r>
        <w:t xml:space="preserve">营运期监测项目的内容、监测频率、监测制度、报告制度、实施单位等生态环境监测计划见表 </w:t>
      </w:r>
      <w:r>
        <w:rPr>
          <w:rFonts w:ascii="Times New Roman" w:eastAsia="Times New Roman"/>
        </w:rPr>
        <w:t>5.5-8</w:t>
      </w:r>
      <w:r>
        <w:t>。</w:t>
      </w:r>
    </w:p>
    <w:p>
      <w:pPr>
        <w:pStyle w:val="5"/>
        <w:tabs>
          <w:tab w:val="left" w:pos="1039"/>
        </w:tabs>
        <w:spacing w:line="230" w:lineRule="exact"/>
        <w:ind w:right="410"/>
        <w:jc w:val="center"/>
      </w:pPr>
      <w:r>
        <w:t>表</w:t>
      </w:r>
      <w:r>
        <w:rPr>
          <w:spacing w:val="-62"/>
        </w:rPr>
        <w:t xml:space="preserve"> </w:t>
      </w:r>
      <w:r>
        <w:rPr>
          <w:rFonts w:ascii="Times New Roman" w:eastAsia="Times New Roman"/>
        </w:rPr>
        <w:t>5.5-8</w:t>
      </w:r>
      <w:r>
        <w:rPr>
          <w:rFonts w:ascii="Times New Roman" w:eastAsia="Times New Roman"/>
        </w:rPr>
        <w:tab/>
      </w:r>
      <w:r>
        <w:t>生态环境监控计划</w:t>
      </w:r>
    </w:p>
    <w:p>
      <w:pPr>
        <w:pStyle w:val="6"/>
        <w:spacing w:before="4" w:after="1"/>
        <w:rPr>
          <w:b/>
          <w:sz w:val="12"/>
        </w:rPr>
      </w:pPr>
    </w:p>
    <w:tbl>
      <w:tblPr>
        <w:tblStyle w:val="10"/>
        <w:tblW w:w="0" w:type="auto"/>
        <w:tblInd w:w="3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9"/>
        <w:gridCol w:w="1690"/>
        <w:gridCol w:w="64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09" w:type="dxa"/>
          </w:tcPr>
          <w:p>
            <w:pPr>
              <w:pStyle w:val="14"/>
              <w:spacing w:before="19"/>
              <w:ind w:left="199"/>
              <w:jc w:val="left"/>
              <w:rPr>
                <w:b/>
                <w:sz w:val="21"/>
              </w:rPr>
            </w:pPr>
            <w:r>
              <w:rPr>
                <w:b/>
                <w:w w:val="99"/>
                <w:sz w:val="21"/>
              </w:rPr>
              <w:t>序</w:t>
            </w:r>
          </w:p>
          <w:p>
            <w:pPr>
              <w:pStyle w:val="14"/>
              <w:spacing w:before="43"/>
              <w:ind w:left="199"/>
              <w:jc w:val="left"/>
              <w:rPr>
                <w:b/>
                <w:sz w:val="21"/>
              </w:rPr>
            </w:pPr>
            <w:r>
              <w:rPr>
                <w:b/>
                <w:w w:val="99"/>
                <w:sz w:val="21"/>
              </w:rPr>
              <w:t>号</w:t>
            </w:r>
          </w:p>
        </w:tc>
        <w:tc>
          <w:tcPr>
            <w:tcW w:w="1690" w:type="dxa"/>
          </w:tcPr>
          <w:p>
            <w:pPr>
              <w:pStyle w:val="14"/>
              <w:spacing w:before="175"/>
              <w:ind w:left="88" w:right="74"/>
              <w:rPr>
                <w:b/>
                <w:sz w:val="21"/>
              </w:rPr>
            </w:pPr>
            <w:r>
              <w:rPr>
                <w:b/>
                <w:sz w:val="21"/>
              </w:rPr>
              <w:t>监测项目</w:t>
            </w:r>
          </w:p>
        </w:tc>
        <w:tc>
          <w:tcPr>
            <w:tcW w:w="6421" w:type="dxa"/>
          </w:tcPr>
          <w:p>
            <w:pPr>
              <w:pStyle w:val="14"/>
              <w:spacing w:before="175"/>
              <w:ind w:left="2559" w:right="2547"/>
              <w:rPr>
                <w:b/>
                <w:sz w:val="21"/>
              </w:rPr>
            </w:pPr>
            <w:r>
              <w:rPr>
                <w:b/>
                <w:sz w:val="21"/>
              </w:rPr>
              <w:t>主要技术要求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609" w:type="dxa"/>
          </w:tcPr>
          <w:p>
            <w:pPr>
              <w:pStyle w:val="14"/>
              <w:jc w:val="left"/>
              <w:rPr>
                <w:b/>
                <w:sz w:val="22"/>
              </w:rPr>
            </w:pPr>
          </w:p>
          <w:p>
            <w:pPr>
              <w:pStyle w:val="14"/>
              <w:spacing w:before="1"/>
              <w:jc w:val="left"/>
              <w:rPr>
                <w:b/>
                <w:sz w:val="17"/>
              </w:rPr>
            </w:pPr>
          </w:p>
          <w:p>
            <w:pPr>
              <w:pStyle w:val="14"/>
              <w:ind w:left="252"/>
              <w:jc w:val="left"/>
              <w:rPr>
                <w:rFonts w:ascii="Times New Roman"/>
                <w:sz w:val="21"/>
              </w:rPr>
            </w:pPr>
            <w:r>
              <w:rPr>
                <w:rFonts w:ascii="Times New Roman"/>
                <w:w w:val="99"/>
                <w:sz w:val="21"/>
              </w:rPr>
              <w:t>1</w:t>
            </w:r>
          </w:p>
        </w:tc>
        <w:tc>
          <w:tcPr>
            <w:tcW w:w="1690" w:type="dxa"/>
          </w:tcPr>
          <w:p>
            <w:pPr>
              <w:pStyle w:val="14"/>
              <w:jc w:val="left"/>
              <w:rPr>
                <w:b/>
                <w:sz w:val="20"/>
              </w:rPr>
            </w:pPr>
          </w:p>
          <w:p>
            <w:pPr>
              <w:pStyle w:val="14"/>
              <w:jc w:val="left"/>
              <w:rPr>
                <w:b/>
                <w:sz w:val="18"/>
              </w:rPr>
            </w:pPr>
          </w:p>
          <w:p>
            <w:pPr>
              <w:pStyle w:val="14"/>
              <w:ind w:left="88" w:right="82"/>
              <w:rPr>
                <w:sz w:val="21"/>
              </w:rPr>
            </w:pPr>
            <w:r>
              <w:rPr>
                <w:sz w:val="21"/>
              </w:rPr>
              <w:t>施工现场清理</w:t>
            </w:r>
          </w:p>
        </w:tc>
        <w:tc>
          <w:tcPr>
            <w:tcW w:w="6421" w:type="dxa"/>
          </w:tcPr>
          <w:p>
            <w:pPr>
              <w:pStyle w:val="14"/>
              <w:numPr>
                <w:ilvl w:val="0"/>
                <w:numId w:val="49"/>
              </w:numPr>
              <w:tabs>
                <w:tab w:val="left" w:pos="268"/>
              </w:tabs>
              <w:spacing w:before="19" w:after="0" w:line="278" w:lineRule="auto"/>
              <w:ind w:left="108" w:right="96" w:firstLine="0"/>
              <w:jc w:val="left"/>
              <w:rPr>
                <w:sz w:val="21"/>
              </w:rPr>
            </w:pPr>
            <w:r>
              <w:rPr>
                <w:spacing w:val="-5"/>
                <w:w w:val="95"/>
                <w:sz w:val="21"/>
              </w:rPr>
              <w:t xml:space="preserve">监测项目：施工结束后，施工现场的弃土、石、渣等固废处理和生 </w:t>
            </w:r>
            <w:r>
              <w:rPr>
                <w:spacing w:val="-5"/>
                <w:sz w:val="21"/>
              </w:rPr>
              <w:t>态环境恢复情况。</w:t>
            </w:r>
          </w:p>
          <w:p>
            <w:pPr>
              <w:pStyle w:val="14"/>
              <w:numPr>
                <w:ilvl w:val="0"/>
                <w:numId w:val="49"/>
              </w:numPr>
              <w:tabs>
                <w:tab w:val="left" w:pos="268"/>
              </w:tabs>
              <w:spacing w:before="0" w:after="0" w:line="269" w:lineRule="exact"/>
              <w:ind w:left="267" w:right="0" w:hanging="160"/>
              <w:jc w:val="left"/>
              <w:rPr>
                <w:sz w:val="21"/>
              </w:rPr>
            </w:pPr>
            <w:r>
              <w:rPr>
                <w:spacing w:val="-5"/>
                <w:sz w:val="21"/>
              </w:rPr>
              <w:t xml:space="preserve">监测频率：施工结束后 </w:t>
            </w:r>
            <w:r>
              <w:rPr>
                <w:rFonts w:ascii="Times New Roman" w:eastAsia="Times New Roman"/>
                <w:sz w:val="21"/>
              </w:rPr>
              <w:t>1</w:t>
            </w:r>
            <w:r>
              <w:rPr>
                <w:rFonts w:ascii="Times New Roman" w:eastAsia="Times New Roman"/>
                <w:spacing w:val="1"/>
                <w:sz w:val="21"/>
              </w:rPr>
              <w:t xml:space="preserve"> </w:t>
            </w:r>
            <w:r>
              <w:rPr>
                <w:sz w:val="21"/>
              </w:rPr>
              <w:t>次。</w:t>
            </w:r>
          </w:p>
          <w:p>
            <w:pPr>
              <w:pStyle w:val="14"/>
              <w:numPr>
                <w:ilvl w:val="0"/>
                <w:numId w:val="49"/>
              </w:numPr>
              <w:tabs>
                <w:tab w:val="left" w:pos="268"/>
              </w:tabs>
              <w:spacing w:before="43" w:after="0" w:line="240" w:lineRule="auto"/>
              <w:ind w:left="267" w:right="0" w:hanging="160"/>
              <w:jc w:val="left"/>
              <w:rPr>
                <w:sz w:val="21"/>
              </w:rPr>
            </w:pPr>
            <w:r>
              <w:rPr>
                <w:sz w:val="21"/>
              </w:rPr>
              <w:t>监测点：各施工区。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609" w:type="dxa"/>
          </w:tcPr>
          <w:p>
            <w:pPr>
              <w:pStyle w:val="14"/>
              <w:spacing w:before="1"/>
              <w:jc w:val="left"/>
              <w:rPr>
                <w:b/>
                <w:sz w:val="27"/>
              </w:rPr>
            </w:pPr>
          </w:p>
          <w:p>
            <w:pPr>
              <w:pStyle w:val="14"/>
              <w:ind w:left="252"/>
              <w:jc w:val="left"/>
              <w:rPr>
                <w:rFonts w:ascii="Times New Roman"/>
                <w:sz w:val="21"/>
              </w:rPr>
            </w:pPr>
            <w:r>
              <w:rPr>
                <w:rFonts w:ascii="Times New Roman"/>
                <w:w w:val="99"/>
                <w:sz w:val="21"/>
              </w:rPr>
              <w:t>2</w:t>
            </w:r>
          </w:p>
        </w:tc>
        <w:tc>
          <w:tcPr>
            <w:tcW w:w="1690" w:type="dxa"/>
          </w:tcPr>
          <w:p>
            <w:pPr>
              <w:pStyle w:val="14"/>
              <w:jc w:val="left"/>
              <w:rPr>
                <w:b/>
                <w:sz w:val="26"/>
              </w:rPr>
            </w:pPr>
          </w:p>
          <w:p>
            <w:pPr>
              <w:pStyle w:val="14"/>
              <w:ind w:left="88" w:right="79"/>
              <w:rPr>
                <w:sz w:val="21"/>
              </w:rPr>
            </w:pPr>
            <w:r>
              <w:rPr>
                <w:sz w:val="21"/>
              </w:rPr>
              <w:t>土壤侵蚀</w:t>
            </w:r>
          </w:p>
        </w:tc>
        <w:tc>
          <w:tcPr>
            <w:tcW w:w="6421" w:type="dxa"/>
          </w:tcPr>
          <w:p>
            <w:pPr>
              <w:pStyle w:val="14"/>
              <w:numPr>
                <w:ilvl w:val="0"/>
                <w:numId w:val="50"/>
              </w:numPr>
              <w:tabs>
                <w:tab w:val="left" w:pos="268"/>
              </w:tabs>
              <w:spacing w:before="21" w:after="0" w:line="240" w:lineRule="auto"/>
              <w:ind w:left="267" w:right="0" w:hanging="160"/>
              <w:jc w:val="left"/>
              <w:rPr>
                <w:sz w:val="21"/>
              </w:rPr>
            </w:pPr>
            <w:r>
              <w:rPr>
                <w:sz w:val="21"/>
              </w:rPr>
              <w:t>监测项目：土壤侵蚀类型、侵蚀量。</w:t>
            </w:r>
          </w:p>
          <w:p>
            <w:pPr>
              <w:pStyle w:val="14"/>
              <w:numPr>
                <w:ilvl w:val="0"/>
                <w:numId w:val="50"/>
              </w:numPr>
              <w:tabs>
                <w:tab w:val="left" w:pos="268"/>
              </w:tabs>
              <w:spacing w:before="43" w:after="0" w:line="240" w:lineRule="auto"/>
              <w:ind w:left="267" w:right="0" w:hanging="160"/>
              <w:jc w:val="left"/>
              <w:rPr>
                <w:sz w:val="21"/>
              </w:rPr>
            </w:pPr>
            <w:r>
              <w:rPr>
                <w:spacing w:val="-7"/>
                <w:sz w:val="21"/>
              </w:rPr>
              <w:t xml:space="preserve">监测频率：每年 </w:t>
            </w:r>
            <w:r>
              <w:rPr>
                <w:rFonts w:ascii="Times New Roman" w:eastAsia="Times New Roman"/>
                <w:sz w:val="21"/>
              </w:rPr>
              <w:t>1</w:t>
            </w:r>
            <w:r>
              <w:rPr>
                <w:rFonts w:ascii="Times New Roman" w:eastAsia="Times New Roman"/>
                <w:spacing w:val="-1"/>
                <w:sz w:val="21"/>
              </w:rPr>
              <w:t xml:space="preserve"> </w:t>
            </w:r>
            <w:r>
              <w:rPr>
                <w:sz w:val="21"/>
              </w:rPr>
              <w:t>次。</w:t>
            </w:r>
          </w:p>
          <w:p>
            <w:pPr>
              <w:pStyle w:val="14"/>
              <w:numPr>
                <w:ilvl w:val="0"/>
                <w:numId w:val="50"/>
              </w:numPr>
              <w:tabs>
                <w:tab w:val="left" w:pos="268"/>
              </w:tabs>
              <w:spacing w:before="43" w:after="0" w:line="240" w:lineRule="auto"/>
              <w:ind w:left="267" w:right="0" w:hanging="160"/>
              <w:jc w:val="left"/>
              <w:rPr>
                <w:sz w:val="21"/>
              </w:rPr>
            </w:pPr>
            <w:r>
              <w:rPr>
                <w:spacing w:val="-6"/>
                <w:sz w:val="21"/>
              </w:rPr>
              <w:t xml:space="preserve">监测点：施工区域 </w:t>
            </w:r>
            <w:r>
              <w:rPr>
                <w:rFonts w:ascii="Times New Roman" w:eastAsia="Times New Roman"/>
                <w:sz w:val="21"/>
              </w:rPr>
              <w:t>3</w:t>
            </w:r>
            <w:r>
              <w:rPr>
                <w:sz w:val="21"/>
              </w:rPr>
              <w:t>～</w:t>
            </w:r>
            <w:r>
              <w:rPr>
                <w:rFonts w:ascii="Times New Roman" w:eastAsia="Times New Roman"/>
                <w:sz w:val="21"/>
              </w:rPr>
              <w:t>5</w:t>
            </w:r>
            <w:r>
              <w:rPr>
                <w:rFonts w:ascii="Times New Roman" w:eastAsia="Times New Roman"/>
                <w:spacing w:val="1"/>
                <w:sz w:val="21"/>
              </w:rPr>
              <w:t xml:space="preserve"> </w:t>
            </w:r>
            <w:r>
              <w:rPr>
                <w:sz w:val="21"/>
              </w:rPr>
              <w:t>个代表点。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609" w:type="dxa"/>
          </w:tcPr>
          <w:p>
            <w:pPr>
              <w:pStyle w:val="14"/>
              <w:jc w:val="left"/>
              <w:rPr>
                <w:b/>
                <w:sz w:val="27"/>
              </w:rPr>
            </w:pPr>
          </w:p>
          <w:p>
            <w:pPr>
              <w:pStyle w:val="14"/>
              <w:spacing w:before="1"/>
              <w:ind w:left="252"/>
              <w:jc w:val="left"/>
              <w:rPr>
                <w:rFonts w:ascii="Times New Roman"/>
                <w:sz w:val="21"/>
              </w:rPr>
            </w:pPr>
            <w:r>
              <w:rPr>
                <w:rFonts w:ascii="Times New Roman"/>
                <w:w w:val="99"/>
                <w:sz w:val="21"/>
              </w:rPr>
              <w:t>3</w:t>
            </w:r>
          </w:p>
        </w:tc>
        <w:tc>
          <w:tcPr>
            <w:tcW w:w="1690" w:type="dxa"/>
          </w:tcPr>
          <w:p>
            <w:pPr>
              <w:pStyle w:val="14"/>
              <w:spacing w:before="12"/>
              <w:jc w:val="left"/>
              <w:rPr>
                <w:b/>
                <w:sz w:val="25"/>
              </w:rPr>
            </w:pPr>
          </w:p>
          <w:p>
            <w:pPr>
              <w:pStyle w:val="14"/>
              <w:ind w:left="88" w:right="82"/>
              <w:rPr>
                <w:sz w:val="21"/>
              </w:rPr>
            </w:pPr>
            <w:r>
              <w:rPr>
                <w:sz w:val="21"/>
              </w:rPr>
              <w:t>植被</w:t>
            </w:r>
          </w:p>
        </w:tc>
        <w:tc>
          <w:tcPr>
            <w:tcW w:w="6421" w:type="dxa"/>
          </w:tcPr>
          <w:p>
            <w:pPr>
              <w:pStyle w:val="14"/>
              <w:numPr>
                <w:ilvl w:val="0"/>
                <w:numId w:val="51"/>
              </w:numPr>
              <w:tabs>
                <w:tab w:val="left" w:pos="268"/>
              </w:tabs>
              <w:spacing w:before="21" w:after="0" w:line="240" w:lineRule="auto"/>
              <w:ind w:left="267" w:right="0" w:hanging="160"/>
              <w:jc w:val="left"/>
              <w:rPr>
                <w:sz w:val="21"/>
              </w:rPr>
            </w:pPr>
            <w:r>
              <w:rPr>
                <w:sz w:val="21"/>
              </w:rPr>
              <w:t>监测项目：植被类型，植物种类、草群高度、盖度、生物量。</w:t>
            </w:r>
          </w:p>
          <w:p>
            <w:pPr>
              <w:pStyle w:val="14"/>
              <w:numPr>
                <w:ilvl w:val="0"/>
                <w:numId w:val="51"/>
              </w:numPr>
              <w:tabs>
                <w:tab w:val="left" w:pos="268"/>
              </w:tabs>
              <w:spacing w:before="42" w:after="0" w:line="240" w:lineRule="auto"/>
              <w:ind w:left="267" w:right="0" w:hanging="160"/>
              <w:jc w:val="left"/>
              <w:rPr>
                <w:sz w:val="21"/>
              </w:rPr>
            </w:pPr>
            <w:r>
              <w:rPr>
                <w:spacing w:val="-7"/>
                <w:sz w:val="21"/>
              </w:rPr>
              <w:t xml:space="preserve">监测频率：每年 </w:t>
            </w:r>
            <w:r>
              <w:rPr>
                <w:rFonts w:ascii="Times New Roman" w:eastAsia="Times New Roman"/>
                <w:sz w:val="21"/>
              </w:rPr>
              <w:t>1</w:t>
            </w:r>
            <w:r>
              <w:rPr>
                <w:rFonts w:ascii="Times New Roman" w:eastAsia="Times New Roman"/>
                <w:spacing w:val="-1"/>
                <w:sz w:val="21"/>
              </w:rPr>
              <w:t xml:space="preserve"> </w:t>
            </w:r>
            <w:r>
              <w:rPr>
                <w:sz w:val="21"/>
              </w:rPr>
              <w:t>次。</w:t>
            </w:r>
          </w:p>
          <w:p>
            <w:pPr>
              <w:pStyle w:val="14"/>
              <w:numPr>
                <w:ilvl w:val="0"/>
                <w:numId w:val="51"/>
              </w:numPr>
              <w:tabs>
                <w:tab w:val="left" w:pos="268"/>
              </w:tabs>
              <w:spacing w:before="43" w:after="0" w:line="240" w:lineRule="auto"/>
              <w:ind w:left="267" w:right="0" w:hanging="160"/>
              <w:jc w:val="left"/>
              <w:rPr>
                <w:sz w:val="21"/>
              </w:rPr>
            </w:pPr>
            <w:r>
              <w:rPr>
                <w:spacing w:val="-6"/>
                <w:sz w:val="21"/>
              </w:rPr>
              <w:t xml:space="preserve">监测点：项目实施区 </w:t>
            </w:r>
            <w:r>
              <w:rPr>
                <w:rFonts w:ascii="Times New Roman" w:eastAsia="Times New Roman"/>
                <w:sz w:val="21"/>
              </w:rPr>
              <w:t>3</w:t>
            </w:r>
            <w:r>
              <w:rPr>
                <w:sz w:val="21"/>
              </w:rPr>
              <w:t>～</w:t>
            </w:r>
            <w:r>
              <w:rPr>
                <w:rFonts w:ascii="Times New Roman" w:eastAsia="Times New Roman"/>
                <w:sz w:val="21"/>
              </w:rPr>
              <w:t>5</w:t>
            </w:r>
            <w:r>
              <w:rPr>
                <w:rFonts w:ascii="Times New Roman" w:eastAsia="Times New Roman"/>
                <w:spacing w:val="-1"/>
                <w:sz w:val="21"/>
              </w:rPr>
              <w:t xml:space="preserve"> </w:t>
            </w:r>
            <w:r>
              <w:rPr>
                <w:sz w:val="21"/>
              </w:rPr>
              <w:t>个点。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609" w:type="dxa"/>
          </w:tcPr>
          <w:p>
            <w:pPr>
              <w:pStyle w:val="14"/>
              <w:jc w:val="left"/>
              <w:rPr>
                <w:b/>
                <w:sz w:val="27"/>
              </w:rPr>
            </w:pPr>
          </w:p>
          <w:p>
            <w:pPr>
              <w:pStyle w:val="14"/>
              <w:ind w:left="252"/>
              <w:jc w:val="left"/>
              <w:rPr>
                <w:rFonts w:ascii="Times New Roman"/>
                <w:sz w:val="21"/>
              </w:rPr>
            </w:pPr>
            <w:r>
              <w:rPr>
                <w:rFonts w:ascii="Times New Roman"/>
                <w:w w:val="99"/>
                <w:sz w:val="21"/>
              </w:rPr>
              <w:t>4</w:t>
            </w:r>
          </w:p>
        </w:tc>
        <w:tc>
          <w:tcPr>
            <w:tcW w:w="1690" w:type="dxa"/>
          </w:tcPr>
          <w:p>
            <w:pPr>
              <w:pStyle w:val="14"/>
              <w:spacing w:before="12"/>
              <w:jc w:val="left"/>
              <w:rPr>
                <w:b/>
                <w:sz w:val="25"/>
              </w:rPr>
            </w:pPr>
          </w:p>
          <w:p>
            <w:pPr>
              <w:pStyle w:val="14"/>
              <w:ind w:left="88" w:right="79"/>
              <w:rPr>
                <w:sz w:val="21"/>
              </w:rPr>
            </w:pPr>
            <w:r>
              <w:rPr>
                <w:sz w:val="21"/>
              </w:rPr>
              <w:t>土壤环境</w:t>
            </w:r>
          </w:p>
        </w:tc>
        <w:tc>
          <w:tcPr>
            <w:tcW w:w="6421" w:type="dxa"/>
          </w:tcPr>
          <w:p>
            <w:pPr>
              <w:pStyle w:val="14"/>
              <w:numPr>
                <w:ilvl w:val="0"/>
                <w:numId w:val="52"/>
              </w:numPr>
              <w:tabs>
                <w:tab w:val="left" w:pos="268"/>
              </w:tabs>
              <w:spacing w:before="20" w:after="0" w:line="240" w:lineRule="auto"/>
              <w:ind w:left="267" w:right="0" w:hanging="160"/>
              <w:jc w:val="left"/>
              <w:rPr>
                <w:sz w:val="21"/>
              </w:rPr>
            </w:pPr>
            <w:r>
              <w:rPr>
                <w:sz w:val="21"/>
              </w:rPr>
              <w:t>监测项目：</w:t>
            </w:r>
            <w:r>
              <w:rPr>
                <w:rFonts w:ascii="Times New Roman" w:eastAsia="Times New Roman"/>
                <w:sz w:val="21"/>
              </w:rPr>
              <w:t>pH</w:t>
            </w:r>
            <w:r>
              <w:rPr>
                <w:spacing w:val="-8"/>
                <w:sz w:val="21"/>
              </w:rPr>
              <w:t xml:space="preserve">、有机质、全 </w:t>
            </w:r>
            <w:r>
              <w:rPr>
                <w:rFonts w:ascii="Times New Roman" w:eastAsia="Times New Roman"/>
                <w:sz w:val="21"/>
              </w:rPr>
              <w:t>N</w:t>
            </w:r>
            <w:r>
              <w:rPr>
                <w:spacing w:val="-14"/>
                <w:sz w:val="21"/>
              </w:rPr>
              <w:t xml:space="preserve">、有效 </w:t>
            </w:r>
            <w:r>
              <w:rPr>
                <w:rFonts w:ascii="Times New Roman" w:eastAsia="Times New Roman"/>
                <w:sz w:val="21"/>
              </w:rPr>
              <w:t>P</w:t>
            </w:r>
            <w:r>
              <w:rPr>
                <w:sz w:val="21"/>
              </w:rPr>
              <w:t>、</w:t>
            </w:r>
            <w:r>
              <w:rPr>
                <w:rFonts w:ascii="Times New Roman" w:eastAsia="Times New Roman"/>
                <w:sz w:val="21"/>
              </w:rPr>
              <w:t>K</w:t>
            </w:r>
            <w:r>
              <w:rPr>
                <w:sz w:val="21"/>
              </w:rPr>
              <w:t>。</w:t>
            </w:r>
          </w:p>
          <w:p>
            <w:pPr>
              <w:pStyle w:val="14"/>
              <w:numPr>
                <w:ilvl w:val="0"/>
                <w:numId w:val="52"/>
              </w:numPr>
              <w:tabs>
                <w:tab w:val="left" w:pos="268"/>
              </w:tabs>
              <w:spacing w:before="43" w:after="0" w:line="240" w:lineRule="auto"/>
              <w:ind w:left="267" w:right="0" w:hanging="160"/>
              <w:jc w:val="left"/>
              <w:rPr>
                <w:sz w:val="21"/>
              </w:rPr>
            </w:pPr>
            <w:r>
              <w:rPr>
                <w:spacing w:val="-7"/>
                <w:sz w:val="21"/>
              </w:rPr>
              <w:t xml:space="preserve">监测频率：每年 </w:t>
            </w:r>
            <w:r>
              <w:rPr>
                <w:rFonts w:ascii="Times New Roman" w:eastAsia="Times New Roman"/>
                <w:sz w:val="21"/>
              </w:rPr>
              <w:t>1</w:t>
            </w:r>
            <w:r>
              <w:rPr>
                <w:rFonts w:ascii="Times New Roman" w:eastAsia="Times New Roman"/>
                <w:spacing w:val="-1"/>
                <w:sz w:val="21"/>
              </w:rPr>
              <w:t xml:space="preserve"> </w:t>
            </w:r>
            <w:r>
              <w:rPr>
                <w:sz w:val="21"/>
              </w:rPr>
              <w:t>次。</w:t>
            </w:r>
          </w:p>
          <w:p>
            <w:pPr>
              <w:pStyle w:val="14"/>
              <w:numPr>
                <w:ilvl w:val="0"/>
                <w:numId w:val="52"/>
              </w:numPr>
              <w:tabs>
                <w:tab w:val="left" w:pos="268"/>
              </w:tabs>
              <w:spacing w:before="43" w:after="0" w:line="240" w:lineRule="auto"/>
              <w:ind w:left="267" w:right="0" w:hanging="160"/>
              <w:jc w:val="left"/>
              <w:rPr>
                <w:sz w:val="21"/>
              </w:rPr>
            </w:pPr>
            <w:r>
              <w:rPr>
                <w:spacing w:val="-6"/>
                <w:sz w:val="21"/>
              </w:rPr>
              <w:t xml:space="preserve">监测点：项目实施区 </w:t>
            </w:r>
            <w:r>
              <w:rPr>
                <w:rFonts w:ascii="Times New Roman" w:eastAsia="Times New Roman"/>
                <w:sz w:val="21"/>
              </w:rPr>
              <w:t>3</w:t>
            </w:r>
            <w:r>
              <w:rPr>
                <w:sz w:val="21"/>
              </w:rPr>
              <w:t>～</w:t>
            </w:r>
            <w:r>
              <w:rPr>
                <w:rFonts w:ascii="Times New Roman" w:eastAsia="Times New Roman"/>
                <w:sz w:val="21"/>
              </w:rPr>
              <w:t>5</w:t>
            </w:r>
            <w:r>
              <w:rPr>
                <w:rFonts w:ascii="Times New Roman" w:eastAsia="Times New Roman"/>
                <w:spacing w:val="-1"/>
                <w:sz w:val="21"/>
              </w:rPr>
              <w:t xml:space="preserve"> </w:t>
            </w:r>
            <w:r>
              <w:rPr>
                <w:sz w:val="21"/>
              </w:rPr>
              <w:t>个点。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609" w:type="dxa"/>
          </w:tcPr>
          <w:p>
            <w:pPr>
              <w:pStyle w:val="14"/>
              <w:jc w:val="left"/>
              <w:rPr>
                <w:b/>
                <w:sz w:val="27"/>
              </w:rPr>
            </w:pPr>
          </w:p>
          <w:p>
            <w:pPr>
              <w:pStyle w:val="14"/>
              <w:ind w:left="252"/>
              <w:jc w:val="left"/>
              <w:rPr>
                <w:rFonts w:ascii="Times New Roman"/>
                <w:sz w:val="21"/>
              </w:rPr>
            </w:pPr>
            <w:r>
              <w:rPr>
                <w:rFonts w:ascii="Times New Roman"/>
                <w:w w:val="99"/>
                <w:sz w:val="21"/>
              </w:rPr>
              <w:t>5</w:t>
            </w:r>
          </w:p>
        </w:tc>
        <w:tc>
          <w:tcPr>
            <w:tcW w:w="1690" w:type="dxa"/>
          </w:tcPr>
          <w:p>
            <w:pPr>
              <w:pStyle w:val="14"/>
              <w:spacing w:before="11"/>
              <w:jc w:val="left"/>
              <w:rPr>
                <w:b/>
                <w:sz w:val="25"/>
              </w:rPr>
            </w:pPr>
          </w:p>
          <w:p>
            <w:pPr>
              <w:pStyle w:val="14"/>
              <w:ind w:left="88" w:right="82"/>
              <w:rPr>
                <w:sz w:val="21"/>
              </w:rPr>
            </w:pPr>
            <w:r>
              <w:rPr>
                <w:sz w:val="21"/>
              </w:rPr>
              <w:t>建筑物变形情况</w:t>
            </w:r>
          </w:p>
        </w:tc>
        <w:tc>
          <w:tcPr>
            <w:tcW w:w="6421" w:type="dxa"/>
          </w:tcPr>
          <w:p>
            <w:pPr>
              <w:pStyle w:val="14"/>
              <w:numPr>
                <w:ilvl w:val="0"/>
                <w:numId w:val="53"/>
              </w:numPr>
              <w:tabs>
                <w:tab w:val="left" w:pos="268"/>
              </w:tabs>
              <w:spacing w:before="20" w:after="0" w:line="240" w:lineRule="auto"/>
              <w:ind w:left="267" w:right="0" w:hanging="160"/>
              <w:jc w:val="left"/>
              <w:rPr>
                <w:sz w:val="21"/>
              </w:rPr>
            </w:pPr>
            <w:r>
              <w:rPr>
                <w:sz w:val="21"/>
              </w:rPr>
              <w:t>监测项目：村民房屋</w:t>
            </w:r>
          </w:p>
          <w:p>
            <w:pPr>
              <w:pStyle w:val="14"/>
              <w:numPr>
                <w:ilvl w:val="0"/>
                <w:numId w:val="53"/>
              </w:numPr>
              <w:tabs>
                <w:tab w:val="left" w:pos="268"/>
              </w:tabs>
              <w:spacing w:before="43" w:after="0" w:line="240" w:lineRule="auto"/>
              <w:ind w:left="267" w:right="0" w:hanging="160"/>
              <w:jc w:val="left"/>
              <w:rPr>
                <w:sz w:val="21"/>
              </w:rPr>
            </w:pPr>
            <w:r>
              <w:rPr>
                <w:spacing w:val="-7"/>
                <w:sz w:val="21"/>
              </w:rPr>
              <w:t xml:space="preserve">监测频率：每年 </w:t>
            </w:r>
            <w:r>
              <w:rPr>
                <w:rFonts w:ascii="Times New Roman" w:eastAsia="Times New Roman"/>
                <w:sz w:val="21"/>
              </w:rPr>
              <w:t>1</w:t>
            </w:r>
            <w:r>
              <w:rPr>
                <w:rFonts w:ascii="Times New Roman" w:eastAsia="Times New Roman"/>
                <w:spacing w:val="-1"/>
                <w:sz w:val="21"/>
              </w:rPr>
              <w:t xml:space="preserve"> </w:t>
            </w:r>
            <w:r>
              <w:rPr>
                <w:sz w:val="21"/>
              </w:rPr>
              <w:t>次。</w:t>
            </w:r>
          </w:p>
          <w:p>
            <w:pPr>
              <w:pStyle w:val="14"/>
              <w:numPr>
                <w:ilvl w:val="0"/>
                <w:numId w:val="53"/>
              </w:numPr>
              <w:tabs>
                <w:tab w:val="left" w:pos="268"/>
              </w:tabs>
              <w:spacing w:before="43" w:after="0" w:line="240" w:lineRule="auto"/>
              <w:ind w:left="267" w:right="0" w:hanging="160"/>
              <w:jc w:val="left"/>
              <w:rPr>
                <w:sz w:val="21"/>
              </w:rPr>
            </w:pPr>
            <w:r>
              <w:rPr>
                <w:sz w:val="21"/>
              </w:rPr>
              <w:t>监测点：周边村庄</w:t>
            </w:r>
          </w:p>
        </w:tc>
      </w:tr>
    </w:tbl>
    <w:p>
      <w:pPr>
        <w:spacing w:after="0" w:line="240" w:lineRule="auto"/>
        <w:jc w:val="left"/>
        <w:rPr>
          <w:sz w:val="21"/>
        </w:rPr>
        <w:sectPr>
          <w:pgSz w:w="11910" w:h="16840"/>
          <w:pgMar w:top="1440" w:right="780" w:bottom="1180" w:left="1200" w:header="0" w:footer="997" w:gutter="0"/>
        </w:sectPr>
      </w:pPr>
    </w:p>
    <w:tbl>
      <w:tblPr>
        <w:tblStyle w:val="10"/>
        <w:tblW w:w="0" w:type="auto"/>
        <w:tblInd w:w="3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9"/>
        <w:gridCol w:w="1690"/>
        <w:gridCol w:w="64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609" w:type="dxa"/>
          </w:tcPr>
          <w:p>
            <w:pPr>
              <w:pStyle w:val="14"/>
              <w:spacing w:before="1"/>
              <w:jc w:val="left"/>
              <w:rPr>
                <w:b/>
                <w:sz w:val="27"/>
              </w:rPr>
            </w:pPr>
          </w:p>
          <w:p>
            <w:pPr>
              <w:pStyle w:val="14"/>
              <w:ind w:left="10"/>
              <w:rPr>
                <w:rFonts w:ascii="Times New Roman"/>
                <w:sz w:val="21"/>
              </w:rPr>
            </w:pPr>
            <w:r>
              <w:rPr>
                <w:rFonts w:ascii="Times New Roman"/>
                <w:w w:val="99"/>
                <w:sz w:val="21"/>
              </w:rPr>
              <w:t>6</w:t>
            </w:r>
          </w:p>
        </w:tc>
        <w:tc>
          <w:tcPr>
            <w:tcW w:w="1690" w:type="dxa"/>
          </w:tcPr>
          <w:p>
            <w:pPr>
              <w:pStyle w:val="14"/>
              <w:spacing w:before="177" w:line="278" w:lineRule="auto"/>
              <w:ind w:left="425" w:right="414"/>
              <w:jc w:val="left"/>
              <w:rPr>
                <w:sz w:val="21"/>
              </w:rPr>
            </w:pPr>
            <w:r>
              <w:rPr>
                <w:sz w:val="21"/>
              </w:rPr>
              <w:t>环保工程竣工验收</w:t>
            </w:r>
          </w:p>
        </w:tc>
        <w:tc>
          <w:tcPr>
            <w:tcW w:w="6421" w:type="dxa"/>
          </w:tcPr>
          <w:p>
            <w:pPr>
              <w:pStyle w:val="14"/>
              <w:numPr>
                <w:ilvl w:val="0"/>
                <w:numId w:val="54"/>
              </w:numPr>
              <w:tabs>
                <w:tab w:val="left" w:pos="268"/>
              </w:tabs>
              <w:spacing w:before="21" w:after="0" w:line="240" w:lineRule="auto"/>
              <w:ind w:left="267" w:right="0" w:hanging="160"/>
              <w:jc w:val="left"/>
              <w:rPr>
                <w:sz w:val="21"/>
              </w:rPr>
            </w:pPr>
            <w:r>
              <w:rPr>
                <w:sz w:val="21"/>
              </w:rPr>
              <w:t>监测项目：植被恢复和建设等生态环保措施落实情况。</w:t>
            </w:r>
          </w:p>
          <w:p>
            <w:pPr>
              <w:pStyle w:val="14"/>
              <w:numPr>
                <w:ilvl w:val="0"/>
                <w:numId w:val="54"/>
              </w:numPr>
              <w:tabs>
                <w:tab w:val="left" w:pos="268"/>
              </w:tabs>
              <w:spacing w:before="43" w:after="0" w:line="240" w:lineRule="auto"/>
              <w:ind w:left="267" w:right="0" w:hanging="160"/>
              <w:jc w:val="left"/>
              <w:rPr>
                <w:sz w:val="21"/>
              </w:rPr>
            </w:pPr>
            <w:r>
              <w:rPr>
                <w:sz w:val="21"/>
              </w:rPr>
              <w:t>监测频率：</w:t>
            </w:r>
            <w:r>
              <w:rPr>
                <w:rFonts w:ascii="Times New Roman" w:eastAsia="Times New Roman"/>
                <w:sz w:val="21"/>
              </w:rPr>
              <w:t>1</w:t>
            </w:r>
            <w:r>
              <w:rPr>
                <w:rFonts w:ascii="Times New Roman" w:eastAsia="Times New Roman"/>
                <w:spacing w:val="-2"/>
                <w:sz w:val="21"/>
              </w:rPr>
              <w:t xml:space="preserve"> </w:t>
            </w:r>
            <w:r>
              <w:rPr>
                <w:sz w:val="21"/>
              </w:rPr>
              <w:t>次。</w:t>
            </w:r>
          </w:p>
          <w:p>
            <w:pPr>
              <w:pStyle w:val="14"/>
              <w:numPr>
                <w:ilvl w:val="0"/>
                <w:numId w:val="54"/>
              </w:numPr>
              <w:tabs>
                <w:tab w:val="left" w:pos="268"/>
              </w:tabs>
              <w:spacing w:before="43" w:after="0" w:line="240" w:lineRule="auto"/>
              <w:ind w:left="267" w:right="0" w:hanging="160"/>
              <w:jc w:val="left"/>
              <w:rPr>
                <w:sz w:val="21"/>
              </w:rPr>
            </w:pPr>
            <w:r>
              <w:rPr>
                <w:sz w:val="21"/>
              </w:rPr>
              <w:t>监测地点：项目所涉及区域。</w:t>
            </w:r>
          </w:p>
        </w:tc>
      </w:tr>
    </w:tbl>
    <w:p>
      <w:pPr>
        <w:pStyle w:val="6"/>
        <w:spacing w:before="82" w:line="364" w:lineRule="auto"/>
        <w:ind w:left="551" w:right="973" w:firstLine="480"/>
        <w:jc w:val="both"/>
      </w:pPr>
      <w:r>
        <w:t>生态环境监管是政府环境保护机构依据国家和地方制订的有关自然资源和生态保护的法律、法规、条例、技术规范、标准等所进行的行政工作，应成为本项目日常工作的一个重要组成部分。</w:t>
      </w:r>
    </w:p>
    <w:p>
      <w:pPr>
        <w:pStyle w:val="4"/>
        <w:numPr>
          <w:ilvl w:val="2"/>
          <w:numId w:val="42"/>
        </w:numPr>
        <w:tabs>
          <w:tab w:val="left" w:pos="1181"/>
        </w:tabs>
        <w:spacing w:before="0" w:after="0" w:line="282" w:lineRule="exact"/>
        <w:ind w:left="1180" w:right="0" w:hanging="630"/>
        <w:jc w:val="left"/>
      </w:pPr>
      <w:bookmarkStart w:id="200" w:name="5.5.8生态管理指标"/>
      <w:bookmarkEnd w:id="200"/>
      <w:bookmarkStart w:id="201" w:name="5.5.8生态管理指标"/>
      <w:bookmarkEnd w:id="201"/>
      <w:r>
        <w:t>生态管理指标</w:t>
      </w:r>
    </w:p>
    <w:p>
      <w:pPr>
        <w:pStyle w:val="6"/>
        <w:spacing w:before="262" w:line="364" w:lineRule="auto"/>
        <w:ind w:left="551" w:right="973" w:firstLine="480"/>
      </w:pPr>
      <w:r>
        <w:t>评价根据项目区自然环境条件以及生态系统各要素的特征，提出如下管理指标：</w:t>
      </w:r>
    </w:p>
    <w:p>
      <w:pPr>
        <w:pStyle w:val="6"/>
        <w:spacing w:before="1"/>
        <w:ind w:left="1031"/>
      </w:pPr>
      <w:bookmarkStart w:id="202" w:name="（1）因项目建设减少的生物量损失在3～4年间完全得到补偿；"/>
      <w:bookmarkEnd w:id="202"/>
      <w:r>
        <w:t>（</w:t>
      </w:r>
      <w:r>
        <w:rPr>
          <w:rFonts w:ascii="Times New Roman" w:eastAsia="Times New Roman"/>
        </w:rPr>
        <w:t>1</w:t>
      </w:r>
      <w:r>
        <w:t xml:space="preserve">）因项目建设减少的生物量损失在 </w:t>
      </w:r>
      <w:r>
        <w:rPr>
          <w:rFonts w:ascii="Times New Roman" w:eastAsia="Times New Roman"/>
        </w:rPr>
        <w:t>3</w:t>
      </w:r>
      <w:r>
        <w:t>～</w:t>
      </w:r>
      <w:r>
        <w:rPr>
          <w:rFonts w:ascii="Times New Roman" w:eastAsia="Times New Roman"/>
        </w:rPr>
        <w:t xml:space="preserve">4 </w:t>
      </w:r>
      <w:r>
        <w:t>年间完全得到补偿；</w:t>
      </w:r>
    </w:p>
    <w:p>
      <w:pPr>
        <w:pStyle w:val="6"/>
        <w:spacing w:before="161"/>
        <w:ind w:left="1031"/>
      </w:pPr>
      <w:r>
        <w:t>（</w:t>
      </w:r>
      <w:r>
        <w:rPr>
          <w:rFonts w:ascii="Times New Roman" w:eastAsia="Times New Roman"/>
        </w:rPr>
        <w:t>2</w:t>
      </w:r>
      <w:r>
        <w:t>）</w:t>
      </w:r>
      <w:r>
        <w:rPr>
          <w:rFonts w:ascii="Times New Roman" w:eastAsia="Times New Roman"/>
        </w:rPr>
        <w:t xml:space="preserve">5 </w:t>
      </w:r>
      <w:r>
        <w:t xml:space="preserve">年后水土流失强度维持现有水平，水土流失总治理度达到 </w:t>
      </w:r>
      <w:r>
        <w:rPr>
          <w:rFonts w:ascii="Times New Roman" w:eastAsia="Times New Roman"/>
        </w:rPr>
        <w:t>100%</w:t>
      </w:r>
      <w:r>
        <w:t>；</w:t>
      </w:r>
    </w:p>
    <w:p>
      <w:pPr>
        <w:pStyle w:val="6"/>
        <w:spacing w:before="160"/>
        <w:ind w:left="1031"/>
      </w:pPr>
      <w:bookmarkStart w:id="203" w:name="（3）沉陷土地整治率达95%以上。"/>
      <w:bookmarkEnd w:id="203"/>
      <w:r>
        <w:t>（</w:t>
      </w:r>
      <w:r>
        <w:rPr>
          <w:rFonts w:ascii="Times New Roman" w:eastAsia="Times New Roman"/>
        </w:rPr>
        <w:t>3</w:t>
      </w:r>
      <w:r>
        <w:t xml:space="preserve">）沉陷土地整治率达 </w:t>
      </w:r>
      <w:r>
        <w:rPr>
          <w:rFonts w:ascii="Times New Roman" w:eastAsia="Times New Roman"/>
        </w:rPr>
        <w:t>95%</w:t>
      </w:r>
      <w:r>
        <w:t>以上。</w:t>
      </w:r>
    </w:p>
    <w:p>
      <w:pPr>
        <w:pStyle w:val="6"/>
        <w:spacing w:before="161"/>
        <w:ind w:left="1031"/>
      </w:pPr>
      <w:r>
        <w:t>定期对井田区域生态现状进行监测分析，优化生态恢复方案。</w:t>
      </w:r>
    </w:p>
    <w:p>
      <w:pPr>
        <w:spacing w:after="0"/>
        <w:sectPr>
          <w:footerReference r:id="rId20" w:type="default"/>
          <w:pgSz w:w="11910" w:h="16840"/>
          <w:pgMar w:top="1420" w:right="780" w:bottom="1100" w:left="1200" w:header="0" w:footer="917" w:gutter="0"/>
          <w:pgNumType w:start="100"/>
        </w:sectPr>
      </w:pPr>
    </w:p>
    <w:p>
      <w:pPr>
        <w:pStyle w:val="2"/>
        <w:spacing w:before="43"/>
        <w:ind w:right="417" w:firstLine="0"/>
        <w:jc w:val="center"/>
      </w:pPr>
      <w:bookmarkStart w:id="204" w:name="6 .地下水环境影响分析"/>
      <w:bookmarkEnd w:id="204"/>
      <w:bookmarkStart w:id="205" w:name="_bookmark29"/>
      <w:bookmarkEnd w:id="205"/>
      <w:r>
        <w:rPr>
          <w:rFonts w:ascii="Times New Roman" w:eastAsia="Times New Roman"/>
        </w:rPr>
        <w:t>6 .</w:t>
      </w:r>
      <w:r>
        <w:t>地下水环境影响分析</w:t>
      </w:r>
    </w:p>
    <w:p>
      <w:pPr>
        <w:pStyle w:val="6"/>
        <w:spacing w:before="7"/>
        <w:rPr>
          <w:b/>
          <w:sz w:val="22"/>
        </w:rPr>
      </w:pPr>
    </w:p>
    <w:p>
      <w:pPr>
        <w:pStyle w:val="3"/>
        <w:numPr>
          <w:ilvl w:val="1"/>
          <w:numId w:val="55"/>
        </w:numPr>
        <w:tabs>
          <w:tab w:val="left" w:pos="1001"/>
        </w:tabs>
        <w:spacing w:before="68" w:after="0" w:line="240" w:lineRule="auto"/>
        <w:ind w:left="1000" w:right="0" w:hanging="450"/>
        <w:jc w:val="left"/>
      </w:pPr>
      <w:bookmarkStart w:id="206" w:name="_bookmark30"/>
      <w:bookmarkEnd w:id="206"/>
      <w:bookmarkStart w:id="207" w:name="6.1概述"/>
      <w:bookmarkEnd w:id="207"/>
      <w:bookmarkStart w:id="208" w:name="_bookmark30"/>
      <w:bookmarkEnd w:id="208"/>
      <w:r>
        <w:t>概述</w:t>
      </w:r>
    </w:p>
    <w:p>
      <w:pPr>
        <w:pStyle w:val="4"/>
        <w:numPr>
          <w:ilvl w:val="2"/>
          <w:numId w:val="55"/>
        </w:numPr>
        <w:tabs>
          <w:tab w:val="left" w:pos="1181"/>
        </w:tabs>
        <w:spacing w:before="279" w:after="0" w:line="240" w:lineRule="auto"/>
        <w:ind w:left="1180" w:right="0" w:hanging="630"/>
        <w:jc w:val="left"/>
      </w:pPr>
      <w:bookmarkStart w:id="209" w:name="6.1.1评价工作等级"/>
      <w:bookmarkEnd w:id="209"/>
      <w:bookmarkStart w:id="210" w:name="6.1.1评价工作等级"/>
      <w:bookmarkEnd w:id="210"/>
      <w:r>
        <w:t>评价工作等级</w:t>
      </w:r>
    </w:p>
    <w:p>
      <w:pPr>
        <w:pStyle w:val="6"/>
        <w:spacing w:before="10"/>
        <w:rPr>
          <w:b/>
          <w:sz w:val="32"/>
        </w:rPr>
      </w:pPr>
    </w:p>
    <w:p>
      <w:pPr>
        <w:pStyle w:val="6"/>
        <w:spacing w:line="364" w:lineRule="auto"/>
        <w:ind w:left="551" w:right="969" w:firstLine="480"/>
        <w:jc w:val="both"/>
      </w:pPr>
      <w:r>
        <w:t>根据《环境影响评价技术导则 地下水环境》（</w:t>
      </w:r>
      <w:r>
        <w:rPr>
          <w:rFonts w:ascii="Times New Roman" w:eastAsia="Times New Roman"/>
        </w:rPr>
        <w:t>HJ 610-2016</w:t>
      </w:r>
      <w:r>
        <w:t xml:space="preserve">）对建设项目地下水评价的要求，根据建设项目行业分类和地下水环境敏感程度分级进行判定， 确定该项目地下水环境影响评价工作等级。详见 </w:t>
      </w:r>
      <w:r>
        <w:rPr>
          <w:rFonts w:ascii="Times New Roman" w:eastAsia="Times New Roman"/>
        </w:rPr>
        <w:t xml:space="preserve">2.4.5 </w:t>
      </w:r>
      <w:r>
        <w:t>章节。</w:t>
      </w:r>
    </w:p>
    <w:p>
      <w:pPr>
        <w:pStyle w:val="4"/>
        <w:numPr>
          <w:ilvl w:val="2"/>
          <w:numId w:val="55"/>
        </w:numPr>
        <w:tabs>
          <w:tab w:val="left" w:pos="1181"/>
        </w:tabs>
        <w:spacing w:before="80" w:after="0" w:line="240" w:lineRule="auto"/>
        <w:ind w:left="1180" w:right="0" w:hanging="630"/>
        <w:jc w:val="left"/>
      </w:pPr>
      <w:bookmarkStart w:id="211" w:name="6.1.2调查评价区范围"/>
      <w:bookmarkEnd w:id="211"/>
      <w:bookmarkStart w:id="212" w:name="6.1.2调查评价区范围"/>
      <w:bookmarkEnd w:id="212"/>
      <w:r>
        <w:t>调查评价区范围</w:t>
      </w:r>
    </w:p>
    <w:p>
      <w:pPr>
        <w:pStyle w:val="6"/>
        <w:spacing w:before="10"/>
        <w:rPr>
          <w:b/>
          <w:sz w:val="32"/>
        </w:rPr>
      </w:pPr>
    </w:p>
    <w:p>
      <w:pPr>
        <w:pStyle w:val="6"/>
        <w:spacing w:line="364" w:lineRule="auto"/>
        <w:ind w:left="551" w:right="853" w:firstLine="480"/>
      </w:pPr>
      <w:r>
        <w:t>参照项目的评价等级，为了说明地下水环境的基本状况，依据项目区周边的地质、水文地质条件和地形、地貌特征，确定项目地下水评价范围，双鸭山大顺矿业有限公司处于低山丘陵地区，矿区地形简单，地势西高东低。因而本次地下</w:t>
      </w:r>
      <w:r>
        <w:rPr>
          <w:spacing w:val="-5"/>
        </w:rPr>
        <w:t xml:space="preserve">水环境影响评价工作的调查评价范围是以本项目区范围为核心，东西长约 </w:t>
      </w:r>
      <w:r>
        <w:rPr>
          <w:rFonts w:ascii="Times New Roman" w:eastAsia="Times New Roman"/>
          <w:spacing w:val="-4"/>
        </w:rPr>
        <w:t>6.5km</w:t>
      </w:r>
      <w:r>
        <w:rPr>
          <w:spacing w:val="-4"/>
        </w:rPr>
        <w:t xml:space="preserve">， </w:t>
      </w:r>
      <w:r>
        <w:rPr>
          <w:spacing w:val="-13"/>
        </w:rPr>
        <w:t xml:space="preserve">南北宽约 </w:t>
      </w:r>
      <w:r>
        <w:rPr>
          <w:rFonts w:ascii="Times New Roman" w:eastAsia="Times New Roman"/>
        </w:rPr>
        <w:t>5.3km</w:t>
      </w:r>
      <w:r>
        <w:rPr>
          <w:spacing w:val="-12"/>
        </w:rPr>
        <w:t xml:space="preserve">，面积为 </w:t>
      </w:r>
      <w:r>
        <w:rPr>
          <w:rFonts w:ascii="Times New Roman" w:eastAsia="Times New Roman"/>
        </w:rPr>
        <w:t>34.5km</w:t>
      </w:r>
      <w:r>
        <w:rPr>
          <w:rFonts w:ascii="Times New Roman" w:eastAsia="Times New Roman"/>
          <w:position w:val="8"/>
          <w:sz w:val="15"/>
        </w:rPr>
        <w:t>2</w:t>
      </w:r>
      <w:r>
        <w:t>。</w:t>
      </w:r>
    </w:p>
    <w:p>
      <w:pPr>
        <w:pStyle w:val="3"/>
        <w:numPr>
          <w:ilvl w:val="1"/>
          <w:numId w:val="55"/>
        </w:numPr>
        <w:tabs>
          <w:tab w:val="left" w:pos="1078"/>
        </w:tabs>
        <w:spacing w:before="41" w:after="0" w:line="240" w:lineRule="auto"/>
        <w:ind w:left="1077" w:right="0" w:hanging="527"/>
        <w:jc w:val="left"/>
      </w:pPr>
      <w:bookmarkStart w:id="213" w:name="6.2 地层和构造"/>
      <w:bookmarkEnd w:id="213"/>
      <w:bookmarkStart w:id="214" w:name="_bookmark31"/>
      <w:bookmarkEnd w:id="214"/>
      <w:bookmarkStart w:id="215" w:name="_bookmark31"/>
      <w:bookmarkEnd w:id="215"/>
      <w:r>
        <w:t>地层和构造</w:t>
      </w:r>
    </w:p>
    <w:p>
      <w:pPr>
        <w:pStyle w:val="4"/>
        <w:numPr>
          <w:ilvl w:val="2"/>
          <w:numId w:val="55"/>
        </w:numPr>
        <w:tabs>
          <w:tab w:val="left" w:pos="1253"/>
        </w:tabs>
        <w:spacing w:before="123" w:after="0" w:line="240" w:lineRule="auto"/>
        <w:ind w:left="1252" w:right="0" w:hanging="702"/>
        <w:jc w:val="left"/>
      </w:pPr>
      <w:bookmarkStart w:id="216" w:name="6.2.1 地层"/>
      <w:bookmarkEnd w:id="216"/>
      <w:bookmarkStart w:id="217" w:name="6.2.1 地层"/>
      <w:bookmarkEnd w:id="217"/>
      <w:r>
        <w:t>地层</w:t>
      </w:r>
    </w:p>
    <w:p>
      <w:pPr>
        <w:pStyle w:val="6"/>
        <w:spacing w:before="186" w:line="362" w:lineRule="auto"/>
        <w:ind w:left="551" w:right="973" w:firstLine="480"/>
      </w:pPr>
      <w:r>
        <w:t>双鸭山煤田西起佳木斯隆起，东止富锦隆起，南起完达山的分水岭，北止松花江南岸。</w:t>
      </w:r>
    </w:p>
    <w:p>
      <w:pPr>
        <w:pStyle w:val="6"/>
        <w:spacing w:before="5" w:line="364" w:lineRule="auto"/>
        <w:ind w:left="551" w:right="964" w:firstLine="480"/>
        <w:jc w:val="both"/>
      </w:pPr>
      <w:r>
        <w:t>其地理坐标：东经</w:t>
      </w:r>
      <w:r>
        <w:rPr>
          <w:rFonts w:ascii="Times New Roman" w:hAnsi="Times New Roman" w:eastAsia="Times New Roman"/>
        </w:rPr>
        <w:t>131°03′—131°45′</w:t>
      </w:r>
      <w:r>
        <w:t>；北纬</w:t>
      </w:r>
      <w:r>
        <w:rPr>
          <w:rFonts w:ascii="Times New Roman" w:hAnsi="Times New Roman" w:eastAsia="Times New Roman"/>
        </w:rPr>
        <w:t>46°22′—46°43′</w:t>
      </w:r>
      <w:r>
        <w:t>煤田东西走向长</w:t>
      </w:r>
      <w:r>
        <w:rPr>
          <w:rFonts w:ascii="Times New Roman" w:hAnsi="Times New Roman" w:eastAsia="Times New Roman"/>
        </w:rPr>
        <w:t xml:space="preserve">50 </w:t>
      </w:r>
      <w:r>
        <w:t>千米，南北宽</w:t>
      </w:r>
      <w:r>
        <w:rPr>
          <w:rFonts w:ascii="Times New Roman" w:hAnsi="Times New Roman" w:eastAsia="Times New Roman"/>
        </w:rPr>
        <w:t>5—20</w:t>
      </w:r>
      <w:r>
        <w:t>千米，面积约</w:t>
      </w:r>
      <w:r>
        <w:rPr>
          <w:rFonts w:ascii="Times New Roman" w:hAnsi="Times New Roman" w:eastAsia="Times New Roman"/>
        </w:rPr>
        <w:t>600</w:t>
      </w:r>
      <w:r>
        <w:t>平方千米，行政区划属黑龙江省双鸭山市、宝清县、友谊县。在第三、第四纪松散半胶结地层掩盖下早白垩世含煤地层广泛分布，其地层系统由老至新见表</w:t>
      </w:r>
      <w:r>
        <w:rPr>
          <w:rFonts w:ascii="Times New Roman" w:hAnsi="Times New Roman" w:eastAsia="Times New Roman"/>
        </w:rPr>
        <w:t>3.3-3</w:t>
      </w:r>
      <w:r>
        <w:t>。</w:t>
      </w:r>
    </w:p>
    <w:p>
      <w:pPr>
        <w:pStyle w:val="6"/>
        <w:spacing w:line="305" w:lineRule="exact"/>
        <w:ind w:left="1031"/>
      </w:pPr>
      <w:r>
        <w:t>地层层序由老至新分述如下：</w:t>
      </w:r>
    </w:p>
    <w:p>
      <w:pPr>
        <w:pStyle w:val="13"/>
        <w:numPr>
          <w:ilvl w:val="3"/>
          <w:numId w:val="55"/>
        </w:numPr>
        <w:tabs>
          <w:tab w:val="left" w:pos="1633"/>
        </w:tabs>
        <w:spacing w:before="160" w:after="0" w:line="240" w:lineRule="auto"/>
        <w:ind w:left="1633" w:right="0" w:hanging="602"/>
        <w:jc w:val="left"/>
        <w:rPr>
          <w:sz w:val="24"/>
        </w:rPr>
      </w:pPr>
      <w:r>
        <w:rPr>
          <w:sz w:val="24"/>
        </w:rPr>
        <w:t>元古界麻山群</w:t>
      </w:r>
    </w:p>
    <w:p>
      <w:pPr>
        <w:pStyle w:val="6"/>
        <w:spacing w:before="158" w:line="364" w:lineRule="auto"/>
        <w:ind w:left="551" w:right="969" w:firstLine="480"/>
      </w:pPr>
      <w:r>
        <w:rPr>
          <w:spacing w:val="-1"/>
        </w:rPr>
        <w:t xml:space="preserve">广泛出露于矿区的南部，构成煤系地层基底，主要岩性为花岗岩、片麻岩， </w:t>
      </w:r>
      <w:r>
        <w:t>其次为黑云母片岩，绿泥石片岩等变质岩类。</w:t>
      </w:r>
    </w:p>
    <w:p>
      <w:pPr>
        <w:pStyle w:val="13"/>
        <w:numPr>
          <w:ilvl w:val="3"/>
          <w:numId w:val="55"/>
        </w:numPr>
        <w:tabs>
          <w:tab w:val="left" w:pos="1633"/>
        </w:tabs>
        <w:spacing w:before="0" w:after="0" w:line="306" w:lineRule="exact"/>
        <w:ind w:left="1633" w:right="0" w:hanging="602"/>
        <w:jc w:val="left"/>
        <w:rPr>
          <w:sz w:val="24"/>
        </w:rPr>
      </w:pPr>
      <w:r>
        <w:rPr>
          <w:sz w:val="24"/>
        </w:rPr>
        <w:t>中生界白垩系鸡西群</w:t>
      </w:r>
    </w:p>
    <w:p>
      <w:pPr>
        <w:pStyle w:val="6"/>
        <w:spacing w:before="161" w:line="362" w:lineRule="auto"/>
        <w:ind w:left="551" w:right="969" w:firstLine="480"/>
      </w:pPr>
      <w:r>
        <w:rPr>
          <w:spacing w:val="-14"/>
        </w:rPr>
        <w:t>为一套陆相含煤碎屑岩系，不整合于元古界麻山群花岗岩之上，总厚度达</w:t>
      </w:r>
      <w:r>
        <w:rPr>
          <w:rFonts w:ascii="Times New Roman" w:eastAsia="Times New Roman"/>
          <w:spacing w:val="-4"/>
        </w:rPr>
        <w:t xml:space="preserve">1000 </w:t>
      </w:r>
      <w:r>
        <w:t>米。同时划分为城子河组和穆棱组。</w:t>
      </w:r>
    </w:p>
    <w:p>
      <w:pPr>
        <w:spacing w:after="0" w:line="362" w:lineRule="auto"/>
        <w:sectPr>
          <w:pgSz w:w="11910" w:h="16840"/>
          <w:pgMar w:top="1380" w:right="780" w:bottom="1180" w:left="1200" w:header="0" w:footer="917" w:gutter="0"/>
        </w:sectPr>
      </w:pPr>
    </w:p>
    <w:p>
      <w:pPr>
        <w:pStyle w:val="6"/>
        <w:spacing w:before="63" w:line="364" w:lineRule="auto"/>
        <w:ind w:left="551" w:right="967" w:firstLine="480"/>
        <w:jc w:val="both"/>
      </w:pPr>
      <w:r>
        <w:rPr>
          <w:spacing w:val="-7"/>
        </w:rPr>
        <w:t>①城子河组：全区发育，从钻孔控制来看，厚度</w:t>
      </w:r>
      <w:r>
        <w:rPr>
          <w:rFonts w:ascii="Times New Roman" w:hAnsi="Times New Roman" w:eastAsia="Times New Roman"/>
        </w:rPr>
        <w:t>300-450</w:t>
      </w:r>
      <w:r>
        <w:rPr>
          <w:spacing w:val="-6"/>
        </w:rPr>
        <w:t>米，其岩性大部分为</w:t>
      </w:r>
      <w:r>
        <w:rPr>
          <w:spacing w:val="-1"/>
        </w:rPr>
        <w:t>灰白色中粒砂岩，灰色粉砂岩及少量泥岩，煤页岩及煤组成。依据岩性、岩相、</w:t>
      </w:r>
      <w:r>
        <w:t>含煤特征，把城子河组分为二段。</w:t>
      </w:r>
    </w:p>
    <w:p>
      <w:pPr>
        <w:pStyle w:val="6"/>
        <w:spacing w:line="364" w:lineRule="auto"/>
        <w:ind w:left="551" w:right="969" w:firstLine="480"/>
        <w:jc w:val="both"/>
      </w:pPr>
      <w:r>
        <w:t>下段：顶部以</w:t>
      </w:r>
      <w:r>
        <w:rPr>
          <w:rFonts w:ascii="Times New Roman" w:eastAsia="Times New Roman"/>
        </w:rPr>
        <w:t>40</w:t>
      </w:r>
      <w:r>
        <w:t>煤层下粗砂岩到城子河组底部砾岩，以粗粒的河床相为主， 含有凝灰质，含煤性较差，几乎无可采层，岩性、岩相均较上段变化大，沉积旋回不完整，反应本段沉积环境相当不稳定。</w:t>
      </w:r>
    </w:p>
    <w:p>
      <w:pPr>
        <w:pStyle w:val="6"/>
        <w:spacing w:line="364" w:lineRule="auto"/>
        <w:ind w:left="551" w:right="969" w:firstLine="480"/>
        <w:jc w:val="both"/>
      </w:pPr>
      <w:r>
        <w:t>上段：顶部以穆棱组底部砂砾岩底界至</w:t>
      </w:r>
      <w:r>
        <w:rPr>
          <w:rFonts w:ascii="Times New Roman" w:eastAsia="Times New Roman"/>
        </w:rPr>
        <w:t>40</w:t>
      </w:r>
      <w:r>
        <w:rPr>
          <w:spacing w:val="-1"/>
        </w:rPr>
        <w:t>煤层下部粗砂岩。以中粗与细粒相</w:t>
      </w:r>
      <w:r>
        <w:t>间的河床相</w:t>
      </w:r>
      <w:r>
        <w:rPr>
          <w:rFonts w:ascii="Times New Roman" w:eastAsia="Times New Roman"/>
        </w:rPr>
        <w:t>-</w:t>
      </w:r>
      <w:r>
        <w:rPr>
          <w:spacing w:val="-9"/>
        </w:rPr>
        <w:t>河漫相，沼泽相互更替为特点，是煤层主要的赋存部位，亦是勘探的</w:t>
      </w:r>
      <w:r>
        <w:t>主要对象。</w:t>
      </w:r>
    </w:p>
    <w:p>
      <w:pPr>
        <w:pStyle w:val="6"/>
        <w:spacing w:line="364" w:lineRule="auto"/>
        <w:ind w:left="551" w:right="892" w:firstLine="480"/>
        <w:jc w:val="both"/>
      </w:pPr>
      <w:r>
        <w:t>②穆棱组：以灰白色中粒砂岩和灰</w:t>
      </w:r>
      <w:r>
        <w:rPr>
          <w:rFonts w:ascii="Times New Roman" w:hAnsi="Times New Roman" w:eastAsia="Times New Roman"/>
        </w:rPr>
        <w:t>-</w:t>
      </w:r>
      <w:r>
        <w:t>深灰色砂岩相间，沉积韵律较频为特色。夹凝灰质岩石、炭页和煤层，是一静水相为主，河床相几乎不见、湖泊相、泥炭沼泽相常见，含不可采煤层</w:t>
      </w:r>
      <w:r>
        <w:rPr>
          <w:rFonts w:ascii="Times New Roman" w:hAnsi="Times New Roman" w:eastAsia="Times New Roman"/>
        </w:rPr>
        <w:t>6</w:t>
      </w:r>
      <w:r>
        <w:t>层，厚度大于</w:t>
      </w:r>
      <w:r>
        <w:rPr>
          <w:rFonts w:ascii="Times New Roman" w:hAnsi="Times New Roman" w:eastAsia="Times New Roman"/>
        </w:rPr>
        <w:t>600</w:t>
      </w:r>
      <w:r>
        <w:t>米。</w:t>
      </w:r>
    </w:p>
    <w:p>
      <w:pPr>
        <w:pStyle w:val="13"/>
        <w:numPr>
          <w:ilvl w:val="3"/>
          <w:numId w:val="55"/>
        </w:numPr>
        <w:tabs>
          <w:tab w:val="left" w:pos="1633"/>
        </w:tabs>
        <w:spacing w:before="0" w:after="0" w:line="307" w:lineRule="exact"/>
        <w:ind w:left="1633" w:right="0" w:hanging="602"/>
        <w:jc w:val="left"/>
        <w:rPr>
          <w:sz w:val="24"/>
        </w:rPr>
      </w:pPr>
      <w:r>
        <w:rPr>
          <w:sz w:val="24"/>
        </w:rPr>
        <w:t>第三系</w:t>
      </w:r>
    </w:p>
    <w:p>
      <w:pPr>
        <w:pStyle w:val="6"/>
        <w:spacing w:before="154"/>
        <w:ind w:left="1031"/>
      </w:pPr>
      <w:r>
        <w:t>主要岩性为玄武岩，不整合覆盖于煤系地层之上，黑色致密，隐晶质结构。</w:t>
      </w:r>
    </w:p>
    <w:p>
      <w:pPr>
        <w:pStyle w:val="13"/>
        <w:numPr>
          <w:ilvl w:val="3"/>
          <w:numId w:val="55"/>
        </w:numPr>
        <w:tabs>
          <w:tab w:val="left" w:pos="1633"/>
        </w:tabs>
        <w:spacing w:before="160" w:after="0" w:line="240" w:lineRule="auto"/>
        <w:ind w:left="1633" w:right="0" w:hanging="602"/>
        <w:jc w:val="left"/>
        <w:rPr>
          <w:sz w:val="24"/>
        </w:rPr>
      </w:pPr>
      <w:r>
        <w:rPr>
          <w:sz w:val="24"/>
        </w:rPr>
        <w:t>第四系</w:t>
      </w:r>
    </w:p>
    <w:p>
      <w:pPr>
        <w:pStyle w:val="6"/>
        <w:spacing w:before="158" w:line="364" w:lineRule="auto"/>
        <w:ind w:left="551" w:right="969" w:firstLine="480"/>
      </w:pPr>
      <w:r>
        <w:t>位于山谷至山麓一带，谷底为冲积层，向上渐变为坡积层，成分多为黏土和风化玄武岩，砂岩碎块，两极厚度为</w:t>
      </w:r>
      <w:r>
        <w:rPr>
          <w:rFonts w:ascii="Times New Roman" w:eastAsia="Times New Roman"/>
        </w:rPr>
        <w:t>2-17</w:t>
      </w:r>
      <w:r>
        <w:t>米，一般厚度</w:t>
      </w:r>
      <w:r>
        <w:rPr>
          <w:rFonts w:ascii="Times New Roman" w:eastAsia="Times New Roman"/>
        </w:rPr>
        <w:t>5</w:t>
      </w:r>
      <w:r>
        <w:t>米。</w:t>
      </w:r>
    </w:p>
    <w:p>
      <w:pPr>
        <w:pStyle w:val="4"/>
        <w:numPr>
          <w:ilvl w:val="2"/>
          <w:numId w:val="55"/>
        </w:numPr>
        <w:tabs>
          <w:tab w:val="left" w:pos="1253"/>
        </w:tabs>
        <w:spacing w:before="0" w:after="0" w:line="358" w:lineRule="exact"/>
        <w:ind w:left="1252" w:right="0" w:hanging="702"/>
        <w:jc w:val="left"/>
      </w:pPr>
      <w:r>
        <w:rPr>
          <w:spacing w:val="-1"/>
          <w:w w:val="95"/>
        </w:rPr>
        <w:t>构造</w:t>
      </w:r>
    </w:p>
    <w:p>
      <w:pPr>
        <w:pStyle w:val="6"/>
        <w:spacing w:before="185" w:line="364" w:lineRule="auto"/>
        <w:ind w:left="551" w:right="847" w:firstLine="480"/>
      </w:pPr>
      <w:r>
        <w:t>该矿处于双鸭山煤田西部，紧靠双鸭山煤田南部逆冲断层北侧。井区内被近东西向的</w:t>
      </w:r>
      <w:r>
        <w:rPr>
          <w:rFonts w:ascii="Times New Roman" w:hAnsi="Times New Roman" w:eastAsia="Times New Roman"/>
        </w:rPr>
        <w:t>F12</w:t>
      </w:r>
      <w:r>
        <w:t>断层分为南北两部分。其中南部为呈一向南东倾伏的向斜构造，轴向</w:t>
      </w:r>
      <w:r>
        <w:rPr>
          <w:rFonts w:ascii="Times New Roman" w:hAnsi="Times New Roman" w:eastAsia="Times New Roman"/>
          <w:spacing w:val="-4"/>
        </w:rPr>
        <w:t>N65°W</w:t>
      </w:r>
      <w:r>
        <w:rPr>
          <w:spacing w:val="-2"/>
        </w:rPr>
        <w:t>；向斜北翼地层走向</w:t>
      </w:r>
      <w:r>
        <w:rPr>
          <w:rFonts w:ascii="Times New Roman" w:hAnsi="Times New Roman" w:eastAsia="Times New Roman"/>
        </w:rPr>
        <w:t>N450</w:t>
      </w:r>
      <w:r>
        <w:t>－</w:t>
      </w:r>
      <w:r>
        <w:rPr>
          <w:rFonts w:ascii="Times New Roman" w:hAnsi="Times New Roman" w:eastAsia="Times New Roman"/>
        </w:rPr>
        <w:t>800E</w:t>
      </w:r>
      <w:r>
        <w:t>，倾角</w:t>
      </w:r>
      <w:r>
        <w:rPr>
          <w:rFonts w:ascii="Times New Roman" w:hAnsi="Times New Roman" w:eastAsia="Times New Roman"/>
        </w:rPr>
        <w:t>30-45</w:t>
      </w:r>
      <w:r>
        <w:rPr>
          <w:spacing w:val="-5"/>
        </w:rPr>
        <w:t xml:space="preserve">°左右；南翼走向近东西， </w:t>
      </w:r>
      <w:r>
        <w:t>地层走向</w:t>
      </w:r>
      <w:r>
        <w:rPr>
          <w:rFonts w:ascii="Times New Roman" w:hAnsi="Times New Roman" w:eastAsia="Times New Roman"/>
        </w:rPr>
        <w:t>70</w:t>
      </w:r>
      <w:r>
        <w:t>°</w:t>
      </w:r>
      <w:r>
        <w:rPr>
          <w:rFonts w:ascii="Times New Roman" w:hAnsi="Times New Roman" w:eastAsia="Times New Roman"/>
        </w:rPr>
        <w:t>-80</w:t>
      </w:r>
      <w:r>
        <w:t>°，倾角</w:t>
      </w:r>
      <w:r>
        <w:rPr>
          <w:rFonts w:ascii="Times New Roman" w:hAnsi="Times New Roman" w:eastAsia="Times New Roman"/>
        </w:rPr>
        <w:t>55</w:t>
      </w:r>
      <w:r>
        <w:t>°左右。</w:t>
      </w:r>
      <w:r>
        <w:rPr>
          <w:rFonts w:ascii="Times New Roman" w:hAnsi="Times New Roman" w:eastAsia="Times New Roman"/>
        </w:rPr>
        <w:t>F12</w:t>
      </w:r>
      <w:r>
        <w:t>断层以北为单斜构造，地层走向</w:t>
      </w:r>
      <w:r>
        <w:rPr>
          <w:rFonts w:ascii="Times New Roman" w:hAnsi="Times New Roman" w:eastAsia="Times New Roman"/>
        </w:rPr>
        <w:t>S800</w:t>
      </w:r>
      <w:r>
        <w:t xml:space="preserve">－ </w:t>
      </w:r>
      <w:r>
        <w:rPr>
          <w:rFonts w:ascii="Times New Roman" w:hAnsi="Times New Roman" w:eastAsia="Times New Roman"/>
        </w:rPr>
        <w:t>880W</w:t>
      </w:r>
      <w:r>
        <w:t>，倾角</w:t>
      </w:r>
      <w:r>
        <w:rPr>
          <w:rFonts w:ascii="Times New Roman" w:hAnsi="Times New Roman" w:eastAsia="Times New Roman"/>
        </w:rPr>
        <w:t>18</w:t>
      </w:r>
      <w:r>
        <w:t>°左右。</w:t>
      </w:r>
    </w:p>
    <w:p>
      <w:pPr>
        <w:pStyle w:val="6"/>
        <w:spacing w:line="362" w:lineRule="auto"/>
        <w:ind w:left="551" w:right="969" w:firstLine="480"/>
      </w:pPr>
      <w:r>
        <w:t>井区内断层以正断层为主，逆断层次之；断层走向分为北东、北西和近东西向三组，其中以北东向为主，北西向较少，近东西向都是大断层。</w:t>
      </w:r>
    </w:p>
    <w:p>
      <w:pPr>
        <w:pStyle w:val="6"/>
        <w:spacing w:before="4" w:line="364" w:lineRule="auto"/>
        <w:ind w:left="551" w:right="967" w:firstLine="480"/>
        <w:jc w:val="both"/>
      </w:pPr>
      <w:r>
        <w:t>《双鸭山煤田岭东煤矿九斜井勘探区地质勘探最终报告》（精查）中有</w:t>
      </w:r>
      <w:r>
        <w:rPr>
          <w:rFonts w:ascii="Times New Roman" w:eastAsia="Times New Roman"/>
        </w:rPr>
        <w:t>11</w:t>
      </w:r>
      <w:r>
        <w:t>条断层，分别是</w:t>
      </w:r>
      <w:r>
        <w:rPr>
          <w:rFonts w:ascii="Times New Roman" w:eastAsia="Times New Roman"/>
        </w:rPr>
        <w:t>R1-R11</w:t>
      </w:r>
      <w:r>
        <w:t>，对矿区影响较大的断层为</w:t>
      </w:r>
      <w:r>
        <w:rPr>
          <w:rFonts w:ascii="Times New Roman" w:eastAsia="Times New Roman"/>
        </w:rPr>
        <w:t>R3</w:t>
      </w:r>
      <w:r>
        <w:t>、</w:t>
      </w:r>
      <w:r>
        <w:rPr>
          <w:rFonts w:ascii="Times New Roman" w:eastAsia="Times New Roman"/>
        </w:rPr>
        <w:t>R4</w:t>
      </w:r>
      <w:r>
        <w:t>、</w:t>
      </w:r>
      <w:r>
        <w:rPr>
          <w:rFonts w:ascii="Times New Roman" w:eastAsia="Times New Roman"/>
        </w:rPr>
        <w:t>R11</w:t>
      </w:r>
      <w:r>
        <w:t>。其中</w:t>
      </w:r>
      <w:r>
        <w:rPr>
          <w:rFonts w:ascii="Times New Roman" w:eastAsia="Times New Roman"/>
        </w:rPr>
        <w:t>R11</w:t>
      </w:r>
      <w:r>
        <w:t>断层为控制边界断层。</w:t>
      </w:r>
    </w:p>
    <w:p>
      <w:pPr>
        <w:pStyle w:val="6"/>
        <w:spacing w:line="307" w:lineRule="exact"/>
        <w:ind w:left="1031"/>
      </w:pPr>
      <w:r>
        <w:t>西北部邻近矿井岭东区顺达煤井位于九斜井勘探区内，顺达煤井井区内发育</w:t>
      </w:r>
    </w:p>
    <w:p>
      <w:pPr>
        <w:pStyle w:val="6"/>
        <w:spacing w:before="158"/>
        <w:ind w:left="551"/>
      </w:pPr>
      <w:r>
        <w:rPr>
          <w:rFonts w:ascii="Times New Roman" w:eastAsia="Times New Roman"/>
        </w:rPr>
        <w:t>R5</w:t>
      </w:r>
      <w:r>
        <w:t>、</w:t>
      </w:r>
      <w:r>
        <w:rPr>
          <w:rFonts w:ascii="Times New Roman" w:eastAsia="Times New Roman"/>
        </w:rPr>
        <w:t>R11</w:t>
      </w:r>
      <w:r>
        <w:t>等两条逆断层（详见表</w:t>
      </w:r>
      <w:r>
        <w:rPr>
          <w:rFonts w:ascii="Times New Roman" w:eastAsia="Times New Roman"/>
        </w:rPr>
        <w:t>3.3-5</w:t>
      </w:r>
      <w:r>
        <w:t>）。</w:t>
      </w:r>
    </w:p>
    <w:p>
      <w:pPr>
        <w:spacing w:after="0"/>
        <w:sectPr>
          <w:pgSz w:w="11910" w:h="16840"/>
          <w:pgMar w:top="1360" w:right="780" w:bottom="1180" w:left="1200" w:header="0" w:footer="917" w:gutter="0"/>
        </w:sectPr>
      </w:pPr>
    </w:p>
    <w:p>
      <w:pPr>
        <w:pStyle w:val="6"/>
        <w:spacing w:before="63" w:line="364" w:lineRule="auto"/>
        <w:ind w:left="551" w:right="967" w:firstLine="480"/>
        <w:jc w:val="both"/>
      </w:pPr>
      <w:r>
        <w:rPr>
          <w:spacing w:val="-1"/>
        </w:rPr>
        <w:t>《黑龙江省双鸭山市横头山区小井勘探地质报告》中有断层</w:t>
      </w:r>
      <w:r>
        <w:rPr>
          <w:rFonts w:ascii="Times New Roman" w:eastAsia="Times New Roman"/>
        </w:rPr>
        <w:t>12</w:t>
      </w:r>
      <w:r>
        <w:rPr>
          <w:spacing w:val="-2"/>
        </w:rPr>
        <w:t>条，对矿区影</w:t>
      </w:r>
      <w:r>
        <w:t>响较大的断层为</w:t>
      </w:r>
      <w:r>
        <w:rPr>
          <w:rFonts w:ascii="Times New Roman" w:eastAsia="Times New Roman"/>
        </w:rPr>
        <w:t>F1</w:t>
      </w:r>
      <w:r>
        <w:rPr>
          <w:spacing w:val="-15"/>
        </w:rPr>
        <w:t>、</w:t>
      </w:r>
      <w:r>
        <w:rPr>
          <w:rFonts w:ascii="Times New Roman" w:eastAsia="Times New Roman"/>
        </w:rPr>
        <w:t>F2</w:t>
      </w:r>
      <w:r>
        <w:rPr>
          <w:spacing w:val="-15"/>
        </w:rPr>
        <w:t>、</w:t>
      </w:r>
      <w:r>
        <w:rPr>
          <w:rFonts w:ascii="Times New Roman" w:eastAsia="Times New Roman"/>
        </w:rPr>
        <w:t>F3</w:t>
      </w:r>
      <w:r>
        <w:rPr>
          <w:spacing w:val="-15"/>
        </w:rPr>
        <w:t>、</w:t>
      </w:r>
      <w:r>
        <w:rPr>
          <w:rFonts w:ascii="Times New Roman" w:eastAsia="Times New Roman"/>
        </w:rPr>
        <w:t>F4</w:t>
      </w:r>
      <w:r>
        <w:rPr>
          <w:spacing w:val="-17"/>
        </w:rPr>
        <w:t>、</w:t>
      </w:r>
      <w:r>
        <w:rPr>
          <w:rFonts w:ascii="Times New Roman" w:eastAsia="Times New Roman"/>
        </w:rPr>
        <w:t>F5</w:t>
      </w:r>
      <w:r>
        <w:rPr>
          <w:spacing w:val="-15"/>
        </w:rPr>
        <w:t>、</w:t>
      </w:r>
      <w:r>
        <w:rPr>
          <w:rFonts w:ascii="Times New Roman" w:eastAsia="Times New Roman"/>
        </w:rPr>
        <w:t>F6</w:t>
      </w:r>
      <w:r>
        <w:rPr>
          <w:spacing w:val="-15"/>
        </w:rPr>
        <w:t>、</w:t>
      </w:r>
      <w:r>
        <w:rPr>
          <w:rFonts w:ascii="Times New Roman" w:eastAsia="Times New Roman"/>
        </w:rPr>
        <w:t>F7</w:t>
      </w:r>
      <w:r>
        <w:rPr>
          <w:spacing w:val="-4"/>
        </w:rPr>
        <w:t>等断层，其中</w:t>
      </w:r>
      <w:r>
        <w:rPr>
          <w:rFonts w:ascii="Times New Roman" w:eastAsia="Times New Roman"/>
        </w:rPr>
        <w:t>F1</w:t>
      </w:r>
      <w:r>
        <w:rPr>
          <w:spacing w:val="-15"/>
        </w:rPr>
        <w:t>、</w:t>
      </w:r>
      <w:r>
        <w:rPr>
          <w:rFonts w:ascii="Times New Roman" w:eastAsia="Times New Roman"/>
        </w:rPr>
        <w:t>F4</w:t>
      </w:r>
      <w:r>
        <w:t>断层为控制边界断层。</w:t>
      </w:r>
    </w:p>
    <w:p>
      <w:pPr>
        <w:pStyle w:val="6"/>
        <w:spacing w:line="362" w:lineRule="auto"/>
        <w:ind w:left="551" w:right="969" w:firstLine="480"/>
      </w:pPr>
      <w:r>
        <w:t>大顺煤矿原范围位于横头山区小井勘探区内，大顺煤矿矿区范围内断层有</w:t>
      </w:r>
      <w:r>
        <w:rPr>
          <w:rFonts w:ascii="Times New Roman" w:eastAsia="Times New Roman"/>
        </w:rPr>
        <w:t xml:space="preserve">6 </w:t>
      </w:r>
      <w:r>
        <w:t>条，详见表</w:t>
      </w:r>
      <w:r>
        <w:rPr>
          <w:rFonts w:ascii="Times New Roman" w:eastAsia="Times New Roman"/>
        </w:rPr>
        <w:t>3.3-6</w:t>
      </w:r>
      <w:r>
        <w:t>。</w:t>
      </w:r>
    </w:p>
    <w:p>
      <w:pPr>
        <w:pStyle w:val="6"/>
        <w:spacing w:before="4" w:line="364" w:lineRule="auto"/>
        <w:ind w:left="551" w:right="973" w:firstLine="480"/>
        <w:jc w:val="both"/>
      </w:pPr>
      <w:r>
        <w:t>本次扩大区范围内及周边共有断层</w:t>
      </w:r>
      <w:r>
        <w:rPr>
          <w:rFonts w:ascii="Times New Roman" w:eastAsia="Times New Roman"/>
        </w:rPr>
        <w:t>10</w:t>
      </w:r>
      <w:r>
        <w:t>条，分布在西北部邻近矿井岭东区顺达煤井矿区范围内有</w:t>
      </w:r>
      <w:r>
        <w:rPr>
          <w:rFonts w:ascii="Times New Roman" w:eastAsia="Times New Roman"/>
        </w:rPr>
        <w:t>2</w:t>
      </w:r>
      <w:r>
        <w:t>条，分布在原大顺煤矿范围内有</w:t>
      </w:r>
      <w:r>
        <w:rPr>
          <w:rFonts w:ascii="Times New Roman" w:eastAsia="Times New Roman"/>
        </w:rPr>
        <w:t>6</w:t>
      </w:r>
      <w:r>
        <w:t>条，分布在两矿之间边界断层</w:t>
      </w:r>
      <w:r>
        <w:rPr>
          <w:rFonts w:ascii="Times New Roman" w:eastAsia="Times New Roman"/>
        </w:rPr>
        <w:t>1</w:t>
      </w:r>
      <w:r>
        <w:t>条，分布在扩大区与长山六井之间</w:t>
      </w:r>
      <w:r>
        <w:rPr>
          <w:rFonts w:ascii="Times New Roman" w:eastAsia="Times New Roman"/>
        </w:rPr>
        <w:t>1</w:t>
      </w:r>
      <w:r>
        <w:t>条，以及劳教所煤矿向斜。现分别叙述如下：</w:t>
      </w:r>
    </w:p>
    <w:p>
      <w:pPr>
        <w:pStyle w:val="13"/>
        <w:numPr>
          <w:ilvl w:val="0"/>
          <w:numId w:val="56"/>
        </w:numPr>
        <w:tabs>
          <w:tab w:val="left" w:pos="1633"/>
        </w:tabs>
        <w:spacing w:before="0" w:after="0" w:line="364" w:lineRule="auto"/>
        <w:ind w:left="551" w:right="853" w:firstLine="480"/>
        <w:jc w:val="left"/>
        <w:rPr>
          <w:sz w:val="24"/>
        </w:rPr>
      </w:pPr>
      <w:r>
        <w:rPr>
          <w:spacing w:val="-1"/>
          <w:sz w:val="24"/>
        </w:rPr>
        <w:t>劳教所煤矿向斜：为一轴向南东，向南东倾伏，向西北抬起的北翼缓、</w:t>
      </w:r>
      <w:r>
        <w:rPr>
          <w:spacing w:val="-2"/>
          <w:sz w:val="24"/>
        </w:rPr>
        <w:t>南翼陡的不对称向斜。向斜北翼地层走向</w:t>
      </w:r>
      <w:r>
        <w:rPr>
          <w:rFonts w:ascii="Times New Roman" w:hAnsi="Times New Roman" w:eastAsia="Times New Roman"/>
          <w:sz w:val="24"/>
        </w:rPr>
        <w:t>N450</w:t>
      </w:r>
      <w:r>
        <w:rPr>
          <w:sz w:val="24"/>
        </w:rPr>
        <w:t>－</w:t>
      </w:r>
      <w:r>
        <w:rPr>
          <w:rFonts w:ascii="Times New Roman" w:hAnsi="Times New Roman" w:eastAsia="Times New Roman"/>
          <w:sz w:val="24"/>
        </w:rPr>
        <w:t>800E</w:t>
      </w:r>
      <w:r>
        <w:rPr>
          <w:sz w:val="24"/>
        </w:rPr>
        <w:t>，倾角</w:t>
      </w:r>
      <w:r>
        <w:rPr>
          <w:rFonts w:ascii="Times New Roman" w:hAnsi="Times New Roman" w:eastAsia="Times New Roman"/>
          <w:sz w:val="24"/>
        </w:rPr>
        <w:t>30-45o</w:t>
      </w:r>
      <w:r>
        <w:rPr>
          <w:spacing w:val="-3"/>
          <w:sz w:val="24"/>
        </w:rPr>
        <w:t>左右；南翼走向近东西，地层走向</w:t>
      </w:r>
      <w:r>
        <w:rPr>
          <w:rFonts w:ascii="Times New Roman" w:hAnsi="Times New Roman" w:eastAsia="Times New Roman"/>
          <w:spacing w:val="-3"/>
          <w:sz w:val="24"/>
        </w:rPr>
        <w:t>70°-80°</w:t>
      </w:r>
      <w:r>
        <w:rPr>
          <w:spacing w:val="-3"/>
          <w:sz w:val="24"/>
        </w:rPr>
        <w:t>，倾角</w:t>
      </w:r>
      <w:r>
        <w:rPr>
          <w:rFonts w:ascii="Times New Roman" w:hAnsi="Times New Roman" w:eastAsia="Times New Roman"/>
          <w:spacing w:val="-3"/>
          <w:sz w:val="24"/>
        </w:rPr>
        <w:t>55o</w:t>
      </w:r>
      <w:r>
        <w:rPr>
          <w:spacing w:val="-3"/>
          <w:sz w:val="24"/>
        </w:rPr>
        <w:t>左右。</w:t>
      </w:r>
    </w:p>
    <w:p>
      <w:pPr>
        <w:pStyle w:val="13"/>
        <w:numPr>
          <w:ilvl w:val="0"/>
          <w:numId w:val="56"/>
        </w:numPr>
        <w:tabs>
          <w:tab w:val="left" w:pos="1633"/>
        </w:tabs>
        <w:spacing w:before="0" w:after="0" w:line="362" w:lineRule="auto"/>
        <w:ind w:left="551" w:right="964" w:firstLine="480"/>
        <w:jc w:val="left"/>
        <w:rPr>
          <w:sz w:val="24"/>
        </w:rPr>
      </w:pPr>
      <w:r>
        <w:rPr>
          <w:rFonts w:ascii="Times New Roman" w:hAnsi="Times New Roman" w:eastAsia="Times New Roman"/>
          <w:sz w:val="24"/>
        </w:rPr>
        <w:t>F1</w:t>
      </w:r>
      <w:r>
        <w:rPr>
          <w:spacing w:val="-11"/>
          <w:sz w:val="24"/>
        </w:rPr>
        <w:t>号断层：走向北东，倾向南、倾角</w:t>
      </w:r>
      <w:r>
        <w:rPr>
          <w:rFonts w:ascii="Times New Roman" w:hAnsi="Times New Roman" w:eastAsia="Times New Roman"/>
          <w:spacing w:val="-8"/>
          <w:sz w:val="24"/>
        </w:rPr>
        <w:t>70°</w:t>
      </w:r>
      <w:r>
        <w:rPr>
          <w:spacing w:val="-4"/>
          <w:sz w:val="24"/>
        </w:rPr>
        <w:t>，由</w:t>
      </w:r>
      <w:r>
        <w:rPr>
          <w:rFonts w:ascii="Times New Roman" w:hAnsi="Times New Roman" w:eastAsia="Times New Roman"/>
          <w:sz w:val="24"/>
        </w:rPr>
        <w:t>90-4</w:t>
      </w:r>
      <w:r>
        <w:rPr>
          <w:sz w:val="24"/>
        </w:rPr>
        <w:t xml:space="preserve">号钻孔第五勘探线 </w:t>
      </w:r>
      <w:r>
        <w:rPr>
          <w:rFonts w:ascii="Times New Roman" w:hAnsi="Times New Roman" w:eastAsia="Times New Roman"/>
          <w:spacing w:val="-4"/>
          <w:sz w:val="24"/>
        </w:rPr>
        <w:t>90-2</w:t>
      </w:r>
      <w:r>
        <w:rPr>
          <w:sz w:val="24"/>
        </w:rPr>
        <w:t>号孔、</w:t>
      </w:r>
      <w:r>
        <w:rPr>
          <w:rFonts w:ascii="Times New Roman" w:hAnsi="Times New Roman" w:eastAsia="Times New Roman"/>
          <w:sz w:val="24"/>
        </w:rPr>
        <w:t>90-7</w:t>
      </w:r>
      <w:r>
        <w:rPr>
          <w:sz w:val="24"/>
        </w:rPr>
        <w:t>号孔推定。落差大于</w:t>
      </w:r>
      <w:r>
        <w:rPr>
          <w:rFonts w:ascii="Times New Roman" w:hAnsi="Times New Roman" w:eastAsia="Times New Roman"/>
          <w:sz w:val="24"/>
        </w:rPr>
        <w:t>200</w:t>
      </w:r>
      <w:r>
        <w:rPr>
          <w:sz w:val="24"/>
        </w:rPr>
        <w:t>米，属推断断层。</w:t>
      </w:r>
    </w:p>
    <w:p>
      <w:pPr>
        <w:pStyle w:val="13"/>
        <w:numPr>
          <w:ilvl w:val="0"/>
          <w:numId w:val="56"/>
        </w:numPr>
        <w:tabs>
          <w:tab w:val="left" w:pos="1633"/>
        </w:tabs>
        <w:spacing w:before="2" w:after="0" w:line="362" w:lineRule="auto"/>
        <w:ind w:left="551" w:right="969" w:firstLine="480"/>
        <w:jc w:val="left"/>
        <w:rPr>
          <w:sz w:val="24"/>
        </w:rPr>
      </w:pPr>
      <w:r>
        <w:rPr>
          <w:rFonts w:ascii="Times New Roman" w:hAnsi="Times New Roman" w:eastAsia="Times New Roman"/>
          <w:sz w:val="24"/>
        </w:rPr>
        <w:t>F2</w:t>
      </w:r>
      <w:r>
        <w:rPr>
          <w:sz w:val="24"/>
        </w:rPr>
        <w:t>断层：走向近东西，倾向南、倾角</w:t>
      </w:r>
      <w:r>
        <w:rPr>
          <w:rFonts w:ascii="Times New Roman" w:hAnsi="Times New Roman" w:eastAsia="Times New Roman"/>
          <w:sz w:val="24"/>
        </w:rPr>
        <w:t>70°</w:t>
      </w:r>
      <w:r>
        <w:rPr>
          <w:spacing w:val="-2"/>
          <w:sz w:val="24"/>
        </w:rPr>
        <w:t>，为逆冲断层，北盘为城子河</w:t>
      </w:r>
      <w:r>
        <w:rPr>
          <w:sz w:val="24"/>
        </w:rPr>
        <w:t>组、穆棱组地层，南盘为基底花岗岩，落差</w:t>
      </w:r>
      <w:r>
        <w:rPr>
          <w:rFonts w:ascii="Times New Roman" w:hAnsi="Times New Roman" w:eastAsia="Times New Roman"/>
          <w:sz w:val="24"/>
        </w:rPr>
        <w:t>500</w:t>
      </w:r>
      <w:r>
        <w:rPr>
          <w:sz w:val="24"/>
        </w:rPr>
        <w:t>米，属推断断层。</w:t>
      </w:r>
    </w:p>
    <w:p>
      <w:pPr>
        <w:pStyle w:val="13"/>
        <w:numPr>
          <w:ilvl w:val="0"/>
          <w:numId w:val="56"/>
        </w:numPr>
        <w:tabs>
          <w:tab w:val="left" w:pos="1633"/>
        </w:tabs>
        <w:spacing w:before="5" w:after="0" w:line="364" w:lineRule="auto"/>
        <w:ind w:left="551" w:right="849" w:firstLine="480"/>
        <w:jc w:val="both"/>
        <w:rPr>
          <w:sz w:val="24"/>
        </w:rPr>
      </w:pPr>
      <w:r>
        <w:rPr>
          <w:rFonts w:ascii="Times New Roman" w:hAnsi="Times New Roman" w:eastAsia="Times New Roman"/>
          <w:sz w:val="24"/>
        </w:rPr>
        <w:t>F3</w:t>
      </w:r>
      <w:r>
        <w:rPr>
          <w:sz w:val="24"/>
        </w:rPr>
        <w:t>断层：走向北西，倾向北东、倾角</w:t>
      </w:r>
      <w:r>
        <w:rPr>
          <w:rFonts w:ascii="Times New Roman" w:hAnsi="Times New Roman" w:eastAsia="Times New Roman"/>
          <w:sz w:val="24"/>
        </w:rPr>
        <w:t>70°</w:t>
      </w:r>
      <w:r>
        <w:rPr>
          <w:sz w:val="24"/>
        </w:rPr>
        <w:t>，为正断层，落差</w:t>
      </w:r>
      <w:r>
        <w:rPr>
          <w:rFonts w:ascii="Times New Roman" w:hAnsi="Times New Roman" w:eastAsia="Times New Roman"/>
          <w:sz w:val="24"/>
        </w:rPr>
        <w:t>350-380</w:t>
      </w:r>
      <w:r>
        <w:rPr>
          <w:sz w:val="24"/>
        </w:rPr>
        <w:t>米， 东南端由</w:t>
      </w:r>
      <w:r>
        <w:rPr>
          <w:rFonts w:ascii="Times New Roman" w:hAnsi="Times New Roman" w:eastAsia="Times New Roman"/>
          <w:sz w:val="24"/>
        </w:rPr>
        <w:t>2000-4</w:t>
      </w:r>
      <w:r>
        <w:rPr>
          <w:sz w:val="24"/>
        </w:rPr>
        <w:t>和</w:t>
      </w:r>
      <w:r>
        <w:rPr>
          <w:rFonts w:ascii="Times New Roman" w:hAnsi="Times New Roman" w:eastAsia="Times New Roman"/>
          <w:sz w:val="24"/>
        </w:rPr>
        <w:t>90-2</w:t>
      </w:r>
      <w:r>
        <w:rPr>
          <w:spacing w:val="-1"/>
          <w:sz w:val="24"/>
        </w:rPr>
        <w:t>号孔控制，北西端双鸭山矿务局长山六井报告</w:t>
      </w:r>
      <w:r>
        <w:rPr>
          <w:rFonts w:ascii="Times New Roman" w:hAnsi="Times New Roman" w:eastAsia="Times New Roman"/>
          <w:sz w:val="24"/>
        </w:rPr>
        <w:t>87-7</w:t>
      </w:r>
      <w:r>
        <w:rPr>
          <w:spacing w:val="-4"/>
          <w:sz w:val="24"/>
        </w:rPr>
        <w:t>号钻孔、</w:t>
      </w:r>
      <w:r>
        <w:rPr>
          <w:sz w:val="24"/>
        </w:rPr>
        <w:t>顺达补勘</w:t>
      </w:r>
      <w:r>
        <w:rPr>
          <w:rFonts w:ascii="Times New Roman" w:hAnsi="Times New Roman" w:eastAsia="Times New Roman"/>
          <w:sz w:val="24"/>
        </w:rPr>
        <w:t>2000-3</w:t>
      </w:r>
      <w:r>
        <w:rPr>
          <w:sz w:val="24"/>
        </w:rPr>
        <w:t>号钻孔控制，属较可靠。为本次核实新推断断层。</w:t>
      </w:r>
    </w:p>
    <w:p>
      <w:pPr>
        <w:pStyle w:val="13"/>
        <w:numPr>
          <w:ilvl w:val="0"/>
          <w:numId w:val="56"/>
        </w:numPr>
        <w:tabs>
          <w:tab w:val="left" w:pos="1633"/>
        </w:tabs>
        <w:spacing w:before="0" w:after="0" w:line="364" w:lineRule="auto"/>
        <w:ind w:left="551" w:right="964" w:firstLine="480"/>
        <w:jc w:val="left"/>
        <w:rPr>
          <w:sz w:val="24"/>
        </w:rPr>
      </w:pPr>
      <w:r>
        <w:rPr>
          <w:rFonts w:ascii="Times New Roman" w:eastAsia="Times New Roman"/>
          <w:sz w:val="24"/>
        </w:rPr>
        <w:t>F4</w:t>
      </w:r>
      <w:r>
        <w:rPr>
          <w:spacing w:val="-4"/>
          <w:sz w:val="24"/>
        </w:rPr>
        <w:t>号断层：走向北西，倾向东，由</w:t>
      </w:r>
      <w:r>
        <w:rPr>
          <w:rFonts w:ascii="Times New Roman" w:eastAsia="Times New Roman"/>
          <w:sz w:val="24"/>
        </w:rPr>
        <w:t>90-1</w:t>
      </w:r>
      <w:r>
        <w:rPr>
          <w:spacing w:val="-8"/>
          <w:sz w:val="24"/>
        </w:rPr>
        <w:t>、</w:t>
      </w:r>
      <w:r>
        <w:rPr>
          <w:rFonts w:ascii="Times New Roman" w:eastAsia="Times New Roman"/>
          <w:sz w:val="24"/>
        </w:rPr>
        <w:t>90-2</w:t>
      </w:r>
      <w:r>
        <w:rPr>
          <w:spacing w:val="-3"/>
          <w:sz w:val="24"/>
        </w:rPr>
        <w:t>孔推定。同一水平，西盘为城子河组，东盘为穆棱组地层。落差不详，属推断断层。</w:t>
      </w:r>
    </w:p>
    <w:p>
      <w:pPr>
        <w:pStyle w:val="13"/>
        <w:numPr>
          <w:ilvl w:val="0"/>
          <w:numId w:val="56"/>
        </w:numPr>
        <w:tabs>
          <w:tab w:val="left" w:pos="1640"/>
        </w:tabs>
        <w:spacing w:before="0" w:after="0" w:line="364" w:lineRule="auto"/>
        <w:ind w:left="551" w:right="967" w:firstLine="480"/>
        <w:jc w:val="left"/>
        <w:rPr>
          <w:sz w:val="24"/>
        </w:rPr>
      </w:pPr>
      <w:r>
        <w:rPr>
          <w:rFonts w:ascii="Times New Roman" w:eastAsia="Times New Roman"/>
          <w:sz w:val="24"/>
        </w:rPr>
        <w:t>F5</w:t>
      </w:r>
      <w:r>
        <w:rPr>
          <w:sz w:val="24"/>
        </w:rPr>
        <w:t>号地层：走向北东，倾向南东，落差</w:t>
      </w:r>
      <w:r>
        <w:rPr>
          <w:rFonts w:ascii="Times New Roman" w:eastAsia="Times New Roman"/>
          <w:sz w:val="24"/>
        </w:rPr>
        <w:t>15-30</w:t>
      </w:r>
      <w:r>
        <w:rPr>
          <w:sz w:val="24"/>
        </w:rPr>
        <w:t>米，</w:t>
      </w:r>
      <w:r>
        <w:rPr>
          <w:rFonts w:ascii="Times New Roman" w:eastAsia="Times New Roman"/>
          <w:sz w:val="24"/>
        </w:rPr>
        <w:t>90-1</w:t>
      </w:r>
      <w:r>
        <w:rPr>
          <w:sz w:val="24"/>
        </w:rPr>
        <w:t>号钻孔控制，一井东部巷道控制，属较可靠。</w:t>
      </w:r>
    </w:p>
    <w:p>
      <w:pPr>
        <w:pStyle w:val="13"/>
        <w:numPr>
          <w:ilvl w:val="0"/>
          <w:numId w:val="56"/>
        </w:numPr>
        <w:tabs>
          <w:tab w:val="left" w:pos="1635"/>
        </w:tabs>
        <w:spacing w:before="0" w:after="0" w:line="362" w:lineRule="auto"/>
        <w:ind w:left="551" w:right="969" w:firstLine="480"/>
        <w:jc w:val="left"/>
        <w:rPr>
          <w:sz w:val="24"/>
        </w:rPr>
      </w:pPr>
      <w:r>
        <w:rPr>
          <w:rFonts w:ascii="Times New Roman" w:eastAsia="Times New Roman"/>
          <w:sz w:val="24"/>
        </w:rPr>
        <w:t>F6</w:t>
      </w:r>
      <w:r>
        <w:rPr>
          <w:sz w:val="24"/>
        </w:rPr>
        <w:t>号断层： 走向北东，倾向北西、落差</w:t>
      </w:r>
      <w:r>
        <w:rPr>
          <w:rFonts w:ascii="Times New Roman" w:eastAsia="Times New Roman"/>
          <w:sz w:val="24"/>
        </w:rPr>
        <w:t>0-20</w:t>
      </w:r>
      <w:r>
        <w:rPr>
          <w:spacing w:val="-1"/>
          <w:sz w:val="24"/>
        </w:rPr>
        <w:t>米，由长胜井、二井巷道</w:t>
      </w:r>
      <w:r>
        <w:rPr>
          <w:sz w:val="24"/>
        </w:rPr>
        <w:t>实见，属可靠。</w:t>
      </w:r>
    </w:p>
    <w:p>
      <w:pPr>
        <w:pStyle w:val="13"/>
        <w:numPr>
          <w:ilvl w:val="0"/>
          <w:numId w:val="56"/>
        </w:numPr>
        <w:tabs>
          <w:tab w:val="left" w:pos="1642"/>
        </w:tabs>
        <w:spacing w:before="0" w:after="0" w:line="364" w:lineRule="auto"/>
        <w:ind w:left="551" w:right="969" w:firstLine="480"/>
        <w:jc w:val="left"/>
        <w:rPr>
          <w:sz w:val="24"/>
        </w:rPr>
      </w:pPr>
      <w:r>
        <w:rPr>
          <w:rFonts w:ascii="Times New Roman" w:eastAsia="Times New Roman"/>
          <w:sz w:val="24"/>
        </w:rPr>
        <w:t>F7</w:t>
      </w:r>
      <w:r>
        <w:rPr>
          <w:sz w:val="24"/>
        </w:rPr>
        <w:t>号断层：走向北东东，倾向北西、落差</w:t>
      </w:r>
      <w:r>
        <w:rPr>
          <w:rFonts w:ascii="Times New Roman" w:eastAsia="Times New Roman"/>
          <w:sz w:val="24"/>
        </w:rPr>
        <w:t>20</w:t>
      </w:r>
      <w:r>
        <w:rPr>
          <w:sz w:val="24"/>
        </w:rPr>
        <w:t>米，由三井巷道实见，属可靠。</w:t>
      </w:r>
    </w:p>
    <w:p>
      <w:pPr>
        <w:pStyle w:val="13"/>
        <w:numPr>
          <w:ilvl w:val="0"/>
          <w:numId w:val="56"/>
        </w:numPr>
        <w:tabs>
          <w:tab w:val="left" w:pos="1633"/>
        </w:tabs>
        <w:spacing w:before="0" w:after="0" w:line="306" w:lineRule="exact"/>
        <w:ind w:left="1633" w:right="0" w:hanging="602"/>
        <w:jc w:val="left"/>
        <w:rPr>
          <w:sz w:val="24"/>
        </w:rPr>
      </w:pPr>
      <w:r>
        <w:rPr>
          <w:rFonts w:ascii="Times New Roman" w:hAnsi="Times New Roman" w:eastAsia="Times New Roman"/>
          <w:sz w:val="24"/>
        </w:rPr>
        <w:t>R5</w:t>
      </w:r>
      <w:r>
        <w:rPr>
          <w:sz w:val="24"/>
        </w:rPr>
        <w:t>号断层：逆断层，倾向</w:t>
      </w:r>
      <w:r>
        <w:rPr>
          <w:rFonts w:ascii="Times New Roman" w:hAnsi="Times New Roman" w:eastAsia="Times New Roman"/>
          <w:sz w:val="24"/>
        </w:rPr>
        <w:t>60°</w:t>
      </w:r>
      <w:r>
        <w:rPr>
          <w:sz w:val="24"/>
        </w:rPr>
        <w:t>南东，落差</w:t>
      </w:r>
      <w:r>
        <w:rPr>
          <w:rFonts w:ascii="Times New Roman" w:hAnsi="Times New Roman" w:eastAsia="Times New Roman"/>
          <w:sz w:val="24"/>
        </w:rPr>
        <w:t>6</w:t>
      </w:r>
      <w:r>
        <w:rPr>
          <w:sz w:val="24"/>
        </w:rPr>
        <w:t>米，九井实见，属于可靠。</w:t>
      </w:r>
    </w:p>
    <w:p>
      <w:pPr>
        <w:pStyle w:val="13"/>
        <w:numPr>
          <w:ilvl w:val="0"/>
          <w:numId w:val="56"/>
        </w:numPr>
        <w:tabs>
          <w:tab w:val="left" w:pos="1764"/>
        </w:tabs>
        <w:spacing w:before="160" w:after="0" w:line="364" w:lineRule="auto"/>
        <w:ind w:left="551" w:right="969" w:firstLine="480"/>
        <w:jc w:val="left"/>
        <w:rPr>
          <w:sz w:val="24"/>
        </w:rPr>
      </w:pPr>
      <w:r>
        <w:rPr>
          <w:rFonts w:ascii="Times New Roman" w:hAnsi="Times New Roman" w:eastAsia="Times New Roman"/>
          <w:spacing w:val="-3"/>
          <w:sz w:val="24"/>
        </w:rPr>
        <w:t>R11</w:t>
      </w:r>
      <w:r>
        <w:rPr>
          <w:sz w:val="24"/>
        </w:rPr>
        <w:t>号断层：逆断层，倾向南东，倾角</w:t>
      </w:r>
      <w:r>
        <w:rPr>
          <w:rFonts w:ascii="Times New Roman" w:hAnsi="Times New Roman" w:eastAsia="Times New Roman"/>
          <w:sz w:val="24"/>
        </w:rPr>
        <w:t>60°</w:t>
      </w:r>
      <w:r>
        <w:rPr>
          <w:spacing w:val="1"/>
          <w:sz w:val="24"/>
        </w:rPr>
        <w:t>，落差</w:t>
      </w:r>
      <w:r>
        <w:rPr>
          <w:rFonts w:ascii="Times New Roman" w:hAnsi="Times New Roman" w:eastAsia="Times New Roman"/>
          <w:sz w:val="24"/>
        </w:rPr>
        <w:t>100</w:t>
      </w:r>
      <w:r>
        <w:rPr>
          <w:sz w:val="24"/>
        </w:rPr>
        <w:t>米，钻孔控制， 较可靠。</w:t>
      </w:r>
    </w:p>
    <w:p>
      <w:pPr>
        <w:spacing w:after="0" w:line="364" w:lineRule="auto"/>
        <w:jc w:val="left"/>
        <w:rPr>
          <w:sz w:val="24"/>
        </w:rPr>
        <w:sectPr>
          <w:pgSz w:w="11910" w:h="16840"/>
          <w:pgMar w:top="1360" w:right="780" w:bottom="1180" w:left="1200" w:header="0" w:footer="917" w:gutter="0"/>
        </w:sectPr>
      </w:pPr>
    </w:p>
    <w:p>
      <w:pPr>
        <w:pStyle w:val="13"/>
        <w:numPr>
          <w:ilvl w:val="0"/>
          <w:numId w:val="56"/>
        </w:numPr>
        <w:tabs>
          <w:tab w:val="left" w:pos="1744"/>
        </w:tabs>
        <w:spacing w:before="63" w:after="0" w:line="364" w:lineRule="auto"/>
        <w:ind w:left="551" w:right="871" w:firstLine="480"/>
        <w:jc w:val="left"/>
        <w:rPr>
          <w:sz w:val="24"/>
        </w:rPr>
      </w:pPr>
      <w:r>
        <w:rPr>
          <w:rFonts w:ascii="Times New Roman" w:hAnsi="Times New Roman" w:eastAsia="Times New Roman"/>
          <w:sz w:val="24"/>
        </w:rPr>
        <w:t>F12</w:t>
      </w:r>
      <w:r>
        <w:rPr>
          <w:sz w:val="24"/>
        </w:rPr>
        <w:t>号断层：逆断层，倾向南，倾角</w:t>
      </w:r>
      <w:r>
        <w:rPr>
          <w:rFonts w:ascii="Times New Roman" w:hAnsi="Times New Roman" w:eastAsia="Times New Roman"/>
          <w:sz w:val="24"/>
        </w:rPr>
        <w:t>60°</w:t>
      </w:r>
      <w:r>
        <w:rPr>
          <w:sz w:val="24"/>
        </w:rPr>
        <w:t>，落差大于</w:t>
      </w:r>
      <w:r>
        <w:rPr>
          <w:rFonts w:ascii="Times New Roman" w:hAnsi="Times New Roman" w:eastAsia="Times New Roman"/>
          <w:sz w:val="24"/>
        </w:rPr>
        <w:t>500</w:t>
      </w:r>
      <w:r>
        <w:rPr>
          <w:spacing w:val="-3"/>
          <w:sz w:val="24"/>
        </w:rPr>
        <w:t xml:space="preserve">米，钻孔控制， </w:t>
      </w:r>
      <w:r>
        <w:rPr>
          <w:sz w:val="24"/>
        </w:rPr>
        <w:t>较可靠。</w:t>
      </w:r>
    </w:p>
    <w:p>
      <w:pPr>
        <w:pStyle w:val="6"/>
        <w:spacing w:line="306" w:lineRule="exact"/>
        <w:ind w:left="1031"/>
      </w:pPr>
      <w:r>
        <w:t>大顺煤矿扩储后，整个井田断层特征见表</w:t>
      </w:r>
      <w:r>
        <w:rPr>
          <w:rFonts w:ascii="Times New Roman" w:eastAsia="Times New Roman"/>
        </w:rPr>
        <w:t>3.3-7</w:t>
      </w:r>
      <w:r>
        <w:t>。</w:t>
      </w:r>
    </w:p>
    <w:p>
      <w:pPr>
        <w:pStyle w:val="4"/>
        <w:numPr>
          <w:ilvl w:val="2"/>
          <w:numId w:val="55"/>
        </w:numPr>
        <w:tabs>
          <w:tab w:val="left" w:pos="1181"/>
        </w:tabs>
        <w:spacing w:before="161" w:after="0" w:line="240" w:lineRule="auto"/>
        <w:ind w:left="1180" w:right="0" w:hanging="630"/>
        <w:jc w:val="left"/>
      </w:pPr>
      <w:bookmarkStart w:id="218" w:name="6.2.3矿区地层"/>
      <w:bookmarkEnd w:id="218"/>
      <w:bookmarkStart w:id="219" w:name="6.2.3矿区地层"/>
      <w:bookmarkEnd w:id="219"/>
      <w:r>
        <w:t>矿区地层</w:t>
      </w:r>
    </w:p>
    <w:p>
      <w:pPr>
        <w:pStyle w:val="6"/>
        <w:spacing w:before="185"/>
        <w:ind w:left="1031"/>
      </w:pPr>
      <w:r>
        <w:t>本井田地层层序由老至新分述如下：</w:t>
      </w:r>
    </w:p>
    <w:p>
      <w:pPr>
        <w:pStyle w:val="13"/>
        <w:numPr>
          <w:ilvl w:val="0"/>
          <w:numId w:val="57"/>
        </w:numPr>
        <w:tabs>
          <w:tab w:val="left" w:pos="1633"/>
        </w:tabs>
        <w:spacing w:before="158" w:after="0" w:line="240" w:lineRule="auto"/>
        <w:ind w:left="1633" w:right="0" w:hanging="602"/>
        <w:jc w:val="left"/>
        <w:rPr>
          <w:sz w:val="24"/>
        </w:rPr>
      </w:pPr>
      <w:r>
        <w:rPr>
          <w:sz w:val="24"/>
        </w:rPr>
        <w:t>元古界麻山群</w:t>
      </w:r>
    </w:p>
    <w:p>
      <w:pPr>
        <w:pStyle w:val="6"/>
        <w:spacing w:before="161" w:line="362" w:lineRule="auto"/>
        <w:ind w:left="551" w:right="969" w:firstLine="480"/>
      </w:pPr>
      <w:r>
        <w:t>广泛出露于矿区的南部，构成煤系地层基底，主要岩性为花岗岩、片麻岩， 其次为黑云母片岩，绿泥石片岩等变质岩类，厚度大于</w:t>
      </w:r>
      <w:r>
        <w:rPr>
          <w:rFonts w:ascii="Times New Roman" w:eastAsia="Times New Roman"/>
        </w:rPr>
        <w:t>800</w:t>
      </w:r>
      <w:r>
        <w:t>米。</w:t>
      </w:r>
    </w:p>
    <w:p>
      <w:pPr>
        <w:pStyle w:val="13"/>
        <w:numPr>
          <w:ilvl w:val="0"/>
          <w:numId w:val="57"/>
        </w:numPr>
        <w:tabs>
          <w:tab w:val="left" w:pos="1633"/>
        </w:tabs>
        <w:spacing w:before="5" w:after="0" w:line="240" w:lineRule="auto"/>
        <w:ind w:left="1633" w:right="0" w:hanging="602"/>
        <w:jc w:val="left"/>
        <w:rPr>
          <w:sz w:val="24"/>
        </w:rPr>
      </w:pPr>
      <w:r>
        <w:rPr>
          <w:sz w:val="24"/>
        </w:rPr>
        <w:t>中生界白垩系鸡西群</w:t>
      </w:r>
    </w:p>
    <w:p>
      <w:pPr>
        <w:pStyle w:val="6"/>
        <w:spacing w:before="158" w:line="364" w:lineRule="auto"/>
        <w:ind w:left="551" w:right="969" w:firstLine="480"/>
      </w:pPr>
      <w:r>
        <w:rPr>
          <w:spacing w:val="-7"/>
        </w:rPr>
        <w:t>为一套陆相含煤碎屑岩系，不整合于元古界麻山群花岗岩之上，总厚度达</w:t>
      </w:r>
      <w:r>
        <w:rPr>
          <w:rFonts w:ascii="Times New Roman" w:eastAsia="Times New Roman"/>
          <w:spacing w:val="-6"/>
        </w:rPr>
        <w:t xml:space="preserve">800 </w:t>
      </w:r>
      <w:r>
        <w:t>米。划分为城子河组和穆棱组。</w:t>
      </w:r>
    </w:p>
    <w:p>
      <w:pPr>
        <w:pStyle w:val="6"/>
        <w:spacing w:line="364" w:lineRule="auto"/>
        <w:ind w:left="551" w:right="969" w:firstLine="480"/>
        <w:jc w:val="both"/>
      </w:pPr>
      <w:r>
        <w:rPr>
          <w:spacing w:val="-1"/>
        </w:rPr>
        <w:t>①城子河组：全区发育，其岩性大部分为灰白色中粒砂岩，灰色粉砂岩及少量泥岩，煤页岩及煤组成。依据岩性、岩相、含煤特征，该组地层在横头山地区</w:t>
      </w:r>
      <w:r>
        <w:t>总厚度</w:t>
      </w:r>
      <w:r>
        <w:rPr>
          <w:rFonts w:ascii="Times New Roman" w:hAnsi="Times New Roman" w:eastAsia="Times New Roman"/>
        </w:rPr>
        <w:t>500</w:t>
      </w:r>
      <w:r>
        <w:rPr>
          <w:spacing w:val="-5"/>
        </w:rPr>
        <w:t>余米，含煤</w:t>
      </w:r>
      <w:r>
        <w:rPr>
          <w:rFonts w:ascii="Times New Roman" w:hAnsi="Times New Roman" w:eastAsia="Times New Roman"/>
        </w:rPr>
        <w:t>20</w:t>
      </w:r>
      <w:r>
        <w:rPr>
          <w:spacing w:val="-5"/>
        </w:rPr>
        <w:t>多层，其中煤厚达工业指标要求的有</w:t>
      </w:r>
      <w:r>
        <w:rPr>
          <w:rFonts w:ascii="Times New Roman" w:hAnsi="Times New Roman" w:eastAsia="Times New Roman"/>
        </w:rPr>
        <w:t>10</w:t>
      </w:r>
      <w:r>
        <w:rPr>
          <w:spacing w:val="-24"/>
        </w:rPr>
        <w:t>、</w:t>
      </w:r>
      <w:r>
        <w:rPr>
          <w:rFonts w:ascii="Times New Roman" w:hAnsi="Times New Roman" w:eastAsia="Times New Roman"/>
        </w:rPr>
        <w:t>15</w:t>
      </w:r>
      <w:r>
        <w:rPr>
          <w:spacing w:val="-25"/>
        </w:rPr>
        <w:t>、</w:t>
      </w:r>
      <w:r>
        <w:rPr>
          <w:rFonts w:ascii="Times New Roman" w:hAnsi="Times New Roman" w:eastAsia="Times New Roman"/>
        </w:rPr>
        <w:t>20</w:t>
      </w:r>
      <w:r>
        <w:rPr>
          <w:spacing w:val="-24"/>
        </w:rPr>
        <w:t>、</w:t>
      </w:r>
      <w:r>
        <w:rPr>
          <w:rFonts w:ascii="Times New Roman" w:hAnsi="Times New Roman" w:eastAsia="Times New Roman"/>
        </w:rPr>
        <w:t>30</w:t>
      </w:r>
      <w:r>
        <w:rPr>
          <w:spacing w:val="-8"/>
        </w:rPr>
        <w:t>等四</w:t>
      </w:r>
      <w:r>
        <w:rPr>
          <w:spacing w:val="-1"/>
        </w:rPr>
        <w:t>个煤层。依据岩性及含煤性等组合特征，将该组地层划分为上、中、下三个含煤</w:t>
      </w:r>
      <w:r>
        <w:t>段。</w:t>
      </w:r>
    </w:p>
    <w:p>
      <w:pPr>
        <w:pStyle w:val="6"/>
        <w:spacing w:line="306" w:lineRule="exact"/>
        <w:ind w:left="1031"/>
      </w:pPr>
      <w:r>
        <w:t>上含煤段</w:t>
      </w:r>
    </w:p>
    <w:p>
      <w:pPr>
        <w:pStyle w:val="6"/>
        <w:spacing w:before="159" w:line="364" w:lineRule="auto"/>
        <w:ind w:left="551" w:right="969" w:firstLine="480"/>
        <w:jc w:val="both"/>
      </w:pPr>
      <w:r>
        <w:t>从穆棱组底界面以下到</w:t>
      </w:r>
      <w:r>
        <w:rPr>
          <w:rFonts w:ascii="Times New Roman" w:eastAsia="Times New Roman"/>
        </w:rPr>
        <w:t>10</w:t>
      </w:r>
      <w:r>
        <w:t>煤层之上</w:t>
      </w:r>
      <w:r>
        <w:rPr>
          <w:rFonts w:ascii="Times New Roman" w:eastAsia="Times New Roman"/>
        </w:rPr>
        <w:t>20</w:t>
      </w:r>
      <w:r>
        <w:rPr>
          <w:spacing w:val="-1"/>
        </w:rPr>
        <w:t>余米处一层灰色含砾中粗砂岩。该段地</w:t>
      </w:r>
      <w:r>
        <w:t>层厚度</w:t>
      </w:r>
      <w:r>
        <w:rPr>
          <w:rFonts w:ascii="Times New Roman" w:eastAsia="Times New Roman"/>
        </w:rPr>
        <w:t>180</w:t>
      </w:r>
      <w:r>
        <w:rPr>
          <w:spacing w:val="-8"/>
        </w:rPr>
        <w:t>余米，含煤</w:t>
      </w:r>
      <w:r>
        <w:rPr>
          <w:rFonts w:ascii="Times New Roman" w:eastAsia="Times New Roman"/>
        </w:rPr>
        <w:t>10</w:t>
      </w:r>
      <w:r>
        <w:rPr>
          <w:spacing w:val="-11"/>
        </w:rPr>
        <w:t>余层，均不可采。该段岩性以深灰色粉砂岩为主，夹有少</w:t>
      </w:r>
      <w:r>
        <w:t>量灰白色中细砂岩组成。</w:t>
      </w:r>
    </w:p>
    <w:p>
      <w:pPr>
        <w:pStyle w:val="6"/>
        <w:spacing w:line="304" w:lineRule="exact"/>
        <w:ind w:left="1031"/>
      </w:pPr>
      <w:r>
        <w:t>中含煤段</w:t>
      </w:r>
    </w:p>
    <w:p>
      <w:pPr>
        <w:pStyle w:val="6"/>
        <w:spacing w:before="161"/>
        <w:ind w:left="1031"/>
      </w:pPr>
      <w:r>
        <w:t>从上含煤段底界面到</w:t>
      </w:r>
      <w:r>
        <w:rPr>
          <w:rFonts w:ascii="Times New Roman" w:eastAsia="Times New Roman"/>
        </w:rPr>
        <w:t>50</w:t>
      </w:r>
      <w:r>
        <w:t>煤层下部</w:t>
      </w:r>
      <w:r>
        <w:rPr>
          <w:rFonts w:ascii="Times New Roman" w:eastAsia="Times New Roman"/>
        </w:rPr>
        <w:t>10</w:t>
      </w:r>
      <w:r>
        <w:rPr>
          <w:spacing w:val="-8"/>
        </w:rPr>
        <w:t>米处粗砂岩。该段地层厚度在</w:t>
      </w:r>
      <w:r>
        <w:rPr>
          <w:rFonts w:ascii="Times New Roman" w:eastAsia="Times New Roman"/>
        </w:rPr>
        <w:t>200</w:t>
      </w:r>
      <w:r>
        <w:rPr>
          <w:spacing w:val="-15"/>
        </w:rPr>
        <w:t>米，含煤</w:t>
      </w:r>
    </w:p>
    <w:p>
      <w:pPr>
        <w:pStyle w:val="6"/>
        <w:spacing w:before="158"/>
        <w:ind w:left="551"/>
      </w:pPr>
      <w:r>
        <w:rPr>
          <w:rFonts w:ascii="Times New Roman" w:eastAsia="Times New Roman"/>
        </w:rPr>
        <w:t>7</w:t>
      </w:r>
      <w:r>
        <w:t>－</w:t>
      </w:r>
      <w:r>
        <w:rPr>
          <w:rFonts w:ascii="Times New Roman" w:eastAsia="Times New Roman"/>
        </w:rPr>
        <w:t>8</w:t>
      </w:r>
      <w:r>
        <w:t>层，其中</w:t>
      </w:r>
      <w:r>
        <w:rPr>
          <w:rFonts w:ascii="Times New Roman" w:eastAsia="Times New Roman"/>
        </w:rPr>
        <w:t>10</w:t>
      </w:r>
      <w:r>
        <w:t>、</w:t>
      </w:r>
      <w:r>
        <w:rPr>
          <w:rFonts w:ascii="Times New Roman" w:eastAsia="Times New Roman"/>
        </w:rPr>
        <w:t>15</w:t>
      </w:r>
      <w:r>
        <w:t>号煤层为主要可采煤层，</w:t>
      </w:r>
      <w:r>
        <w:rPr>
          <w:rFonts w:ascii="Times New Roman" w:eastAsia="Times New Roman"/>
        </w:rPr>
        <w:t>20</w:t>
      </w:r>
      <w:r>
        <w:t>、</w:t>
      </w:r>
      <w:r>
        <w:rPr>
          <w:rFonts w:ascii="Times New Roman" w:eastAsia="Times New Roman"/>
        </w:rPr>
        <w:t>30</w:t>
      </w:r>
      <w:r>
        <w:t>煤层为局部可采煤层。其中</w:t>
      </w:r>
    </w:p>
    <w:p>
      <w:pPr>
        <w:pStyle w:val="6"/>
        <w:spacing w:before="160" w:line="364" w:lineRule="auto"/>
        <w:ind w:left="551" w:right="968"/>
        <w:jc w:val="both"/>
      </w:pPr>
      <w:r>
        <w:rPr>
          <w:rFonts w:ascii="Times New Roman" w:eastAsia="Times New Roman"/>
        </w:rPr>
        <w:t>20</w:t>
      </w:r>
      <w:r>
        <w:rPr>
          <w:spacing w:val="-1"/>
        </w:rPr>
        <w:t>煤层可采范围在大顺煤矿的北部即现在的扩大区范围和原顺达煤矿范围内，</w:t>
      </w:r>
      <w:r>
        <w:rPr>
          <w:rFonts w:ascii="Times New Roman" w:eastAsia="Times New Roman"/>
          <w:spacing w:val="-5"/>
        </w:rPr>
        <w:t xml:space="preserve">30 </w:t>
      </w:r>
      <w:r>
        <w:rPr>
          <w:spacing w:val="-4"/>
        </w:rPr>
        <w:t>煤层可采范围在大顺煤矿的西部及扩大区范围，其它各煤层均不可采。煤层为薄</w:t>
      </w:r>
      <w:r>
        <w:rPr>
          <w:rFonts w:ascii="Times New Roman" w:eastAsia="Times New Roman"/>
          <w:spacing w:val="-15"/>
        </w:rPr>
        <w:t xml:space="preserve">- </w:t>
      </w:r>
      <w:r>
        <w:rPr>
          <w:spacing w:val="-5"/>
        </w:rPr>
        <w:t>中厚煤层，其中</w:t>
      </w:r>
      <w:r>
        <w:rPr>
          <w:rFonts w:ascii="Times New Roman" w:eastAsia="Times New Roman"/>
        </w:rPr>
        <w:t>15</w:t>
      </w:r>
      <w:r>
        <w:t>煤层为薄</w:t>
      </w:r>
      <w:r>
        <w:rPr>
          <w:rFonts w:ascii="Times New Roman" w:eastAsia="Times New Roman"/>
        </w:rPr>
        <w:t>-</w:t>
      </w:r>
      <w:r>
        <w:rPr>
          <w:spacing w:val="-8"/>
        </w:rPr>
        <w:t>中厚煤层，其它煤层为薄煤层。该段岩性以灰白色细</w:t>
      </w:r>
      <w:r>
        <w:t>砂岩为主，夹有深灰色粉砂岩。</w:t>
      </w:r>
    </w:p>
    <w:p>
      <w:pPr>
        <w:pStyle w:val="6"/>
        <w:spacing w:line="305" w:lineRule="exact"/>
        <w:ind w:left="1031"/>
      </w:pPr>
      <w:r>
        <w:t>下含煤段</w:t>
      </w:r>
    </w:p>
    <w:p>
      <w:pPr>
        <w:pStyle w:val="6"/>
        <w:spacing w:before="161" w:line="362" w:lineRule="auto"/>
        <w:ind w:left="551" w:right="969" w:firstLine="480"/>
      </w:pPr>
      <w:r>
        <w:rPr>
          <w:spacing w:val="-4"/>
        </w:rPr>
        <w:t>从中含煤段以下到基底之间这段地层。一般厚度在</w:t>
      </w:r>
      <w:r>
        <w:rPr>
          <w:rFonts w:ascii="Times New Roman" w:eastAsia="Times New Roman"/>
        </w:rPr>
        <w:t>100</w:t>
      </w:r>
      <w:r>
        <w:rPr>
          <w:spacing w:val="-12"/>
        </w:rPr>
        <w:t>余米，含有</w:t>
      </w:r>
      <w:r>
        <w:rPr>
          <w:rFonts w:ascii="Times New Roman" w:eastAsia="Times New Roman"/>
        </w:rPr>
        <w:t>6</w:t>
      </w:r>
      <w:r>
        <w:t>－</w:t>
      </w:r>
      <w:r>
        <w:rPr>
          <w:rFonts w:ascii="Times New Roman" w:eastAsia="Times New Roman"/>
        </w:rPr>
        <w:t>7</w:t>
      </w:r>
      <w:r>
        <w:rPr>
          <w:spacing w:val="-6"/>
        </w:rPr>
        <w:t>层薄煤</w:t>
      </w:r>
      <w:r>
        <w:t>层，均无开采价值。该段岩性上部夹有两层浅绿色厚度在</w:t>
      </w:r>
      <w:r>
        <w:rPr>
          <w:rFonts w:ascii="Times New Roman" w:eastAsia="Times New Roman"/>
        </w:rPr>
        <w:t>1.00</w:t>
      </w:r>
      <w:r>
        <w:t>米左右的凝灰岩，</w:t>
      </w:r>
    </w:p>
    <w:p>
      <w:pPr>
        <w:spacing w:after="0" w:line="362" w:lineRule="auto"/>
        <w:sectPr>
          <w:pgSz w:w="11910" w:h="16840"/>
          <w:pgMar w:top="1360" w:right="780" w:bottom="1180" w:left="1200" w:header="0" w:footer="917" w:gutter="0"/>
        </w:sectPr>
      </w:pPr>
    </w:p>
    <w:p>
      <w:pPr>
        <w:pStyle w:val="6"/>
        <w:spacing w:before="43"/>
        <w:ind w:left="551"/>
      </w:pPr>
      <w:r>
        <w:t>全段以灰－灰白色中砂岩为主，夹有薄层深灰色粉砂岩及灰色含砾粗砂岩。</w:t>
      </w:r>
    </w:p>
    <w:p>
      <w:pPr>
        <w:pStyle w:val="6"/>
        <w:spacing w:before="160" w:line="364" w:lineRule="auto"/>
        <w:ind w:left="551" w:right="849" w:firstLine="480"/>
        <w:jc w:val="both"/>
      </w:pPr>
      <w:r>
        <w:rPr>
          <w:spacing w:val="-8"/>
        </w:rPr>
        <w:t>②穆棱组：整合覆于城子河组之上</w:t>
      </w:r>
      <w:r>
        <w:rPr>
          <w:rFonts w:ascii="Times New Roman" w:hAnsi="Times New Roman" w:eastAsia="Times New Roman"/>
        </w:rPr>
        <w:t>,</w:t>
      </w:r>
      <w:r>
        <w:rPr>
          <w:spacing w:val="-13"/>
        </w:rPr>
        <w:t>主要岩性为灰色、灰白色砂质粉砂岩，细、</w:t>
      </w:r>
      <w:r>
        <w:rPr>
          <w:spacing w:val="-12"/>
        </w:rPr>
        <w:t xml:space="preserve">粉砂岩互层，其次为细砂岩及薄层中粗砂岩。含多层灰绿色凝灰质粉砂岩及薄煤， </w:t>
      </w:r>
      <w:r>
        <w:t>煤厚在</w:t>
      </w:r>
      <w:r>
        <w:rPr>
          <w:rFonts w:ascii="Times New Roman" w:hAnsi="Times New Roman" w:eastAsia="Times New Roman"/>
        </w:rPr>
        <w:t>0.5</w:t>
      </w:r>
      <w:r>
        <w:t>米左右者</w:t>
      </w:r>
      <w:r>
        <w:rPr>
          <w:rFonts w:ascii="Times New Roman" w:hAnsi="Times New Roman" w:eastAsia="Times New Roman"/>
        </w:rPr>
        <w:t>5</w:t>
      </w:r>
      <w:r>
        <w:t>层。在本区东部发育，厚度在</w:t>
      </w:r>
      <w:r>
        <w:rPr>
          <w:rFonts w:ascii="Times New Roman" w:hAnsi="Times New Roman" w:eastAsia="Times New Roman"/>
        </w:rPr>
        <w:t>0-300</w:t>
      </w:r>
      <w:r>
        <w:t>米。</w:t>
      </w:r>
    </w:p>
    <w:p>
      <w:pPr>
        <w:pStyle w:val="13"/>
        <w:numPr>
          <w:ilvl w:val="0"/>
          <w:numId w:val="57"/>
        </w:numPr>
        <w:tabs>
          <w:tab w:val="left" w:pos="1633"/>
        </w:tabs>
        <w:spacing w:before="0" w:after="0" w:line="304" w:lineRule="exact"/>
        <w:ind w:left="1633" w:right="0" w:hanging="602"/>
        <w:jc w:val="left"/>
        <w:rPr>
          <w:sz w:val="24"/>
        </w:rPr>
      </w:pPr>
      <w:r>
        <w:rPr>
          <w:sz w:val="24"/>
        </w:rPr>
        <w:t>新近系</w:t>
      </w:r>
    </w:p>
    <w:p>
      <w:pPr>
        <w:pStyle w:val="6"/>
        <w:spacing w:before="161" w:line="362" w:lineRule="auto"/>
        <w:ind w:left="551" w:right="969" w:firstLine="480"/>
      </w:pPr>
      <w:r>
        <w:t>主要岩性为玄武岩，不整合覆盖于煤系地层之上，黑色致密，隐晶质结构， 厚度一般</w:t>
      </w:r>
      <w:r>
        <w:rPr>
          <w:rFonts w:ascii="Times New Roman" w:eastAsia="Times New Roman"/>
        </w:rPr>
        <w:t>0-40</w:t>
      </w:r>
      <w:r>
        <w:t>米。</w:t>
      </w:r>
    </w:p>
    <w:p>
      <w:pPr>
        <w:pStyle w:val="13"/>
        <w:numPr>
          <w:ilvl w:val="0"/>
          <w:numId w:val="57"/>
        </w:numPr>
        <w:tabs>
          <w:tab w:val="left" w:pos="1633"/>
        </w:tabs>
        <w:spacing w:before="5" w:after="0" w:line="240" w:lineRule="auto"/>
        <w:ind w:left="1633" w:right="0" w:hanging="602"/>
        <w:jc w:val="left"/>
        <w:rPr>
          <w:sz w:val="24"/>
        </w:rPr>
      </w:pPr>
      <w:r>
        <w:rPr>
          <w:sz w:val="24"/>
        </w:rPr>
        <w:t>第四系</w:t>
      </w:r>
    </w:p>
    <w:p>
      <w:pPr>
        <w:pStyle w:val="6"/>
        <w:spacing w:before="160" w:line="362" w:lineRule="auto"/>
        <w:ind w:left="551" w:right="849" w:firstLine="480"/>
      </w:pPr>
      <w:r>
        <w:t>位于山谷至山麓一带，谷底为冲积层，向上渐变为坡积层，成分多为黏土和</w:t>
      </w:r>
      <w:r>
        <w:rPr>
          <w:spacing w:val="-12"/>
        </w:rPr>
        <w:t>风化玄武岩、砂岩碎块，两极厚度为</w:t>
      </w:r>
      <w:r>
        <w:rPr>
          <w:rFonts w:ascii="Times New Roman" w:eastAsia="Times New Roman"/>
        </w:rPr>
        <w:t>2-17</w:t>
      </w:r>
      <w:r>
        <w:rPr>
          <w:spacing w:val="-10"/>
        </w:rPr>
        <w:t>米，一般厚度</w:t>
      </w:r>
      <w:r>
        <w:rPr>
          <w:rFonts w:ascii="Times New Roman" w:eastAsia="Times New Roman"/>
        </w:rPr>
        <w:t>5</w:t>
      </w:r>
      <w:r>
        <w:rPr>
          <w:spacing w:val="-8"/>
        </w:rPr>
        <w:t>米。本井田地层见表</w:t>
      </w:r>
      <w:r>
        <w:rPr>
          <w:rFonts w:ascii="Times New Roman" w:eastAsia="Times New Roman"/>
        </w:rPr>
        <w:t>3.3-4</w:t>
      </w:r>
      <w:r>
        <w:rPr>
          <w:spacing w:val="-13"/>
        </w:rPr>
        <w:t>。</w:t>
      </w:r>
    </w:p>
    <w:p>
      <w:pPr>
        <w:pStyle w:val="4"/>
        <w:numPr>
          <w:ilvl w:val="2"/>
          <w:numId w:val="55"/>
        </w:numPr>
        <w:tabs>
          <w:tab w:val="left" w:pos="1181"/>
        </w:tabs>
        <w:spacing w:before="4" w:after="0" w:line="240" w:lineRule="auto"/>
        <w:ind w:left="1180" w:right="0" w:hanging="630"/>
        <w:jc w:val="left"/>
      </w:pPr>
      <w:bookmarkStart w:id="220" w:name="6.2.4火成岩及岩浆岩活动"/>
      <w:bookmarkEnd w:id="220"/>
      <w:bookmarkStart w:id="221" w:name="6.2.4火成岩及岩浆岩活动"/>
      <w:bookmarkEnd w:id="221"/>
      <w:r>
        <w:t>火成岩及岩浆岩活动</w:t>
      </w:r>
    </w:p>
    <w:p>
      <w:pPr>
        <w:pStyle w:val="6"/>
        <w:spacing w:before="185" w:line="364" w:lineRule="auto"/>
        <w:ind w:left="551" w:right="969" w:firstLine="480"/>
        <w:jc w:val="both"/>
      </w:pPr>
      <w:r>
        <w:rPr>
          <w:spacing w:val="-1"/>
        </w:rPr>
        <w:t>该矿井岩浆岩活动很弱，在已掘进的所有巷道中只在原劳教所三井中见一条</w:t>
      </w:r>
      <w:r>
        <w:rPr>
          <w:spacing w:val="-20"/>
        </w:rPr>
        <w:t xml:space="preserve">北东 </w:t>
      </w:r>
      <w:r>
        <w:rPr>
          <w:rFonts w:ascii="Times New Roman" w:hAnsi="Times New Roman" w:eastAsia="Times New Roman"/>
        </w:rPr>
        <w:t>70°</w:t>
      </w:r>
      <w:r>
        <w:rPr>
          <w:spacing w:val="-12"/>
        </w:rPr>
        <w:t xml:space="preserve">出露宽度 </w:t>
      </w:r>
      <w:r>
        <w:rPr>
          <w:rFonts w:ascii="Times New Roman" w:hAnsi="Times New Roman" w:eastAsia="Times New Roman"/>
        </w:rPr>
        <w:t xml:space="preserve">4 </w:t>
      </w:r>
      <w:r>
        <w:rPr>
          <w:spacing w:val="-3"/>
        </w:rPr>
        <w:t xml:space="preserve">米，呈岩墙侵入到煤层中，岩性为闪长玢岩，岩墙宽度 </w:t>
      </w:r>
      <w:r>
        <w:rPr>
          <w:rFonts w:ascii="Times New Roman" w:hAnsi="Times New Roman" w:eastAsia="Times New Roman"/>
        </w:rPr>
        <w:t>3</w:t>
      </w:r>
      <w:r>
        <w:t>－</w:t>
      </w:r>
      <w:r>
        <w:rPr>
          <w:rFonts w:ascii="Times New Roman" w:hAnsi="Times New Roman" w:eastAsia="Times New Roman"/>
        </w:rPr>
        <w:t xml:space="preserve">5 </w:t>
      </w:r>
      <w:r>
        <w:rPr>
          <w:spacing w:val="-13"/>
        </w:rPr>
        <w:t xml:space="preserve">米，煤层同岩墙接触处有 </w:t>
      </w:r>
      <w:r>
        <w:rPr>
          <w:rFonts w:ascii="Times New Roman" w:hAnsi="Times New Roman" w:eastAsia="Times New Roman"/>
        </w:rPr>
        <w:t>0.5</w:t>
      </w:r>
      <w:r>
        <w:t>－</w:t>
      </w:r>
      <w:r>
        <w:rPr>
          <w:rFonts w:ascii="Times New Roman" w:hAnsi="Times New Roman" w:eastAsia="Times New Roman"/>
        </w:rPr>
        <w:t xml:space="preserve">1.20 </w:t>
      </w:r>
      <w:r>
        <w:rPr>
          <w:spacing w:val="-7"/>
        </w:rPr>
        <w:t>米宽的煤层变为天然焦。对采区的布置及开采</w:t>
      </w:r>
      <w:r>
        <w:t>均有一定影响。</w:t>
      </w:r>
    </w:p>
    <w:p>
      <w:pPr>
        <w:pStyle w:val="6"/>
        <w:spacing w:line="305" w:lineRule="exact"/>
        <w:ind w:left="1031"/>
        <w:jc w:val="both"/>
      </w:pPr>
      <w:r>
        <w:t xml:space="preserve">在 </w:t>
      </w:r>
      <w:r>
        <w:rPr>
          <w:rFonts w:ascii="Times New Roman" w:eastAsia="Times New Roman"/>
        </w:rPr>
        <w:t xml:space="preserve">90-6 </w:t>
      </w:r>
      <w:r>
        <w:t xml:space="preserve">号孔 </w:t>
      </w:r>
      <w:r>
        <w:rPr>
          <w:rFonts w:ascii="Times New Roman" w:eastAsia="Times New Roman"/>
        </w:rPr>
        <w:t xml:space="preserve">15 </w:t>
      </w:r>
      <w:r>
        <w:t xml:space="preserve">煤层以下 </w:t>
      </w:r>
      <w:r>
        <w:rPr>
          <w:rFonts w:ascii="Times New Roman" w:eastAsia="Times New Roman"/>
        </w:rPr>
        <w:t xml:space="preserve">20 </w:t>
      </w:r>
      <w:r>
        <w:t xml:space="preserve">米见 </w:t>
      </w:r>
      <w:r>
        <w:rPr>
          <w:rFonts w:ascii="Times New Roman" w:eastAsia="Times New Roman"/>
        </w:rPr>
        <w:t xml:space="preserve">26 </w:t>
      </w:r>
      <w:r>
        <w:t xml:space="preserve">米的闪长玢岩，在 </w:t>
      </w:r>
      <w:r>
        <w:rPr>
          <w:rFonts w:ascii="Times New Roman" w:eastAsia="Times New Roman"/>
        </w:rPr>
        <w:t xml:space="preserve">90-1 </w:t>
      </w:r>
      <w:r>
        <w:t xml:space="preserve">号孔 </w:t>
      </w:r>
      <w:r>
        <w:rPr>
          <w:rFonts w:ascii="Times New Roman" w:eastAsia="Times New Roman"/>
        </w:rPr>
        <w:t xml:space="preserve">10 </w:t>
      </w:r>
      <w:r>
        <w:t>煤层以</w:t>
      </w:r>
    </w:p>
    <w:p>
      <w:pPr>
        <w:pStyle w:val="6"/>
        <w:spacing w:before="160"/>
        <w:ind w:left="551"/>
      </w:pPr>
      <w:r>
        <w:t xml:space="preserve">上 </w:t>
      </w:r>
      <w:r>
        <w:rPr>
          <w:rFonts w:ascii="Times New Roman" w:eastAsia="Times New Roman"/>
        </w:rPr>
        <w:t xml:space="preserve">30 </w:t>
      </w:r>
      <w:r>
        <w:t xml:space="preserve">米见 </w:t>
      </w:r>
      <w:r>
        <w:rPr>
          <w:rFonts w:ascii="Times New Roman" w:eastAsia="Times New Roman"/>
        </w:rPr>
        <w:t xml:space="preserve">2 </w:t>
      </w:r>
      <w:r>
        <w:t>米厚的闪长玢岩，以岩脉的形式产出。对煤层煤质影响不大。</w:t>
      </w:r>
    </w:p>
    <w:p>
      <w:pPr>
        <w:pStyle w:val="6"/>
        <w:spacing w:before="161" w:line="364" w:lineRule="auto"/>
        <w:ind w:left="551" w:right="786" w:firstLine="480"/>
      </w:pPr>
      <w:r>
        <w:t xml:space="preserve">西北部临近煤井岭东区顺达煤井矿井中岩浆岩发育不频繁，仅见一条贯穿南北的岩墙。南北两侧厚度只有 </w:t>
      </w:r>
      <w:r>
        <w:rPr>
          <w:rFonts w:ascii="Times New Roman" w:hAnsi="Times New Roman" w:eastAsia="Times New Roman"/>
        </w:rPr>
        <w:t xml:space="preserve">0-30 </w:t>
      </w:r>
      <w:r>
        <w:t xml:space="preserve">米，中间较厚，最厚可达 </w:t>
      </w:r>
      <w:r>
        <w:rPr>
          <w:rFonts w:ascii="Times New Roman" w:hAnsi="Times New Roman" w:eastAsia="Times New Roman"/>
        </w:rPr>
        <w:t xml:space="preserve">30 </w:t>
      </w:r>
      <w:r>
        <w:t xml:space="preserve">米，分叉出二条小的岩脉。岩性为中性闪长玢岩类。对煤质有影响，同岩浆岩接触处煤层变成天然焦，或无烟煤，影响范围一般在 </w:t>
      </w:r>
      <w:r>
        <w:rPr>
          <w:rFonts w:ascii="Times New Roman" w:hAnsi="Times New Roman" w:eastAsia="Times New Roman"/>
        </w:rPr>
        <w:t xml:space="preserve">2—3 </w:t>
      </w:r>
      <w:r>
        <w:t>米，在岩浆岩接触处煤厚稍有压薄现象。在右十四片中见有两条岩脉。</w:t>
      </w:r>
    </w:p>
    <w:p>
      <w:pPr>
        <w:pStyle w:val="3"/>
        <w:numPr>
          <w:ilvl w:val="1"/>
          <w:numId w:val="55"/>
        </w:numPr>
        <w:tabs>
          <w:tab w:val="left" w:pos="1001"/>
        </w:tabs>
        <w:spacing w:before="116" w:after="0" w:line="240" w:lineRule="auto"/>
        <w:ind w:left="1000" w:right="0" w:hanging="450"/>
        <w:jc w:val="left"/>
      </w:pPr>
      <w:bookmarkStart w:id="222" w:name="_bookmark32"/>
      <w:bookmarkEnd w:id="222"/>
      <w:bookmarkStart w:id="223" w:name="6.3水文地质条件"/>
      <w:bookmarkEnd w:id="223"/>
      <w:bookmarkStart w:id="224" w:name="_bookmark32"/>
      <w:bookmarkEnd w:id="224"/>
      <w:r>
        <w:t>水文地质条件</w:t>
      </w:r>
    </w:p>
    <w:p>
      <w:pPr>
        <w:pStyle w:val="4"/>
        <w:numPr>
          <w:ilvl w:val="2"/>
          <w:numId w:val="55"/>
        </w:numPr>
        <w:tabs>
          <w:tab w:val="left" w:pos="1253"/>
        </w:tabs>
        <w:spacing w:before="122" w:after="0" w:line="240" w:lineRule="auto"/>
        <w:ind w:left="1252" w:right="0" w:hanging="702"/>
        <w:jc w:val="left"/>
      </w:pPr>
      <w:bookmarkStart w:id="225" w:name="6.3.1 评价区含水层"/>
      <w:bookmarkEnd w:id="225"/>
      <w:bookmarkStart w:id="226" w:name="6.3.1 评价区含水层"/>
      <w:bookmarkEnd w:id="226"/>
      <w:r>
        <w:t>评价区含水层</w:t>
      </w:r>
    </w:p>
    <w:p>
      <w:pPr>
        <w:pStyle w:val="6"/>
        <w:spacing w:before="183" w:line="364" w:lineRule="auto"/>
        <w:ind w:left="551" w:right="969" w:firstLine="480"/>
      </w:pPr>
      <w:r>
        <w:t>矿区内无地表水体，第四系地层很薄，而且都是粘土不含水。大气降水是矿井水主要补给来源。</w:t>
      </w:r>
    </w:p>
    <w:p>
      <w:pPr>
        <w:pStyle w:val="6"/>
        <w:spacing w:line="306" w:lineRule="exact"/>
        <w:ind w:left="1031"/>
      </w:pPr>
      <w:r>
        <w:t>①基岩裂隙含水带</w:t>
      </w:r>
    </w:p>
    <w:p>
      <w:pPr>
        <w:pStyle w:val="6"/>
        <w:spacing w:before="161" w:line="362" w:lineRule="auto"/>
        <w:ind w:left="551" w:right="969" w:firstLine="480"/>
      </w:pPr>
      <w:r>
        <w:t>根据裂隙发育程度、埋藏深度、充填情况及含水性和透水性等因素，可将煤系裂隙含水带分为风化裂隙含水带和弱裂隙含水带。</w:t>
      </w:r>
    </w:p>
    <w:p>
      <w:pPr>
        <w:spacing w:after="0" w:line="362" w:lineRule="auto"/>
        <w:sectPr>
          <w:pgSz w:w="11910" w:h="16840"/>
          <w:pgMar w:top="1380" w:right="780" w:bottom="1180" w:left="1200" w:header="0" w:footer="917" w:gutter="0"/>
        </w:sectPr>
      </w:pPr>
    </w:p>
    <w:p>
      <w:pPr>
        <w:pStyle w:val="6"/>
        <w:spacing w:before="43" w:line="364" w:lineRule="auto"/>
        <w:ind w:left="551" w:right="967" w:firstLine="480"/>
        <w:jc w:val="both"/>
      </w:pPr>
      <w:r>
        <w:rPr>
          <w:spacing w:val="-1"/>
        </w:rPr>
        <w:t>浅部强烈风化，岩芯破碎成块状，较松散，多为张裂隙，局部有隐裂隙，局</w:t>
      </w:r>
      <w:r>
        <w:rPr>
          <w:spacing w:val="-3"/>
        </w:rPr>
        <w:t>部被方解石充填，裂隙长度</w:t>
      </w:r>
      <w:r>
        <w:rPr>
          <w:rFonts w:ascii="Times New Roman" w:eastAsia="Times New Roman"/>
          <w:spacing w:val="-3"/>
        </w:rPr>
        <w:t>0.1</w:t>
      </w:r>
      <w:r>
        <w:rPr>
          <w:spacing w:val="-3"/>
        </w:rPr>
        <w:t>～</w:t>
      </w:r>
      <w:r>
        <w:rPr>
          <w:rFonts w:ascii="Times New Roman" w:eastAsia="Times New Roman"/>
          <w:spacing w:val="-3"/>
        </w:rPr>
        <w:t>0.3m</w:t>
      </w:r>
      <w:r>
        <w:rPr>
          <w:spacing w:val="-5"/>
        </w:rPr>
        <w:t>，裂隙含泥质呈铁锈色，近垂直裂隙和斜交</w:t>
      </w:r>
      <w:r>
        <w:rPr>
          <w:spacing w:val="-6"/>
        </w:rPr>
        <w:t>裂隙，为风化裂隙含水带，其厚度一般</w:t>
      </w:r>
      <w:r>
        <w:rPr>
          <w:rFonts w:ascii="Times New Roman" w:eastAsia="Times New Roman"/>
        </w:rPr>
        <w:t>60.00</w:t>
      </w:r>
      <w:r>
        <w:t>～</w:t>
      </w:r>
      <w:r>
        <w:rPr>
          <w:rFonts w:ascii="Times New Roman" w:eastAsia="Times New Roman"/>
        </w:rPr>
        <w:t>80.00m</w:t>
      </w:r>
      <w:r>
        <w:rPr>
          <w:spacing w:val="-7"/>
        </w:rPr>
        <w:t>。其下为弱裂隙含水带，厚</w:t>
      </w:r>
      <w:r>
        <w:t>度一般</w:t>
      </w:r>
      <w:r>
        <w:rPr>
          <w:rFonts w:ascii="Times New Roman" w:eastAsia="Times New Roman"/>
        </w:rPr>
        <w:t>60.00</w:t>
      </w:r>
      <w:r>
        <w:t>～</w:t>
      </w:r>
      <w:r>
        <w:rPr>
          <w:rFonts w:ascii="Times New Roman" w:eastAsia="Times New Roman"/>
        </w:rPr>
        <w:t>100.00m</w:t>
      </w:r>
      <w:r>
        <w:t>。含水性和透水性上部强，下部弱。</w:t>
      </w:r>
    </w:p>
    <w:p>
      <w:pPr>
        <w:pStyle w:val="6"/>
        <w:spacing w:line="305" w:lineRule="exact"/>
        <w:ind w:left="1031"/>
      </w:pPr>
      <w:r>
        <w:t>②风化裂隙含水带</w:t>
      </w:r>
    </w:p>
    <w:p>
      <w:pPr>
        <w:pStyle w:val="6"/>
        <w:spacing w:before="160" w:line="364" w:lineRule="auto"/>
        <w:ind w:left="551" w:right="969" w:firstLine="480"/>
        <w:jc w:val="both"/>
      </w:pPr>
      <w:r>
        <w:t>是本矿区直接充水含水带。岩性为粉砂岩、细砂岩、中砂岩等。厚度一般</w:t>
      </w:r>
      <w:r>
        <w:rPr>
          <w:rFonts w:ascii="Times New Roman" w:eastAsia="Times New Roman"/>
        </w:rPr>
        <w:t>60.00</w:t>
      </w:r>
      <w:r>
        <w:t>～</w:t>
      </w:r>
      <w:r>
        <w:rPr>
          <w:rFonts w:ascii="Times New Roman" w:eastAsia="Times New Roman"/>
        </w:rPr>
        <w:t>80.00m</w:t>
      </w:r>
      <w:r>
        <w:t>，埋深一般</w:t>
      </w:r>
      <w:r>
        <w:rPr>
          <w:rFonts w:ascii="Times New Roman" w:eastAsia="Times New Roman"/>
        </w:rPr>
        <w:t>90.00</w:t>
      </w:r>
      <w:r>
        <w:t>～</w:t>
      </w:r>
      <w:r>
        <w:rPr>
          <w:rFonts w:ascii="Times New Roman" w:eastAsia="Times New Roman"/>
        </w:rPr>
        <w:t>130.00m</w:t>
      </w:r>
      <w:r>
        <w:t>。水力性质为裂隙承压水，是矿床直接充水含水带。补给来源为大气降水和地下水上游侧向补给。</w:t>
      </w:r>
    </w:p>
    <w:p>
      <w:pPr>
        <w:pStyle w:val="6"/>
        <w:spacing w:before="79"/>
        <w:ind w:left="1031"/>
      </w:pPr>
      <w:r>
        <w:t>③弱裂隙含水带</w:t>
      </w:r>
    </w:p>
    <w:p>
      <w:pPr>
        <w:pStyle w:val="6"/>
        <w:spacing w:before="160" w:line="364" w:lineRule="auto"/>
        <w:ind w:left="551" w:right="973" w:firstLine="480"/>
        <w:jc w:val="both"/>
      </w:pPr>
      <w:r>
        <w:t>位于风化裂隙含水带之下，裂隙发育较弱，即使有裂隙，也多数被方解石充填，含水性弱。厚度一般</w:t>
      </w:r>
      <w:r>
        <w:rPr>
          <w:rFonts w:ascii="Times New Roman" w:eastAsia="Times New Roman"/>
        </w:rPr>
        <w:t>60.00</w:t>
      </w:r>
      <w:r>
        <w:t>～</w:t>
      </w:r>
      <w:r>
        <w:rPr>
          <w:rFonts w:ascii="Times New Roman" w:eastAsia="Times New Roman"/>
        </w:rPr>
        <w:t>100.00m</w:t>
      </w:r>
      <w:r>
        <w:t>。水力性质为裂隙承压水，对矿井充水较弱。主要补给来源为上部风化裂隙含水带。</w:t>
      </w:r>
    </w:p>
    <w:p>
      <w:pPr>
        <w:pStyle w:val="6"/>
        <w:spacing w:before="2"/>
        <w:ind w:left="1031"/>
      </w:pPr>
      <w:r>
        <w:t>④构造裂隙含水带</w:t>
      </w:r>
    </w:p>
    <w:p>
      <w:pPr>
        <w:pStyle w:val="6"/>
        <w:spacing w:before="161" w:line="364" w:lineRule="auto"/>
        <w:ind w:left="551" w:right="969" w:firstLine="480"/>
        <w:jc w:val="both"/>
      </w:pPr>
      <w:r>
        <w:rPr>
          <w:spacing w:val="-1"/>
        </w:rPr>
        <w:t>矿区内断裂较发育，在裂隙含水带范围内，裂隙发育程度好，本矿区有多条</w:t>
      </w:r>
      <w:r>
        <w:rPr>
          <w:spacing w:val="-6"/>
        </w:rPr>
        <w:t xml:space="preserve">断层，均为正断层，落差一般在 </w:t>
      </w:r>
      <w:r>
        <w:rPr>
          <w:rFonts w:ascii="Times New Roman" w:eastAsia="Times New Roman"/>
        </w:rPr>
        <w:t>20</w:t>
      </w:r>
      <w:r>
        <w:t>～</w:t>
      </w:r>
      <w:r>
        <w:rPr>
          <w:rFonts w:ascii="Times New Roman" w:eastAsia="Times New Roman"/>
        </w:rPr>
        <w:t>75m</w:t>
      </w:r>
      <w:r>
        <w:rPr>
          <w:spacing w:val="-2"/>
        </w:rPr>
        <w:t>，在断层附近构造裂隙较发育，以构造</w:t>
      </w:r>
      <w:r>
        <w:t>裂隙充水为主，地层的富水程度相对较强。</w:t>
      </w:r>
    </w:p>
    <w:p>
      <w:pPr>
        <w:pStyle w:val="4"/>
        <w:numPr>
          <w:ilvl w:val="2"/>
          <w:numId w:val="55"/>
        </w:numPr>
        <w:tabs>
          <w:tab w:val="left" w:pos="1181"/>
        </w:tabs>
        <w:spacing w:before="0" w:after="0" w:line="282" w:lineRule="exact"/>
        <w:ind w:left="1180" w:right="0" w:hanging="630"/>
        <w:jc w:val="left"/>
      </w:pPr>
      <w:bookmarkStart w:id="227" w:name="6.3.2地下水径流"/>
      <w:bookmarkEnd w:id="227"/>
      <w:bookmarkStart w:id="228" w:name="6.3.2地下水径流"/>
      <w:bookmarkEnd w:id="228"/>
      <w:r>
        <w:t>地下水径流</w:t>
      </w:r>
    </w:p>
    <w:p>
      <w:pPr>
        <w:pStyle w:val="6"/>
        <w:spacing w:before="262"/>
        <w:ind w:left="1031"/>
      </w:pPr>
      <w:r>
        <w:t>①大气降雨主要通过采空区冒落带、导水断层和封孔不良的钻孔等导入井下。</w:t>
      </w:r>
    </w:p>
    <w:p>
      <w:pPr>
        <w:pStyle w:val="6"/>
        <w:spacing w:before="160" w:line="364" w:lineRule="auto"/>
        <w:ind w:left="551" w:right="973" w:firstLine="480"/>
      </w:pPr>
      <w:r>
        <w:t>②第四系孔隙含水岩系水层的水主要通过采空区冒落带、断层带、煤层顶、底板弱含水层孔隙和封孔不良的钻孔等导入井下。</w:t>
      </w:r>
    </w:p>
    <w:p>
      <w:pPr>
        <w:pStyle w:val="4"/>
        <w:numPr>
          <w:ilvl w:val="2"/>
          <w:numId w:val="55"/>
        </w:numPr>
        <w:tabs>
          <w:tab w:val="left" w:pos="1181"/>
        </w:tabs>
        <w:spacing w:before="0" w:after="0" w:line="282" w:lineRule="exact"/>
        <w:ind w:left="1180" w:right="0" w:hanging="630"/>
        <w:jc w:val="left"/>
      </w:pPr>
      <w:bookmarkStart w:id="229" w:name="6.3.3矿区涌水量"/>
      <w:bookmarkEnd w:id="229"/>
      <w:bookmarkStart w:id="230" w:name="6.3.3矿区涌水量"/>
      <w:bookmarkEnd w:id="230"/>
      <w:r>
        <w:t>矿区涌水量</w:t>
      </w:r>
    </w:p>
    <w:p>
      <w:pPr>
        <w:pStyle w:val="6"/>
        <w:spacing w:before="185" w:line="364" w:lineRule="auto"/>
        <w:ind w:left="551" w:right="969" w:firstLine="480"/>
        <w:jc w:val="both"/>
      </w:pPr>
      <w:r>
        <w:rPr>
          <w:spacing w:val="-1"/>
        </w:rPr>
        <w:t>矿井涌水量与开采深度有关，开采越深，涌水量越小；当巷道接近地表时， 淋水、涌水均较大。矿井涌水量与构造有关，巷道遇到张性断层时，涌水较大， 或巷道进入裂隙发育区，淋水也会增大。涌水量与降雨量有关，随着降雨量的增加而增加。雨季涌水量较大，而冬季涌水量较小。根据《双鸭山大顺矿业有限公</w:t>
      </w:r>
      <w:r>
        <w:rPr>
          <w:spacing w:val="-5"/>
        </w:rPr>
        <w:t xml:space="preserve">司改扩建煤炭资源开发利用方案》可知，改扩建后矿井正常涌水量为 </w:t>
      </w:r>
      <w:r>
        <w:rPr>
          <w:rFonts w:ascii="Times New Roman" w:eastAsia="Times New Roman"/>
        </w:rPr>
        <w:t>76m</w:t>
      </w:r>
      <w:r>
        <w:rPr>
          <w:rFonts w:ascii="Times New Roman" w:eastAsia="Times New Roman"/>
          <w:position w:val="8"/>
          <w:sz w:val="15"/>
        </w:rPr>
        <w:t>3</w:t>
      </w:r>
      <w:r>
        <w:rPr>
          <w:rFonts w:ascii="Times New Roman" w:eastAsia="Times New Roman"/>
        </w:rPr>
        <w:t>/h</w:t>
      </w:r>
      <w:r>
        <w:rPr>
          <w:spacing w:val="-7"/>
        </w:rPr>
        <w:t>，最</w:t>
      </w:r>
      <w:r>
        <w:rPr>
          <w:spacing w:val="-10"/>
        </w:rPr>
        <w:t xml:space="preserve">大涌水量为 </w:t>
      </w:r>
      <w:r>
        <w:rPr>
          <w:rFonts w:ascii="Times New Roman" w:eastAsia="Times New Roman"/>
        </w:rPr>
        <w:t>155m</w:t>
      </w:r>
      <w:r>
        <w:rPr>
          <w:rFonts w:ascii="Times New Roman" w:eastAsia="Times New Roman"/>
          <w:position w:val="8"/>
          <w:sz w:val="15"/>
        </w:rPr>
        <w:t>3</w:t>
      </w:r>
      <w:r>
        <w:rPr>
          <w:rFonts w:ascii="Times New Roman" w:eastAsia="Times New Roman"/>
        </w:rPr>
        <w:t>/h</w:t>
      </w:r>
      <w:r>
        <w:t>。</w:t>
      </w:r>
    </w:p>
    <w:p>
      <w:pPr>
        <w:spacing w:after="0" w:line="364" w:lineRule="auto"/>
        <w:jc w:val="both"/>
        <w:sectPr>
          <w:pgSz w:w="11910" w:h="16840"/>
          <w:pgMar w:top="1380" w:right="780" w:bottom="1180" w:left="1200" w:header="0" w:footer="917" w:gutter="0"/>
        </w:sectPr>
      </w:pPr>
    </w:p>
    <w:p>
      <w:pPr>
        <w:pStyle w:val="3"/>
        <w:numPr>
          <w:ilvl w:val="1"/>
          <w:numId w:val="55"/>
        </w:numPr>
        <w:tabs>
          <w:tab w:val="left" w:pos="1001"/>
        </w:tabs>
        <w:spacing w:before="43" w:after="0" w:line="240" w:lineRule="auto"/>
        <w:ind w:left="1000" w:right="0" w:hanging="450"/>
        <w:jc w:val="left"/>
      </w:pPr>
      <w:bookmarkStart w:id="231" w:name="6.4地下水环境质量现状评价"/>
      <w:bookmarkEnd w:id="231"/>
      <w:bookmarkStart w:id="232" w:name="_bookmark33"/>
      <w:bookmarkEnd w:id="232"/>
      <w:bookmarkStart w:id="233" w:name="_bookmark33"/>
      <w:bookmarkEnd w:id="233"/>
      <w:r>
        <w:t>地下水环境质量现状评价</w:t>
      </w:r>
    </w:p>
    <w:p>
      <w:pPr>
        <w:pStyle w:val="4"/>
        <w:numPr>
          <w:ilvl w:val="2"/>
          <w:numId w:val="55"/>
        </w:numPr>
        <w:tabs>
          <w:tab w:val="left" w:pos="1253"/>
        </w:tabs>
        <w:spacing w:before="120" w:after="0" w:line="240" w:lineRule="auto"/>
        <w:ind w:left="1252" w:right="0" w:hanging="702"/>
        <w:jc w:val="left"/>
      </w:pPr>
      <w:bookmarkStart w:id="234" w:name="6.4.1 地下水环境质量现状监测"/>
      <w:bookmarkEnd w:id="234"/>
      <w:bookmarkStart w:id="235" w:name="6.4.1 地下水环境质量现状监测"/>
      <w:bookmarkEnd w:id="235"/>
      <w:r>
        <w:t>地下水环境质量现状监测</w:t>
      </w:r>
    </w:p>
    <w:p>
      <w:pPr>
        <w:pStyle w:val="5"/>
        <w:numPr>
          <w:ilvl w:val="3"/>
          <w:numId w:val="58"/>
        </w:numPr>
        <w:tabs>
          <w:tab w:val="left" w:pos="1272"/>
        </w:tabs>
        <w:spacing w:before="185" w:after="0" w:line="240" w:lineRule="auto"/>
        <w:ind w:left="1272" w:right="0" w:hanging="721"/>
        <w:jc w:val="left"/>
      </w:pPr>
      <w:r>
        <w:t>现状调查及监测点布设</w:t>
      </w:r>
    </w:p>
    <w:p>
      <w:pPr>
        <w:pStyle w:val="6"/>
        <w:spacing w:before="161"/>
        <w:ind w:left="1031"/>
      </w:pPr>
      <w:r>
        <w:rPr>
          <w:rFonts w:ascii="Times New Roman" w:eastAsia="Times New Roman"/>
        </w:rPr>
        <w:t>1</w:t>
      </w:r>
      <w:r>
        <w:t>、监测时间与频率</w:t>
      </w:r>
    </w:p>
    <w:p>
      <w:pPr>
        <w:pStyle w:val="6"/>
        <w:spacing w:before="158"/>
        <w:ind w:left="1031"/>
        <w:rPr>
          <w:rFonts w:ascii="Times New Roman" w:eastAsia="Times New Roman"/>
        </w:rPr>
      </w:pPr>
      <w:r>
        <w:t xml:space="preserve">本项目地下水现状监测委托黑龙江康和检测有限公司完成。监测时间为 </w:t>
      </w:r>
      <w:r>
        <w:rPr>
          <w:rFonts w:ascii="Times New Roman" w:eastAsia="Times New Roman"/>
        </w:rPr>
        <w:t>2020</w:t>
      </w:r>
    </w:p>
    <w:p>
      <w:pPr>
        <w:pStyle w:val="6"/>
        <w:spacing w:before="160"/>
        <w:ind w:left="551"/>
      </w:pPr>
      <w:r>
        <w:t xml:space="preserve">年 </w:t>
      </w:r>
      <w:r>
        <w:rPr>
          <w:rFonts w:ascii="Times New Roman" w:eastAsia="Times New Roman"/>
        </w:rPr>
        <w:t xml:space="preserve">5 </w:t>
      </w:r>
      <w:r>
        <w:t xml:space="preserve">月 </w:t>
      </w:r>
      <w:r>
        <w:rPr>
          <w:rFonts w:ascii="Times New Roman" w:eastAsia="Times New Roman"/>
        </w:rPr>
        <w:t xml:space="preserve">22 </w:t>
      </w:r>
      <w:r>
        <w:t xml:space="preserve">日，监测频率为 </w:t>
      </w:r>
      <w:r>
        <w:rPr>
          <w:rFonts w:ascii="Times New Roman" w:eastAsia="Times New Roman"/>
        </w:rPr>
        <w:t xml:space="preserve">1 </w:t>
      </w:r>
      <w:r>
        <w:t>天。</w:t>
      </w:r>
    </w:p>
    <w:p>
      <w:pPr>
        <w:pStyle w:val="6"/>
        <w:spacing w:before="159"/>
        <w:ind w:left="1031"/>
      </w:pPr>
      <w:r>
        <w:rPr>
          <w:rFonts w:ascii="Times New Roman" w:eastAsia="Times New Roman"/>
        </w:rPr>
        <w:t>2</w:t>
      </w:r>
      <w:r>
        <w:t>、监测点布设</w:t>
      </w:r>
    </w:p>
    <w:p>
      <w:pPr>
        <w:pStyle w:val="6"/>
        <w:spacing w:before="160"/>
        <w:ind w:left="1031"/>
      </w:pPr>
      <w:r>
        <w:t xml:space="preserve">本项目在待建场地周边设置 </w:t>
      </w:r>
      <w:r>
        <w:rPr>
          <w:rFonts w:ascii="Times New Roman" w:eastAsia="Times New Roman"/>
        </w:rPr>
        <w:t xml:space="preserve">5 </w:t>
      </w:r>
      <w:r>
        <w:t xml:space="preserve">个地下水水质和水位监测点，另设 </w:t>
      </w:r>
      <w:r>
        <w:rPr>
          <w:rFonts w:ascii="Times New Roman" w:eastAsia="Times New Roman"/>
        </w:rPr>
        <w:t xml:space="preserve">5 </w:t>
      </w:r>
      <w:r>
        <w:t>个地下水</w:t>
      </w:r>
    </w:p>
    <w:p>
      <w:pPr>
        <w:pStyle w:val="6"/>
        <w:spacing w:before="158" w:line="364" w:lineRule="auto"/>
        <w:ind w:left="551" w:right="973"/>
      </w:pPr>
      <w:r>
        <w:rPr>
          <w:spacing w:val="-8"/>
        </w:rPr>
        <w:t xml:space="preserve">水位监测点，于 </w:t>
      </w:r>
      <w:r>
        <w:rPr>
          <w:rFonts w:ascii="Times New Roman" w:eastAsia="Times New Roman"/>
        </w:rPr>
        <w:t xml:space="preserve">2020 </w:t>
      </w:r>
      <w:r>
        <w:rPr>
          <w:spacing w:val="-30"/>
        </w:rPr>
        <w:t xml:space="preserve">年 </w:t>
      </w:r>
      <w:r>
        <w:rPr>
          <w:rFonts w:ascii="Times New Roman" w:eastAsia="Times New Roman"/>
        </w:rPr>
        <w:t xml:space="preserve">5 </w:t>
      </w:r>
      <w:r>
        <w:rPr>
          <w:spacing w:val="-30"/>
        </w:rPr>
        <w:t xml:space="preserve">月 </w:t>
      </w:r>
      <w:r>
        <w:rPr>
          <w:rFonts w:ascii="Times New Roman" w:eastAsia="Times New Roman"/>
        </w:rPr>
        <w:t xml:space="preserve">22 </w:t>
      </w:r>
      <w:r>
        <w:rPr>
          <w:spacing w:val="-1"/>
        </w:rPr>
        <w:t>日对水质进行了一次取样监测，对各监测点水位</w:t>
      </w:r>
      <w:r>
        <w:rPr>
          <w:spacing w:val="-5"/>
        </w:rPr>
        <w:t xml:space="preserve">进行了测量。监测点概况见表 </w:t>
      </w:r>
      <w:r>
        <w:rPr>
          <w:rFonts w:ascii="Times New Roman" w:eastAsia="Times New Roman"/>
        </w:rPr>
        <w:t>6.4-1</w:t>
      </w:r>
      <w:r>
        <w:rPr>
          <w:spacing w:val="-7"/>
        </w:rPr>
        <w:t xml:space="preserve">，监测点位置见图 </w:t>
      </w:r>
      <w:r>
        <w:rPr>
          <w:rFonts w:ascii="Times New Roman" w:eastAsia="Times New Roman"/>
        </w:rPr>
        <w:t>6.4-1</w:t>
      </w:r>
      <w:r>
        <w:t>。</w:t>
      </w:r>
    </w:p>
    <w:p>
      <w:pPr>
        <w:pStyle w:val="5"/>
        <w:spacing w:after="4" w:line="306" w:lineRule="exact"/>
        <w:ind w:left="2733"/>
      </w:pPr>
      <w:r>
        <w:t xml:space="preserve">表 </w:t>
      </w:r>
      <w:r>
        <w:rPr>
          <w:rFonts w:ascii="Times New Roman" w:eastAsia="Times New Roman"/>
        </w:rPr>
        <w:t xml:space="preserve">6.4-1  </w:t>
      </w:r>
      <w:r>
        <w:t>地下水水质监测点概况表</w:t>
      </w:r>
    </w:p>
    <w:tbl>
      <w:tblPr>
        <w:tblStyle w:val="10"/>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4"/>
        <w:gridCol w:w="735"/>
        <w:gridCol w:w="928"/>
        <w:gridCol w:w="939"/>
        <w:gridCol w:w="1606"/>
        <w:gridCol w:w="21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24" w:type="dxa"/>
          </w:tcPr>
          <w:p>
            <w:pPr>
              <w:pStyle w:val="14"/>
              <w:spacing w:before="19"/>
              <w:ind w:left="125" w:right="119"/>
              <w:rPr>
                <w:sz w:val="21"/>
              </w:rPr>
            </w:pPr>
            <w:r>
              <w:rPr>
                <w:sz w:val="21"/>
              </w:rPr>
              <w:t>监测点</w:t>
            </w:r>
          </w:p>
          <w:p>
            <w:pPr>
              <w:pStyle w:val="14"/>
              <w:spacing w:before="43"/>
              <w:ind w:left="125" w:right="119"/>
              <w:rPr>
                <w:sz w:val="21"/>
              </w:rPr>
            </w:pPr>
            <w:r>
              <w:rPr>
                <w:sz w:val="21"/>
              </w:rPr>
              <w:t>类型</w:t>
            </w:r>
          </w:p>
        </w:tc>
        <w:tc>
          <w:tcPr>
            <w:tcW w:w="735" w:type="dxa"/>
          </w:tcPr>
          <w:p>
            <w:pPr>
              <w:pStyle w:val="14"/>
              <w:spacing w:before="175"/>
              <w:ind w:left="130" w:right="122"/>
              <w:rPr>
                <w:sz w:val="21"/>
              </w:rPr>
            </w:pPr>
            <w:r>
              <w:rPr>
                <w:sz w:val="21"/>
              </w:rPr>
              <w:t>编号</w:t>
            </w:r>
          </w:p>
        </w:tc>
        <w:tc>
          <w:tcPr>
            <w:tcW w:w="928" w:type="dxa"/>
          </w:tcPr>
          <w:p>
            <w:pPr>
              <w:pStyle w:val="14"/>
              <w:spacing w:before="19"/>
              <w:ind w:left="253"/>
              <w:jc w:val="left"/>
              <w:rPr>
                <w:sz w:val="21"/>
              </w:rPr>
            </w:pPr>
            <w:r>
              <w:rPr>
                <w:sz w:val="21"/>
              </w:rPr>
              <w:t>井深</w:t>
            </w:r>
          </w:p>
          <w:p>
            <w:pPr>
              <w:pStyle w:val="14"/>
              <w:spacing w:before="43"/>
              <w:ind w:left="171"/>
              <w:jc w:val="left"/>
              <w:rPr>
                <w:sz w:val="21"/>
              </w:rPr>
            </w:pPr>
            <w:r>
              <w:rPr>
                <w:sz w:val="21"/>
              </w:rPr>
              <w:t>（</w:t>
            </w:r>
            <w:r>
              <w:rPr>
                <w:rFonts w:ascii="Times New Roman" w:eastAsia="Times New Roman"/>
                <w:sz w:val="21"/>
              </w:rPr>
              <w:t>m</w:t>
            </w:r>
            <w:r>
              <w:rPr>
                <w:sz w:val="21"/>
              </w:rPr>
              <w:t>）</w:t>
            </w:r>
          </w:p>
        </w:tc>
        <w:tc>
          <w:tcPr>
            <w:tcW w:w="939" w:type="dxa"/>
          </w:tcPr>
          <w:p>
            <w:pPr>
              <w:pStyle w:val="14"/>
              <w:spacing w:before="19"/>
              <w:ind w:left="258"/>
              <w:jc w:val="left"/>
              <w:rPr>
                <w:sz w:val="21"/>
              </w:rPr>
            </w:pPr>
            <w:r>
              <w:rPr>
                <w:sz w:val="21"/>
              </w:rPr>
              <w:t>水位</w:t>
            </w:r>
          </w:p>
          <w:p>
            <w:pPr>
              <w:pStyle w:val="14"/>
              <w:spacing w:before="57"/>
              <w:ind w:left="318"/>
              <w:jc w:val="left"/>
              <w:rPr>
                <w:rFonts w:ascii="Times New Roman"/>
                <w:sz w:val="21"/>
              </w:rPr>
            </w:pPr>
            <w:r>
              <w:rPr>
                <w:rFonts w:ascii="Times New Roman"/>
                <w:sz w:val="21"/>
              </w:rPr>
              <w:t>(m)</w:t>
            </w:r>
          </w:p>
        </w:tc>
        <w:tc>
          <w:tcPr>
            <w:tcW w:w="1606" w:type="dxa"/>
          </w:tcPr>
          <w:p>
            <w:pPr>
              <w:pStyle w:val="14"/>
              <w:spacing w:before="175"/>
              <w:ind w:left="150" w:right="143"/>
              <w:rPr>
                <w:sz w:val="21"/>
              </w:rPr>
            </w:pPr>
            <w:r>
              <w:rPr>
                <w:sz w:val="21"/>
              </w:rPr>
              <w:t>监测井功能</w:t>
            </w:r>
          </w:p>
        </w:tc>
        <w:tc>
          <w:tcPr>
            <w:tcW w:w="2121" w:type="dxa"/>
          </w:tcPr>
          <w:p>
            <w:pPr>
              <w:pStyle w:val="14"/>
              <w:spacing w:before="175"/>
              <w:ind w:left="618" w:right="613"/>
              <w:rPr>
                <w:sz w:val="21"/>
              </w:rPr>
            </w:pPr>
            <w:r>
              <w:rPr>
                <w:sz w:val="21"/>
              </w:rPr>
              <w:t>监测层位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24" w:type="dxa"/>
            <w:vMerge w:val="restart"/>
          </w:tcPr>
          <w:p>
            <w:pPr>
              <w:pStyle w:val="14"/>
              <w:jc w:val="left"/>
              <w:rPr>
                <w:b/>
                <w:sz w:val="20"/>
              </w:rPr>
            </w:pPr>
          </w:p>
          <w:p>
            <w:pPr>
              <w:pStyle w:val="14"/>
              <w:jc w:val="left"/>
              <w:rPr>
                <w:b/>
                <w:sz w:val="20"/>
              </w:rPr>
            </w:pPr>
          </w:p>
          <w:p>
            <w:pPr>
              <w:pStyle w:val="14"/>
              <w:spacing w:before="166" w:line="278" w:lineRule="auto"/>
              <w:ind w:left="145" w:right="137"/>
              <w:jc w:val="both"/>
              <w:rPr>
                <w:sz w:val="21"/>
              </w:rPr>
            </w:pPr>
            <w:r>
              <w:rPr>
                <w:sz w:val="21"/>
              </w:rPr>
              <w:t>地下水水质监测点</w:t>
            </w:r>
          </w:p>
        </w:tc>
        <w:tc>
          <w:tcPr>
            <w:tcW w:w="735" w:type="dxa"/>
          </w:tcPr>
          <w:p>
            <w:pPr>
              <w:pStyle w:val="14"/>
              <w:spacing w:before="35"/>
              <w:ind w:left="131" w:right="122"/>
              <w:rPr>
                <w:rFonts w:ascii="Times New Roman"/>
                <w:sz w:val="21"/>
              </w:rPr>
            </w:pPr>
            <w:r>
              <w:rPr>
                <w:rFonts w:ascii="Times New Roman"/>
                <w:sz w:val="21"/>
              </w:rPr>
              <w:t>JC01</w:t>
            </w:r>
          </w:p>
        </w:tc>
        <w:tc>
          <w:tcPr>
            <w:tcW w:w="928" w:type="dxa"/>
          </w:tcPr>
          <w:p>
            <w:pPr>
              <w:pStyle w:val="14"/>
              <w:spacing w:before="35"/>
              <w:ind w:left="358"/>
              <w:jc w:val="left"/>
              <w:rPr>
                <w:rFonts w:ascii="Times New Roman"/>
                <w:sz w:val="21"/>
              </w:rPr>
            </w:pPr>
            <w:r>
              <w:rPr>
                <w:rFonts w:ascii="Times New Roman"/>
                <w:sz w:val="21"/>
              </w:rPr>
              <w:t>20</w:t>
            </w:r>
          </w:p>
        </w:tc>
        <w:tc>
          <w:tcPr>
            <w:tcW w:w="939" w:type="dxa"/>
          </w:tcPr>
          <w:p>
            <w:pPr>
              <w:pStyle w:val="14"/>
              <w:spacing w:before="35"/>
              <w:ind w:left="9"/>
              <w:rPr>
                <w:rFonts w:ascii="Times New Roman"/>
                <w:sz w:val="21"/>
              </w:rPr>
            </w:pPr>
            <w:r>
              <w:rPr>
                <w:rFonts w:ascii="Times New Roman"/>
                <w:w w:val="99"/>
                <w:sz w:val="21"/>
              </w:rPr>
              <w:t>8</w:t>
            </w:r>
          </w:p>
        </w:tc>
        <w:tc>
          <w:tcPr>
            <w:tcW w:w="1606" w:type="dxa"/>
          </w:tcPr>
          <w:p>
            <w:pPr>
              <w:pStyle w:val="14"/>
              <w:spacing w:before="21"/>
              <w:ind w:left="150" w:right="143"/>
              <w:rPr>
                <w:sz w:val="21"/>
              </w:rPr>
            </w:pPr>
            <w:r>
              <w:rPr>
                <w:sz w:val="21"/>
              </w:rPr>
              <w:t>废弃水源井</w:t>
            </w:r>
          </w:p>
        </w:tc>
        <w:tc>
          <w:tcPr>
            <w:tcW w:w="2121" w:type="dxa"/>
          </w:tcPr>
          <w:p>
            <w:pPr>
              <w:pStyle w:val="14"/>
              <w:spacing w:before="21"/>
              <w:ind w:left="618" w:right="611"/>
              <w:rPr>
                <w:sz w:val="21"/>
              </w:rPr>
            </w:pPr>
            <w:r>
              <w:rPr>
                <w:sz w:val="21"/>
              </w:rPr>
              <w:t>潜水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24" w:type="dxa"/>
            <w:vMerge w:val="continue"/>
            <w:tcBorders>
              <w:top w:val="nil"/>
            </w:tcBorders>
          </w:tcPr>
          <w:p>
            <w:pPr>
              <w:rPr>
                <w:sz w:val="2"/>
                <w:szCs w:val="2"/>
              </w:rPr>
            </w:pPr>
          </w:p>
        </w:tc>
        <w:tc>
          <w:tcPr>
            <w:tcW w:w="735" w:type="dxa"/>
          </w:tcPr>
          <w:p>
            <w:pPr>
              <w:pStyle w:val="14"/>
              <w:spacing w:before="34"/>
              <w:ind w:left="131" w:right="122"/>
              <w:rPr>
                <w:rFonts w:ascii="Times New Roman"/>
                <w:sz w:val="21"/>
              </w:rPr>
            </w:pPr>
            <w:r>
              <w:rPr>
                <w:rFonts w:ascii="Times New Roman"/>
                <w:sz w:val="21"/>
              </w:rPr>
              <w:t>JC02</w:t>
            </w:r>
          </w:p>
        </w:tc>
        <w:tc>
          <w:tcPr>
            <w:tcW w:w="928" w:type="dxa"/>
          </w:tcPr>
          <w:p>
            <w:pPr>
              <w:pStyle w:val="14"/>
              <w:spacing w:before="34"/>
              <w:ind w:left="358"/>
              <w:jc w:val="left"/>
              <w:rPr>
                <w:rFonts w:ascii="Times New Roman"/>
                <w:sz w:val="21"/>
              </w:rPr>
            </w:pPr>
            <w:r>
              <w:rPr>
                <w:rFonts w:ascii="Times New Roman"/>
                <w:sz w:val="21"/>
              </w:rPr>
              <w:t>80</w:t>
            </w:r>
          </w:p>
        </w:tc>
        <w:tc>
          <w:tcPr>
            <w:tcW w:w="939" w:type="dxa"/>
          </w:tcPr>
          <w:p>
            <w:pPr>
              <w:pStyle w:val="14"/>
              <w:spacing w:before="34"/>
              <w:ind w:left="237" w:right="228"/>
              <w:rPr>
                <w:rFonts w:ascii="Times New Roman"/>
                <w:sz w:val="21"/>
              </w:rPr>
            </w:pPr>
            <w:r>
              <w:rPr>
                <w:rFonts w:ascii="Times New Roman"/>
                <w:sz w:val="21"/>
              </w:rPr>
              <w:t>20</w:t>
            </w:r>
          </w:p>
        </w:tc>
        <w:tc>
          <w:tcPr>
            <w:tcW w:w="1606" w:type="dxa"/>
          </w:tcPr>
          <w:p>
            <w:pPr>
              <w:pStyle w:val="14"/>
              <w:spacing w:before="20"/>
              <w:ind w:left="150" w:right="145"/>
              <w:rPr>
                <w:sz w:val="21"/>
              </w:rPr>
            </w:pPr>
            <w:r>
              <w:rPr>
                <w:sz w:val="21"/>
              </w:rPr>
              <w:t>富强村饮用水</w:t>
            </w:r>
          </w:p>
        </w:tc>
        <w:tc>
          <w:tcPr>
            <w:tcW w:w="2121" w:type="dxa"/>
          </w:tcPr>
          <w:p>
            <w:pPr>
              <w:pStyle w:val="14"/>
              <w:spacing w:before="20"/>
              <w:ind w:left="618" w:right="611"/>
              <w:rPr>
                <w:sz w:val="21"/>
              </w:rPr>
            </w:pPr>
            <w:r>
              <w:rPr>
                <w:sz w:val="21"/>
              </w:rPr>
              <w:t>潜水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924" w:type="dxa"/>
            <w:vMerge w:val="continue"/>
            <w:tcBorders>
              <w:top w:val="nil"/>
            </w:tcBorders>
          </w:tcPr>
          <w:p>
            <w:pPr>
              <w:rPr>
                <w:sz w:val="2"/>
                <w:szCs w:val="2"/>
              </w:rPr>
            </w:pPr>
          </w:p>
        </w:tc>
        <w:tc>
          <w:tcPr>
            <w:tcW w:w="735" w:type="dxa"/>
          </w:tcPr>
          <w:p>
            <w:pPr>
              <w:pStyle w:val="14"/>
              <w:spacing w:before="12"/>
              <w:jc w:val="left"/>
              <w:rPr>
                <w:b/>
                <w:sz w:val="15"/>
              </w:rPr>
            </w:pPr>
          </w:p>
          <w:p>
            <w:pPr>
              <w:pStyle w:val="14"/>
              <w:ind w:left="131" w:right="122"/>
              <w:rPr>
                <w:rFonts w:ascii="Times New Roman"/>
                <w:sz w:val="21"/>
              </w:rPr>
            </w:pPr>
            <w:r>
              <w:rPr>
                <w:rFonts w:ascii="Times New Roman"/>
                <w:sz w:val="21"/>
              </w:rPr>
              <w:t>JC03</w:t>
            </w:r>
          </w:p>
        </w:tc>
        <w:tc>
          <w:tcPr>
            <w:tcW w:w="928" w:type="dxa"/>
          </w:tcPr>
          <w:p>
            <w:pPr>
              <w:pStyle w:val="14"/>
              <w:spacing w:before="12"/>
              <w:jc w:val="left"/>
              <w:rPr>
                <w:b/>
                <w:sz w:val="15"/>
              </w:rPr>
            </w:pPr>
          </w:p>
          <w:p>
            <w:pPr>
              <w:pStyle w:val="14"/>
              <w:ind w:left="411"/>
              <w:jc w:val="left"/>
              <w:rPr>
                <w:rFonts w:ascii="Times New Roman"/>
                <w:sz w:val="21"/>
              </w:rPr>
            </w:pPr>
            <w:r>
              <w:rPr>
                <w:rFonts w:ascii="Times New Roman"/>
                <w:w w:val="99"/>
                <w:sz w:val="21"/>
              </w:rPr>
              <w:t>8</w:t>
            </w:r>
          </w:p>
        </w:tc>
        <w:tc>
          <w:tcPr>
            <w:tcW w:w="939" w:type="dxa"/>
          </w:tcPr>
          <w:p>
            <w:pPr>
              <w:pStyle w:val="14"/>
              <w:spacing w:before="12"/>
              <w:jc w:val="left"/>
              <w:rPr>
                <w:b/>
                <w:sz w:val="15"/>
              </w:rPr>
            </w:pPr>
          </w:p>
          <w:p>
            <w:pPr>
              <w:pStyle w:val="14"/>
              <w:ind w:left="9"/>
              <w:rPr>
                <w:rFonts w:ascii="Times New Roman"/>
                <w:sz w:val="21"/>
              </w:rPr>
            </w:pPr>
            <w:r>
              <w:rPr>
                <w:rFonts w:ascii="Times New Roman"/>
                <w:w w:val="99"/>
                <w:sz w:val="21"/>
              </w:rPr>
              <w:t>5</w:t>
            </w:r>
          </w:p>
        </w:tc>
        <w:tc>
          <w:tcPr>
            <w:tcW w:w="1606" w:type="dxa"/>
          </w:tcPr>
          <w:p>
            <w:pPr>
              <w:pStyle w:val="14"/>
              <w:spacing w:before="11"/>
              <w:jc w:val="left"/>
              <w:rPr>
                <w:b/>
                <w:sz w:val="14"/>
              </w:rPr>
            </w:pPr>
          </w:p>
          <w:p>
            <w:pPr>
              <w:pStyle w:val="14"/>
              <w:ind w:left="150" w:right="145"/>
              <w:rPr>
                <w:sz w:val="21"/>
              </w:rPr>
            </w:pPr>
            <w:r>
              <w:rPr>
                <w:sz w:val="21"/>
              </w:rPr>
              <w:t>青山村饮用水</w:t>
            </w:r>
          </w:p>
        </w:tc>
        <w:tc>
          <w:tcPr>
            <w:tcW w:w="2121" w:type="dxa"/>
          </w:tcPr>
          <w:p>
            <w:pPr>
              <w:pStyle w:val="14"/>
              <w:spacing w:before="11"/>
              <w:jc w:val="left"/>
              <w:rPr>
                <w:b/>
                <w:sz w:val="14"/>
              </w:rPr>
            </w:pPr>
          </w:p>
          <w:p>
            <w:pPr>
              <w:pStyle w:val="14"/>
              <w:ind w:left="618" w:right="611"/>
              <w:rPr>
                <w:sz w:val="21"/>
              </w:rPr>
            </w:pPr>
            <w:r>
              <w:rPr>
                <w:sz w:val="21"/>
              </w:rPr>
              <w:t>潜水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24" w:type="dxa"/>
            <w:vMerge w:val="continue"/>
            <w:tcBorders>
              <w:top w:val="nil"/>
            </w:tcBorders>
          </w:tcPr>
          <w:p>
            <w:pPr>
              <w:rPr>
                <w:sz w:val="2"/>
                <w:szCs w:val="2"/>
              </w:rPr>
            </w:pPr>
          </w:p>
        </w:tc>
        <w:tc>
          <w:tcPr>
            <w:tcW w:w="735" w:type="dxa"/>
          </w:tcPr>
          <w:p>
            <w:pPr>
              <w:pStyle w:val="14"/>
              <w:spacing w:before="189"/>
              <w:ind w:left="131" w:right="122"/>
              <w:rPr>
                <w:rFonts w:ascii="Times New Roman"/>
                <w:sz w:val="21"/>
              </w:rPr>
            </w:pPr>
            <w:r>
              <w:rPr>
                <w:rFonts w:ascii="Times New Roman"/>
                <w:sz w:val="21"/>
              </w:rPr>
              <w:t>JC04</w:t>
            </w:r>
          </w:p>
        </w:tc>
        <w:tc>
          <w:tcPr>
            <w:tcW w:w="928" w:type="dxa"/>
          </w:tcPr>
          <w:p>
            <w:pPr>
              <w:pStyle w:val="14"/>
              <w:spacing w:before="189"/>
              <w:ind w:left="305"/>
              <w:jc w:val="left"/>
              <w:rPr>
                <w:rFonts w:ascii="Times New Roman"/>
                <w:sz w:val="21"/>
              </w:rPr>
            </w:pPr>
            <w:r>
              <w:rPr>
                <w:rFonts w:ascii="Times New Roman"/>
                <w:sz w:val="21"/>
              </w:rPr>
              <w:t>200</w:t>
            </w:r>
          </w:p>
        </w:tc>
        <w:tc>
          <w:tcPr>
            <w:tcW w:w="939" w:type="dxa"/>
          </w:tcPr>
          <w:p>
            <w:pPr>
              <w:pStyle w:val="14"/>
              <w:spacing w:before="189"/>
              <w:ind w:left="237" w:right="228"/>
              <w:rPr>
                <w:rFonts w:ascii="Times New Roman"/>
                <w:sz w:val="21"/>
              </w:rPr>
            </w:pPr>
            <w:r>
              <w:rPr>
                <w:rFonts w:ascii="Times New Roman"/>
                <w:sz w:val="21"/>
              </w:rPr>
              <w:t>20</w:t>
            </w:r>
          </w:p>
        </w:tc>
        <w:tc>
          <w:tcPr>
            <w:tcW w:w="1606" w:type="dxa"/>
          </w:tcPr>
          <w:p>
            <w:pPr>
              <w:pStyle w:val="14"/>
              <w:spacing w:before="19"/>
              <w:ind w:left="150" w:right="145"/>
              <w:rPr>
                <w:sz w:val="21"/>
              </w:rPr>
            </w:pPr>
            <w:r>
              <w:rPr>
                <w:sz w:val="21"/>
              </w:rPr>
              <w:t>青山林场饮用</w:t>
            </w:r>
          </w:p>
          <w:p>
            <w:pPr>
              <w:pStyle w:val="14"/>
              <w:spacing w:before="43"/>
              <w:ind w:left="7"/>
              <w:rPr>
                <w:sz w:val="21"/>
              </w:rPr>
            </w:pPr>
            <w:r>
              <w:rPr>
                <w:w w:val="99"/>
                <w:sz w:val="21"/>
              </w:rPr>
              <w:t>水</w:t>
            </w:r>
          </w:p>
        </w:tc>
        <w:tc>
          <w:tcPr>
            <w:tcW w:w="2121" w:type="dxa"/>
          </w:tcPr>
          <w:p>
            <w:pPr>
              <w:pStyle w:val="14"/>
              <w:spacing w:before="175"/>
              <w:ind w:left="618" w:right="611"/>
              <w:rPr>
                <w:sz w:val="21"/>
              </w:rPr>
            </w:pPr>
            <w:r>
              <w:rPr>
                <w:sz w:val="21"/>
              </w:rPr>
              <w:t>承压水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24" w:type="dxa"/>
            <w:vMerge w:val="continue"/>
            <w:tcBorders>
              <w:top w:val="nil"/>
            </w:tcBorders>
          </w:tcPr>
          <w:p>
            <w:pPr>
              <w:rPr>
                <w:sz w:val="2"/>
                <w:szCs w:val="2"/>
              </w:rPr>
            </w:pPr>
          </w:p>
        </w:tc>
        <w:tc>
          <w:tcPr>
            <w:tcW w:w="735" w:type="dxa"/>
          </w:tcPr>
          <w:p>
            <w:pPr>
              <w:pStyle w:val="14"/>
              <w:spacing w:before="33"/>
              <w:ind w:left="131" w:right="122"/>
              <w:rPr>
                <w:rFonts w:ascii="Times New Roman"/>
                <w:sz w:val="21"/>
              </w:rPr>
            </w:pPr>
            <w:r>
              <w:rPr>
                <w:rFonts w:ascii="Times New Roman"/>
                <w:sz w:val="21"/>
              </w:rPr>
              <w:t>JC05</w:t>
            </w:r>
          </w:p>
        </w:tc>
        <w:tc>
          <w:tcPr>
            <w:tcW w:w="928" w:type="dxa"/>
          </w:tcPr>
          <w:p>
            <w:pPr>
              <w:pStyle w:val="14"/>
              <w:spacing w:before="33"/>
              <w:ind w:left="11"/>
              <w:rPr>
                <w:rFonts w:ascii="Times New Roman"/>
                <w:sz w:val="21"/>
              </w:rPr>
            </w:pPr>
            <w:r>
              <w:rPr>
                <w:rFonts w:ascii="Times New Roman"/>
                <w:w w:val="99"/>
                <w:sz w:val="21"/>
              </w:rPr>
              <w:t>/</w:t>
            </w:r>
          </w:p>
        </w:tc>
        <w:tc>
          <w:tcPr>
            <w:tcW w:w="939" w:type="dxa"/>
          </w:tcPr>
          <w:p>
            <w:pPr>
              <w:pStyle w:val="14"/>
              <w:spacing w:before="33"/>
              <w:ind w:left="6"/>
              <w:rPr>
                <w:rFonts w:ascii="Times New Roman"/>
                <w:sz w:val="21"/>
              </w:rPr>
            </w:pPr>
            <w:r>
              <w:rPr>
                <w:rFonts w:ascii="Times New Roman"/>
                <w:w w:val="99"/>
                <w:sz w:val="21"/>
              </w:rPr>
              <w:t>/</w:t>
            </w:r>
          </w:p>
        </w:tc>
        <w:tc>
          <w:tcPr>
            <w:tcW w:w="1606" w:type="dxa"/>
          </w:tcPr>
          <w:p>
            <w:pPr>
              <w:pStyle w:val="14"/>
              <w:spacing w:before="19"/>
              <w:ind w:left="150" w:right="143"/>
              <w:rPr>
                <w:sz w:val="21"/>
              </w:rPr>
            </w:pPr>
            <w:r>
              <w:rPr>
                <w:sz w:val="21"/>
              </w:rPr>
              <w:t>矿区生活水</w:t>
            </w:r>
          </w:p>
        </w:tc>
        <w:tc>
          <w:tcPr>
            <w:tcW w:w="2121" w:type="dxa"/>
          </w:tcPr>
          <w:p>
            <w:pPr>
              <w:pStyle w:val="14"/>
              <w:spacing w:before="19"/>
              <w:ind w:left="618" w:right="611"/>
              <w:rPr>
                <w:sz w:val="21"/>
              </w:rPr>
            </w:pPr>
            <w:r>
              <w:rPr>
                <w:sz w:val="21"/>
              </w:rPr>
              <w:t>潜水</w:t>
            </w:r>
          </w:p>
        </w:tc>
      </w:tr>
    </w:tbl>
    <w:p>
      <w:pPr>
        <w:pStyle w:val="13"/>
        <w:numPr>
          <w:ilvl w:val="3"/>
          <w:numId w:val="58"/>
        </w:numPr>
        <w:tabs>
          <w:tab w:val="left" w:pos="1272"/>
        </w:tabs>
        <w:spacing w:before="1" w:after="0" w:line="240" w:lineRule="auto"/>
        <w:ind w:left="1272" w:right="0" w:hanging="721"/>
        <w:jc w:val="left"/>
        <w:rPr>
          <w:b/>
          <w:sz w:val="24"/>
        </w:rPr>
      </w:pPr>
      <w:r>
        <w:rPr>
          <w:b/>
          <w:sz w:val="24"/>
        </w:rPr>
        <w:t>监测项目</w:t>
      </w:r>
    </w:p>
    <w:p>
      <w:pPr>
        <w:pStyle w:val="6"/>
        <w:spacing w:before="160" w:line="364" w:lineRule="auto"/>
        <w:ind w:left="551" w:right="832" w:firstLine="480"/>
      </w:pPr>
      <w:r>
        <mc:AlternateContent>
          <mc:Choice Requires="wps">
            <w:drawing>
              <wp:anchor distT="0" distB="0" distL="114300" distR="114300" simplePos="0" relativeHeight="214183936" behindDoc="1" locked="0" layoutInCell="1" allowOverlap="1">
                <wp:simplePos x="0" y="0"/>
                <wp:positionH relativeFrom="page">
                  <wp:posOffset>1636395</wp:posOffset>
                </wp:positionH>
                <wp:positionV relativeFrom="paragraph">
                  <wp:posOffset>1066165</wp:posOffset>
                </wp:positionV>
                <wp:extent cx="49530" cy="109855"/>
                <wp:effectExtent l="0" t="0" r="0" b="0"/>
                <wp:wrapNone/>
                <wp:docPr id="26" name="文本框 119"/>
                <wp:cNvGraphicFramePr/>
                <a:graphic xmlns:a="http://schemas.openxmlformats.org/drawingml/2006/main">
                  <a:graphicData uri="http://schemas.microsoft.com/office/word/2010/wordprocessingShape">
                    <wps:wsp>
                      <wps:cNvSpPr txBox="1"/>
                      <wps:spPr>
                        <a:xfrm>
                          <a:off x="0" y="0"/>
                          <a:ext cx="49530" cy="109855"/>
                        </a:xfrm>
                        <a:prstGeom prst="rect">
                          <a:avLst/>
                        </a:prstGeom>
                        <a:noFill/>
                        <a:ln>
                          <a:noFill/>
                        </a:ln>
                      </wps:spPr>
                      <wps:txbx>
                        <w:txbxContent>
                          <w:p>
                            <w:pPr>
                              <w:spacing w:before="0" w:line="171" w:lineRule="exact"/>
                              <w:ind w:left="0" w:right="0" w:firstLine="0"/>
                              <w:jc w:val="left"/>
                              <w:rPr>
                                <w:rFonts w:ascii="Times New Roman"/>
                                <w:sz w:val="15"/>
                              </w:rPr>
                            </w:pPr>
                            <w:r>
                              <w:rPr>
                                <w:rFonts w:ascii="Times New Roman"/>
                                <w:w w:val="104"/>
                                <w:sz w:val="15"/>
                              </w:rPr>
                              <w:t>4</w:t>
                            </w:r>
                          </w:p>
                        </w:txbxContent>
                      </wps:txbx>
                      <wps:bodyPr lIns="0" tIns="0" rIns="0" bIns="0" upright="1"/>
                    </wps:wsp>
                  </a:graphicData>
                </a:graphic>
              </wp:anchor>
            </w:drawing>
          </mc:Choice>
          <mc:Fallback>
            <w:pict>
              <v:shape id="文本框 119" o:spid="_x0000_s1026" o:spt="202" type="#_x0000_t202" style="position:absolute;left:0pt;margin-left:128.85pt;margin-top:83.95pt;height:8.65pt;width:3.9pt;mso-position-horizontal-relative:page;z-index:-289132544;mso-width-relative:page;mso-height-relative:page;" filled="f" stroked="f" coordsize="21600,21600" o:gfxdata="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Lq+/SnaAAAACwEAAA8AAAAA&#10;AAAAAQAgAAAAIgAAAGRycy9kb3ducmV2LnhtbFBLAQIUABQAAAAIAIdO4kAVgxHyoAEAACUDAAAO&#10;AAAAAAAAAAEAIAAAACkBAABkcnMvZTJvRG9jLnhtbFBLBQYAAAAABgAGAFkBAAA7BQAAAAA=&#10;">
                <v:fill on="f" focussize="0,0"/>
                <v:stroke on="f"/>
                <v:imagedata o:title=""/>
                <o:lock v:ext="edit" aspectratio="f"/>
                <v:textbox inset="0mm,0mm,0mm,0mm">
                  <w:txbxContent>
                    <w:p>
                      <w:pPr>
                        <w:spacing w:before="0" w:line="171" w:lineRule="exact"/>
                        <w:ind w:left="0" w:right="0" w:firstLine="0"/>
                        <w:jc w:val="left"/>
                        <w:rPr>
                          <w:rFonts w:ascii="Times New Roman"/>
                          <w:sz w:val="15"/>
                        </w:rPr>
                      </w:pPr>
                      <w:r>
                        <w:rPr>
                          <w:rFonts w:ascii="Times New Roman"/>
                          <w:w w:val="104"/>
                          <w:sz w:val="15"/>
                        </w:rPr>
                        <w:t>4</w:t>
                      </w:r>
                    </w:p>
                  </w:txbxContent>
                </v:textbox>
              </v:shape>
            </w:pict>
          </mc:Fallback>
        </mc:AlternateContent>
      </w:r>
      <w:r>
        <mc:AlternateContent>
          <mc:Choice Requires="wps">
            <w:drawing>
              <wp:anchor distT="0" distB="0" distL="114300" distR="114300" simplePos="0" relativeHeight="214184960" behindDoc="1" locked="0" layoutInCell="1" allowOverlap="1">
                <wp:simplePos x="0" y="0"/>
                <wp:positionH relativeFrom="page">
                  <wp:posOffset>5720715</wp:posOffset>
                </wp:positionH>
                <wp:positionV relativeFrom="paragraph">
                  <wp:posOffset>768985</wp:posOffset>
                </wp:positionV>
                <wp:extent cx="630555" cy="109855"/>
                <wp:effectExtent l="0" t="0" r="0" b="0"/>
                <wp:wrapNone/>
                <wp:docPr id="28" name="文本框 120"/>
                <wp:cNvGraphicFramePr/>
                <a:graphic xmlns:a="http://schemas.openxmlformats.org/drawingml/2006/main">
                  <a:graphicData uri="http://schemas.microsoft.com/office/word/2010/wordprocessingShape">
                    <wps:wsp>
                      <wps:cNvSpPr txBox="1"/>
                      <wps:spPr>
                        <a:xfrm>
                          <a:off x="0" y="0"/>
                          <a:ext cx="630555" cy="109855"/>
                        </a:xfrm>
                        <a:prstGeom prst="rect">
                          <a:avLst/>
                        </a:prstGeom>
                        <a:noFill/>
                        <a:ln>
                          <a:noFill/>
                        </a:ln>
                      </wps:spPr>
                      <wps:txbx>
                        <w:txbxContent>
                          <w:p>
                            <w:pPr>
                              <w:tabs>
                                <w:tab w:val="left" w:pos="914"/>
                              </w:tabs>
                              <w:spacing w:before="0" w:line="171" w:lineRule="exact"/>
                              <w:ind w:left="0" w:right="0" w:firstLine="0"/>
                              <w:jc w:val="left"/>
                              <w:rPr>
                                <w:rFonts w:ascii="Times New Roman"/>
                                <w:sz w:val="15"/>
                              </w:rPr>
                            </w:pPr>
                            <w:r>
                              <w:rPr>
                                <w:rFonts w:ascii="Times New Roman"/>
                                <w:w w:val="105"/>
                                <w:sz w:val="15"/>
                              </w:rPr>
                              <w:t>3</w:t>
                            </w:r>
                            <w:r>
                              <w:rPr>
                                <w:rFonts w:ascii="Times New Roman"/>
                                <w:w w:val="105"/>
                                <w:sz w:val="15"/>
                              </w:rPr>
                              <w:tab/>
                            </w:r>
                            <w:r>
                              <w:rPr>
                                <w:rFonts w:ascii="Times New Roman"/>
                                <w:spacing w:val="-20"/>
                                <w:w w:val="105"/>
                                <w:sz w:val="15"/>
                              </w:rPr>
                              <w:t>3</w:t>
                            </w:r>
                          </w:p>
                        </w:txbxContent>
                      </wps:txbx>
                      <wps:bodyPr lIns="0" tIns="0" rIns="0" bIns="0" upright="1"/>
                    </wps:wsp>
                  </a:graphicData>
                </a:graphic>
              </wp:anchor>
            </w:drawing>
          </mc:Choice>
          <mc:Fallback>
            <w:pict>
              <v:shape id="文本框 120" o:spid="_x0000_s1026" o:spt="202" type="#_x0000_t202" style="position:absolute;left:0pt;margin-left:450.45pt;margin-top:60.55pt;height:8.65pt;width:49.65pt;mso-position-horizontal-relative:page;z-index:-289131520;mso-width-relative:page;mso-height-relative:page;" filled="f" stroked="f" coordsize="21600,21600" o:gfxdata="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8x6u22QAAAAwBAAAPAAAAAAAA&#10;AAEAIAAAACIAAABkcnMvZG93bnJldi54bWxQSwECFAAUAAAACACHTuJA1J3fuJ8BAAAmAwAADgAA&#10;AAAAAAABACAAAAAoAQAAZHJzL2Uyb0RvYy54bWxQSwUGAAAAAAYABgBZAQAAOQUAAAAA&#10;">
                <v:fill on="f" focussize="0,0"/>
                <v:stroke on="f"/>
                <v:imagedata o:title=""/>
                <o:lock v:ext="edit" aspectratio="f"/>
                <v:textbox inset="0mm,0mm,0mm,0mm">
                  <w:txbxContent>
                    <w:p>
                      <w:pPr>
                        <w:tabs>
                          <w:tab w:val="left" w:pos="914"/>
                        </w:tabs>
                        <w:spacing w:before="0" w:line="171" w:lineRule="exact"/>
                        <w:ind w:left="0" w:right="0" w:firstLine="0"/>
                        <w:jc w:val="left"/>
                        <w:rPr>
                          <w:rFonts w:ascii="Times New Roman"/>
                          <w:sz w:val="15"/>
                        </w:rPr>
                      </w:pPr>
                      <w:r>
                        <w:rPr>
                          <w:rFonts w:ascii="Times New Roman"/>
                          <w:w w:val="105"/>
                          <w:sz w:val="15"/>
                        </w:rPr>
                        <w:t>3</w:t>
                      </w:r>
                      <w:r>
                        <w:rPr>
                          <w:rFonts w:ascii="Times New Roman"/>
                          <w:w w:val="105"/>
                          <w:sz w:val="15"/>
                        </w:rPr>
                        <w:tab/>
                      </w:r>
                      <w:r>
                        <w:rPr>
                          <w:rFonts w:ascii="Times New Roman"/>
                          <w:spacing w:val="-20"/>
                          <w:w w:val="105"/>
                          <w:sz w:val="15"/>
                        </w:rPr>
                        <w:t>3</w:t>
                      </w:r>
                    </w:p>
                  </w:txbxContent>
                </v:textbox>
              </v:shape>
            </w:pict>
          </mc:Fallback>
        </mc:AlternateContent>
      </w:r>
      <w:r>
        <w:rPr>
          <w:spacing w:val="-1"/>
        </w:rPr>
        <w:t>水质监测项目：</w:t>
      </w:r>
      <w:r>
        <w:rPr>
          <w:rFonts w:ascii="Times New Roman" w:eastAsia="Times New Roman"/>
          <w:spacing w:val="-3"/>
        </w:rPr>
        <w:t>pH</w:t>
      </w:r>
      <w:r>
        <w:rPr>
          <w:spacing w:val="-8"/>
        </w:rPr>
        <w:t>、氨氮、硝酸盐、亚硝酸盐、总硬度、高锰酸盐指数、溶解性总固体、铁、锰、铅、六价铬、氯化物、硫酸盐、细菌总数、总大肠菌群、</w:t>
      </w:r>
      <w:r>
        <w:rPr>
          <w:spacing w:val="-19"/>
        </w:rPr>
        <w:t>挥发性酚类、氰化物、砷、汞、氟化物、镉、</w:t>
      </w:r>
      <w:r>
        <w:rPr>
          <w:rFonts w:ascii="Times New Roman" w:eastAsia="Times New Roman"/>
        </w:rPr>
        <w:t>K</w:t>
      </w:r>
      <w:r>
        <w:rPr>
          <w:rFonts w:ascii="Times New Roman" w:eastAsia="Times New Roman"/>
          <w:position w:val="8"/>
          <w:sz w:val="15"/>
        </w:rPr>
        <w:t>+</w:t>
      </w:r>
      <w:r>
        <w:rPr>
          <w:spacing w:val="-41"/>
        </w:rPr>
        <w:t>、</w:t>
      </w:r>
      <w:r>
        <w:rPr>
          <w:rFonts w:ascii="Times New Roman" w:eastAsia="Times New Roman"/>
        </w:rPr>
        <w:t>Na</w:t>
      </w:r>
      <w:r>
        <w:rPr>
          <w:rFonts w:ascii="Times New Roman" w:eastAsia="Times New Roman"/>
          <w:position w:val="8"/>
          <w:sz w:val="15"/>
        </w:rPr>
        <w:t>+</w:t>
      </w:r>
      <w:r>
        <w:rPr>
          <w:spacing w:val="-39"/>
        </w:rPr>
        <w:t>、</w:t>
      </w:r>
      <w:r>
        <w:rPr>
          <w:rFonts w:ascii="Times New Roman" w:eastAsia="Times New Roman"/>
        </w:rPr>
        <w:t>Ca</w:t>
      </w:r>
      <w:r>
        <w:rPr>
          <w:rFonts w:ascii="Times New Roman" w:eastAsia="Times New Roman"/>
          <w:position w:val="8"/>
          <w:sz w:val="15"/>
        </w:rPr>
        <w:t>2+</w:t>
      </w:r>
      <w:r>
        <w:rPr>
          <w:spacing w:val="-41"/>
        </w:rPr>
        <w:t>、</w:t>
      </w:r>
      <w:r>
        <w:rPr>
          <w:rFonts w:ascii="Times New Roman" w:eastAsia="Times New Roman"/>
        </w:rPr>
        <w:t>Mg</w:t>
      </w:r>
      <w:r>
        <w:rPr>
          <w:rFonts w:ascii="Times New Roman" w:eastAsia="Times New Roman"/>
          <w:position w:val="8"/>
          <w:sz w:val="15"/>
        </w:rPr>
        <w:t>2+</w:t>
      </w:r>
      <w:r>
        <w:rPr>
          <w:spacing w:val="-41"/>
        </w:rPr>
        <w:t>、</w:t>
      </w:r>
      <w:r>
        <w:rPr>
          <w:rFonts w:ascii="Times New Roman" w:eastAsia="Times New Roman"/>
        </w:rPr>
        <w:t xml:space="preserve">CO </w:t>
      </w:r>
      <w:r>
        <w:rPr>
          <w:rFonts w:ascii="Times New Roman" w:eastAsia="Times New Roman"/>
          <w:position w:val="8"/>
          <w:sz w:val="15"/>
        </w:rPr>
        <w:t>2-</w:t>
      </w:r>
      <w:r>
        <w:rPr>
          <w:spacing w:val="-41"/>
        </w:rPr>
        <w:t>、</w:t>
      </w:r>
      <w:r>
        <w:rPr>
          <w:rFonts w:ascii="Times New Roman" w:eastAsia="Times New Roman"/>
        </w:rPr>
        <w:t xml:space="preserve">HCO </w:t>
      </w:r>
      <w:r>
        <w:rPr>
          <w:rFonts w:ascii="Times New Roman" w:eastAsia="Times New Roman"/>
          <w:position w:val="8"/>
          <w:sz w:val="15"/>
        </w:rPr>
        <w:t>-</w:t>
      </w:r>
      <w:r>
        <w:t>、</w:t>
      </w:r>
      <w:r>
        <w:rPr>
          <w:rFonts w:ascii="Times New Roman" w:eastAsia="Times New Roman"/>
        </w:rPr>
        <w:t>Cl</w:t>
      </w:r>
      <w:r>
        <w:rPr>
          <w:rFonts w:ascii="Times New Roman" w:eastAsia="Times New Roman"/>
          <w:position w:val="8"/>
          <w:sz w:val="15"/>
        </w:rPr>
        <w:t>-</w:t>
      </w:r>
      <w:r>
        <w:t>、</w:t>
      </w:r>
      <w:r>
        <w:rPr>
          <w:rFonts w:ascii="Times New Roman" w:eastAsia="Times New Roman"/>
        </w:rPr>
        <w:t xml:space="preserve">SO </w:t>
      </w:r>
      <w:r>
        <w:rPr>
          <w:rFonts w:ascii="Times New Roman" w:eastAsia="Times New Roman"/>
          <w:position w:val="8"/>
          <w:sz w:val="15"/>
        </w:rPr>
        <w:t>2-</w:t>
      </w:r>
      <w:r>
        <w:rPr>
          <w:spacing w:val="-30"/>
        </w:rPr>
        <w:t xml:space="preserve">共 </w:t>
      </w:r>
      <w:r>
        <w:rPr>
          <w:rFonts w:ascii="Times New Roman" w:eastAsia="Times New Roman"/>
        </w:rPr>
        <w:t xml:space="preserve">29 </w:t>
      </w:r>
      <w:r>
        <w:t>项。</w:t>
      </w:r>
    </w:p>
    <w:p>
      <w:pPr>
        <w:pStyle w:val="5"/>
        <w:numPr>
          <w:ilvl w:val="3"/>
          <w:numId w:val="58"/>
        </w:numPr>
        <w:tabs>
          <w:tab w:val="left" w:pos="1272"/>
        </w:tabs>
        <w:spacing w:before="0" w:after="0" w:line="305" w:lineRule="exact"/>
        <w:ind w:left="1272" w:right="0" w:hanging="721"/>
        <w:jc w:val="left"/>
      </w:pPr>
      <w:r>
        <w:t>监测分析方法</w:t>
      </w:r>
    </w:p>
    <w:p>
      <w:pPr>
        <w:pStyle w:val="6"/>
        <w:spacing w:before="161" w:line="362" w:lineRule="auto"/>
        <w:ind w:left="551" w:right="893" w:firstLine="480"/>
      </w:pPr>
      <w:r>
        <w:t>采样和分析方法按照《地下水环境监测技术规范》（</w:t>
      </w:r>
      <w:r>
        <w:rPr>
          <w:rFonts w:ascii="Times New Roman" w:eastAsia="Times New Roman"/>
        </w:rPr>
        <w:t>HJ/T64-2004</w:t>
      </w:r>
      <w:r>
        <w:t>）和《生活饮用水标准检验方法》（</w:t>
      </w:r>
      <w:r>
        <w:rPr>
          <w:rFonts w:ascii="Times New Roman" w:eastAsia="Times New Roman"/>
        </w:rPr>
        <w:t>GB5750-2006</w:t>
      </w:r>
      <w:r>
        <w:t xml:space="preserve">）执行，监测分析方法见表 </w:t>
      </w:r>
      <w:r>
        <w:rPr>
          <w:rFonts w:ascii="Times New Roman" w:eastAsia="Times New Roman"/>
        </w:rPr>
        <w:t>6.4-2</w:t>
      </w:r>
      <w:r>
        <w:t>。</w:t>
      </w:r>
    </w:p>
    <w:p>
      <w:pPr>
        <w:pStyle w:val="5"/>
        <w:tabs>
          <w:tab w:val="left" w:pos="4672"/>
        </w:tabs>
        <w:spacing w:before="81"/>
        <w:ind w:left="3633"/>
      </w:pPr>
      <w:r>
        <w:t>表</w:t>
      </w:r>
      <w:r>
        <w:rPr>
          <w:spacing w:val="-62"/>
        </w:rPr>
        <w:t xml:space="preserve"> </w:t>
      </w:r>
      <w:r>
        <w:rPr>
          <w:rFonts w:ascii="Times New Roman" w:eastAsia="Times New Roman"/>
        </w:rPr>
        <w:t>6.4-2</w:t>
      </w:r>
      <w:r>
        <w:rPr>
          <w:rFonts w:ascii="Times New Roman" w:eastAsia="Times New Roman"/>
        </w:rPr>
        <w:tab/>
      </w:r>
      <w:r>
        <w:t>地下水检测方法</w:t>
      </w:r>
    </w:p>
    <w:p>
      <w:pPr>
        <w:pStyle w:val="6"/>
        <w:spacing w:before="5"/>
        <w:rPr>
          <w:b/>
          <w:sz w:val="6"/>
        </w:rPr>
      </w:pPr>
    </w:p>
    <w:tbl>
      <w:tblPr>
        <w:tblStyle w:val="10"/>
        <w:tblW w:w="0" w:type="auto"/>
        <w:tblInd w:w="4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6"/>
        <w:gridCol w:w="69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566" w:type="dxa"/>
          </w:tcPr>
          <w:p>
            <w:pPr>
              <w:pStyle w:val="14"/>
              <w:spacing w:before="75"/>
              <w:ind w:left="130" w:right="124"/>
              <w:rPr>
                <w:sz w:val="21"/>
              </w:rPr>
            </w:pPr>
            <w:r>
              <w:rPr>
                <w:sz w:val="21"/>
              </w:rPr>
              <w:t>检测项目</w:t>
            </w:r>
          </w:p>
        </w:tc>
        <w:tc>
          <w:tcPr>
            <w:tcW w:w="6956" w:type="dxa"/>
          </w:tcPr>
          <w:p>
            <w:pPr>
              <w:pStyle w:val="14"/>
              <w:spacing w:before="75"/>
              <w:ind w:left="29" w:right="21"/>
              <w:rPr>
                <w:sz w:val="21"/>
              </w:rPr>
            </w:pPr>
            <w:r>
              <w:rPr>
                <w:sz w:val="21"/>
              </w:rPr>
              <w:t>检测依据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566" w:type="dxa"/>
          </w:tcPr>
          <w:p>
            <w:pPr>
              <w:pStyle w:val="14"/>
              <w:spacing w:before="91"/>
              <w:ind w:left="132" w:right="122"/>
              <w:rPr>
                <w:rFonts w:ascii="Times New Roman"/>
                <w:sz w:val="21"/>
              </w:rPr>
            </w:pPr>
            <w:r>
              <w:rPr>
                <w:rFonts w:ascii="Times New Roman"/>
                <w:sz w:val="21"/>
              </w:rPr>
              <w:t>pH</w:t>
            </w:r>
          </w:p>
        </w:tc>
        <w:tc>
          <w:tcPr>
            <w:tcW w:w="6956" w:type="dxa"/>
          </w:tcPr>
          <w:p>
            <w:pPr>
              <w:pStyle w:val="14"/>
              <w:spacing w:before="77"/>
              <w:ind w:left="31" w:right="21"/>
              <w:rPr>
                <w:rFonts w:ascii="Times New Roman" w:eastAsia="Times New Roman"/>
                <w:sz w:val="21"/>
              </w:rPr>
            </w:pPr>
            <w:r>
              <w:rPr>
                <w:sz w:val="21"/>
              </w:rPr>
              <w:t xml:space="preserve">水质 </w:t>
            </w:r>
            <w:r>
              <w:rPr>
                <w:rFonts w:ascii="Times New Roman" w:eastAsia="Times New Roman"/>
                <w:sz w:val="21"/>
              </w:rPr>
              <w:t xml:space="preserve">pH </w:t>
            </w:r>
            <w:r>
              <w:rPr>
                <w:sz w:val="21"/>
              </w:rPr>
              <w:t xml:space="preserve">值的测定玻璃电极法 </w:t>
            </w:r>
            <w:r>
              <w:rPr>
                <w:rFonts w:ascii="Times New Roman" w:eastAsia="Times New Roman"/>
                <w:sz w:val="21"/>
              </w:rPr>
              <w:t>GB/T 6920-1986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66" w:type="dxa"/>
          </w:tcPr>
          <w:p>
            <w:pPr>
              <w:pStyle w:val="14"/>
              <w:spacing w:before="76"/>
              <w:ind w:left="132" w:right="124"/>
              <w:rPr>
                <w:sz w:val="21"/>
              </w:rPr>
            </w:pPr>
            <w:r>
              <w:rPr>
                <w:sz w:val="21"/>
              </w:rPr>
              <w:t>氨氮</w:t>
            </w:r>
          </w:p>
        </w:tc>
        <w:tc>
          <w:tcPr>
            <w:tcW w:w="6956" w:type="dxa"/>
          </w:tcPr>
          <w:p>
            <w:pPr>
              <w:pStyle w:val="14"/>
              <w:spacing w:before="76"/>
              <w:ind w:left="31" w:right="21"/>
              <w:rPr>
                <w:rFonts w:ascii="Times New Roman" w:eastAsia="Times New Roman"/>
                <w:sz w:val="21"/>
              </w:rPr>
            </w:pPr>
            <w:r>
              <w:rPr>
                <w:sz w:val="21"/>
              </w:rPr>
              <w:t xml:space="preserve">水质 氨氮的测定 纳氏试剂分光光度法 </w:t>
            </w:r>
            <w:r>
              <w:rPr>
                <w:rFonts w:ascii="Times New Roman" w:eastAsia="Times New Roman"/>
                <w:sz w:val="21"/>
              </w:rPr>
              <w:t>HJ 535-2009</w:t>
            </w:r>
          </w:p>
        </w:tc>
      </w:tr>
    </w:tbl>
    <w:p>
      <w:pPr>
        <w:spacing w:after="0"/>
        <w:rPr>
          <w:rFonts w:ascii="Times New Roman" w:eastAsia="Times New Roman"/>
          <w:sz w:val="21"/>
        </w:rPr>
        <w:sectPr>
          <w:pgSz w:w="11910" w:h="16840"/>
          <w:pgMar w:top="1500" w:right="780" w:bottom="1180" w:left="1200" w:header="0" w:footer="917" w:gutter="0"/>
        </w:sectPr>
      </w:pPr>
    </w:p>
    <w:tbl>
      <w:tblPr>
        <w:tblStyle w:val="10"/>
        <w:tblW w:w="0" w:type="auto"/>
        <w:tblInd w:w="4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6"/>
        <w:gridCol w:w="69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566" w:type="dxa"/>
          </w:tcPr>
          <w:p>
            <w:pPr>
              <w:pStyle w:val="14"/>
              <w:spacing w:before="76"/>
              <w:ind w:left="130" w:right="124"/>
              <w:rPr>
                <w:sz w:val="21"/>
              </w:rPr>
            </w:pPr>
            <w:r>
              <w:rPr>
                <w:sz w:val="21"/>
              </w:rPr>
              <w:t>检测项目</w:t>
            </w:r>
          </w:p>
        </w:tc>
        <w:tc>
          <w:tcPr>
            <w:tcW w:w="6956" w:type="dxa"/>
          </w:tcPr>
          <w:p>
            <w:pPr>
              <w:pStyle w:val="14"/>
              <w:spacing w:before="76"/>
              <w:ind w:left="29" w:right="21"/>
              <w:rPr>
                <w:sz w:val="21"/>
              </w:rPr>
            </w:pPr>
            <w:r>
              <w:rPr>
                <w:sz w:val="21"/>
              </w:rPr>
              <w:t>检测依据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566" w:type="dxa"/>
          </w:tcPr>
          <w:p>
            <w:pPr>
              <w:pStyle w:val="14"/>
              <w:spacing w:before="176"/>
              <w:ind w:left="132" w:right="124"/>
              <w:rPr>
                <w:sz w:val="21"/>
              </w:rPr>
            </w:pPr>
            <w:r>
              <w:rPr>
                <w:sz w:val="21"/>
              </w:rPr>
              <w:t>硝酸盐</w:t>
            </w:r>
          </w:p>
        </w:tc>
        <w:tc>
          <w:tcPr>
            <w:tcW w:w="6956" w:type="dxa"/>
          </w:tcPr>
          <w:p>
            <w:pPr>
              <w:pStyle w:val="14"/>
              <w:spacing w:before="20"/>
              <w:ind w:left="29" w:right="21"/>
              <w:rPr>
                <w:sz w:val="21"/>
              </w:rPr>
            </w:pPr>
            <w:r>
              <w:rPr>
                <w:sz w:val="21"/>
              </w:rPr>
              <w:t>生活饮用水标准检验方法无机非金属指标（</w:t>
            </w:r>
            <w:r>
              <w:rPr>
                <w:rFonts w:ascii="Times New Roman" w:eastAsia="Times New Roman"/>
                <w:sz w:val="21"/>
              </w:rPr>
              <w:t xml:space="preserve">5.2 </w:t>
            </w:r>
            <w:r>
              <w:rPr>
                <w:sz w:val="21"/>
              </w:rPr>
              <w:t>紫外分光光度法）</w:t>
            </w:r>
          </w:p>
          <w:p>
            <w:pPr>
              <w:pStyle w:val="14"/>
              <w:spacing w:before="57"/>
              <w:ind w:left="33" w:right="21"/>
              <w:rPr>
                <w:rFonts w:ascii="Times New Roman"/>
                <w:sz w:val="21"/>
              </w:rPr>
            </w:pPr>
            <w:r>
              <w:rPr>
                <w:rFonts w:ascii="Times New Roman"/>
                <w:sz w:val="21"/>
              </w:rPr>
              <w:t>GB/T 5750.5-2006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566" w:type="dxa"/>
          </w:tcPr>
          <w:p>
            <w:pPr>
              <w:pStyle w:val="14"/>
              <w:spacing w:before="77"/>
              <w:ind w:left="130" w:right="124"/>
              <w:rPr>
                <w:sz w:val="21"/>
              </w:rPr>
            </w:pPr>
            <w:r>
              <w:rPr>
                <w:sz w:val="21"/>
              </w:rPr>
              <w:t>亚硝酸盐</w:t>
            </w:r>
          </w:p>
        </w:tc>
        <w:tc>
          <w:tcPr>
            <w:tcW w:w="6956" w:type="dxa"/>
          </w:tcPr>
          <w:p>
            <w:pPr>
              <w:pStyle w:val="14"/>
              <w:spacing w:before="77"/>
              <w:ind w:left="33" w:right="21"/>
              <w:rPr>
                <w:rFonts w:ascii="Times New Roman" w:eastAsia="Times New Roman"/>
                <w:sz w:val="21"/>
              </w:rPr>
            </w:pPr>
            <w:r>
              <w:rPr>
                <w:sz w:val="21"/>
              </w:rPr>
              <w:t xml:space="preserve">水质亚硝酸盐氮的测定分光光度法 </w:t>
            </w:r>
            <w:r>
              <w:rPr>
                <w:rFonts w:ascii="Times New Roman" w:eastAsia="Times New Roman"/>
                <w:sz w:val="21"/>
              </w:rPr>
              <w:t>GB/T 7493-1987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566" w:type="dxa"/>
          </w:tcPr>
          <w:p>
            <w:pPr>
              <w:pStyle w:val="14"/>
              <w:spacing w:before="77"/>
              <w:ind w:left="132" w:right="124"/>
              <w:rPr>
                <w:sz w:val="21"/>
              </w:rPr>
            </w:pPr>
            <w:r>
              <w:rPr>
                <w:sz w:val="21"/>
              </w:rPr>
              <w:t>总硬度</w:t>
            </w:r>
          </w:p>
        </w:tc>
        <w:tc>
          <w:tcPr>
            <w:tcW w:w="6956" w:type="dxa"/>
          </w:tcPr>
          <w:p>
            <w:pPr>
              <w:pStyle w:val="14"/>
              <w:spacing w:before="77"/>
              <w:ind w:left="35" w:right="21"/>
              <w:rPr>
                <w:rFonts w:ascii="Times New Roman" w:eastAsia="Times New Roman"/>
                <w:sz w:val="21"/>
              </w:rPr>
            </w:pPr>
            <w:r>
              <w:rPr>
                <w:sz w:val="21"/>
              </w:rPr>
              <w:t xml:space="preserve">水质钙和镁总量的测定 </w:t>
            </w:r>
            <w:r>
              <w:rPr>
                <w:rFonts w:ascii="Times New Roman" w:eastAsia="Times New Roman"/>
                <w:sz w:val="21"/>
              </w:rPr>
              <w:t xml:space="preserve">EDTA </w:t>
            </w:r>
            <w:r>
              <w:rPr>
                <w:sz w:val="21"/>
              </w:rPr>
              <w:t xml:space="preserve">滴定法 </w:t>
            </w:r>
            <w:r>
              <w:rPr>
                <w:rFonts w:ascii="Times New Roman" w:eastAsia="Times New Roman"/>
                <w:sz w:val="21"/>
              </w:rPr>
              <w:t>GB/T 7477-1987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566" w:type="dxa"/>
          </w:tcPr>
          <w:p>
            <w:pPr>
              <w:pStyle w:val="14"/>
              <w:spacing w:before="76"/>
              <w:ind w:left="132" w:right="124"/>
              <w:rPr>
                <w:sz w:val="21"/>
              </w:rPr>
            </w:pPr>
            <w:r>
              <w:rPr>
                <w:sz w:val="21"/>
              </w:rPr>
              <w:t>高锰酸盐指数</w:t>
            </w:r>
          </w:p>
        </w:tc>
        <w:tc>
          <w:tcPr>
            <w:tcW w:w="6956" w:type="dxa"/>
          </w:tcPr>
          <w:p>
            <w:pPr>
              <w:pStyle w:val="14"/>
              <w:spacing w:before="76"/>
              <w:ind w:left="31" w:right="21"/>
              <w:rPr>
                <w:rFonts w:ascii="Times New Roman" w:eastAsia="Times New Roman"/>
                <w:sz w:val="21"/>
              </w:rPr>
            </w:pPr>
            <w:r>
              <w:rPr>
                <w:sz w:val="21"/>
              </w:rPr>
              <w:t xml:space="preserve">水质高锰酸盐指数的测定 </w:t>
            </w:r>
            <w:r>
              <w:rPr>
                <w:rFonts w:ascii="Times New Roman" w:eastAsia="Times New Roman"/>
                <w:sz w:val="21"/>
              </w:rPr>
              <w:t>GB 11892-1989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566" w:type="dxa"/>
          </w:tcPr>
          <w:p>
            <w:pPr>
              <w:pStyle w:val="14"/>
              <w:spacing w:before="177"/>
              <w:ind w:left="132" w:right="124"/>
              <w:rPr>
                <w:sz w:val="21"/>
              </w:rPr>
            </w:pPr>
            <w:r>
              <w:rPr>
                <w:sz w:val="21"/>
              </w:rPr>
              <w:t>溶解性总固体</w:t>
            </w:r>
          </w:p>
        </w:tc>
        <w:tc>
          <w:tcPr>
            <w:tcW w:w="6956" w:type="dxa"/>
          </w:tcPr>
          <w:p>
            <w:pPr>
              <w:pStyle w:val="14"/>
              <w:spacing w:before="21"/>
              <w:ind w:left="27" w:right="21"/>
              <w:rPr>
                <w:sz w:val="21"/>
              </w:rPr>
            </w:pPr>
            <w:r>
              <w:rPr>
                <w:sz w:val="21"/>
              </w:rPr>
              <w:t>生活饮用水标准检验方法感官性状和物理指标（</w:t>
            </w:r>
            <w:r>
              <w:rPr>
                <w:rFonts w:ascii="Times New Roman" w:eastAsia="Times New Roman"/>
                <w:sz w:val="21"/>
              </w:rPr>
              <w:t xml:space="preserve">8.1 </w:t>
            </w:r>
            <w:r>
              <w:rPr>
                <w:sz w:val="21"/>
              </w:rPr>
              <w:t>称量法）</w:t>
            </w:r>
          </w:p>
          <w:p>
            <w:pPr>
              <w:pStyle w:val="14"/>
              <w:spacing w:before="56"/>
              <w:ind w:left="33" w:right="21"/>
              <w:rPr>
                <w:rFonts w:ascii="Times New Roman"/>
                <w:sz w:val="21"/>
              </w:rPr>
            </w:pPr>
            <w:r>
              <w:rPr>
                <w:rFonts w:ascii="Times New Roman"/>
                <w:sz w:val="21"/>
              </w:rPr>
              <w:t>GB/T 5750.4-2006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566" w:type="dxa"/>
          </w:tcPr>
          <w:p>
            <w:pPr>
              <w:pStyle w:val="14"/>
              <w:spacing w:before="78"/>
              <w:ind w:left="6"/>
              <w:rPr>
                <w:sz w:val="21"/>
              </w:rPr>
            </w:pPr>
            <w:r>
              <w:rPr>
                <w:w w:val="99"/>
                <w:sz w:val="21"/>
              </w:rPr>
              <w:t>铁</w:t>
            </w:r>
          </w:p>
        </w:tc>
        <w:tc>
          <w:tcPr>
            <w:tcW w:w="6956" w:type="dxa"/>
          </w:tcPr>
          <w:p>
            <w:pPr>
              <w:pStyle w:val="14"/>
              <w:spacing w:before="78"/>
              <w:ind w:left="31" w:right="21"/>
              <w:rPr>
                <w:rFonts w:ascii="Times New Roman" w:eastAsia="Times New Roman"/>
                <w:sz w:val="21"/>
              </w:rPr>
            </w:pPr>
            <w:r>
              <w:rPr>
                <w:sz w:val="21"/>
              </w:rPr>
              <w:t xml:space="preserve">水质铁、锰的测定火焰原子吸收分光光度法 </w:t>
            </w:r>
            <w:r>
              <w:rPr>
                <w:rFonts w:ascii="Times New Roman" w:eastAsia="Times New Roman"/>
                <w:sz w:val="21"/>
              </w:rPr>
              <w:t>GB 11911-1989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566" w:type="dxa"/>
          </w:tcPr>
          <w:p>
            <w:pPr>
              <w:pStyle w:val="14"/>
              <w:spacing w:before="77"/>
              <w:ind w:left="6"/>
              <w:rPr>
                <w:sz w:val="21"/>
              </w:rPr>
            </w:pPr>
            <w:r>
              <w:rPr>
                <w:w w:val="99"/>
                <w:sz w:val="21"/>
              </w:rPr>
              <w:t>锰</w:t>
            </w:r>
          </w:p>
        </w:tc>
        <w:tc>
          <w:tcPr>
            <w:tcW w:w="6956" w:type="dxa"/>
          </w:tcPr>
          <w:p>
            <w:pPr>
              <w:pStyle w:val="14"/>
              <w:spacing w:before="77"/>
              <w:ind w:left="31" w:right="21"/>
              <w:rPr>
                <w:rFonts w:ascii="Times New Roman" w:eastAsia="Times New Roman"/>
                <w:sz w:val="21"/>
              </w:rPr>
            </w:pPr>
            <w:r>
              <w:rPr>
                <w:sz w:val="21"/>
              </w:rPr>
              <w:t xml:space="preserve">水质铁、锰的测定火焰原子吸收分光光度法 </w:t>
            </w:r>
            <w:r>
              <w:rPr>
                <w:rFonts w:ascii="Times New Roman" w:eastAsia="Times New Roman"/>
                <w:sz w:val="21"/>
              </w:rPr>
              <w:t>GB 11911-1989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566" w:type="dxa"/>
          </w:tcPr>
          <w:p>
            <w:pPr>
              <w:pStyle w:val="14"/>
              <w:spacing w:before="177"/>
              <w:ind w:left="6"/>
              <w:rPr>
                <w:sz w:val="21"/>
              </w:rPr>
            </w:pPr>
            <w:r>
              <w:rPr>
                <w:w w:val="99"/>
                <w:sz w:val="21"/>
              </w:rPr>
              <w:t>铅</w:t>
            </w:r>
          </w:p>
        </w:tc>
        <w:tc>
          <w:tcPr>
            <w:tcW w:w="6956" w:type="dxa"/>
          </w:tcPr>
          <w:p>
            <w:pPr>
              <w:pStyle w:val="14"/>
              <w:spacing w:before="21"/>
              <w:ind w:left="29" w:right="21"/>
              <w:rPr>
                <w:sz w:val="21"/>
              </w:rPr>
            </w:pPr>
            <w:r>
              <w:rPr>
                <w:sz w:val="21"/>
              </w:rPr>
              <w:t>生活饮用水标准检验方法金属指标 （</w:t>
            </w:r>
            <w:r>
              <w:rPr>
                <w:rFonts w:ascii="Times New Roman" w:eastAsia="Times New Roman"/>
                <w:sz w:val="21"/>
              </w:rPr>
              <w:t xml:space="preserve">11.1 </w:t>
            </w:r>
            <w:r>
              <w:rPr>
                <w:sz w:val="21"/>
              </w:rPr>
              <w:t>无火焰原子吸收分光光度法）</w:t>
            </w:r>
          </w:p>
          <w:p>
            <w:pPr>
              <w:pStyle w:val="14"/>
              <w:spacing w:before="57"/>
              <w:ind w:left="33" w:right="21"/>
              <w:rPr>
                <w:rFonts w:ascii="Times New Roman"/>
                <w:sz w:val="21"/>
              </w:rPr>
            </w:pPr>
            <w:r>
              <w:rPr>
                <w:rFonts w:ascii="Times New Roman"/>
                <w:sz w:val="21"/>
              </w:rPr>
              <w:t>GB/T 5750.6-2006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566" w:type="dxa"/>
          </w:tcPr>
          <w:p>
            <w:pPr>
              <w:pStyle w:val="14"/>
              <w:spacing w:before="76"/>
              <w:ind w:left="132" w:right="124"/>
              <w:rPr>
                <w:sz w:val="21"/>
              </w:rPr>
            </w:pPr>
            <w:r>
              <w:rPr>
                <w:sz w:val="21"/>
              </w:rPr>
              <w:t>六价铬</w:t>
            </w:r>
          </w:p>
        </w:tc>
        <w:tc>
          <w:tcPr>
            <w:tcW w:w="6956" w:type="dxa"/>
          </w:tcPr>
          <w:p>
            <w:pPr>
              <w:pStyle w:val="14"/>
              <w:spacing w:before="76"/>
              <w:ind w:left="33" w:right="21"/>
              <w:rPr>
                <w:rFonts w:ascii="Times New Roman" w:eastAsia="Times New Roman"/>
                <w:sz w:val="21"/>
              </w:rPr>
            </w:pPr>
            <w:r>
              <w:rPr>
                <w:sz w:val="21"/>
              </w:rPr>
              <w:t xml:space="preserve">水质六价铬的测定二苯碳酰二肼分光光度法 </w:t>
            </w:r>
            <w:r>
              <w:rPr>
                <w:rFonts w:ascii="Times New Roman" w:eastAsia="Times New Roman"/>
                <w:sz w:val="21"/>
              </w:rPr>
              <w:t>GB/T 7467-1987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566" w:type="dxa"/>
          </w:tcPr>
          <w:p>
            <w:pPr>
              <w:pStyle w:val="14"/>
              <w:spacing w:before="78"/>
              <w:ind w:left="132" w:right="124"/>
              <w:rPr>
                <w:sz w:val="21"/>
              </w:rPr>
            </w:pPr>
            <w:r>
              <w:rPr>
                <w:sz w:val="21"/>
              </w:rPr>
              <w:t>氯化物</w:t>
            </w:r>
          </w:p>
        </w:tc>
        <w:tc>
          <w:tcPr>
            <w:tcW w:w="6956" w:type="dxa"/>
          </w:tcPr>
          <w:p>
            <w:pPr>
              <w:pStyle w:val="14"/>
              <w:spacing w:before="78"/>
              <w:ind w:left="31" w:right="21"/>
              <w:rPr>
                <w:rFonts w:ascii="Times New Roman" w:eastAsia="Times New Roman"/>
                <w:sz w:val="21"/>
              </w:rPr>
            </w:pPr>
            <w:r>
              <w:rPr>
                <w:sz w:val="21"/>
              </w:rPr>
              <w:t xml:space="preserve">水质氯化物的测定硝酸银滴定法 </w:t>
            </w:r>
            <w:r>
              <w:rPr>
                <w:rFonts w:ascii="Times New Roman" w:eastAsia="Times New Roman"/>
                <w:sz w:val="21"/>
              </w:rPr>
              <w:t>GB 11896-1989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566" w:type="dxa"/>
          </w:tcPr>
          <w:p>
            <w:pPr>
              <w:pStyle w:val="14"/>
              <w:spacing w:before="77"/>
              <w:ind w:left="132" w:right="124"/>
              <w:rPr>
                <w:sz w:val="21"/>
              </w:rPr>
            </w:pPr>
            <w:r>
              <w:rPr>
                <w:sz w:val="21"/>
              </w:rPr>
              <w:t>硫酸盐</w:t>
            </w:r>
          </w:p>
        </w:tc>
        <w:tc>
          <w:tcPr>
            <w:tcW w:w="6956" w:type="dxa"/>
          </w:tcPr>
          <w:p>
            <w:pPr>
              <w:pStyle w:val="14"/>
              <w:spacing w:before="77"/>
              <w:ind w:left="33" w:right="21"/>
              <w:rPr>
                <w:rFonts w:ascii="Times New Roman" w:eastAsia="Times New Roman"/>
                <w:sz w:val="21"/>
              </w:rPr>
            </w:pPr>
            <w:r>
              <w:rPr>
                <w:sz w:val="21"/>
              </w:rPr>
              <w:t>水质硫酸盐的测定铬酸钡分光光度法（试行）</w:t>
            </w:r>
            <w:r>
              <w:rPr>
                <w:rFonts w:ascii="Times New Roman" w:eastAsia="Times New Roman"/>
                <w:sz w:val="21"/>
              </w:rPr>
              <w:t>HJ/T 342-2007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1566" w:type="dxa"/>
          </w:tcPr>
          <w:p>
            <w:pPr>
              <w:pStyle w:val="14"/>
              <w:spacing w:before="84"/>
              <w:ind w:left="130" w:right="124"/>
              <w:rPr>
                <w:sz w:val="21"/>
              </w:rPr>
            </w:pPr>
            <w:r>
              <w:rPr>
                <w:sz w:val="21"/>
              </w:rPr>
              <w:t>细菌总数</w:t>
            </w:r>
          </w:p>
        </w:tc>
        <w:tc>
          <w:tcPr>
            <w:tcW w:w="6956" w:type="dxa"/>
          </w:tcPr>
          <w:p>
            <w:pPr>
              <w:pStyle w:val="14"/>
              <w:spacing w:before="84"/>
              <w:ind w:left="35" w:right="21"/>
              <w:rPr>
                <w:rFonts w:ascii="Times New Roman" w:eastAsia="Times New Roman"/>
                <w:sz w:val="21"/>
              </w:rPr>
            </w:pPr>
            <w:r>
              <w:rPr>
                <w:sz w:val="21"/>
              </w:rPr>
              <w:t>生活饮用水标准检验方法微生物指标（</w:t>
            </w:r>
            <w:r>
              <w:rPr>
                <w:rFonts w:ascii="Times New Roman" w:eastAsia="Times New Roman"/>
                <w:sz w:val="21"/>
              </w:rPr>
              <w:t xml:space="preserve">1.1 </w:t>
            </w:r>
            <w:r>
              <w:rPr>
                <w:sz w:val="21"/>
              </w:rPr>
              <w:t>平皿计数法）</w:t>
            </w:r>
            <w:r>
              <w:rPr>
                <w:rFonts w:ascii="Times New Roman" w:eastAsia="Times New Roman"/>
                <w:sz w:val="21"/>
              </w:rPr>
              <w:t>GB/T 5750.12-2006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566" w:type="dxa"/>
          </w:tcPr>
          <w:p>
            <w:pPr>
              <w:pStyle w:val="14"/>
              <w:spacing w:before="77"/>
              <w:ind w:left="130" w:right="124"/>
              <w:rPr>
                <w:sz w:val="21"/>
              </w:rPr>
            </w:pPr>
            <w:r>
              <w:rPr>
                <w:sz w:val="21"/>
              </w:rPr>
              <w:t>总大肠菌群</w:t>
            </w:r>
          </w:p>
        </w:tc>
        <w:tc>
          <w:tcPr>
            <w:tcW w:w="6956" w:type="dxa"/>
          </w:tcPr>
          <w:p>
            <w:pPr>
              <w:pStyle w:val="14"/>
              <w:spacing w:before="77"/>
              <w:ind w:left="35" w:right="21"/>
              <w:rPr>
                <w:rFonts w:ascii="Times New Roman" w:eastAsia="Times New Roman"/>
                <w:sz w:val="21"/>
              </w:rPr>
            </w:pPr>
            <w:r>
              <w:rPr>
                <w:sz w:val="21"/>
              </w:rPr>
              <w:t>生活饮用水标准检验方法微生物指标（</w:t>
            </w:r>
            <w:r>
              <w:rPr>
                <w:rFonts w:ascii="Times New Roman" w:eastAsia="Times New Roman"/>
                <w:sz w:val="21"/>
              </w:rPr>
              <w:t xml:space="preserve">2.1 </w:t>
            </w:r>
            <w:r>
              <w:rPr>
                <w:sz w:val="21"/>
              </w:rPr>
              <w:t>多管发酵法）</w:t>
            </w:r>
            <w:r>
              <w:rPr>
                <w:rFonts w:ascii="Times New Roman" w:eastAsia="Times New Roman"/>
                <w:sz w:val="21"/>
              </w:rPr>
              <w:t>GB/T 5750.12-2006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566" w:type="dxa"/>
          </w:tcPr>
          <w:p>
            <w:pPr>
              <w:pStyle w:val="14"/>
              <w:spacing w:before="76"/>
              <w:ind w:left="130" w:right="124"/>
              <w:rPr>
                <w:sz w:val="21"/>
              </w:rPr>
            </w:pPr>
            <w:r>
              <w:rPr>
                <w:sz w:val="21"/>
              </w:rPr>
              <w:t>挥发性酚类</w:t>
            </w:r>
          </w:p>
        </w:tc>
        <w:tc>
          <w:tcPr>
            <w:tcW w:w="6956" w:type="dxa"/>
          </w:tcPr>
          <w:p>
            <w:pPr>
              <w:pStyle w:val="14"/>
              <w:spacing w:before="76"/>
              <w:ind w:left="33" w:right="21"/>
              <w:rPr>
                <w:rFonts w:ascii="Times New Roman" w:eastAsia="Times New Roman"/>
                <w:sz w:val="21"/>
              </w:rPr>
            </w:pPr>
            <w:r>
              <w:rPr>
                <w:sz w:val="21"/>
              </w:rPr>
              <w:t xml:space="preserve">水质挥发酚的测定 </w:t>
            </w:r>
            <w:r>
              <w:rPr>
                <w:rFonts w:ascii="Times New Roman" w:eastAsia="Times New Roman"/>
                <w:sz w:val="21"/>
              </w:rPr>
              <w:t>4-</w:t>
            </w:r>
            <w:r>
              <w:rPr>
                <w:sz w:val="21"/>
              </w:rPr>
              <w:t xml:space="preserve">氨基安替比林分光光度法 </w:t>
            </w:r>
            <w:r>
              <w:rPr>
                <w:rFonts w:ascii="Times New Roman" w:eastAsia="Times New Roman"/>
                <w:sz w:val="21"/>
              </w:rPr>
              <w:t>HJ 503-2009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566" w:type="dxa"/>
          </w:tcPr>
          <w:p>
            <w:pPr>
              <w:pStyle w:val="14"/>
              <w:spacing w:before="177"/>
              <w:ind w:left="132" w:right="124"/>
              <w:rPr>
                <w:sz w:val="21"/>
              </w:rPr>
            </w:pPr>
            <w:r>
              <w:rPr>
                <w:sz w:val="21"/>
              </w:rPr>
              <w:t>氰化物</w:t>
            </w:r>
          </w:p>
        </w:tc>
        <w:tc>
          <w:tcPr>
            <w:tcW w:w="6956" w:type="dxa"/>
          </w:tcPr>
          <w:p>
            <w:pPr>
              <w:pStyle w:val="14"/>
              <w:spacing w:before="21"/>
              <w:ind w:left="27" w:right="21"/>
              <w:rPr>
                <w:sz w:val="21"/>
              </w:rPr>
            </w:pPr>
            <w:r>
              <w:rPr>
                <w:sz w:val="21"/>
              </w:rPr>
              <w:t>生活饮用水标准检验方法无机非金属指标（</w:t>
            </w:r>
            <w:r>
              <w:rPr>
                <w:rFonts w:ascii="Times New Roman" w:eastAsia="Times New Roman"/>
                <w:sz w:val="21"/>
              </w:rPr>
              <w:t xml:space="preserve">4.2 </w:t>
            </w:r>
            <w:r>
              <w:rPr>
                <w:sz w:val="21"/>
              </w:rPr>
              <w:t>异烟酸</w:t>
            </w:r>
            <w:r>
              <w:rPr>
                <w:rFonts w:ascii="Times New Roman" w:eastAsia="Times New Roman"/>
                <w:sz w:val="21"/>
              </w:rPr>
              <w:t>-</w:t>
            </w:r>
            <w:r>
              <w:rPr>
                <w:sz w:val="21"/>
              </w:rPr>
              <w:t>巴比妥酸分光光度</w:t>
            </w:r>
          </w:p>
          <w:p>
            <w:pPr>
              <w:pStyle w:val="14"/>
              <w:spacing w:before="43"/>
              <w:ind w:left="31" w:right="21"/>
              <w:rPr>
                <w:rFonts w:ascii="Times New Roman" w:eastAsia="Times New Roman"/>
                <w:sz w:val="21"/>
              </w:rPr>
            </w:pPr>
            <w:r>
              <w:rPr>
                <w:sz w:val="21"/>
              </w:rPr>
              <w:t>法）</w:t>
            </w:r>
            <w:r>
              <w:rPr>
                <w:rFonts w:ascii="Times New Roman" w:eastAsia="Times New Roman"/>
                <w:sz w:val="21"/>
              </w:rPr>
              <w:t>GB/T 5750.5-2006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566" w:type="dxa"/>
          </w:tcPr>
          <w:p>
            <w:pPr>
              <w:pStyle w:val="14"/>
              <w:spacing w:before="78"/>
              <w:ind w:left="6"/>
              <w:rPr>
                <w:sz w:val="21"/>
              </w:rPr>
            </w:pPr>
            <w:r>
              <w:rPr>
                <w:w w:val="99"/>
                <w:sz w:val="21"/>
              </w:rPr>
              <w:t>砷</w:t>
            </w:r>
          </w:p>
        </w:tc>
        <w:tc>
          <w:tcPr>
            <w:tcW w:w="6956" w:type="dxa"/>
          </w:tcPr>
          <w:p>
            <w:pPr>
              <w:pStyle w:val="14"/>
              <w:spacing w:before="78"/>
              <w:ind w:left="33" w:right="21"/>
              <w:rPr>
                <w:rFonts w:ascii="Times New Roman" w:eastAsia="Times New Roman"/>
                <w:sz w:val="21"/>
              </w:rPr>
            </w:pPr>
            <w:r>
              <w:rPr>
                <w:sz w:val="21"/>
              </w:rPr>
              <w:t xml:space="preserve">水质汞、砷、硒、铋和锑的测定原子荧光法 </w:t>
            </w:r>
            <w:r>
              <w:rPr>
                <w:rFonts w:ascii="Times New Roman" w:eastAsia="Times New Roman"/>
                <w:sz w:val="21"/>
              </w:rPr>
              <w:t>HJ 694-2014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566" w:type="dxa"/>
          </w:tcPr>
          <w:p>
            <w:pPr>
              <w:pStyle w:val="14"/>
              <w:spacing w:before="77"/>
              <w:ind w:left="6"/>
              <w:rPr>
                <w:sz w:val="21"/>
              </w:rPr>
            </w:pPr>
            <w:r>
              <w:rPr>
                <w:w w:val="99"/>
                <w:sz w:val="21"/>
              </w:rPr>
              <w:t>汞</w:t>
            </w:r>
          </w:p>
        </w:tc>
        <w:tc>
          <w:tcPr>
            <w:tcW w:w="6956" w:type="dxa"/>
          </w:tcPr>
          <w:p>
            <w:pPr>
              <w:pStyle w:val="14"/>
              <w:spacing w:before="77"/>
              <w:ind w:left="33" w:right="21"/>
              <w:rPr>
                <w:rFonts w:ascii="Times New Roman" w:eastAsia="Times New Roman"/>
                <w:sz w:val="21"/>
              </w:rPr>
            </w:pPr>
            <w:r>
              <w:rPr>
                <w:sz w:val="21"/>
              </w:rPr>
              <w:t xml:space="preserve">水质汞、砷、硒、铋和锑的测定原子荧光法 </w:t>
            </w:r>
            <w:r>
              <w:rPr>
                <w:rFonts w:ascii="Times New Roman" w:eastAsia="Times New Roman"/>
                <w:sz w:val="21"/>
              </w:rPr>
              <w:t>HJ 694-2014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566" w:type="dxa"/>
          </w:tcPr>
          <w:p>
            <w:pPr>
              <w:pStyle w:val="14"/>
              <w:spacing w:before="77"/>
              <w:ind w:left="132" w:right="124"/>
              <w:rPr>
                <w:sz w:val="21"/>
              </w:rPr>
            </w:pPr>
            <w:r>
              <w:rPr>
                <w:sz w:val="21"/>
              </w:rPr>
              <w:t>氟化物</w:t>
            </w:r>
          </w:p>
        </w:tc>
        <w:tc>
          <w:tcPr>
            <w:tcW w:w="6956" w:type="dxa"/>
          </w:tcPr>
          <w:p>
            <w:pPr>
              <w:pStyle w:val="14"/>
              <w:spacing w:before="77"/>
              <w:ind w:left="31" w:right="21"/>
              <w:rPr>
                <w:rFonts w:ascii="Times New Roman" w:eastAsia="Times New Roman"/>
                <w:sz w:val="21"/>
              </w:rPr>
            </w:pPr>
            <w:r>
              <w:rPr>
                <w:sz w:val="21"/>
              </w:rPr>
              <w:t xml:space="preserve">水质氟化物的测定离子选择电极法 </w:t>
            </w:r>
            <w:r>
              <w:rPr>
                <w:rFonts w:ascii="Times New Roman" w:eastAsia="Times New Roman"/>
                <w:sz w:val="21"/>
              </w:rPr>
              <w:t>GB7484-1987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566" w:type="dxa"/>
          </w:tcPr>
          <w:p>
            <w:pPr>
              <w:pStyle w:val="14"/>
              <w:spacing w:before="177"/>
              <w:ind w:left="6"/>
              <w:rPr>
                <w:sz w:val="21"/>
              </w:rPr>
            </w:pPr>
            <w:r>
              <w:rPr>
                <w:w w:val="99"/>
                <w:sz w:val="21"/>
              </w:rPr>
              <w:t>镉</w:t>
            </w:r>
          </w:p>
        </w:tc>
        <w:tc>
          <w:tcPr>
            <w:tcW w:w="6956" w:type="dxa"/>
          </w:tcPr>
          <w:p>
            <w:pPr>
              <w:pStyle w:val="14"/>
              <w:spacing w:before="21"/>
              <w:ind w:left="29" w:right="21"/>
              <w:rPr>
                <w:sz w:val="21"/>
              </w:rPr>
            </w:pPr>
            <w:r>
              <w:rPr>
                <w:sz w:val="21"/>
              </w:rPr>
              <w:t>生活饮用水标准检验方法金属指标（</w:t>
            </w:r>
            <w:r>
              <w:rPr>
                <w:rFonts w:ascii="Times New Roman" w:eastAsia="Times New Roman"/>
                <w:sz w:val="21"/>
              </w:rPr>
              <w:t xml:space="preserve">9.1 </w:t>
            </w:r>
            <w:r>
              <w:rPr>
                <w:sz w:val="21"/>
              </w:rPr>
              <w:t>无火焰原子吸收分光光度法）</w:t>
            </w:r>
          </w:p>
          <w:p>
            <w:pPr>
              <w:pStyle w:val="14"/>
              <w:spacing w:before="57"/>
              <w:ind w:left="33" w:right="21"/>
              <w:rPr>
                <w:rFonts w:ascii="Times New Roman"/>
                <w:sz w:val="21"/>
              </w:rPr>
            </w:pPr>
            <w:r>
              <w:rPr>
                <w:rFonts w:ascii="Times New Roman"/>
                <w:sz w:val="21"/>
              </w:rPr>
              <w:t>GB/T 5750.6-2006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566" w:type="dxa"/>
          </w:tcPr>
          <w:p>
            <w:pPr>
              <w:pStyle w:val="14"/>
              <w:spacing w:before="191"/>
              <w:ind w:left="132" w:right="121"/>
              <w:rPr>
                <w:rFonts w:ascii="Times New Roman"/>
                <w:sz w:val="13"/>
              </w:rPr>
            </w:pPr>
            <w:r>
              <w:rPr>
                <w:rFonts w:ascii="Times New Roman"/>
                <w:position w:val="-6"/>
                <w:sz w:val="21"/>
              </w:rPr>
              <w:t>K</w:t>
            </w:r>
            <w:r>
              <w:rPr>
                <w:rFonts w:ascii="Times New Roman"/>
                <w:sz w:val="13"/>
              </w:rPr>
              <w:t>+</w:t>
            </w:r>
          </w:p>
        </w:tc>
        <w:tc>
          <w:tcPr>
            <w:tcW w:w="6956" w:type="dxa"/>
          </w:tcPr>
          <w:p>
            <w:pPr>
              <w:pStyle w:val="14"/>
              <w:spacing w:before="20" w:line="181" w:lineRule="exact"/>
              <w:ind w:left="34" w:right="21"/>
              <w:rPr>
                <w:sz w:val="21"/>
              </w:rPr>
            </w:pPr>
            <w:r>
              <w:rPr>
                <w:sz w:val="21"/>
              </w:rPr>
              <w:t>水质可溶性阳离子（</w:t>
            </w:r>
            <w:r>
              <w:rPr>
                <w:rFonts w:ascii="Times New Roman" w:eastAsia="Times New Roman"/>
                <w:sz w:val="21"/>
              </w:rPr>
              <w:t>Li</w:t>
            </w:r>
            <w:r>
              <w:rPr>
                <w:rFonts w:ascii="Times New Roman" w:eastAsia="Times New Roman"/>
                <w:position w:val="7"/>
                <w:sz w:val="13"/>
              </w:rPr>
              <w:t>+</w:t>
            </w:r>
            <w:r>
              <w:rPr>
                <w:sz w:val="21"/>
              </w:rPr>
              <w:t>、</w:t>
            </w:r>
            <w:r>
              <w:rPr>
                <w:rFonts w:ascii="Times New Roman" w:eastAsia="Times New Roman"/>
                <w:sz w:val="21"/>
              </w:rPr>
              <w:t>Na</w:t>
            </w:r>
            <w:r>
              <w:rPr>
                <w:rFonts w:ascii="Times New Roman" w:eastAsia="Times New Roman"/>
                <w:position w:val="7"/>
                <w:sz w:val="13"/>
              </w:rPr>
              <w:t>+</w:t>
            </w:r>
            <w:r>
              <w:rPr>
                <w:sz w:val="21"/>
              </w:rPr>
              <w:t>、</w:t>
            </w:r>
            <w:r>
              <w:rPr>
                <w:rFonts w:ascii="Times New Roman" w:eastAsia="Times New Roman"/>
                <w:sz w:val="21"/>
              </w:rPr>
              <w:t xml:space="preserve">NH </w:t>
            </w:r>
            <w:r>
              <w:rPr>
                <w:rFonts w:ascii="Times New Roman" w:eastAsia="Times New Roman"/>
                <w:position w:val="7"/>
                <w:sz w:val="13"/>
              </w:rPr>
              <w:t>+</w:t>
            </w:r>
            <w:r>
              <w:rPr>
                <w:sz w:val="21"/>
              </w:rPr>
              <w:t>、</w:t>
            </w:r>
            <w:r>
              <w:rPr>
                <w:rFonts w:ascii="Times New Roman" w:eastAsia="Times New Roman"/>
                <w:sz w:val="21"/>
              </w:rPr>
              <w:t>K</w:t>
            </w:r>
            <w:r>
              <w:rPr>
                <w:rFonts w:ascii="Times New Roman" w:eastAsia="Times New Roman"/>
                <w:position w:val="7"/>
                <w:sz w:val="13"/>
              </w:rPr>
              <w:t>+</w:t>
            </w:r>
            <w:r>
              <w:rPr>
                <w:sz w:val="21"/>
              </w:rPr>
              <w:t>、</w:t>
            </w:r>
            <w:r>
              <w:rPr>
                <w:rFonts w:ascii="Times New Roman" w:eastAsia="Times New Roman"/>
                <w:sz w:val="21"/>
              </w:rPr>
              <w:t>Ca</w:t>
            </w:r>
            <w:r>
              <w:rPr>
                <w:rFonts w:ascii="Times New Roman" w:eastAsia="Times New Roman"/>
                <w:position w:val="7"/>
                <w:sz w:val="13"/>
              </w:rPr>
              <w:t>2+</w:t>
            </w:r>
            <w:r>
              <w:rPr>
                <w:sz w:val="21"/>
              </w:rPr>
              <w:t>、</w:t>
            </w:r>
            <w:r>
              <w:rPr>
                <w:rFonts w:ascii="Times New Roman" w:eastAsia="Times New Roman"/>
                <w:sz w:val="21"/>
              </w:rPr>
              <w:t>Mg</w:t>
            </w:r>
            <w:r>
              <w:rPr>
                <w:rFonts w:ascii="Times New Roman" w:eastAsia="Times New Roman"/>
                <w:position w:val="7"/>
                <w:sz w:val="13"/>
              </w:rPr>
              <w:t>2+</w:t>
            </w:r>
            <w:r>
              <w:rPr>
                <w:sz w:val="21"/>
              </w:rPr>
              <w:t>）的测定离子色谱</w:t>
            </w:r>
          </w:p>
          <w:p>
            <w:pPr>
              <w:pStyle w:val="14"/>
              <w:spacing w:line="74" w:lineRule="exact"/>
              <w:ind w:right="211"/>
              <w:rPr>
                <w:rFonts w:ascii="Times New Roman"/>
                <w:sz w:val="13"/>
              </w:rPr>
            </w:pPr>
            <w:r>
              <w:rPr>
                <w:rFonts w:ascii="Times New Roman"/>
                <w:w w:val="105"/>
                <w:sz w:val="13"/>
              </w:rPr>
              <w:t>4</w:t>
            </w:r>
          </w:p>
          <w:p>
            <w:pPr>
              <w:pStyle w:val="14"/>
              <w:spacing w:before="58"/>
              <w:ind w:left="31" w:right="21"/>
              <w:rPr>
                <w:rFonts w:ascii="Times New Roman" w:eastAsia="Times New Roman"/>
                <w:sz w:val="21"/>
              </w:rPr>
            </w:pPr>
            <w:r>
              <w:rPr>
                <w:sz w:val="21"/>
              </w:rPr>
              <w:t xml:space="preserve">法 </w:t>
            </w:r>
            <w:r>
              <w:rPr>
                <w:rFonts w:ascii="Times New Roman" w:eastAsia="Times New Roman"/>
                <w:sz w:val="21"/>
              </w:rPr>
              <w:t>HJ812-2016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566" w:type="dxa"/>
          </w:tcPr>
          <w:p>
            <w:pPr>
              <w:pStyle w:val="14"/>
              <w:spacing w:before="190"/>
              <w:ind w:left="132" w:right="121"/>
              <w:rPr>
                <w:rFonts w:ascii="Times New Roman"/>
                <w:sz w:val="13"/>
              </w:rPr>
            </w:pPr>
            <w:r>
              <w:rPr>
                <w:rFonts w:ascii="Times New Roman"/>
                <w:sz w:val="21"/>
              </w:rPr>
              <w:t>Na</w:t>
            </w:r>
            <w:r>
              <w:rPr>
                <w:rFonts w:ascii="Times New Roman"/>
                <w:position w:val="7"/>
                <w:sz w:val="13"/>
              </w:rPr>
              <w:t>+</w:t>
            </w:r>
          </w:p>
        </w:tc>
        <w:tc>
          <w:tcPr>
            <w:tcW w:w="6956" w:type="dxa"/>
          </w:tcPr>
          <w:p>
            <w:pPr>
              <w:pStyle w:val="14"/>
              <w:spacing w:before="20" w:line="181" w:lineRule="exact"/>
              <w:ind w:left="34" w:right="21"/>
              <w:rPr>
                <w:sz w:val="21"/>
              </w:rPr>
            </w:pPr>
            <w:r>
              <w:rPr>
                <w:sz w:val="21"/>
              </w:rPr>
              <w:t>水质可溶性阳离子（</w:t>
            </w:r>
            <w:r>
              <w:rPr>
                <w:rFonts w:ascii="Times New Roman" w:eastAsia="Times New Roman"/>
                <w:sz w:val="21"/>
              </w:rPr>
              <w:t>Li</w:t>
            </w:r>
            <w:r>
              <w:rPr>
                <w:rFonts w:ascii="Times New Roman" w:eastAsia="Times New Roman"/>
                <w:position w:val="7"/>
                <w:sz w:val="13"/>
              </w:rPr>
              <w:t>+</w:t>
            </w:r>
            <w:r>
              <w:rPr>
                <w:sz w:val="21"/>
              </w:rPr>
              <w:t>、</w:t>
            </w:r>
            <w:r>
              <w:rPr>
                <w:rFonts w:ascii="Times New Roman" w:eastAsia="Times New Roman"/>
                <w:sz w:val="21"/>
              </w:rPr>
              <w:t>Na</w:t>
            </w:r>
            <w:r>
              <w:rPr>
                <w:rFonts w:ascii="Times New Roman" w:eastAsia="Times New Roman"/>
                <w:position w:val="7"/>
                <w:sz w:val="13"/>
              </w:rPr>
              <w:t>+</w:t>
            </w:r>
            <w:r>
              <w:rPr>
                <w:sz w:val="21"/>
              </w:rPr>
              <w:t>、</w:t>
            </w:r>
            <w:r>
              <w:rPr>
                <w:rFonts w:ascii="Times New Roman" w:eastAsia="Times New Roman"/>
                <w:sz w:val="21"/>
              </w:rPr>
              <w:t xml:space="preserve">NH </w:t>
            </w:r>
            <w:r>
              <w:rPr>
                <w:rFonts w:ascii="Times New Roman" w:eastAsia="Times New Roman"/>
                <w:position w:val="7"/>
                <w:sz w:val="13"/>
              </w:rPr>
              <w:t>+</w:t>
            </w:r>
            <w:r>
              <w:rPr>
                <w:sz w:val="21"/>
              </w:rPr>
              <w:t>、</w:t>
            </w:r>
            <w:r>
              <w:rPr>
                <w:rFonts w:ascii="Times New Roman" w:eastAsia="Times New Roman"/>
                <w:sz w:val="21"/>
              </w:rPr>
              <w:t>K</w:t>
            </w:r>
            <w:r>
              <w:rPr>
                <w:rFonts w:ascii="Times New Roman" w:eastAsia="Times New Roman"/>
                <w:position w:val="7"/>
                <w:sz w:val="13"/>
              </w:rPr>
              <w:t>+</w:t>
            </w:r>
            <w:r>
              <w:rPr>
                <w:sz w:val="21"/>
              </w:rPr>
              <w:t>、</w:t>
            </w:r>
            <w:r>
              <w:rPr>
                <w:rFonts w:ascii="Times New Roman" w:eastAsia="Times New Roman"/>
                <w:sz w:val="21"/>
              </w:rPr>
              <w:t>Ca</w:t>
            </w:r>
            <w:r>
              <w:rPr>
                <w:rFonts w:ascii="Times New Roman" w:eastAsia="Times New Roman"/>
                <w:position w:val="7"/>
                <w:sz w:val="13"/>
              </w:rPr>
              <w:t>2+</w:t>
            </w:r>
            <w:r>
              <w:rPr>
                <w:sz w:val="21"/>
              </w:rPr>
              <w:t>、</w:t>
            </w:r>
            <w:r>
              <w:rPr>
                <w:rFonts w:ascii="Times New Roman" w:eastAsia="Times New Roman"/>
                <w:sz w:val="21"/>
              </w:rPr>
              <w:t>Mg</w:t>
            </w:r>
            <w:r>
              <w:rPr>
                <w:rFonts w:ascii="Times New Roman" w:eastAsia="Times New Roman"/>
                <w:position w:val="7"/>
                <w:sz w:val="13"/>
              </w:rPr>
              <w:t>2+</w:t>
            </w:r>
            <w:r>
              <w:rPr>
                <w:sz w:val="21"/>
              </w:rPr>
              <w:t>）的测定离子色谱</w:t>
            </w:r>
          </w:p>
          <w:p>
            <w:pPr>
              <w:pStyle w:val="14"/>
              <w:spacing w:line="74" w:lineRule="exact"/>
              <w:ind w:right="211"/>
              <w:rPr>
                <w:rFonts w:ascii="Times New Roman"/>
                <w:sz w:val="13"/>
              </w:rPr>
            </w:pPr>
            <w:r>
              <w:rPr>
                <w:rFonts w:ascii="Times New Roman"/>
                <w:w w:val="105"/>
                <w:sz w:val="13"/>
              </w:rPr>
              <w:t>4</w:t>
            </w:r>
          </w:p>
          <w:p>
            <w:pPr>
              <w:pStyle w:val="14"/>
              <w:spacing w:before="57"/>
              <w:ind w:left="31" w:right="21"/>
              <w:rPr>
                <w:rFonts w:ascii="Times New Roman" w:eastAsia="Times New Roman"/>
                <w:sz w:val="21"/>
              </w:rPr>
            </w:pPr>
            <w:r>
              <w:rPr>
                <w:sz w:val="21"/>
              </w:rPr>
              <w:t xml:space="preserve">法 </w:t>
            </w:r>
            <w:r>
              <w:rPr>
                <w:rFonts w:ascii="Times New Roman" w:eastAsia="Times New Roman"/>
                <w:sz w:val="21"/>
              </w:rPr>
              <w:t>HJ812-2016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566" w:type="dxa"/>
          </w:tcPr>
          <w:p>
            <w:pPr>
              <w:pStyle w:val="14"/>
              <w:spacing w:before="192"/>
              <w:ind w:left="132" w:right="124"/>
              <w:rPr>
                <w:rFonts w:ascii="Times New Roman"/>
                <w:sz w:val="13"/>
              </w:rPr>
            </w:pPr>
            <w:r>
              <w:rPr>
                <w:rFonts w:ascii="Times New Roman"/>
                <w:position w:val="-6"/>
                <w:sz w:val="21"/>
              </w:rPr>
              <w:t>Ca</w:t>
            </w:r>
            <w:r>
              <w:rPr>
                <w:rFonts w:ascii="Times New Roman"/>
                <w:sz w:val="13"/>
              </w:rPr>
              <w:t>2+</w:t>
            </w:r>
          </w:p>
        </w:tc>
        <w:tc>
          <w:tcPr>
            <w:tcW w:w="6956" w:type="dxa"/>
          </w:tcPr>
          <w:p>
            <w:pPr>
              <w:pStyle w:val="14"/>
              <w:spacing w:before="20" w:line="183" w:lineRule="exact"/>
              <w:ind w:left="34" w:right="21"/>
              <w:rPr>
                <w:sz w:val="21"/>
              </w:rPr>
            </w:pPr>
            <w:r>
              <w:rPr>
                <w:sz w:val="21"/>
              </w:rPr>
              <w:t>水质可溶性阳离子（</w:t>
            </w:r>
            <w:r>
              <w:rPr>
                <w:rFonts w:ascii="Times New Roman" w:eastAsia="Times New Roman"/>
                <w:sz w:val="21"/>
              </w:rPr>
              <w:t>Li</w:t>
            </w:r>
            <w:r>
              <w:rPr>
                <w:rFonts w:ascii="Times New Roman" w:eastAsia="Times New Roman"/>
                <w:position w:val="7"/>
                <w:sz w:val="13"/>
              </w:rPr>
              <w:t>+</w:t>
            </w:r>
            <w:r>
              <w:rPr>
                <w:sz w:val="21"/>
              </w:rPr>
              <w:t>、</w:t>
            </w:r>
            <w:r>
              <w:rPr>
                <w:rFonts w:ascii="Times New Roman" w:eastAsia="Times New Roman"/>
                <w:sz w:val="21"/>
              </w:rPr>
              <w:t>Na</w:t>
            </w:r>
            <w:r>
              <w:rPr>
                <w:rFonts w:ascii="Times New Roman" w:eastAsia="Times New Roman"/>
                <w:position w:val="7"/>
                <w:sz w:val="13"/>
              </w:rPr>
              <w:t>+</w:t>
            </w:r>
            <w:r>
              <w:rPr>
                <w:sz w:val="21"/>
              </w:rPr>
              <w:t>、</w:t>
            </w:r>
            <w:r>
              <w:rPr>
                <w:rFonts w:ascii="Times New Roman" w:eastAsia="Times New Roman"/>
                <w:sz w:val="21"/>
              </w:rPr>
              <w:t xml:space="preserve">NH </w:t>
            </w:r>
            <w:r>
              <w:rPr>
                <w:rFonts w:ascii="Times New Roman" w:eastAsia="Times New Roman"/>
                <w:position w:val="7"/>
                <w:sz w:val="13"/>
              </w:rPr>
              <w:t>+</w:t>
            </w:r>
            <w:r>
              <w:rPr>
                <w:sz w:val="21"/>
              </w:rPr>
              <w:t>、</w:t>
            </w:r>
            <w:r>
              <w:rPr>
                <w:rFonts w:ascii="Times New Roman" w:eastAsia="Times New Roman"/>
                <w:sz w:val="21"/>
              </w:rPr>
              <w:t>K</w:t>
            </w:r>
            <w:r>
              <w:rPr>
                <w:rFonts w:ascii="Times New Roman" w:eastAsia="Times New Roman"/>
                <w:position w:val="7"/>
                <w:sz w:val="13"/>
              </w:rPr>
              <w:t>+</w:t>
            </w:r>
            <w:r>
              <w:rPr>
                <w:sz w:val="21"/>
              </w:rPr>
              <w:t>、</w:t>
            </w:r>
            <w:r>
              <w:rPr>
                <w:rFonts w:ascii="Times New Roman" w:eastAsia="Times New Roman"/>
                <w:sz w:val="21"/>
              </w:rPr>
              <w:t>Ca</w:t>
            </w:r>
            <w:r>
              <w:rPr>
                <w:rFonts w:ascii="Times New Roman" w:eastAsia="Times New Roman"/>
                <w:position w:val="7"/>
                <w:sz w:val="13"/>
              </w:rPr>
              <w:t>2+</w:t>
            </w:r>
            <w:r>
              <w:rPr>
                <w:sz w:val="21"/>
              </w:rPr>
              <w:t>、</w:t>
            </w:r>
            <w:r>
              <w:rPr>
                <w:rFonts w:ascii="Times New Roman" w:eastAsia="Times New Roman"/>
                <w:sz w:val="21"/>
              </w:rPr>
              <w:t>Mg</w:t>
            </w:r>
            <w:r>
              <w:rPr>
                <w:rFonts w:ascii="Times New Roman" w:eastAsia="Times New Roman"/>
                <w:position w:val="7"/>
                <w:sz w:val="13"/>
              </w:rPr>
              <w:t>2+</w:t>
            </w:r>
            <w:r>
              <w:rPr>
                <w:sz w:val="21"/>
              </w:rPr>
              <w:t>）的测定离子色谱</w:t>
            </w:r>
          </w:p>
          <w:p>
            <w:pPr>
              <w:pStyle w:val="14"/>
              <w:spacing w:line="74" w:lineRule="exact"/>
              <w:ind w:right="211"/>
              <w:rPr>
                <w:rFonts w:ascii="Times New Roman"/>
                <w:sz w:val="13"/>
              </w:rPr>
            </w:pPr>
            <w:r>
              <w:rPr>
                <w:rFonts w:ascii="Times New Roman"/>
                <w:w w:val="105"/>
                <w:sz w:val="13"/>
              </w:rPr>
              <w:t>4</w:t>
            </w:r>
          </w:p>
          <w:p>
            <w:pPr>
              <w:pStyle w:val="14"/>
              <w:spacing w:before="54"/>
              <w:ind w:left="31" w:right="21"/>
              <w:rPr>
                <w:rFonts w:ascii="Times New Roman" w:eastAsia="Times New Roman"/>
                <w:sz w:val="21"/>
              </w:rPr>
            </w:pPr>
            <w:r>
              <w:rPr>
                <w:sz w:val="21"/>
              </w:rPr>
              <w:t xml:space="preserve">法 </w:t>
            </w:r>
            <w:r>
              <w:rPr>
                <w:rFonts w:ascii="Times New Roman" w:eastAsia="Times New Roman"/>
                <w:sz w:val="21"/>
              </w:rPr>
              <w:t>HJ812-2016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566" w:type="dxa"/>
          </w:tcPr>
          <w:p>
            <w:pPr>
              <w:pStyle w:val="14"/>
              <w:spacing w:before="192"/>
              <w:ind w:left="132" w:right="124"/>
              <w:rPr>
                <w:rFonts w:ascii="Times New Roman"/>
                <w:sz w:val="13"/>
              </w:rPr>
            </w:pPr>
            <w:r>
              <w:rPr>
                <w:rFonts w:ascii="Times New Roman"/>
                <w:position w:val="-6"/>
                <w:sz w:val="21"/>
              </w:rPr>
              <w:t>Mg</w:t>
            </w:r>
            <w:r>
              <w:rPr>
                <w:rFonts w:ascii="Times New Roman"/>
                <w:sz w:val="13"/>
              </w:rPr>
              <w:t>2+</w:t>
            </w:r>
          </w:p>
        </w:tc>
        <w:tc>
          <w:tcPr>
            <w:tcW w:w="6956" w:type="dxa"/>
          </w:tcPr>
          <w:p>
            <w:pPr>
              <w:pStyle w:val="14"/>
              <w:spacing w:before="22" w:line="181" w:lineRule="exact"/>
              <w:ind w:left="34" w:right="21"/>
              <w:rPr>
                <w:sz w:val="21"/>
              </w:rPr>
            </w:pPr>
            <w:r>
              <w:rPr>
                <w:sz w:val="21"/>
              </w:rPr>
              <w:t>水质可溶性阳离子（</w:t>
            </w:r>
            <w:r>
              <w:rPr>
                <w:rFonts w:ascii="Times New Roman" w:eastAsia="Times New Roman"/>
                <w:sz w:val="21"/>
              </w:rPr>
              <w:t>Li</w:t>
            </w:r>
            <w:r>
              <w:rPr>
                <w:rFonts w:ascii="Times New Roman" w:eastAsia="Times New Roman"/>
                <w:position w:val="7"/>
                <w:sz w:val="13"/>
              </w:rPr>
              <w:t>+</w:t>
            </w:r>
            <w:r>
              <w:rPr>
                <w:sz w:val="21"/>
              </w:rPr>
              <w:t>、</w:t>
            </w:r>
            <w:r>
              <w:rPr>
                <w:rFonts w:ascii="Times New Roman" w:eastAsia="Times New Roman"/>
                <w:sz w:val="21"/>
              </w:rPr>
              <w:t>Na</w:t>
            </w:r>
            <w:r>
              <w:rPr>
                <w:rFonts w:ascii="Times New Roman" w:eastAsia="Times New Roman"/>
                <w:position w:val="7"/>
                <w:sz w:val="13"/>
              </w:rPr>
              <w:t>+</w:t>
            </w:r>
            <w:r>
              <w:rPr>
                <w:sz w:val="21"/>
              </w:rPr>
              <w:t>、</w:t>
            </w:r>
            <w:r>
              <w:rPr>
                <w:rFonts w:ascii="Times New Roman" w:eastAsia="Times New Roman"/>
                <w:sz w:val="21"/>
              </w:rPr>
              <w:t xml:space="preserve">NH </w:t>
            </w:r>
            <w:r>
              <w:rPr>
                <w:rFonts w:ascii="Times New Roman" w:eastAsia="Times New Roman"/>
                <w:position w:val="7"/>
                <w:sz w:val="13"/>
              </w:rPr>
              <w:t>+</w:t>
            </w:r>
            <w:r>
              <w:rPr>
                <w:sz w:val="21"/>
              </w:rPr>
              <w:t>、</w:t>
            </w:r>
            <w:r>
              <w:rPr>
                <w:rFonts w:ascii="Times New Roman" w:eastAsia="Times New Roman"/>
                <w:sz w:val="21"/>
              </w:rPr>
              <w:t>K</w:t>
            </w:r>
            <w:r>
              <w:rPr>
                <w:rFonts w:ascii="Times New Roman" w:eastAsia="Times New Roman"/>
                <w:position w:val="7"/>
                <w:sz w:val="13"/>
              </w:rPr>
              <w:t>+</w:t>
            </w:r>
            <w:r>
              <w:rPr>
                <w:sz w:val="21"/>
              </w:rPr>
              <w:t>、</w:t>
            </w:r>
            <w:r>
              <w:rPr>
                <w:rFonts w:ascii="Times New Roman" w:eastAsia="Times New Roman"/>
                <w:sz w:val="21"/>
              </w:rPr>
              <w:t>Ca</w:t>
            </w:r>
            <w:r>
              <w:rPr>
                <w:rFonts w:ascii="Times New Roman" w:eastAsia="Times New Roman"/>
                <w:position w:val="7"/>
                <w:sz w:val="13"/>
              </w:rPr>
              <w:t>2+</w:t>
            </w:r>
            <w:r>
              <w:rPr>
                <w:sz w:val="21"/>
              </w:rPr>
              <w:t>、</w:t>
            </w:r>
            <w:r>
              <w:rPr>
                <w:rFonts w:ascii="Times New Roman" w:eastAsia="Times New Roman"/>
                <w:sz w:val="21"/>
              </w:rPr>
              <w:t>Mg</w:t>
            </w:r>
            <w:r>
              <w:rPr>
                <w:rFonts w:ascii="Times New Roman" w:eastAsia="Times New Roman"/>
                <w:position w:val="7"/>
                <w:sz w:val="13"/>
              </w:rPr>
              <w:t>2+</w:t>
            </w:r>
            <w:r>
              <w:rPr>
                <w:sz w:val="21"/>
              </w:rPr>
              <w:t>）的测定离子色谱</w:t>
            </w:r>
          </w:p>
          <w:p>
            <w:pPr>
              <w:pStyle w:val="14"/>
              <w:spacing w:line="74" w:lineRule="exact"/>
              <w:ind w:right="211"/>
              <w:rPr>
                <w:rFonts w:ascii="Times New Roman"/>
                <w:sz w:val="13"/>
              </w:rPr>
            </w:pPr>
            <w:r>
              <w:rPr>
                <w:rFonts w:ascii="Times New Roman"/>
                <w:w w:val="105"/>
                <w:sz w:val="13"/>
              </w:rPr>
              <w:t>4</w:t>
            </w:r>
          </w:p>
          <w:p>
            <w:pPr>
              <w:pStyle w:val="14"/>
              <w:spacing w:before="57"/>
              <w:ind w:left="31" w:right="21"/>
              <w:rPr>
                <w:rFonts w:ascii="Times New Roman" w:eastAsia="Times New Roman"/>
                <w:sz w:val="21"/>
              </w:rPr>
            </w:pPr>
            <w:r>
              <w:rPr>
                <w:sz w:val="21"/>
              </w:rPr>
              <w:t xml:space="preserve">法 </w:t>
            </w:r>
            <w:r>
              <w:rPr>
                <w:rFonts w:ascii="Times New Roman" w:eastAsia="Times New Roman"/>
                <w:sz w:val="21"/>
              </w:rPr>
              <w:t>HJ812-2016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566" w:type="dxa"/>
          </w:tcPr>
          <w:p>
            <w:pPr>
              <w:pStyle w:val="14"/>
              <w:spacing w:before="192" w:line="166" w:lineRule="exact"/>
              <w:ind w:left="132" w:right="122"/>
              <w:rPr>
                <w:rFonts w:ascii="Times New Roman"/>
                <w:sz w:val="13"/>
              </w:rPr>
            </w:pPr>
            <w:r>
              <w:rPr>
                <w:rFonts w:ascii="Times New Roman"/>
                <w:position w:val="-6"/>
                <w:sz w:val="21"/>
              </w:rPr>
              <w:t xml:space="preserve">CO </w:t>
            </w:r>
            <w:r>
              <w:rPr>
                <w:rFonts w:ascii="Times New Roman"/>
                <w:sz w:val="13"/>
              </w:rPr>
              <w:t>2-</w:t>
            </w:r>
          </w:p>
          <w:p>
            <w:pPr>
              <w:pStyle w:val="14"/>
              <w:spacing w:line="74" w:lineRule="exact"/>
              <w:ind w:left="187"/>
              <w:rPr>
                <w:rFonts w:ascii="Times New Roman"/>
                <w:sz w:val="13"/>
              </w:rPr>
            </w:pPr>
            <w:r>
              <w:rPr>
                <w:rFonts w:ascii="Times New Roman"/>
                <w:w w:val="105"/>
                <w:sz w:val="13"/>
              </w:rPr>
              <w:t>3</w:t>
            </w:r>
          </w:p>
        </w:tc>
        <w:tc>
          <w:tcPr>
            <w:tcW w:w="6956" w:type="dxa"/>
          </w:tcPr>
          <w:p>
            <w:pPr>
              <w:pStyle w:val="14"/>
              <w:spacing w:before="21"/>
              <w:ind w:left="32" w:right="21"/>
              <w:rPr>
                <w:sz w:val="21"/>
              </w:rPr>
            </w:pPr>
            <w:r>
              <w:rPr>
                <w:sz w:val="21"/>
              </w:rPr>
              <w:t>酸度酸碱指示剂滴定法 《水和废水监测分析方法》</w:t>
            </w:r>
            <w:r>
              <w:rPr>
                <w:rFonts w:ascii="Times New Roman" w:eastAsia="Times New Roman"/>
                <w:sz w:val="21"/>
              </w:rPr>
              <w:t>(</w:t>
            </w:r>
            <w:r>
              <w:rPr>
                <w:sz w:val="21"/>
              </w:rPr>
              <w:t>第四版增补版</w:t>
            </w:r>
            <w:r>
              <w:rPr>
                <w:rFonts w:ascii="Times New Roman" w:eastAsia="Times New Roman"/>
                <w:sz w:val="21"/>
              </w:rPr>
              <w:t>)</w:t>
            </w:r>
            <w:r>
              <w:rPr>
                <w:sz w:val="21"/>
              </w:rPr>
              <w:t>国家环</w:t>
            </w:r>
          </w:p>
          <w:p>
            <w:pPr>
              <w:pStyle w:val="14"/>
              <w:spacing w:before="43"/>
              <w:ind w:left="33" w:right="21"/>
              <w:rPr>
                <w:rFonts w:ascii="Times New Roman" w:eastAsia="Times New Roman"/>
                <w:sz w:val="21"/>
              </w:rPr>
            </w:pPr>
            <w:r>
              <w:rPr>
                <w:sz w:val="21"/>
              </w:rPr>
              <w:t>境保护总局</w:t>
            </w:r>
            <w:r>
              <w:rPr>
                <w:rFonts w:ascii="Times New Roman" w:eastAsia="Times New Roman"/>
                <w:sz w:val="21"/>
              </w:rPr>
              <w:t xml:space="preserve">(2002 </w:t>
            </w:r>
            <w:r>
              <w:rPr>
                <w:sz w:val="21"/>
              </w:rPr>
              <w:t>年</w:t>
            </w:r>
            <w:r>
              <w:rPr>
                <w:rFonts w:ascii="Times New Roman" w:eastAsia="Times New Roman"/>
                <w:sz w:val="21"/>
              </w:rPr>
              <w:t>) P116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566" w:type="dxa"/>
          </w:tcPr>
          <w:p>
            <w:pPr>
              <w:pStyle w:val="14"/>
              <w:spacing w:before="191" w:line="166" w:lineRule="exact"/>
              <w:ind w:left="503"/>
              <w:jc w:val="left"/>
              <w:rPr>
                <w:rFonts w:ascii="Times New Roman"/>
                <w:sz w:val="13"/>
              </w:rPr>
            </w:pPr>
            <w:r>
              <w:rPr>
                <w:rFonts w:ascii="Times New Roman"/>
                <w:sz w:val="21"/>
              </w:rPr>
              <w:t xml:space="preserve">HCO </w:t>
            </w:r>
            <w:r>
              <w:rPr>
                <w:rFonts w:ascii="Times New Roman"/>
                <w:position w:val="7"/>
                <w:sz w:val="13"/>
              </w:rPr>
              <w:t>-</w:t>
            </w:r>
          </w:p>
          <w:p>
            <w:pPr>
              <w:pStyle w:val="14"/>
              <w:spacing w:line="74" w:lineRule="exact"/>
              <w:ind w:left="408"/>
              <w:rPr>
                <w:rFonts w:ascii="Times New Roman"/>
                <w:sz w:val="13"/>
              </w:rPr>
            </w:pPr>
            <w:r>
              <w:rPr>
                <w:rFonts w:ascii="Times New Roman"/>
                <w:w w:val="105"/>
                <w:sz w:val="13"/>
              </w:rPr>
              <w:t>3</w:t>
            </w:r>
          </w:p>
        </w:tc>
        <w:tc>
          <w:tcPr>
            <w:tcW w:w="6956" w:type="dxa"/>
          </w:tcPr>
          <w:p>
            <w:pPr>
              <w:pStyle w:val="14"/>
              <w:spacing w:before="21"/>
              <w:ind w:left="32" w:right="21"/>
              <w:rPr>
                <w:sz w:val="21"/>
              </w:rPr>
            </w:pPr>
            <w:r>
              <w:rPr>
                <w:sz w:val="21"/>
              </w:rPr>
              <w:t>酸度酸碱指示剂滴定法 《水和废水监测分析方法》</w:t>
            </w:r>
            <w:r>
              <w:rPr>
                <w:rFonts w:ascii="Times New Roman" w:eastAsia="Times New Roman"/>
                <w:sz w:val="21"/>
              </w:rPr>
              <w:t>(</w:t>
            </w:r>
            <w:r>
              <w:rPr>
                <w:sz w:val="21"/>
              </w:rPr>
              <w:t>第四版增补版</w:t>
            </w:r>
            <w:r>
              <w:rPr>
                <w:rFonts w:ascii="Times New Roman" w:eastAsia="Times New Roman"/>
                <w:sz w:val="21"/>
              </w:rPr>
              <w:t>)</w:t>
            </w:r>
            <w:r>
              <w:rPr>
                <w:sz w:val="21"/>
              </w:rPr>
              <w:t>国家环</w:t>
            </w:r>
          </w:p>
          <w:p>
            <w:pPr>
              <w:pStyle w:val="14"/>
              <w:spacing w:before="43"/>
              <w:ind w:left="31" w:right="21"/>
              <w:rPr>
                <w:rFonts w:ascii="Times New Roman" w:eastAsia="Times New Roman"/>
                <w:sz w:val="21"/>
              </w:rPr>
            </w:pPr>
            <w:r>
              <w:rPr>
                <w:sz w:val="21"/>
              </w:rPr>
              <w:t>境保护总局</w:t>
            </w:r>
            <w:r>
              <w:rPr>
                <w:rFonts w:ascii="Times New Roman" w:eastAsia="Times New Roman"/>
                <w:sz w:val="21"/>
              </w:rPr>
              <w:t xml:space="preserve">(2002 </w:t>
            </w:r>
            <w:r>
              <w:rPr>
                <w:sz w:val="21"/>
              </w:rPr>
              <w:t>年</w:t>
            </w:r>
            <w:r>
              <w:rPr>
                <w:rFonts w:ascii="Times New Roman" w:eastAsia="Times New Roman"/>
                <w:sz w:val="21"/>
              </w:rPr>
              <w:t>) P121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66" w:type="dxa"/>
          </w:tcPr>
          <w:p>
            <w:pPr>
              <w:pStyle w:val="14"/>
              <w:spacing w:before="90"/>
              <w:ind w:left="132" w:right="124"/>
              <w:rPr>
                <w:rFonts w:ascii="Times New Roman"/>
                <w:sz w:val="13"/>
              </w:rPr>
            </w:pPr>
            <w:r>
              <w:rPr>
                <w:rFonts w:ascii="Times New Roman"/>
                <w:sz w:val="21"/>
              </w:rPr>
              <w:t>Cl</w:t>
            </w:r>
            <w:r>
              <w:rPr>
                <w:rFonts w:ascii="Times New Roman"/>
                <w:position w:val="7"/>
                <w:sz w:val="13"/>
              </w:rPr>
              <w:t>-</w:t>
            </w:r>
          </w:p>
        </w:tc>
        <w:tc>
          <w:tcPr>
            <w:tcW w:w="6956" w:type="dxa"/>
          </w:tcPr>
          <w:p>
            <w:pPr>
              <w:pStyle w:val="14"/>
              <w:tabs>
                <w:tab w:val="left" w:pos="3416"/>
                <w:tab w:val="left" w:pos="4032"/>
                <w:tab w:val="left" w:pos="4613"/>
                <w:tab w:val="left" w:pos="5261"/>
                <w:tab w:val="left" w:pos="5912"/>
              </w:tabs>
              <w:spacing w:before="97" w:line="64" w:lineRule="exact"/>
              <w:ind w:left="2960"/>
              <w:jc w:val="left"/>
              <w:rPr>
                <w:rFonts w:ascii="Times New Roman"/>
                <w:sz w:val="13"/>
              </w:rPr>
            </w:pPr>
            <w:r>
              <w:rPr>
                <w:rFonts w:ascii="Times New Roman"/>
                <w:w w:val="105"/>
                <w:sz w:val="13"/>
              </w:rPr>
              <w:t>-</w:t>
            </w:r>
            <w:r>
              <w:rPr>
                <w:rFonts w:ascii="Times New Roman"/>
                <w:w w:val="105"/>
                <w:sz w:val="13"/>
              </w:rPr>
              <w:tab/>
            </w:r>
            <w:r>
              <w:rPr>
                <w:rFonts w:ascii="Times New Roman"/>
                <w:w w:val="105"/>
                <w:sz w:val="13"/>
              </w:rPr>
              <w:t>-</w:t>
            </w:r>
            <w:r>
              <w:rPr>
                <w:rFonts w:ascii="Times New Roman"/>
                <w:w w:val="105"/>
                <w:sz w:val="13"/>
              </w:rPr>
              <w:tab/>
            </w:r>
            <w:r>
              <w:rPr>
                <w:rFonts w:ascii="Times New Roman"/>
                <w:w w:val="105"/>
                <w:sz w:val="13"/>
              </w:rPr>
              <w:t>-</w:t>
            </w:r>
            <w:r>
              <w:rPr>
                <w:rFonts w:ascii="Times New Roman"/>
                <w:w w:val="105"/>
                <w:sz w:val="13"/>
              </w:rPr>
              <w:tab/>
            </w:r>
            <w:r>
              <w:rPr>
                <w:rFonts w:ascii="Times New Roman"/>
                <w:w w:val="105"/>
                <w:sz w:val="13"/>
              </w:rPr>
              <w:t>3-</w:t>
            </w:r>
            <w:r>
              <w:rPr>
                <w:rFonts w:ascii="Times New Roman"/>
                <w:w w:val="105"/>
                <w:sz w:val="13"/>
              </w:rPr>
              <w:tab/>
            </w:r>
            <w:r>
              <w:rPr>
                <w:rFonts w:ascii="Times New Roman"/>
                <w:w w:val="105"/>
                <w:sz w:val="13"/>
              </w:rPr>
              <w:t>2-</w:t>
            </w:r>
            <w:r>
              <w:rPr>
                <w:rFonts w:ascii="Times New Roman"/>
                <w:w w:val="105"/>
                <w:sz w:val="13"/>
              </w:rPr>
              <w:tab/>
            </w:r>
            <w:r>
              <w:rPr>
                <w:rFonts w:ascii="Times New Roman"/>
                <w:w w:val="105"/>
                <w:sz w:val="13"/>
              </w:rPr>
              <w:t>2-</w:t>
            </w:r>
          </w:p>
          <w:p>
            <w:pPr>
              <w:pStyle w:val="14"/>
              <w:spacing w:line="190" w:lineRule="exact"/>
              <w:ind w:left="116"/>
              <w:jc w:val="left"/>
              <w:rPr>
                <w:sz w:val="21"/>
              </w:rPr>
            </w:pPr>
            <w:r>
              <w:rPr>
                <w:position w:val="2"/>
                <w:sz w:val="21"/>
              </w:rPr>
              <w:t>水质无机阴离子（</w:t>
            </w:r>
            <w:r>
              <w:rPr>
                <w:rFonts w:ascii="Times New Roman" w:eastAsia="Times New Roman"/>
                <w:position w:val="2"/>
                <w:sz w:val="21"/>
              </w:rPr>
              <w:t>F</w:t>
            </w:r>
            <w:r>
              <w:rPr>
                <w:rFonts w:ascii="Times New Roman" w:eastAsia="Times New Roman"/>
                <w:position w:val="2"/>
                <w:sz w:val="21"/>
                <w:vertAlign w:val="superscript"/>
              </w:rPr>
              <w:t>-</w:t>
            </w:r>
            <w:r>
              <w:rPr>
                <w:position w:val="2"/>
                <w:sz w:val="21"/>
                <w:vertAlign w:val="baseline"/>
              </w:rPr>
              <w:t>、</w:t>
            </w:r>
            <w:r>
              <w:rPr>
                <w:rFonts w:ascii="Times New Roman" w:eastAsia="Times New Roman"/>
                <w:position w:val="2"/>
                <w:sz w:val="21"/>
                <w:vertAlign w:val="baseline"/>
              </w:rPr>
              <w:t>Cl</w:t>
            </w:r>
            <w:r>
              <w:rPr>
                <w:rFonts w:ascii="Times New Roman" w:eastAsia="Times New Roman"/>
                <w:position w:val="2"/>
                <w:sz w:val="21"/>
                <w:vertAlign w:val="superscript"/>
              </w:rPr>
              <w:t>-</w:t>
            </w:r>
            <w:r>
              <w:rPr>
                <w:position w:val="2"/>
                <w:sz w:val="21"/>
                <w:vertAlign w:val="baseline"/>
              </w:rPr>
              <w:t>、</w:t>
            </w:r>
            <w:r>
              <w:rPr>
                <w:rFonts w:ascii="Times New Roman" w:eastAsia="Times New Roman"/>
                <w:position w:val="2"/>
                <w:sz w:val="21"/>
                <w:vertAlign w:val="baseline"/>
              </w:rPr>
              <w:t>NO</w:t>
            </w:r>
            <w:r>
              <w:rPr>
                <w:rFonts w:ascii="Times New Roman" w:eastAsia="Times New Roman"/>
                <w:position w:val="2"/>
                <w:sz w:val="21"/>
                <w:vertAlign w:val="subscript"/>
              </w:rPr>
              <w:t>2</w:t>
            </w:r>
            <w:r>
              <w:rPr>
                <w:rFonts w:ascii="Times New Roman" w:eastAsia="Times New Roman"/>
                <w:position w:val="2"/>
                <w:sz w:val="21"/>
                <w:vertAlign w:val="baseline"/>
              </w:rPr>
              <w:t xml:space="preserve"> </w:t>
            </w:r>
            <w:r>
              <w:rPr>
                <w:position w:val="2"/>
                <w:sz w:val="21"/>
                <w:vertAlign w:val="baseline"/>
              </w:rPr>
              <w:t>、</w:t>
            </w:r>
            <w:r>
              <w:rPr>
                <w:rFonts w:ascii="Times New Roman" w:eastAsia="Times New Roman"/>
                <w:position w:val="2"/>
                <w:sz w:val="21"/>
                <w:vertAlign w:val="baseline"/>
              </w:rPr>
              <w:t xml:space="preserve">Br </w:t>
            </w:r>
            <w:r>
              <w:rPr>
                <w:position w:val="2"/>
                <w:sz w:val="21"/>
                <w:vertAlign w:val="baseline"/>
              </w:rPr>
              <w:t>、</w:t>
            </w:r>
            <w:r>
              <w:rPr>
                <w:rFonts w:ascii="Times New Roman" w:eastAsia="Times New Roman"/>
                <w:position w:val="2"/>
                <w:sz w:val="21"/>
                <w:vertAlign w:val="baseline"/>
              </w:rPr>
              <w:t>NO</w:t>
            </w:r>
            <w:r>
              <w:rPr>
                <w:rFonts w:ascii="Times New Roman" w:eastAsia="Times New Roman"/>
                <w:position w:val="2"/>
                <w:sz w:val="21"/>
                <w:vertAlign w:val="subscript"/>
              </w:rPr>
              <w:t>3</w:t>
            </w:r>
            <w:r>
              <w:rPr>
                <w:rFonts w:ascii="Times New Roman" w:eastAsia="Times New Roman"/>
                <w:position w:val="2"/>
                <w:sz w:val="21"/>
                <w:vertAlign w:val="baseline"/>
              </w:rPr>
              <w:t xml:space="preserve"> </w:t>
            </w:r>
            <w:r>
              <w:rPr>
                <w:position w:val="2"/>
                <w:sz w:val="21"/>
                <w:vertAlign w:val="baseline"/>
              </w:rPr>
              <w:t>、</w:t>
            </w:r>
            <w:r>
              <w:rPr>
                <w:rFonts w:ascii="Times New Roman" w:eastAsia="Times New Roman"/>
                <w:position w:val="2"/>
                <w:sz w:val="21"/>
                <w:vertAlign w:val="baseline"/>
              </w:rPr>
              <w:t>PO</w:t>
            </w:r>
            <w:r>
              <w:rPr>
                <w:rFonts w:ascii="Times New Roman" w:eastAsia="Times New Roman"/>
                <w:position w:val="2"/>
                <w:sz w:val="21"/>
                <w:vertAlign w:val="subscript"/>
              </w:rPr>
              <w:t>4</w:t>
            </w:r>
            <w:r>
              <w:rPr>
                <w:rFonts w:ascii="Times New Roman" w:eastAsia="Times New Roman"/>
                <w:position w:val="2"/>
                <w:sz w:val="21"/>
                <w:vertAlign w:val="baseline"/>
              </w:rPr>
              <w:t xml:space="preserve"> </w:t>
            </w:r>
            <w:r>
              <w:rPr>
                <w:position w:val="2"/>
                <w:sz w:val="21"/>
                <w:vertAlign w:val="baseline"/>
              </w:rPr>
              <w:t>、</w:t>
            </w:r>
            <w:r>
              <w:rPr>
                <w:rFonts w:ascii="Times New Roman" w:eastAsia="Times New Roman"/>
                <w:position w:val="2"/>
                <w:sz w:val="21"/>
                <w:vertAlign w:val="baseline"/>
              </w:rPr>
              <w:t>SO</w:t>
            </w:r>
            <w:r>
              <w:rPr>
                <w:rFonts w:ascii="Times New Roman" w:eastAsia="Times New Roman"/>
                <w:position w:val="2"/>
                <w:sz w:val="21"/>
                <w:vertAlign w:val="subscript"/>
              </w:rPr>
              <w:t>3</w:t>
            </w:r>
            <w:r>
              <w:rPr>
                <w:rFonts w:ascii="Times New Roman" w:eastAsia="Times New Roman"/>
                <w:position w:val="2"/>
                <w:sz w:val="21"/>
                <w:vertAlign w:val="baseline"/>
              </w:rPr>
              <w:t xml:space="preserve"> </w:t>
            </w:r>
            <w:r>
              <w:rPr>
                <w:position w:val="2"/>
                <w:sz w:val="21"/>
                <w:vertAlign w:val="baseline"/>
              </w:rPr>
              <w:t>、</w:t>
            </w:r>
            <w:r>
              <w:rPr>
                <w:rFonts w:ascii="Times New Roman" w:eastAsia="Times New Roman"/>
                <w:position w:val="2"/>
                <w:sz w:val="21"/>
                <w:vertAlign w:val="baseline"/>
              </w:rPr>
              <w:t>SO</w:t>
            </w:r>
            <w:r>
              <w:rPr>
                <w:rFonts w:ascii="Times New Roman" w:eastAsia="Times New Roman"/>
                <w:position w:val="2"/>
                <w:sz w:val="21"/>
                <w:vertAlign w:val="subscript"/>
              </w:rPr>
              <w:t>4</w:t>
            </w:r>
            <w:r>
              <w:rPr>
                <w:rFonts w:ascii="Times New Roman" w:eastAsia="Times New Roman"/>
                <w:position w:val="2"/>
                <w:sz w:val="21"/>
                <w:vertAlign w:val="baseline"/>
              </w:rPr>
              <w:t xml:space="preserve"> </w:t>
            </w:r>
            <w:r>
              <w:rPr>
                <w:position w:val="2"/>
                <w:sz w:val="21"/>
                <w:vertAlign w:val="baseline"/>
              </w:rPr>
              <w:t>）的测定</w:t>
            </w:r>
          </w:p>
        </w:tc>
      </w:tr>
    </w:tbl>
    <w:p>
      <w:pPr>
        <w:spacing w:after="0" w:line="190" w:lineRule="exact"/>
        <w:jc w:val="left"/>
        <w:rPr>
          <w:sz w:val="21"/>
        </w:rPr>
        <w:sectPr>
          <w:pgSz w:w="11910" w:h="16840"/>
          <w:pgMar w:top="1420" w:right="780" w:bottom="1100" w:left="1200" w:header="0" w:footer="917" w:gutter="0"/>
        </w:sectPr>
      </w:pPr>
    </w:p>
    <w:tbl>
      <w:tblPr>
        <w:tblStyle w:val="10"/>
        <w:tblW w:w="0" w:type="auto"/>
        <w:tblInd w:w="4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6"/>
        <w:gridCol w:w="69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566" w:type="dxa"/>
          </w:tcPr>
          <w:p>
            <w:pPr>
              <w:pStyle w:val="14"/>
              <w:spacing w:before="76"/>
              <w:ind w:left="362"/>
              <w:jc w:val="left"/>
              <w:rPr>
                <w:sz w:val="21"/>
              </w:rPr>
            </w:pPr>
            <w:r>
              <w:rPr>
                <w:sz w:val="21"/>
              </w:rPr>
              <w:t>检测项目</w:t>
            </w:r>
          </w:p>
        </w:tc>
        <w:tc>
          <w:tcPr>
            <w:tcW w:w="6956" w:type="dxa"/>
          </w:tcPr>
          <w:p>
            <w:pPr>
              <w:pStyle w:val="14"/>
              <w:spacing w:before="76"/>
              <w:ind w:left="29" w:right="21"/>
              <w:rPr>
                <w:sz w:val="21"/>
              </w:rPr>
            </w:pPr>
            <w:r>
              <w:rPr>
                <w:sz w:val="21"/>
              </w:rPr>
              <w:t>检测依据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566" w:type="dxa"/>
          </w:tcPr>
          <w:p>
            <w:pPr>
              <w:pStyle w:val="14"/>
              <w:jc w:val="left"/>
              <w:rPr>
                <w:rFonts w:ascii="Times New Roman"/>
                <w:sz w:val="22"/>
              </w:rPr>
            </w:pPr>
          </w:p>
        </w:tc>
        <w:tc>
          <w:tcPr>
            <w:tcW w:w="6956" w:type="dxa"/>
          </w:tcPr>
          <w:p>
            <w:pPr>
              <w:pStyle w:val="14"/>
              <w:spacing w:before="20"/>
              <w:ind w:left="31" w:right="21"/>
              <w:rPr>
                <w:rFonts w:ascii="Times New Roman" w:eastAsia="Times New Roman"/>
                <w:sz w:val="21"/>
              </w:rPr>
            </w:pPr>
            <w:r>
              <w:rPr>
                <w:sz w:val="21"/>
              </w:rPr>
              <w:t xml:space="preserve">离子色谱法 </w:t>
            </w:r>
            <w:r>
              <w:rPr>
                <w:rFonts w:ascii="Times New Roman" w:eastAsia="Times New Roman"/>
                <w:sz w:val="21"/>
              </w:rPr>
              <w:t>HJ 84-2016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566" w:type="dxa"/>
          </w:tcPr>
          <w:p>
            <w:pPr>
              <w:pStyle w:val="14"/>
              <w:spacing w:before="192" w:line="166" w:lineRule="exact"/>
              <w:ind w:left="132" w:right="119"/>
              <w:rPr>
                <w:rFonts w:ascii="Times New Roman"/>
                <w:sz w:val="13"/>
              </w:rPr>
            </w:pPr>
            <w:r>
              <w:rPr>
                <w:rFonts w:ascii="Times New Roman"/>
                <w:position w:val="-6"/>
                <w:sz w:val="21"/>
              </w:rPr>
              <w:t xml:space="preserve">SO </w:t>
            </w:r>
            <w:r>
              <w:rPr>
                <w:rFonts w:ascii="Times New Roman"/>
                <w:sz w:val="13"/>
              </w:rPr>
              <w:t>2-</w:t>
            </w:r>
          </w:p>
          <w:p>
            <w:pPr>
              <w:pStyle w:val="14"/>
              <w:spacing w:line="74" w:lineRule="exact"/>
              <w:ind w:left="168"/>
              <w:rPr>
                <w:rFonts w:ascii="Times New Roman"/>
                <w:sz w:val="13"/>
              </w:rPr>
            </w:pPr>
            <w:r>
              <w:rPr>
                <w:rFonts w:ascii="Times New Roman"/>
                <w:w w:val="105"/>
                <w:sz w:val="13"/>
              </w:rPr>
              <w:t>4</w:t>
            </w:r>
          </w:p>
        </w:tc>
        <w:tc>
          <w:tcPr>
            <w:tcW w:w="6956" w:type="dxa"/>
          </w:tcPr>
          <w:p>
            <w:pPr>
              <w:pStyle w:val="14"/>
              <w:spacing w:before="20" w:line="183" w:lineRule="exact"/>
              <w:ind w:left="35" w:right="10"/>
              <w:rPr>
                <w:sz w:val="21"/>
              </w:rPr>
            </w:pPr>
            <w:r>
              <w:rPr>
                <w:sz w:val="21"/>
              </w:rPr>
              <w:t>水质无机阴离子（</w:t>
            </w:r>
            <w:r>
              <w:rPr>
                <w:rFonts w:ascii="Times New Roman" w:eastAsia="Times New Roman"/>
                <w:sz w:val="21"/>
              </w:rPr>
              <w:t>F</w:t>
            </w:r>
            <w:r>
              <w:rPr>
                <w:rFonts w:ascii="Times New Roman" w:eastAsia="Times New Roman"/>
                <w:position w:val="7"/>
                <w:sz w:val="13"/>
              </w:rPr>
              <w:t>-</w:t>
            </w:r>
            <w:r>
              <w:rPr>
                <w:sz w:val="21"/>
              </w:rPr>
              <w:t>、</w:t>
            </w:r>
            <w:r>
              <w:rPr>
                <w:rFonts w:ascii="Times New Roman" w:eastAsia="Times New Roman"/>
                <w:sz w:val="21"/>
              </w:rPr>
              <w:t>Cl</w:t>
            </w:r>
            <w:r>
              <w:rPr>
                <w:rFonts w:ascii="Times New Roman" w:eastAsia="Times New Roman"/>
                <w:position w:val="7"/>
                <w:sz w:val="13"/>
              </w:rPr>
              <w:t>-</w:t>
            </w:r>
            <w:r>
              <w:rPr>
                <w:sz w:val="21"/>
              </w:rPr>
              <w:t>、</w:t>
            </w:r>
            <w:r>
              <w:rPr>
                <w:rFonts w:ascii="Times New Roman" w:eastAsia="Times New Roman"/>
                <w:sz w:val="21"/>
              </w:rPr>
              <w:t xml:space="preserve">NO </w:t>
            </w:r>
            <w:r>
              <w:rPr>
                <w:rFonts w:ascii="Times New Roman" w:eastAsia="Times New Roman"/>
                <w:position w:val="7"/>
                <w:sz w:val="13"/>
              </w:rPr>
              <w:t>-</w:t>
            </w:r>
            <w:r>
              <w:rPr>
                <w:sz w:val="21"/>
              </w:rPr>
              <w:t>、</w:t>
            </w:r>
            <w:r>
              <w:rPr>
                <w:rFonts w:ascii="Times New Roman" w:eastAsia="Times New Roman"/>
                <w:sz w:val="21"/>
              </w:rPr>
              <w:t>Br</w:t>
            </w:r>
            <w:r>
              <w:rPr>
                <w:rFonts w:ascii="Times New Roman" w:eastAsia="Times New Roman"/>
                <w:position w:val="7"/>
                <w:sz w:val="13"/>
              </w:rPr>
              <w:t>-</w:t>
            </w:r>
            <w:r>
              <w:rPr>
                <w:sz w:val="21"/>
              </w:rPr>
              <w:t>、</w:t>
            </w:r>
            <w:r>
              <w:rPr>
                <w:rFonts w:ascii="Times New Roman" w:eastAsia="Times New Roman"/>
                <w:sz w:val="21"/>
              </w:rPr>
              <w:t xml:space="preserve">NO </w:t>
            </w:r>
            <w:r>
              <w:rPr>
                <w:rFonts w:ascii="Times New Roman" w:eastAsia="Times New Roman"/>
                <w:position w:val="7"/>
                <w:sz w:val="13"/>
              </w:rPr>
              <w:t>-</w:t>
            </w:r>
            <w:r>
              <w:rPr>
                <w:sz w:val="21"/>
              </w:rPr>
              <w:t>、</w:t>
            </w:r>
            <w:r>
              <w:rPr>
                <w:rFonts w:ascii="Times New Roman" w:eastAsia="Times New Roman"/>
                <w:sz w:val="21"/>
              </w:rPr>
              <w:t xml:space="preserve">PO </w:t>
            </w:r>
            <w:r>
              <w:rPr>
                <w:rFonts w:ascii="Times New Roman" w:eastAsia="Times New Roman"/>
                <w:position w:val="7"/>
                <w:sz w:val="13"/>
              </w:rPr>
              <w:t>3-</w:t>
            </w:r>
            <w:r>
              <w:rPr>
                <w:sz w:val="21"/>
              </w:rPr>
              <w:t>、</w:t>
            </w:r>
            <w:r>
              <w:rPr>
                <w:rFonts w:ascii="Times New Roman" w:eastAsia="Times New Roman"/>
                <w:sz w:val="21"/>
              </w:rPr>
              <w:t xml:space="preserve">SO </w:t>
            </w:r>
            <w:r>
              <w:rPr>
                <w:rFonts w:ascii="Times New Roman" w:eastAsia="Times New Roman"/>
                <w:position w:val="7"/>
                <w:sz w:val="13"/>
              </w:rPr>
              <w:t>2-</w:t>
            </w:r>
            <w:r>
              <w:rPr>
                <w:sz w:val="21"/>
              </w:rPr>
              <w:t>、</w:t>
            </w:r>
            <w:r>
              <w:rPr>
                <w:rFonts w:ascii="Times New Roman" w:eastAsia="Times New Roman"/>
                <w:sz w:val="21"/>
              </w:rPr>
              <w:t xml:space="preserve">SO </w:t>
            </w:r>
            <w:r>
              <w:rPr>
                <w:rFonts w:ascii="Times New Roman" w:eastAsia="Times New Roman"/>
                <w:position w:val="7"/>
                <w:sz w:val="13"/>
              </w:rPr>
              <w:t>2-</w:t>
            </w:r>
            <w:r>
              <w:rPr>
                <w:sz w:val="21"/>
              </w:rPr>
              <w:t>）的测定</w:t>
            </w:r>
          </w:p>
          <w:p>
            <w:pPr>
              <w:pStyle w:val="14"/>
              <w:tabs>
                <w:tab w:val="left" w:pos="3965"/>
                <w:tab w:val="left" w:pos="4546"/>
                <w:tab w:val="left" w:pos="5194"/>
                <w:tab w:val="left" w:pos="5844"/>
              </w:tabs>
              <w:spacing w:line="74" w:lineRule="exact"/>
              <w:ind w:left="2892"/>
              <w:jc w:val="left"/>
              <w:rPr>
                <w:rFonts w:ascii="Times New Roman"/>
                <w:sz w:val="13"/>
              </w:rPr>
            </w:pPr>
            <w:r>
              <w:rPr>
                <w:rFonts w:ascii="Times New Roman"/>
                <w:w w:val="105"/>
                <w:sz w:val="13"/>
              </w:rPr>
              <w:t>2</w:t>
            </w:r>
            <w:r>
              <w:rPr>
                <w:rFonts w:ascii="Times New Roman"/>
                <w:w w:val="105"/>
                <w:sz w:val="13"/>
              </w:rPr>
              <w:tab/>
            </w:r>
            <w:r>
              <w:rPr>
                <w:rFonts w:ascii="Times New Roman"/>
                <w:w w:val="105"/>
                <w:sz w:val="13"/>
              </w:rPr>
              <w:t>3</w:t>
            </w:r>
            <w:r>
              <w:rPr>
                <w:rFonts w:ascii="Times New Roman"/>
                <w:w w:val="105"/>
                <w:sz w:val="13"/>
              </w:rPr>
              <w:tab/>
            </w:r>
            <w:r>
              <w:rPr>
                <w:rFonts w:ascii="Times New Roman"/>
                <w:w w:val="105"/>
                <w:sz w:val="13"/>
              </w:rPr>
              <w:t>4</w:t>
            </w:r>
            <w:r>
              <w:rPr>
                <w:rFonts w:ascii="Times New Roman"/>
                <w:w w:val="105"/>
                <w:sz w:val="13"/>
              </w:rPr>
              <w:tab/>
            </w:r>
            <w:r>
              <w:rPr>
                <w:rFonts w:ascii="Times New Roman"/>
                <w:w w:val="105"/>
                <w:sz w:val="13"/>
              </w:rPr>
              <w:t>3</w:t>
            </w:r>
            <w:r>
              <w:rPr>
                <w:rFonts w:ascii="Times New Roman"/>
                <w:w w:val="105"/>
                <w:sz w:val="13"/>
              </w:rPr>
              <w:tab/>
            </w:r>
            <w:r>
              <w:rPr>
                <w:rFonts w:ascii="Times New Roman"/>
                <w:w w:val="105"/>
                <w:sz w:val="13"/>
              </w:rPr>
              <w:t>4</w:t>
            </w:r>
          </w:p>
          <w:p>
            <w:pPr>
              <w:pStyle w:val="14"/>
              <w:spacing w:before="54"/>
              <w:ind w:left="31" w:right="21"/>
              <w:rPr>
                <w:rFonts w:ascii="Times New Roman" w:eastAsia="Times New Roman"/>
                <w:sz w:val="21"/>
              </w:rPr>
            </w:pPr>
            <w:r>
              <w:rPr>
                <w:sz w:val="21"/>
              </w:rPr>
              <w:t xml:space="preserve">离子色谱法 </w:t>
            </w:r>
            <w:r>
              <w:rPr>
                <w:rFonts w:ascii="Times New Roman" w:eastAsia="Times New Roman"/>
                <w:sz w:val="21"/>
              </w:rPr>
              <w:t>HJ 84-2016</w:t>
            </w:r>
          </w:p>
        </w:tc>
      </w:tr>
    </w:tbl>
    <w:p>
      <w:pPr>
        <w:pStyle w:val="13"/>
        <w:numPr>
          <w:ilvl w:val="2"/>
          <w:numId w:val="55"/>
        </w:numPr>
        <w:tabs>
          <w:tab w:val="left" w:pos="1253"/>
        </w:tabs>
        <w:spacing w:before="2" w:after="0" w:line="240" w:lineRule="auto"/>
        <w:ind w:left="1252" w:right="0" w:hanging="702"/>
        <w:jc w:val="left"/>
        <w:rPr>
          <w:b/>
          <w:sz w:val="28"/>
        </w:rPr>
      </w:pPr>
      <w:bookmarkStart w:id="236" w:name="6.4.2 地下水环境质量现状评价"/>
      <w:bookmarkEnd w:id="236"/>
      <w:bookmarkStart w:id="237" w:name="6.4.2 地下水环境质量现状评价"/>
      <w:bookmarkEnd w:id="237"/>
      <w:r>
        <w:rPr>
          <w:b/>
          <w:sz w:val="28"/>
        </w:rPr>
        <w:t>地下水环境质量现状评价</w:t>
      </w:r>
    </w:p>
    <w:p>
      <w:pPr>
        <w:spacing w:before="186"/>
        <w:ind w:left="551" w:right="0" w:firstLine="0"/>
        <w:jc w:val="left"/>
        <w:rPr>
          <w:b/>
          <w:sz w:val="24"/>
        </w:rPr>
      </w:pPr>
      <w:r>
        <w:rPr>
          <w:rFonts w:ascii="Times New Roman" w:eastAsia="Times New Roman"/>
          <w:b/>
          <w:sz w:val="24"/>
        </w:rPr>
        <w:t xml:space="preserve">6.4.2.1 </w:t>
      </w:r>
      <w:r>
        <w:rPr>
          <w:b/>
          <w:sz w:val="24"/>
        </w:rPr>
        <w:t>地下水化学类型评价方法</w:t>
      </w:r>
    </w:p>
    <w:p>
      <w:pPr>
        <w:pStyle w:val="6"/>
        <w:spacing w:before="158"/>
        <w:ind w:left="1031"/>
      </w:pPr>
      <w:r>
        <w:rPr>
          <w:spacing w:val="-3"/>
        </w:rPr>
        <w:t xml:space="preserve">地下水化学类型的舒卡列夫分类是根据地下水中 </w:t>
      </w:r>
      <w:r>
        <w:rPr>
          <w:rFonts w:ascii="Times New Roman" w:eastAsia="Times New Roman"/>
        </w:rPr>
        <w:t>6</w:t>
      </w:r>
      <w:r>
        <w:rPr>
          <w:rFonts w:ascii="Times New Roman" w:eastAsia="Times New Roman"/>
          <w:spacing w:val="4"/>
        </w:rPr>
        <w:t xml:space="preserve"> </w:t>
      </w:r>
      <w:r>
        <w:t>种主要离子（</w:t>
      </w:r>
      <w:r>
        <w:rPr>
          <w:rFonts w:ascii="Times New Roman" w:eastAsia="Times New Roman"/>
        </w:rPr>
        <w:t>Na</w:t>
      </w:r>
      <w:r>
        <w:rPr>
          <w:rFonts w:ascii="Times New Roman" w:eastAsia="Times New Roman"/>
          <w:position w:val="8"/>
          <w:sz w:val="15"/>
        </w:rPr>
        <w:t>+</w:t>
      </w:r>
      <w:r>
        <w:t>、</w:t>
      </w:r>
      <w:r>
        <w:rPr>
          <w:rFonts w:ascii="Times New Roman" w:eastAsia="Times New Roman"/>
        </w:rPr>
        <w:t>Ca</w:t>
      </w:r>
      <w:r>
        <w:rPr>
          <w:rFonts w:ascii="Times New Roman" w:eastAsia="Times New Roman"/>
          <w:position w:val="8"/>
          <w:sz w:val="15"/>
        </w:rPr>
        <w:t>2+</w:t>
      </w:r>
      <w:r>
        <w:t>、</w:t>
      </w:r>
    </w:p>
    <w:p>
      <w:pPr>
        <w:pStyle w:val="6"/>
        <w:spacing w:before="160" w:line="364" w:lineRule="auto"/>
        <w:ind w:left="1031" w:right="969" w:hanging="480"/>
      </w:pPr>
      <w:r>
        <mc:AlternateContent>
          <mc:Choice Requires="wps">
            <w:drawing>
              <wp:anchor distT="0" distB="0" distL="114300" distR="114300" simplePos="0" relativeHeight="214188032" behindDoc="1" locked="0" layoutInCell="1" allowOverlap="1">
                <wp:simplePos x="0" y="0"/>
                <wp:positionH relativeFrom="page">
                  <wp:posOffset>1903095</wp:posOffset>
                </wp:positionH>
                <wp:positionV relativeFrom="paragraph">
                  <wp:posOffset>175895</wp:posOffset>
                </wp:positionV>
                <wp:extent cx="478155" cy="109855"/>
                <wp:effectExtent l="0" t="0" r="0" b="0"/>
                <wp:wrapNone/>
                <wp:docPr id="34" name="文本框 121"/>
                <wp:cNvGraphicFramePr/>
                <a:graphic xmlns:a="http://schemas.openxmlformats.org/drawingml/2006/main">
                  <a:graphicData uri="http://schemas.microsoft.com/office/word/2010/wordprocessingShape">
                    <wps:wsp>
                      <wps:cNvSpPr txBox="1"/>
                      <wps:spPr>
                        <a:xfrm>
                          <a:off x="0" y="0"/>
                          <a:ext cx="478155" cy="109855"/>
                        </a:xfrm>
                        <a:prstGeom prst="rect">
                          <a:avLst/>
                        </a:prstGeom>
                        <a:noFill/>
                        <a:ln>
                          <a:noFill/>
                        </a:ln>
                      </wps:spPr>
                      <wps:txbx>
                        <w:txbxContent>
                          <w:p>
                            <w:pPr>
                              <w:tabs>
                                <w:tab w:val="left" w:pos="674"/>
                              </w:tabs>
                              <w:spacing w:before="0" w:line="171" w:lineRule="exact"/>
                              <w:ind w:left="0" w:right="0" w:firstLine="0"/>
                              <w:jc w:val="left"/>
                              <w:rPr>
                                <w:rFonts w:ascii="Times New Roman"/>
                                <w:sz w:val="15"/>
                              </w:rPr>
                            </w:pPr>
                            <w:r>
                              <w:rPr>
                                <w:rFonts w:ascii="Times New Roman"/>
                                <w:w w:val="105"/>
                                <w:sz w:val="15"/>
                              </w:rPr>
                              <w:t>3</w:t>
                            </w:r>
                            <w:r>
                              <w:rPr>
                                <w:rFonts w:ascii="Times New Roman"/>
                                <w:w w:val="105"/>
                                <w:sz w:val="15"/>
                              </w:rPr>
                              <w:tab/>
                            </w:r>
                            <w:r>
                              <w:rPr>
                                <w:rFonts w:ascii="Times New Roman"/>
                                <w:spacing w:val="-20"/>
                                <w:w w:val="105"/>
                                <w:sz w:val="15"/>
                              </w:rPr>
                              <w:t>4</w:t>
                            </w:r>
                          </w:p>
                        </w:txbxContent>
                      </wps:txbx>
                      <wps:bodyPr lIns="0" tIns="0" rIns="0" bIns="0" upright="1"/>
                    </wps:wsp>
                  </a:graphicData>
                </a:graphic>
              </wp:anchor>
            </w:drawing>
          </mc:Choice>
          <mc:Fallback>
            <w:pict>
              <v:shape id="文本框 121" o:spid="_x0000_s1026" o:spt="202" type="#_x0000_t202" style="position:absolute;left:0pt;margin-left:149.85pt;margin-top:13.85pt;height:8.65pt;width:37.65pt;mso-position-horizontal-relative:page;z-index:-289128448;mso-width-relative:page;mso-height-relative:page;" filled="f" stroked="f" coordsize="21600,21600" o:gfxdata="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KH1+/NgAAAAJAQAADwAAAAAA&#10;AAABACAAAAAiAAAAZHJzL2Rvd25yZXYueG1sUEsBAhQAFAAAAAgAh07iQLLtgu6hAQAAJgMAAA4A&#10;AAAAAAAAAQAgAAAAJwEAAGRycy9lMm9Eb2MueG1sUEsFBgAAAAAGAAYAWQEAADoFAAAAAA==&#10;">
                <v:fill on="f" focussize="0,0"/>
                <v:stroke on="f"/>
                <v:imagedata o:title=""/>
                <o:lock v:ext="edit" aspectratio="f"/>
                <v:textbox inset="0mm,0mm,0mm,0mm">
                  <w:txbxContent>
                    <w:p>
                      <w:pPr>
                        <w:tabs>
                          <w:tab w:val="left" w:pos="674"/>
                        </w:tabs>
                        <w:spacing w:before="0" w:line="171" w:lineRule="exact"/>
                        <w:ind w:left="0" w:right="0" w:firstLine="0"/>
                        <w:jc w:val="left"/>
                        <w:rPr>
                          <w:rFonts w:ascii="Times New Roman"/>
                          <w:sz w:val="15"/>
                        </w:rPr>
                      </w:pPr>
                      <w:r>
                        <w:rPr>
                          <w:rFonts w:ascii="Times New Roman"/>
                          <w:w w:val="105"/>
                          <w:sz w:val="15"/>
                        </w:rPr>
                        <w:t>3</w:t>
                      </w:r>
                      <w:r>
                        <w:rPr>
                          <w:rFonts w:ascii="Times New Roman"/>
                          <w:w w:val="105"/>
                          <w:sz w:val="15"/>
                        </w:rPr>
                        <w:tab/>
                      </w:r>
                      <w:r>
                        <w:rPr>
                          <w:rFonts w:ascii="Times New Roman"/>
                          <w:spacing w:val="-20"/>
                          <w:w w:val="105"/>
                          <w:sz w:val="15"/>
                        </w:rPr>
                        <w:t>4</w:t>
                      </w:r>
                    </w:p>
                  </w:txbxContent>
                </v:textbox>
              </v:shape>
            </w:pict>
          </mc:Fallback>
        </mc:AlternateContent>
      </w:r>
      <w:r>
        <w:rPr>
          <w:rFonts w:ascii="Times New Roman" w:eastAsia="Times New Roman"/>
        </w:rPr>
        <w:t>Mg</w:t>
      </w:r>
      <w:r>
        <w:rPr>
          <w:rFonts w:ascii="Times New Roman" w:eastAsia="Times New Roman"/>
          <w:position w:val="8"/>
          <w:sz w:val="15"/>
        </w:rPr>
        <w:t>2+</w:t>
      </w:r>
      <w:r>
        <w:t>、</w:t>
      </w:r>
      <w:r>
        <w:rPr>
          <w:rFonts w:ascii="Times New Roman" w:eastAsia="Times New Roman"/>
        </w:rPr>
        <w:t>HCO</w:t>
      </w:r>
      <w:r>
        <w:rPr>
          <w:rFonts w:ascii="Times New Roman" w:eastAsia="Times New Roman"/>
          <w:spacing w:val="36"/>
        </w:rPr>
        <w:t xml:space="preserve"> </w:t>
      </w:r>
      <w:r>
        <w:rPr>
          <w:rFonts w:ascii="Times New Roman" w:eastAsia="Times New Roman"/>
          <w:position w:val="8"/>
          <w:sz w:val="15"/>
        </w:rPr>
        <w:t>-</w:t>
      </w:r>
      <w:r>
        <w:t>、</w:t>
      </w:r>
      <w:r>
        <w:rPr>
          <w:rFonts w:ascii="Times New Roman" w:eastAsia="Times New Roman"/>
        </w:rPr>
        <w:t>SO</w:t>
      </w:r>
      <w:r>
        <w:rPr>
          <w:rFonts w:ascii="Times New Roman" w:eastAsia="Times New Roman"/>
          <w:spacing w:val="35"/>
        </w:rPr>
        <w:t xml:space="preserve"> </w:t>
      </w:r>
      <w:r>
        <w:rPr>
          <w:rFonts w:ascii="Times New Roman" w:eastAsia="Times New Roman"/>
          <w:position w:val="8"/>
          <w:sz w:val="15"/>
        </w:rPr>
        <w:t>2-</w:t>
      </w:r>
      <w:r>
        <w:t>、</w:t>
      </w:r>
      <w:r>
        <w:rPr>
          <w:rFonts w:ascii="Times New Roman" w:eastAsia="Times New Roman"/>
        </w:rPr>
        <w:t>Cl</w:t>
      </w:r>
      <w:r>
        <w:rPr>
          <w:rFonts w:ascii="Times New Roman" w:eastAsia="Times New Roman"/>
          <w:position w:val="8"/>
          <w:sz w:val="15"/>
        </w:rPr>
        <w:t>-</w:t>
      </w:r>
      <w:r>
        <w:t>，</w:t>
      </w:r>
      <w:r>
        <w:rPr>
          <w:rFonts w:ascii="Times New Roman" w:eastAsia="Times New Roman"/>
        </w:rPr>
        <w:t>K</w:t>
      </w:r>
      <w:r>
        <w:rPr>
          <w:rFonts w:ascii="Times New Roman" w:eastAsia="Times New Roman"/>
          <w:position w:val="8"/>
          <w:sz w:val="15"/>
        </w:rPr>
        <w:t>+</w:t>
      </w:r>
      <w:r>
        <w:rPr>
          <w:spacing w:val="-11"/>
        </w:rPr>
        <w:t xml:space="preserve">合并于 </w:t>
      </w:r>
      <w:r>
        <w:rPr>
          <w:rFonts w:ascii="Times New Roman" w:eastAsia="Times New Roman"/>
        </w:rPr>
        <w:t>Na</w:t>
      </w:r>
      <w:r>
        <w:rPr>
          <w:rFonts w:ascii="Times New Roman" w:eastAsia="Times New Roman"/>
          <w:position w:val="8"/>
          <w:sz w:val="15"/>
        </w:rPr>
        <w:t>+</w:t>
      </w:r>
      <w:r>
        <w:t xml:space="preserve">）及矿化度划分的。具体步骤如下： </w:t>
      </w:r>
      <w:r>
        <w:rPr>
          <w:spacing w:val="-12"/>
        </w:rPr>
        <w:t xml:space="preserve">第一步，根据水质分析结果，将 </w:t>
      </w:r>
      <w:r>
        <w:rPr>
          <w:rFonts w:ascii="Times New Roman" w:eastAsia="Times New Roman"/>
        </w:rPr>
        <w:t xml:space="preserve">6 </w:t>
      </w:r>
      <w:r>
        <w:rPr>
          <w:spacing w:val="-6"/>
        </w:rPr>
        <w:t xml:space="preserve">种主要离子中含量大于 </w:t>
      </w:r>
      <w:r>
        <w:rPr>
          <w:rFonts w:ascii="Times New Roman" w:eastAsia="Times New Roman"/>
        </w:rPr>
        <w:t>25</w:t>
      </w:r>
      <w:r>
        <w:rPr>
          <w:spacing w:val="-3"/>
        </w:rPr>
        <w:t>％毫克当量的阴</w:t>
      </w:r>
    </w:p>
    <w:p>
      <w:pPr>
        <w:pStyle w:val="6"/>
        <w:spacing w:line="306" w:lineRule="exact"/>
        <w:ind w:left="551"/>
      </w:pPr>
      <w:r>
        <w:t xml:space="preserve">离子和阳离子进行组合，可组合出 </w:t>
      </w:r>
      <w:r>
        <w:rPr>
          <w:rFonts w:ascii="Times New Roman" w:eastAsia="Times New Roman"/>
        </w:rPr>
        <w:t xml:space="preserve">49 </w:t>
      </w:r>
      <w:r>
        <w:t>型水，并将每型用一个阿拉伯数字作为代号。</w:t>
      </w:r>
    </w:p>
    <w:p>
      <w:pPr>
        <w:pStyle w:val="5"/>
        <w:spacing w:before="161" w:after="2"/>
        <w:ind w:left="106" w:right="1"/>
        <w:jc w:val="center"/>
      </w:pPr>
      <w:r>
        <w:t xml:space="preserve">表 </w:t>
      </w:r>
      <w:r>
        <w:rPr>
          <w:rFonts w:ascii="Times New Roman" w:eastAsia="Times New Roman"/>
        </w:rPr>
        <w:t xml:space="preserve">6.4-3  </w:t>
      </w:r>
      <w:r>
        <w:t>舒卡列夫分类图表</w:t>
      </w:r>
    </w:p>
    <w:tbl>
      <w:tblPr>
        <w:tblStyle w:val="10"/>
        <w:tblW w:w="0" w:type="auto"/>
        <w:tblInd w:w="2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68"/>
        <w:gridCol w:w="834"/>
        <w:gridCol w:w="1134"/>
        <w:gridCol w:w="1635"/>
        <w:gridCol w:w="1355"/>
        <w:gridCol w:w="979"/>
        <w:gridCol w:w="1134"/>
        <w:gridCol w:w="6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268" w:type="dxa"/>
          </w:tcPr>
          <w:p>
            <w:pPr>
              <w:pStyle w:val="14"/>
              <w:spacing w:before="1"/>
              <w:ind w:left="18" w:right="-44"/>
              <w:rPr>
                <w:sz w:val="21"/>
              </w:rPr>
            </w:pPr>
            <w:r>
              <w:rPr>
                <w:spacing w:val="-20"/>
                <w:sz w:val="21"/>
              </w:rPr>
              <w:t>超过</w:t>
            </w:r>
            <w:r>
              <w:rPr>
                <w:rFonts w:ascii="Times New Roman" w:eastAsia="Times New Roman"/>
                <w:spacing w:val="-26"/>
                <w:sz w:val="21"/>
              </w:rPr>
              <w:t>25</w:t>
            </w:r>
            <w:r>
              <w:rPr>
                <w:spacing w:val="-27"/>
                <w:sz w:val="21"/>
              </w:rPr>
              <w:t>％毫克当</w:t>
            </w:r>
          </w:p>
          <w:p>
            <w:pPr>
              <w:pStyle w:val="14"/>
              <w:spacing w:before="2" w:line="253" w:lineRule="exact"/>
              <w:ind w:left="123" w:right="75"/>
              <w:rPr>
                <w:sz w:val="21"/>
              </w:rPr>
            </w:pPr>
            <w:r>
              <w:rPr>
                <w:sz w:val="21"/>
              </w:rPr>
              <w:t>量的离子</w:t>
            </w:r>
          </w:p>
        </w:tc>
        <w:tc>
          <w:tcPr>
            <w:tcW w:w="834" w:type="dxa"/>
          </w:tcPr>
          <w:p>
            <w:pPr>
              <w:pStyle w:val="14"/>
              <w:spacing w:before="148"/>
              <w:ind w:left="141" w:right="130"/>
              <w:rPr>
                <w:rFonts w:ascii="Times New Roman"/>
                <w:sz w:val="21"/>
              </w:rPr>
            </w:pPr>
            <w:r>
              <w:rPr>
                <w:rFonts w:ascii="Times New Roman"/>
                <w:position w:val="2"/>
                <w:sz w:val="21"/>
              </w:rPr>
              <w:t>HCO</w:t>
            </w:r>
            <w:r>
              <w:rPr>
                <w:rFonts w:ascii="Times New Roman"/>
                <w:position w:val="2"/>
                <w:sz w:val="21"/>
                <w:vertAlign w:val="subscript"/>
              </w:rPr>
              <w:t>3</w:t>
            </w:r>
          </w:p>
        </w:tc>
        <w:tc>
          <w:tcPr>
            <w:tcW w:w="1134" w:type="dxa"/>
          </w:tcPr>
          <w:p>
            <w:pPr>
              <w:pStyle w:val="14"/>
              <w:spacing w:before="148"/>
              <w:ind w:left="64" w:right="53"/>
              <w:rPr>
                <w:rFonts w:ascii="Times New Roman"/>
                <w:sz w:val="21"/>
              </w:rPr>
            </w:pPr>
            <w:r>
              <w:rPr>
                <w:rFonts w:ascii="Times New Roman"/>
                <w:position w:val="2"/>
                <w:sz w:val="21"/>
              </w:rPr>
              <w:t>HCO</w:t>
            </w:r>
            <w:r>
              <w:rPr>
                <w:rFonts w:ascii="Times New Roman"/>
                <w:position w:val="2"/>
                <w:sz w:val="21"/>
                <w:vertAlign w:val="subscript"/>
              </w:rPr>
              <w:t>3</w:t>
            </w:r>
            <w:r>
              <w:rPr>
                <w:rFonts w:ascii="Times New Roman"/>
                <w:position w:val="2"/>
                <w:sz w:val="21"/>
                <w:vertAlign w:val="baseline"/>
              </w:rPr>
              <w:t>+SO</w:t>
            </w:r>
            <w:r>
              <w:rPr>
                <w:rFonts w:ascii="Times New Roman"/>
                <w:position w:val="2"/>
                <w:sz w:val="21"/>
                <w:vertAlign w:val="subscript"/>
              </w:rPr>
              <w:t>4</w:t>
            </w:r>
          </w:p>
        </w:tc>
        <w:tc>
          <w:tcPr>
            <w:tcW w:w="1635" w:type="dxa"/>
          </w:tcPr>
          <w:p>
            <w:pPr>
              <w:pStyle w:val="14"/>
              <w:spacing w:before="148"/>
              <w:ind w:left="156" w:right="145"/>
              <w:rPr>
                <w:rFonts w:ascii="Times New Roman"/>
                <w:sz w:val="21"/>
              </w:rPr>
            </w:pPr>
            <w:r>
              <w:rPr>
                <w:rFonts w:ascii="Times New Roman"/>
                <w:position w:val="2"/>
                <w:sz w:val="21"/>
              </w:rPr>
              <w:t>HCO</w:t>
            </w:r>
            <w:r>
              <w:rPr>
                <w:rFonts w:ascii="Times New Roman"/>
                <w:position w:val="2"/>
                <w:sz w:val="21"/>
                <w:vertAlign w:val="subscript"/>
              </w:rPr>
              <w:t>3</w:t>
            </w:r>
            <w:r>
              <w:rPr>
                <w:rFonts w:ascii="Times New Roman"/>
                <w:position w:val="2"/>
                <w:sz w:val="21"/>
                <w:vertAlign w:val="baseline"/>
              </w:rPr>
              <w:t>+SO</w:t>
            </w:r>
            <w:r>
              <w:rPr>
                <w:rFonts w:ascii="Times New Roman"/>
                <w:position w:val="2"/>
                <w:sz w:val="21"/>
                <w:vertAlign w:val="subscript"/>
              </w:rPr>
              <w:t>4</w:t>
            </w:r>
            <w:r>
              <w:rPr>
                <w:rFonts w:ascii="Times New Roman"/>
                <w:position w:val="2"/>
                <w:sz w:val="21"/>
                <w:vertAlign w:val="baseline"/>
              </w:rPr>
              <w:t>+Cl</w:t>
            </w:r>
          </w:p>
        </w:tc>
        <w:tc>
          <w:tcPr>
            <w:tcW w:w="1355" w:type="dxa"/>
          </w:tcPr>
          <w:p>
            <w:pPr>
              <w:pStyle w:val="14"/>
              <w:spacing w:before="148"/>
              <w:ind w:left="242" w:right="233"/>
              <w:rPr>
                <w:rFonts w:ascii="Times New Roman"/>
                <w:sz w:val="21"/>
              </w:rPr>
            </w:pPr>
            <w:r>
              <w:rPr>
                <w:rFonts w:ascii="Times New Roman"/>
                <w:position w:val="2"/>
                <w:sz w:val="21"/>
              </w:rPr>
              <w:t>HCO</w:t>
            </w:r>
            <w:r>
              <w:rPr>
                <w:rFonts w:ascii="Times New Roman"/>
                <w:position w:val="2"/>
                <w:sz w:val="21"/>
                <w:vertAlign w:val="subscript"/>
              </w:rPr>
              <w:t>3</w:t>
            </w:r>
            <w:r>
              <w:rPr>
                <w:rFonts w:ascii="Times New Roman"/>
                <w:position w:val="2"/>
                <w:sz w:val="21"/>
                <w:vertAlign w:val="baseline"/>
              </w:rPr>
              <w:t>+Cl</w:t>
            </w:r>
          </w:p>
        </w:tc>
        <w:tc>
          <w:tcPr>
            <w:tcW w:w="979" w:type="dxa"/>
          </w:tcPr>
          <w:p>
            <w:pPr>
              <w:pStyle w:val="14"/>
              <w:spacing w:before="148"/>
              <w:ind w:left="154" w:right="143"/>
              <w:rPr>
                <w:rFonts w:ascii="Times New Roman"/>
                <w:sz w:val="21"/>
              </w:rPr>
            </w:pPr>
            <w:r>
              <w:rPr>
                <w:rFonts w:ascii="Times New Roman"/>
                <w:position w:val="2"/>
                <w:sz w:val="21"/>
              </w:rPr>
              <w:t>SO</w:t>
            </w:r>
            <w:r>
              <w:rPr>
                <w:rFonts w:ascii="Times New Roman"/>
                <w:position w:val="2"/>
                <w:sz w:val="21"/>
                <w:vertAlign w:val="subscript"/>
              </w:rPr>
              <w:t>4</w:t>
            </w:r>
          </w:p>
        </w:tc>
        <w:tc>
          <w:tcPr>
            <w:tcW w:w="1134" w:type="dxa"/>
          </w:tcPr>
          <w:p>
            <w:pPr>
              <w:pStyle w:val="14"/>
              <w:spacing w:before="148"/>
              <w:ind w:left="62" w:right="53"/>
              <w:rPr>
                <w:rFonts w:ascii="Times New Roman"/>
                <w:sz w:val="21"/>
              </w:rPr>
            </w:pPr>
            <w:r>
              <w:rPr>
                <w:rFonts w:ascii="Times New Roman"/>
                <w:position w:val="2"/>
                <w:sz w:val="21"/>
              </w:rPr>
              <w:t>SO</w:t>
            </w:r>
            <w:r>
              <w:rPr>
                <w:rFonts w:ascii="Times New Roman"/>
                <w:position w:val="2"/>
                <w:sz w:val="21"/>
                <w:vertAlign w:val="subscript"/>
              </w:rPr>
              <w:t>4</w:t>
            </w:r>
            <w:r>
              <w:rPr>
                <w:rFonts w:ascii="Times New Roman"/>
                <w:position w:val="2"/>
                <w:sz w:val="21"/>
                <w:vertAlign w:val="baseline"/>
              </w:rPr>
              <w:t>+Cl</w:t>
            </w:r>
          </w:p>
        </w:tc>
        <w:tc>
          <w:tcPr>
            <w:tcW w:w="681" w:type="dxa"/>
          </w:tcPr>
          <w:p>
            <w:pPr>
              <w:pStyle w:val="14"/>
              <w:spacing w:before="151"/>
              <w:ind w:left="212" w:right="206"/>
              <w:rPr>
                <w:rFonts w:ascii="Times New Roman"/>
                <w:sz w:val="21"/>
              </w:rPr>
            </w:pPr>
            <w:r>
              <w:rPr>
                <w:rFonts w:ascii="Times New Roman"/>
                <w:sz w:val="21"/>
              </w:rPr>
              <w:t>Cl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1268" w:type="dxa"/>
          </w:tcPr>
          <w:p>
            <w:pPr>
              <w:pStyle w:val="14"/>
              <w:spacing w:line="221" w:lineRule="exact"/>
              <w:ind w:left="18" w:right="9"/>
              <w:rPr>
                <w:rFonts w:ascii="Times New Roman"/>
                <w:sz w:val="21"/>
              </w:rPr>
            </w:pPr>
            <w:r>
              <w:rPr>
                <w:rFonts w:ascii="Times New Roman"/>
                <w:sz w:val="21"/>
              </w:rPr>
              <w:t>Ca</w:t>
            </w:r>
          </w:p>
        </w:tc>
        <w:tc>
          <w:tcPr>
            <w:tcW w:w="834" w:type="dxa"/>
          </w:tcPr>
          <w:p>
            <w:pPr>
              <w:pStyle w:val="14"/>
              <w:spacing w:line="221" w:lineRule="exact"/>
              <w:ind w:left="6"/>
              <w:rPr>
                <w:rFonts w:ascii="Times New Roman"/>
                <w:sz w:val="21"/>
              </w:rPr>
            </w:pPr>
            <w:r>
              <w:rPr>
                <w:rFonts w:ascii="Times New Roman"/>
                <w:w w:val="99"/>
                <w:sz w:val="21"/>
              </w:rPr>
              <w:t>1</w:t>
            </w:r>
          </w:p>
        </w:tc>
        <w:tc>
          <w:tcPr>
            <w:tcW w:w="1134" w:type="dxa"/>
          </w:tcPr>
          <w:p>
            <w:pPr>
              <w:pStyle w:val="14"/>
              <w:spacing w:line="221" w:lineRule="exact"/>
              <w:ind w:left="6"/>
              <w:rPr>
                <w:rFonts w:ascii="Times New Roman"/>
                <w:sz w:val="21"/>
              </w:rPr>
            </w:pPr>
            <w:r>
              <w:rPr>
                <w:rFonts w:ascii="Times New Roman"/>
                <w:w w:val="99"/>
                <w:sz w:val="21"/>
              </w:rPr>
              <w:t>8</w:t>
            </w:r>
          </w:p>
        </w:tc>
        <w:tc>
          <w:tcPr>
            <w:tcW w:w="1635" w:type="dxa"/>
          </w:tcPr>
          <w:p>
            <w:pPr>
              <w:pStyle w:val="14"/>
              <w:spacing w:line="221" w:lineRule="exact"/>
              <w:ind w:left="152" w:right="145"/>
              <w:rPr>
                <w:rFonts w:ascii="Times New Roman"/>
                <w:sz w:val="21"/>
              </w:rPr>
            </w:pPr>
            <w:r>
              <w:rPr>
                <w:rFonts w:ascii="Times New Roman"/>
                <w:sz w:val="21"/>
              </w:rPr>
              <w:t>15</w:t>
            </w:r>
          </w:p>
        </w:tc>
        <w:tc>
          <w:tcPr>
            <w:tcW w:w="1355" w:type="dxa"/>
          </w:tcPr>
          <w:p>
            <w:pPr>
              <w:pStyle w:val="14"/>
              <w:spacing w:line="221" w:lineRule="exact"/>
              <w:ind w:left="240" w:right="233"/>
              <w:rPr>
                <w:rFonts w:ascii="Times New Roman"/>
                <w:sz w:val="21"/>
              </w:rPr>
            </w:pPr>
            <w:r>
              <w:rPr>
                <w:rFonts w:ascii="Times New Roman"/>
                <w:sz w:val="21"/>
              </w:rPr>
              <w:t>22</w:t>
            </w:r>
          </w:p>
        </w:tc>
        <w:tc>
          <w:tcPr>
            <w:tcW w:w="979" w:type="dxa"/>
          </w:tcPr>
          <w:p>
            <w:pPr>
              <w:pStyle w:val="14"/>
              <w:spacing w:line="221" w:lineRule="exact"/>
              <w:ind w:left="151" w:right="145"/>
              <w:rPr>
                <w:rFonts w:ascii="Times New Roman"/>
                <w:sz w:val="21"/>
              </w:rPr>
            </w:pPr>
            <w:r>
              <w:rPr>
                <w:rFonts w:ascii="Times New Roman"/>
                <w:sz w:val="21"/>
              </w:rPr>
              <w:t>29</w:t>
            </w:r>
          </w:p>
        </w:tc>
        <w:tc>
          <w:tcPr>
            <w:tcW w:w="1134" w:type="dxa"/>
          </w:tcPr>
          <w:p>
            <w:pPr>
              <w:pStyle w:val="14"/>
              <w:spacing w:line="221" w:lineRule="exact"/>
              <w:ind w:left="63" w:right="53"/>
              <w:rPr>
                <w:rFonts w:ascii="Times New Roman"/>
                <w:sz w:val="21"/>
              </w:rPr>
            </w:pPr>
            <w:r>
              <w:rPr>
                <w:rFonts w:ascii="Times New Roman"/>
                <w:sz w:val="21"/>
              </w:rPr>
              <w:t>36</w:t>
            </w:r>
          </w:p>
        </w:tc>
        <w:tc>
          <w:tcPr>
            <w:tcW w:w="681" w:type="dxa"/>
          </w:tcPr>
          <w:p>
            <w:pPr>
              <w:pStyle w:val="14"/>
              <w:spacing w:line="221" w:lineRule="exact"/>
              <w:ind w:left="215" w:right="206"/>
              <w:rPr>
                <w:rFonts w:ascii="Times New Roman"/>
                <w:sz w:val="21"/>
              </w:rPr>
            </w:pPr>
            <w:r>
              <w:rPr>
                <w:rFonts w:ascii="Times New Roman"/>
                <w:sz w:val="21"/>
              </w:rPr>
              <w:t>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1268" w:type="dxa"/>
          </w:tcPr>
          <w:p>
            <w:pPr>
              <w:pStyle w:val="14"/>
              <w:spacing w:before="1" w:line="221" w:lineRule="exact"/>
              <w:ind w:left="18" w:right="7"/>
              <w:rPr>
                <w:rFonts w:ascii="Times New Roman"/>
                <w:sz w:val="21"/>
              </w:rPr>
            </w:pPr>
            <w:r>
              <w:rPr>
                <w:rFonts w:ascii="Times New Roman"/>
                <w:sz w:val="21"/>
              </w:rPr>
              <w:t>Ca+Mg</w:t>
            </w:r>
          </w:p>
        </w:tc>
        <w:tc>
          <w:tcPr>
            <w:tcW w:w="834" w:type="dxa"/>
          </w:tcPr>
          <w:p>
            <w:pPr>
              <w:pStyle w:val="14"/>
              <w:spacing w:before="1" w:line="221" w:lineRule="exact"/>
              <w:ind w:left="6"/>
              <w:rPr>
                <w:rFonts w:ascii="Times New Roman"/>
                <w:sz w:val="21"/>
              </w:rPr>
            </w:pPr>
            <w:r>
              <w:rPr>
                <w:rFonts w:ascii="Times New Roman"/>
                <w:w w:val="99"/>
                <w:sz w:val="21"/>
              </w:rPr>
              <w:t>2</w:t>
            </w:r>
          </w:p>
        </w:tc>
        <w:tc>
          <w:tcPr>
            <w:tcW w:w="1134" w:type="dxa"/>
          </w:tcPr>
          <w:p>
            <w:pPr>
              <w:pStyle w:val="14"/>
              <w:spacing w:before="1" w:line="221" w:lineRule="exact"/>
              <w:ind w:left="6"/>
              <w:rPr>
                <w:rFonts w:ascii="Times New Roman"/>
                <w:sz w:val="21"/>
              </w:rPr>
            </w:pPr>
            <w:r>
              <w:rPr>
                <w:rFonts w:ascii="Times New Roman"/>
                <w:w w:val="99"/>
                <w:sz w:val="21"/>
              </w:rPr>
              <w:t>9</w:t>
            </w:r>
          </w:p>
        </w:tc>
        <w:tc>
          <w:tcPr>
            <w:tcW w:w="1635" w:type="dxa"/>
          </w:tcPr>
          <w:p>
            <w:pPr>
              <w:pStyle w:val="14"/>
              <w:spacing w:before="1" w:line="221" w:lineRule="exact"/>
              <w:ind w:left="152" w:right="145"/>
              <w:rPr>
                <w:rFonts w:ascii="Times New Roman"/>
                <w:sz w:val="21"/>
              </w:rPr>
            </w:pPr>
            <w:r>
              <w:rPr>
                <w:rFonts w:ascii="Times New Roman"/>
                <w:sz w:val="21"/>
              </w:rPr>
              <w:t>16</w:t>
            </w:r>
          </w:p>
        </w:tc>
        <w:tc>
          <w:tcPr>
            <w:tcW w:w="1355" w:type="dxa"/>
          </w:tcPr>
          <w:p>
            <w:pPr>
              <w:pStyle w:val="14"/>
              <w:spacing w:before="1" w:line="221" w:lineRule="exact"/>
              <w:ind w:left="240" w:right="233"/>
              <w:rPr>
                <w:rFonts w:ascii="Times New Roman"/>
                <w:sz w:val="21"/>
              </w:rPr>
            </w:pPr>
            <w:r>
              <w:rPr>
                <w:rFonts w:ascii="Times New Roman"/>
                <w:sz w:val="21"/>
              </w:rPr>
              <w:t>23</w:t>
            </w:r>
          </w:p>
        </w:tc>
        <w:tc>
          <w:tcPr>
            <w:tcW w:w="979" w:type="dxa"/>
          </w:tcPr>
          <w:p>
            <w:pPr>
              <w:pStyle w:val="14"/>
              <w:spacing w:before="1" w:line="221" w:lineRule="exact"/>
              <w:ind w:left="151" w:right="145"/>
              <w:rPr>
                <w:rFonts w:ascii="Times New Roman"/>
                <w:sz w:val="21"/>
              </w:rPr>
            </w:pPr>
            <w:r>
              <w:rPr>
                <w:rFonts w:ascii="Times New Roman"/>
                <w:sz w:val="21"/>
              </w:rPr>
              <w:t>30</w:t>
            </w:r>
          </w:p>
        </w:tc>
        <w:tc>
          <w:tcPr>
            <w:tcW w:w="1134" w:type="dxa"/>
          </w:tcPr>
          <w:p>
            <w:pPr>
              <w:pStyle w:val="14"/>
              <w:spacing w:before="1" w:line="221" w:lineRule="exact"/>
              <w:ind w:left="63" w:right="53"/>
              <w:rPr>
                <w:rFonts w:ascii="Times New Roman"/>
                <w:sz w:val="21"/>
              </w:rPr>
            </w:pPr>
            <w:r>
              <w:rPr>
                <w:rFonts w:ascii="Times New Roman"/>
                <w:sz w:val="21"/>
              </w:rPr>
              <w:t>37</w:t>
            </w:r>
          </w:p>
        </w:tc>
        <w:tc>
          <w:tcPr>
            <w:tcW w:w="681" w:type="dxa"/>
          </w:tcPr>
          <w:p>
            <w:pPr>
              <w:pStyle w:val="14"/>
              <w:spacing w:before="1" w:line="221" w:lineRule="exact"/>
              <w:ind w:left="215" w:right="206"/>
              <w:rPr>
                <w:rFonts w:ascii="Times New Roman"/>
                <w:sz w:val="21"/>
              </w:rPr>
            </w:pPr>
            <w:r>
              <w:rPr>
                <w:rFonts w:ascii="Times New Roman"/>
                <w:sz w:val="21"/>
              </w:rPr>
              <w:t>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1268" w:type="dxa"/>
          </w:tcPr>
          <w:p>
            <w:pPr>
              <w:pStyle w:val="14"/>
              <w:spacing w:line="221" w:lineRule="exact"/>
              <w:ind w:left="18" w:right="10"/>
              <w:rPr>
                <w:rFonts w:ascii="Times New Roman"/>
                <w:sz w:val="21"/>
              </w:rPr>
            </w:pPr>
            <w:r>
              <w:rPr>
                <w:rFonts w:ascii="Times New Roman"/>
                <w:sz w:val="21"/>
              </w:rPr>
              <w:t>Mg</w:t>
            </w:r>
          </w:p>
        </w:tc>
        <w:tc>
          <w:tcPr>
            <w:tcW w:w="834" w:type="dxa"/>
          </w:tcPr>
          <w:p>
            <w:pPr>
              <w:pStyle w:val="14"/>
              <w:spacing w:line="221" w:lineRule="exact"/>
              <w:ind w:left="6"/>
              <w:rPr>
                <w:rFonts w:ascii="Times New Roman"/>
                <w:sz w:val="21"/>
              </w:rPr>
            </w:pPr>
            <w:r>
              <w:rPr>
                <w:rFonts w:ascii="Times New Roman"/>
                <w:w w:val="99"/>
                <w:sz w:val="21"/>
              </w:rPr>
              <w:t>3</w:t>
            </w:r>
          </w:p>
        </w:tc>
        <w:tc>
          <w:tcPr>
            <w:tcW w:w="1134" w:type="dxa"/>
          </w:tcPr>
          <w:p>
            <w:pPr>
              <w:pStyle w:val="14"/>
              <w:spacing w:line="221" w:lineRule="exact"/>
              <w:ind w:left="64" w:right="53"/>
              <w:rPr>
                <w:rFonts w:ascii="Times New Roman"/>
                <w:sz w:val="21"/>
              </w:rPr>
            </w:pPr>
            <w:r>
              <w:rPr>
                <w:rFonts w:ascii="Times New Roman"/>
                <w:sz w:val="21"/>
              </w:rPr>
              <w:t>10</w:t>
            </w:r>
          </w:p>
        </w:tc>
        <w:tc>
          <w:tcPr>
            <w:tcW w:w="1635" w:type="dxa"/>
          </w:tcPr>
          <w:p>
            <w:pPr>
              <w:pStyle w:val="14"/>
              <w:spacing w:line="221" w:lineRule="exact"/>
              <w:ind w:left="152" w:right="145"/>
              <w:rPr>
                <w:rFonts w:ascii="Times New Roman"/>
                <w:sz w:val="21"/>
              </w:rPr>
            </w:pPr>
            <w:r>
              <w:rPr>
                <w:rFonts w:ascii="Times New Roman"/>
                <w:sz w:val="21"/>
              </w:rPr>
              <w:t>17</w:t>
            </w:r>
          </w:p>
        </w:tc>
        <w:tc>
          <w:tcPr>
            <w:tcW w:w="1355" w:type="dxa"/>
          </w:tcPr>
          <w:p>
            <w:pPr>
              <w:pStyle w:val="14"/>
              <w:spacing w:line="221" w:lineRule="exact"/>
              <w:ind w:left="240" w:right="233"/>
              <w:rPr>
                <w:rFonts w:ascii="Times New Roman"/>
                <w:sz w:val="21"/>
              </w:rPr>
            </w:pPr>
            <w:r>
              <w:rPr>
                <w:rFonts w:ascii="Times New Roman"/>
                <w:sz w:val="21"/>
              </w:rPr>
              <w:t>24</w:t>
            </w:r>
          </w:p>
        </w:tc>
        <w:tc>
          <w:tcPr>
            <w:tcW w:w="979" w:type="dxa"/>
          </w:tcPr>
          <w:p>
            <w:pPr>
              <w:pStyle w:val="14"/>
              <w:spacing w:line="221" w:lineRule="exact"/>
              <w:ind w:left="151" w:right="145"/>
              <w:rPr>
                <w:rFonts w:ascii="Times New Roman"/>
                <w:sz w:val="21"/>
              </w:rPr>
            </w:pPr>
            <w:r>
              <w:rPr>
                <w:rFonts w:ascii="Times New Roman"/>
                <w:sz w:val="21"/>
              </w:rPr>
              <w:t>31</w:t>
            </w:r>
          </w:p>
        </w:tc>
        <w:tc>
          <w:tcPr>
            <w:tcW w:w="1134" w:type="dxa"/>
          </w:tcPr>
          <w:p>
            <w:pPr>
              <w:pStyle w:val="14"/>
              <w:spacing w:line="221" w:lineRule="exact"/>
              <w:ind w:left="63" w:right="53"/>
              <w:rPr>
                <w:rFonts w:ascii="Times New Roman"/>
                <w:sz w:val="21"/>
              </w:rPr>
            </w:pPr>
            <w:r>
              <w:rPr>
                <w:rFonts w:ascii="Times New Roman"/>
                <w:sz w:val="21"/>
              </w:rPr>
              <w:t>38</w:t>
            </w:r>
          </w:p>
        </w:tc>
        <w:tc>
          <w:tcPr>
            <w:tcW w:w="681" w:type="dxa"/>
          </w:tcPr>
          <w:p>
            <w:pPr>
              <w:pStyle w:val="14"/>
              <w:spacing w:line="221" w:lineRule="exact"/>
              <w:ind w:left="215" w:right="206"/>
              <w:rPr>
                <w:rFonts w:ascii="Times New Roman"/>
                <w:sz w:val="21"/>
              </w:rPr>
            </w:pPr>
            <w:r>
              <w:rPr>
                <w:rFonts w:ascii="Times New Roman"/>
                <w:sz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1268" w:type="dxa"/>
          </w:tcPr>
          <w:p>
            <w:pPr>
              <w:pStyle w:val="14"/>
              <w:spacing w:line="222" w:lineRule="exact"/>
              <w:ind w:left="18" w:right="12"/>
              <w:rPr>
                <w:rFonts w:ascii="Times New Roman"/>
                <w:sz w:val="21"/>
              </w:rPr>
            </w:pPr>
            <w:r>
              <w:rPr>
                <w:rFonts w:ascii="Times New Roman"/>
                <w:sz w:val="21"/>
              </w:rPr>
              <w:t>Na+Ca</w:t>
            </w:r>
          </w:p>
        </w:tc>
        <w:tc>
          <w:tcPr>
            <w:tcW w:w="834" w:type="dxa"/>
          </w:tcPr>
          <w:p>
            <w:pPr>
              <w:pStyle w:val="14"/>
              <w:spacing w:line="222" w:lineRule="exact"/>
              <w:ind w:left="6"/>
              <w:rPr>
                <w:rFonts w:ascii="Times New Roman"/>
                <w:sz w:val="21"/>
              </w:rPr>
            </w:pPr>
            <w:r>
              <w:rPr>
                <w:rFonts w:ascii="Times New Roman"/>
                <w:w w:val="99"/>
                <w:sz w:val="21"/>
              </w:rPr>
              <w:t>4</w:t>
            </w:r>
          </w:p>
        </w:tc>
        <w:tc>
          <w:tcPr>
            <w:tcW w:w="1134" w:type="dxa"/>
          </w:tcPr>
          <w:p>
            <w:pPr>
              <w:pStyle w:val="14"/>
              <w:spacing w:line="222" w:lineRule="exact"/>
              <w:ind w:left="64" w:right="53"/>
              <w:rPr>
                <w:rFonts w:ascii="Times New Roman"/>
                <w:sz w:val="21"/>
              </w:rPr>
            </w:pPr>
            <w:r>
              <w:rPr>
                <w:rFonts w:ascii="Times New Roman"/>
                <w:sz w:val="21"/>
              </w:rPr>
              <w:t>11</w:t>
            </w:r>
          </w:p>
        </w:tc>
        <w:tc>
          <w:tcPr>
            <w:tcW w:w="1635" w:type="dxa"/>
          </w:tcPr>
          <w:p>
            <w:pPr>
              <w:pStyle w:val="14"/>
              <w:spacing w:line="222" w:lineRule="exact"/>
              <w:ind w:left="152" w:right="145"/>
              <w:rPr>
                <w:rFonts w:ascii="Times New Roman"/>
                <w:sz w:val="21"/>
              </w:rPr>
            </w:pPr>
            <w:r>
              <w:rPr>
                <w:rFonts w:ascii="Times New Roman"/>
                <w:sz w:val="21"/>
              </w:rPr>
              <w:t>18</w:t>
            </w:r>
          </w:p>
        </w:tc>
        <w:tc>
          <w:tcPr>
            <w:tcW w:w="1355" w:type="dxa"/>
          </w:tcPr>
          <w:p>
            <w:pPr>
              <w:pStyle w:val="14"/>
              <w:spacing w:line="222" w:lineRule="exact"/>
              <w:ind w:left="240" w:right="233"/>
              <w:rPr>
                <w:rFonts w:ascii="Times New Roman"/>
                <w:sz w:val="21"/>
              </w:rPr>
            </w:pPr>
            <w:r>
              <w:rPr>
                <w:rFonts w:ascii="Times New Roman"/>
                <w:sz w:val="21"/>
              </w:rPr>
              <w:t>25</w:t>
            </w:r>
          </w:p>
        </w:tc>
        <w:tc>
          <w:tcPr>
            <w:tcW w:w="979" w:type="dxa"/>
          </w:tcPr>
          <w:p>
            <w:pPr>
              <w:pStyle w:val="14"/>
              <w:spacing w:line="222" w:lineRule="exact"/>
              <w:ind w:left="151" w:right="145"/>
              <w:rPr>
                <w:rFonts w:ascii="Times New Roman"/>
                <w:sz w:val="21"/>
              </w:rPr>
            </w:pPr>
            <w:r>
              <w:rPr>
                <w:rFonts w:ascii="Times New Roman"/>
                <w:sz w:val="21"/>
              </w:rPr>
              <w:t>32</w:t>
            </w:r>
          </w:p>
        </w:tc>
        <w:tc>
          <w:tcPr>
            <w:tcW w:w="1134" w:type="dxa"/>
          </w:tcPr>
          <w:p>
            <w:pPr>
              <w:pStyle w:val="14"/>
              <w:spacing w:line="222" w:lineRule="exact"/>
              <w:ind w:left="63" w:right="53"/>
              <w:rPr>
                <w:rFonts w:ascii="Times New Roman"/>
                <w:sz w:val="21"/>
              </w:rPr>
            </w:pPr>
            <w:r>
              <w:rPr>
                <w:rFonts w:ascii="Times New Roman"/>
                <w:sz w:val="21"/>
              </w:rPr>
              <w:t>39</w:t>
            </w:r>
          </w:p>
        </w:tc>
        <w:tc>
          <w:tcPr>
            <w:tcW w:w="681" w:type="dxa"/>
          </w:tcPr>
          <w:p>
            <w:pPr>
              <w:pStyle w:val="14"/>
              <w:spacing w:line="222" w:lineRule="exact"/>
              <w:ind w:left="215" w:right="206"/>
              <w:rPr>
                <w:rFonts w:ascii="Times New Roman"/>
                <w:sz w:val="21"/>
              </w:rPr>
            </w:pPr>
            <w:r>
              <w:rPr>
                <w:rFonts w:ascii="Times New Roman"/>
                <w:sz w:val="21"/>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268" w:type="dxa"/>
          </w:tcPr>
          <w:p>
            <w:pPr>
              <w:pStyle w:val="14"/>
              <w:spacing w:line="221" w:lineRule="exact"/>
              <w:ind w:left="123" w:right="88"/>
              <w:rPr>
                <w:rFonts w:ascii="Times New Roman"/>
                <w:sz w:val="21"/>
              </w:rPr>
            </w:pPr>
            <w:r>
              <w:rPr>
                <w:rFonts w:ascii="Times New Roman"/>
                <w:sz w:val="21"/>
              </w:rPr>
              <w:t>Na+Ca+Mg</w:t>
            </w:r>
          </w:p>
        </w:tc>
        <w:tc>
          <w:tcPr>
            <w:tcW w:w="834" w:type="dxa"/>
          </w:tcPr>
          <w:p>
            <w:pPr>
              <w:pStyle w:val="14"/>
              <w:spacing w:line="221" w:lineRule="exact"/>
              <w:ind w:left="6"/>
              <w:rPr>
                <w:rFonts w:ascii="Times New Roman"/>
                <w:sz w:val="21"/>
              </w:rPr>
            </w:pPr>
            <w:r>
              <w:rPr>
                <w:rFonts w:ascii="Times New Roman"/>
                <w:w w:val="99"/>
                <w:sz w:val="21"/>
              </w:rPr>
              <w:t>5</w:t>
            </w:r>
          </w:p>
        </w:tc>
        <w:tc>
          <w:tcPr>
            <w:tcW w:w="1134" w:type="dxa"/>
          </w:tcPr>
          <w:p>
            <w:pPr>
              <w:pStyle w:val="14"/>
              <w:spacing w:line="221" w:lineRule="exact"/>
              <w:ind w:left="64" w:right="53"/>
              <w:rPr>
                <w:rFonts w:ascii="Times New Roman"/>
                <w:sz w:val="21"/>
              </w:rPr>
            </w:pPr>
            <w:r>
              <w:rPr>
                <w:rFonts w:ascii="Times New Roman"/>
                <w:sz w:val="21"/>
              </w:rPr>
              <w:t>12</w:t>
            </w:r>
          </w:p>
        </w:tc>
        <w:tc>
          <w:tcPr>
            <w:tcW w:w="1635" w:type="dxa"/>
          </w:tcPr>
          <w:p>
            <w:pPr>
              <w:pStyle w:val="14"/>
              <w:spacing w:line="221" w:lineRule="exact"/>
              <w:ind w:left="152" w:right="145"/>
              <w:rPr>
                <w:rFonts w:ascii="Times New Roman"/>
                <w:sz w:val="21"/>
              </w:rPr>
            </w:pPr>
            <w:r>
              <w:rPr>
                <w:rFonts w:ascii="Times New Roman"/>
                <w:sz w:val="21"/>
              </w:rPr>
              <w:t>19</w:t>
            </w:r>
          </w:p>
        </w:tc>
        <w:tc>
          <w:tcPr>
            <w:tcW w:w="1355" w:type="dxa"/>
          </w:tcPr>
          <w:p>
            <w:pPr>
              <w:pStyle w:val="14"/>
              <w:spacing w:line="221" w:lineRule="exact"/>
              <w:ind w:left="240" w:right="233"/>
              <w:rPr>
                <w:rFonts w:ascii="Times New Roman"/>
                <w:sz w:val="21"/>
              </w:rPr>
            </w:pPr>
            <w:r>
              <w:rPr>
                <w:rFonts w:ascii="Times New Roman"/>
                <w:sz w:val="21"/>
              </w:rPr>
              <w:t>26</w:t>
            </w:r>
          </w:p>
        </w:tc>
        <w:tc>
          <w:tcPr>
            <w:tcW w:w="979" w:type="dxa"/>
          </w:tcPr>
          <w:p>
            <w:pPr>
              <w:pStyle w:val="14"/>
              <w:spacing w:line="221" w:lineRule="exact"/>
              <w:ind w:left="151" w:right="145"/>
              <w:rPr>
                <w:rFonts w:ascii="Times New Roman"/>
                <w:sz w:val="21"/>
              </w:rPr>
            </w:pPr>
            <w:r>
              <w:rPr>
                <w:rFonts w:ascii="Times New Roman"/>
                <w:sz w:val="21"/>
              </w:rPr>
              <w:t>33</w:t>
            </w:r>
          </w:p>
        </w:tc>
        <w:tc>
          <w:tcPr>
            <w:tcW w:w="1134" w:type="dxa"/>
          </w:tcPr>
          <w:p>
            <w:pPr>
              <w:pStyle w:val="14"/>
              <w:spacing w:line="221" w:lineRule="exact"/>
              <w:ind w:left="63" w:right="53"/>
              <w:rPr>
                <w:rFonts w:ascii="Times New Roman"/>
                <w:sz w:val="21"/>
              </w:rPr>
            </w:pPr>
            <w:r>
              <w:rPr>
                <w:rFonts w:ascii="Times New Roman"/>
                <w:sz w:val="21"/>
              </w:rPr>
              <w:t>40</w:t>
            </w:r>
          </w:p>
        </w:tc>
        <w:tc>
          <w:tcPr>
            <w:tcW w:w="681" w:type="dxa"/>
          </w:tcPr>
          <w:p>
            <w:pPr>
              <w:pStyle w:val="14"/>
              <w:spacing w:line="221" w:lineRule="exact"/>
              <w:ind w:left="215" w:right="206"/>
              <w:rPr>
                <w:rFonts w:ascii="Times New Roman"/>
                <w:sz w:val="21"/>
              </w:rPr>
            </w:pPr>
            <w:r>
              <w:rPr>
                <w:rFonts w:ascii="Times New Roman"/>
                <w:sz w:val="21"/>
              </w:rPr>
              <w:t>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1268" w:type="dxa"/>
          </w:tcPr>
          <w:p>
            <w:pPr>
              <w:pStyle w:val="14"/>
              <w:spacing w:line="221" w:lineRule="exact"/>
              <w:ind w:left="18" w:right="10"/>
              <w:rPr>
                <w:rFonts w:ascii="Times New Roman"/>
                <w:sz w:val="21"/>
              </w:rPr>
            </w:pPr>
            <w:r>
              <w:rPr>
                <w:rFonts w:ascii="Times New Roman"/>
                <w:sz w:val="21"/>
              </w:rPr>
              <w:t>Na+Mg</w:t>
            </w:r>
          </w:p>
        </w:tc>
        <w:tc>
          <w:tcPr>
            <w:tcW w:w="834" w:type="dxa"/>
          </w:tcPr>
          <w:p>
            <w:pPr>
              <w:pStyle w:val="14"/>
              <w:spacing w:line="221" w:lineRule="exact"/>
              <w:ind w:left="6"/>
              <w:rPr>
                <w:rFonts w:ascii="Times New Roman"/>
                <w:sz w:val="21"/>
              </w:rPr>
            </w:pPr>
            <w:r>
              <w:rPr>
                <w:rFonts w:ascii="Times New Roman"/>
                <w:w w:val="99"/>
                <w:sz w:val="21"/>
              </w:rPr>
              <w:t>6</w:t>
            </w:r>
          </w:p>
        </w:tc>
        <w:tc>
          <w:tcPr>
            <w:tcW w:w="1134" w:type="dxa"/>
          </w:tcPr>
          <w:p>
            <w:pPr>
              <w:pStyle w:val="14"/>
              <w:spacing w:line="221" w:lineRule="exact"/>
              <w:ind w:left="64" w:right="53"/>
              <w:rPr>
                <w:rFonts w:ascii="Times New Roman"/>
                <w:sz w:val="21"/>
              </w:rPr>
            </w:pPr>
            <w:r>
              <w:rPr>
                <w:rFonts w:ascii="Times New Roman"/>
                <w:sz w:val="21"/>
              </w:rPr>
              <w:t>13</w:t>
            </w:r>
          </w:p>
        </w:tc>
        <w:tc>
          <w:tcPr>
            <w:tcW w:w="1635" w:type="dxa"/>
          </w:tcPr>
          <w:p>
            <w:pPr>
              <w:pStyle w:val="14"/>
              <w:spacing w:line="221" w:lineRule="exact"/>
              <w:ind w:left="152" w:right="145"/>
              <w:rPr>
                <w:rFonts w:ascii="Times New Roman"/>
                <w:sz w:val="21"/>
              </w:rPr>
            </w:pPr>
            <w:r>
              <w:rPr>
                <w:rFonts w:ascii="Times New Roman"/>
                <w:sz w:val="21"/>
              </w:rPr>
              <w:t>20</w:t>
            </w:r>
          </w:p>
        </w:tc>
        <w:tc>
          <w:tcPr>
            <w:tcW w:w="1355" w:type="dxa"/>
          </w:tcPr>
          <w:p>
            <w:pPr>
              <w:pStyle w:val="14"/>
              <w:spacing w:line="221" w:lineRule="exact"/>
              <w:ind w:left="240" w:right="233"/>
              <w:rPr>
                <w:rFonts w:ascii="Times New Roman"/>
                <w:sz w:val="21"/>
              </w:rPr>
            </w:pPr>
            <w:r>
              <w:rPr>
                <w:rFonts w:ascii="Times New Roman"/>
                <w:sz w:val="21"/>
              </w:rPr>
              <w:t>27</w:t>
            </w:r>
          </w:p>
        </w:tc>
        <w:tc>
          <w:tcPr>
            <w:tcW w:w="979" w:type="dxa"/>
          </w:tcPr>
          <w:p>
            <w:pPr>
              <w:pStyle w:val="14"/>
              <w:spacing w:line="221" w:lineRule="exact"/>
              <w:ind w:left="151" w:right="145"/>
              <w:rPr>
                <w:rFonts w:ascii="Times New Roman"/>
                <w:sz w:val="21"/>
              </w:rPr>
            </w:pPr>
            <w:r>
              <w:rPr>
                <w:rFonts w:ascii="Times New Roman"/>
                <w:sz w:val="21"/>
              </w:rPr>
              <w:t>34</w:t>
            </w:r>
          </w:p>
        </w:tc>
        <w:tc>
          <w:tcPr>
            <w:tcW w:w="1134" w:type="dxa"/>
          </w:tcPr>
          <w:p>
            <w:pPr>
              <w:pStyle w:val="14"/>
              <w:spacing w:line="221" w:lineRule="exact"/>
              <w:ind w:left="63" w:right="53"/>
              <w:rPr>
                <w:rFonts w:ascii="Times New Roman"/>
                <w:sz w:val="21"/>
              </w:rPr>
            </w:pPr>
            <w:r>
              <w:rPr>
                <w:rFonts w:ascii="Times New Roman"/>
                <w:sz w:val="21"/>
              </w:rPr>
              <w:t>41</w:t>
            </w:r>
          </w:p>
        </w:tc>
        <w:tc>
          <w:tcPr>
            <w:tcW w:w="681" w:type="dxa"/>
          </w:tcPr>
          <w:p>
            <w:pPr>
              <w:pStyle w:val="14"/>
              <w:spacing w:line="221" w:lineRule="exact"/>
              <w:ind w:left="215" w:right="206"/>
              <w:rPr>
                <w:rFonts w:ascii="Times New Roman"/>
                <w:sz w:val="21"/>
              </w:rPr>
            </w:pPr>
            <w:r>
              <w:rPr>
                <w:rFonts w:ascii="Times New Roman"/>
                <w:sz w:val="21"/>
              </w:rPr>
              <w:t>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1268" w:type="dxa"/>
          </w:tcPr>
          <w:p>
            <w:pPr>
              <w:pStyle w:val="14"/>
              <w:spacing w:line="221" w:lineRule="exact"/>
              <w:ind w:left="18" w:right="7"/>
              <w:rPr>
                <w:rFonts w:ascii="Times New Roman"/>
                <w:sz w:val="21"/>
              </w:rPr>
            </w:pPr>
            <w:r>
              <w:rPr>
                <w:rFonts w:ascii="Times New Roman"/>
                <w:sz w:val="21"/>
              </w:rPr>
              <w:t>Na</w:t>
            </w:r>
          </w:p>
        </w:tc>
        <w:tc>
          <w:tcPr>
            <w:tcW w:w="834" w:type="dxa"/>
          </w:tcPr>
          <w:p>
            <w:pPr>
              <w:pStyle w:val="14"/>
              <w:spacing w:line="221" w:lineRule="exact"/>
              <w:ind w:left="6"/>
              <w:rPr>
                <w:rFonts w:ascii="Times New Roman"/>
                <w:sz w:val="21"/>
              </w:rPr>
            </w:pPr>
            <w:r>
              <w:rPr>
                <w:rFonts w:ascii="Times New Roman"/>
                <w:w w:val="99"/>
                <w:sz w:val="21"/>
              </w:rPr>
              <w:t>7</w:t>
            </w:r>
          </w:p>
        </w:tc>
        <w:tc>
          <w:tcPr>
            <w:tcW w:w="1134" w:type="dxa"/>
          </w:tcPr>
          <w:p>
            <w:pPr>
              <w:pStyle w:val="14"/>
              <w:spacing w:line="221" w:lineRule="exact"/>
              <w:ind w:left="64" w:right="53"/>
              <w:rPr>
                <w:rFonts w:ascii="Times New Roman"/>
                <w:sz w:val="21"/>
              </w:rPr>
            </w:pPr>
            <w:r>
              <w:rPr>
                <w:rFonts w:ascii="Times New Roman"/>
                <w:sz w:val="21"/>
              </w:rPr>
              <w:t>14</w:t>
            </w:r>
          </w:p>
        </w:tc>
        <w:tc>
          <w:tcPr>
            <w:tcW w:w="1635" w:type="dxa"/>
          </w:tcPr>
          <w:p>
            <w:pPr>
              <w:pStyle w:val="14"/>
              <w:spacing w:line="221" w:lineRule="exact"/>
              <w:ind w:left="152" w:right="145"/>
              <w:rPr>
                <w:rFonts w:ascii="Times New Roman"/>
                <w:sz w:val="21"/>
              </w:rPr>
            </w:pPr>
            <w:r>
              <w:rPr>
                <w:rFonts w:ascii="Times New Roman"/>
                <w:sz w:val="21"/>
              </w:rPr>
              <w:t>21</w:t>
            </w:r>
          </w:p>
        </w:tc>
        <w:tc>
          <w:tcPr>
            <w:tcW w:w="1355" w:type="dxa"/>
          </w:tcPr>
          <w:p>
            <w:pPr>
              <w:pStyle w:val="14"/>
              <w:spacing w:line="221" w:lineRule="exact"/>
              <w:ind w:left="240" w:right="233"/>
              <w:rPr>
                <w:rFonts w:ascii="Times New Roman"/>
                <w:sz w:val="21"/>
              </w:rPr>
            </w:pPr>
            <w:r>
              <w:rPr>
                <w:rFonts w:ascii="Times New Roman"/>
                <w:sz w:val="21"/>
              </w:rPr>
              <w:t>28</w:t>
            </w:r>
          </w:p>
        </w:tc>
        <w:tc>
          <w:tcPr>
            <w:tcW w:w="979" w:type="dxa"/>
          </w:tcPr>
          <w:p>
            <w:pPr>
              <w:pStyle w:val="14"/>
              <w:spacing w:line="221" w:lineRule="exact"/>
              <w:ind w:left="151" w:right="145"/>
              <w:rPr>
                <w:rFonts w:ascii="Times New Roman"/>
                <w:sz w:val="21"/>
              </w:rPr>
            </w:pPr>
            <w:r>
              <w:rPr>
                <w:rFonts w:ascii="Times New Roman"/>
                <w:sz w:val="21"/>
              </w:rPr>
              <w:t>35</w:t>
            </w:r>
          </w:p>
        </w:tc>
        <w:tc>
          <w:tcPr>
            <w:tcW w:w="1134" w:type="dxa"/>
          </w:tcPr>
          <w:p>
            <w:pPr>
              <w:pStyle w:val="14"/>
              <w:spacing w:line="221" w:lineRule="exact"/>
              <w:ind w:left="63" w:right="53"/>
              <w:rPr>
                <w:rFonts w:ascii="Times New Roman"/>
                <w:sz w:val="21"/>
              </w:rPr>
            </w:pPr>
            <w:r>
              <w:rPr>
                <w:rFonts w:ascii="Times New Roman"/>
                <w:sz w:val="21"/>
              </w:rPr>
              <w:t>42</w:t>
            </w:r>
          </w:p>
        </w:tc>
        <w:tc>
          <w:tcPr>
            <w:tcW w:w="681" w:type="dxa"/>
          </w:tcPr>
          <w:p>
            <w:pPr>
              <w:pStyle w:val="14"/>
              <w:spacing w:line="221" w:lineRule="exact"/>
              <w:ind w:left="215" w:right="206"/>
              <w:rPr>
                <w:rFonts w:ascii="Times New Roman"/>
                <w:sz w:val="21"/>
              </w:rPr>
            </w:pPr>
            <w:r>
              <w:rPr>
                <w:rFonts w:ascii="Times New Roman"/>
                <w:sz w:val="21"/>
              </w:rPr>
              <w:t>49</w:t>
            </w:r>
          </w:p>
        </w:tc>
      </w:tr>
    </w:tbl>
    <w:p>
      <w:pPr>
        <w:pStyle w:val="6"/>
        <w:spacing w:before="80"/>
        <w:ind w:left="1070"/>
      </w:pPr>
      <w:r>
        <w:t>第二步，对水文资料进行整理：</w:t>
      </w:r>
    </w:p>
    <w:p>
      <w:pPr>
        <w:pStyle w:val="6"/>
        <w:spacing w:before="160"/>
        <w:ind w:left="1070"/>
      </w:pPr>
      <w:r>
        <w:t>换算毫克</w:t>
      </w:r>
      <w:r>
        <w:rPr>
          <w:rFonts w:ascii="Calibri" w:eastAsia="Calibri"/>
        </w:rPr>
        <w:t>/</w:t>
      </w:r>
      <w:r>
        <w:t>升为毫克当量</w:t>
      </w:r>
      <w:r>
        <w:rPr>
          <w:rFonts w:ascii="Calibri" w:eastAsia="Calibri"/>
        </w:rPr>
        <w:t>/</w:t>
      </w:r>
      <w:r>
        <w:t>升及毫克当量百分数</w:t>
      </w:r>
    </w:p>
    <w:p>
      <w:pPr>
        <w:pStyle w:val="6"/>
        <w:spacing w:before="161"/>
        <w:ind w:left="1070"/>
      </w:pPr>
      <w:r>
        <w:t>按照化学原理，毫克数与毫克当量数的关系如下式：</w:t>
      </w:r>
    </w:p>
    <w:p>
      <w:pPr>
        <w:pStyle w:val="6"/>
        <w:spacing w:before="91" w:line="398" w:lineRule="exact"/>
        <w:ind w:left="1056"/>
      </w:pPr>
      <w:r>
        <mc:AlternateContent>
          <mc:Choice Requires="wps">
            <w:drawing>
              <wp:anchor distT="0" distB="0" distL="114300" distR="114300" simplePos="0" relativeHeight="214185984" behindDoc="1" locked="0" layoutInCell="1" allowOverlap="1">
                <wp:simplePos x="0" y="0"/>
                <wp:positionH relativeFrom="page">
                  <wp:posOffset>2807335</wp:posOffset>
                </wp:positionH>
                <wp:positionV relativeFrom="paragraph">
                  <wp:posOffset>266700</wp:posOffset>
                </wp:positionV>
                <wp:extent cx="923290" cy="0"/>
                <wp:effectExtent l="0" t="0" r="0" b="0"/>
                <wp:wrapNone/>
                <wp:docPr id="30" name="直线 122"/>
                <wp:cNvGraphicFramePr/>
                <a:graphic xmlns:a="http://schemas.openxmlformats.org/drawingml/2006/main">
                  <a:graphicData uri="http://schemas.microsoft.com/office/word/2010/wordprocessingShape">
                    <wps:wsp>
                      <wps:cNvSpPr/>
                      <wps:spPr>
                        <a:xfrm>
                          <a:off x="0" y="0"/>
                          <a:ext cx="923290" cy="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122" o:spid="_x0000_s1026" o:spt="20" style="position:absolute;left:0pt;margin-left:221.05pt;margin-top:21pt;height:0pt;width:72.7pt;mso-position-horizontal-relative:page;z-index:-289130496;mso-width-relative:page;mso-height-relative:page;" filled="f" stroked="t" coordsize="21600,21600" o:gfxdata="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PQ+7W1QAAAAkBAAAPAAAAAAAAAAEAIAAAACIAAABkcnMv&#10;ZG93bnJldi54bWxQSwECFAAUAAAACACHTuJAVWMMBs0BAACPAwAADgAAAAAAAAABACAAAAAkAQAA&#10;ZHJzL2Uyb0RvYy54bWxQSwUGAAAAAAYABgBZAQAAYwUAAAAA&#10;">
                <v:fill on="f" focussize="0,0"/>
                <v:stroke weight="0.5pt" color="#000000" joinstyle="round"/>
                <v:imagedata o:title=""/>
                <o:lock v:ext="edit" aspectratio="f"/>
              </v:line>
            </w:pict>
          </mc:Fallback>
        </mc:AlternateContent>
      </w:r>
      <w:r>
        <w:t xml:space="preserve">离子的毫克当量数 </w:t>
      </w:r>
      <w:r>
        <w:rPr>
          <w:rFonts w:ascii="Symbol" w:hAnsi="Symbol" w:eastAsia="Symbol"/>
        </w:rPr>
        <w:t></w:t>
      </w:r>
      <w:r>
        <w:rPr>
          <w:rFonts w:ascii="Times New Roman" w:hAnsi="Times New Roman" w:eastAsia="Times New Roman"/>
        </w:rPr>
        <w:t xml:space="preserve"> </w:t>
      </w:r>
      <w:r>
        <w:rPr>
          <w:position w:val="15"/>
        </w:rPr>
        <w:t>离子的毫克数</w:t>
      </w:r>
    </w:p>
    <w:p>
      <w:pPr>
        <w:pStyle w:val="6"/>
        <w:spacing w:line="248" w:lineRule="exact"/>
        <w:ind w:right="2040"/>
        <w:jc w:val="center"/>
      </w:pPr>
      <w:r>
        <w:t>离子的当量</w:t>
      </w:r>
    </w:p>
    <w:p>
      <w:pPr>
        <w:pStyle w:val="6"/>
        <w:spacing w:before="11"/>
        <w:rPr>
          <w:sz w:val="12"/>
        </w:rPr>
      </w:pPr>
    </w:p>
    <w:p>
      <w:pPr>
        <w:pStyle w:val="6"/>
        <w:spacing w:before="66"/>
        <w:ind w:left="1070"/>
      </w:pPr>
      <w:r>
        <w:t>知道了离子在水中的毫克当量数以后，则可根据下式计算其毫克当量百分</w:t>
      </w:r>
    </w:p>
    <w:p>
      <w:pPr>
        <w:pStyle w:val="6"/>
        <w:spacing w:before="161"/>
        <w:ind w:left="551"/>
      </w:pPr>
      <w:r>
        <w:t>数：</w:t>
      </w:r>
    </w:p>
    <w:p>
      <w:pPr>
        <w:pStyle w:val="6"/>
        <w:spacing w:before="2"/>
        <w:rPr>
          <w:sz w:val="12"/>
        </w:rPr>
      </w:pPr>
    </w:p>
    <w:p>
      <w:pPr>
        <w:spacing w:after="0"/>
        <w:rPr>
          <w:sz w:val="12"/>
        </w:rPr>
        <w:sectPr>
          <w:pgSz w:w="11910" w:h="16840"/>
          <w:pgMar w:top="1420" w:right="780" w:bottom="1100" w:left="1200" w:header="0" w:footer="917" w:gutter="0"/>
        </w:sectPr>
      </w:pPr>
    </w:p>
    <w:p>
      <w:pPr>
        <w:pStyle w:val="6"/>
        <w:spacing w:before="222"/>
        <w:ind w:left="1098"/>
        <w:rPr>
          <w:rFonts w:ascii="Symbol" w:hAnsi="Symbol"/>
        </w:rPr>
      </w:pPr>
      <w:r>
        <mc:AlternateContent>
          <mc:Choice Requires="wps">
            <w:drawing>
              <wp:anchor distT="0" distB="0" distL="114300" distR="114300" simplePos="0" relativeHeight="214187008" behindDoc="1" locked="0" layoutInCell="1" allowOverlap="1">
                <wp:simplePos x="0" y="0"/>
                <wp:positionH relativeFrom="page">
                  <wp:posOffset>3442335</wp:posOffset>
                </wp:positionH>
                <wp:positionV relativeFrom="paragraph">
                  <wp:posOffset>255270</wp:posOffset>
                </wp:positionV>
                <wp:extent cx="1565275" cy="0"/>
                <wp:effectExtent l="0" t="0" r="0" b="0"/>
                <wp:wrapNone/>
                <wp:docPr id="32" name="直线 123"/>
                <wp:cNvGraphicFramePr/>
                <a:graphic xmlns:a="http://schemas.openxmlformats.org/drawingml/2006/main">
                  <a:graphicData uri="http://schemas.microsoft.com/office/word/2010/wordprocessingShape">
                    <wps:wsp>
                      <wps:cNvSpPr/>
                      <wps:spPr>
                        <a:xfrm>
                          <a:off x="0" y="0"/>
                          <a:ext cx="1565275" cy="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123" o:spid="_x0000_s1026" o:spt="20" style="position:absolute;left:0pt;margin-left:271.05pt;margin-top:20.1pt;height:0pt;width:123.25pt;mso-position-horizontal-relative:page;z-index:-289129472;mso-width-relative:page;mso-height-relative:page;" filled="f" stroked="t" coordsize="21600,21600" o:gfxdata="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08f6NUAAAAJAQAADwAAAAAAAAABACAAAAAiAAAA&#10;ZHJzL2Rvd25yZXYueG1sUEsBAhQAFAAAAAgAh07iQHI5zbvRAQAAkAMAAA4AAAAAAAAAAQAgAAAA&#10;JAEAAGRycy9lMm9Eb2MueG1sUEsFBgAAAAAGAAYAWQEAAGcFAAAAAA==&#10;">
                <v:fill on="f" focussize="0,0"/>
                <v:stroke weight="0.5pt" color="#000000" joinstyle="round"/>
                <v:imagedata o:title=""/>
                <o:lock v:ext="edit" aspectratio="f"/>
              </v:line>
            </w:pict>
          </mc:Fallback>
        </mc:AlternateContent>
      </w:r>
      <w:r>
        <w:rPr>
          <w:w w:val="95"/>
        </w:rPr>
        <w:t>某阴离子的毫克当量百分数</w:t>
      </w:r>
      <w:r>
        <w:rPr>
          <w:rFonts w:ascii="Symbol" w:hAnsi="Symbol"/>
          <w:w w:val="95"/>
        </w:rPr>
        <w:t></w:t>
      </w:r>
    </w:p>
    <w:p>
      <w:pPr>
        <w:pStyle w:val="6"/>
        <w:spacing w:before="72" w:line="264" w:lineRule="auto"/>
        <w:ind w:left="14" w:firstLine="245"/>
      </w:pPr>
      <w:r>
        <w:br w:type="column"/>
      </w:r>
      <w:r>
        <w:t>该离子毫克当量</w:t>
      </w:r>
      <w:r>
        <w:rPr>
          <w:rFonts w:ascii="Times New Roman" w:eastAsia="Times New Roman"/>
        </w:rPr>
        <w:t>/</w:t>
      </w:r>
      <w:r>
        <w:t>升</w:t>
      </w:r>
      <w:r>
        <w:rPr>
          <w:w w:val="95"/>
        </w:rPr>
        <w:t>阴离子毫克当量总数</w:t>
      </w:r>
      <w:r>
        <w:rPr>
          <w:rFonts w:ascii="Times New Roman" w:eastAsia="Times New Roman"/>
          <w:w w:val="95"/>
        </w:rPr>
        <w:t>/</w:t>
      </w:r>
      <w:r>
        <w:rPr>
          <w:w w:val="95"/>
        </w:rPr>
        <w:t>升</w:t>
      </w:r>
    </w:p>
    <w:p>
      <w:pPr>
        <w:pStyle w:val="6"/>
        <w:spacing w:before="222"/>
        <w:rPr>
          <w:rFonts w:ascii="Times New Roman" w:hAnsi="Times New Roman"/>
        </w:rPr>
      </w:pPr>
      <w:r>
        <w:br w:type="column"/>
      </w:r>
      <w:r>
        <w:rPr>
          <w:rFonts w:ascii="Symbol" w:hAnsi="Symbol"/>
        </w:rPr>
        <w:t></w:t>
      </w:r>
      <w:r>
        <w:rPr>
          <w:rFonts w:ascii="Times New Roman" w:hAnsi="Times New Roman"/>
        </w:rPr>
        <w:t>100%</w:t>
      </w:r>
    </w:p>
    <w:p>
      <w:pPr>
        <w:spacing w:after="0"/>
        <w:rPr>
          <w:rFonts w:ascii="Times New Roman" w:hAnsi="Times New Roman"/>
        </w:rPr>
        <w:sectPr>
          <w:type w:val="continuous"/>
          <w:pgSz w:w="11910" w:h="16840"/>
          <w:pgMar w:top="1580" w:right="780" w:bottom="280" w:left="1200" w:header="720" w:footer="720" w:gutter="0"/>
          <w:cols w:equalWidth="0" w:num="3">
            <w:col w:w="4161" w:space="40"/>
            <w:col w:w="2480" w:space="39"/>
            <w:col w:w="3210"/>
          </w:cols>
        </w:sectPr>
      </w:pPr>
    </w:p>
    <w:p>
      <w:pPr>
        <w:pStyle w:val="6"/>
        <w:spacing w:before="3"/>
        <w:rPr>
          <w:rFonts w:ascii="Times New Roman"/>
          <w:sz w:val="10"/>
        </w:rPr>
      </w:pPr>
    </w:p>
    <w:p>
      <w:pPr>
        <w:pStyle w:val="6"/>
        <w:spacing w:before="74" w:line="364" w:lineRule="auto"/>
        <w:ind w:left="1070" w:right="4045"/>
        <w:jc w:val="both"/>
      </w:pPr>
      <w:r>
        <w:t>第三步，按矿化度（</w:t>
      </w:r>
      <w:r>
        <w:rPr>
          <w:rFonts w:ascii="Times New Roman" w:hAnsi="Times New Roman" w:eastAsia="Times New Roman"/>
        </w:rPr>
        <w:t>M</w:t>
      </w:r>
      <w:r>
        <w:t>）</w:t>
      </w:r>
      <w:r>
        <w:rPr>
          <w:spacing w:val="-9"/>
        </w:rPr>
        <w:t xml:space="preserve">的大小划分为 </w:t>
      </w:r>
      <w:r>
        <w:rPr>
          <w:rFonts w:ascii="Times New Roman" w:hAnsi="Times New Roman" w:eastAsia="Times New Roman"/>
        </w:rPr>
        <w:t xml:space="preserve">4 </w:t>
      </w:r>
      <w:r>
        <w:t>组。</w:t>
      </w:r>
      <w:r>
        <w:rPr>
          <w:rFonts w:ascii="Times New Roman" w:hAnsi="Times New Roman" w:eastAsia="Times New Roman"/>
        </w:rPr>
        <w:t xml:space="preserve">A </w:t>
      </w:r>
      <w:r>
        <w:t>组</w:t>
      </w:r>
      <w:r>
        <w:rPr>
          <w:rFonts w:ascii="Times New Roman" w:hAnsi="Times New Roman" w:eastAsia="Times New Roman"/>
        </w:rPr>
        <w:t>——M≤1.5g/L</w:t>
      </w:r>
      <w:r>
        <w:t>；</w:t>
      </w:r>
      <w:r>
        <w:rPr>
          <w:rFonts w:ascii="Times New Roman" w:hAnsi="Times New Roman" w:eastAsia="Times New Roman"/>
        </w:rPr>
        <w:t xml:space="preserve">B </w:t>
      </w:r>
      <w:r>
        <w:t>组</w:t>
      </w:r>
      <w:r>
        <w:rPr>
          <w:rFonts w:ascii="Times New Roman" w:hAnsi="Times New Roman" w:eastAsia="Times New Roman"/>
        </w:rPr>
        <w:t>——1.5</w:t>
      </w:r>
      <w:r>
        <w:t>＜</w:t>
      </w:r>
      <w:r>
        <w:rPr>
          <w:rFonts w:ascii="Times New Roman" w:hAnsi="Times New Roman" w:eastAsia="Times New Roman"/>
        </w:rPr>
        <w:t>M≤10g/L</w:t>
      </w:r>
      <w:r>
        <w:t xml:space="preserve">； </w:t>
      </w:r>
      <w:r>
        <w:rPr>
          <w:rFonts w:ascii="Times New Roman" w:hAnsi="Times New Roman" w:eastAsia="Times New Roman"/>
        </w:rPr>
        <w:t xml:space="preserve">C </w:t>
      </w:r>
      <w:r>
        <w:t>组</w:t>
      </w:r>
      <w:r>
        <w:rPr>
          <w:rFonts w:ascii="Times New Roman" w:hAnsi="Times New Roman" w:eastAsia="Times New Roman"/>
        </w:rPr>
        <w:t>——10</w:t>
      </w:r>
      <w:r>
        <w:t>＜</w:t>
      </w:r>
      <w:r>
        <w:rPr>
          <w:rFonts w:ascii="Times New Roman" w:hAnsi="Times New Roman" w:eastAsia="Times New Roman"/>
        </w:rPr>
        <w:t>M≤40g/L</w:t>
      </w:r>
      <w:r>
        <w:t>；</w:t>
      </w:r>
      <w:r>
        <w:rPr>
          <w:rFonts w:ascii="Times New Roman" w:hAnsi="Times New Roman" w:eastAsia="Times New Roman"/>
        </w:rPr>
        <w:t xml:space="preserve">D </w:t>
      </w:r>
      <w:r>
        <w:t>组</w:t>
      </w:r>
      <w:r>
        <w:rPr>
          <w:rFonts w:ascii="Times New Roman" w:hAnsi="Times New Roman" w:eastAsia="Times New Roman"/>
        </w:rPr>
        <w:t>——M</w:t>
      </w:r>
      <w:r>
        <w:t>＞</w:t>
      </w:r>
      <w:r>
        <w:rPr>
          <w:rFonts w:ascii="Times New Roman" w:hAnsi="Times New Roman" w:eastAsia="Times New Roman"/>
        </w:rPr>
        <w:t>40g/L</w:t>
      </w:r>
      <w:r>
        <w:t>。</w:t>
      </w:r>
    </w:p>
    <w:p>
      <w:pPr>
        <w:pStyle w:val="6"/>
        <w:spacing w:before="2" w:line="364" w:lineRule="auto"/>
        <w:ind w:left="551" w:right="969" w:firstLine="518"/>
      </w:pPr>
      <w:r>
        <w:rPr>
          <w:spacing w:val="-8"/>
        </w:rPr>
        <w:t>矿化度的计算采用《用主要阴离子含量计算水的矿化度》</w:t>
      </w:r>
      <w:r>
        <w:t>（高仁先</w:t>
      </w:r>
      <w:r>
        <w:rPr>
          <w:rFonts w:ascii="Times New Roman" w:eastAsia="Times New Roman"/>
        </w:rPr>
        <w:t>.</w:t>
      </w:r>
      <w:r>
        <w:rPr>
          <w:spacing w:val="-4"/>
        </w:rPr>
        <w:t>山东省水</w:t>
      </w:r>
      <w:r>
        <w:t>利科学研究院），计算方法如下：</w:t>
      </w:r>
    </w:p>
    <w:p>
      <w:pPr>
        <w:pStyle w:val="6"/>
        <w:spacing w:line="310" w:lineRule="exact"/>
        <w:ind w:left="1070"/>
        <w:rPr>
          <w:rFonts w:ascii="Times New Roman" w:hAnsi="Times New Roman" w:eastAsia="Times New Roman"/>
        </w:rPr>
      </w:pPr>
      <w:r>
        <w:rPr>
          <w:spacing w:val="-1"/>
          <w:position w:val="2"/>
        </w:rPr>
        <w:t>矿化度（</w:t>
      </w:r>
      <w:r>
        <w:rPr>
          <w:rFonts w:ascii="Times New Roman" w:hAnsi="Times New Roman" w:eastAsia="Times New Roman"/>
          <w:spacing w:val="-1"/>
          <w:position w:val="2"/>
        </w:rPr>
        <w:t>g/L</w:t>
      </w:r>
      <w:r>
        <w:rPr>
          <w:spacing w:val="-1"/>
          <w:position w:val="2"/>
        </w:rPr>
        <w:t>）</w:t>
      </w:r>
      <w:r>
        <w:rPr>
          <w:rFonts w:ascii="Times New Roman" w:hAnsi="Times New Roman" w:eastAsia="Times New Roman"/>
          <w:spacing w:val="-1"/>
          <w:position w:val="2"/>
        </w:rPr>
        <w:t>=C</w:t>
      </w:r>
      <w:r>
        <w:rPr>
          <w:spacing w:val="-1"/>
          <w:position w:val="2"/>
        </w:rPr>
        <w:t>（</w:t>
      </w:r>
      <w:r>
        <w:rPr>
          <w:rFonts w:ascii="Times New Roman" w:hAnsi="Times New Roman" w:eastAsia="Times New Roman"/>
          <w:spacing w:val="-1"/>
          <w:position w:val="2"/>
        </w:rPr>
        <w:t>∑A</w:t>
      </w:r>
      <w:r>
        <w:rPr>
          <w:spacing w:val="-1"/>
          <w:position w:val="2"/>
        </w:rPr>
        <w:t>）</w:t>
      </w:r>
      <w:r>
        <w:rPr>
          <w:rFonts w:ascii="Times New Roman" w:hAnsi="Times New Roman" w:eastAsia="Times New Roman"/>
          <w:spacing w:val="-1"/>
          <w:position w:val="2"/>
        </w:rPr>
        <w:t>×M</w:t>
      </w:r>
      <w:r>
        <w:rPr>
          <w:rFonts w:ascii="Times New Roman" w:hAnsi="Times New Roman" w:eastAsia="Times New Roman"/>
          <w:spacing w:val="-1"/>
          <w:position w:val="2"/>
          <w:vertAlign w:val="subscript"/>
        </w:rPr>
        <w:t>S</w:t>
      </w:r>
    </w:p>
    <w:p>
      <w:pPr>
        <w:spacing w:after="0" w:line="310" w:lineRule="exact"/>
        <w:rPr>
          <w:rFonts w:ascii="Times New Roman" w:hAnsi="Times New Roman" w:eastAsia="Times New Roman"/>
        </w:rPr>
        <w:sectPr>
          <w:type w:val="continuous"/>
          <w:pgSz w:w="11910" w:h="16840"/>
          <w:pgMar w:top="1580" w:right="780" w:bottom="280" w:left="1200" w:header="720" w:footer="720" w:gutter="0"/>
        </w:sectPr>
      </w:pPr>
    </w:p>
    <w:p>
      <w:pPr>
        <w:pStyle w:val="6"/>
        <w:rPr>
          <w:rFonts w:ascii="Times New Roman"/>
          <w:sz w:val="25"/>
        </w:rPr>
      </w:pPr>
    </w:p>
    <w:p>
      <w:pPr>
        <w:pStyle w:val="6"/>
        <w:tabs>
          <w:tab w:val="left" w:pos="3177"/>
        </w:tabs>
        <w:spacing w:before="74"/>
        <w:ind w:left="1070"/>
      </w:pPr>
      <w:r>
        <w:drawing>
          <wp:anchor distT="0" distB="0" distL="0" distR="0" simplePos="0" relativeHeight="214189056" behindDoc="1" locked="0" layoutInCell="1" allowOverlap="1">
            <wp:simplePos x="0" y="0"/>
            <wp:positionH relativeFrom="page">
              <wp:posOffset>2039620</wp:posOffset>
            </wp:positionH>
            <wp:positionV relativeFrom="paragraph">
              <wp:posOffset>-156210</wp:posOffset>
            </wp:positionV>
            <wp:extent cx="739775" cy="318135"/>
            <wp:effectExtent l="0" t="0" r="0" b="0"/>
            <wp:wrapNone/>
            <wp:docPr id="4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7.png"/>
                    <pic:cNvPicPr>
                      <a:picLocks noChangeAspect="1"/>
                    </pic:cNvPicPr>
                  </pic:nvPicPr>
                  <pic:blipFill>
                    <a:blip r:embed="rId63" cstate="print"/>
                    <a:stretch>
                      <a:fillRect/>
                    </a:stretch>
                  </pic:blipFill>
                  <pic:spPr>
                    <a:xfrm>
                      <a:off x="0" y="0"/>
                      <a:ext cx="739711" cy="318126"/>
                    </a:xfrm>
                    <a:prstGeom prst="rect">
                      <a:avLst/>
                    </a:prstGeom>
                  </pic:spPr>
                </pic:pic>
              </a:graphicData>
            </a:graphic>
          </wp:anchor>
        </w:drawing>
      </w:r>
      <w:r>
        <w:drawing>
          <wp:anchor distT="0" distB="0" distL="0" distR="0" simplePos="0" relativeHeight="251749376" behindDoc="0" locked="0" layoutInCell="1" allowOverlap="1">
            <wp:simplePos x="0" y="0"/>
            <wp:positionH relativeFrom="page">
              <wp:posOffset>3265805</wp:posOffset>
            </wp:positionH>
            <wp:positionV relativeFrom="paragraph">
              <wp:posOffset>-136525</wp:posOffset>
            </wp:positionV>
            <wp:extent cx="782955" cy="269875"/>
            <wp:effectExtent l="0" t="0" r="0" b="0"/>
            <wp:wrapNone/>
            <wp:docPr id="5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8.png"/>
                    <pic:cNvPicPr>
                      <a:picLocks noChangeAspect="1"/>
                    </pic:cNvPicPr>
                  </pic:nvPicPr>
                  <pic:blipFill>
                    <a:blip r:embed="rId64" cstate="print"/>
                    <a:stretch>
                      <a:fillRect/>
                    </a:stretch>
                  </pic:blipFill>
                  <pic:spPr>
                    <a:xfrm>
                      <a:off x="0" y="0"/>
                      <a:ext cx="782919" cy="269925"/>
                    </a:xfrm>
                    <a:prstGeom prst="rect">
                      <a:avLst/>
                    </a:prstGeom>
                  </pic:spPr>
                </pic:pic>
              </a:graphicData>
            </a:graphic>
          </wp:anchor>
        </w:drawing>
      </w:r>
      <w:r>
        <w:rPr>
          <w:rFonts w:ascii="Times New Roman" w:eastAsia="Times New Roman"/>
        </w:rPr>
        <w:t>SB</w:t>
      </w:r>
      <w:r>
        <w:rPr>
          <w:rFonts w:ascii="Calibri" w:eastAsia="Calibri"/>
        </w:rPr>
        <w:t>=</w:t>
      </w:r>
      <w:r>
        <w:rPr>
          <w:rFonts w:ascii="Calibri" w:eastAsia="Calibri"/>
        </w:rPr>
        <w:tab/>
      </w:r>
      <w:r>
        <w:t>或</w:t>
      </w:r>
    </w:p>
    <w:p>
      <w:pPr>
        <w:pStyle w:val="6"/>
        <w:rPr>
          <w:sz w:val="20"/>
        </w:rPr>
      </w:pPr>
    </w:p>
    <w:p>
      <w:pPr>
        <w:pStyle w:val="6"/>
        <w:spacing w:before="6"/>
        <w:rPr>
          <w:sz w:val="23"/>
        </w:rPr>
      </w:pPr>
    </w:p>
    <w:p>
      <w:pPr>
        <w:pStyle w:val="6"/>
        <w:spacing w:before="85"/>
        <w:ind w:left="1070"/>
        <w:rPr>
          <w:rFonts w:ascii="Calibri"/>
        </w:rPr>
      </w:pPr>
      <w:r>
        <w:drawing>
          <wp:anchor distT="0" distB="0" distL="0" distR="0" simplePos="0" relativeHeight="251750400" behindDoc="0" locked="0" layoutInCell="1" allowOverlap="1">
            <wp:simplePos x="0" y="0"/>
            <wp:positionH relativeFrom="page">
              <wp:posOffset>2165350</wp:posOffset>
            </wp:positionH>
            <wp:positionV relativeFrom="paragraph">
              <wp:posOffset>-167640</wp:posOffset>
            </wp:positionV>
            <wp:extent cx="1063625" cy="347345"/>
            <wp:effectExtent l="0" t="0" r="0" b="0"/>
            <wp:wrapNone/>
            <wp:docPr id="5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9.png"/>
                    <pic:cNvPicPr>
                      <a:picLocks noChangeAspect="1"/>
                    </pic:cNvPicPr>
                  </pic:nvPicPr>
                  <pic:blipFill>
                    <a:blip r:embed="rId65" cstate="print"/>
                    <a:stretch>
                      <a:fillRect/>
                    </a:stretch>
                  </pic:blipFill>
                  <pic:spPr>
                    <a:xfrm>
                      <a:off x="0" y="0"/>
                      <a:ext cx="1063647" cy="347046"/>
                    </a:xfrm>
                    <a:prstGeom prst="rect">
                      <a:avLst/>
                    </a:prstGeom>
                  </pic:spPr>
                </pic:pic>
              </a:graphicData>
            </a:graphic>
          </wp:anchor>
        </w:drawing>
      </w:r>
      <w:r>
        <w:rPr>
          <w:rFonts w:ascii="Times New Roman"/>
        </w:rPr>
        <w:t>HCB</w:t>
      </w:r>
      <w:r>
        <w:rPr>
          <w:rFonts w:ascii="Calibri"/>
        </w:rPr>
        <w:t>=</w:t>
      </w:r>
    </w:p>
    <w:p>
      <w:pPr>
        <w:pStyle w:val="6"/>
        <w:spacing w:before="190"/>
        <w:ind w:left="1070"/>
      </w:pPr>
      <w:r>
        <w:t>注：</w:t>
      </w:r>
      <w:r>
        <w:rPr>
          <w:rFonts w:ascii="Times New Roman" w:eastAsia="Times New Roman"/>
        </w:rPr>
        <w:t xml:space="preserve">Ms </w:t>
      </w:r>
      <w:r>
        <w:t xml:space="preserve">是在计算出 </w:t>
      </w:r>
      <w:r>
        <w:rPr>
          <w:rFonts w:ascii="Times New Roman" w:eastAsia="Times New Roman"/>
        </w:rPr>
        <w:t xml:space="preserve">SB </w:t>
      </w:r>
      <w:r>
        <w:t xml:space="preserve">值和 </w:t>
      </w:r>
      <w:r>
        <w:rPr>
          <w:rFonts w:ascii="Times New Roman" w:eastAsia="Times New Roman"/>
        </w:rPr>
        <w:t xml:space="preserve">HCB </w:t>
      </w:r>
      <w:r>
        <w:t>值后查下表得出。</w:t>
      </w:r>
    </w:p>
    <w:p>
      <w:pPr>
        <w:pStyle w:val="5"/>
        <w:tabs>
          <w:tab w:val="left" w:pos="1145"/>
        </w:tabs>
        <w:spacing w:before="84"/>
        <w:ind w:left="106"/>
        <w:jc w:val="center"/>
      </w:pPr>
      <w:r>
        <w:t>表</w:t>
      </w:r>
      <w:r>
        <w:rPr>
          <w:spacing w:val="-62"/>
        </w:rPr>
        <w:t xml:space="preserve"> </w:t>
      </w:r>
      <w:r>
        <w:rPr>
          <w:rFonts w:ascii="Times New Roman" w:eastAsia="Times New Roman"/>
        </w:rPr>
        <w:t>6.4-4</w:t>
      </w:r>
      <w:r>
        <w:rPr>
          <w:rFonts w:ascii="Times New Roman" w:eastAsia="Times New Roman"/>
        </w:rPr>
        <w:tab/>
      </w:r>
      <w:r>
        <w:rPr>
          <w:rFonts w:ascii="Times New Roman" w:eastAsia="Times New Roman"/>
        </w:rPr>
        <w:t>SB</w:t>
      </w:r>
      <w:r>
        <w:t>、</w:t>
      </w:r>
      <w:r>
        <w:rPr>
          <w:rFonts w:ascii="Times New Roman" w:eastAsia="Times New Roman"/>
        </w:rPr>
        <w:t>HCB</w:t>
      </w:r>
      <w:r>
        <w:t>、</w:t>
      </w:r>
      <w:r>
        <w:rPr>
          <w:rFonts w:ascii="Times New Roman" w:eastAsia="Times New Roman"/>
        </w:rPr>
        <w:t xml:space="preserve">Ms </w:t>
      </w:r>
      <w:r>
        <w:t>关系表</w:t>
      </w:r>
    </w:p>
    <w:p>
      <w:pPr>
        <w:pStyle w:val="6"/>
        <w:ind w:left="972"/>
        <w:rPr>
          <w:sz w:val="20"/>
        </w:rPr>
      </w:pPr>
      <w:r>
        <w:rPr>
          <w:sz w:val="20"/>
        </w:rPr>
        <w:drawing>
          <wp:inline distT="0" distB="0" distL="0" distR="0">
            <wp:extent cx="5318125" cy="3354070"/>
            <wp:effectExtent l="0" t="0" r="0" b="0"/>
            <wp:docPr id="5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0.jpeg"/>
                    <pic:cNvPicPr>
                      <a:picLocks noChangeAspect="1"/>
                    </pic:cNvPicPr>
                  </pic:nvPicPr>
                  <pic:blipFill>
                    <a:blip r:embed="rId66" cstate="print"/>
                    <a:stretch>
                      <a:fillRect/>
                    </a:stretch>
                  </pic:blipFill>
                  <pic:spPr>
                    <a:xfrm>
                      <a:off x="0" y="0"/>
                      <a:ext cx="5318240" cy="3354419"/>
                    </a:xfrm>
                    <a:prstGeom prst="rect">
                      <a:avLst/>
                    </a:prstGeom>
                  </pic:spPr>
                </pic:pic>
              </a:graphicData>
            </a:graphic>
          </wp:inline>
        </w:drawing>
      </w:r>
    </w:p>
    <w:p>
      <w:pPr>
        <w:pStyle w:val="6"/>
        <w:spacing w:before="233" w:line="364" w:lineRule="auto"/>
        <w:ind w:left="551" w:right="847" w:firstLine="518"/>
        <w:jc w:val="both"/>
      </w:pPr>
      <w:r>
        <w:rPr>
          <w:spacing w:val="-5"/>
        </w:rPr>
        <w:t>第四步，将地下水化学类型用阿拉伯数字</w:t>
      </w:r>
      <w:r>
        <w:rPr>
          <w:spacing w:val="-3"/>
        </w:rPr>
        <w:t>（</w:t>
      </w:r>
      <w:r>
        <w:rPr>
          <w:rFonts w:ascii="Times New Roman" w:eastAsia="Times New Roman"/>
          <w:spacing w:val="-3"/>
        </w:rPr>
        <w:t>1</w:t>
      </w:r>
      <w:r>
        <w:rPr>
          <w:spacing w:val="-3"/>
        </w:rPr>
        <w:t>～</w:t>
      </w:r>
      <w:r>
        <w:rPr>
          <w:rFonts w:ascii="Times New Roman" w:eastAsia="Times New Roman"/>
          <w:spacing w:val="-3"/>
        </w:rPr>
        <w:t>49</w:t>
      </w:r>
      <w:r>
        <w:rPr>
          <w:spacing w:val="-3"/>
        </w:rPr>
        <w:t>）</w:t>
      </w:r>
      <w:r>
        <w:rPr>
          <w:spacing w:val="-6"/>
        </w:rPr>
        <w:t>与字母</w:t>
      </w:r>
      <w:r>
        <w:t>（</w:t>
      </w:r>
      <w:r>
        <w:rPr>
          <w:rFonts w:ascii="Times New Roman" w:eastAsia="Times New Roman"/>
        </w:rPr>
        <w:t>A</w:t>
      </w:r>
      <w:r>
        <w:rPr>
          <w:spacing w:val="-17"/>
        </w:rPr>
        <w:t>、</w:t>
      </w:r>
      <w:r>
        <w:rPr>
          <w:rFonts w:ascii="Times New Roman" w:eastAsia="Times New Roman"/>
        </w:rPr>
        <w:t>B</w:t>
      </w:r>
      <w:r>
        <w:rPr>
          <w:spacing w:val="-17"/>
        </w:rPr>
        <w:t>、</w:t>
      </w:r>
      <w:r>
        <w:rPr>
          <w:rFonts w:ascii="Times New Roman" w:eastAsia="Times New Roman"/>
        </w:rPr>
        <w:t xml:space="preserve">C </w:t>
      </w:r>
      <w:r>
        <w:rPr>
          <w:spacing w:val="-30"/>
        </w:rPr>
        <w:t xml:space="preserve">或 </w:t>
      </w:r>
      <w:r>
        <w:rPr>
          <w:rFonts w:ascii="Times New Roman" w:eastAsia="Times New Roman"/>
          <w:spacing w:val="-7"/>
        </w:rPr>
        <w:t>D</w:t>
      </w:r>
      <w:r>
        <w:rPr>
          <w:spacing w:val="-7"/>
        </w:rPr>
        <w:t xml:space="preserve">） </w:t>
      </w:r>
      <w:r>
        <w:t>组合在一起的表达式表示。</w:t>
      </w:r>
    </w:p>
    <w:p>
      <w:pPr>
        <w:pStyle w:val="5"/>
        <w:numPr>
          <w:ilvl w:val="3"/>
          <w:numId w:val="59"/>
        </w:numPr>
        <w:tabs>
          <w:tab w:val="left" w:pos="1272"/>
        </w:tabs>
        <w:spacing w:before="0" w:after="0" w:line="230" w:lineRule="exact"/>
        <w:ind w:left="1272" w:right="0" w:hanging="721"/>
        <w:jc w:val="left"/>
      </w:pPr>
      <w:r>
        <w:t>水质现状评价方法及评价标准</w:t>
      </w:r>
    </w:p>
    <w:p>
      <w:pPr>
        <w:pStyle w:val="6"/>
        <w:spacing w:before="9"/>
        <w:rPr>
          <w:b/>
          <w:sz w:val="18"/>
        </w:rPr>
      </w:pPr>
    </w:p>
    <w:p>
      <w:pPr>
        <w:pStyle w:val="6"/>
        <w:ind w:left="1031"/>
      </w:pPr>
      <w:r>
        <w:rPr>
          <w:rFonts w:ascii="Times New Roman" w:eastAsia="Times New Roman"/>
        </w:rPr>
        <w:t>1</w:t>
      </w:r>
      <w:r>
        <w:t>、评价方法</w:t>
      </w:r>
    </w:p>
    <w:p>
      <w:pPr>
        <w:pStyle w:val="6"/>
        <w:spacing w:before="160" w:line="364" w:lineRule="auto"/>
        <w:ind w:left="551" w:right="904" w:firstLine="480"/>
        <w:jc w:val="both"/>
      </w:pPr>
      <w:r>
        <w:rPr>
          <w:rFonts w:ascii="Times New Roman" w:eastAsia="Times New Roman"/>
        </w:rPr>
        <w:t xml:space="preserve">GB/T14848 </w:t>
      </w:r>
      <w:r>
        <w:rPr>
          <w:spacing w:val="6"/>
        </w:rPr>
        <w:t>和有关法规及当地的环保要求是地下水环境现状评价的基本依</w:t>
      </w:r>
      <w:r>
        <w:rPr>
          <w:spacing w:val="-17"/>
        </w:rPr>
        <w:t xml:space="preserve">据。对属于 </w:t>
      </w:r>
      <w:r>
        <w:rPr>
          <w:rFonts w:ascii="Times New Roman" w:eastAsia="Times New Roman"/>
        </w:rPr>
        <w:t xml:space="preserve">GB/T14848 </w:t>
      </w:r>
      <w:r>
        <w:rPr>
          <w:spacing w:val="-4"/>
        </w:rPr>
        <w:t>水质指标的评价因子，应按其规定的水质分类标准值进行</w:t>
      </w:r>
      <w:r>
        <w:rPr>
          <w:spacing w:val="-11"/>
        </w:rPr>
        <w:t xml:space="preserve">评价；对于不属于 </w:t>
      </w:r>
      <w:r>
        <w:rPr>
          <w:rFonts w:ascii="Times New Roman" w:eastAsia="Times New Roman"/>
        </w:rPr>
        <w:t xml:space="preserve">GB/T14848 </w:t>
      </w:r>
      <w:r>
        <w:t>水质指标的评价因子，可参照国家（</w:t>
      </w:r>
      <w:r>
        <w:rPr>
          <w:spacing w:val="-1"/>
        </w:rPr>
        <w:t>行业、地方</w:t>
      </w:r>
      <w:r>
        <w:rPr>
          <w:spacing w:val="-13"/>
        </w:rPr>
        <w:t xml:space="preserve">） </w:t>
      </w:r>
      <w:r>
        <w:t>相关标准（</w:t>
      </w:r>
      <w:r>
        <w:rPr>
          <w:spacing w:val="-31"/>
        </w:rPr>
        <w:t xml:space="preserve">如 </w:t>
      </w:r>
      <w:r>
        <w:rPr>
          <w:rFonts w:ascii="Times New Roman" w:eastAsia="Times New Roman"/>
        </w:rPr>
        <w:t>GB3838</w:t>
      </w:r>
      <w:r>
        <w:t>、</w:t>
      </w:r>
      <w:r>
        <w:rPr>
          <w:rFonts w:ascii="Times New Roman" w:eastAsia="Times New Roman"/>
        </w:rPr>
        <w:t>GB5749</w:t>
      </w:r>
      <w:r>
        <w:t>、</w:t>
      </w:r>
      <w:r>
        <w:rPr>
          <w:rFonts w:ascii="Times New Roman" w:eastAsia="Times New Roman"/>
        </w:rPr>
        <w:t xml:space="preserve">DZ/T0290 </w:t>
      </w:r>
      <w:r>
        <w:t>等）进行评价。</w:t>
      </w:r>
    </w:p>
    <w:p>
      <w:pPr>
        <w:pStyle w:val="6"/>
        <w:spacing w:before="3"/>
        <w:ind w:left="551"/>
      </w:pPr>
      <w:r>
        <w:t>评价模式：</w:t>
      </w:r>
    </w:p>
    <w:p>
      <w:pPr>
        <w:pStyle w:val="13"/>
        <w:numPr>
          <w:ilvl w:val="4"/>
          <w:numId w:val="59"/>
        </w:numPr>
        <w:tabs>
          <w:tab w:val="left" w:pos="1672"/>
        </w:tabs>
        <w:spacing w:before="160" w:after="0" w:line="364" w:lineRule="auto"/>
        <w:ind w:left="551" w:right="969" w:firstLine="518"/>
        <w:jc w:val="left"/>
        <w:rPr>
          <w:sz w:val="24"/>
        </w:rPr>
      </w:pPr>
      <w:r>
        <w:rPr>
          <w:spacing w:val="-6"/>
          <w:sz w:val="24"/>
        </w:rPr>
        <w:t xml:space="preserve">地下水现状评价采用标准指数法。标准指数计算结果大于 </w:t>
      </w:r>
      <w:r>
        <w:rPr>
          <w:rFonts w:ascii="Times New Roman" w:eastAsia="Times New Roman"/>
          <w:spacing w:val="-17"/>
          <w:sz w:val="24"/>
        </w:rPr>
        <w:t>1</w:t>
      </w:r>
      <w:r>
        <w:rPr>
          <w:spacing w:val="-5"/>
          <w:sz w:val="24"/>
        </w:rPr>
        <w:t>，表明该</w:t>
      </w:r>
      <w:r>
        <w:rPr>
          <w:spacing w:val="-4"/>
          <w:sz w:val="24"/>
        </w:rPr>
        <w:t>水质因子已经超标，标准指数越大，超标越严重。标准指数法计算公式如下：</w:t>
      </w:r>
    </w:p>
    <w:p>
      <w:pPr>
        <w:spacing w:after="0" w:line="364" w:lineRule="auto"/>
        <w:jc w:val="left"/>
        <w:rPr>
          <w:sz w:val="24"/>
        </w:rPr>
        <w:sectPr>
          <w:footerReference r:id="rId21" w:type="default"/>
          <w:pgSz w:w="11910" w:h="16840"/>
          <w:pgMar w:top="1580" w:right="780" w:bottom="1180" w:left="1200" w:header="0" w:footer="997" w:gutter="0"/>
          <w:pgNumType w:start="110"/>
        </w:sectPr>
      </w:pPr>
    </w:p>
    <w:p>
      <w:pPr>
        <w:spacing w:before="30" w:line="341" w:lineRule="exact"/>
        <w:ind w:left="1088" w:right="0" w:firstLine="0"/>
        <w:jc w:val="left"/>
        <w:rPr>
          <w:i/>
          <w:sz w:val="14"/>
        </w:rPr>
      </w:pPr>
      <w:r>
        <w:rPr>
          <w:i/>
          <w:sz w:val="25"/>
        </w:rPr>
        <w:t xml:space="preserve">P </w:t>
      </w:r>
      <w:r>
        <w:rPr>
          <w:rFonts w:ascii="Symbol" w:hAnsi="Symbol"/>
          <w:sz w:val="24"/>
        </w:rPr>
        <w:t></w:t>
      </w:r>
      <w:r>
        <w:rPr>
          <w:rFonts w:ascii="Times New Roman" w:hAnsi="Times New Roman"/>
          <w:sz w:val="24"/>
        </w:rPr>
        <w:t xml:space="preserve"> </w:t>
      </w:r>
      <w:r>
        <w:rPr>
          <w:i/>
          <w:position w:val="15"/>
          <w:sz w:val="25"/>
        </w:rPr>
        <w:t>C</w:t>
      </w:r>
      <w:r>
        <w:rPr>
          <w:i/>
          <w:position w:val="9"/>
          <w:sz w:val="14"/>
        </w:rPr>
        <w:t>i</w:t>
      </w:r>
    </w:p>
    <w:p>
      <w:pPr>
        <w:pStyle w:val="6"/>
        <w:spacing w:line="20" w:lineRule="exact"/>
        <w:ind w:left="1724"/>
        <w:rPr>
          <w:sz w:val="2"/>
        </w:rPr>
      </w:pPr>
      <w:r>
        <w:rPr>
          <w:sz w:val="2"/>
        </w:rPr>
        <mc:AlternateContent>
          <mc:Choice Requires="wpg">
            <w:drawing>
              <wp:inline distT="0" distB="0" distL="114300" distR="114300">
                <wp:extent cx="219710" cy="6985"/>
                <wp:effectExtent l="0" t="0" r="0" b="0"/>
                <wp:docPr id="141" name="组合 124"/>
                <wp:cNvGraphicFramePr/>
                <a:graphic xmlns:a="http://schemas.openxmlformats.org/drawingml/2006/main">
                  <a:graphicData uri="http://schemas.microsoft.com/office/word/2010/wordprocessingGroup">
                    <wpg:wgp>
                      <wpg:cNvGrpSpPr/>
                      <wpg:grpSpPr>
                        <a:xfrm>
                          <a:off x="0" y="0"/>
                          <a:ext cx="219710" cy="6985"/>
                          <a:chOff x="0" y="0"/>
                          <a:chExt cx="346" cy="11"/>
                        </a:xfrm>
                      </wpg:grpSpPr>
                      <wps:wsp>
                        <wps:cNvPr id="140" name="直线 125"/>
                        <wps:cNvSpPr/>
                        <wps:spPr>
                          <a:xfrm>
                            <a:off x="0" y="5"/>
                            <a:ext cx="346" cy="0"/>
                          </a:xfrm>
                          <a:prstGeom prst="line">
                            <a:avLst/>
                          </a:prstGeom>
                          <a:ln w="6452" cap="flat" cmpd="sng">
                            <a:solidFill>
                              <a:srgbClr val="000000"/>
                            </a:solidFill>
                            <a:prstDash val="solid"/>
                            <a:headEnd type="none" w="med" len="med"/>
                            <a:tailEnd type="none" w="med" len="med"/>
                          </a:ln>
                        </wps:spPr>
                        <wps:bodyPr upright="1"/>
                      </wps:wsp>
                    </wpg:wgp>
                  </a:graphicData>
                </a:graphic>
              </wp:inline>
            </w:drawing>
          </mc:Choice>
          <mc:Fallback>
            <w:pict>
              <v:group id="组合 124" o:spid="_x0000_s1026" o:spt="203" style="height:0.55pt;width:17.3pt;" coordsize="346,11" o:gfxdata="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37/r3TAAAAAgEAAA8AAAAAAAAAAQAgAAAAIgAAAGRycy9kb3ducmV2LnhtbFBLAQIU&#10;ABQAAAAIAIdO4kDzj+oGMQIAALUEAAAOAAAAAAAAAAEAIAAAACIBAABkcnMvZTJvRG9jLnhtbFBL&#10;BQYAAAAABgAGAFkBAADFBQAAAAA=&#10;">
                <o:lock v:ext="edit" aspectratio="f"/>
                <v:line id="直线 125" o:spid="_x0000_s1026" o:spt="20" style="position:absolute;left:0;top:5;height:0;width:346;" filled="f" stroked="t" coordsize="21600,21600" o:gfxdata="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oAVR7sAAADc&#10;AAAADwAAAAAAAAABACAAAAAiAAAAZHJzL2Rvd25yZXYueG1sUEsBAhQAFAAAAAgAh07iQDMvBZ47&#10;AAAAOQAAABAAAAAAAAAAAQAgAAAACgEAAGRycy9zaGFwZXhtbC54bWxQSwUGAAAAAAYABgBbAQAA&#10;tAMAAAAA&#10;">
                  <v:fill on="f" focussize="0,0"/>
                  <v:stroke weight="0.508031496062992pt" color="#000000" joinstyle="round"/>
                  <v:imagedata o:title=""/>
                  <o:lock v:ext="edit" aspectratio="f"/>
                </v:line>
                <w10:wrap type="none"/>
                <w10:anchorlock/>
              </v:group>
            </w:pict>
          </mc:Fallback>
        </mc:AlternateContent>
      </w:r>
    </w:p>
    <w:p>
      <w:pPr>
        <w:spacing w:before="0" w:line="139" w:lineRule="exact"/>
        <w:ind w:left="1211" w:right="0" w:firstLine="0"/>
        <w:jc w:val="left"/>
        <w:rPr>
          <w:i/>
          <w:sz w:val="14"/>
        </w:rPr>
      </w:pPr>
      <w:r>
        <mc:AlternateContent>
          <mc:Choice Requires="wps">
            <w:drawing>
              <wp:anchor distT="0" distB="0" distL="114300" distR="114300" simplePos="0" relativeHeight="251756544" behindDoc="0" locked="0" layoutInCell="1" allowOverlap="1">
                <wp:simplePos x="0" y="0"/>
                <wp:positionH relativeFrom="page">
                  <wp:posOffset>1849120</wp:posOffset>
                </wp:positionH>
                <wp:positionV relativeFrom="paragraph">
                  <wp:posOffset>13970</wp:posOffset>
                </wp:positionV>
                <wp:extent cx="124460" cy="151765"/>
                <wp:effectExtent l="0" t="0" r="0" b="0"/>
                <wp:wrapNone/>
                <wp:docPr id="253" name="文本框 126"/>
                <wp:cNvGraphicFramePr/>
                <a:graphic xmlns:a="http://schemas.openxmlformats.org/drawingml/2006/main">
                  <a:graphicData uri="http://schemas.microsoft.com/office/word/2010/wordprocessingShape">
                    <wps:wsp>
                      <wps:cNvSpPr txBox="1"/>
                      <wps:spPr>
                        <a:xfrm>
                          <a:off x="0" y="0"/>
                          <a:ext cx="124460" cy="151765"/>
                        </a:xfrm>
                        <a:prstGeom prst="rect">
                          <a:avLst/>
                        </a:prstGeom>
                        <a:noFill/>
                        <a:ln>
                          <a:noFill/>
                        </a:ln>
                      </wps:spPr>
                      <wps:txbx>
                        <w:txbxContent>
                          <w:p>
                            <w:pPr>
                              <w:spacing w:before="0" w:line="238" w:lineRule="exact"/>
                              <w:ind w:left="0" w:right="0" w:firstLine="0"/>
                              <w:jc w:val="left"/>
                              <w:rPr>
                                <w:i/>
                                <w:sz w:val="25"/>
                              </w:rPr>
                            </w:pPr>
                            <w:r>
                              <w:rPr>
                                <w:i/>
                                <w:w w:val="95"/>
                                <w:sz w:val="25"/>
                              </w:rPr>
                              <w:t>C</w:t>
                            </w:r>
                          </w:p>
                        </w:txbxContent>
                      </wps:txbx>
                      <wps:bodyPr lIns="0" tIns="0" rIns="0" bIns="0" upright="1"/>
                    </wps:wsp>
                  </a:graphicData>
                </a:graphic>
              </wp:anchor>
            </w:drawing>
          </mc:Choice>
          <mc:Fallback>
            <w:pict>
              <v:shape id="文本框 126" o:spid="_x0000_s1026" o:spt="202" type="#_x0000_t202" style="position:absolute;left:0pt;margin-left:145.6pt;margin-top:1.1pt;height:11.95pt;width:9.8pt;mso-position-horizontal-relative:page;z-index:251756544;mso-width-relative:page;mso-height-relative:page;" filled="f" stroked="f" coordsize="21600,21600" o:gfxdata="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CMq+z9UAAAAIAQAADwAAAAAAAAAB&#10;ACAAAAAiAAAAZHJzL2Rvd25yZXYueG1sUEsBAhQAFAAAAAgAh07iQCvK+XmhAQAAJwMAAA4AAAAA&#10;AAAAAQAgAAAAJAEAAGRycy9lMm9Eb2MueG1sUEsFBgAAAAAGAAYAWQEAADcFAAAAAA==&#10;">
                <v:fill on="f" focussize="0,0"/>
                <v:stroke on="f"/>
                <v:imagedata o:title=""/>
                <o:lock v:ext="edit" aspectratio="f"/>
                <v:textbox inset="0mm,0mm,0mm,0mm">
                  <w:txbxContent>
                    <w:p>
                      <w:pPr>
                        <w:spacing w:before="0" w:line="238" w:lineRule="exact"/>
                        <w:ind w:left="0" w:right="0" w:firstLine="0"/>
                        <w:jc w:val="left"/>
                        <w:rPr>
                          <w:i/>
                          <w:sz w:val="25"/>
                        </w:rPr>
                      </w:pPr>
                      <w:r>
                        <w:rPr>
                          <w:i/>
                          <w:w w:val="95"/>
                          <w:sz w:val="25"/>
                        </w:rPr>
                        <w:t>C</w:t>
                      </w:r>
                    </w:p>
                  </w:txbxContent>
                </v:textbox>
              </v:shape>
            </w:pict>
          </mc:Fallback>
        </mc:AlternateContent>
      </w:r>
      <w:r>
        <w:rPr>
          <w:i/>
          <w:w w:val="99"/>
          <w:sz w:val="14"/>
        </w:rPr>
        <w:t>i</w:t>
      </w:r>
    </w:p>
    <w:p>
      <w:pPr>
        <w:spacing w:before="7"/>
        <w:ind w:left="1871" w:right="0" w:firstLine="0"/>
        <w:jc w:val="left"/>
        <w:rPr>
          <w:i/>
          <w:sz w:val="14"/>
        </w:rPr>
      </w:pPr>
      <w:r>
        <w:rPr>
          <w:i/>
          <w:sz w:val="14"/>
        </w:rPr>
        <w:t>si</w:t>
      </w:r>
    </w:p>
    <w:p>
      <w:pPr>
        <w:pStyle w:val="6"/>
        <w:spacing w:before="6"/>
        <w:rPr>
          <w:i/>
          <w:sz w:val="15"/>
        </w:rPr>
      </w:pPr>
    </w:p>
    <w:p>
      <w:pPr>
        <w:pStyle w:val="6"/>
        <w:spacing w:line="362" w:lineRule="auto"/>
        <w:ind w:left="1632" w:right="3623" w:hanging="562"/>
      </w:pPr>
      <w:r>
        <w:rPr>
          <w:position w:val="2"/>
        </w:rPr>
        <w:t>式中：</w:t>
      </w:r>
      <w:r>
        <w:rPr>
          <w:rFonts w:ascii="Times New Roman" w:eastAsia="Times New Roman"/>
          <w:position w:val="2"/>
        </w:rPr>
        <w:t>P</w:t>
      </w:r>
      <w:r>
        <w:rPr>
          <w:rFonts w:ascii="Times New Roman" w:eastAsia="Times New Roman"/>
          <w:position w:val="2"/>
          <w:vertAlign w:val="subscript"/>
        </w:rPr>
        <w:t>i</w:t>
      </w:r>
      <w:r>
        <w:rPr>
          <w:position w:val="2"/>
          <w:vertAlign w:val="baseline"/>
        </w:rPr>
        <w:t xml:space="preserve">－第 </w:t>
      </w:r>
      <w:r>
        <w:rPr>
          <w:rFonts w:ascii="Times New Roman" w:eastAsia="Times New Roman"/>
          <w:position w:val="2"/>
          <w:vertAlign w:val="baseline"/>
        </w:rPr>
        <w:t xml:space="preserve">i </w:t>
      </w:r>
      <w:r>
        <w:rPr>
          <w:position w:val="2"/>
          <w:vertAlign w:val="baseline"/>
        </w:rPr>
        <w:t xml:space="preserve">个水质因子的标准指数，无量纲； </w:t>
      </w:r>
      <w:r>
        <w:rPr>
          <w:rFonts w:ascii="Times New Roman" w:eastAsia="Times New Roman"/>
          <w:position w:val="2"/>
          <w:vertAlign w:val="baseline"/>
        </w:rPr>
        <w:t>C</w:t>
      </w:r>
      <w:r>
        <w:rPr>
          <w:rFonts w:ascii="Times New Roman" w:eastAsia="Times New Roman"/>
          <w:position w:val="2"/>
          <w:vertAlign w:val="subscript"/>
        </w:rPr>
        <w:t>i</w:t>
      </w:r>
      <w:r>
        <w:rPr>
          <w:position w:val="2"/>
          <w:vertAlign w:val="baseline"/>
        </w:rPr>
        <w:t xml:space="preserve">－第 </w:t>
      </w:r>
      <w:r>
        <w:rPr>
          <w:rFonts w:ascii="Times New Roman" w:eastAsia="Times New Roman"/>
          <w:position w:val="2"/>
          <w:vertAlign w:val="baseline"/>
        </w:rPr>
        <w:t xml:space="preserve">i </w:t>
      </w:r>
      <w:r>
        <w:rPr>
          <w:position w:val="2"/>
          <w:vertAlign w:val="baseline"/>
        </w:rPr>
        <w:t>个水质因子的监测浓度值，</w:t>
      </w:r>
      <w:r>
        <w:rPr>
          <w:rFonts w:ascii="Times New Roman" w:eastAsia="Times New Roman"/>
          <w:position w:val="2"/>
          <w:vertAlign w:val="baseline"/>
        </w:rPr>
        <w:t>mg/L</w:t>
      </w:r>
      <w:r>
        <w:rPr>
          <w:position w:val="2"/>
          <w:vertAlign w:val="baseline"/>
        </w:rPr>
        <w:t xml:space="preserve">； </w:t>
      </w:r>
      <w:r>
        <w:rPr>
          <w:rFonts w:ascii="Times New Roman" w:eastAsia="Times New Roman"/>
          <w:position w:val="2"/>
          <w:vertAlign w:val="baseline"/>
        </w:rPr>
        <w:t>C</w:t>
      </w:r>
      <w:r>
        <w:rPr>
          <w:rFonts w:ascii="Times New Roman" w:eastAsia="Times New Roman"/>
          <w:position w:val="2"/>
          <w:vertAlign w:val="subscript"/>
        </w:rPr>
        <w:t>si</w:t>
      </w:r>
      <w:r>
        <w:rPr>
          <w:position w:val="2"/>
          <w:vertAlign w:val="baseline"/>
        </w:rPr>
        <w:t xml:space="preserve">－第 </w:t>
      </w:r>
      <w:r>
        <w:rPr>
          <w:rFonts w:ascii="Times New Roman" w:eastAsia="Times New Roman"/>
          <w:position w:val="2"/>
          <w:vertAlign w:val="baseline"/>
        </w:rPr>
        <w:t xml:space="preserve">i </w:t>
      </w:r>
      <w:r>
        <w:rPr>
          <w:position w:val="2"/>
          <w:vertAlign w:val="baseline"/>
        </w:rPr>
        <w:t>个水质因子的标准浓度值，</w:t>
      </w:r>
      <w:r>
        <w:rPr>
          <w:rFonts w:ascii="Times New Roman" w:eastAsia="Times New Roman"/>
          <w:position w:val="2"/>
          <w:vertAlign w:val="baseline"/>
        </w:rPr>
        <w:t>mg/L</w:t>
      </w:r>
      <w:r>
        <w:rPr>
          <w:position w:val="2"/>
          <w:vertAlign w:val="baseline"/>
        </w:rPr>
        <w:t>。</w:t>
      </w:r>
    </w:p>
    <w:p>
      <w:pPr>
        <w:pStyle w:val="13"/>
        <w:numPr>
          <w:ilvl w:val="4"/>
          <w:numId w:val="59"/>
        </w:numPr>
        <w:tabs>
          <w:tab w:val="left" w:pos="1672"/>
        </w:tabs>
        <w:spacing w:before="1" w:after="0" w:line="364" w:lineRule="auto"/>
        <w:ind w:left="551" w:right="969" w:firstLine="518"/>
        <w:jc w:val="left"/>
        <w:rPr>
          <w:sz w:val="24"/>
        </w:rPr>
      </w:pPr>
      <w:r>
        <w:drawing>
          <wp:anchor distT="0" distB="0" distL="0" distR="0" simplePos="0" relativeHeight="214193152" behindDoc="1" locked="0" layoutInCell="1" allowOverlap="1">
            <wp:simplePos x="0" y="0"/>
            <wp:positionH relativeFrom="page">
              <wp:posOffset>2068195</wp:posOffset>
            </wp:positionH>
            <wp:positionV relativeFrom="paragraph">
              <wp:posOffset>708660</wp:posOffset>
            </wp:positionV>
            <wp:extent cx="488950" cy="250825"/>
            <wp:effectExtent l="0" t="0" r="0" b="0"/>
            <wp:wrapNone/>
            <wp:docPr id="5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1.png"/>
                    <pic:cNvPicPr>
                      <a:picLocks noChangeAspect="1"/>
                    </pic:cNvPicPr>
                  </pic:nvPicPr>
                  <pic:blipFill>
                    <a:blip r:embed="rId67" cstate="print"/>
                    <a:stretch>
                      <a:fillRect/>
                    </a:stretch>
                  </pic:blipFill>
                  <pic:spPr>
                    <a:xfrm>
                      <a:off x="0" y="0"/>
                      <a:ext cx="488938" cy="250644"/>
                    </a:xfrm>
                    <a:prstGeom prst="rect">
                      <a:avLst/>
                    </a:prstGeom>
                  </pic:spPr>
                </pic:pic>
              </a:graphicData>
            </a:graphic>
          </wp:anchor>
        </w:drawing>
      </w:r>
      <w:r>
        <w:rPr>
          <w:spacing w:val="-2"/>
          <w:sz w:val="24"/>
        </w:rPr>
        <w:t>对于评价标准为区间值的水质因子</w:t>
      </w:r>
      <w:r>
        <w:rPr>
          <w:sz w:val="24"/>
        </w:rPr>
        <w:t>（</w:t>
      </w:r>
      <w:r>
        <w:rPr>
          <w:spacing w:val="-30"/>
          <w:sz w:val="24"/>
        </w:rPr>
        <w:t xml:space="preserve">如 </w:t>
      </w:r>
      <w:r>
        <w:rPr>
          <w:rFonts w:ascii="Times New Roman" w:eastAsia="Times New Roman"/>
          <w:sz w:val="24"/>
        </w:rPr>
        <w:t>pH</w:t>
      </w:r>
      <w:r>
        <w:rPr>
          <w:rFonts w:ascii="Times New Roman" w:eastAsia="Times New Roman"/>
          <w:spacing w:val="1"/>
          <w:sz w:val="24"/>
        </w:rPr>
        <w:t xml:space="preserve"> </w:t>
      </w:r>
      <w:r>
        <w:rPr>
          <w:sz w:val="24"/>
        </w:rPr>
        <w:t>值</w:t>
      </w:r>
      <w:r>
        <w:rPr>
          <w:spacing w:val="-23"/>
          <w:sz w:val="24"/>
        </w:rPr>
        <w:t>）</w:t>
      </w:r>
      <w:r>
        <w:rPr>
          <w:spacing w:val="-5"/>
          <w:sz w:val="24"/>
        </w:rPr>
        <w:t>，其标准指数计算方法如下：</w:t>
      </w:r>
    </w:p>
    <w:p>
      <w:pPr>
        <w:pStyle w:val="6"/>
        <w:spacing w:before="1"/>
        <w:rPr>
          <w:sz w:val="34"/>
        </w:rPr>
      </w:pPr>
    </w:p>
    <w:p>
      <w:pPr>
        <w:pStyle w:val="6"/>
        <w:tabs>
          <w:tab w:val="left" w:pos="3184"/>
        </w:tabs>
        <w:spacing w:before="1"/>
        <w:ind w:left="1070"/>
      </w:pPr>
      <w:r>
        <w:rPr>
          <w:rFonts w:ascii="Times New Roman" w:hAnsi="Times New Roman" w:eastAsia="Times New Roman"/>
          <w:position w:val="2"/>
        </w:rPr>
        <w:t>P</w:t>
      </w:r>
      <w:r>
        <w:rPr>
          <w:rFonts w:ascii="Times New Roman" w:hAnsi="Times New Roman" w:eastAsia="Times New Roman"/>
          <w:position w:val="2"/>
          <w:vertAlign w:val="subscript"/>
        </w:rPr>
        <w:t>pH</w:t>
      </w:r>
      <w:r>
        <w:rPr>
          <w:rFonts w:ascii="Times New Roman" w:hAnsi="Times New Roman" w:eastAsia="Times New Roman"/>
          <w:position w:val="2"/>
          <w:vertAlign w:val="baseline"/>
        </w:rPr>
        <w:t>=</w:t>
      </w:r>
      <w:r>
        <w:rPr>
          <w:rFonts w:ascii="Times New Roman" w:hAnsi="Times New Roman" w:eastAsia="Times New Roman"/>
          <w:position w:val="2"/>
          <w:vertAlign w:val="baseline"/>
        </w:rPr>
        <w:tab/>
      </w:r>
      <w:r>
        <w:rPr>
          <w:rFonts w:ascii="Times New Roman" w:hAnsi="Times New Roman" w:eastAsia="Times New Roman"/>
          <w:position w:val="2"/>
          <w:vertAlign w:val="baseline"/>
        </w:rPr>
        <w:t xml:space="preserve">pH≤7 </w:t>
      </w:r>
      <w:r>
        <w:rPr>
          <w:position w:val="2"/>
          <w:vertAlign w:val="baseline"/>
        </w:rPr>
        <w:t>时</w:t>
      </w:r>
    </w:p>
    <w:p>
      <w:pPr>
        <w:pStyle w:val="6"/>
        <w:rPr>
          <w:sz w:val="26"/>
        </w:rPr>
      </w:pPr>
    </w:p>
    <w:p>
      <w:pPr>
        <w:pStyle w:val="6"/>
        <w:spacing w:before="9"/>
        <w:rPr>
          <w:sz w:val="22"/>
        </w:rPr>
      </w:pPr>
    </w:p>
    <w:p>
      <w:pPr>
        <w:pStyle w:val="6"/>
        <w:tabs>
          <w:tab w:val="left" w:pos="3184"/>
        </w:tabs>
        <w:ind w:left="1070"/>
      </w:pPr>
      <w:r>
        <w:drawing>
          <wp:anchor distT="0" distB="0" distL="0" distR="0" simplePos="0" relativeHeight="214194176" behindDoc="1" locked="0" layoutInCell="1" allowOverlap="1">
            <wp:simplePos x="0" y="0"/>
            <wp:positionH relativeFrom="page">
              <wp:posOffset>2068195</wp:posOffset>
            </wp:positionH>
            <wp:positionV relativeFrom="paragraph">
              <wp:posOffset>-162560</wp:posOffset>
            </wp:positionV>
            <wp:extent cx="488950" cy="250825"/>
            <wp:effectExtent l="0" t="0" r="0" b="0"/>
            <wp:wrapNone/>
            <wp:docPr id="5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2.png"/>
                    <pic:cNvPicPr>
                      <a:picLocks noChangeAspect="1"/>
                    </pic:cNvPicPr>
                  </pic:nvPicPr>
                  <pic:blipFill>
                    <a:blip r:embed="rId68" cstate="print"/>
                    <a:stretch>
                      <a:fillRect/>
                    </a:stretch>
                  </pic:blipFill>
                  <pic:spPr>
                    <a:xfrm>
                      <a:off x="0" y="0"/>
                      <a:ext cx="488938" cy="250644"/>
                    </a:xfrm>
                    <a:prstGeom prst="rect">
                      <a:avLst/>
                    </a:prstGeom>
                  </pic:spPr>
                </pic:pic>
              </a:graphicData>
            </a:graphic>
          </wp:anchor>
        </w:drawing>
      </w:r>
      <w:r>
        <w:rPr>
          <w:rFonts w:ascii="Times New Roman" w:eastAsia="Times New Roman"/>
          <w:position w:val="2"/>
        </w:rPr>
        <w:t>P</w:t>
      </w:r>
      <w:r>
        <w:rPr>
          <w:rFonts w:ascii="Times New Roman" w:eastAsia="Times New Roman"/>
          <w:position w:val="2"/>
          <w:vertAlign w:val="subscript"/>
        </w:rPr>
        <w:t>pH</w:t>
      </w:r>
      <w:r>
        <w:rPr>
          <w:rFonts w:ascii="Times New Roman" w:eastAsia="Times New Roman"/>
          <w:position w:val="2"/>
          <w:vertAlign w:val="baseline"/>
        </w:rPr>
        <w:t>=</w:t>
      </w:r>
      <w:r>
        <w:rPr>
          <w:rFonts w:ascii="Times New Roman" w:eastAsia="Times New Roman"/>
          <w:position w:val="2"/>
          <w:vertAlign w:val="baseline"/>
        </w:rPr>
        <w:tab/>
      </w:r>
      <w:r>
        <w:rPr>
          <w:rFonts w:ascii="Times New Roman" w:eastAsia="Times New Roman"/>
          <w:position w:val="2"/>
          <w:vertAlign w:val="baseline"/>
        </w:rPr>
        <w:t>pH</w:t>
      </w:r>
      <w:r>
        <w:rPr>
          <w:position w:val="2"/>
          <w:vertAlign w:val="baseline"/>
        </w:rPr>
        <w:t>＞</w:t>
      </w:r>
      <w:r>
        <w:rPr>
          <w:rFonts w:ascii="Times New Roman" w:eastAsia="Times New Roman"/>
          <w:position w:val="2"/>
          <w:vertAlign w:val="baseline"/>
        </w:rPr>
        <w:t xml:space="preserve">7 </w:t>
      </w:r>
      <w:r>
        <w:rPr>
          <w:position w:val="2"/>
          <w:vertAlign w:val="baseline"/>
        </w:rPr>
        <w:t>时</w:t>
      </w:r>
    </w:p>
    <w:p>
      <w:pPr>
        <w:pStyle w:val="6"/>
        <w:spacing w:before="185"/>
        <w:ind w:left="1070"/>
      </w:pPr>
      <w:r>
        <w:rPr>
          <w:position w:val="2"/>
        </w:rPr>
        <w:t>式中：</w:t>
      </w:r>
      <w:r>
        <w:rPr>
          <w:rFonts w:ascii="Times New Roman" w:hAnsi="Times New Roman" w:eastAsia="Times New Roman"/>
          <w:position w:val="2"/>
        </w:rPr>
        <w:t>P</w:t>
      </w:r>
      <w:r>
        <w:rPr>
          <w:rFonts w:ascii="Times New Roman" w:hAnsi="Times New Roman" w:eastAsia="Times New Roman"/>
          <w:position w:val="2"/>
          <w:vertAlign w:val="subscript"/>
        </w:rPr>
        <w:t>pH</w:t>
      </w:r>
      <w:r>
        <w:rPr>
          <w:rFonts w:ascii="Times New Roman" w:hAnsi="Times New Roman" w:eastAsia="Times New Roman"/>
          <w:position w:val="2"/>
          <w:vertAlign w:val="baseline"/>
        </w:rPr>
        <w:t>—</w:t>
      </w:r>
      <w:r>
        <w:rPr>
          <w:position w:val="2"/>
          <w:vertAlign w:val="baseline"/>
        </w:rPr>
        <w:t>的标准指数，无量纲；</w:t>
      </w:r>
    </w:p>
    <w:p>
      <w:pPr>
        <w:pStyle w:val="6"/>
        <w:spacing w:before="159"/>
        <w:ind w:left="1670"/>
      </w:pPr>
      <w:r>
        <w:rPr>
          <w:rFonts w:ascii="Times New Roman" w:hAnsi="Times New Roman" w:eastAsia="Times New Roman"/>
        </w:rPr>
        <w:t xml:space="preserve">pH—pH </w:t>
      </w:r>
      <w:r>
        <w:t>监测值；</w:t>
      </w:r>
    </w:p>
    <w:p>
      <w:pPr>
        <w:pStyle w:val="6"/>
        <w:spacing w:before="3"/>
        <w:rPr>
          <w:sz w:val="28"/>
        </w:rPr>
      </w:pPr>
    </w:p>
    <w:p>
      <w:pPr>
        <w:pStyle w:val="6"/>
        <w:ind w:left="2700"/>
      </w:pPr>
      <w:r>
        <w:drawing>
          <wp:anchor distT="0" distB="0" distL="0" distR="0" simplePos="0" relativeHeight="251754496" behindDoc="0" locked="0" layoutInCell="1" allowOverlap="1">
            <wp:simplePos x="0" y="0"/>
            <wp:positionH relativeFrom="page">
              <wp:posOffset>2159000</wp:posOffset>
            </wp:positionH>
            <wp:positionV relativeFrom="paragraph">
              <wp:posOffset>-42545</wp:posOffset>
            </wp:positionV>
            <wp:extent cx="317500" cy="126365"/>
            <wp:effectExtent l="0" t="0" r="0" b="0"/>
            <wp:wrapNone/>
            <wp:docPr id="6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3.png"/>
                    <pic:cNvPicPr>
                      <a:picLocks noChangeAspect="1"/>
                    </pic:cNvPicPr>
                  </pic:nvPicPr>
                  <pic:blipFill>
                    <a:blip r:embed="rId69" cstate="print"/>
                    <a:stretch>
                      <a:fillRect/>
                    </a:stretch>
                  </pic:blipFill>
                  <pic:spPr>
                    <a:xfrm>
                      <a:off x="0" y="0"/>
                      <a:ext cx="317283" cy="126301"/>
                    </a:xfrm>
                    <a:prstGeom prst="rect">
                      <a:avLst/>
                    </a:prstGeom>
                  </pic:spPr>
                </pic:pic>
              </a:graphicData>
            </a:graphic>
          </wp:anchor>
        </w:drawing>
      </w:r>
      <w:r>
        <w:rPr>
          <w:rFonts w:ascii="Times New Roman" w:hAnsi="Times New Roman" w:eastAsia="Times New Roman"/>
        </w:rPr>
        <w:t>—</w:t>
      </w:r>
      <w:r>
        <w:rPr>
          <w:spacing w:val="-12"/>
        </w:rPr>
        <w:t xml:space="preserve">标准值中 </w:t>
      </w:r>
      <w:r>
        <w:rPr>
          <w:rFonts w:ascii="Times New Roman" w:hAnsi="Times New Roman" w:eastAsia="Times New Roman"/>
        </w:rPr>
        <w:t>pH</w:t>
      </w:r>
      <w:r>
        <w:rPr>
          <w:rFonts w:ascii="Times New Roman" w:hAnsi="Times New Roman" w:eastAsia="Times New Roman"/>
          <w:spacing w:val="-1"/>
        </w:rPr>
        <w:t xml:space="preserve"> </w:t>
      </w:r>
      <w:r>
        <w:t>的上限值；</w:t>
      </w:r>
    </w:p>
    <w:p>
      <w:pPr>
        <w:pStyle w:val="6"/>
        <w:spacing w:before="12"/>
        <w:rPr>
          <w:sz w:val="18"/>
        </w:rPr>
      </w:pPr>
    </w:p>
    <w:p>
      <w:pPr>
        <w:pStyle w:val="6"/>
        <w:spacing w:before="74"/>
        <w:ind w:left="2700"/>
      </w:pPr>
      <w:r>
        <w:drawing>
          <wp:anchor distT="0" distB="0" distL="0" distR="0" simplePos="0" relativeHeight="251755520" behindDoc="0" locked="0" layoutInCell="1" allowOverlap="1">
            <wp:simplePos x="0" y="0"/>
            <wp:positionH relativeFrom="page">
              <wp:posOffset>2159000</wp:posOffset>
            </wp:positionH>
            <wp:positionV relativeFrom="paragraph">
              <wp:posOffset>4445</wp:posOffset>
            </wp:positionV>
            <wp:extent cx="317500" cy="126365"/>
            <wp:effectExtent l="0" t="0" r="0" b="0"/>
            <wp:wrapNone/>
            <wp:docPr id="6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4.png"/>
                    <pic:cNvPicPr>
                      <a:picLocks noChangeAspect="1"/>
                    </pic:cNvPicPr>
                  </pic:nvPicPr>
                  <pic:blipFill>
                    <a:blip r:embed="rId70" cstate="print"/>
                    <a:stretch>
                      <a:fillRect/>
                    </a:stretch>
                  </pic:blipFill>
                  <pic:spPr>
                    <a:xfrm>
                      <a:off x="0" y="0"/>
                      <a:ext cx="317283" cy="126301"/>
                    </a:xfrm>
                    <a:prstGeom prst="rect">
                      <a:avLst/>
                    </a:prstGeom>
                  </pic:spPr>
                </pic:pic>
              </a:graphicData>
            </a:graphic>
          </wp:anchor>
        </w:drawing>
      </w:r>
      <w:r>
        <w:rPr>
          <w:rFonts w:ascii="Times New Roman" w:hAnsi="Times New Roman" w:eastAsia="Times New Roman"/>
        </w:rPr>
        <w:t>—</w:t>
      </w:r>
      <w:r>
        <w:rPr>
          <w:spacing w:val="-12"/>
        </w:rPr>
        <w:t xml:space="preserve">标准值中 </w:t>
      </w:r>
      <w:r>
        <w:rPr>
          <w:rFonts w:ascii="Times New Roman" w:hAnsi="Times New Roman" w:eastAsia="Times New Roman"/>
        </w:rPr>
        <w:t>pH</w:t>
      </w:r>
      <w:r>
        <w:rPr>
          <w:rFonts w:ascii="Times New Roman" w:hAnsi="Times New Roman" w:eastAsia="Times New Roman"/>
          <w:spacing w:val="-1"/>
        </w:rPr>
        <w:t xml:space="preserve"> </w:t>
      </w:r>
      <w:r>
        <w:t>的下限值。</w:t>
      </w:r>
    </w:p>
    <w:p>
      <w:pPr>
        <w:pStyle w:val="6"/>
        <w:spacing w:before="36"/>
        <w:ind w:left="1031"/>
      </w:pPr>
      <w:r>
        <w:rPr>
          <w:rFonts w:ascii="Times New Roman" w:eastAsia="Times New Roman"/>
        </w:rPr>
        <w:t>2</w:t>
      </w:r>
      <w:r>
        <w:t>、评价标准</w:t>
      </w:r>
    </w:p>
    <w:p>
      <w:pPr>
        <w:pStyle w:val="6"/>
        <w:spacing w:before="160" w:line="364" w:lineRule="auto"/>
        <w:ind w:left="551" w:right="849" w:firstLine="480"/>
      </w:pPr>
      <w:r>
        <w:rPr>
          <w:spacing w:val="-8"/>
        </w:rPr>
        <w:t>根据评价区地下水水质状况和使用功能，地下水评价执行《地下水质量标准》</w:t>
      </w:r>
      <w:r>
        <w:rPr>
          <w:rFonts w:ascii="Times New Roman" w:hAnsi="Times New Roman" w:eastAsia="Times New Roman"/>
        </w:rPr>
        <w:t>(GB/T14848-2017)</w:t>
      </w:r>
      <w:r>
        <w:t>Ⅲ类标准，Ⅲ类以人体健康基准值为依据，具体指标的评价标</w:t>
      </w:r>
      <w:r>
        <w:rPr>
          <w:spacing w:val="-15"/>
        </w:rPr>
        <w:t xml:space="preserve">准见表 </w:t>
      </w:r>
      <w:r>
        <w:rPr>
          <w:rFonts w:ascii="Times New Roman" w:hAnsi="Times New Roman" w:eastAsia="Times New Roman"/>
        </w:rPr>
        <w:t>6.4-5</w:t>
      </w:r>
      <w:r>
        <w:t>。</w:t>
      </w:r>
    </w:p>
    <w:p>
      <w:pPr>
        <w:pStyle w:val="5"/>
        <w:spacing w:before="77"/>
        <w:ind w:left="3573"/>
      </w:pPr>
      <w:r>
        <w:t xml:space="preserve">表 </w:t>
      </w:r>
      <w:r>
        <w:rPr>
          <w:rFonts w:ascii="Times New Roman" w:eastAsia="Times New Roman"/>
        </w:rPr>
        <w:t xml:space="preserve">6.4-5  </w:t>
      </w:r>
      <w:r>
        <w:t>地下水质量标准表</w:t>
      </w:r>
    </w:p>
    <w:p>
      <w:pPr>
        <w:pStyle w:val="6"/>
        <w:spacing w:before="4"/>
        <w:rPr>
          <w:b/>
          <w:sz w:val="6"/>
        </w:rPr>
      </w:pPr>
    </w:p>
    <w:tbl>
      <w:tblPr>
        <w:tblStyle w:val="10"/>
        <w:tblW w:w="0" w:type="auto"/>
        <w:tblInd w:w="4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63"/>
        <w:gridCol w:w="1218"/>
        <w:gridCol w:w="1216"/>
        <w:gridCol w:w="1224"/>
        <w:gridCol w:w="1683"/>
        <w:gridCol w:w="12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63" w:type="dxa"/>
          </w:tcPr>
          <w:p>
            <w:pPr>
              <w:pStyle w:val="14"/>
              <w:jc w:val="left"/>
              <w:rPr>
                <w:rFonts w:ascii="Times New Roman"/>
                <w:sz w:val="22"/>
              </w:rPr>
            </w:pPr>
          </w:p>
        </w:tc>
        <w:tc>
          <w:tcPr>
            <w:tcW w:w="1218" w:type="dxa"/>
          </w:tcPr>
          <w:p>
            <w:pPr>
              <w:pStyle w:val="14"/>
              <w:spacing w:before="97"/>
              <w:ind w:left="179" w:right="170"/>
              <w:rPr>
                <w:sz w:val="21"/>
              </w:rPr>
            </w:pPr>
            <w:r>
              <w:rPr>
                <w:sz w:val="21"/>
              </w:rPr>
              <w:t>Ⅰ类</w:t>
            </w:r>
          </w:p>
        </w:tc>
        <w:tc>
          <w:tcPr>
            <w:tcW w:w="1216" w:type="dxa"/>
          </w:tcPr>
          <w:p>
            <w:pPr>
              <w:pStyle w:val="14"/>
              <w:spacing w:before="97"/>
              <w:ind w:left="397"/>
              <w:jc w:val="left"/>
              <w:rPr>
                <w:sz w:val="21"/>
              </w:rPr>
            </w:pPr>
            <w:r>
              <w:rPr>
                <w:sz w:val="21"/>
              </w:rPr>
              <w:t>Ⅱ类</w:t>
            </w:r>
          </w:p>
        </w:tc>
        <w:tc>
          <w:tcPr>
            <w:tcW w:w="1224" w:type="dxa"/>
          </w:tcPr>
          <w:p>
            <w:pPr>
              <w:pStyle w:val="14"/>
              <w:spacing w:before="97"/>
              <w:ind w:left="297" w:right="288"/>
              <w:rPr>
                <w:b/>
                <w:sz w:val="21"/>
              </w:rPr>
            </w:pPr>
            <w:r>
              <w:rPr>
                <w:b/>
                <w:sz w:val="21"/>
              </w:rPr>
              <w:t>Ⅲ类</w:t>
            </w:r>
          </w:p>
        </w:tc>
        <w:tc>
          <w:tcPr>
            <w:tcW w:w="1683" w:type="dxa"/>
          </w:tcPr>
          <w:p>
            <w:pPr>
              <w:pStyle w:val="14"/>
              <w:spacing w:before="97"/>
              <w:ind w:left="399" w:right="393"/>
              <w:rPr>
                <w:sz w:val="21"/>
              </w:rPr>
            </w:pPr>
            <w:r>
              <w:rPr>
                <w:sz w:val="21"/>
              </w:rPr>
              <w:t>Ⅳ类</w:t>
            </w:r>
          </w:p>
        </w:tc>
        <w:tc>
          <w:tcPr>
            <w:tcW w:w="1218" w:type="dxa"/>
          </w:tcPr>
          <w:p>
            <w:pPr>
              <w:pStyle w:val="14"/>
              <w:spacing w:before="97"/>
              <w:ind w:left="179" w:right="170"/>
              <w:rPr>
                <w:sz w:val="21"/>
              </w:rPr>
            </w:pPr>
            <w:r>
              <w:rPr>
                <w:rFonts w:ascii="Times New Roman" w:eastAsia="Times New Roman"/>
                <w:sz w:val="21"/>
              </w:rPr>
              <w:t xml:space="preserve">V </w:t>
            </w:r>
            <w:r>
              <w:rPr>
                <w:sz w:val="21"/>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963" w:type="dxa"/>
          </w:tcPr>
          <w:p>
            <w:pPr>
              <w:pStyle w:val="14"/>
              <w:spacing w:before="176"/>
              <w:ind w:left="329" w:right="319"/>
              <w:rPr>
                <w:sz w:val="21"/>
              </w:rPr>
            </w:pPr>
            <w:r>
              <w:rPr>
                <w:rFonts w:ascii="Times New Roman" w:eastAsia="Times New Roman"/>
                <w:sz w:val="21"/>
              </w:rPr>
              <w:t xml:space="preserve">pH </w:t>
            </w:r>
            <w:r>
              <w:rPr>
                <w:sz w:val="21"/>
              </w:rPr>
              <w:t>值</w:t>
            </w:r>
          </w:p>
        </w:tc>
        <w:tc>
          <w:tcPr>
            <w:tcW w:w="3658" w:type="dxa"/>
            <w:gridSpan w:val="3"/>
          </w:tcPr>
          <w:p>
            <w:pPr>
              <w:pStyle w:val="14"/>
              <w:spacing w:before="176"/>
              <w:ind w:left="1439" w:right="1433"/>
              <w:rPr>
                <w:rFonts w:ascii="Times New Roman" w:eastAsia="Times New Roman"/>
                <w:b/>
                <w:sz w:val="21"/>
              </w:rPr>
            </w:pPr>
            <w:r>
              <w:rPr>
                <w:rFonts w:ascii="Times New Roman" w:eastAsia="Times New Roman"/>
                <w:b/>
                <w:sz w:val="21"/>
              </w:rPr>
              <w:t>6.5</w:t>
            </w:r>
            <w:r>
              <w:rPr>
                <w:b/>
                <w:sz w:val="21"/>
              </w:rPr>
              <w:t>～</w:t>
            </w:r>
            <w:r>
              <w:rPr>
                <w:rFonts w:ascii="Times New Roman" w:eastAsia="Times New Roman"/>
                <w:b/>
                <w:sz w:val="21"/>
              </w:rPr>
              <w:t>8.5</w:t>
            </w:r>
          </w:p>
        </w:tc>
        <w:tc>
          <w:tcPr>
            <w:tcW w:w="1683" w:type="dxa"/>
          </w:tcPr>
          <w:p>
            <w:pPr>
              <w:pStyle w:val="14"/>
              <w:spacing w:before="20"/>
              <w:ind w:left="472"/>
              <w:jc w:val="left"/>
              <w:rPr>
                <w:rFonts w:ascii="Times New Roman" w:eastAsia="Times New Roman"/>
                <w:sz w:val="21"/>
              </w:rPr>
            </w:pPr>
            <w:r>
              <w:rPr>
                <w:rFonts w:ascii="Times New Roman" w:eastAsia="Times New Roman"/>
                <w:sz w:val="21"/>
              </w:rPr>
              <w:t>5.5</w:t>
            </w:r>
            <w:r>
              <w:rPr>
                <w:sz w:val="21"/>
              </w:rPr>
              <w:t>～</w:t>
            </w:r>
            <w:r>
              <w:rPr>
                <w:rFonts w:ascii="Times New Roman" w:eastAsia="Times New Roman"/>
                <w:sz w:val="21"/>
              </w:rPr>
              <w:t>6.5</w:t>
            </w:r>
          </w:p>
          <w:p>
            <w:pPr>
              <w:pStyle w:val="14"/>
              <w:spacing w:before="43"/>
              <w:ind w:left="551"/>
              <w:jc w:val="left"/>
              <w:rPr>
                <w:rFonts w:ascii="Times New Roman" w:eastAsia="Times New Roman"/>
                <w:sz w:val="21"/>
              </w:rPr>
            </w:pPr>
            <w:r>
              <w:rPr>
                <w:rFonts w:ascii="Times New Roman" w:eastAsia="Times New Roman"/>
                <w:sz w:val="21"/>
              </w:rPr>
              <w:t>8.5</w:t>
            </w:r>
            <w:r>
              <w:rPr>
                <w:sz w:val="21"/>
              </w:rPr>
              <w:t>～</w:t>
            </w:r>
            <w:r>
              <w:rPr>
                <w:rFonts w:ascii="Times New Roman" w:eastAsia="Times New Roman"/>
                <w:sz w:val="21"/>
              </w:rPr>
              <w:t>9</w:t>
            </w:r>
          </w:p>
        </w:tc>
        <w:tc>
          <w:tcPr>
            <w:tcW w:w="1218" w:type="dxa"/>
          </w:tcPr>
          <w:p>
            <w:pPr>
              <w:pStyle w:val="14"/>
              <w:spacing w:before="176"/>
              <w:ind w:left="179" w:right="174"/>
              <w:rPr>
                <w:rFonts w:ascii="Times New Roman" w:eastAsia="Times New Roman"/>
                <w:sz w:val="21"/>
              </w:rPr>
            </w:pPr>
            <w:r>
              <w:rPr>
                <w:rFonts w:ascii="Times New Roman" w:eastAsia="Times New Roman"/>
                <w:sz w:val="21"/>
              </w:rPr>
              <w:t>&lt;5.5</w:t>
            </w:r>
            <w:r>
              <w:rPr>
                <w:sz w:val="21"/>
              </w:rPr>
              <w:t>，</w:t>
            </w:r>
            <w:r>
              <w:rPr>
                <w:rFonts w:ascii="Times New Roman" w:eastAsia="Times New Roman"/>
                <w:sz w:val="21"/>
              </w:rPr>
              <w:t>&gt;9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963" w:type="dxa"/>
          </w:tcPr>
          <w:p>
            <w:pPr>
              <w:pStyle w:val="14"/>
              <w:spacing w:before="19"/>
              <w:ind w:left="329" w:right="324"/>
              <w:rPr>
                <w:sz w:val="21"/>
              </w:rPr>
            </w:pPr>
            <w:r>
              <w:rPr>
                <w:sz w:val="21"/>
              </w:rPr>
              <w:t>氨氮</w:t>
            </w:r>
          </w:p>
        </w:tc>
        <w:tc>
          <w:tcPr>
            <w:tcW w:w="1218" w:type="dxa"/>
          </w:tcPr>
          <w:p>
            <w:pPr>
              <w:pStyle w:val="14"/>
              <w:spacing w:before="33"/>
              <w:ind w:left="179" w:right="174"/>
              <w:rPr>
                <w:rFonts w:ascii="Times New Roman" w:hAnsi="Times New Roman"/>
                <w:sz w:val="21"/>
              </w:rPr>
            </w:pPr>
            <w:r>
              <w:rPr>
                <w:rFonts w:ascii="Times New Roman" w:hAnsi="Times New Roman"/>
                <w:sz w:val="21"/>
              </w:rPr>
              <w:t>≤0.02</w:t>
            </w:r>
          </w:p>
        </w:tc>
        <w:tc>
          <w:tcPr>
            <w:tcW w:w="1216" w:type="dxa"/>
          </w:tcPr>
          <w:p>
            <w:pPr>
              <w:pStyle w:val="14"/>
              <w:spacing w:before="33"/>
              <w:ind w:right="356"/>
              <w:jc w:val="right"/>
              <w:rPr>
                <w:rFonts w:ascii="Times New Roman" w:hAnsi="Times New Roman"/>
                <w:sz w:val="21"/>
              </w:rPr>
            </w:pPr>
            <w:r>
              <w:rPr>
                <w:rFonts w:ascii="Times New Roman" w:hAnsi="Times New Roman"/>
                <w:w w:val="95"/>
                <w:sz w:val="21"/>
              </w:rPr>
              <w:t>≤0.10</w:t>
            </w:r>
          </w:p>
        </w:tc>
        <w:tc>
          <w:tcPr>
            <w:tcW w:w="1224" w:type="dxa"/>
          </w:tcPr>
          <w:p>
            <w:pPr>
              <w:pStyle w:val="14"/>
              <w:spacing w:before="33"/>
              <w:ind w:left="298" w:right="288"/>
              <w:rPr>
                <w:rFonts w:ascii="Times New Roman" w:hAnsi="Times New Roman"/>
                <w:b/>
                <w:sz w:val="21"/>
              </w:rPr>
            </w:pPr>
            <w:r>
              <w:rPr>
                <w:rFonts w:ascii="Times New Roman" w:hAnsi="Times New Roman"/>
                <w:b/>
                <w:sz w:val="21"/>
              </w:rPr>
              <w:t>≤0.50</w:t>
            </w:r>
          </w:p>
        </w:tc>
        <w:tc>
          <w:tcPr>
            <w:tcW w:w="1683" w:type="dxa"/>
          </w:tcPr>
          <w:p>
            <w:pPr>
              <w:pStyle w:val="14"/>
              <w:spacing w:before="33"/>
              <w:ind w:left="399" w:right="394"/>
              <w:rPr>
                <w:rFonts w:ascii="Times New Roman" w:hAnsi="Times New Roman"/>
                <w:sz w:val="21"/>
              </w:rPr>
            </w:pPr>
            <w:r>
              <w:rPr>
                <w:rFonts w:ascii="Times New Roman" w:hAnsi="Times New Roman"/>
                <w:sz w:val="21"/>
              </w:rPr>
              <w:t>≤1.5</w:t>
            </w:r>
          </w:p>
        </w:tc>
        <w:tc>
          <w:tcPr>
            <w:tcW w:w="1218" w:type="dxa"/>
          </w:tcPr>
          <w:p>
            <w:pPr>
              <w:pStyle w:val="14"/>
              <w:spacing w:before="33"/>
              <w:ind w:left="179" w:right="174"/>
              <w:rPr>
                <w:rFonts w:ascii="Times New Roman"/>
                <w:sz w:val="21"/>
              </w:rPr>
            </w:pPr>
            <w:r>
              <w:rPr>
                <w:rFonts w:ascii="Times New Roman"/>
                <w:sz w:val="21"/>
              </w:rPr>
              <w:t>&gt;1.5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963" w:type="dxa"/>
          </w:tcPr>
          <w:p>
            <w:pPr>
              <w:pStyle w:val="14"/>
              <w:spacing w:before="19"/>
              <w:ind w:left="329" w:right="322"/>
              <w:rPr>
                <w:sz w:val="21"/>
              </w:rPr>
            </w:pPr>
            <w:r>
              <w:rPr>
                <w:sz w:val="21"/>
              </w:rPr>
              <w:t>硝酸盐氮</w:t>
            </w:r>
          </w:p>
        </w:tc>
        <w:tc>
          <w:tcPr>
            <w:tcW w:w="1218" w:type="dxa"/>
          </w:tcPr>
          <w:p>
            <w:pPr>
              <w:pStyle w:val="14"/>
              <w:spacing w:before="33"/>
              <w:ind w:left="179" w:right="174"/>
              <w:rPr>
                <w:rFonts w:ascii="Times New Roman" w:hAnsi="Times New Roman"/>
                <w:sz w:val="21"/>
              </w:rPr>
            </w:pPr>
            <w:r>
              <w:rPr>
                <w:rFonts w:ascii="Times New Roman" w:hAnsi="Times New Roman"/>
                <w:sz w:val="21"/>
              </w:rPr>
              <w:t>≤2.0</w:t>
            </w:r>
          </w:p>
        </w:tc>
        <w:tc>
          <w:tcPr>
            <w:tcW w:w="1216" w:type="dxa"/>
          </w:tcPr>
          <w:p>
            <w:pPr>
              <w:pStyle w:val="14"/>
              <w:spacing w:before="33"/>
              <w:ind w:left="270" w:right="263"/>
              <w:rPr>
                <w:rFonts w:ascii="Times New Roman" w:hAnsi="Times New Roman"/>
                <w:sz w:val="21"/>
              </w:rPr>
            </w:pPr>
            <w:r>
              <w:rPr>
                <w:rFonts w:ascii="Times New Roman" w:hAnsi="Times New Roman"/>
                <w:sz w:val="21"/>
              </w:rPr>
              <w:t>≤5.0</w:t>
            </w:r>
          </w:p>
        </w:tc>
        <w:tc>
          <w:tcPr>
            <w:tcW w:w="1224" w:type="dxa"/>
          </w:tcPr>
          <w:p>
            <w:pPr>
              <w:pStyle w:val="14"/>
              <w:spacing w:before="33"/>
              <w:ind w:left="296" w:right="288"/>
              <w:rPr>
                <w:rFonts w:ascii="Times New Roman" w:hAnsi="Times New Roman"/>
                <w:b/>
                <w:sz w:val="21"/>
              </w:rPr>
            </w:pPr>
            <w:r>
              <w:rPr>
                <w:rFonts w:ascii="Times New Roman" w:hAnsi="Times New Roman"/>
                <w:b/>
                <w:sz w:val="21"/>
              </w:rPr>
              <w:t>≤20</w:t>
            </w:r>
          </w:p>
        </w:tc>
        <w:tc>
          <w:tcPr>
            <w:tcW w:w="1683" w:type="dxa"/>
          </w:tcPr>
          <w:p>
            <w:pPr>
              <w:pStyle w:val="14"/>
              <w:spacing w:before="33"/>
              <w:ind w:left="399" w:right="394"/>
              <w:rPr>
                <w:rFonts w:ascii="Times New Roman" w:hAnsi="Times New Roman"/>
                <w:sz w:val="21"/>
              </w:rPr>
            </w:pPr>
            <w:r>
              <w:rPr>
                <w:rFonts w:ascii="Times New Roman" w:hAnsi="Times New Roman"/>
                <w:sz w:val="21"/>
              </w:rPr>
              <w:t>≤30</w:t>
            </w:r>
          </w:p>
        </w:tc>
        <w:tc>
          <w:tcPr>
            <w:tcW w:w="1218" w:type="dxa"/>
          </w:tcPr>
          <w:p>
            <w:pPr>
              <w:pStyle w:val="14"/>
              <w:spacing w:before="33"/>
              <w:ind w:left="179" w:right="174"/>
              <w:rPr>
                <w:rFonts w:ascii="Times New Roman"/>
                <w:sz w:val="21"/>
              </w:rPr>
            </w:pPr>
            <w:r>
              <w:rPr>
                <w:rFonts w:ascii="Times New Roman"/>
                <w:sz w:val="21"/>
              </w:rPr>
              <w:t>&gt;30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963" w:type="dxa"/>
          </w:tcPr>
          <w:p>
            <w:pPr>
              <w:pStyle w:val="14"/>
              <w:spacing w:before="21"/>
              <w:ind w:left="329" w:right="322"/>
              <w:rPr>
                <w:sz w:val="21"/>
              </w:rPr>
            </w:pPr>
            <w:r>
              <w:rPr>
                <w:sz w:val="21"/>
              </w:rPr>
              <w:t>亚硝酸盐氮</w:t>
            </w:r>
          </w:p>
        </w:tc>
        <w:tc>
          <w:tcPr>
            <w:tcW w:w="1218" w:type="dxa"/>
          </w:tcPr>
          <w:p>
            <w:pPr>
              <w:pStyle w:val="14"/>
              <w:spacing w:before="35"/>
              <w:ind w:left="179" w:right="174"/>
              <w:rPr>
                <w:rFonts w:ascii="Times New Roman" w:hAnsi="Times New Roman"/>
                <w:sz w:val="21"/>
              </w:rPr>
            </w:pPr>
            <w:r>
              <w:rPr>
                <w:rFonts w:ascii="Times New Roman" w:hAnsi="Times New Roman"/>
                <w:sz w:val="21"/>
              </w:rPr>
              <w:t>≤0.01</w:t>
            </w:r>
          </w:p>
        </w:tc>
        <w:tc>
          <w:tcPr>
            <w:tcW w:w="1216" w:type="dxa"/>
          </w:tcPr>
          <w:p>
            <w:pPr>
              <w:pStyle w:val="14"/>
              <w:spacing w:before="35"/>
              <w:ind w:right="356"/>
              <w:jc w:val="right"/>
              <w:rPr>
                <w:rFonts w:ascii="Times New Roman" w:hAnsi="Times New Roman"/>
                <w:sz w:val="21"/>
              </w:rPr>
            </w:pPr>
            <w:r>
              <w:rPr>
                <w:rFonts w:ascii="Times New Roman" w:hAnsi="Times New Roman"/>
                <w:w w:val="95"/>
                <w:sz w:val="21"/>
              </w:rPr>
              <w:t>≤0.10</w:t>
            </w:r>
          </w:p>
        </w:tc>
        <w:tc>
          <w:tcPr>
            <w:tcW w:w="1224" w:type="dxa"/>
          </w:tcPr>
          <w:p>
            <w:pPr>
              <w:pStyle w:val="14"/>
              <w:spacing w:before="35"/>
              <w:ind w:left="298" w:right="288"/>
              <w:rPr>
                <w:rFonts w:ascii="Times New Roman" w:hAnsi="Times New Roman"/>
                <w:b/>
                <w:sz w:val="21"/>
              </w:rPr>
            </w:pPr>
            <w:r>
              <w:rPr>
                <w:rFonts w:ascii="Times New Roman" w:hAnsi="Times New Roman"/>
                <w:b/>
                <w:sz w:val="21"/>
              </w:rPr>
              <w:t>≤1.00</w:t>
            </w:r>
          </w:p>
        </w:tc>
        <w:tc>
          <w:tcPr>
            <w:tcW w:w="1683" w:type="dxa"/>
          </w:tcPr>
          <w:p>
            <w:pPr>
              <w:pStyle w:val="14"/>
              <w:spacing w:before="35"/>
              <w:ind w:left="399" w:right="392"/>
              <w:rPr>
                <w:rFonts w:ascii="Times New Roman" w:hAnsi="Times New Roman"/>
                <w:sz w:val="21"/>
              </w:rPr>
            </w:pPr>
            <w:r>
              <w:rPr>
                <w:rFonts w:ascii="Times New Roman" w:hAnsi="Times New Roman"/>
                <w:sz w:val="21"/>
              </w:rPr>
              <w:t>≤4.80</w:t>
            </w:r>
          </w:p>
        </w:tc>
        <w:tc>
          <w:tcPr>
            <w:tcW w:w="1218" w:type="dxa"/>
          </w:tcPr>
          <w:p>
            <w:pPr>
              <w:pStyle w:val="14"/>
              <w:spacing w:before="35"/>
              <w:ind w:left="179" w:right="174"/>
              <w:rPr>
                <w:rFonts w:ascii="Times New Roman"/>
                <w:sz w:val="21"/>
              </w:rPr>
            </w:pPr>
            <w:r>
              <w:rPr>
                <w:rFonts w:ascii="Times New Roman"/>
                <w:sz w:val="21"/>
              </w:rPr>
              <w:t>&gt;4.80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963" w:type="dxa"/>
          </w:tcPr>
          <w:p>
            <w:pPr>
              <w:pStyle w:val="14"/>
              <w:spacing w:before="20"/>
              <w:ind w:left="329" w:right="324"/>
              <w:rPr>
                <w:sz w:val="21"/>
              </w:rPr>
            </w:pPr>
            <w:r>
              <w:rPr>
                <w:sz w:val="21"/>
              </w:rPr>
              <w:t>挥发酚</w:t>
            </w:r>
          </w:p>
        </w:tc>
        <w:tc>
          <w:tcPr>
            <w:tcW w:w="1218" w:type="dxa"/>
          </w:tcPr>
          <w:p>
            <w:pPr>
              <w:pStyle w:val="14"/>
              <w:spacing w:before="34"/>
              <w:ind w:left="179" w:right="172"/>
              <w:rPr>
                <w:rFonts w:ascii="Times New Roman" w:hAnsi="Times New Roman"/>
                <w:sz w:val="21"/>
              </w:rPr>
            </w:pPr>
            <w:r>
              <w:rPr>
                <w:rFonts w:ascii="Times New Roman" w:hAnsi="Times New Roman"/>
                <w:sz w:val="21"/>
              </w:rPr>
              <w:t>≤0.001</w:t>
            </w:r>
          </w:p>
        </w:tc>
        <w:tc>
          <w:tcPr>
            <w:tcW w:w="1216" w:type="dxa"/>
          </w:tcPr>
          <w:p>
            <w:pPr>
              <w:pStyle w:val="14"/>
              <w:spacing w:before="34"/>
              <w:ind w:right="303"/>
              <w:jc w:val="right"/>
              <w:rPr>
                <w:rFonts w:ascii="Times New Roman" w:hAnsi="Times New Roman"/>
                <w:sz w:val="21"/>
              </w:rPr>
            </w:pPr>
            <w:r>
              <w:rPr>
                <w:rFonts w:ascii="Times New Roman" w:hAnsi="Times New Roman"/>
                <w:w w:val="95"/>
                <w:sz w:val="21"/>
              </w:rPr>
              <w:t>≤0.001</w:t>
            </w:r>
          </w:p>
        </w:tc>
        <w:tc>
          <w:tcPr>
            <w:tcW w:w="1224" w:type="dxa"/>
          </w:tcPr>
          <w:p>
            <w:pPr>
              <w:pStyle w:val="14"/>
              <w:spacing w:before="34"/>
              <w:ind w:left="298" w:right="288"/>
              <w:rPr>
                <w:rFonts w:ascii="Times New Roman" w:hAnsi="Times New Roman"/>
                <w:b/>
                <w:sz w:val="21"/>
              </w:rPr>
            </w:pPr>
            <w:r>
              <w:rPr>
                <w:rFonts w:ascii="Times New Roman" w:hAnsi="Times New Roman"/>
                <w:b/>
                <w:sz w:val="21"/>
              </w:rPr>
              <w:t>≤0.002</w:t>
            </w:r>
          </w:p>
        </w:tc>
        <w:tc>
          <w:tcPr>
            <w:tcW w:w="1683" w:type="dxa"/>
          </w:tcPr>
          <w:p>
            <w:pPr>
              <w:pStyle w:val="14"/>
              <w:spacing w:before="34"/>
              <w:ind w:left="399" w:right="392"/>
              <w:rPr>
                <w:rFonts w:ascii="Times New Roman" w:hAnsi="Times New Roman"/>
                <w:sz w:val="21"/>
              </w:rPr>
            </w:pPr>
            <w:r>
              <w:rPr>
                <w:rFonts w:ascii="Times New Roman" w:hAnsi="Times New Roman"/>
                <w:sz w:val="21"/>
              </w:rPr>
              <w:t>≤0.01</w:t>
            </w:r>
          </w:p>
        </w:tc>
        <w:tc>
          <w:tcPr>
            <w:tcW w:w="1218" w:type="dxa"/>
          </w:tcPr>
          <w:p>
            <w:pPr>
              <w:pStyle w:val="14"/>
              <w:spacing w:before="34"/>
              <w:ind w:left="179" w:right="174"/>
              <w:rPr>
                <w:rFonts w:ascii="Times New Roman"/>
                <w:sz w:val="21"/>
              </w:rPr>
            </w:pPr>
            <w:r>
              <w:rPr>
                <w:rFonts w:ascii="Times New Roman"/>
                <w:sz w:val="21"/>
              </w:rPr>
              <w:t>&gt;0.01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963" w:type="dxa"/>
          </w:tcPr>
          <w:p>
            <w:pPr>
              <w:pStyle w:val="14"/>
              <w:spacing w:before="20"/>
              <w:ind w:left="329" w:right="324"/>
              <w:rPr>
                <w:sz w:val="21"/>
              </w:rPr>
            </w:pPr>
            <w:r>
              <w:rPr>
                <w:sz w:val="21"/>
              </w:rPr>
              <w:t>氟化物</w:t>
            </w:r>
          </w:p>
        </w:tc>
        <w:tc>
          <w:tcPr>
            <w:tcW w:w="1218" w:type="dxa"/>
          </w:tcPr>
          <w:p>
            <w:pPr>
              <w:pStyle w:val="14"/>
              <w:spacing w:before="34"/>
              <w:ind w:left="179" w:right="169"/>
              <w:rPr>
                <w:rFonts w:ascii="Times New Roman" w:hAnsi="Times New Roman"/>
                <w:sz w:val="21"/>
              </w:rPr>
            </w:pPr>
            <w:r>
              <w:rPr>
                <w:rFonts w:ascii="Times New Roman" w:hAnsi="Times New Roman"/>
                <w:sz w:val="21"/>
              </w:rPr>
              <w:t>≤1.0</w:t>
            </w:r>
          </w:p>
        </w:tc>
        <w:tc>
          <w:tcPr>
            <w:tcW w:w="1216" w:type="dxa"/>
          </w:tcPr>
          <w:p>
            <w:pPr>
              <w:pStyle w:val="14"/>
              <w:spacing w:before="34"/>
              <w:ind w:left="270" w:right="263"/>
              <w:rPr>
                <w:rFonts w:ascii="Times New Roman" w:hAnsi="Times New Roman"/>
                <w:sz w:val="21"/>
              </w:rPr>
            </w:pPr>
            <w:r>
              <w:rPr>
                <w:rFonts w:ascii="Times New Roman" w:hAnsi="Times New Roman"/>
                <w:sz w:val="21"/>
              </w:rPr>
              <w:t>≤1.0</w:t>
            </w:r>
          </w:p>
        </w:tc>
        <w:tc>
          <w:tcPr>
            <w:tcW w:w="1224" w:type="dxa"/>
          </w:tcPr>
          <w:p>
            <w:pPr>
              <w:pStyle w:val="14"/>
              <w:spacing w:before="34"/>
              <w:ind w:left="296" w:right="288"/>
              <w:rPr>
                <w:rFonts w:ascii="Times New Roman" w:hAnsi="Times New Roman"/>
                <w:b/>
                <w:sz w:val="21"/>
              </w:rPr>
            </w:pPr>
            <w:r>
              <w:rPr>
                <w:rFonts w:ascii="Times New Roman" w:hAnsi="Times New Roman"/>
                <w:b/>
                <w:sz w:val="21"/>
              </w:rPr>
              <w:t>≤1.0</w:t>
            </w:r>
          </w:p>
        </w:tc>
        <w:tc>
          <w:tcPr>
            <w:tcW w:w="1683" w:type="dxa"/>
          </w:tcPr>
          <w:p>
            <w:pPr>
              <w:pStyle w:val="14"/>
              <w:spacing w:before="34"/>
              <w:ind w:left="399" w:right="394"/>
              <w:rPr>
                <w:rFonts w:ascii="Times New Roman" w:hAnsi="Times New Roman"/>
                <w:sz w:val="21"/>
              </w:rPr>
            </w:pPr>
            <w:r>
              <w:rPr>
                <w:rFonts w:ascii="Times New Roman" w:hAnsi="Times New Roman"/>
                <w:sz w:val="21"/>
              </w:rPr>
              <w:t>≤2.0</w:t>
            </w:r>
          </w:p>
        </w:tc>
        <w:tc>
          <w:tcPr>
            <w:tcW w:w="1218" w:type="dxa"/>
          </w:tcPr>
          <w:p>
            <w:pPr>
              <w:pStyle w:val="14"/>
              <w:spacing w:before="34"/>
              <w:ind w:left="179" w:right="174"/>
              <w:rPr>
                <w:rFonts w:ascii="Times New Roman"/>
                <w:sz w:val="21"/>
              </w:rPr>
            </w:pPr>
            <w:r>
              <w:rPr>
                <w:rFonts w:ascii="Times New Roman"/>
                <w:sz w:val="21"/>
              </w:rPr>
              <w:t>&gt;2.0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963" w:type="dxa"/>
          </w:tcPr>
          <w:p>
            <w:pPr>
              <w:pStyle w:val="14"/>
              <w:spacing w:before="20"/>
              <w:ind w:left="7"/>
              <w:rPr>
                <w:sz w:val="21"/>
              </w:rPr>
            </w:pPr>
            <w:r>
              <w:rPr>
                <w:w w:val="99"/>
                <w:sz w:val="21"/>
              </w:rPr>
              <w:t>钠</w:t>
            </w:r>
          </w:p>
        </w:tc>
        <w:tc>
          <w:tcPr>
            <w:tcW w:w="1218" w:type="dxa"/>
          </w:tcPr>
          <w:p>
            <w:pPr>
              <w:pStyle w:val="14"/>
              <w:spacing w:before="34"/>
              <w:ind w:left="179" w:right="174"/>
              <w:rPr>
                <w:rFonts w:ascii="Times New Roman" w:hAnsi="Times New Roman"/>
                <w:sz w:val="21"/>
              </w:rPr>
            </w:pPr>
            <w:r>
              <w:rPr>
                <w:rFonts w:ascii="Times New Roman" w:hAnsi="Times New Roman"/>
                <w:sz w:val="21"/>
              </w:rPr>
              <w:t>≤100</w:t>
            </w:r>
          </w:p>
        </w:tc>
        <w:tc>
          <w:tcPr>
            <w:tcW w:w="1216" w:type="dxa"/>
          </w:tcPr>
          <w:p>
            <w:pPr>
              <w:pStyle w:val="14"/>
              <w:spacing w:before="34"/>
              <w:ind w:left="389"/>
              <w:jc w:val="left"/>
              <w:rPr>
                <w:rFonts w:ascii="Times New Roman" w:hAnsi="Times New Roman"/>
                <w:sz w:val="21"/>
              </w:rPr>
            </w:pPr>
            <w:r>
              <w:rPr>
                <w:rFonts w:ascii="Times New Roman" w:hAnsi="Times New Roman"/>
                <w:sz w:val="21"/>
              </w:rPr>
              <w:t>≤150</w:t>
            </w:r>
          </w:p>
        </w:tc>
        <w:tc>
          <w:tcPr>
            <w:tcW w:w="1224" w:type="dxa"/>
          </w:tcPr>
          <w:p>
            <w:pPr>
              <w:pStyle w:val="14"/>
              <w:spacing w:before="34"/>
              <w:ind w:left="296" w:right="288"/>
              <w:rPr>
                <w:rFonts w:ascii="Times New Roman" w:hAnsi="Times New Roman"/>
                <w:b/>
                <w:sz w:val="21"/>
              </w:rPr>
            </w:pPr>
            <w:r>
              <w:rPr>
                <w:rFonts w:ascii="Times New Roman" w:hAnsi="Times New Roman"/>
                <w:b/>
                <w:sz w:val="21"/>
              </w:rPr>
              <w:t>≤200</w:t>
            </w:r>
          </w:p>
        </w:tc>
        <w:tc>
          <w:tcPr>
            <w:tcW w:w="1683" w:type="dxa"/>
          </w:tcPr>
          <w:p>
            <w:pPr>
              <w:pStyle w:val="14"/>
              <w:spacing w:before="34"/>
              <w:ind w:left="399" w:right="394"/>
              <w:rPr>
                <w:rFonts w:ascii="Times New Roman" w:hAnsi="Times New Roman"/>
                <w:sz w:val="21"/>
              </w:rPr>
            </w:pPr>
            <w:r>
              <w:rPr>
                <w:rFonts w:ascii="Times New Roman" w:hAnsi="Times New Roman"/>
                <w:sz w:val="21"/>
              </w:rPr>
              <w:t>≤400</w:t>
            </w:r>
          </w:p>
        </w:tc>
        <w:tc>
          <w:tcPr>
            <w:tcW w:w="1218" w:type="dxa"/>
          </w:tcPr>
          <w:p>
            <w:pPr>
              <w:pStyle w:val="14"/>
              <w:spacing w:before="34"/>
              <w:ind w:left="179" w:right="174"/>
              <w:rPr>
                <w:rFonts w:ascii="Times New Roman"/>
                <w:sz w:val="21"/>
              </w:rPr>
            </w:pPr>
            <w:r>
              <w:rPr>
                <w:rFonts w:ascii="Times New Roman"/>
                <w:sz w:val="21"/>
              </w:rPr>
              <w:t>&gt;400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963" w:type="dxa"/>
          </w:tcPr>
          <w:p>
            <w:pPr>
              <w:pStyle w:val="14"/>
              <w:spacing w:before="19"/>
              <w:ind w:left="7"/>
              <w:rPr>
                <w:sz w:val="21"/>
              </w:rPr>
            </w:pPr>
            <w:r>
              <w:rPr>
                <w:w w:val="99"/>
                <w:sz w:val="21"/>
              </w:rPr>
              <w:t>汞</w:t>
            </w:r>
          </w:p>
        </w:tc>
        <w:tc>
          <w:tcPr>
            <w:tcW w:w="1218" w:type="dxa"/>
          </w:tcPr>
          <w:p>
            <w:pPr>
              <w:pStyle w:val="14"/>
              <w:spacing w:before="33"/>
              <w:ind w:left="179" w:right="172"/>
              <w:rPr>
                <w:rFonts w:ascii="Times New Roman" w:hAnsi="Times New Roman"/>
                <w:sz w:val="21"/>
              </w:rPr>
            </w:pPr>
            <w:r>
              <w:rPr>
                <w:rFonts w:ascii="Times New Roman" w:hAnsi="Times New Roman"/>
                <w:sz w:val="21"/>
              </w:rPr>
              <w:t>≤0.0001</w:t>
            </w:r>
          </w:p>
        </w:tc>
        <w:tc>
          <w:tcPr>
            <w:tcW w:w="1216" w:type="dxa"/>
          </w:tcPr>
          <w:p>
            <w:pPr>
              <w:pStyle w:val="14"/>
              <w:spacing w:before="33"/>
              <w:ind w:right="251"/>
              <w:jc w:val="right"/>
              <w:rPr>
                <w:rFonts w:ascii="Times New Roman" w:hAnsi="Times New Roman"/>
                <w:sz w:val="21"/>
              </w:rPr>
            </w:pPr>
            <w:r>
              <w:rPr>
                <w:rFonts w:ascii="Times New Roman" w:hAnsi="Times New Roman"/>
                <w:w w:val="95"/>
                <w:sz w:val="21"/>
              </w:rPr>
              <w:t>≤0.0001</w:t>
            </w:r>
          </w:p>
        </w:tc>
        <w:tc>
          <w:tcPr>
            <w:tcW w:w="1224" w:type="dxa"/>
          </w:tcPr>
          <w:p>
            <w:pPr>
              <w:pStyle w:val="14"/>
              <w:spacing w:before="33"/>
              <w:ind w:left="298" w:right="288"/>
              <w:rPr>
                <w:rFonts w:ascii="Times New Roman" w:hAnsi="Times New Roman"/>
                <w:b/>
                <w:sz w:val="21"/>
              </w:rPr>
            </w:pPr>
            <w:r>
              <w:rPr>
                <w:rFonts w:ascii="Times New Roman" w:hAnsi="Times New Roman"/>
                <w:b/>
                <w:sz w:val="21"/>
              </w:rPr>
              <w:t>≤0.001</w:t>
            </w:r>
          </w:p>
        </w:tc>
        <w:tc>
          <w:tcPr>
            <w:tcW w:w="1683" w:type="dxa"/>
          </w:tcPr>
          <w:p>
            <w:pPr>
              <w:pStyle w:val="14"/>
              <w:spacing w:before="33"/>
              <w:ind w:left="399" w:right="392"/>
              <w:rPr>
                <w:rFonts w:ascii="Times New Roman" w:hAnsi="Times New Roman"/>
                <w:sz w:val="21"/>
              </w:rPr>
            </w:pPr>
            <w:r>
              <w:rPr>
                <w:rFonts w:ascii="Times New Roman" w:hAnsi="Times New Roman"/>
                <w:sz w:val="21"/>
              </w:rPr>
              <w:t>≤0.002</w:t>
            </w:r>
          </w:p>
        </w:tc>
        <w:tc>
          <w:tcPr>
            <w:tcW w:w="1218" w:type="dxa"/>
          </w:tcPr>
          <w:p>
            <w:pPr>
              <w:pStyle w:val="14"/>
              <w:spacing w:before="33"/>
              <w:ind w:left="179" w:right="174"/>
              <w:rPr>
                <w:rFonts w:ascii="Times New Roman"/>
                <w:sz w:val="21"/>
              </w:rPr>
            </w:pPr>
            <w:r>
              <w:rPr>
                <w:rFonts w:ascii="Times New Roman"/>
                <w:sz w:val="21"/>
              </w:rPr>
              <w:t>&gt;0.002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963" w:type="dxa"/>
          </w:tcPr>
          <w:p>
            <w:pPr>
              <w:pStyle w:val="14"/>
              <w:spacing w:before="19"/>
              <w:ind w:left="7"/>
              <w:rPr>
                <w:sz w:val="21"/>
              </w:rPr>
            </w:pPr>
            <w:r>
              <w:rPr>
                <w:w w:val="99"/>
                <w:sz w:val="21"/>
              </w:rPr>
              <w:t>砷</w:t>
            </w:r>
          </w:p>
        </w:tc>
        <w:tc>
          <w:tcPr>
            <w:tcW w:w="1218" w:type="dxa"/>
          </w:tcPr>
          <w:p>
            <w:pPr>
              <w:pStyle w:val="14"/>
              <w:spacing w:before="33"/>
              <w:ind w:left="179" w:right="172"/>
              <w:rPr>
                <w:rFonts w:ascii="Times New Roman" w:hAnsi="Times New Roman"/>
                <w:sz w:val="21"/>
              </w:rPr>
            </w:pPr>
            <w:r>
              <w:rPr>
                <w:rFonts w:ascii="Times New Roman" w:hAnsi="Times New Roman"/>
                <w:sz w:val="21"/>
              </w:rPr>
              <w:t>≤0.001</w:t>
            </w:r>
          </w:p>
        </w:tc>
        <w:tc>
          <w:tcPr>
            <w:tcW w:w="1216" w:type="dxa"/>
          </w:tcPr>
          <w:p>
            <w:pPr>
              <w:pStyle w:val="14"/>
              <w:spacing w:before="33"/>
              <w:ind w:right="303"/>
              <w:jc w:val="right"/>
              <w:rPr>
                <w:rFonts w:ascii="Times New Roman" w:hAnsi="Times New Roman"/>
                <w:sz w:val="21"/>
              </w:rPr>
            </w:pPr>
            <w:r>
              <w:rPr>
                <w:rFonts w:ascii="Times New Roman" w:hAnsi="Times New Roman"/>
                <w:w w:val="95"/>
                <w:sz w:val="21"/>
              </w:rPr>
              <w:t>≤0.001</w:t>
            </w:r>
          </w:p>
        </w:tc>
        <w:tc>
          <w:tcPr>
            <w:tcW w:w="1224" w:type="dxa"/>
          </w:tcPr>
          <w:p>
            <w:pPr>
              <w:pStyle w:val="14"/>
              <w:spacing w:before="33"/>
              <w:ind w:left="298" w:right="288"/>
              <w:rPr>
                <w:rFonts w:ascii="Times New Roman" w:hAnsi="Times New Roman"/>
                <w:b/>
                <w:sz w:val="21"/>
              </w:rPr>
            </w:pPr>
            <w:r>
              <w:rPr>
                <w:rFonts w:ascii="Times New Roman" w:hAnsi="Times New Roman"/>
                <w:b/>
                <w:sz w:val="21"/>
              </w:rPr>
              <w:t>≤0.01</w:t>
            </w:r>
          </w:p>
        </w:tc>
        <w:tc>
          <w:tcPr>
            <w:tcW w:w="1683" w:type="dxa"/>
          </w:tcPr>
          <w:p>
            <w:pPr>
              <w:pStyle w:val="14"/>
              <w:spacing w:before="33"/>
              <w:ind w:left="399" w:right="392"/>
              <w:rPr>
                <w:rFonts w:ascii="Times New Roman" w:hAnsi="Times New Roman"/>
                <w:sz w:val="21"/>
              </w:rPr>
            </w:pPr>
            <w:r>
              <w:rPr>
                <w:rFonts w:ascii="Times New Roman" w:hAnsi="Times New Roman"/>
                <w:sz w:val="21"/>
              </w:rPr>
              <w:t>≤0.05</w:t>
            </w:r>
          </w:p>
        </w:tc>
        <w:tc>
          <w:tcPr>
            <w:tcW w:w="1218" w:type="dxa"/>
          </w:tcPr>
          <w:p>
            <w:pPr>
              <w:pStyle w:val="14"/>
              <w:spacing w:before="33"/>
              <w:ind w:left="179" w:right="174"/>
              <w:rPr>
                <w:rFonts w:ascii="Times New Roman"/>
                <w:sz w:val="21"/>
              </w:rPr>
            </w:pPr>
            <w:r>
              <w:rPr>
                <w:rFonts w:ascii="Times New Roman"/>
                <w:sz w:val="21"/>
              </w:rPr>
              <w:t>&gt;0.05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963" w:type="dxa"/>
          </w:tcPr>
          <w:p>
            <w:pPr>
              <w:pStyle w:val="14"/>
              <w:spacing w:before="21" w:line="269" w:lineRule="exact"/>
              <w:ind w:left="7"/>
              <w:rPr>
                <w:sz w:val="21"/>
              </w:rPr>
            </w:pPr>
            <w:r>
              <w:rPr>
                <w:w w:val="99"/>
                <w:sz w:val="21"/>
              </w:rPr>
              <w:t>铁</w:t>
            </w:r>
          </w:p>
        </w:tc>
        <w:tc>
          <w:tcPr>
            <w:tcW w:w="1218" w:type="dxa"/>
          </w:tcPr>
          <w:p>
            <w:pPr>
              <w:pStyle w:val="14"/>
              <w:spacing w:before="35"/>
              <w:ind w:left="179" w:right="174"/>
              <w:rPr>
                <w:rFonts w:ascii="Times New Roman" w:hAnsi="Times New Roman"/>
                <w:sz w:val="21"/>
              </w:rPr>
            </w:pPr>
            <w:r>
              <w:rPr>
                <w:rFonts w:ascii="Times New Roman" w:hAnsi="Times New Roman"/>
                <w:sz w:val="21"/>
              </w:rPr>
              <w:t>≤0.1</w:t>
            </w:r>
          </w:p>
        </w:tc>
        <w:tc>
          <w:tcPr>
            <w:tcW w:w="1216" w:type="dxa"/>
          </w:tcPr>
          <w:p>
            <w:pPr>
              <w:pStyle w:val="14"/>
              <w:spacing w:before="35"/>
              <w:ind w:left="270" w:right="263"/>
              <w:rPr>
                <w:rFonts w:ascii="Times New Roman" w:hAnsi="Times New Roman"/>
                <w:sz w:val="21"/>
              </w:rPr>
            </w:pPr>
            <w:r>
              <w:rPr>
                <w:rFonts w:ascii="Times New Roman" w:hAnsi="Times New Roman"/>
                <w:sz w:val="21"/>
              </w:rPr>
              <w:t>≤0.2</w:t>
            </w:r>
          </w:p>
        </w:tc>
        <w:tc>
          <w:tcPr>
            <w:tcW w:w="1224" w:type="dxa"/>
          </w:tcPr>
          <w:p>
            <w:pPr>
              <w:pStyle w:val="14"/>
              <w:spacing w:before="35"/>
              <w:ind w:left="296" w:right="288"/>
              <w:rPr>
                <w:rFonts w:ascii="Times New Roman" w:hAnsi="Times New Roman"/>
                <w:b/>
                <w:sz w:val="21"/>
              </w:rPr>
            </w:pPr>
            <w:r>
              <w:rPr>
                <w:rFonts w:ascii="Times New Roman" w:hAnsi="Times New Roman"/>
                <w:b/>
                <w:sz w:val="21"/>
              </w:rPr>
              <w:t>≤0.3</w:t>
            </w:r>
          </w:p>
        </w:tc>
        <w:tc>
          <w:tcPr>
            <w:tcW w:w="1683" w:type="dxa"/>
          </w:tcPr>
          <w:p>
            <w:pPr>
              <w:pStyle w:val="14"/>
              <w:spacing w:before="35"/>
              <w:ind w:left="399" w:right="394"/>
              <w:rPr>
                <w:rFonts w:ascii="Times New Roman" w:hAnsi="Times New Roman"/>
                <w:sz w:val="21"/>
              </w:rPr>
            </w:pPr>
            <w:r>
              <w:rPr>
                <w:rFonts w:ascii="Times New Roman" w:hAnsi="Times New Roman"/>
                <w:sz w:val="21"/>
              </w:rPr>
              <w:t>≤2.0</w:t>
            </w:r>
          </w:p>
        </w:tc>
        <w:tc>
          <w:tcPr>
            <w:tcW w:w="1218" w:type="dxa"/>
          </w:tcPr>
          <w:p>
            <w:pPr>
              <w:pStyle w:val="14"/>
              <w:spacing w:before="35"/>
              <w:ind w:left="179" w:right="174"/>
              <w:rPr>
                <w:rFonts w:ascii="Times New Roman"/>
                <w:sz w:val="21"/>
              </w:rPr>
            </w:pPr>
            <w:r>
              <w:rPr>
                <w:rFonts w:ascii="Times New Roman"/>
                <w:sz w:val="21"/>
              </w:rPr>
              <w:t>&gt;2.0</w:t>
            </w:r>
          </w:p>
        </w:tc>
      </w:tr>
    </w:tbl>
    <w:p>
      <w:pPr>
        <w:spacing w:after="0"/>
        <w:rPr>
          <w:rFonts w:ascii="Times New Roman"/>
          <w:sz w:val="21"/>
        </w:rPr>
        <w:sectPr>
          <w:pgSz w:w="11910" w:h="16840"/>
          <w:pgMar w:top="1520" w:right="780" w:bottom="1180" w:left="1200" w:header="0" w:footer="997" w:gutter="0"/>
        </w:sectPr>
      </w:pPr>
    </w:p>
    <w:tbl>
      <w:tblPr>
        <w:tblStyle w:val="10"/>
        <w:tblW w:w="0" w:type="auto"/>
        <w:tblInd w:w="4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63"/>
        <w:gridCol w:w="1218"/>
        <w:gridCol w:w="1216"/>
        <w:gridCol w:w="1224"/>
        <w:gridCol w:w="1683"/>
        <w:gridCol w:w="12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63" w:type="dxa"/>
          </w:tcPr>
          <w:p>
            <w:pPr>
              <w:pStyle w:val="14"/>
              <w:jc w:val="left"/>
              <w:rPr>
                <w:rFonts w:ascii="Times New Roman"/>
                <w:sz w:val="20"/>
              </w:rPr>
            </w:pPr>
          </w:p>
        </w:tc>
        <w:tc>
          <w:tcPr>
            <w:tcW w:w="1218" w:type="dxa"/>
          </w:tcPr>
          <w:p>
            <w:pPr>
              <w:pStyle w:val="14"/>
              <w:spacing w:before="98"/>
              <w:ind w:left="179" w:right="170"/>
              <w:rPr>
                <w:sz w:val="21"/>
              </w:rPr>
            </w:pPr>
            <w:r>
              <w:rPr>
                <w:sz w:val="21"/>
              </w:rPr>
              <w:t>Ⅰ类</w:t>
            </w:r>
          </w:p>
        </w:tc>
        <w:tc>
          <w:tcPr>
            <w:tcW w:w="1216" w:type="dxa"/>
          </w:tcPr>
          <w:p>
            <w:pPr>
              <w:pStyle w:val="14"/>
              <w:spacing w:before="98"/>
              <w:ind w:left="271" w:right="263"/>
              <w:rPr>
                <w:sz w:val="21"/>
              </w:rPr>
            </w:pPr>
            <w:r>
              <w:rPr>
                <w:sz w:val="21"/>
              </w:rPr>
              <w:t>Ⅱ类</w:t>
            </w:r>
          </w:p>
        </w:tc>
        <w:tc>
          <w:tcPr>
            <w:tcW w:w="1224" w:type="dxa"/>
          </w:tcPr>
          <w:p>
            <w:pPr>
              <w:pStyle w:val="14"/>
              <w:spacing w:before="98"/>
              <w:ind w:left="297" w:right="288"/>
              <w:rPr>
                <w:b/>
                <w:sz w:val="21"/>
              </w:rPr>
            </w:pPr>
            <w:r>
              <w:rPr>
                <w:b/>
                <w:sz w:val="21"/>
              </w:rPr>
              <w:t>Ⅲ类</w:t>
            </w:r>
          </w:p>
        </w:tc>
        <w:tc>
          <w:tcPr>
            <w:tcW w:w="1683" w:type="dxa"/>
          </w:tcPr>
          <w:p>
            <w:pPr>
              <w:pStyle w:val="14"/>
              <w:spacing w:before="98"/>
              <w:ind w:left="630"/>
              <w:jc w:val="left"/>
              <w:rPr>
                <w:sz w:val="21"/>
              </w:rPr>
            </w:pPr>
            <w:r>
              <w:rPr>
                <w:sz w:val="21"/>
              </w:rPr>
              <w:t>Ⅳ类</w:t>
            </w:r>
          </w:p>
        </w:tc>
        <w:tc>
          <w:tcPr>
            <w:tcW w:w="1218" w:type="dxa"/>
          </w:tcPr>
          <w:p>
            <w:pPr>
              <w:pStyle w:val="14"/>
              <w:spacing w:before="98"/>
              <w:ind w:left="179" w:right="170"/>
              <w:rPr>
                <w:sz w:val="21"/>
              </w:rPr>
            </w:pPr>
            <w:r>
              <w:rPr>
                <w:rFonts w:ascii="Times New Roman" w:eastAsia="Times New Roman"/>
                <w:sz w:val="21"/>
              </w:rPr>
              <w:t xml:space="preserve">V </w:t>
            </w:r>
            <w:r>
              <w:rPr>
                <w:sz w:val="21"/>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963" w:type="dxa"/>
          </w:tcPr>
          <w:p>
            <w:pPr>
              <w:pStyle w:val="14"/>
              <w:spacing w:before="21"/>
              <w:ind w:left="7"/>
              <w:rPr>
                <w:sz w:val="21"/>
              </w:rPr>
            </w:pPr>
            <w:r>
              <w:rPr>
                <w:w w:val="99"/>
                <w:sz w:val="21"/>
              </w:rPr>
              <w:t>锰</w:t>
            </w:r>
          </w:p>
        </w:tc>
        <w:tc>
          <w:tcPr>
            <w:tcW w:w="1218" w:type="dxa"/>
          </w:tcPr>
          <w:p>
            <w:pPr>
              <w:pStyle w:val="14"/>
              <w:spacing w:before="34"/>
              <w:ind w:left="179" w:right="174"/>
              <w:rPr>
                <w:rFonts w:ascii="Times New Roman" w:hAnsi="Times New Roman"/>
                <w:sz w:val="21"/>
              </w:rPr>
            </w:pPr>
            <w:r>
              <w:rPr>
                <w:rFonts w:ascii="Times New Roman" w:hAnsi="Times New Roman"/>
                <w:sz w:val="21"/>
              </w:rPr>
              <w:t>≤0.05</w:t>
            </w:r>
          </w:p>
        </w:tc>
        <w:tc>
          <w:tcPr>
            <w:tcW w:w="1216" w:type="dxa"/>
          </w:tcPr>
          <w:p>
            <w:pPr>
              <w:pStyle w:val="14"/>
              <w:spacing w:before="34"/>
              <w:ind w:left="267" w:right="263"/>
              <w:rPr>
                <w:rFonts w:ascii="Times New Roman" w:hAnsi="Times New Roman"/>
                <w:sz w:val="21"/>
              </w:rPr>
            </w:pPr>
            <w:r>
              <w:rPr>
                <w:rFonts w:ascii="Times New Roman" w:hAnsi="Times New Roman"/>
                <w:sz w:val="21"/>
              </w:rPr>
              <w:t>≤0.05</w:t>
            </w:r>
          </w:p>
        </w:tc>
        <w:tc>
          <w:tcPr>
            <w:tcW w:w="1224" w:type="dxa"/>
          </w:tcPr>
          <w:p>
            <w:pPr>
              <w:pStyle w:val="14"/>
              <w:spacing w:before="34"/>
              <w:ind w:left="298" w:right="288"/>
              <w:rPr>
                <w:rFonts w:ascii="Times New Roman" w:hAnsi="Times New Roman"/>
                <w:b/>
                <w:sz w:val="21"/>
              </w:rPr>
            </w:pPr>
            <w:r>
              <w:rPr>
                <w:rFonts w:ascii="Times New Roman" w:hAnsi="Times New Roman"/>
                <w:b/>
                <w:sz w:val="21"/>
              </w:rPr>
              <w:t>≤0.10</w:t>
            </w:r>
          </w:p>
        </w:tc>
        <w:tc>
          <w:tcPr>
            <w:tcW w:w="1683" w:type="dxa"/>
          </w:tcPr>
          <w:p>
            <w:pPr>
              <w:pStyle w:val="14"/>
              <w:spacing w:before="34"/>
              <w:ind w:left="599"/>
              <w:jc w:val="left"/>
              <w:rPr>
                <w:rFonts w:ascii="Times New Roman" w:hAnsi="Times New Roman"/>
                <w:sz w:val="21"/>
              </w:rPr>
            </w:pPr>
            <w:r>
              <w:rPr>
                <w:rFonts w:ascii="Times New Roman" w:hAnsi="Times New Roman"/>
                <w:sz w:val="21"/>
              </w:rPr>
              <w:t>≤1.50</w:t>
            </w:r>
          </w:p>
        </w:tc>
        <w:tc>
          <w:tcPr>
            <w:tcW w:w="1218" w:type="dxa"/>
          </w:tcPr>
          <w:p>
            <w:pPr>
              <w:pStyle w:val="14"/>
              <w:spacing w:before="34"/>
              <w:ind w:left="179" w:right="174"/>
              <w:rPr>
                <w:rFonts w:ascii="Times New Roman"/>
                <w:sz w:val="21"/>
              </w:rPr>
            </w:pPr>
            <w:r>
              <w:rPr>
                <w:rFonts w:ascii="Times New Roman"/>
                <w:sz w:val="21"/>
              </w:rPr>
              <w:t>&gt;1.50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963" w:type="dxa"/>
          </w:tcPr>
          <w:p>
            <w:pPr>
              <w:pStyle w:val="14"/>
              <w:spacing w:before="20"/>
              <w:ind w:left="7"/>
              <w:rPr>
                <w:sz w:val="21"/>
              </w:rPr>
            </w:pPr>
            <w:r>
              <w:rPr>
                <w:w w:val="99"/>
                <w:sz w:val="21"/>
              </w:rPr>
              <w:t>铅</w:t>
            </w:r>
          </w:p>
        </w:tc>
        <w:tc>
          <w:tcPr>
            <w:tcW w:w="1218" w:type="dxa"/>
          </w:tcPr>
          <w:p>
            <w:pPr>
              <w:pStyle w:val="14"/>
              <w:spacing w:before="34"/>
              <w:ind w:left="179" w:right="172"/>
              <w:rPr>
                <w:rFonts w:ascii="Times New Roman" w:hAnsi="Times New Roman"/>
                <w:sz w:val="21"/>
              </w:rPr>
            </w:pPr>
            <w:r>
              <w:rPr>
                <w:rFonts w:ascii="Times New Roman" w:hAnsi="Times New Roman"/>
                <w:sz w:val="21"/>
              </w:rPr>
              <w:t>≤0.005</w:t>
            </w:r>
          </w:p>
        </w:tc>
        <w:tc>
          <w:tcPr>
            <w:tcW w:w="1216" w:type="dxa"/>
          </w:tcPr>
          <w:p>
            <w:pPr>
              <w:pStyle w:val="14"/>
              <w:spacing w:before="34"/>
              <w:ind w:left="270" w:right="263"/>
              <w:rPr>
                <w:rFonts w:ascii="Times New Roman" w:hAnsi="Times New Roman"/>
                <w:sz w:val="21"/>
              </w:rPr>
            </w:pPr>
            <w:r>
              <w:rPr>
                <w:rFonts w:ascii="Times New Roman" w:hAnsi="Times New Roman"/>
                <w:sz w:val="21"/>
              </w:rPr>
              <w:t>≤0.005</w:t>
            </w:r>
          </w:p>
        </w:tc>
        <w:tc>
          <w:tcPr>
            <w:tcW w:w="1224" w:type="dxa"/>
          </w:tcPr>
          <w:p>
            <w:pPr>
              <w:pStyle w:val="14"/>
              <w:spacing w:before="34"/>
              <w:ind w:left="298" w:right="288"/>
              <w:rPr>
                <w:rFonts w:ascii="Times New Roman" w:hAnsi="Times New Roman"/>
                <w:b/>
                <w:sz w:val="21"/>
              </w:rPr>
            </w:pPr>
            <w:r>
              <w:rPr>
                <w:rFonts w:ascii="Times New Roman" w:hAnsi="Times New Roman"/>
                <w:b/>
                <w:sz w:val="21"/>
              </w:rPr>
              <w:t>≤0.01</w:t>
            </w:r>
          </w:p>
        </w:tc>
        <w:tc>
          <w:tcPr>
            <w:tcW w:w="1683" w:type="dxa"/>
          </w:tcPr>
          <w:p>
            <w:pPr>
              <w:pStyle w:val="14"/>
              <w:spacing w:before="34"/>
              <w:ind w:left="599"/>
              <w:jc w:val="left"/>
              <w:rPr>
                <w:rFonts w:ascii="Times New Roman" w:hAnsi="Times New Roman"/>
                <w:sz w:val="21"/>
              </w:rPr>
            </w:pPr>
            <w:r>
              <w:rPr>
                <w:rFonts w:ascii="Times New Roman" w:hAnsi="Times New Roman"/>
                <w:sz w:val="21"/>
              </w:rPr>
              <w:t>≤0.10</w:t>
            </w:r>
          </w:p>
        </w:tc>
        <w:tc>
          <w:tcPr>
            <w:tcW w:w="1218" w:type="dxa"/>
          </w:tcPr>
          <w:p>
            <w:pPr>
              <w:pStyle w:val="14"/>
              <w:spacing w:before="34"/>
              <w:ind w:left="179" w:right="174"/>
              <w:rPr>
                <w:rFonts w:ascii="Times New Roman"/>
                <w:sz w:val="21"/>
              </w:rPr>
            </w:pPr>
            <w:r>
              <w:rPr>
                <w:rFonts w:ascii="Times New Roman"/>
                <w:sz w:val="21"/>
              </w:rPr>
              <w:t>&gt;0.10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963" w:type="dxa"/>
          </w:tcPr>
          <w:p>
            <w:pPr>
              <w:pStyle w:val="14"/>
              <w:spacing w:before="20"/>
              <w:ind w:left="7"/>
              <w:rPr>
                <w:sz w:val="21"/>
              </w:rPr>
            </w:pPr>
            <w:r>
              <w:rPr>
                <w:w w:val="99"/>
                <w:sz w:val="21"/>
              </w:rPr>
              <w:t>镉</w:t>
            </w:r>
          </w:p>
        </w:tc>
        <w:tc>
          <w:tcPr>
            <w:tcW w:w="1218" w:type="dxa"/>
          </w:tcPr>
          <w:p>
            <w:pPr>
              <w:pStyle w:val="14"/>
              <w:spacing w:before="34"/>
              <w:ind w:left="179" w:right="172"/>
              <w:rPr>
                <w:rFonts w:ascii="Times New Roman" w:hAnsi="Times New Roman"/>
                <w:sz w:val="21"/>
              </w:rPr>
            </w:pPr>
            <w:r>
              <w:rPr>
                <w:rFonts w:ascii="Times New Roman" w:hAnsi="Times New Roman"/>
                <w:sz w:val="21"/>
              </w:rPr>
              <w:t>≤0.0001</w:t>
            </w:r>
          </w:p>
        </w:tc>
        <w:tc>
          <w:tcPr>
            <w:tcW w:w="1216" w:type="dxa"/>
          </w:tcPr>
          <w:p>
            <w:pPr>
              <w:pStyle w:val="14"/>
              <w:spacing w:before="34"/>
              <w:ind w:left="270" w:right="263"/>
              <w:rPr>
                <w:rFonts w:ascii="Times New Roman" w:hAnsi="Times New Roman"/>
                <w:sz w:val="21"/>
              </w:rPr>
            </w:pPr>
            <w:r>
              <w:rPr>
                <w:rFonts w:ascii="Times New Roman" w:hAnsi="Times New Roman"/>
                <w:sz w:val="21"/>
              </w:rPr>
              <w:t>≤0.001</w:t>
            </w:r>
          </w:p>
        </w:tc>
        <w:tc>
          <w:tcPr>
            <w:tcW w:w="1224" w:type="dxa"/>
          </w:tcPr>
          <w:p>
            <w:pPr>
              <w:pStyle w:val="14"/>
              <w:spacing w:before="34"/>
              <w:ind w:left="298" w:right="288"/>
              <w:rPr>
                <w:rFonts w:ascii="Times New Roman" w:hAnsi="Times New Roman"/>
                <w:b/>
                <w:sz w:val="21"/>
              </w:rPr>
            </w:pPr>
            <w:r>
              <w:rPr>
                <w:rFonts w:ascii="Times New Roman" w:hAnsi="Times New Roman"/>
                <w:b/>
                <w:sz w:val="21"/>
              </w:rPr>
              <w:t>≤0.005</w:t>
            </w:r>
          </w:p>
        </w:tc>
        <w:tc>
          <w:tcPr>
            <w:tcW w:w="1683" w:type="dxa"/>
          </w:tcPr>
          <w:p>
            <w:pPr>
              <w:pStyle w:val="14"/>
              <w:spacing w:before="34"/>
              <w:ind w:left="599"/>
              <w:jc w:val="left"/>
              <w:rPr>
                <w:rFonts w:ascii="Times New Roman" w:hAnsi="Times New Roman"/>
                <w:sz w:val="21"/>
              </w:rPr>
            </w:pPr>
            <w:r>
              <w:rPr>
                <w:rFonts w:ascii="Times New Roman" w:hAnsi="Times New Roman"/>
                <w:sz w:val="21"/>
              </w:rPr>
              <w:t>≤0.01</w:t>
            </w:r>
          </w:p>
        </w:tc>
        <w:tc>
          <w:tcPr>
            <w:tcW w:w="1218" w:type="dxa"/>
          </w:tcPr>
          <w:p>
            <w:pPr>
              <w:pStyle w:val="14"/>
              <w:spacing w:before="34"/>
              <w:ind w:left="179" w:right="174"/>
              <w:rPr>
                <w:rFonts w:ascii="Times New Roman"/>
                <w:sz w:val="21"/>
              </w:rPr>
            </w:pPr>
            <w:r>
              <w:rPr>
                <w:rFonts w:ascii="Times New Roman"/>
                <w:sz w:val="21"/>
              </w:rPr>
              <w:t>&gt;0.01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963" w:type="dxa"/>
          </w:tcPr>
          <w:p>
            <w:pPr>
              <w:pStyle w:val="14"/>
              <w:spacing w:before="22"/>
              <w:ind w:left="329" w:right="324"/>
              <w:rPr>
                <w:sz w:val="21"/>
              </w:rPr>
            </w:pPr>
            <w:r>
              <w:rPr>
                <w:sz w:val="21"/>
              </w:rPr>
              <w:t>氰化物</w:t>
            </w:r>
          </w:p>
        </w:tc>
        <w:tc>
          <w:tcPr>
            <w:tcW w:w="1218" w:type="dxa"/>
          </w:tcPr>
          <w:p>
            <w:pPr>
              <w:pStyle w:val="14"/>
              <w:spacing w:before="36"/>
              <w:ind w:left="179" w:right="172"/>
              <w:rPr>
                <w:rFonts w:ascii="Times New Roman" w:hAnsi="Times New Roman"/>
                <w:sz w:val="21"/>
              </w:rPr>
            </w:pPr>
            <w:r>
              <w:rPr>
                <w:rFonts w:ascii="Times New Roman" w:hAnsi="Times New Roman"/>
                <w:sz w:val="21"/>
              </w:rPr>
              <w:t>≤0.001</w:t>
            </w:r>
          </w:p>
        </w:tc>
        <w:tc>
          <w:tcPr>
            <w:tcW w:w="1216" w:type="dxa"/>
          </w:tcPr>
          <w:p>
            <w:pPr>
              <w:pStyle w:val="14"/>
              <w:spacing w:before="36"/>
              <w:ind w:left="267" w:right="263"/>
              <w:rPr>
                <w:rFonts w:ascii="Times New Roman" w:hAnsi="Times New Roman"/>
                <w:sz w:val="21"/>
              </w:rPr>
            </w:pPr>
            <w:r>
              <w:rPr>
                <w:rFonts w:ascii="Times New Roman" w:hAnsi="Times New Roman"/>
                <w:sz w:val="21"/>
              </w:rPr>
              <w:t>≤0.01</w:t>
            </w:r>
          </w:p>
        </w:tc>
        <w:tc>
          <w:tcPr>
            <w:tcW w:w="1224" w:type="dxa"/>
          </w:tcPr>
          <w:p>
            <w:pPr>
              <w:pStyle w:val="14"/>
              <w:spacing w:before="36"/>
              <w:ind w:left="298" w:right="288"/>
              <w:rPr>
                <w:rFonts w:ascii="Times New Roman" w:hAnsi="Times New Roman"/>
                <w:b/>
                <w:sz w:val="21"/>
              </w:rPr>
            </w:pPr>
            <w:r>
              <w:rPr>
                <w:rFonts w:ascii="Times New Roman" w:hAnsi="Times New Roman"/>
                <w:b/>
                <w:sz w:val="21"/>
              </w:rPr>
              <w:t>≤0.05</w:t>
            </w:r>
          </w:p>
        </w:tc>
        <w:tc>
          <w:tcPr>
            <w:tcW w:w="1683" w:type="dxa"/>
          </w:tcPr>
          <w:p>
            <w:pPr>
              <w:pStyle w:val="14"/>
              <w:spacing w:before="36"/>
              <w:ind w:left="649"/>
              <w:jc w:val="left"/>
              <w:rPr>
                <w:rFonts w:ascii="Times New Roman" w:hAnsi="Times New Roman"/>
                <w:sz w:val="21"/>
              </w:rPr>
            </w:pPr>
            <w:r>
              <w:rPr>
                <w:rFonts w:ascii="Times New Roman" w:hAnsi="Times New Roman"/>
                <w:sz w:val="21"/>
              </w:rPr>
              <w:t>≤0.1</w:t>
            </w:r>
          </w:p>
        </w:tc>
        <w:tc>
          <w:tcPr>
            <w:tcW w:w="1218" w:type="dxa"/>
          </w:tcPr>
          <w:p>
            <w:pPr>
              <w:pStyle w:val="14"/>
              <w:spacing w:before="36"/>
              <w:ind w:left="179" w:right="174"/>
              <w:rPr>
                <w:rFonts w:ascii="Times New Roman"/>
                <w:sz w:val="21"/>
              </w:rPr>
            </w:pPr>
            <w:r>
              <w:rPr>
                <w:rFonts w:ascii="Times New Roman"/>
                <w:sz w:val="21"/>
              </w:rPr>
              <w:t>&gt;0.1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963" w:type="dxa"/>
          </w:tcPr>
          <w:p>
            <w:pPr>
              <w:pStyle w:val="14"/>
              <w:spacing w:before="21"/>
              <w:ind w:left="329" w:right="324"/>
              <w:rPr>
                <w:sz w:val="21"/>
              </w:rPr>
            </w:pPr>
            <w:r>
              <w:rPr>
                <w:sz w:val="21"/>
              </w:rPr>
              <w:t>总硬度</w:t>
            </w:r>
          </w:p>
        </w:tc>
        <w:tc>
          <w:tcPr>
            <w:tcW w:w="1218" w:type="dxa"/>
          </w:tcPr>
          <w:p>
            <w:pPr>
              <w:pStyle w:val="14"/>
              <w:spacing w:before="35"/>
              <w:ind w:left="179" w:right="174"/>
              <w:rPr>
                <w:rFonts w:ascii="Times New Roman" w:hAnsi="Times New Roman"/>
                <w:sz w:val="21"/>
              </w:rPr>
            </w:pPr>
            <w:r>
              <w:rPr>
                <w:rFonts w:ascii="Times New Roman" w:hAnsi="Times New Roman"/>
                <w:sz w:val="21"/>
              </w:rPr>
              <w:t>≤150</w:t>
            </w:r>
          </w:p>
        </w:tc>
        <w:tc>
          <w:tcPr>
            <w:tcW w:w="1216" w:type="dxa"/>
          </w:tcPr>
          <w:p>
            <w:pPr>
              <w:pStyle w:val="14"/>
              <w:spacing w:before="35"/>
              <w:ind w:left="267" w:right="263"/>
              <w:rPr>
                <w:rFonts w:ascii="Times New Roman" w:hAnsi="Times New Roman"/>
                <w:sz w:val="21"/>
              </w:rPr>
            </w:pPr>
            <w:r>
              <w:rPr>
                <w:rFonts w:ascii="Times New Roman" w:hAnsi="Times New Roman"/>
                <w:sz w:val="21"/>
              </w:rPr>
              <w:t>≤300</w:t>
            </w:r>
          </w:p>
        </w:tc>
        <w:tc>
          <w:tcPr>
            <w:tcW w:w="1224" w:type="dxa"/>
          </w:tcPr>
          <w:p>
            <w:pPr>
              <w:pStyle w:val="14"/>
              <w:spacing w:before="35"/>
              <w:ind w:left="296" w:right="288"/>
              <w:rPr>
                <w:rFonts w:ascii="Times New Roman" w:hAnsi="Times New Roman"/>
                <w:b/>
                <w:sz w:val="21"/>
              </w:rPr>
            </w:pPr>
            <w:r>
              <w:rPr>
                <w:rFonts w:ascii="Times New Roman" w:hAnsi="Times New Roman"/>
                <w:b/>
                <w:sz w:val="21"/>
              </w:rPr>
              <w:t>≤450</w:t>
            </w:r>
          </w:p>
        </w:tc>
        <w:tc>
          <w:tcPr>
            <w:tcW w:w="1683" w:type="dxa"/>
          </w:tcPr>
          <w:p>
            <w:pPr>
              <w:pStyle w:val="14"/>
              <w:spacing w:before="35"/>
              <w:ind w:left="623"/>
              <w:jc w:val="left"/>
              <w:rPr>
                <w:rFonts w:ascii="Times New Roman" w:hAnsi="Times New Roman"/>
                <w:sz w:val="21"/>
              </w:rPr>
            </w:pPr>
            <w:r>
              <w:rPr>
                <w:rFonts w:ascii="Times New Roman" w:hAnsi="Times New Roman"/>
                <w:sz w:val="21"/>
              </w:rPr>
              <w:t>≤650</w:t>
            </w:r>
          </w:p>
        </w:tc>
        <w:tc>
          <w:tcPr>
            <w:tcW w:w="1218" w:type="dxa"/>
          </w:tcPr>
          <w:p>
            <w:pPr>
              <w:pStyle w:val="14"/>
              <w:spacing w:before="35"/>
              <w:ind w:left="179" w:right="174"/>
              <w:rPr>
                <w:rFonts w:ascii="Times New Roman"/>
                <w:sz w:val="21"/>
              </w:rPr>
            </w:pPr>
            <w:r>
              <w:rPr>
                <w:rFonts w:ascii="Times New Roman"/>
                <w:sz w:val="21"/>
              </w:rPr>
              <w:t>&gt;650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963" w:type="dxa"/>
          </w:tcPr>
          <w:p>
            <w:pPr>
              <w:pStyle w:val="14"/>
              <w:spacing w:before="21"/>
              <w:ind w:left="329" w:right="324"/>
              <w:rPr>
                <w:sz w:val="21"/>
              </w:rPr>
            </w:pPr>
            <w:r>
              <w:rPr>
                <w:sz w:val="21"/>
              </w:rPr>
              <w:t>硫酸盐</w:t>
            </w:r>
          </w:p>
        </w:tc>
        <w:tc>
          <w:tcPr>
            <w:tcW w:w="1218" w:type="dxa"/>
          </w:tcPr>
          <w:p>
            <w:pPr>
              <w:pStyle w:val="14"/>
              <w:spacing w:before="35"/>
              <w:ind w:left="179" w:right="174"/>
              <w:rPr>
                <w:rFonts w:ascii="Times New Roman" w:hAnsi="Times New Roman"/>
                <w:sz w:val="21"/>
              </w:rPr>
            </w:pPr>
            <w:r>
              <w:rPr>
                <w:rFonts w:ascii="Times New Roman" w:hAnsi="Times New Roman"/>
                <w:sz w:val="21"/>
              </w:rPr>
              <w:t>≤50</w:t>
            </w:r>
          </w:p>
        </w:tc>
        <w:tc>
          <w:tcPr>
            <w:tcW w:w="1216" w:type="dxa"/>
          </w:tcPr>
          <w:p>
            <w:pPr>
              <w:pStyle w:val="14"/>
              <w:spacing w:before="35"/>
              <w:ind w:left="267" w:right="263"/>
              <w:rPr>
                <w:rFonts w:ascii="Times New Roman" w:hAnsi="Times New Roman"/>
                <w:sz w:val="21"/>
              </w:rPr>
            </w:pPr>
            <w:r>
              <w:rPr>
                <w:rFonts w:ascii="Times New Roman" w:hAnsi="Times New Roman"/>
                <w:sz w:val="21"/>
              </w:rPr>
              <w:t>≤150</w:t>
            </w:r>
          </w:p>
        </w:tc>
        <w:tc>
          <w:tcPr>
            <w:tcW w:w="1224" w:type="dxa"/>
          </w:tcPr>
          <w:p>
            <w:pPr>
              <w:pStyle w:val="14"/>
              <w:spacing w:before="35"/>
              <w:ind w:left="296" w:right="288"/>
              <w:rPr>
                <w:rFonts w:ascii="Times New Roman" w:hAnsi="Times New Roman"/>
                <w:b/>
                <w:sz w:val="21"/>
              </w:rPr>
            </w:pPr>
            <w:r>
              <w:rPr>
                <w:rFonts w:ascii="Times New Roman" w:hAnsi="Times New Roman"/>
                <w:b/>
                <w:sz w:val="21"/>
              </w:rPr>
              <w:t>≤250</w:t>
            </w:r>
          </w:p>
        </w:tc>
        <w:tc>
          <w:tcPr>
            <w:tcW w:w="1683" w:type="dxa"/>
          </w:tcPr>
          <w:p>
            <w:pPr>
              <w:pStyle w:val="14"/>
              <w:spacing w:before="35"/>
              <w:ind w:left="623"/>
              <w:jc w:val="left"/>
              <w:rPr>
                <w:rFonts w:ascii="Times New Roman" w:hAnsi="Times New Roman"/>
                <w:sz w:val="21"/>
              </w:rPr>
            </w:pPr>
            <w:r>
              <w:rPr>
                <w:rFonts w:ascii="Times New Roman" w:hAnsi="Times New Roman"/>
                <w:sz w:val="21"/>
              </w:rPr>
              <w:t>≤350</w:t>
            </w:r>
          </w:p>
        </w:tc>
        <w:tc>
          <w:tcPr>
            <w:tcW w:w="1218" w:type="dxa"/>
          </w:tcPr>
          <w:p>
            <w:pPr>
              <w:pStyle w:val="14"/>
              <w:spacing w:before="35"/>
              <w:ind w:left="179" w:right="174"/>
              <w:rPr>
                <w:rFonts w:ascii="Times New Roman"/>
                <w:sz w:val="21"/>
              </w:rPr>
            </w:pPr>
            <w:r>
              <w:rPr>
                <w:rFonts w:ascii="Times New Roman"/>
                <w:sz w:val="21"/>
              </w:rPr>
              <w:t>&gt;350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963" w:type="dxa"/>
          </w:tcPr>
          <w:p>
            <w:pPr>
              <w:pStyle w:val="14"/>
              <w:spacing w:before="21"/>
              <w:ind w:left="329" w:right="324"/>
              <w:rPr>
                <w:sz w:val="21"/>
              </w:rPr>
            </w:pPr>
            <w:r>
              <w:rPr>
                <w:sz w:val="21"/>
              </w:rPr>
              <w:t>六价铬</w:t>
            </w:r>
          </w:p>
        </w:tc>
        <w:tc>
          <w:tcPr>
            <w:tcW w:w="1218" w:type="dxa"/>
          </w:tcPr>
          <w:p>
            <w:pPr>
              <w:pStyle w:val="14"/>
              <w:spacing w:before="34"/>
              <w:ind w:left="179" w:right="172"/>
              <w:rPr>
                <w:rFonts w:ascii="Times New Roman" w:hAnsi="Times New Roman"/>
                <w:sz w:val="21"/>
              </w:rPr>
            </w:pPr>
            <w:r>
              <w:rPr>
                <w:rFonts w:ascii="Times New Roman" w:hAnsi="Times New Roman"/>
                <w:sz w:val="21"/>
              </w:rPr>
              <w:t>≤0.005</w:t>
            </w:r>
          </w:p>
        </w:tc>
        <w:tc>
          <w:tcPr>
            <w:tcW w:w="1216" w:type="dxa"/>
          </w:tcPr>
          <w:p>
            <w:pPr>
              <w:pStyle w:val="14"/>
              <w:spacing w:before="34"/>
              <w:ind w:left="267" w:right="263"/>
              <w:rPr>
                <w:rFonts w:ascii="Times New Roman" w:hAnsi="Times New Roman"/>
                <w:sz w:val="21"/>
              </w:rPr>
            </w:pPr>
            <w:r>
              <w:rPr>
                <w:rFonts w:ascii="Times New Roman" w:hAnsi="Times New Roman"/>
                <w:sz w:val="21"/>
              </w:rPr>
              <w:t>≤0.01</w:t>
            </w:r>
          </w:p>
        </w:tc>
        <w:tc>
          <w:tcPr>
            <w:tcW w:w="1224" w:type="dxa"/>
          </w:tcPr>
          <w:p>
            <w:pPr>
              <w:pStyle w:val="14"/>
              <w:spacing w:before="34"/>
              <w:ind w:left="298" w:right="288"/>
              <w:rPr>
                <w:rFonts w:ascii="Times New Roman" w:hAnsi="Times New Roman"/>
                <w:b/>
                <w:sz w:val="21"/>
              </w:rPr>
            </w:pPr>
            <w:r>
              <w:rPr>
                <w:rFonts w:ascii="Times New Roman" w:hAnsi="Times New Roman"/>
                <w:b/>
                <w:sz w:val="21"/>
              </w:rPr>
              <w:t>≤0.05</w:t>
            </w:r>
          </w:p>
        </w:tc>
        <w:tc>
          <w:tcPr>
            <w:tcW w:w="1683" w:type="dxa"/>
          </w:tcPr>
          <w:p>
            <w:pPr>
              <w:pStyle w:val="14"/>
              <w:spacing w:before="34"/>
              <w:ind w:left="599"/>
              <w:jc w:val="left"/>
              <w:rPr>
                <w:rFonts w:ascii="Times New Roman" w:hAnsi="Times New Roman"/>
                <w:sz w:val="21"/>
              </w:rPr>
            </w:pPr>
            <w:r>
              <w:rPr>
                <w:rFonts w:ascii="Times New Roman" w:hAnsi="Times New Roman"/>
                <w:sz w:val="21"/>
              </w:rPr>
              <w:t>≤0.10</w:t>
            </w:r>
          </w:p>
        </w:tc>
        <w:tc>
          <w:tcPr>
            <w:tcW w:w="1218" w:type="dxa"/>
          </w:tcPr>
          <w:p>
            <w:pPr>
              <w:pStyle w:val="14"/>
              <w:spacing w:before="34"/>
              <w:ind w:left="179" w:right="174"/>
              <w:rPr>
                <w:rFonts w:ascii="Times New Roman"/>
                <w:sz w:val="21"/>
              </w:rPr>
            </w:pPr>
            <w:r>
              <w:rPr>
                <w:rFonts w:ascii="Times New Roman"/>
                <w:sz w:val="21"/>
              </w:rPr>
              <w:t>&gt;0.10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963" w:type="dxa"/>
          </w:tcPr>
          <w:p>
            <w:pPr>
              <w:pStyle w:val="14"/>
              <w:spacing w:before="20"/>
              <w:ind w:left="329" w:right="324"/>
              <w:rPr>
                <w:sz w:val="21"/>
              </w:rPr>
            </w:pPr>
            <w:r>
              <w:rPr>
                <w:sz w:val="21"/>
              </w:rPr>
              <w:t>氯化物</w:t>
            </w:r>
          </w:p>
        </w:tc>
        <w:tc>
          <w:tcPr>
            <w:tcW w:w="1218" w:type="dxa"/>
          </w:tcPr>
          <w:p>
            <w:pPr>
              <w:pStyle w:val="14"/>
              <w:spacing w:before="34"/>
              <w:ind w:left="179" w:right="174"/>
              <w:rPr>
                <w:rFonts w:ascii="Times New Roman" w:hAnsi="Times New Roman"/>
                <w:sz w:val="21"/>
              </w:rPr>
            </w:pPr>
            <w:r>
              <w:rPr>
                <w:rFonts w:ascii="Times New Roman" w:hAnsi="Times New Roman"/>
                <w:sz w:val="21"/>
              </w:rPr>
              <w:t>≤50</w:t>
            </w:r>
          </w:p>
        </w:tc>
        <w:tc>
          <w:tcPr>
            <w:tcW w:w="1216" w:type="dxa"/>
          </w:tcPr>
          <w:p>
            <w:pPr>
              <w:pStyle w:val="14"/>
              <w:spacing w:before="34"/>
              <w:ind w:left="267" w:right="263"/>
              <w:rPr>
                <w:rFonts w:ascii="Times New Roman" w:hAnsi="Times New Roman"/>
                <w:sz w:val="21"/>
              </w:rPr>
            </w:pPr>
            <w:r>
              <w:rPr>
                <w:rFonts w:ascii="Times New Roman" w:hAnsi="Times New Roman"/>
                <w:sz w:val="21"/>
              </w:rPr>
              <w:t>≤150</w:t>
            </w:r>
          </w:p>
        </w:tc>
        <w:tc>
          <w:tcPr>
            <w:tcW w:w="1224" w:type="dxa"/>
          </w:tcPr>
          <w:p>
            <w:pPr>
              <w:pStyle w:val="14"/>
              <w:spacing w:before="34"/>
              <w:ind w:left="296" w:right="288"/>
              <w:rPr>
                <w:rFonts w:ascii="Times New Roman" w:hAnsi="Times New Roman"/>
                <w:b/>
                <w:sz w:val="21"/>
              </w:rPr>
            </w:pPr>
            <w:r>
              <w:rPr>
                <w:rFonts w:ascii="Times New Roman" w:hAnsi="Times New Roman"/>
                <w:b/>
                <w:sz w:val="21"/>
              </w:rPr>
              <w:t>≤250</w:t>
            </w:r>
          </w:p>
        </w:tc>
        <w:tc>
          <w:tcPr>
            <w:tcW w:w="1683" w:type="dxa"/>
          </w:tcPr>
          <w:p>
            <w:pPr>
              <w:pStyle w:val="14"/>
              <w:spacing w:before="34"/>
              <w:ind w:left="623"/>
              <w:jc w:val="left"/>
              <w:rPr>
                <w:rFonts w:ascii="Times New Roman" w:hAnsi="Times New Roman"/>
                <w:sz w:val="21"/>
              </w:rPr>
            </w:pPr>
            <w:r>
              <w:rPr>
                <w:rFonts w:ascii="Times New Roman" w:hAnsi="Times New Roman"/>
                <w:sz w:val="21"/>
              </w:rPr>
              <w:t>≤350</w:t>
            </w:r>
          </w:p>
        </w:tc>
        <w:tc>
          <w:tcPr>
            <w:tcW w:w="1218" w:type="dxa"/>
          </w:tcPr>
          <w:p>
            <w:pPr>
              <w:pStyle w:val="14"/>
              <w:spacing w:before="34"/>
              <w:ind w:left="179" w:right="174"/>
              <w:rPr>
                <w:rFonts w:ascii="Times New Roman"/>
                <w:sz w:val="21"/>
              </w:rPr>
            </w:pPr>
            <w:r>
              <w:rPr>
                <w:rFonts w:ascii="Times New Roman"/>
                <w:sz w:val="21"/>
              </w:rPr>
              <w:t>&gt;350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963" w:type="dxa"/>
          </w:tcPr>
          <w:p>
            <w:pPr>
              <w:pStyle w:val="14"/>
              <w:spacing w:before="20"/>
              <w:ind w:left="329" w:right="324"/>
              <w:rPr>
                <w:sz w:val="21"/>
              </w:rPr>
            </w:pPr>
            <w:r>
              <w:rPr>
                <w:sz w:val="21"/>
              </w:rPr>
              <w:t>溶解性总固体</w:t>
            </w:r>
          </w:p>
        </w:tc>
        <w:tc>
          <w:tcPr>
            <w:tcW w:w="1218" w:type="dxa"/>
          </w:tcPr>
          <w:p>
            <w:pPr>
              <w:pStyle w:val="14"/>
              <w:spacing w:before="34"/>
              <w:ind w:left="179" w:right="174"/>
              <w:rPr>
                <w:rFonts w:ascii="Times New Roman" w:hAnsi="Times New Roman"/>
                <w:sz w:val="21"/>
              </w:rPr>
            </w:pPr>
            <w:r>
              <w:rPr>
                <w:rFonts w:ascii="Times New Roman" w:hAnsi="Times New Roman"/>
                <w:sz w:val="21"/>
              </w:rPr>
              <w:t>≤300</w:t>
            </w:r>
          </w:p>
        </w:tc>
        <w:tc>
          <w:tcPr>
            <w:tcW w:w="1216" w:type="dxa"/>
          </w:tcPr>
          <w:p>
            <w:pPr>
              <w:pStyle w:val="14"/>
              <w:spacing w:before="34"/>
              <w:ind w:left="267" w:right="263"/>
              <w:rPr>
                <w:rFonts w:ascii="Times New Roman" w:hAnsi="Times New Roman"/>
                <w:sz w:val="21"/>
              </w:rPr>
            </w:pPr>
            <w:r>
              <w:rPr>
                <w:rFonts w:ascii="Times New Roman" w:hAnsi="Times New Roman"/>
                <w:sz w:val="21"/>
              </w:rPr>
              <w:t>≤500</w:t>
            </w:r>
          </w:p>
        </w:tc>
        <w:tc>
          <w:tcPr>
            <w:tcW w:w="1224" w:type="dxa"/>
          </w:tcPr>
          <w:p>
            <w:pPr>
              <w:pStyle w:val="14"/>
              <w:spacing w:before="34"/>
              <w:ind w:left="296" w:right="288"/>
              <w:rPr>
                <w:rFonts w:ascii="Times New Roman" w:hAnsi="Times New Roman"/>
                <w:b/>
                <w:sz w:val="21"/>
              </w:rPr>
            </w:pPr>
            <w:r>
              <w:rPr>
                <w:rFonts w:ascii="Times New Roman" w:hAnsi="Times New Roman"/>
                <w:b/>
                <w:sz w:val="21"/>
              </w:rPr>
              <w:t>≤1000</w:t>
            </w:r>
          </w:p>
        </w:tc>
        <w:tc>
          <w:tcPr>
            <w:tcW w:w="1683" w:type="dxa"/>
          </w:tcPr>
          <w:p>
            <w:pPr>
              <w:pStyle w:val="14"/>
              <w:spacing w:before="34"/>
              <w:ind w:left="570"/>
              <w:jc w:val="left"/>
              <w:rPr>
                <w:rFonts w:ascii="Times New Roman" w:hAnsi="Times New Roman"/>
                <w:sz w:val="21"/>
              </w:rPr>
            </w:pPr>
            <w:r>
              <w:rPr>
                <w:rFonts w:ascii="Times New Roman" w:hAnsi="Times New Roman"/>
                <w:sz w:val="21"/>
              </w:rPr>
              <w:t>≤2000</w:t>
            </w:r>
          </w:p>
        </w:tc>
        <w:tc>
          <w:tcPr>
            <w:tcW w:w="1218" w:type="dxa"/>
          </w:tcPr>
          <w:p>
            <w:pPr>
              <w:pStyle w:val="14"/>
              <w:spacing w:before="34"/>
              <w:ind w:left="179" w:right="174"/>
              <w:rPr>
                <w:rFonts w:ascii="Times New Roman"/>
                <w:sz w:val="21"/>
              </w:rPr>
            </w:pPr>
            <w:r>
              <w:rPr>
                <w:rFonts w:ascii="Times New Roman"/>
                <w:sz w:val="21"/>
              </w:rPr>
              <w:t>&gt;2000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963" w:type="dxa"/>
          </w:tcPr>
          <w:p>
            <w:pPr>
              <w:pStyle w:val="14"/>
              <w:spacing w:before="22"/>
              <w:ind w:left="329" w:right="324"/>
              <w:rPr>
                <w:sz w:val="21"/>
              </w:rPr>
            </w:pPr>
            <w:r>
              <w:rPr>
                <w:sz w:val="21"/>
              </w:rPr>
              <w:t>高锰酸盐指数</w:t>
            </w:r>
          </w:p>
        </w:tc>
        <w:tc>
          <w:tcPr>
            <w:tcW w:w="1218" w:type="dxa"/>
          </w:tcPr>
          <w:p>
            <w:pPr>
              <w:pStyle w:val="14"/>
              <w:spacing w:before="36"/>
              <w:ind w:left="179" w:right="174"/>
              <w:rPr>
                <w:rFonts w:ascii="Times New Roman" w:hAnsi="Times New Roman"/>
                <w:sz w:val="21"/>
              </w:rPr>
            </w:pPr>
            <w:r>
              <w:rPr>
                <w:rFonts w:ascii="Times New Roman" w:hAnsi="Times New Roman"/>
                <w:sz w:val="21"/>
              </w:rPr>
              <w:t>≤1.0</w:t>
            </w:r>
          </w:p>
        </w:tc>
        <w:tc>
          <w:tcPr>
            <w:tcW w:w="1216" w:type="dxa"/>
          </w:tcPr>
          <w:p>
            <w:pPr>
              <w:pStyle w:val="14"/>
              <w:spacing w:before="36"/>
              <w:ind w:left="270" w:right="263"/>
              <w:rPr>
                <w:rFonts w:ascii="Times New Roman" w:hAnsi="Times New Roman"/>
                <w:sz w:val="21"/>
              </w:rPr>
            </w:pPr>
            <w:r>
              <w:rPr>
                <w:rFonts w:ascii="Times New Roman" w:hAnsi="Times New Roman"/>
                <w:sz w:val="21"/>
              </w:rPr>
              <w:t>≤2.0</w:t>
            </w:r>
          </w:p>
        </w:tc>
        <w:tc>
          <w:tcPr>
            <w:tcW w:w="1224" w:type="dxa"/>
          </w:tcPr>
          <w:p>
            <w:pPr>
              <w:pStyle w:val="14"/>
              <w:spacing w:before="36"/>
              <w:ind w:left="296" w:right="288"/>
              <w:rPr>
                <w:rFonts w:ascii="Times New Roman" w:hAnsi="Times New Roman"/>
                <w:b/>
                <w:sz w:val="21"/>
              </w:rPr>
            </w:pPr>
            <w:r>
              <w:rPr>
                <w:rFonts w:ascii="Times New Roman" w:hAnsi="Times New Roman"/>
                <w:b/>
                <w:sz w:val="21"/>
              </w:rPr>
              <w:t>≤3.0</w:t>
            </w:r>
          </w:p>
        </w:tc>
        <w:tc>
          <w:tcPr>
            <w:tcW w:w="1683" w:type="dxa"/>
          </w:tcPr>
          <w:p>
            <w:pPr>
              <w:pStyle w:val="14"/>
              <w:spacing w:before="36"/>
              <w:ind w:left="676"/>
              <w:jc w:val="left"/>
              <w:rPr>
                <w:rFonts w:ascii="Times New Roman" w:hAnsi="Times New Roman"/>
                <w:sz w:val="21"/>
              </w:rPr>
            </w:pPr>
            <w:r>
              <w:rPr>
                <w:rFonts w:ascii="Times New Roman" w:hAnsi="Times New Roman"/>
                <w:sz w:val="21"/>
              </w:rPr>
              <w:t>≤10</w:t>
            </w:r>
          </w:p>
        </w:tc>
        <w:tc>
          <w:tcPr>
            <w:tcW w:w="1218" w:type="dxa"/>
          </w:tcPr>
          <w:p>
            <w:pPr>
              <w:pStyle w:val="14"/>
              <w:spacing w:before="36"/>
              <w:ind w:left="179" w:right="174"/>
              <w:rPr>
                <w:rFonts w:ascii="Times New Roman"/>
                <w:sz w:val="21"/>
              </w:rPr>
            </w:pPr>
            <w:r>
              <w:rPr>
                <w:rFonts w:ascii="Times New Roman"/>
                <w:sz w:val="21"/>
              </w:rPr>
              <w:t>&gt;10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963" w:type="dxa"/>
          </w:tcPr>
          <w:p>
            <w:pPr>
              <w:pStyle w:val="14"/>
              <w:spacing w:before="21"/>
              <w:ind w:left="329" w:right="322"/>
              <w:rPr>
                <w:sz w:val="21"/>
              </w:rPr>
            </w:pPr>
            <w:r>
              <w:rPr>
                <w:sz w:val="21"/>
              </w:rPr>
              <w:t>总大肠菌群</w:t>
            </w:r>
          </w:p>
        </w:tc>
        <w:tc>
          <w:tcPr>
            <w:tcW w:w="1218" w:type="dxa"/>
          </w:tcPr>
          <w:p>
            <w:pPr>
              <w:pStyle w:val="14"/>
              <w:spacing w:before="35"/>
              <w:ind w:left="179" w:right="174"/>
              <w:rPr>
                <w:rFonts w:ascii="Times New Roman" w:hAnsi="Times New Roman"/>
                <w:sz w:val="21"/>
              </w:rPr>
            </w:pPr>
            <w:r>
              <w:rPr>
                <w:rFonts w:ascii="Times New Roman" w:hAnsi="Times New Roman"/>
                <w:sz w:val="21"/>
              </w:rPr>
              <w:t>≤3.0</w:t>
            </w:r>
          </w:p>
        </w:tc>
        <w:tc>
          <w:tcPr>
            <w:tcW w:w="1216" w:type="dxa"/>
          </w:tcPr>
          <w:p>
            <w:pPr>
              <w:pStyle w:val="14"/>
              <w:spacing w:before="35"/>
              <w:ind w:left="270" w:right="263"/>
              <w:rPr>
                <w:rFonts w:ascii="Times New Roman" w:hAnsi="Times New Roman"/>
                <w:sz w:val="21"/>
              </w:rPr>
            </w:pPr>
            <w:r>
              <w:rPr>
                <w:rFonts w:ascii="Times New Roman" w:hAnsi="Times New Roman"/>
                <w:sz w:val="21"/>
              </w:rPr>
              <w:t>≤3.0</w:t>
            </w:r>
          </w:p>
        </w:tc>
        <w:tc>
          <w:tcPr>
            <w:tcW w:w="1224" w:type="dxa"/>
          </w:tcPr>
          <w:p>
            <w:pPr>
              <w:pStyle w:val="14"/>
              <w:spacing w:before="35"/>
              <w:ind w:left="296" w:right="288"/>
              <w:rPr>
                <w:rFonts w:ascii="Times New Roman" w:hAnsi="Times New Roman"/>
                <w:b/>
                <w:sz w:val="21"/>
              </w:rPr>
            </w:pPr>
            <w:r>
              <w:rPr>
                <w:rFonts w:ascii="Times New Roman" w:hAnsi="Times New Roman"/>
                <w:b/>
                <w:sz w:val="21"/>
              </w:rPr>
              <w:t>≤3.0</w:t>
            </w:r>
          </w:p>
        </w:tc>
        <w:tc>
          <w:tcPr>
            <w:tcW w:w="1683" w:type="dxa"/>
          </w:tcPr>
          <w:p>
            <w:pPr>
              <w:pStyle w:val="14"/>
              <w:spacing w:before="35"/>
              <w:ind w:left="623"/>
              <w:jc w:val="left"/>
              <w:rPr>
                <w:rFonts w:ascii="Times New Roman" w:hAnsi="Times New Roman"/>
                <w:sz w:val="21"/>
              </w:rPr>
            </w:pPr>
            <w:r>
              <w:rPr>
                <w:rFonts w:ascii="Times New Roman" w:hAnsi="Times New Roman"/>
                <w:sz w:val="21"/>
              </w:rPr>
              <w:t>≤100</w:t>
            </w:r>
          </w:p>
        </w:tc>
        <w:tc>
          <w:tcPr>
            <w:tcW w:w="1218" w:type="dxa"/>
          </w:tcPr>
          <w:p>
            <w:pPr>
              <w:pStyle w:val="14"/>
              <w:spacing w:before="35"/>
              <w:ind w:left="179" w:right="174"/>
              <w:rPr>
                <w:rFonts w:ascii="Times New Roman"/>
                <w:sz w:val="21"/>
              </w:rPr>
            </w:pPr>
            <w:r>
              <w:rPr>
                <w:rFonts w:ascii="Times New Roman"/>
                <w:sz w:val="21"/>
              </w:rPr>
              <w:t>&gt;100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963" w:type="dxa"/>
          </w:tcPr>
          <w:p>
            <w:pPr>
              <w:pStyle w:val="14"/>
              <w:spacing w:before="21"/>
              <w:ind w:left="329" w:right="322"/>
              <w:rPr>
                <w:sz w:val="21"/>
              </w:rPr>
            </w:pPr>
            <w:r>
              <w:rPr>
                <w:sz w:val="21"/>
              </w:rPr>
              <w:t>细菌总数</w:t>
            </w:r>
          </w:p>
        </w:tc>
        <w:tc>
          <w:tcPr>
            <w:tcW w:w="1218" w:type="dxa"/>
          </w:tcPr>
          <w:p>
            <w:pPr>
              <w:pStyle w:val="14"/>
              <w:spacing w:before="35"/>
              <w:ind w:left="179" w:right="174"/>
              <w:rPr>
                <w:rFonts w:ascii="Times New Roman" w:hAnsi="Times New Roman"/>
                <w:sz w:val="21"/>
              </w:rPr>
            </w:pPr>
            <w:r>
              <w:rPr>
                <w:rFonts w:ascii="Times New Roman" w:hAnsi="Times New Roman"/>
                <w:sz w:val="21"/>
              </w:rPr>
              <w:t>≤100</w:t>
            </w:r>
          </w:p>
        </w:tc>
        <w:tc>
          <w:tcPr>
            <w:tcW w:w="1216" w:type="dxa"/>
          </w:tcPr>
          <w:p>
            <w:pPr>
              <w:pStyle w:val="14"/>
              <w:spacing w:before="35"/>
              <w:ind w:left="267" w:right="263"/>
              <w:rPr>
                <w:rFonts w:ascii="Times New Roman" w:hAnsi="Times New Roman"/>
                <w:sz w:val="21"/>
              </w:rPr>
            </w:pPr>
            <w:r>
              <w:rPr>
                <w:rFonts w:ascii="Times New Roman" w:hAnsi="Times New Roman"/>
                <w:sz w:val="21"/>
              </w:rPr>
              <w:t>≤100</w:t>
            </w:r>
          </w:p>
        </w:tc>
        <w:tc>
          <w:tcPr>
            <w:tcW w:w="1224" w:type="dxa"/>
          </w:tcPr>
          <w:p>
            <w:pPr>
              <w:pStyle w:val="14"/>
              <w:spacing w:before="35"/>
              <w:ind w:left="296" w:right="288"/>
              <w:rPr>
                <w:rFonts w:ascii="Times New Roman" w:hAnsi="Times New Roman"/>
                <w:b/>
                <w:sz w:val="21"/>
              </w:rPr>
            </w:pPr>
            <w:r>
              <w:rPr>
                <w:rFonts w:ascii="Times New Roman" w:hAnsi="Times New Roman"/>
                <w:b/>
                <w:sz w:val="21"/>
              </w:rPr>
              <w:t>≤100</w:t>
            </w:r>
          </w:p>
        </w:tc>
        <w:tc>
          <w:tcPr>
            <w:tcW w:w="1683" w:type="dxa"/>
          </w:tcPr>
          <w:p>
            <w:pPr>
              <w:pStyle w:val="14"/>
              <w:spacing w:before="35"/>
              <w:ind w:left="570"/>
              <w:jc w:val="left"/>
              <w:rPr>
                <w:rFonts w:ascii="Times New Roman" w:hAnsi="Times New Roman"/>
                <w:sz w:val="21"/>
              </w:rPr>
            </w:pPr>
            <w:r>
              <w:rPr>
                <w:rFonts w:ascii="Times New Roman" w:hAnsi="Times New Roman"/>
                <w:sz w:val="21"/>
              </w:rPr>
              <w:t>≤1000</w:t>
            </w:r>
          </w:p>
        </w:tc>
        <w:tc>
          <w:tcPr>
            <w:tcW w:w="1218" w:type="dxa"/>
          </w:tcPr>
          <w:p>
            <w:pPr>
              <w:pStyle w:val="14"/>
              <w:spacing w:before="35"/>
              <w:ind w:left="179" w:right="174"/>
              <w:rPr>
                <w:rFonts w:ascii="Times New Roman"/>
                <w:sz w:val="21"/>
              </w:rPr>
            </w:pPr>
            <w:r>
              <w:rPr>
                <w:rFonts w:ascii="Times New Roman"/>
                <w:sz w:val="21"/>
              </w:rPr>
              <w:t>&gt;1000</w:t>
            </w:r>
          </w:p>
        </w:tc>
      </w:tr>
    </w:tbl>
    <w:p>
      <w:pPr>
        <w:spacing w:before="21"/>
        <w:ind w:left="551" w:right="0" w:firstLine="0"/>
        <w:jc w:val="left"/>
        <w:rPr>
          <w:sz w:val="21"/>
        </w:rPr>
      </w:pPr>
      <w:r>
        <w:rPr>
          <w:spacing w:val="-1"/>
          <w:w w:val="99"/>
          <w:sz w:val="21"/>
        </w:rPr>
        <w:t>（</w:t>
      </w:r>
      <w:r>
        <w:rPr>
          <w:spacing w:val="-13"/>
          <w:w w:val="99"/>
          <w:sz w:val="21"/>
        </w:rPr>
        <w:t>注：单位为</w:t>
      </w:r>
      <w:r>
        <w:rPr>
          <w:spacing w:val="-53"/>
          <w:sz w:val="21"/>
        </w:rPr>
        <w:t xml:space="preserve"> </w:t>
      </w:r>
      <w:r>
        <w:rPr>
          <w:rFonts w:ascii="Times New Roman" w:eastAsia="Times New Roman"/>
          <w:w w:val="99"/>
          <w:sz w:val="21"/>
        </w:rPr>
        <w:t>m</w:t>
      </w:r>
      <w:r>
        <w:rPr>
          <w:rFonts w:ascii="Times New Roman" w:eastAsia="Times New Roman"/>
          <w:spacing w:val="-2"/>
          <w:w w:val="99"/>
          <w:sz w:val="21"/>
        </w:rPr>
        <w:t>g</w:t>
      </w:r>
      <w:r>
        <w:rPr>
          <w:rFonts w:ascii="Times New Roman" w:eastAsia="Times New Roman"/>
          <w:spacing w:val="1"/>
          <w:w w:val="99"/>
          <w:sz w:val="21"/>
        </w:rPr>
        <w:t>/L</w:t>
      </w:r>
      <w:r>
        <w:rPr>
          <w:spacing w:val="-61"/>
          <w:w w:val="99"/>
          <w:sz w:val="21"/>
        </w:rPr>
        <w:t>，</w:t>
      </w:r>
      <w:r>
        <w:rPr>
          <w:rFonts w:ascii="Times New Roman" w:eastAsia="Times New Roman"/>
          <w:spacing w:val="1"/>
          <w:w w:val="99"/>
          <w:sz w:val="21"/>
        </w:rPr>
        <w:t>p</w:t>
      </w:r>
      <w:r>
        <w:rPr>
          <w:rFonts w:ascii="Times New Roman" w:eastAsia="Times New Roman"/>
          <w:w w:val="99"/>
          <w:sz w:val="21"/>
        </w:rPr>
        <w:t>H</w:t>
      </w:r>
      <w:r>
        <w:rPr>
          <w:rFonts w:ascii="Times New Roman" w:eastAsia="Times New Roman"/>
          <w:sz w:val="21"/>
        </w:rPr>
        <w:t xml:space="preserve"> </w:t>
      </w:r>
      <w:r>
        <w:rPr>
          <w:spacing w:val="-8"/>
          <w:w w:val="99"/>
          <w:sz w:val="21"/>
        </w:rPr>
        <w:t>无量纲，总大肠菌群单位为</w:t>
      </w:r>
      <w:r>
        <w:rPr>
          <w:spacing w:val="-50"/>
          <w:sz w:val="21"/>
        </w:rPr>
        <w:t xml:space="preserve"> </w:t>
      </w:r>
      <w:r>
        <w:rPr>
          <w:rFonts w:ascii="Times New Roman" w:eastAsia="Times New Roman"/>
          <w:spacing w:val="-2"/>
          <w:w w:val="99"/>
          <w:sz w:val="21"/>
        </w:rPr>
        <w:t>M</w:t>
      </w:r>
      <w:r>
        <w:rPr>
          <w:rFonts w:ascii="Times New Roman" w:eastAsia="Times New Roman"/>
          <w:spacing w:val="1"/>
          <w:w w:val="99"/>
          <w:sz w:val="21"/>
        </w:rPr>
        <w:t>P</w:t>
      </w:r>
      <w:r>
        <w:rPr>
          <w:rFonts w:ascii="Times New Roman" w:eastAsia="Times New Roman"/>
          <w:w w:val="99"/>
          <w:sz w:val="21"/>
        </w:rPr>
        <w:t>N</w:t>
      </w:r>
      <w:r>
        <w:rPr>
          <w:rFonts w:ascii="Times New Roman" w:eastAsia="Times New Roman"/>
          <w:spacing w:val="1"/>
          <w:w w:val="105"/>
          <w:position w:val="7"/>
          <w:sz w:val="13"/>
        </w:rPr>
        <w:t>b</w:t>
      </w:r>
      <w:r>
        <w:rPr>
          <w:rFonts w:ascii="Times New Roman" w:eastAsia="Times New Roman"/>
          <w:spacing w:val="-1"/>
          <w:w w:val="99"/>
          <w:sz w:val="21"/>
        </w:rPr>
        <w:t>/</w:t>
      </w:r>
      <w:r>
        <w:rPr>
          <w:rFonts w:ascii="Times New Roman" w:eastAsia="Times New Roman"/>
          <w:spacing w:val="1"/>
          <w:w w:val="99"/>
          <w:sz w:val="21"/>
        </w:rPr>
        <w:t>100</w:t>
      </w:r>
      <w:r>
        <w:rPr>
          <w:rFonts w:ascii="Times New Roman" w:eastAsia="Times New Roman"/>
          <w:spacing w:val="-2"/>
          <w:w w:val="99"/>
          <w:sz w:val="21"/>
        </w:rPr>
        <w:t>m</w:t>
      </w:r>
      <w:r>
        <w:rPr>
          <w:rFonts w:ascii="Times New Roman" w:eastAsia="Times New Roman"/>
          <w:spacing w:val="1"/>
          <w:w w:val="99"/>
          <w:sz w:val="21"/>
        </w:rPr>
        <w:t>L</w:t>
      </w:r>
      <w:r>
        <w:rPr>
          <w:spacing w:val="-9"/>
          <w:w w:val="99"/>
          <w:sz w:val="21"/>
        </w:rPr>
        <w:t>，细菌总数单位为</w:t>
      </w:r>
      <w:r>
        <w:rPr>
          <w:spacing w:val="-53"/>
          <w:sz w:val="21"/>
        </w:rPr>
        <w:t xml:space="preserve"> </w:t>
      </w:r>
      <w:r>
        <w:rPr>
          <w:rFonts w:ascii="Times New Roman" w:eastAsia="Times New Roman"/>
          <w:spacing w:val="-1"/>
          <w:w w:val="99"/>
          <w:sz w:val="21"/>
        </w:rPr>
        <w:t>C</w:t>
      </w:r>
      <w:r>
        <w:rPr>
          <w:rFonts w:ascii="Times New Roman" w:eastAsia="Times New Roman"/>
          <w:spacing w:val="-2"/>
          <w:w w:val="99"/>
          <w:sz w:val="21"/>
        </w:rPr>
        <w:t>F</w:t>
      </w:r>
      <w:r>
        <w:rPr>
          <w:rFonts w:ascii="Times New Roman" w:eastAsia="Times New Roman"/>
          <w:spacing w:val="2"/>
          <w:w w:val="99"/>
          <w:sz w:val="21"/>
        </w:rPr>
        <w:t>U</w:t>
      </w:r>
      <w:r>
        <w:rPr>
          <w:rFonts w:ascii="Times New Roman" w:eastAsia="Times New Roman"/>
          <w:spacing w:val="-1"/>
          <w:w w:val="99"/>
          <w:sz w:val="21"/>
        </w:rPr>
        <w:t>/</w:t>
      </w:r>
      <w:r>
        <w:rPr>
          <w:rFonts w:ascii="Times New Roman" w:eastAsia="Times New Roman"/>
          <w:w w:val="99"/>
          <w:sz w:val="21"/>
        </w:rPr>
        <w:t>m</w:t>
      </w:r>
      <w:r>
        <w:rPr>
          <w:rFonts w:ascii="Times New Roman" w:eastAsia="Times New Roman"/>
          <w:spacing w:val="4"/>
          <w:w w:val="99"/>
          <w:sz w:val="21"/>
        </w:rPr>
        <w:t>L</w:t>
      </w:r>
      <w:r>
        <w:rPr>
          <w:w w:val="99"/>
          <w:sz w:val="21"/>
        </w:rPr>
        <w:t>）</w:t>
      </w:r>
    </w:p>
    <w:p>
      <w:pPr>
        <w:pStyle w:val="5"/>
        <w:spacing w:before="25"/>
        <w:ind w:left="551"/>
      </w:pPr>
      <w:r>
        <w:rPr>
          <w:rFonts w:ascii="Times New Roman" w:eastAsia="Times New Roman"/>
        </w:rPr>
        <w:t xml:space="preserve">6.4.2.3 </w:t>
      </w:r>
      <w:r>
        <w:t>评价结果及分析</w:t>
      </w:r>
    </w:p>
    <w:p>
      <w:pPr>
        <w:pStyle w:val="6"/>
        <w:spacing w:before="6"/>
        <w:rPr>
          <w:b/>
          <w:sz w:val="18"/>
        </w:rPr>
      </w:pPr>
    </w:p>
    <w:p>
      <w:pPr>
        <w:pStyle w:val="6"/>
        <w:spacing w:line="364" w:lineRule="auto"/>
        <w:ind w:left="1070" w:right="5653" w:hanging="39"/>
      </w:pPr>
      <w:r>
        <w:t>（</w:t>
      </w:r>
      <w:r>
        <w:rPr>
          <w:rFonts w:ascii="Calibri" w:eastAsia="Calibri"/>
        </w:rPr>
        <w:t>1</w:t>
      </w:r>
      <w:r>
        <w:t>）地下水化学类型评价结果首先对水文资料进行整理：</w:t>
      </w:r>
    </w:p>
    <w:p>
      <w:pPr>
        <w:pStyle w:val="6"/>
        <w:spacing w:before="2"/>
        <w:ind w:left="1070"/>
      </w:pPr>
      <w:r>
        <w:t>换算毫克</w:t>
      </w:r>
      <w:r>
        <w:rPr>
          <w:rFonts w:ascii="Calibri" w:eastAsia="Calibri"/>
        </w:rPr>
        <w:t>/</w:t>
      </w:r>
      <w:r>
        <w:t>升为毫克当量</w:t>
      </w:r>
      <w:r>
        <w:rPr>
          <w:rFonts w:ascii="Calibri" w:eastAsia="Calibri"/>
        </w:rPr>
        <w:t>/</w:t>
      </w:r>
      <w:r>
        <w:t>升及毫克当量百分数</w:t>
      </w:r>
    </w:p>
    <w:p>
      <w:pPr>
        <w:pStyle w:val="6"/>
        <w:spacing w:before="160"/>
        <w:ind w:left="1070"/>
      </w:pPr>
      <w:r>
        <w:t>按照化学原理，毫克数与毫克当量数的关系如下式：</w:t>
      </w:r>
    </w:p>
    <w:p>
      <w:pPr>
        <w:pStyle w:val="6"/>
        <w:spacing w:before="91" w:line="398" w:lineRule="exact"/>
        <w:ind w:left="1056"/>
      </w:pPr>
      <w:r>
        <mc:AlternateContent>
          <mc:Choice Requires="wps">
            <w:drawing>
              <wp:anchor distT="0" distB="0" distL="114300" distR="114300" simplePos="0" relativeHeight="214198272" behindDoc="1" locked="0" layoutInCell="1" allowOverlap="1">
                <wp:simplePos x="0" y="0"/>
                <wp:positionH relativeFrom="page">
                  <wp:posOffset>2807335</wp:posOffset>
                </wp:positionH>
                <wp:positionV relativeFrom="paragraph">
                  <wp:posOffset>266700</wp:posOffset>
                </wp:positionV>
                <wp:extent cx="923290" cy="0"/>
                <wp:effectExtent l="0" t="0" r="0" b="0"/>
                <wp:wrapNone/>
                <wp:docPr id="36" name="直线 127"/>
                <wp:cNvGraphicFramePr/>
                <a:graphic xmlns:a="http://schemas.openxmlformats.org/drawingml/2006/main">
                  <a:graphicData uri="http://schemas.microsoft.com/office/word/2010/wordprocessingShape">
                    <wps:wsp>
                      <wps:cNvSpPr/>
                      <wps:spPr>
                        <a:xfrm>
                          <a:off x="0" y="0"/>
                          <a:ext cx="923290" cy="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127" o:spid="_x0000_s1026" o:spt="20" style="position:absolute;left:0pt;margin-left:221.05pt;margin-top:21pt;height:0pt;width:72.7pt;mso-position-horizontal-relative:page;z-index:-289118208;mso-width-relative:page;mso-height-relative:page;" filled="f" stroked="t" coordsize="21600,21600" o:gfxdata="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D0Pu1tUAAAAJAQAADwAAAAAAAAABACAAAAAiAAAAZHJz&#10;L2Rvd25yZXYueG1sUEsBAhQAFAAAAAgAh07iQBfrQBXOAQAAjwMAAA4AAAAAAAAAAQAgAAAAJAEA&#10;AGRycy9lMm9Eb2MueG1sUEsFBgAAAAAGAAYAWQEAAGQFAAAAAA==&#10;">
                <v:fill on="f" focussize="0,0"/>
                <v:stroke weight="0.5pt" color="#000000" joinstyle="round"/>
                <v:imagedata o:title=""/>
                <o:lock v:ext="edit" aspectratio="f"/>
              </v:line>
            </w:pict>
          </mc:Fallback>
        </mc:AlternateContent>
      </w:r>
      <w:r>
        <w:t xml:space="preserve">离子的毫克当量数 </w:t>
      </w:r>
      <w:r>
        <w:rPr>
          <w:rFonts w:ascii="Symbol" w:hAnsi="Symbol" w:eastAsia="Symbol"/>
        </w:rPr>
        <w:t></w:t>
      </w:r>
      <w:r>
        <w:rPr>
          <w:rFonts w:ascii="Times New Roman" w:hAnsi="Times New Roman" w:eastAsia="Times New Roman"/>
        </w:rPr>
        <w:t xml:space="preserve"> </w:t>
      </w:r>
      <w:r>
        <w:rPr>
          <w:position w:val="15"/>
        </w:rPr>
        <w:t>离子的毫克数</w:t>
      </w:r>
    </w:p>
    <w:p>
      <w:pPr>
        <w:pStyle w:val="6"/>
        <w:spacing w:line="248" w:lineRule="exact"/>
        <w:ind w:right="2040"/>
        <w:jc w:val="center"/>
      </w:pPr>
      <w:r>
        <w:t>离子的当量</w:t>
      </w:r>
    </w:p>
    <w:p>
      <w:pPr>
        <w:pStyle w:val="6"/>
        <w:spacing w:before="11"/>
        <w:rPr>
          <w:sz w:val="12"/>
        </w:rPr>
      </w:pPr>
    </w:p>
    <w:p>
      <w:pPr>
        <w:pStyle w:val="6"/>
        <w:spacing w:before="66"/>
        <w:ind w:left="1070"/>
      </w:pPr>
      <w:r>
        <w:t>知道了离子在水中的毫克当量数以后，则可根据下式计算其毫克当量百分</w:t>
      </w:r>
    </w:p>
    <w:p>
      <w:pPr>
        <w:pStyle w:val="6"/>
        <w:spacing w:before="161"/>
        <w:ind w:left="551"/>
      </w:pPr>
      <w:r>
        <w:t>数：</w:t>
      </w:r>
    </w:p>
    <w:p>
      <w:pPr>
        <w:pStyle w:val="6"/>
        <w:rPr>
          <w:sz w:val="12"/>
        </w:rPr>
      </w:pPr>
    </w:p>
    <w:p>
      <w:pPr>
        <w:spacing w:after="0"/>
        <w:rPr>
          <w:sz w:val="12"/>
        </w:rPr>
        <w:sectPr>
          <w:pgSz w:w="11910" w:h="16840"/>
          <w:pgMar w:top="1420" w:right="780" w:bottom="1180" w:left="1200" w:header="0" w:footer="997" w:gutter="0"/>
        </w:sectPr>
      </w:pPr>
    </w:p>
    <w:p>
      <w:pPr>
        <w:pStyle w:val="6"/>
        <w:spacing w:before="222"/>
        <w:ind w:left="1098"/>
        <w:rPr>
          <w:rFonts w:ascii="Symbol" w:hAnsi="Symbol"/>
        </w:rPr>
      </w:pPr>
      <w:r>
        <mc:AlternateContent>
          <mc:Choice Requires="wps">
            <w:drawing>
              <wp:anchor distT="0" distB="0" distL="114300" distR="114300" simplePos="0" relativeHeight="214199296" behindDoc="1" locked="0" layoutInCell="1" allowOverlap="1">
                <wp:simplePos x="0" y="0"/>
                <wp:positionH relativeFrom="page">
                  <wp:posOffset>3442335</wp:posOffset>
                </wp:positionH>
                <wp:positionV relativeFrom="paragraph">
                  <wp:posOffset>255270</wp:posOffset>
                </wp:positionV>
                <wp:extent cx="1565275" cy="0"/>
                <wp:effectExtent l="0" t="0" r="0" b="0"/>
                <wp:wrapNone/>
                <wp:docPr id="38" name="直线 128"/>
                <wp:cNvGraphicFramePr/>
                <a:graphic xmlns:a="http://schemas.openxmlformats.org/drawingml/2006/main">
                  <a:graphicData uri="http://schemas.microsoft.com/office/word/2010/wordprocessingShape">
                    <wps:wsp>
                      <wps:cNvSpPr/>
                      <wps:spPr>
                        <a:xfrm>
                          <a:off x="0" y="0"/>
                          <a:ext cx="1565275" cy="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128" o:spid="_x0000_s1026" o:spt="20" style="position:absolute;left:0pt;margin-left:271.05pt;margin-top:20.1pt;height:0pt;width:123.25pt;mso-position-horizontal-relative:page;z-index:-289117184;mso-width-relative:page;mso-height-relative:page;" filled="f" stroked="t" coordsize="21600,21600" o:gfxdata="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rTx/o1QAAAAkBAAAPAAAAAAAAAAEAIAAAACIAAABk&#10;cnMvZG93bnJldi54bWxQSwECFAAUAAAACACHTuJAl44avdABAACQAwAADgAAAAAAAAABACAAAAAk&#10;AQAAZHJzL2Uyb0RvYy54bWxQSwUGAAAAAAYABgBZAQAAZgUAAAAA&#10;">
                <v:fill on="f" focussize="0,0"/>
                <v:stroke weight="0.5pt" color="#000000" joinstyle="round"/>
                <v:imagedata o:title=""/>
                <o:lock v:ext="edit" aspectratio="f"/>
              </v:line>
            </w:pict>
          </mc:Fallback>
        </mc:AlternateContent>
      </w:r>
      <w:r>
        <w:rPr>
          <w:w w:val="95"/>
        </w:rPr>
        <w:t>某阴离子的毫克当量百分数</w:t>
      </w:r>
      <w:r>
        <w:rPr>
          <w:rFonts w:ascii="Symbol" w:hAnsi="Symbol"/>
          <w:w w:val="95"/>
        </w:rPr>
        <w:t></w:t>
      </w:r>
    </w:p>
    <w:p>
      <w:pPr>
        <w:pStyle w:val="6"/>
        <w:spacing w:before="72" w:line="264" w:lineRule="auto"/>
        <w:ind w:left="14" w:firstLine="245"/>
      </w:pPr>
      <w:r>
        <w:br w:type="column"/>
      </w:r>
      <w:r>
        <w:t>该离子毫克当量</w:t>
      </w:r>
      <w:r>
        <w:rPr>
          <w:rFonts w:ascii="Times New Roman" w:eastAsia="Times New Roman"/>
        </w:rPr>
        <w:t>/</w:t>
      </w:r>
      <w:r>
        <w:t>升</w:t>
      </w:r>
      <w:r>
        <w:rPr>
          <w:w w:val="95"/>
        </w:rPr>
        <w:t>阴离子毫克当量总数</w:t>
      </w:r>
      <w:r>
        <w:rPr>
          <w:rFonts w:ascii="Times New Roman" w:eastAsia="Times New Roman"/>
          <w:w w:val="95"/>
        </w:rPr>
        <w:t>/</w:t>
      </w:r>
      <w:r>
        <w:rPr>
          <w:w w:val="95"/>
        </w:rPr>
        <w:t>升</w:t>
      </w:r>
    </w:p>
    <w:p>
      <w:pPr>
        <w:pStyle w:val="6"/>
        <w:spacing w:before="222"/>
        <w:rPr>
          <w:rFonts w:ascii="Times New Roman" w:hAnsi="Times New Roman"/>
        </w:rPr>
      </w:pPr>
      <w:r>
        <w:br w:type="column"/>
      </w:r>
      <w:r>
        <w:rPr>
          <w:rFonts w:ascii="Symbol" w:hAnsi="Symbol"/>
        </w:rPr>
        <w:t></w:t>
      </w:r>
      <w:r>
        <w:rPr>
          <w:rFonts w:ascii="Times New Roman" w:hAnsi="Times New Roman"/>
        </w:rPr>
        <w:t>100%</w:t>
      </w:r>
    </w:p>
    <w:p>
      <w:pPr>
        <w:spacing w:after="0"/>
        <w:rPr>
          <w:rFonts w:ascii="Times New Roman" w:hAnsi="Times New Roman"/>
        </w:rPr>
        <w:sectPr>
          <w:type w:val="continuous"/>
          <w:pgSz w:w="11910" w:h="16840"/>
          <w:pgMar w:top="1580" w:right="780" w:bottom="280" w:left="1200" w:header="720" w:footer="720" w:gutter="0"/>
          <w:cols w:equalWidth="0" w:num="3">
            <w:col w:w="4161" w:space="40"/>
            <w:col w:w="2480" w:space="39"/>
            <w:col w:w="3210"/>
          </w:cols>
        </w:sectPr>
      </w:pPr>
    </w:p>
    <w:p>
      <w:pPr>
        <w:pStyle w:val="6"/>
        <w:spacing w:before="1"/>
        <w:rPr>
          <w:rFonts w:ascii="Times New Roman"/>
          <w:sz w:val="11"/>
        </w:rPr>
      </w:pPr>
    </w:p>
    <w:p>
      <w:pPr>
        <w:pStyle w:val="6"/>
        <w:spacing w:before="66"/>
        <w:ind w:right="2743"/>
        <w:jc w:val="center"/>
      </w:pPr>
      <w:r>
        <w:t>本次监测离子毫克当量百分比计算结果见下表。</w:t>
      </w:r>
    </w:p>
    <w:p>
      <w:pPr>
        <w:pStyle w:val="5"/>
        <w:spacing w:before="84"/>
        <w:ind w:right="405"/>
        <w:jc w:val="center"/>
      </w:pPr>
      <w:r>
        <w:t xml:space="preserve">表 </w:t>
      </w:r>
      <w:r>
        <w:rPr>
          <w:rFonts w:ascii="Times New Roman" w:eastAsia="Times New Roman"/>
        </w:rPr>
        <w:t xml:space="preserve">6.4-6  </w:t>
      </w:r>
      <w:r>
        <w:t>离子毫克当量百分比计算结果</w:t>
      </w:r>
    </w:p>
    <w:tbl>
      <w:tblPr>
        <w:tblStyle w:val="10"/>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56"/>
        <w:gridCol w:w="1856"/>
        <w:gridCol w:w="1858"/>
        <w:gridCol w:w="1858"/>
        <w:gridCol w:w="18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712" w:type="dxa"/>
            <w:gridSpan w:val="2"/>
          </w:tcPr>
          <w:p>
            <w:pPr>
              <w:pStyle w:val="14"/>
              <w:spacing w:before="21"/>
              <w:ind w:left="1519" w:right="1511"/>
              <w:rPr>
                <w:b/>
                <w:sz w:val="21"/>
              </w:rPr>
            </w:pPr>
            <w:r>
              <w:rPr>
                <w:rFonts w:ascii="Times New Roman" w:eastAsia="Times New Roman"/>
                <w:b/>
                <w:sz w:val="21"/>
              </w:rPr>
              <w:t>1#</w:t>
            </w:r>
            <w:r>
              <w:rPr>
                <w:b/>
                <w:sz w:val="21"/>
              </w:rPr>
              <w:t>离子</w:t>
            </w:r>
          </w:p>
        </w:tc>
        <w:tc>
          <w:tcPr>
            <w:tcW w:w="1858" w:type="dxa"/>
          </w:tcPr>
          <w:p>
            <w:pPr>
              <w:pStyle w:val="14"/>
              <w:spacing w:before="35"/>
              <w:ind w:right="680"/>
              <w:jc w:val="right"/>
              <w:rPr>
                <w:rFonts w:ascii="Times New Roman"/>
                <w:b/>
                <w:sz w:val="21"/>
              </w:rPr>
            </w:pPr>
            <w:r>
              <w:rPr>
                <w:rFonts w:ascii="Times New Roman"/>
                <w:b/>
                <w:w w:val="95"/>
                <w:sz w:val="21"/>
              </w:rPr>
              <w:t>mg/L</w:t>
            </w:r>
          </w:p>
        </w:tc>
        <w:tc>
          <w:tcPr>
            <w:tcW w:w="1858" w:type="dxa"/>
          </w:tcPr>
          <w:p>
            <w:pPr>
              <w:pStyle w:val="14"/>
              <w:spacing w:before="35"/>
              <w:ind w:left="609" w:right="603"/>
              <w:rPr>
                <w:rFonts w:ascii="Times New Roman"/>
                <w:b/>
                <w:sz w:val="21"/>
              </w:rPr>
            </w:pPr>
            <w:r>
              <w:rPr>
                <w:rFonts w:ascii="Times New Roman"/>
                <w:b/>
                <w:sz w:val="21"/>
              </w:rPr>
              <w:t>meq/L</w:t>
            </w:r>
          </w:p>
        </w:tc>
        <w:tc>
          <w:tcPr>
            <w:tcW w:w="1858" w:type="dxa"/>
          </w:tcPr>
          <w:p>
            <w:pPr>
              <w:pStyle w:val="14"/>
              <w:spacing w:before="35"/>
              <w:ind w:left="610" w:right="603"/>
              <w:rPr>
                <w:rFonts w:ascii="Times New Roman"/>
                <w:b/>
                <w:sz w:val="21"/>
              </w:rPr>
            </w:pPr>
            <w:r>
              <w:rPr>
                <w:rFonts w:ascii="Times New Roman"/>
                <w:b/>
                <w:sz w:val="21"/>
              </w:rPr>
              <w:t>meq%</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856" w:type="dxa"/>
            <w:vMerge w:val="restart"/>
          </w:tcPr>
          <w:p>
            <w:pPr>
              <w:pStyle w:val="14"/>
              <w:spacing w:before="12"/>
              <w:jc w:val="left"/>
              <w:rPr>
                <w:b/>
                <w:sz w:val="14"/>
              </w:rPr>
            </w:pPr>
          </w:p>
          <w:p>
            <w:pPr>
              <w:pStyle w:val="14"/>
              <w:spacing w:line="278" w:lineRule="auto"/>
              <w:ind w:left="823" w:right="811"/>
              <w:jc w:val="both"/>
              <w:rPr>
                <w:b/>
                <w:sz w:val="21"/>
              </w:rPr>
            </w:pPr>
            <w:r>
              <w:rPr>
                <w:b/>
                <w:sz w:val="21"/>
              </w:rPr>
              <w:t>阳离子</w:t>
            </w:r>
          </w:p>
        </w:tc>
        <w:tc>
          <w:tcPr>
            <w:tcW w:w="1856" w:type="dxa"/>
          </w:tcPr>
          <w:p>
            <w:pPr>
              <w:pStyle w:val="14"/>
              <w:spacing w:before="35"/>
              <w:ind w:left="577" w:right="567"/>
              <w:rPr>
                <w:rFonts w:ascii="Times New Roman"/>
                <w:sz w:val="13"/>
              </w:rPr>
            </w:pPr>
            <w:r>
              <w:rPr>
                <w:rFonts w:ascii="Times New Roman"/>
                <w:sz w:val="21"/>
              </w:rPr>
              <w:t>K</w:t>
            </w:r>
            <w:r>
              <w:rPr>
                <w:rFonts w:ascii="Times New Roman"/>
                <w:position w:val="7"/>
                <w:sz w:val="13"/>
              </w:rPr>
              <w:t>+</w:t>
            </w:r>
            <w:r>
              <w:rPr>
                <w:rFonts w:ascii="Times New Roman"/>
                <w:sz w:val="21"/>
              </w:rPr>
              <w:t>+Na</w:t>
            </w:r>
            <w:r>
              <w:rPr>
                <w:rFonts w:ascii="Times New Roman"/>
                <w:position w:val="7"/>
                <w:sz w:val="13"/>
              </w:rPr>
              <w:t>+</w:t>
            </w:r>
          </w:p>
        </w:tc>
        <w:tc>
          <w:tcPr>
            <w:tcW w:w="1858" w:type="dxa"/>
          </w:tcPr>
          <w:p>
            <w:pPr>
              <w:pStyle w:val="14"/>
              <w:spacing w:before="35"/>
              <w:ind w:right="732"/>
              <w:jc w:val="right"/>
              <w:rPr>
                <w:rFonts w:ascii="Times New Roman"/>
                <w:sz w:val="21"/>
              </w:rPr>
            </w:pPr>
            <w:r>
              <w:rPr>
                <w:rFonts w:ascii="Times New Roman"/>
                <w:sz w:val="21"/>
              </w:rPr>
              <w:t>21.3</w:t>
            </w:r>
          </w:p>
        </w:tc>
        <w:tc>
          <w:tcPr>
            <w:tcW w:w="1858" w:type="dxa"/>
          </w:tcPr>
          <w:p>
            <w:pPr>
              <w:pStyle w:val="14"/>
              <w:spacing w:before="35"/>
              <w:ind w:left="610" w:right="601"/>
              <w:rPr>
                <w:rFonts w:ascii="Times New Roman"/>
                <w:sz w:val="21"/>
              </w:rPr>
            </w:pPr>
            <w:r>
              <w:rPr>
                <w:rFonts w:ascii="Times New Roman"/>
                <w:sz w:val="21"/>
              </w:rPr>
              <w:t>0.909</w:t>
            </w:r>
          </w:p>
        </w:tc>
        <w:tc>
          <w:tcPr>
            <w:tcW w:w="1858" w:type="dxa"/>
          </w:tcPr>
          <w:p>
            <w:pPr>
              <w:pStyle w:val="14"/>
              <w:spacing w:before="35"/>
              <w:ind w:left="610" w:right="599"/>
              <w:rPr>
                <w:rFonts w:ascii="Times New Roman"/>
                <w:sz w:val="21"/>
              </w:rPr>
            </w:pPr>
            <w:r>
              <w:rPr>
                <w:rFonts w:ascii="Times New Roman"/>
                <w:sz w:val="21"/>
              </w:rPr>
              <w:t>17.31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856" w:type="dxa"/>
            <w:vMerge w:val="continue"/>
            <w:tcBorders>
              <w:top w:val="nil"/>
            </w:tcBorders>
          </w:tcPr>
          <w:p>
            <w:pPr>
              <w:rPr>
                <w:sz w:val="2"/>
                <w:szCs w:val="2"/>
              </w:rPr>
            </w:pPr>
          </w:p>
        </w:tc>
        <w:tc>
          <w:tcPr>
            <w:tcW w:w="1856" w:type="dxa"/>
          </w:tcPr>
          <w:p>
            <w:pPr>
              <w:pStyle w:val="14"/>
              <w:spacing w:before="35"/>
              <w:ind w:left="577" w:right="567"/>
              <w:rPr>
                <w:rFonts w:ascii="Times New Roman"/>
                <w:sz w:val="13"/>
              </w:rPr>
            </w:pPr>
            <w:r>
              <w:rPr>
                <w:rFonts w:ascii="Times New Roman"/>
                <w:position w:val="-6"/>
                <w:sz w:val="21"/>
              </w:rPr>
              <w:t>Ca</w:t>
            </w:r>
            <w:r>
              <w:rPr>
                <w:rFonts w:ascii="Times New Roman"/>
                <w:sz w:val="13"/>
              </w:rPr>
              <w:t>2+</w:t>
            </w:r>
          </w:p>
        </w:tc>
        <w:tc>
          <w:tcPr>
            <w:tcW w:w="1858" w:type="dxa"/>
          </w:tcPr>
          <w:p>
            <w:pPr>
              <w:pStyle w:val="14"/>
              <w:spacing w:before="35"/>
              <w:ind w:right="732"/>
              <w:jc w:val="right"/>
              <w:rPr>
                <w:rFonts w:ascii="Times New Roman"/>
                <w:sz w:val="21"/>
              </w:rPr>
            </w:pPr>
            <w:r>
              <w:rPr>
                <w:rFonts w:ascii="Times New Roman"/>
                <w:sz w:val="21"/>
              </w:rPr>
              <w:t>43.6</w:t>
            </w:r>
          </w:p>
        </w:tc>
        <w:tc>
          <w:tcPr>
            <w:tcW w:w="1858" w:type="dxa"/>
          </w:tcPr>
          <w:p>
            <w:pPr>
              <w:pStyle w:val="14"/>
              <w:spacing w:before="35"/>
              <w:ind w:left="610" w:right="601"/>
              <w:rPr>
                <w:rFonts w:ascii="Times New Roman"/>
                <w:sz w:val="21"/>
              </w:rPr>
            </w:pPr>
            <w:r>
              <w:rPr>
                <w:rFonts w:ascii="Times New Roman"/>
                <w:sz w:val="21"/>
              </w:rPr>
              <w:t>2.180</w:t>
            </w:r>
          </w:p>
        </w:tc>
        <w:tc>
          <w:tcPr>
            <w:tcW w:w="1858" w:type="dxa"/>
          </w:tcPr>
          <w:p>
            <w:pPr>
              <w:pStyle w:val="14"/>
              <w:spacing w:before="35"/>
              <w:ind w:left="610" w:right="599"/>
              <w:rPr>
                <w:rFonts w:ascii="Times New Roman"/>
                <w:sz w:val="21"/>
              </w:rPr>
            </w:pPr>
            <w:r>
              <w:rPr>
                <w:rFonts w:ascii="Times New Roman"/>
                <w:sz w:val="21"/>
              </w:rPr>
              <w:t>41.55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856" w:type="dxa"/>
            <w:vMerge w:val="continue"/>
            <w:tcBorders>
              <w:top w:val="nil"/>
            </w:tcBorders>
          </w:tcPr>
          <w:p>
            <w:pPr>
              <w:rPr>
                <w:sz w:val="2"/>
                <w:szCs w:val="2"/>
              </w:rPr>
            </w:pPr>
          </w:p>
        </w:tc>
        <w:tc>
          <w:tcPr>
            <w:tcW w:w="1856" w:type="dxa"/>
          </w:tcPr>
          <w:p>
            <w:pPr>
              <w:pStyle w:val="14"/>
              <w:spacing w:before="35"/>
              <w:ind w:left="577" w:right="567"/>
              <w:rPr>
                <w:rFonts w:ascii="Times New Roman"/>
                <w:sz w:val="13"/>
              </w:rPr>
            </w:pPr>
            <w:r>
              <w:rPr>
                <w:rFonts w:ascii="Times New Roman"/>
                <w:position w:val="-6"/>
                <w:sz w:val="21"/>
              </w:rPr>
              <w:t>Mg</w:t>
            </w:r>
            <w:r>
              <w:rPr>
                <w:rFonts w:ascii="Times New Roman"/>
                <w:sz w:val="13"/>
              </w:rPr>
              <w:t>2+</w:t>
            </w:r>
          </w:p>
        </w:tc>
        <w:tc>
          <w:tcPr>
            <w:tcW w:w="1858" w:type="dxa"/>
          </w:tcPr>
          <w:p>
            <w:pPr>
              <w:pStyle w:val="14"/>
              <w:spacing w:before="34"/>
              <w:ind w:right="732"/>
              <w:jc w:val="right"/>
              <w:rPr>
                <w:rFonts w:ascii="Times New Roman"/>
                <w:sz w:val="21"/>
              </w:rPr>
            </w:pPr>
            <w:r>
              <w:rPr>
                <w:rFonts w:ascii="Times New Roman"/>
                <w:sz w:val="21"/>
              </w:rPr>
              <w:t>25.9</w:t>
            </w:r>
          </w:p>
        </w:tc>
        <w:tc>
          <w:tcPr>
            <w:tcW w:w="1858" w:type="dxa"/>
          </w:tcPr>
          <w:p>
            <w:pPr>
              <w:pStyle w:val="14"/>
              <w:spacing w:before="34"/>
              <w:ind w:left="610" w:right="601"/>
              <w:rPr>
                <w:rFonts w:ascii="Times New Roman"/>
                <w:sz w:val="21"/>
              </w:rPr>
            </w:pPr>
            <w:r>
              <w:rPr>
                <w:rFonts w:ascii="Times New Roman"/>
                <w:sz w:val="21"/>
              </w:rPr>
              <w:t>2.158</w:t>
            </w:r>
          </w:p>
        </w:tc>
        <w:tc>
          <w:tcPr>
            <w:tcW w:w="1858" w:type="dxa"/>
          </w:tcPr>
          <w:p>
            <w:pPr>
              <w:pStyle w:val="14"/>
              <w:spacing w:before="34"/>
              <w:ind w:left="610" w:right="599"/>
              <w:rPr>
                <w:rFonts w:ascii="Times New Roman"/>
                <w:sz w:val="21"/>
              </w:rPr>
            </w:pPr>
            <w:r>
              <w:rPr>
                <w:rFonts w:ascii="Times New Roman"/>
                <w:sz w:val="21"/>
              </w:rPr>
              <w:t>41.14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856" w:type="dxa"/>
            <w:vMerge w:val="continue"/>
            <w:tcBorders>
              <w:top w:val="nil"/>
            </w:tcBorders>
          </w:tcPr>
          <w:p>
            <w:pPr>
              <w:rPr>
                <w:sz w:val="2"/>
                <w:szCs w:val="2"/>
              </w:rPr>
            </w:pPr>
          </w:p>
        </w:tc>
        <w:tc>
          <w:tcPr>
            <w:tcW w:w="1856" w:type="dxa"/>
          </w:tcPr>
          <w:p>
            <w:pPr>
              <w:pStyle w:val="14"/>
              <w:spacing w:before="20"/>
              <w:ind w:left="572" w:right="567"/>
              <w:rPr>
                <w:sz w:val="21"/>
              </w:rPr>
            </w:pPr>
            <w:r>
              <w:rPr>
                <w:sz w:val="21"/>
              </w:rPr>
              <w:t>总计</w:t>
            </w:r>
          </w:p>
        </w:tc>
        <w:tc>
          <w:tcPr>
            <w:tcW w:w="1858" w:type="dxa"/>
          </w:tcPr>
          <w:p>
            <w:pPr>
              <w:pStyle w:val="14"/>
              <w:spacing w:before="34"/>
              <w:ind w:right="732"/>
              <w:jc w:val="right"/>
              <w:rPr>
                <w:rFonts w:ascii="Times New Roman"/>
                <w:sz w:val="21"/>
              </w:rPr>
            </w:pPr>
            <w:r>
              <w:rPr>
                <w:rFonts w:ascii="Times New Roman"/>
                <w:sz w:val="21"/>
              </w:rPr>
              <w:t>90.8</w:t>
            </w:r>
          </w:p>
        </w:tc>
        <w:tc>
          <w:tcPr>
            <w:tcW w:w="1858" w:type="dxa"/>
          </w:tcPr>
          <w:p>
            <w:pPr>
              <w:pStyle w:val="14"/>
              <w:spacing w:before="34"/>
              <w:ind w:left="610" w:right="601"/>
              <w:rPr>
                <w:rFonts w:ascii="Times New Roman"/>
                <w:sz w:val="21"/>
              </w:rPr>
            </w:pPr>
            <w:r>
              <w:rPr>
                <w:rFonts w:ascii="Times New Roman"/>
                <w:sz w:val="21"/>
              </w:rPr>
              <w:t>5.247</w:t>
            </w:r>
          </w:p>
        </w:tc>
        <w:tc>
          <w:tcPr>
            <w:tcW w:w="1858" w:type="dxa"/>
          </w:tcPr>
          <w:p>
            <w:pPr>
              <w:pStyle w:val="14"/>
              <w:spacing w:before="34"/>
              <w:ind w:left="609" w:right="603"/>
              <w:rPr>
                <w:rFonts w:ascii="Times New Roman"/>
                <w:sz w:val="21"/>
              </w:rPr>
            </w:pPr>
            <w:r>
              <w:rPr>
                <w:rFonts w:ascii="Times New Roman"/>
                <w:sz w:val="21"/>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856" w:type="dxa"/>
            <w:vMerge w:val="restart"/>
          </w:tcPr>
          <w:p>
            <w:pPr>
              <w:pStyle w:val="14"/>
              <w:jc w:val="left"/>
              <w:rPr>
                <w:b/>
                <w:sz w:val="15"/>
              </w:rPr>
            </w:pPr>
          </w:p>
          <w:p>
            <w:pPr>
              <w:pStyle w:val="14"/>
              <w:spacing w:line="278" w:lineRule="auto"/>
              <w:ind w:left="823" w:right="811"/>
              <w:jc w:val="both"/>
              <w:rPr>
                <w:b/>
                <w:sz w:val="21"/>
              </w:rPr>
            </w:pPr>
            <w:r>
              <w:rPr>
                <w:b/>
                <w:sz w:val="21"/>
              </w:rPr>
              <w:t>阴离子</w:t>
            </w:r>
          </w:p>
        </w:tc>
        <w:tc>
          <w:tcPr>
            <w:tcW w:w="1856" w:type="dxa"/>
          </w:tcPr>
          <w:p>
            <w:pPr>
              <w:pStyle w:val="14"/>
              <w:spacing w:before="36" w:line="166" w:lineRule="exact"/>
              <w:ind w:left="577" w:right="567"/>
              <w:rPr>
                <w:rFonts w:ascii="Times New Roman"/>
                <w:sz w:val="13"/>
              </w:rPr>
            </w:pPr>
            <w:r>
              <w:rPr>
                <w:rFonts w:ascii="Times New Roman"/>
                <w:sz w:val="21"/>
              </w:rPr>
              <w:t xml:space="preserve">HCO </w:t>
            </w:r>
            <w:r>
              <w:rPr>
                <w:rFonts w:ascii="Times New Roman"/>
                <w:position w:val="7"/>
                <w:sz w:val="13"/>
              </w:rPr>
              <w:t>-</w:t>
            </w:r>
          </w:p>
          <w:p>
            <w:pPr>
              <w:pStyle w:val="14"/>
              <w:spacing w:line="74" w:lineRule="exact"/>
              <w:ind w:left="410"/>
              <w:rPr>
                <w:rFonts w:ascii="Times New Roman"/>
                <w:sz w:val="13"/>
              </w:rPr>
            </w:pPr>
            <w:r>
              <w:rPr>
                <w:rFonts w:ascii="Times New Roman"/>
                <w:w w:val="105"/>
                <w:sz w:val="13"/>
              </w:rPr>
              <w:t>3</w:t>
            </w:r>
          </w:p>
        </w:tc>
        <w:tc>
          <w:tcPr>
            <w:tcW w:w="1858" w:type="dxa"/>
          </w:tcPr>
          <w:p>
            <w:pPr>
              <w:pStyle w:val="14"/>
              <w:spacing w:before="36"/>
              <w:ind w:right="679"/>
              <w:jc w:val="right"/>
              <w:rPr>
                <w:rFonts w:ascii="Times New Roman"/>
                <w:sz w:val="21"/>
              </w:rPr>
            </w:pPr>
            <w:r>
              <w:rPr>
                <w:rFonts w:ascii="Times New Roman"/>
                <w:sz w:val="21"/>
              </w:rPr>
              <w:t>280.3</w:t>
            </w:r>
          </w:p>
        </w:tc>
        <w:tc>
          <w:tcPr>
            <w:tcW w:w="1858" w:type="dxa"/>
          </w:tcPr>
          <w:p>
            <w:pPr>
              <w:pStyle w:val="14"/>
              <w:spacing w:before="36"/>
              <w:ind w:left="610" w:right="601"/>
              <w:rPr>
                <w:rFonts w:ascii="Times New Roman"/>
                <w:sz w:val="21"/>
              </w:rPr>
            </w:pPr>
            <w:r>
              <w:rPr>
                <w:rFonts w:ascii="Times New Roman"/>
                <w:sz w:val="21"/>
              </w:rPr>
              <w:t>4.595</w:t>
            </w:r>
          </w:p>
        </w:tc>
        <w:tc>
          <w:tcPr>
            <w:tcW w:w="1858" w:type="dxa"/>
          </w:tcPr>
          <w:p>
            <w:pPr>
              <w:pStyle w:val="14"/>
              <w:spacing w:before="36"/>
              <w:ind w:left="610" w:right="599"/>
              <w:rPr>
                <w:rFonts w:ascii="Times New Roman"/>
                <w:sz w:val="21"/>
              </w:rPr>
            </w:pPr>
            <w:r>
              <w:rPr>
                <w:rFonts w:ascii="Times New Roman"/>
                <w:sz w:val="21"/>
              </w:rPr>
              <w:t>89.26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856" w:type="dxa"/>
            <w:vMerge w:val="continue"/>
            <w:tcBorders>
              <w:top w:val="nil"/>
            </w:tcBorders>
          </w:tcPr>
          <w:p>
            <w:pPr>
              <w:rPr>
                <w:sz w:val="2"/>
                <w:szCs w:val="2"/>
              </w:rPr>
            </w:pPr>
          </w:p>
        </w:tc>
        <w:tc>
          <w:tcPr>
            <w:tcW w:w="1856" w:type="dxa"/>
          </w:tcPr>
          <w:p>
            <w:pPr>
              <w:pStyle w:val="14"/>
              <w:spacing w:before="35"/>
              <w:ind w:left="575" w:right="567"/>
              <w:rPr>
                <w:rFonts w:ascii="Times New Roman"/>
                <w:sz w:val="13"/>
              </w:rPr>
            </w:pPr>
            <w:r>
              <w:rPr>
                <w:rFonts w:ascii="Times New Roman"/>
                <w:sz w:val="21"/>
              </w:rPr>
              <w:t>Cl</w:t>
            </w:r>
            <w:r>
              <w:rPr>
                <w:rFonts w:ascii="Times New Roman"/>
                <w:position w:val="7"/>
                <w:sz w:val="13"/>
              </w:rPr>
              <w:t>-</w:t>
            </w:r>
          </w:p>
        </w:tc>
        <w:tc>
          <w:tcPr>
            <w:tcW w:w="1858" w:type="dxa"/>
          </w:tcPr>
          <w:p>
            <w:pPr>
              <w:pStyle w:val="14"/>
              <w:spacing w:before="35"/>
              <w:ind w:right="732"/>
              <w:jc w:val="right"/>
              <w:rPr>
                <w:rFonts w:ascii="Times New Roman"/>
                <w:sz w:val="21"/>
              </w:rPr>
            </w:pPr>
            <w:r>
              <w:rPr>
                <w:rFonts w:ascii="Times New Roman"/>
                <w:sz w:val="21"/>
              </w:rPr>
              <w:t>10.3</w:t>
            </w:r>
          </w:p>
        </w:tc>
        <w:tc>
          <w:tcPr>
            <w:tcW w:w="1858" w:type="dxa"/>
          </w:tcPr>
          <w:p>
            <w:pPr>
              <w:pStyle w:val="14"/>
              <w:spacing w:before="35"/>
              <w:ind w:left="610" w:right="601"/>
              <w:rPr>
                <w:rFonts w:ascii="Times New Roman"/>
                <w:sz w:val="21"/>
              </w:rPr>
            </w:pPr>
            <w:r>
              <w:rPr>
                <w:rFonts w:ascii="Times New Roman"/>
                <w:sz w:val="21"/>
              </w:rPr>
              <w:t>0.290</w:t>
            </w:r>
          </w:p>
        </w:tc>
        <w:tc>
          <w:tcPr>
            <w:tcW w:w="1858" w:type="dxa"/>
          </w:tcPr>
          <w:p>
            <w:pPr>
              <w:pStyle w:val="14"/>
              <w:spacing w:before="35"/>
              <w:ind w:left="610" w:right="602"/>
              <w:rPr>
                <w:rFonts w:ascii="Times New Roman"/>
                <w:sz w:val="21"/>
              </w:rPr>
            </w:pPr>
            <w:r>
              <w:rPr>
                <w:rFonts w:ascii="Times New Roman"/>
                <w:sz w:val="21"/>
              </w:rPr>
              <w:t>5.64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856" w:type="dxa"/>
            <w:vMerge w:val="continue"/>
            <w:tcBorders>
              <w:top w:val="nil"/>
            </w:tcBorders>
          </w:tcPr>
          <w:p>
            <w:pPr>
              <w:rPr>
                <w:sz w:val="2"/>
                <w:szCs w:val="2"/>
              </w:rPr>
            </w:pPr>
          </w:p>
        </w:tc>
        <w:tc>
          <w:tcPr>
            <w:tcW w:w="1856" w:type="dxa"/>
          </w:tcPr>
          <w:p>
            <w:pPr>
              <w:pStyle w:val="14"/>
              <w:spacing w:before="35" w:line="166" w:lineRule="exact"/>
              <w:ind w:left="577" w:right="567"/>
              <w:rPr>
                <w:rFonts w:ascii="Times New Roman"/>
                <w:sz w:val="13"/>
              </w:rPr>
            </w:pPr>
            <w:r>
              <w:rPr>
                <w:rFonts w:ascii="Times New Roman"/>
                <w:position w:val="-6"/>
                <w:sz w:val="21"/>
              </w:rPr>
              <w:t xml:space="preserve">SO </w:t>
            </w:r>
            <w:r>
              <w:rPr>
                <w:rFonts w:ascii="Times New Roman"/>
                <w:sz w:val="13"/>
              </w:rPr>
              <w:t>2-</w:t>
            </w:r>
          </w:p>
          <w:p>
            <w:pPr>
              <w:pStyle w:val="14"/>
              <w:spacing w:line="74" w:lineRule="exact"/>
              <w:ind w:left="165"/>
              <w:rPr>
                <w:rFonts w:ascii="Times New Roman"/>
                <w:sz w:val="13"/>
              </w:rPr>
            </w:pPr>
            <w:r>
              <w:rPr>
                <w:rFonts w:ascii="Times New Roman"/>
                <w:w w:val="105"/>
                <w:sz w:val="13"/>
              </w:rPr>
              <w:t>4</w:t>
            </w:r>
          </w:p>
        </w:tc>
        <w:tc>
          <w:tcPr>
            <w:tcW w:w="1858" w:type="dxa"/>
          </w:tcPr>
          <w:p>
            <w:pPr>
              <w:pStyle w:val="14"/>
              <w:spacing w:before="35"/>
              <w:ind w:right="732"/>
              <w:jc w:val="right"/>
              <w:rPr>
                <w:rFonts w:ascii="Times New Roman"/>
                <w:sz w:val="21"/>
              </w:rPr>
            </w:pPr>
            <w:r>
              <w:rPr>
                <w:rFonts w:ascii="Times New Roman"/>
                <w:sz w:val="21"/>
              </w:rPr>
              <w:t>12.6</w:t>
            </w:r>
          </w:p>
        </w:tc>
        <w:tc>
          <w:tcPr>
            <w:tcW w:w="1858" w:type="dxa"/>
          </w:tcPr>
          <w:p>
            <w:pPr>
              <w:pStyle w:val="14"/>
              <w:spacing w:before="35"/>
              <w:ind w:left="610" w:right="601"/>
              <w:rPr>
                <w:rFonts w:ascii="Times New Roman"/>
                <w:sz w:val="21"/>
              </w:rPr>
            </w:pPr>
            <w:r>
              <w:rPr>
                <w:rFonts w:ascii="Times New Roman"/>
                <w:sz w:val="21"/>
              </w:rPr>
              <w:t>0.263</w:t>
            </w:r>
          </w:p>
        </w:tc>
        <w:tc>
          <w:tcPr>
            <w:tcW w:w="1858" w:type="dxa"/>
          </w:tcPr>
          <w:p>
            <w:pPr>
              <w:pStyle w:val="14"/>
              <w:spacing w:before="35"/>
              <w:ind w:left="610" w:right="602"/>
              <w:rPr>
                <w:rFonts w:ascii="Times New Roman"/>
                <w:sz w:val="21"/>
              </w:rPr>
            </w:pPr>
            <w:r>
              <w:rPr>
                <w:rFonts w:ascii="Times New Roman"/>
                <w:sz w:val="21"/>
              </w:rPr>
              <w:t>5.10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856" w:type="dxa"/>
            <w:vMerge w:val="continue"/>
            <w:tcBorders>
              <w:top w:val="nil"/>
            </w:tcBorders>
          </w:tcPr>
          <w:p>
            <w:pPr>
              <w:rPr>
                <w:sz w:val="2"/>
                <w:szCs w:val="2"/>
              </w:rPr>
            </w:pPr>
          </w:p>
        </w:tc>
        <w:tc>
          <w:tcPr>
            <w:tcW w:w="1856" w:type="dxa"/>
          </w:tcPr>
          <w:p>
            <w:pPr>
              <w:pStyle w:val="14"/>
              <w:spacing w:before="21"/>
              <w:ind w:left="572" w:right="567"/>
              <w:rPr>
                <w:sz w:val="21"/>
              </w:rPr>
            </w:pPr>
            <w:r>
              <w:rPr>
                <w:sz w:val="21"/>
              </w:rPr>
              <w:t>总计</w:t>
            </w:r>
          </w:p>
        </w:tc>
        <w:tc>
          <w:tcPr>
            <w:tcW w:w="1858" w:type="dxa"/>
          </w:tcPr>
          <w:p>
            <w:pPr>
              <w:pStyle w:val="14"/>
              <w:spacing w:before="35"/>
              <w:ind w:right="679"/>
              <w:jc w:val="right"/>
              <w:rPr>
                <w:rFonts w:ascii="Times New Roman"/>
                <w:sz w:val="21"/>
              </w:rPr>
            </w:pPr>
            <w:r>
              <w:rPr>
                <w:rFonts w:ascii="Times New Roman"/>
                <w:sz w:val="21"/>
              </w:rPr>
              <w:t>303.2</w:t>
            </w:r>
          </w:p>
        </w:tc>
        <w:tc>
          <w:tcPr>
            <w:tcW w:w="1858" w:type="dxa"/>
          </w:tcPr>
          <w:p>
            <w:pPr>
              <w:pStyle w:val="14"/>
              <w:spacing w:before="35"/>
              <w:ind w:left="610" w:right="601"/>
              <w:rPr>
                <w:rFonts w:ascii="Times New Roman"/>
                <w:sz w:val="21"/>
              </w:rPr>
            </w:pPr>
            <w:r>
              <w:rPr>
                <w:rFonts w:ascii="Times New Roman"/>
                <w:sz w:val="21"/>
              </w:rPr>
              <w:t>5.148</w:t>
            </w:r>
          </w:p>
        </w:tc>
        <w:tc>
          <w:tcPr>
            <w:tcW w:w="1858" w:type="dxa"/>
          </w:tcPr>
          <w:p>
            <w:pPr>
              <w:pStyle w:val="14"/>
              <w:spacing w:before="35"/>
              <w:ind w:left="609" w:right="603"/>
              <w:rPr>
                <w:rFonts w:ascii="Times New Roman"/>
                <w:sz w:val="21"/>
              </w:rPr>
            </w:pPr>
            <w:r>
              <w:rPr>
                <w:rFonts w:ascii="Times New Roman"/>
                <w:sz w:val="21"/>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3712" w:type="dxa"/>
            <w:gridSpan w:val="2"/>
          </w:tcPr>
          <w:p>
            <w:pPr>
              <w:pStyle w:val="14"/>
              <w:spacing w:before="20"/>
              <w:ind w:left="1519" w:right="1511"/>
              <w:rPr>
                <w:b/>
                <w:sz w:val="21"/>
              </w:rPr>
            </w:pPr>
            <w:r>
              <w:rPr>
                <w:rFonts w:ascii="Times New Roman" w:eastAsia="Times New Roman"/>
                <w:b/>
                <w:sz w:val="21"/>
              </w:rPr>
              <w:t>2#</w:t>
            </w:r>
            <w:r>
              <w:rPr>
                <w:b/>
                <w:sz w:val="21"/>
              </w:rPr>
              <w:t>离子</w:t>
            </w:r>
          </w:p>
        </w:tc>
        <w:tc>
          <w:tcPr>
            <w:tcW w:w="1858" w:type="dxa"/>
          </w:tcPr>
          <w:p>
            <w:pPr>
              <w:pStyle w:val="14"/>
              <w:spacing w:before="34"/>
              <w:ind w:right="680"/>
              <w:jc w:val="right"/>
              <w:rPr>
                <w:rFonts w:ascii="Times New Roman"/>
                <w:b/>
                <w:sz w:val="21"/>
              </w:rPr>
            </w:pPr>
            <w:r>
              <w:rPr>
                <w:rFonts w:ascii="Times New Roman"/>
                <w:b/>
                <w:w w:val="95"/>
                <w:sz w:val="21"/>
              </w:rPr>
              <w:t>mg/L</w:t>
            </w:r>
          </w:p>
        </w:tc>
        <w:tc>
          <w:tcPr>
            <w:tcW w:w="1858" w:type="dxa"/>
          </w:tcPr>
          <w:p>
            <w:pPr>
              <w:pStyle w:val="14"/>
              <w:spacing w:before="34"/>
              <w:ind w:left="609" w:right="603"/>
              <w:rPr>
                <w:rFonts w:ascii="Times New Roman"/>
                <w:b/>
                <w:sz w:val="21"/>
              </w:rPr>
            </w:pPr>
            <w:r>
              <w:rPr>
                <w:rFonts w:ascii="Times New Roman"/>
                <w:b/>
                <w:sz w:val="21"/>
              </w:rPr>
              <w:t>meq/L</w:t>
            </w:r>
          </w:p>
        </w:tc>
        <w:tc>
          <w:tcPr>
            <w:tcW w:w="1858" w:type="dxa"/>
          </w:tcPr>
          <w:p>
            <w:pPr>
              <w:pStyle w:val="14"/>
              <w:spacing w:before="34"/>
              <w:ind w:left="610" w:right="603"/>
              <w:rPr>
                <w:rFonts w:ascii="Times New Roman"/>
                <w:b/>
                <w:sz w:val="21"/>
              </w:rPr>
            </w:pPr>
            <w:r>
              <w:rPr>
                <w:rFonts w:ascii="Times New Roman"/>
                <w:b/>
                <w:sz w:val="21"/>
              </w:rPr>
              <w:t>meq%</w:t>
            </w:r>
          </w:p>
        </w:tc>
      </w:tr>
    </w:tbl>
    <w:p>
      <w:pPr>
        <w:spacing w:after="0"/>
        <w:rPr>
          <w:rFonts w:ascii="Times New Roman"/>
          <w:sz w:val="21"/>
        </w:rPr>
        <w:sectPr>
          <w:type w:val="continuous"/>
          <w:pgSz w:w="11910" w:h="16840"/>
          <w:pgMar w:top="1580" w:right="780" w:bottom="280" w:left="1200" w:header="720" w:footer="720" w:gutter="0"/>
        </w:sectPr>
      </w:pPr>
    </w:p>
    <w:tbl>
      <w:tblPr>
        <w:tblStyle w:val="10"/>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56"/>
        <w:gridCol w:w="1856"/>
        <w:gridCol w:w="1858"/>
        <w:gridCol w:w="1858"/>
        <w:gridCol w:w="18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856" w:type="dxa"/>
            <w:vMerge w:val="restart"/>
          </w:tcPr>
          <w:p>
            <w:pPr>
              <w:pStyle w:val="14"/>
              <w:spacing w:before="12"/>
              <w:jc w:val="left"/>
              <w:rPr>
                <w:b/>
                <w:sz w:val="14"/>
              </w:rPr>
            </w:pPr>
          </w:p>
          <w:p>
            <w:pPr>
              <w:pStyle w:val="14"/>
              <w:spacing w:line="278" w:lineRule="auto"/>
              <w:ind w:left="823" w:right="811"/>
              <w:jc w:val="both"/>
              <w:rPr>
                <w:b/>
                <w:sz w:val="21"/>
              </w:rPr>
            </w:pPr>
            <w:r>
              <w:rPr>
                <w:b/>
                <w:sz w:val="21"/>
              </w:rPr>
              <w:t>阳离子</w:t>
            </w:r>
          </w:p>
        </w:tc>
        <w:tc>
          <w:tcPr>
            <w:tcW w:w="1856" w:type="dxa"/>
          </w:tcPr>
          <w:p>
            <w:pPr>
              <w:pStyle w:val="14"/>
              <w:spacing w:before="35"/>
              <w:ind w:left="577" w:right="567"/>
              <w:rPr>
                <w:rFonts w:ascii="Times New Roman"/>
                <w:sz w:val="13"/>
              </w:rPr>
            </w:pPr>
            <w:r>
              <w:rPr>
                <w:rFonts w:ascii="Times New Roman"/>
                <w:sz w:val="21"/>
              </w:rPr>
              <w:t>K</w:t>
            </w:r>
            <w:r>
              <w:rPr>
                <w:rFonts w:ascii="Times New Roman"/>
                <w:position w:val="7"/>
                <w:sz w:val="13"/>
              </w:rPr>
              <w:t>+</w:t>
            </w:r>
            <w:r>
              <w:rPr>
                <w:rFonts w:ascii="Times New Roman"/>
                <w:sz w:val="21"/>
              </w:rPr>
              <w:t>+Na</w:t>
            </w:r>
            <w:r>
              <w:rPr>
                <w:rFonts w:ascii="Times New Roman"/>
                <w:position w:val="7"/>
                <w:sz w:val="13"/>
              </w:rPr>
              <w:t>+</w:t>
            </w:r>
          </w:p>
        </w:tc>
        <w:tc>
          <w:tcPr>
            <w:tcW w:w="1858" w:type="dxa"/>
          </w:tcPr>
          <w:p>
            <w:pPr>
              <w:pStyle w:val="14"/>
              <w:spacing w:before="35"/>
              <w:ind w:right="732"/>
              <w:jc w:val="right"/>
              <w:rPr>
                <w:rFonts w:ascii="Times New Roman"/>
                <w:sz w:val="21"/>
              </w:rPr>
            </w:pPr>
            <w:r>
              <w:rPr>
                <w:rFonts w:ascii="Times New Roman"/>
                <w:sz w:val="21"/>
              </w:rPr>
              <w:t>8.71</w:t>
            </w:r>
          </w:p>
        </w:tc>
        <w:tc>
          <w:tcPr>
            <w:tcW w:w="1858" w:type="dxa"/>
          </w:tcPr>
          <w:p>
            <w:pPr>
              <w:pStyle w:val="14"/>
              <w:spacing w:before="35"/>
              <w:ind w:left="610" w:right="601"/>
              <w:rPr>
                <w:rFonts w:ascii="Times New Roman"/>
                <w:sz w:val="21"/>
              </w:rPr>
            </w:pPr>
            <w:r>
              <w:rPr>
                <w:rFonts w:ascii="Times New Roman"/>
                <w:sz w:val="21"/>
              </w:rPr>
              <w:t>0.365</w:t>
            </w:r>
          </w:p>
        </w:tc>
        <w:tc>
          <w:tcPr>
            <w:tcW w:w="1858" w:type="dxa"/>
          </w:tcPr>
          <w:p>
            <w:pPr>
              <w:pStyle w:val="14"/>
              <w:spacing w:before="35"/>
              <w:ind w:left="610" w:right="599"/>
              <w:rPr>
                <w:rFonts w:ascii="Times New Roman"/>
                <w:sz w:val="21"/>
              </w:rPr>
            </w:pPr>
            <w:r>
              <w:rPr>
                <w:rFonts w:ascii="Times New Roman"/>
                <w:sz w:val="21"/>
              </w:rPr>
              <w:t>14.04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856" w:type="dxa"/>
            <w:vMerge w:val="continue"/>
            <w:tcBorders>
              <w:top w:val="nil"/>
            </w:tcBorders>
          </w:tcPr>
          <w:p>
            <w:pPr>
              <w:rPr>
                <w:sz w:val="2"/>
                <w:szCs w:val="2"/>
              </w:rPr>
            </w:pPr>
          </w:p>
        </w:tc>
        <w:tc>
          <w:tcPr>
            <w:tcW w:w="1856" w:type="dxa"/>
          </w:tcPr>
          <w:p>
            <w:pPr>
              <w:pStyle w:val="14"/>
              <w:spacing w:before="35"/>
              <w:ind w:left="577" w:right="567"/>
              <w:rPr>
                <w:rFonts w:ascii="Times New Roman"/>
                <w:sz w:val="13"/>
              </w:rPr>
            </w:pPr>
            <w:r>
              <w:rPr>
                <w:rFonts w:ascii="Times New Roman"/>
                <w:position w:val="-6"/>
                <w:sz w:val="21"/>
              </w:rPr>
              <w:t>Ca</w:t>
            </w:r>
            <w:r>
              <w:rPr>
                <w:rFonts w:ascii="Times New Roman"/>
                <w:sz w:val="13"/>
              </w:rPr>
              <w:t>2+</w:t>
            </w:r>
          </w:p>
        </w:tc>
        <w:tc>
          <w:tcPr>
            <w:tcW w:w="1858" w:type="dxa"/>
          </w:tcPr>
          <w:p>
            <w:pPr>
              <w:pStyle w:val="14"/>
              <w:spacing w:before="34"/>
              <w:ind w:right="732"/>
              <w:jc w:val="right"/>
              <w:rPr>
                <w:rFonts w:ascii="Times New Roman"/>
                <w:sz w:val="21"/>
              </w:rPr>
            </w:pPr>
            <w:r>
              <w:rPr>
                <w:rFonts w:ascii="Times New Roman"/>
                <w:sz w:val="21"/>
              </w:rPr>
              <w:t>27.8</w:t>
            </w:r>
          </w:p>
        </w:tc>
        <w:tc>
          <w:tcPr>
            <w:tcW w:w="1858" w:type="dxa"/>
          </w:tcPr>
          <w:p>
            <w:pPr>
              <w:pStyle w:val="14"/>
              <w:spacing w:before="34"/>
              <w:ind w:left="610" w:right="601"/>
              <w:rPr>
                <w:rFonts w:ascii="Times New Roman"/>
                <w:sz w:val="21"/>
              </w:rPr>
            </w:pPr>
            <w:r>
              <w:rPr>
                <w:rFonts w:ascii="Times New Roman"/>
                <w:sz w:val="21"/>
              </w:rPr>
              <w:t>1.390</w:t>
            </w:r>
          </w:p>
        </w:tc>
        <w:tc>
          <w:tcPr>
            <w:tcW w:w="1858" w:type="dxa"/>
          </w:tcPr>
          <w:p>
            <w:pPr>
              <w:pStyle w:val="14"/>
              <w:spacing w:before="34"/>
              <w:ind w:left="610" w:right="599"/>
              <w:rPr>
                <w:rFonts w:ascii="Times New Roman"/>
                <w:sz w:val="21"/>
              </w:rPr>
            </w:pPr>
            <w:r>
              <w:rPr>
                <w:rFonts w:ascii="Times New Roman"/>
                <w:sz w:val="21"/>
              </w:rPr>
              <w:t>53.34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856" w:type="dxa"/>
            <w:vMerge w:val="continue"/>
            <w:tcBorders>
              <w:top w:val="nil"/>
            </w:tcBorders>
          </w:tcPr>
          <w:p>
            <w:pPr>
              <w:rPr>
                <w:sz w:val="2"/>
                <w:szCs w:val="2"/>
              </w:rPr>
            </w:pPr>
          </w:p>
        </w:tc>
        <w:tc>
          <w:tcPr>
            <w:tcW w:w="1856" w:type="dxa"/>
          </w:tcPr>
          <w:p>
            <w:pPr>
              <w:pStyle w:val="14"/>
              <w:spacing w:before="37"/>
              <w:ind w:left="577" w:right="567"/>
              <w:rPr>
                <w:rFonts w:ascii="Times New Roman"/>
                <w:sz w:val="13"/>
              </w:rPr>
            </w:pPr>
            <w:r>
              <w:rPr>
                <w:rFonts w:ascii="Times New Roman"/>
                <w:position w:val="-6"/>
                <w:sz w:val="21"/>
              </w:rPr>
              <w:t>Mg</w:t>
            </w:r>
            <w:r>
              <w:rPr>
                <w:rFonts w:ascii="Times New Roman"/>
                <w:sz w:val="13"/>
              </w:rPr>
              <w:t>2+</w:t>
            </w:r>
          </w:p>
        </w:tc>
        <w:tc>
          <w:tcPr>
            <w:tcW w:w="1858" w:type="dxa"/>
          </w:tcPr>
          <w:p>
            <w:pPr>
              <w:pStyle w:val="14"/>
              <w:spacing w:before="34"/>
              <w:ind w:right="732"/>
              <w:jc w:val="right"/>
              <w:rPr>
                <w:rFonts w:ascii="Times New Roman"/>
                <w:sz w:val="21"/>
              </w:rPr>
            </w:pPr>
            <w:r>
              <w:rPr>
                <w:rFonts w:ascii="Times New Roman"/>
                <w:sz w:val="21"/>
              </w:rPr>
              <w:t>10.2</w:t>
            </w:r>
          </w:p>
        </w:tc>
        <w:tc>
          <w:tcPr>
            <w:tcW w:w="1858" w:type="dxa"/>
          </w:tcPr>
          <w:p>
            <w:pPr>
              <w:pStyle w:val="14"/>
              <w:spacing w:before="34"/>
              <w:ind w:left="610" w:right="601"/>
              <w:rPr>
                <w:rFonts w:ascii="Times New Roman"/>
                <w:sz w:val="21"/>
              </w:rPr>
            </w:pPr>
            <w:r>
              <w:rPr>
                <w:rFonts w:ascii="Times New Roman"/>
                <w:sz w:val="21"/>
              </w:rPr>
              <w:t>0.850</w:t>
            </w:r>
          </w:p>
        </w:tc>
        <w:tc>
          <w:tcPr>
            <w:tcW w:w="1858" w:type="dxa"/>
          </w:tcPr>
          <w:p>
            <w:pPr>
              <w:pStyle w:val="14"/>
              <w:spacing w:before="34"/>
              <w:ind w:left="610" w:right="599"/>
              <w:rPr>
                <w:rFonts w:ascii="Times New Roman"/>
                <w:sz w:val="21"/>
              </w:rPr>
            </w:pPr>
            <w:r>
              <w:rPr>
                <w:rFonts w:ascii="Times New Roman"/>
                <w:sz w:val="21"/>
              </w:rPr>
              <w:t>32.62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856" w:type="dxa"/>
            <w:vMerge w:val="continue"/>
            <w:tcBorders>
              <w:top w:val="nil"/>
            </w:tcBorders>
          </w:tcPr>
          <w:p>
            <w:pPr>
              <w:rPr>
                <w:sz w:val="2"/>
                <w:szCs w:val="2"/>
              </w:rPr>
            </w:pPr>
          </w:p>
        </w:tc>
        <w:tc>
          <w:tcPr>
            <w:tcW w:w="1856" w:type="dxa"/>
          </w:tcPr>
          <w:p>
            <w:pPr>
              <w:pStyle w:val="14"/>
              <w:spacing w:before="20"/>
              <w:ind w:left="572" w:right="567"/>
              <w:rPr>
                <w:sz w:val="21"/>
              </w:rPr>
            </w:pPr>
            <w:r>
              <w:rPr>
                <w:sz w:val="21"/>
              </w:rPr>
              <w:t>总计</w:t>
            </w:r>
          </w:p>
        </w:tc>
        <w:tc>
          <w:tcPr>
            <w:tcW w:w="1858" w:type="dxa"/>
          </w:tcPr>
          <w:p>
            <w:pPr>
              <w:pStyle w:val="14"/>
              <w:spacing w:before="34"/>
              <w:ind w:right="679"/>
              <w:jc w:val="right"/>
              <w:rPr>
                <w:rFonts w:ascii="Times New Roman"/>
                <w:sz w:val="21"/>
              </w:rPr>
            </w:pPr>
            <w:r>
              <w:rPr>
                <w:rFonts w:ascii="Times New Roman"/>
                <w:sz w:val="21"/>
              </w:rPr>
              <w:t>46.71</w:t>
            </w:r>
          </w:p>
        </w:tc>
        <w:tc>
          <w:tcPr>
            <w:tcW w:w="1858" w:type="dxa"/>
          </w:tcPr>
          <w:p>
            <w:pPr>
              <w:pStyle w:val="14"/>
              <w:spacing w:before="34"/>
              <w:ind w:left="610" w:right="601"/>
              <w:rPr>
                <w:rFonts w:ascii="Times New Roman"/>
                <w:sz w:val="21"/>
              </w:rPr>
            </w:pPr>
            <w:r>
              <w:rPr>
                <w:rFonts w:ascii="Times New Roman"/>
                <w:sz w:val="21"/>
              </w:rPr>
              <w:t>2.606</w:t>
            </w:r>
          </w:p>
        </w:tc>
        <w:tc>
          <w:tcPr>
            <w:tcW w:w="1858" w:type="dxa"/>
          </w:tcPr>
          <w:p>
            <w:pPr>
              <w:pStyle w:val="14"/>
              <w:spacing w:before="34"/>
              <w:ind w:left="609" w:right="603"/>
              <w:rPr>
                <w:rFonts w:ascii="Times New Roman"/>
                <w:sz w:val="21"/>
              </w:rPr>
            </w:pPr>
            <w:r>
              <w:rPr>
                <w:rFonts w:ascii="Times New Roman"/>
                <w:sz w:val="21"/>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856" w:type="dxa"/>
            <w:vMerge w:val="restart"/>
          </w:tcPr>
          <w:p>
            <w:pPr>
              <w:pStyle w:val="14"/>
              <w:jc w:val="left"/>
              <w:rPr>
                <w:b/>
                <w:sz w:val="15"/>
              </w:rPr>
            </w:pPr>
          </w:p>
          <w:p>
            <w:pPr>
              <w:pStyle w:val="14"/>
              <w:spacing w:line="278" w:lineRule="auto"/>
              <w:ind w:left="823" w:right="811"/>
              <w:jc w:val="both"/>
              <w:rPr>
                <w:b/>
                <w:sz w:val="21"/>
              </w:rPr>
            </w:pPr>
            <w:r>
              <w:rPr>
                <w:b/>
                <w:sz w:val="21"/>
              </w:rPr>
              <w:t>阴离子</w:t>
            </w:r>
          </w:p>
        </w:tc>
        <w:tc>
          <w:tcPr>
            <w:tcW w:w="1856" w:type="dxa"/>
          </w:tcPr>
          <w:p>
            <w:pPr>
              <w:pStyle w:val="14"/>
              <w:spacing w:before="36" w:line="166" w:lineRule="exact"/>
              <w:ind w:left="577" w:right="567"/>
              <w:rPr>
                <w:rFonts w:ascii="Times New Roman"/>
                <w:sz w:val="13"/>
              </w:rPr>
            </w:pPr>
            <w:r>
              <w:rPr>
                <w:rFonts w:ascii="Times New Roman"/>
                <w:sz w:val="21"/>
              </w:rPr>
              <w:t xml:space="preserve">HCO </w:t>
            </w:r>
            <w:r>
              <w:rPr>
                <w:rFonts w:ascii="Times New Roman"/>
                <w:position w:val="7"/>
                <w:sz w:val="13"/>
              </w:rPr>
              <w:t>-</w:t>
            </w:r>
          </w:p>
          <w:p>
            <w:pPr>
              <w:pStyle w:val="14"/>
              <w:spacing w:line="74" w:lineRule="exact"/>
              <w:ind w:left="410"/>
              <w:rPr>
                <w:rFonts w:ascii="Times New Roman"/>
                <w:sz w:val="13"/>
              </w:rPr>
            </w:pPr>
            <w:r>
              <w:rPr>
                <w:rFonts w:ascii="Times New Roman"/>
                <w:w w:val="105"/>
                <w:sz w:val="13"/>
              </w:rPr>
              <w:t>3</w:t>
            </w:r>
          </w:p>
        </w:tc>
        <w:tc>
          <w:tcPr>
            <w:tcW w:w="1858" w:type="dxa"/>
          </w:tcPr>
          <w:p>
            <w:pPr>
              <w:pStyle w:val="14"/>
              <w:spacing w:before="36"/>
              <w:ind w:right="679"/>
              <w:jc w:val="right"/>
              <w:rPr>
                <w:rFonts w:ascii="Times New Roman"/>
                <w:sz w:val="21"/>
              </w:rPr>
            </w:pPr>
            <w:r>
              <w:rPr>
                <w:rFonts w:ascii="Times New Roman"/>
                <w:sz w:val="21"/>
              </w:rPr>
              <w:t>121.4</w:t>
            </w:r>
          </w:p>
        </w:tc>
        <w:tc>
          <w:tcPr>
            <w:tcW w:w="1858" w:type="dxa"/>
          </w:tcPr>
          <w:p>
            <w:pPr>
              <w:pStyle w:val="14"/>
              <w:spacing w:before="36"/>
              <w:ind w:left="610" w:right="601"/>
              <w:rPr>
                <w:rFonts w:ascii="Times New Roman"/>
                <w:sz w:val="21"/>
              </w:rPr>
            </w:pPr>
            <w:r>
              <w:rPr>
                <w:rFonts w:ascii="Times New Roman"/>
                <w:sz w:val="21"/>
              </w:rPr>
              <w:t>1.990</w:t>
            </w:r>
          </w:p>
        </w:tc>
        <w:tc>
          <w:tcPr>
            <w:tcW w:w="1858" w:type="dxa"/>
          </w:tcPr>
          <w:p>
            <w:pPr>
              <w:pStyle w:val="14"/>
              <w:spacing w:before="36"/>
              <w:ind w:left="610" w:right="599"/>
              <w:rPr>
                <w:rFonts w:ascii="Times New Roman"/>
                <w:sz w:val="21"/>
              </w:rPr>
            </w:pPr>
            <w:r>
              <w:rPr>
                <w:rFonts w:ascii="Times New Roman"/>
                <w:sz w:val="21"/>
              </w:rPr>
              <w:t>78.63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856" w:type="dxa"/>
            <w:vMerge w:val="continue"/>
            <w:tcBorders>
              <w:top w:val="nil"/>
            </w:tcBorders>
          </w:tcPr>
          <w:p>
            <w:pPr>
              <w:rPr>
                <w:sz w:val="2"/>
                <w:szCs w:val="2"/>
              </w:rPr>
            </w:pPr>
          </w:p>
        </w:tc>
        <w:tc>
          <w:tcPr>
            <w:tcW w:w="1856" w:type="dxa"/>
          </w:tcPr>
          <w:p>
            <w:pPr>
              <w:pStyle w:val="14"/>
              <w:spacing w:before="35"/>
              <w:ind w:left="575" w:right="567"/>
              <w:rPr>
                <w:rFonts w:ascii="Times New Roman"/>
                <w:sz w:val="13"/>
              </w:rPr>
            </w:pPr>
            <w:r>
              <w:rPr>
                <w:rFonts w:ascii="Times New Roman"/>
                <w:sz w:val="21"/>
              </w:rPr>
              <w:t>Cl</w:t>
            </w:r>
            <w:r>
              <w:rPr>
                <w:rFonts w:ascii="Times New Roman"/>
                <w:position w:val="7"/>
                <w:sz w:val="13"/>
              </w:rPr>
              <w:t>-</w:t>
            </w:r>
          </w:p>
        </w:tc>
        <w:tc>
          <w:tcPr>
            <w:tcW w:w="1858" w:type="dxa"/>
          </w:tcPr>
          <w:p>
            <w:pPr>
              <w:pStyle w:val="14"/>
              <w:spacing w:before="35"/>
              <w:ind w:right="732"/>
              <w:jc w:val="right"/>
              <w:rPr>
                <w:rFonts w:ascii="Times New Roman"/>
                <w:sz w:val="21"/>
              </w:rPr>
            </w:pPr>
            <w:r>
              <w:rPr>
                <w:rFonts w:ascii="Times New Roman"/>
                <w:sz w:val="21"/>
              </w:rPr>
              <w:t>10.1</w:t>
            </w:r>
          </w:p>
        </w:tc>
        <w:tc>
          <w:tcPr>
            <w:tcW w:w="1858" w:type="dxa"/>
          </w:tcPr>
          <w:p>
            <w:pPr>
              <w:pStyle w:val="14"/>
              <w:spacing w:before="35"/>
              <w:ind w:left="610" w:right="601"/>
              <w:rPr>
                <w:rFonts w:ascii="Times New Roman"/>
                <w:sz w:val="21"/>
              </w:rPr>
            </w:pPr>
            <w:r>
              <w:rPr>
                <w:rFonts w:ascii="Times New Roman"/>
                <w:sz w:val="21"/>
              </w:rPr>
              <w:t>0.256</w:t>
            </w:r>
          </w:p>
        </w:tc>
        <w:tc>
          <w:tcPr>
            <w:tcW w:w="1858" w:type="dxa"/>
          </w:tcPr>
          <w:p>
            <w:pPr>
              <w:pStyle w:val="14"/>
              <w:spacing w:before="35"/>
              <w:ind w:left="610" w:right="599"/>
              <w:rPr>
                <w:rFonts w:ascii="Times New Roman"/>
                <w:sz w:val="21"/>
              </w:rPr>
            </w:pPr>
            <w:r>
              <w:rPr>
                <w:rFonts w:ascii="Times New Roman"/>
                <w:sz w:val="21"/>
              </w:rPr>
              <w:t>10.11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856" w:type="dxa"/>
            <w:vMerge w:val="continue"/>
            <w:tcBorders>
              <w:top w:val="nil"/>
            </w:tcBorders>
          </w:tcPr>
          <w:p>
            <w:pPr>
              <w:rPr>
                <w:sz w:val="2"/>
                <w:szCs w:val="2"/>
              </w:rPr>
            </w:pPr>
          </w:p>
        </w:tc>
        <w:tc>
          <w:tcPr>
            <w:tcW w:w="1856" w:type="dxa"/>
          </w:tcPr>
          <w:p>
            <w:pPr>
              <w:pStyle w:val="14"/>
              <w:spacing w:before="35" w:line="166" w:lineRule="exact"/>
              <w:ind w:left="577" w:right="567"/>
              <w:rPr>
                <w:rFonts w:ascii="Times New Roman"/>
                <w:sz w:val="13"/>
              </w:rPr>
            </w:pPr>
            <w:r>
              <w:rPr>
                <w:rFonts w:ascii="Times New Roman"/>
                <w:position w:val="-6"/>
                <w:sz w:val="21"/>
              </w:rPr>
              <w:t xml:space="preserve">SO </w:t>
            </w:r>
            <w:r>
              <w:rPr>
                <w:rFonts w:ascii="Times New Roman"/>
                <w:sz w:val="13"/>
              </w:rPr>
              <w:t>2-</w:t>
            </w:r>
          </w:p>
          <w:p>
            <w:pPr>
              <w:pStyle w:val="14"/>
              <w:spacing w:line="74" w:lineRule="exact"/>
              <w:ind w:left="165"/>
              <w:rPr>
                <w:rFonts w:ascii="Times New Roman"/>
                <w:sz w:val="13"/>
              </w:rPr>
            </w:pPr>
            <w:r>
              <w:rPr>
                <w:rFonts w:ascii="Times New Roman"/>
                <w:w w:val="105"/>
                <w:sz w:val="13"/>
              </w:rPr>
              <w:t>4</w:t>
            </w:r>
          </w:p>
        </w:tc>
        <w:tc>
          <w:tcPr>
            <w:tcW w:w="1858" w:type="dxa"/>
          </w:tcPr>
          <w:p>
            <w:pPr>
              <w:pStyle w:val="14"/>
              <w:spacing w:before="35"/>
              <w:ind w:right="732"/>
              <w:jc w:val="right"/>
              <w:rPr>
                <w:rFonts w:ascii="Times New Roman"/>
                <w:sz w:val="21"/>
              </w:rPr>
            </w:pPr>
            <w:r>
              <w:rPr>
                <w:rFonts w:ascii="Times New Roman"/>
                <w:sz w:val="21"/>
              </w:rPr>
              <w:t>12.3</w:t>
            </w:r>
          </w:p>
        </w:tc>
        <w:tc>
          <w:tcPr>
            <w:tcW w:w="1858" w:type="dxa"/>
          </w:tcPr>
          <w:p>
            <w:pPr>
              <w:pStyle w:val="14"/>
              <w:spacing w:before="35"/>
              <w:ind w:left="610" w:right="601"/>
              <w:rPr>
                <w:rFonts w:ascii="Times New Roman"/>
                <w:sz w:val="21"/>
              </w:rPr>
            </w:pPr>
            <w:r>
              <w:rPr>
                <w:rFonts w:ascii="Times New Roman"/>
                <w:sz w:val="21"/>
              </w:rPr>
              <w:t>0.285</w:t>
            </w:r>
          </w:p>
        </w:tc>
        <w:tc>
          <w:tcPr>
            <w:tcW w:w="1858" w:type="dxa"/>
          </w:tcPr>
          <w:p>
            <w:pPr>
              <w:pStyle w:val="14"/>
              <w:spacing w:before="35"/>
              <w:ind w:left="610" w:right="602"/>
              <w:rPr>
                <w:rFonts w:ascii="Times New Roman"/>
                <w:sz w:val="21"/>
              </w:rPr>
            </w:pPr>
            <w:r>
              <w:rPr>
                <w:rFonts w:ascii="Times New Roman"/>
                <w:sz w:val="21"/>
              </w:rPr>
              <w:t>11.26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856" w:type="dxa"/>
            <w:vMerge w:val="continue"/>
            <w:tcBorders>
              <w:top w:val="nil"/>
            </w:tcBorders>
          </w:tcPr>
          <w:p>
            <w:pPr>
              <w:rPr>
                <w:sz w:val="2"/>
                <w:szCs w:val="2"/>
              </w:rPr>
            </w:pPr>
          </w:p>
        </w:tc>
        <w:tc>
          <w:tcPr>
            <w:tcW w:w="1856" w:type="dxa"/>
          </w:tcPr>
          <w:p>
            <w:pPr>
              <w:pStyle w:val="14"/>
              <w:spacing w:before="21"/>
              <w:ind w:left="572" w:right="567"/>
              <w:rPr>
                <w:sz w:val="21"/>
              </w:rPr>
            </w:pPr>
            <w:r>
              <w:rPr>
                <w:sz w:val="21"/>
              </w:rPr>
              <w:t>总计</w:t>
            </w:r>
          </w:p>
        </w:tc>
        <w:tc>
          <w:tcPr>
            <w:tcW w:w="1858" w:type="dxa"/>
          </w:tcPr>
          <w:p>
            <w:pPr>
              <w:pStyle w:val="14"/>
              <w:spacing w:before="34"/>
              <w:ind w:right="679"/>
              <w:jc w:val="right"/>
              <w:rPr>
                <w:rFonts w:ascii="Times New Roman"/>
                <w:sz w:val="21"/>
              </w:rPr>
            </w:pPr>
            <w:r>
              <w:rPr>
                <w:rFonts w:ascii="Times New Roman"/>
                <w:sz w:val="21"/>
              </w:rPr>
              <w:t>143.8</w:t>
            </w:r>
          </w:p>
        </w:tc>
        <w:tc>
          <w:tcPr>
            <w:tcW w:w="1858" w:type="dxa"/>
          </w:tcPr>
          <w:p>
            <w:pPr>
              <w:pStyle w:val="14"/>
              <w:spacing w:before="34"/>
              <w:ind w:left="610" w:right="601"/>
              <w:rPr>
                <w:rFonts w:ascii="Times New Roman"/>
                <w:sz w:val="21"/>
              </w:rPr>
            </w:pPr>
            <w:r>
              <w:rPr>
                <w:rFonts w:ascii="Times New Roman"/>
                <w:sz w:val="21"/>
              </w:rPr>
              <w:t>2.531</w:t>
            </w:r>
          </w:p>
        </w:tc>
        <w:tc>
          <w:tcPr>
            <w:tcW w:w="1858" w:type="dxa"/>
          </w:tcPr>
          <w:p>
            <w:pPr>
              <w:pStyle w:val="14"/>
              <w:spacing w:before="34"/>
              <w:ind w:left="609" w:right="603"/>
              <w:rPr>
                <w:rFonts w:ascii="Times New Roman"/>
                <w:sz w:val="21"/>
              </w:rPr>
            </w:pPr>
            <w:r>
              <w:rPr>
                <w:rFonts w:ascii="Times New Roman"/>
                <w:sz w:val="21"/>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3712" w:type="dxa"/>
            <w:gridSpan w:val="2"/>
          </w:tcPr>
          <w:p>
            <w:pPr>
              <w:pStyle w:val="14"/>
              <w:spacing w:before="1" w:line="251" w:lineRule="exact"/>
              <w:ind w:left="1519" w:right="1511"/>
              <w:rPr>
                <w:b/>
                <w:sz w:val="21"/>
              </w:rPr>
            </w:pPr>
            <w:r>
              <w:rPr>
                <w:rFonts w:ascii="Times New Roman" w:eastAsia="Times New Roman"/>
                <w:b/>
                <w:sz w:val="21"/>
              </w:rPr>
              <w:t>3#</w:t>
            </w:r>
            <w:r>
              <w:rPr>
                <w:b/>
                <w:sz w:val="21"/>
              </w:rPr>
              <w:t>离子</w:t>
            </w:r>
          </w:p>
        </w:tc>
        <w:tc>
          <w:tcPr>
            <w:tcW w:w="1858" w:type="dxa"/>
          </w:tcPr>
          <w:p>
            <w:pPr>
              <w:pStyle w:val="14"/>
              <w:spacing w:before="15" w:line="237" w:lineRule="exact"/>
              <w:ind w:right="680"/>
              <w:jc w:val="right"/>
              <w:rPr>
                <w:rFonts w:ascii="Times New Roman"/>
                <w:b/>
                <w:sz w:val="21"/>
              </w:rPr>
            </w:pPr>
            <w:r>
              <w:rPr>
                <w:rFonts w:ascii="Times New Roman"/>
                <w:b/>
                <w:w w:val="95"/>
                <w:sz w:val="21"/>
              </w:rPr>
              <w:t>mg/L</w:t>
            </w:r>
          </w:p>
        </w:tc>
        <w:tc>
          <w:tcPr>
            <w:tcW w:w="1858" w:type="dxa"/>
          </w:tcPr>
          <w:p>
            <w:pPr>
              <w:pStyle w:val="14"/>
              <w:spacing w:before="15" w:line="237" w:lineRule="exact"/>
              <w:ind w:left="609" w:right="603"/>
              <w:rPr>
                <w:rFonts w:ascii="Times New Roman"/>
                <w:b/>
                <w:sz w:val="21"/>
              </w:rPr>
            </w:pPr>
            <w:r>
              <w:rPr>
                <w:rFonts w:ascii="Times New Roman"/>
                <w:b/>
                <w:sz w:val="21"/>
              </w:rPr>
              <w:t>meq/L</w:t>
            </w:r>
          </w:p>
        </w:tc>
        <w:tc>
          <w:tcPr>
            <w:tcW w:w="1858" w:type="dxa"/>
          </w:tcPr>
          <w:p>
            <w:pPr>
              <w:pStyle w:val="14"/>
              <w:spacing w:before="15" w:line="237" w:lineRule="exact"/>
              <w:ind w:left="610" w:right="603"/>
              <w:rPr>
                <w:rFonts w:ascii="Times New Roman"/>
                <w:b/>
                <w:sz w:val="21"/>
              </w:rPr>
            </w:pPr>
            <w:r>
              <w:rPr>
                <w:rFonts w:ascii="Times New Roman"/>
                <w:b/>
                <w:sz w:val="21"/>
              </w:rPr>
              <w:t>meq%</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1856" w:type="dxa"/>
            <w:vMerge w:val="restart"/>
          </w:tcPr>
          <w:p>
            <w:pPr>
              <w:pStyle w:val="14"/>
              <w:spacing w:before="4"/>
              <w:jc w:val="left"/>
              <w:rPr>
                <w:b/>
                <w:sz w:val="15"/>
              </w:rPr>
            </w:pPr>
          </w:p>
          <w:p>
            <w:pPr>
              <w:pStyle w:val="14"/>
              <w:spacing w:line="242" w:lineRule="auto"/>
              <w:ind w:left="823" w:right="811"/>
              <w:jc w:val="both"/>
              <w:rPr>
                <w:b/>
                <w:sz w:val="21"/>
              </w:rPr>
            </w:pPr>
            <w:r>
              <w:rPr>
                <w:b/>
                <w:sz w:val="21"/>
              </w:rPr>
              <w:t>阳离子</w:t>
            </w:r>
          </w:p>
        </w:tc>
        <w:tc>
          <w:tcPr>
            <w:tcW w:w="1856" w:type="dxa"/>
          </w:tcPr>
          <w:p>
            <w:pPr>
              <w:pStyle w:val="14"/>
              <w:spacing w:before="33"/>
              <w:ind w:left="577" w:right="567"/>
              <w:rPr>
                <w:rFonts w:ascii="Times New Roman"/>
                <w:sz w:val="13"/>
              </w:rPr>
            </w:pPr>
            <w:r>
              <w:rPr>
                <w:rFonts w:ascii="Times New Roman"/>
                <w:sz w:val="21"/>
              </w:rPr>
              <w:t>K</w:t>
            </w:r>
            <w:r>
              <w:rPr>
                <w:rFonts w:ascii="Times New Roman"/>
                <w:position w:val="7"/>
                <w:sz w:val="13"/>
              </w:rPr>
              <w:t>+</w:t>
            </w:r>
            <w:r>
              <w:rPr>
                <w:rFonts w:ascii="Times New Roman"/>
                <w:sz w:val="21"/>
              </w:rPr>
              <w:t>+Na</w:t>
            </w:r>
            <w:r>
              <w:rPr>
                <w:rFonts w:ascii="Times New Roman"/>
                <w:position w:val="7"/>
                <w:sz w:val="13"/>
              </w:rPr>
              <w:t>+</w:t>
            </w:r>
          </w:p>
        </w:tc>
        <w:tc>
          <w:tcPr>
            <w:tcW w:w="1858" w:type="dxa"/>
          </w:tcPr>
          <w:p>
            <w:pPr>
              <w:pStyle w:val="14"/>
              <w:spacing w:before="33"/>
              <w:ind w:right="679"/>
              <w:jc w:val="right"/>
              <w:rPr>
                <w:rFonts w:ascii="Times New Roman"/>
                <w:sz w:val="21"/>
              </w:rPr>
            </w:pPr>
            <w:r>
              <w:rPr>
                <w:rFonts w:ascii="Times New Roman"/>
                <w:sz w:val="21"/>
              </w:rPr>
              <w:t>21.53</w:t>
            </w:r>
          </w:p>
        </w:tc>
        <w:tc>
          <w:tcPr>
            <w:tcW w:w="1858" w:type="dxa"/>
          </w:tcPr>
          <w:p>
            <w:pPr>
              <w:pStyle w:val="14"/>
              <w:spacing w:before="33"/>
              <w:ind w:left="610" w:right="601"/>
              <w:rPr>
                <w:rFonts w:ascii="Times New Roman"/>
                <w:sz w:val="21"/>
              </w:rPr>
            </w:pPr>
            <w:r>
              <w:rPr>
                <w:rFonts w:ascii="Times New Roman"/>
                <w:sz w:val="21"/>
              </w:rPr>
              <w:t>0.923</w:t>
            </w:r>
          </w:p>
        </w:tc>
        <w:tc>
          <w:tcPr>
            <w:tcW w:w="1858" w:type="dxa"/>
          </w:tcPr>
          <w:p>
            <w:pPr>
              <w:pStyle w:val="14"/>
              <w:spacing w:before="33"/>
              <w:ind w:left="610" w:right="599"/>
              <w:rPr>
                <w:rFonts w:ascii="Times New Roman"/>
                <w:sz w:val="21"/>
              </w:rPr>
            </w:pPr>
            <w:r>
              <w:rPr>
                <w:rFonts w:ascii="Times New Roman"/>
                <w:sz w:val="21"/>
              </w:rPr>
              <w:t>16.76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1856" w:type="dxa"/>
            <w:vMerge w:val="continue"/>
            <w:tcBorders>
              <w:top w:val="nil"/>
            </w:tcBorders>
          </w:tcPr>
          <w:p>
            <w:pPr>
              <w:rPr>
                <w:sz w:val="2"/>
                <w:szCs w:val="2"/>
              </w:rPr>
            </w:pPr>
          </w:p>
        </w:tc>
        <w:tc>
          <w:tcPr>
            <w:tcW w:w="1856" w:type="dxa"/>
          </w:tcPr>
          <w:p>
            <w:pPr>
              <w:pStyle w:val="14"/>
              <w:spacing w:before="20" w:line="241" w:lineRule="exact"/>
              <w:ind w:left="577" w:right="567"/>
              <w:rPr>
                <w:rFonts w:ascii="Times New Roman"/>
                <w:sz w:val="13"/>
              </w:rPr>
            </w:pPr>
            <w:r>
              <w:rPr>
                <w:rFonts w:ascii="Times New Roman"/>
                <w:position w:val="-6"/>
                <w:sz w:val="21"/>
              </w:rPr>
              <w:t>Ca</w:t>
            </w:r>
            <w:r>
              <w:rPr>
                <w:rFonts w:ascii="Times New Roman"/>
                <w:sz w:val="13"/>
              </w:rPr>
              <w:t>2+</w:t>
            </w:r>
          </w:p>
        </w:tc>
        <w:tc>
          <w:tcPr>
            <w:tcW w:w="1858" w:type="dxa"/>
          </w:tcPr>
          <w:p>
            <w:pPr>
              <w:pStyle w:val="14"/>
              <w:spacing w:before="19"/>
              <w:ind w:right="732"/>
              <w:jc w:val="right"/>
              <w:rPr>
                <w:rFonts w:ascii="Times New Roman"/>
                <w:sz w:val="21"/>
              </w:rPr>
            </w:pPr>
            <w:r>
              <w:rPr>
                <w:rFonts w:ascii="Times New Roman"/>
                <w:sz w:val="21"/>
              </w:rPr>
              <w:t>59.5</w:t>
            </w:r>
          </w:p>
        </w:tc>
        <w:tc>
          <w:tcPr>
            <w:tcW w:w="1858" w:type="dxa"/>
          </w:tcPr>
          <w:p>
            <w:pPr>
              <w:pStyle w:val="14"/>
              <w:spacing w:before="19"/>
              <w:ind w:left="610" w:right="601"/>
              <w:rPr>
                <w:rFonts w:ascii="Times New Roman"/>
                <w:sz w:val="21"/>
              </w:rPr>
            </w:pPr>
            <w:r>
              <w:rPr>
                <w:rFonts w:ascii="Times New Roman"/>
                <w:sz w:val="21"/>
              </w:rPr>
              <w:t>2.975</w:t>
            </w:r>
          </w:p>
        </w:tc>
        <w:tc>
          <w:tcPr>
            <w:tcW w:w="1858" w:type="dxa"/>
          </w:tcPr>
          <w:p>
            <w:pPr>
              <w:pStyle w:val="14"/>
              <w:spacing w:before="19"/>
              <w:ind w:left="610" w:right="599"/>
              <w:rPr>
                <w:rFonts w:ascii="Times New Roman"/>
                <w:sz w:val="21"/>
              </w:rPr>
            </w:pPr>
            <w:r>
              <w:rPr>
                <w:rFonts w:ascii="Times New Roman"/>
                <w:sz w:val="21"/>
              </w:rPr>
              <w:t>54.03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856" w:type="dxa"/>
            <w:vMerge w:val="continue"/>
            <w:tcBorders>
              <w:top w:val="nil"/>
            </w:tcBorders>
          </w:tcPr>
          <w:p>
            <w:pPr>
              <w:rPr>
                <w:sz w:val="2"/>
                <w:szCs w:val="2"/>
              </w:rPr>
            </w:pPr>
          </w:p>
        </w:tc>
        <w:tc>
          <w:tcPr>
            <w:tcW w:w="1856" w:type="dxa"/>
          </w:tcPr>
          <w:p>
            <w:pPr>
              <w:pStyle w:val="14"/>
              <w:spacing w:before="17" w:line="236" w:lineRule="exact"/>
              <w:ind w:left="577" w:right="567"/>
              <w:rPr>
                <w:rFonts w:ascii="Times New Roman"/>
                <w:sz w:val="13"/>
              </w:rPr>
            </w:pPr>
            <w:r>
              <w:rPr>
                <w:rFonts w:ascii="Times New Roman"/>
                <w:position w:val="-6"/>
                <w:sz w:val="21"/>
              </w:rPr>
              <w:t>Mg</w:t>
            </w:r>
            <w:r>
              <w:rPr>
                <w:rFonts w:ascii="Times New Roman"/>
                <w:sz w:val="13"/>
              </w:rPr>
              <w:t>2+</w:t>
            </w:r>
          </w:p>
        </w:tc>
        <w:tc>
          <w:tcPr>
            <w:tcW w:w="1858" w:type="dxa"/>
          </w:tcPr>
          <w:p>
            <w:pPr>
              <w:pStyle w:val="14"/>
              <w:spacing w:before="14" w:line="239" w:lineRule="exact"/>
              <w:ind w:right="732"/>
              <w:jc w:val="right"/>
              <w:rPr>
                <w:rFonts w:ascii="Times New Roman"/>
                <w:sz w:val="21"/>
              </w:rPr>
            </w:pPr>
            <w:r>
              <w:rPr>
                <w:rFonts w:ascii="Times New Roman"/>
                <w:sz w:val="21"/>
              </w:rPr>
              <w:t>19.3</w:t>
            </w:r>
          </w:p>
        </w:tc>
        <w:tc>
          <w:tcPr>
            <w:tcW w:w="1858" w:type="dxa"/>
          </w:tcPr>
          <w:p>
            <w:pPr>
              <w:pStyle w:val="14"/>
              <w:spacing w:before="14" w:line="239" w:lineRule="exact"/>
              <w:ind w:left="610" w:right="601"/>
              <w:rPr>
                <w:rFonts w:ascii="Times New Roman"/>
                <w:sz w:val="21"/>
              </w:rPr>
            </w:pPr>
            <w:r>
              <w:rPr>
                <w:rFonts w:ascii="Times New Roman"/>
                <w:sz w:val="21"/>
              </w:rPr>
              <w:t>1.608</w:t>
            </w:r>
          </w:p>
        </w:tc>
        <w:tc>
          <w:tcPr>
            <w:tcW w:w="1858" w:type="dxa"/>
          </w:tcPr>
          <w:p>
            <w:pPr>
              <w:pStyle w:val="14"/>
              <w:spacing w:before="14" w:line="239" w:lineRule="exact"/>
              <w:ind w:left="610" w:right="599"/>
              <w:rPr>
                <w:rFonts w:ascii="Times New Roman"/>
                <w:sz w:val="21"/>
              </w:rPr>
            </w:pPr>
            <w:r>
              <w:rPr>
                <w:rFonts w:ascii="Times New Roman"/>
                <w:sz w:val="21"/>
              </w:rPr>
              <w:t>29.21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856" w:type="dxa"/>
            <w:vMerge w:val="continue"/>
            <w:tcBorders>
              <w:top w:val="nil"/>
            </w:tcBorders>
          </w:tcPr>
          <w:p>
            <w:pPr>
              <w:rPr>
                <w:sz w:val="2"/>
                <w:szCs w:val="2"/>
              </w:rPr>
            </w:pPr>
          </w:p>
        </w:tc>
        <w:tc>
          <w:tcPr>
            <w:tcW w:w="1856" w:type="dxa"/>
          </w:tcPr>
          <w:p>
            <w:pPr>
              <w:pStyle w:val="14"/>
              <w:spacing w:before="24"/>
              <w:ind w:left="572" w:right="567"/>
              <w:rPr>
                <w:sz w:val="21"/>
              </w:rPr>
            </w:pPr>
            <w:r>
              <w:rPr>
                <w:sz w:val="21"/>
              </w:rPr>
              <w:t>总计</w:t>
            </w:r>
          </w:p>
        </w:tc>
        <w:tc>
          <w:tcPr>
            <w:tcW w:w="1858" w:type="dxa"/>
          </w:tcPr>
          <w:p>
            <w:pPr>
              <w:pStyle w:val="14"/>
              <w:spacing w:before="38"/>
              <w:ind w:right="679"/>
              <w:jc w:val="right"/>
              <w:rPr>
                <w:rFonts w:ascii="Times New Roman"/>
                <w:sz w:val="21"/>
              </w:rPr>
            </w:pPr>
            <w:r>
              <w:rPr>
                <w:rFonts w:ascii="Times New Roman"/>
                <w:sz w:val="21"/>
              </w:rPr>
              <w:t>10.33</w:t>
            </w:r>
          </w:p>
        </w:tc>
        <w:tc>
          <w:tcPr>
            <w:tcW w:w="1858" w:type="dxa"/>
          </w:tcPr>
          <w:p>
            <w:pPr>
              <w:pStyle w:val="14"/>
              <w:spacing w:before="38"/>
              <w:ind w:left="610" w:right="601"/>
              <w:rPr>
                <w:rFonts w:ascii="Times New Roman"/>
                <w:sz w:val="21"/>
              </w:rPr>
            </w:pPr>
            <w:r>
              <w:rPr>
                <w:rFonts w:ascii="Times New Roman"/>
                <w:sz w:val="21"/>
              </w:rPr>
              <w:t>5.506</w:t>
            </w:r>
          </w:p>
        </w:tc>
        <w:tc>
          <w:tcPr>
            <w:tcW w:w="1858" w:type="dxa"/>
          </w:tcPr>
          <w:p>
            <w:pPr>
              <w:pStyle w:val="14"/>
              <w:spacing w:before="38"/>
              <w:ind w:left="609" w:right="603"/>
              <w:rPr>
                <w:rFonts w:ascii="Times New Roman"/>
                <w:sz w:val="21"/>
              </w:rPr>
            </w:pPr>
            <w:r>
              <w:rPr>
                <w:rFonts w:ascii="Times New Roman"/>
                <w:sz w:val="21"/>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856" w:type="dxa"/>
            <w:vMerge w:val="restart"/>
          </w:tcPr>
          <w:p>
            <w:pPr>
              <w:pStyle w:val="14"/>
              <w:spacing w:before="159" w:line="242" w:lineRule="auto"/>
              <w:ind w:left="823" w:right="811"/>
              <w:jc w:val="both"/>
              <w:rPr>
                <w:b/>
                <w:sz w:val="21"/>
              </w:rPr>
            </w:pPr>
            <w:r>
              <w:rPr>
                <w:b/>
                <w:sz w:val="21"/>
              </w:rPr>
              <w:t>阴离子</w:t>
            </w:r>
          </w:p>
        </w:tc>
        <w:tc>
          <w:tcPr>
            <w:tcW w:w="1856" w:type="dxa"/>
          </w:tcPr>
          <w:p>
            <w:pPr>
              <w:pStyle w:val="14"/>
              <w:spacing w:before="14" w:line="166" w:lineRule="exact"/>
              <w:ind w:left="577" w:right="567"/>
              <w:rPr>
                <w:rFonts w:ascii="Times New Roman"/>
                <w:sz w:val="13"/>
              </w:rPr>
            </w:pPr>
            <w:r>
              <w:rPr>
                <w:rFonts w:ascii="Times New Roman"/>
                <w:sz w:val="21"/>
              </w:rPr>
              <w:t xml:space="preserve">HCO </w:t>
            </w:r>
            <w:r>
              <w:rPr>
                <w:rFonts w:ascii="Times New Roman"/>
                <w:position w:val="7"/>
                <w:sz w:val="13"/>
              </w:rPr>
              <w:t>-</w:t>
            </w:r>
          </w:p>
          <w:p>
            <w:pPr>
              <w:pStyle w:val="14"/>
              <w:spacing w:line="72" w:lineRule="exact"/>
              <w:ind w:left="410"/>
              <w:rPr>
                <w:rFonts w:ascii="Times New Roman"/>
                <w:sz w:val="13"/>
              </w:rPr>
            </w:pPr>
            <w:r>
              <w:rPr>
                <w:rFonts w:ascii="Times New Roman"/>
                <w:w w:val="105"/>
                <w:sz w:val="13"/>
              </w:rPr>
              <w:t>3</w:t>
            </w:r>
          </w:p>
        </w:tc>
        <w:tc>
          <w:tcPr>
            <w:tcW w:w="1858" w:type="dxa"/>
          </w:tcPr>
          <w:p>
            <w:pPr>
              <w:pStyle w:val="14"/>
              <w:spacing w:before="14" w:line="238" w:lineRule="exact"/>
              <w:ind w:right="679"/>
              <w:jc w:val="right"/>
              <w:rPr>
                <w:rFonts w:ascii="Times New Roman"/>
                <w:sz w:val="21"/>
              </w:rPr>
            </w:pPr>
            <w:r>
              <w:rPr>
                <w:rFonts w:ascii="Times New Roman"/>
                <w:sz w:val="21"/>
              </w:rPr>
              <w:t>188.7</w:t>
            </w:r>
          </w:p>
        </w:tc>
        <w:tc>
          <w:tcPr>
            <w:tcW w:w="1858" w:type="dxa"/>
          </w:tcPr>
          <w:p>
            <w:pPr>
              <w:pStyle w:val="14"/>
              <w:spacing w:before="14" w:line="238" w:lineRule="exact"/>
              <w:ind w:left="610" w:right="601"/>
              <w:rPr>
                <w:rFonts w:ascii="Times New Roman"/>
                <w:sz w:val="21"/>
              </w:rPr>
            </w:pPr>
            <w:r>
              <w:rPr>
                <w:rFonts w:ascii="Times New Roman"/>
                <w:sz w:val="21"/>
              </w:rPr>
              <w:t>3.093</w:t>
            </w:r>
          </w:p>
        </w:tc>
        <w:tc>
          <w:tcPr>
            <w:tcW w:w="1858" w:type="dxa"/>
          </w:tcPr>
          <w:p>
            <w:pPr>
              <w:pStyle w:val="14"/>
              <w:spacing w:before="14" w:line="238" w:lineRule="exact"/>
              <w:ind w:left="610" w:right="599"/>
              <w:rPr>
                <w:rFonts w:ascii="Times New Roman"/>
                <w:sz w:val="21"/>
              </w:rPr>
            </w:pPr>
            <w:r>
              <w:rPr>
                <w:rFonts w:ascii="Times New Roman"/>
                <w:sz w:val="21"/>
              </w:rPr>
              <w:t>58.88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856" w:type="dxa"/>
            <w:vMerge w:val="continue"/>
            <w:tcBorders>
              <w:top w:val="nil"/>
            </w:tcBorders>
          </w:tcPr>
          <w:p>
            <w:pPr>
              <w:rPr>
                <w:sz w:val="2"/>
                <w:szCs w:val="2"/>
              </w:rPr>
            </w:pPr>
          </w:p>
        </w:tc>
        <w:tc>
          <w:tcPr>
            <w:tcW w:w="1856" w:type="dxa"/>
          </w:tcPr>
          <w:p>
            <w:pPr>
              <w:pStyle w:val="14"/>
              <w:spacing w:before="19"/>
              <w:ind w:left="575" w:right="567"/>
              <w:rPr>
                <w:rFonts w:ascii="Times New Roman"/>
                <w:sz w:val="13"/>
              </w:rPr>
            </w:pPr>
            <w:r>
              <w:rPr>
                <w:rFonts w:ascii="Times New Roman"/>
                <w:sz w:val="21"/>
              </w:rPr>
              <w:t>Cl</w:t>
            </w:r>
            <w:r>
              <w:rPr>
                <w:rFonts w:ascii="Times New Roman"/>
                <w:position w:val="7"/>
                <w:sz w:val="13"/>
              </w:rPr>
              <w:t>-</w:t>
            </w:r>
          </w:p>
        </w:tc>
        <w:tc>
          <w:tcPr>
            <w:tcW w:w="1858" w:type="dxa"/>
          </w:tcPr>
          <w:p>
            <w:pPr>
              <w:pStyle w:val="14"/>
              <w:spacing w:before="13" w:line="248" w:lineRule="exact"/>
              <w:ind w:right="733"/>
              <w:jc w:val="right"/>
              <w:rPr>
                <w:rFonts w:ascii="Calibri"/>
                <w:sz w:val="21"/>
              </w:rPr>
            </w:pPr>
            <w:r>
              <w:rPr>
                <w:rFonts w:ascii="Calibri"/>
                <w:sz w:val="21"/>
              </w:rPr>
              <w:t>32.4</w:t>
            </w:r>
          </w:p>
        </w:tc>
        <w:tc>
          <w:tcPr>
            <w:tcW w:w="1858" w:type="dxa"/>
          </w:tcPr>
          <w:p>
            <w:pPr>
              <w:pStyle w:val="14"/>
              <w:spacing w:before="19"/>
              <w:ind w:left="610" w:right="601"/>
              <w:rPr>
                <w:rFonts w:ascii="Times New Roman"/>
                <w:sz w:val="21"/>
              </w:rPr>
            </w:pPr>
            <w:r>
              <w:rPr>
                <w:rFonts w:ascii="Times New Roman"/>
                <w:sz w:val="21"/>
              </w:rPr>
              <w:t>0.913</w:t>
            </w:r>
          </w:p>
        </w:tc>
        <w:tc>
          <w:tcPr>
            <w:tcW w:w="1858" w:type="dxa"/>
          </w:tcPr>
          <w:p>
            <w:pPr>
              <w:pStyle w:val="14"/>
              <w:spacing w:before="19"/>
              <w:ind w:left="610" w:right="599"/>
              <w:rPr>
                <w:rFonts w:ascii="Times New Roman"/>
                <w:sz w:val="21"/>
              </w:rPr>
            </w:pPr>
            <w:r>
              <w:rPr>
                <w:rFonts w:ascii="Times New Roman"/>
                <w:sz w:val="21"/>
              </w:rPr>
              <w:t>17.37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856" w:type="dxa"/>
            <w:vMerge w:val="continue"/>
            <w:tcBorders>
              <w:top w:val="nil"/>
            </w:tcBorders>
          </w:tcPr>
          <w:p>
            <w:pPr>
              <w:rPr>
                <w:sz w:val="2"/>
                <w:szCs w:val="2"/>
              </w:rPr>
            </w:pPr>
          </w:p>
        </w:tc>
        <w:tc>
          <w:tcPr>
            <w:tcW w:w="1856" w:type="dxa"/>
          </w:tcPr>
          <w:p>
            <w:pPr>
              <w:pStyle w:val="14"/>
              <w:spacing w:before="19" w:line="166" w:lineRule="exact"/>
              <w:ind w:left="577" w:right="567"/>
              <w:rPr>
                <w:rFonts w:ascii="Times New Roman"/>
                <w:sz w:val="13"/>
              </w:rPr>
            </w:pPr>
            <w:r>
              <w:rPr>
                <w:rFonts w:ascii="Times New Roman"/>
                <w:position w:val="-6"/>
                <w:sz w:val="21"/>
              </w:rPr>
              <w:t xml:space="preserve">SO </w:t>
            </w:r>
            <w:r>
              <w:rPr>
                <w:rFonts w:ascii="Times New Roman"/>
                <w:sz w:val="13"/>
              </w:rPr>
              <w:t>2-</w:t>
            </w:r>
          </w:p>
          <w:p>
            <w:pPr>
              <w:pStyle w:val="14"/>
              <w:spacing w:line="74" w:lineRule="exact"/>
              <w:ind w:left="165"/>
              <w:rPr>
                <w:rFonts w:ascii="Times New Roman"/>
                <w:sz w:val="13"/>
              </w:rPr>
            </w:pPr>
            <w:r>
              <w:rPr>
                <w:rFonts w:ascii="Times New Roman"/>
                <w:w w:val="105"/>
                <w:sz w:val="13"/>
              </w:rPr>
              <w:t>4</w:t>
            </w:r>
          </w:p>
        </w:tc>
        <w:tc>
          <w:tcPr>
            <w:tcW w:w="1858" w:type="dxa"/>
          </w:tcPr>
          <w:p>
            <w:pPr>
              <w:pStyle w:val="14"/>
              <w:spacing w:before="12" w:line="248" w:lineRule="exact"/>
              <w:ind w:right="733"/>
              <w:jc w:val="right"/>
              <w:rPr>
                <w:rFonts w:ascii="Calibri"/>
                <w:sz w:val="21"/>
              </w:rPr>
            </w:pPr>
            <w:r>
              <w:rPr>
                <w:rFonts w:ascii="Calibri"/>
                <w:sz w:val="21"/>
              </w:rPr>
              <w:t>59.9</w:t>
            </w:r>
          </w:p>
        </w:tc>
        <w:tc>
          <w:tcPr>
            <w:tcW w:w="1858" w:type="dxa"/>
          </w:tcPr>
          <w:p>
            <w:pPr>
              <w:pStyle w:val="14"/>
              <w:spacing w:before="19"/>
              <w:ind w:left="610" w:right="601"/>
              <w:rPr>
                <w:rFonts w:ascii="Times New Roman"/>
                <w:sz w:val="21"/>
              </w:rPr>
            </w:pPr>
            <w:r>
              <w:rPr>
                <w:rFonts w:ascii="Times New Roman"/>
                <w:sz w:val="21"/>
              </w:rPr>
              <w:t>1.248</w:t>
            </w:r>
          </w:p>
        </w:tc>
        <w:tc>
          <w:tcPr>
            <w:tcW w:w="1858" w:type="dxa"/>
          </w:tcPr>
          <w:p>
            <w:pPr>
              <w:pStyle w:val="14"/>
              <w:spacing w:before="19"/>
              <w:ind w:left="610" w:right="599"/>
              <w:rPr>
                <w:rFonts w:ascii="Times New Roman"/>
                <w:sz w:val="21"/>
              </w:rPr>
            </w:pPr>
            <w:r>
              <w:rPr>
                <w:rFonts w:ascii="Times New Roman"/>
                <w:sz w:val="21"/>
              </w:rPr>
              <w:t>23.75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856" w:type="dxa"/>
            <w:vMerge w:val="continue"/>
            <w:tcBorders>
              <w:top w:val="nil"/>
            </w:tcBorders>
          </w:tcPr>
          <w:p>
            <w:pPr>
              <w:rPr>
                <w:sz w:val="2"/>
                <w:szCs w:val="2"/>
              </w:rPr>
            </w:pPr>
          </w:p>
        </w:tc>
        <w:tc>
          <w:tcPr>
            <w:tcW w:w="1856" w:type="dxa"/>
          </w:tcPr>
          <w:p>
            <w:pPr>
              <w:pStyle w:val="14"/>
              <w:spacing w:before="2" w:line="251" w:lineRule="exact"/>
              <w:ind w:left="572" w:right="567"/>
              <w:rPr>
                <w:sz w:val="21"/>
              </w:rPr>
            </w:pPr>
            <w:r>
              <w:rPr>
                <w:sz w:val="21"/>
              </w:rPr>
              <w:t>总计</w:t>
            </w:r>
          </w:p>
        </w:tc>
        <w:tc>
          <w:tcPr>
            <w:tcW w:w="1858" w:type="dxa"/>
          </w:tcPr>
          <w:p>
            <w:pPr>
              <w:pStyle w:val="14"/>
              <w:spacing w:before="16" w:line="237" w:lineRule="exact"/>
              <w:ind w:right="679"/>
              <w:jc w:val="right"/>
              <w:rPr>
                <w:rFonts w:ascii="Times New Roman"/>
                <w:sz w:val="21"/>
              </w:rPr>
            </w:pPr>
            <w:r>
              <w:rPr>
                <w:rFonts w:ascii="Times New Roman"/>
                <w:sz w:val="21"/>
              </w:rPr>
              <w:t>281.0</w:t>
            </w:r>
          </w:p>
        </w:tc>
        <w:tc>
          <w:tcPr>
            <w:tcW w:w="1858" w:type="dxa"/>
          </w:tcPr>
          <w:p>
            <w:pPr>
              <w:pStyle w:val="14"/>
              <w:spacing w:before="16" w:line="237" w:lineRule="exact"/>
              <w:ind w:left="610" w:right="601"/>
              <w:rPr>
                <w:rFonts w:ascii="Times New Roman"/>
                <w:sz w:val="21"/>
              </w:rPr>
            </w:pPr>
            <w:r>
              <w:rPr>
                <w:rFonts w:ascii="Times New Roman"/>
                <w:sz w:val="21"/>
              </w:rPr>
              <w:t>5.254</w:t>
            </w:r>
          </w:p>
        </w:tc>
        <w:tc>
          <w:tcPr>
            <w:tcW w:w="1858" w:type="dxa"/>
          </w:tcPr>
          <w:p>
            <w:pPr>
              <w:pStyle w:val="14"/>
              <w:spacing w:before="16" w:line="237" w:lineRule="exact"/>
              <w:ind w:left="609" w:right="603"/>
              <w:rPr>
                <w:rFonts w:ascii="Times New Roman"/>
                <w:sz w:val="21"/>
              </w:rPr>
            </w:pPr>
            <w:r>
              <w:rPr>
                <w:rFonts w:ascii="Times New Roman"/>
                <w:sz w:val="21"/>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3712" w:type="dxa"/>
            <w:gridSpan w:val="2"/>
          </w:tcPr>
          <w:p>
            <w:pPr>
              <w:pStyle w:val="14"/>
              <w:spacing w:line="252" w:lineRule="exact"/>
              <w:ind w:left="1519" w:right="1511"/>
              <w:rPr>
                <w:b/>
                <w:sz w:val="21"/>
              </w:rPr>
            </w:pPr>
            <w:r>
              <w:rPr>
                <w:rFonts w:ascii="Times New Roman" w:eastAsia="Times New Roman"/>
                <w:b/>
                <w:sz w:val="21"/>
              </w:rPr>
              <w:t>4#</w:t>
            </w:r>
            <w:r>
              <w:rPr>
                <w:b/>
                <w:sz w:val="21"/>
              </w:rPr>
              <w:t>离子</w:t>
            </w:r>
          </w:p>
        </w:tc>
        <w:tc>
          <w:tcPr>
            <w:tcW w:w="1858" w:type="dxa"/>
          </w:tcPr>
          <w:p>
            <w:pPr>
              <w:pStyle w:val="14"/>
              <w:spacing w:before="13" w:line="238" w:lineRule="exact"/>
              <w:ind w:right="680"/>
              <w:jc w:val="right"/>
              <w:rPr>
                <w:rFonts w:ascii="Times New Roman"/>
                <w:b/>
                <w:sz w:val="21"/>
              </w:rPr>
            </w:pPr>
            <w:r>
              <w:rPr>
                <w:rFonts w:ascii="Times New Roman"/>
                <w:b/>
                <w:w w:val="95"/>
                <w:sz w:val="21"/>
              </w:rPr>
              <w:t>mg/L</w:t>
            </w:r>
          </w:p>
        </w:tc>
        <w:tc>
          <w:tcPr>
            <w:tcW w:w="1858" w:type="dxa"/>
          </w:tcPr>
          <w:p>
            <w:pPr>
              <w:pStyle w:val="14"/>
              <w:spacing w:before="13" w:line="238" w:lineRule="exact"/>
              <w:ind w:left="609" w:right="603"/>
              <w:rPr>
                <w:rFonts w:ascii="Times New Roman"/>
                <w:b/>
                <w:sz w:val="21"/>
              </w:rPr>
            </w:pPr>
            <w:r>
              <w:rPr>
                <w:rFonts w:ascii="Times New Roman"/>
                <w:b/>
                <w:sz w:val="21"/>
              </w:rPr>
              <w:t>meq/L</w:t>
            </w:r>
          </w:p>
        </w:tc>
        <w:tc>
          <w:tcPr>
            <w:tcW w:w="1858" w:type="dxa"/>
          </w:tcPr>
          <w:p>
            <w:pPr>
              <w:pStyle w:val="14"/>
              <w:spacing w:before="13" w:line="238" w:lineRule="exact"/>
              <w:ind w:left="610" w:right="603"/>
              <w:rPr>
                <w:rFonts w:ascii="Times New Roman"/>
                <w:b/>
                <w:sz w:val="21"/>
              </w:rPr>
            </w:pPr>
            <w:r>
              <w:rPr>
                <w:rFonts w:ascii="Times New Roman"/>
                <w:b/>
                <w:sz w:val="21"/>
              </w:rPr>
              <w:t>meq%</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1856" w:type="dxa"/>
            <w:vMerge w:val="restart"/>
          </w:tcPr>
          <w:p>
            <w:pPr>
              <w:pStyle w:val="14"/>
              <w:spacing w:before="104" w:line="242" w:lineRule="auto"/>
              <w:ind w:left="823" w:right="811"/>
              <w:jc w:val="both"/>
              <w:rPr>
                <w:b/>
                <w:sz w:val="21"/>
              </w:rPr>
            </w:pPr>
            <w:r>
              <w:rPr>
                <w:b/>
                <w:sz w:val="21"/>
              </w:rPr>
              <w:t>阳离子</w:t>
            </w:r>
          </w:p>
        </w:tc>
        <w:tc>
          <w:tcPr>
            <w:tcW w:w="1856" w:type="dxa"/>
          </w:tcPr>
          <w:p>
            <w:pPr>
              <w:pStyle w:val="14"/>
              <w:spacing w:line="221" w:lineRule="exact"/>
              <w:ind w:left="577" w:right="567"/>
              <w:rPr>
                <w:rFonts w:ascii="Times New Roman"/>
                <w:sz w:val="13"/>
              </w:rPr>
            </w:pPr>
            <w:r>
              <w:rPr>
                <w:rFonts w:ascii="Times New Roman"/>
                <w:sz w:val="21"/>
              </w:rPr>
              <w:t>K</w:t>
            </w:r>
            <w:r>
              <w:rPr>
                <w:rFonts w:ascii="Times New Roman"/>
                <w:position w:val="7"/>
                <w:sz w:val="13"/>
              </w:rPr>
              <w:t>+</w:t>
            </w:r>
            <w:r>
              <w:rPr>
                <w:rFonts w:ascii="Times New Roman"/>
                <w:sz w:val="21"/>
              </w:rPr>
              <w:t>+Na</w:t>
            </w:r>
            <w:r>
              <w:rPr>
                <w:rFonts w:ascii="Times New Roman"/>
                <w:position w:val="7"/>
                <w:sz w:val="13"/>
              </w:rPr>
              <w:t>+</w:t>
            </w:r>
          </w:p>
        </w:tc>
        <w:tc>
          <w:tcPr>
            <w:tcW w:w="1858" w:type="dxa"/>
          </w:tcPr>
          <w:p>
            <w:pPr>
              <w:pStyle w:val="14"/>
              <w:spacing w:line="221" w:lineRule="exact"/>
              <w:ind w:right="679"/>
              <w:jc w:val="right"/>
              <w:rPr>
                <w:rFonts w:ascii="Times New Roman"/>
                <w:sz w:val="21"/>
              </w:rPr>
            </w:pPr>
            <w:r>
              <w:rPr>
                <w:rFonts w:ascii="Times New Roman"/>
                <w:sz w:val="21"/>
              </w:rPr>
              <w:t>25.35</w:t>
            </w:r>
          </w:p>
        </w:tc>
        <w:tc>
          <w:tcPr>
            <w:tcW w:w="1858" w:type="dxa"/>
          </w:tcPr>
          <w:p>
            <w:pPr>
              <w:pStyle w:val="14"/>
              <w:spacing w:line="221" w:lineRule="exact"/>
              <w:ind w:left="610" w:right="601"/>
              <w:rPr>
                <w:rFonts w:ascii="Times New Roman"/>
                <w:sz w:val="21"/>
              </w:rPr>
            </w:pPr>
            <w:r>
              <w:rPr>
                <w:rFonts w:ascii="Times New Roman"/>
                <w:sz w:val="21"/>
              </w:rPr>
              <w:t>1.039</w:t>
            </w:r>
          </w:p>
        </w:tc>
        <w:tc>
          <w:tcPr>
            <w:tcW w:w="1858" w:type="dxa"/>
          </w:tcPr>
          <w:p>
            <w:pPr>
              <w:pStyle w:val="14"/>
              <w:spacing w:line="221" w:lineRule="exact"/>
              <w:ind w:left="610" w:right="599"/>
              <w:rPr>
                <w:rFonts w:ascii="Times New Roman"/>
                <w:sz w:val="21"/>
              </w:rPr>
            </w:pPr>
            <w:r>
              <w:rPr>
                <w:rFonts w:ascii="Times New Roman"/>
                <w:sz w:val="21"/>
              </w:rPr>
              <w:t>10.20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856" w:type="dxa"/>
            <w:vMerge w:val="continue"/>
            <w:tcBorders>
              <w:top w:val="nil"/>
            </w:tcBorders>
          </w:tcPr>
          <w:p>
            <w:pPr>
              <w:rPr>
                <w:sz w:val="2"/>
                <w:szCs w:val="2"/>
              </w:rPr>
            </w:pPr>
          </w:p>
        </w:tc>
        <w:tc>
          <w:tcPr>
            <w:tcW w:w="1856" w:type="dxa"/>
          </w:tcPr>
          <w:p>
            <w:pPr>
              <w:pStyle w:val="14"/>
              <w:spacing w:before="1" w:line="220" w:lineRule="exact"/>
              <w:ind w:left="577" w:right="567"/>
              <w:rPr>
                <w:rFonts w:ascii="Times New Roman"/>
                <w:sz w:val="13"/>
              </w:rPr>
            </w:pPr>
            <w:r>
              <w:rPr>
                <w:rFonts w:ascii="Times New Roman"/>
                <w:position w:val="-6"/>
                <w:sz w:val="21"/>
              </w:rPr>
              <w:t>Ca</w:t>
            </w:r>
            <w:r>
              <w:rPr>
                <w:rFonts w:ascii="Times New Roman"/>
                <w:sz w:val="13"/>
              </w:rPr>
              <w:t>2+</w:t>
            </w:r>
          </w:p>
        </w:tc>
        <w:tc>
          <w:tcPr>
            <w:tcW w:w="1858" w:type="dxa"/>
          </w:tcPr>
          <w:p>
            <w:pPr>
              <w:pStyle w:val="14"/>
              <w:spacing w:line="221" w:lineRule="exact"/>
              <w:ind w:right="732"/>
              <w:jc w:val="right"/>
              <w:rPr>
                <w:rFonts w:ascii="Times New Roman"/>
                <w:sz w:val="21"/>
              </w:rPr>
            </w:pPr>
            <w:r>
              <w:rPr>
                <w:rFonts w:ascii="Times New Roman"/>
                <w:sz w:val="21"/>
              </w:rPr>
              <w:t>87.0</w:t>
            </w:r>
          </w:p>
        </w:tc>
        <w:tc>
          <w:tcPr>
            <w:tcW w:w="1858" w:type="dxa"/>
          </w:tcPr>
          <w:p>
            <w:pPr>
              <w:pStyle w:val="14"/>
              <w:spacing w:line="221" w:lineRule="exact"/>
              <w:ind w:left="610" w:right="601"/>
              <w:rPr>
                <w:rFonts w:ascii="Times New Roman"/>
                <w:sz w:val="21"/>
              </w:rPr>
            </w:pPr>
            <w:r>
              <w:rPr>
                <w:rFonts w:ascii="Times New Roman"/>
                <w:sz w:val="21"/>
              </w:rPr>
              <w:t>4.350</w:t>
            </w:r>
          </w:p>
        </w:tc>
        <w:tc>
          <w:tcPr>
            <w:tcW w:w="1858" w:type="dxa"/>
          </w:tcPr>
          <w:p>
            <w:pPr>
              <w:pStyle w:val="14"/>
              <w:spacing w:line="221" w:lineRule="exact"/>
              <w:ind w:left="610" w:right="599"/>
              <w:rPr>
                <w:rFonts w:ascii="Times New Roman"/>
                <w:sz w:val="21"/>
              </w:rPr>
            </w:pPr>
            <w:r>
              <w:rPr>
                <w:rFonts w:ascii="Times New Roman"/>
                <w:sz w:val="21"/>
              </w:rPr>
              <w:t>42.73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1856" w:type="dxa"/>
            <w:vMerge w:val="continue"/>
            <w:tcBorders>
              <w:top w:val="nil"/>
            </w:tcBorders>
          </w:tcPr>
          <w:p>
            <w:pPr>
              <w:rPr>
                <w:sz w:val="2"/>
                <w:szCs w:val="2"/>
              </w:rPr>
            </w:pPr>
          </w:p>
        </w:tc>
        <w:tc>
          <w:tcPr>
            <w:tcW w:w="1856" w:type="dxa"/>
          </w:tcPr>
          <w:p>
            <w:pPr>
              <w:pStyle w:val="14"/>
              <w:spacing w:line="221" w:lineRule="exact"/>
              <w:ind w:left="577" w:right="567"/>
              <w:rPr>
                <w:rFonts w:ascii="Times New Roman"/>
                <w:sz w:val="13"/>
              </w:rPr>
            </w:pPr>
            <w:r>
              <w:rPr>
                <w:rFonts w:ascii="Times New Roman"/>
                <w:position w:val="-6"/>
                <w:sz w:val="21"/>
              </w:rPr>
              <w:t>Mg</w:t>
            </w:r>
            <w:r>
              <w:rPr>
                <w:rFonts w:ascii="Times New Roman"/>
                <w:sz w:val="13"/>
              </w:rPr>
              <w:t>2+</w:t>
            </w:r>
          </w:p>
        </w:tc>
        <w:tc>
          <w:tcPr>
            <w:tcW w:w="1858" w:type="dxa"/>
          </w:tcPr>
          <w:p>
            <w:pPr>
              <w:pStyle w:val="14"/>
              <w:spacing w:line="221" w:lineRule="exact"/>
              <w:ind w:right="732"/>
              <w:jc w:val="right"/>
              <w:rPr>
                <w:rFonts w:ascii="Times New Roman"/>
                <w:sz w:val="21"/>
              </w:rPr>
            </w:pPr>
            <w:r>
              <w:rPr>
                <w:rFonts w:ascii="Times New Roman"/>
                <w:sz w:val="21"/>
              </w:rPr>
              <w:t>57.5</w:t>
            </w:r>
          </w:p>
        </w:tc>
        <w:tc>
          <w:tcPr>
            <w:tcW w:w="1858" w:type="dxa"/>
          </w:tcPr>
          <w:p>
            <w:pPr>
              <w:pStyle w:val="14"/>
              <w:spacing w:line="221" w:lineRule="exact"/>
              <w:ind w:left="610" w:right="601"/>
              <w:rPr>
                <w:rFonts w:ascii="Times New Roman"/>
                <w:sz w:val="21"/>
              </w:rPr>
            </w:pPr>
            <w:r>
              <w:rPr>
                <w:rFonts w:ascii="Times New Roman"/>
                <w:sz w:val="21"/>
              </w:rPr>
              <w:t>4.792</w:t>
            </w:r>
          </w:p>
        </w:tc>
        <w:tc>
          <w:tcPr>
            <w:tcW w:w="1858" w:type="dxa"/>
          </w:tcPr>
          <w:p>
            <w:pPr>
              <w:pStyle w:val="14"/>
              <w:spacing w:line="221" w:lineRule="exact"/>
              <w:ind w:left="610" w:right="599"/>
              <w:rPr>
                <w:rFonts w:ascii="Times New Roman"/>
                <w:sz w:val="21"/>
              </w:rPr>
            </w:pPr>
            <w:r>
              <w:rPr>
                <w:rFonts w:ascii="Times New Roman"/>
                <w:sz w:val="21"/>
              </w:rPr>
              <w:t>47.07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856" w:type="dxa"/>
            <w:vMerge w:val="continue"/>
            <w:tcBorders>
              <w:top w:val="nil"/>
            </w:tcBorders>
          </w:tcPr>
          <w:p>
            <w:pPr>
              <w:rPr>
                <w:sz w:val="2"/>
                <w:szCs w:val="2"/>
              </w:rPr>
            </w:pPr>
          </w:p>
        </w:tc>
        <w:tc>
          <w:tcPr>
            <w:tcW w:w="1856" w:type="dxa"/>
          </w:tcPr>
          <w:p>
            <w:pPr>
              <w:pStyle w:val="14"/>
              <w:spacing w:line="252" w:lineRule="exact"/>
              <w:ind w:left="572" w:right="567"/>
              <w:rPr>
                <w:sz w:val="21"/>
              </w:rPr>
            </w:pPr>
            <w:r>
              <w:rPr>
                <w:sz w:val="21"/>
              </w:rPr>
              <w:t>总计</w:t>
            </w:r>
          </w:p>
        </w:tc>
        <w:tc>
          <w:tcPr>
            <w:tcW w:w="1858" w:type="dxa"/>
          </w:tcPr>
          <w:p>
            <w:pPr>
              <w:pStyle w:val="14"/>
              <w:spacing w:before="14" w:line="238" w:lineRule="exact"/>
              <w:ind w:right="629"/>
              <w:jc w:val="right"/>
              <w:rPr>
                <w:rFonts w:ascii="Times New Roman"/>
                <w:sz w:val="21"/>
              </w:rPr>
            </w:pPr>
            <w:r>
              <w:rPr>
                <w:rFonts w:ascii="Times New Roman"/>
                <w:w w:val="95"/>
                <w:sz w:val="21"/>
              </w:rPr>
              <w:t>169.85</w:t>
            </w:r>
          </w:p>
        </w:tc>
        <w:tc>
          <w:tcPr>
            <w:tcW w:w="1858" w:type="dxa"/>
          </w:tcPr>
          <w:p>
            <w:pPr>
              <w:pStyle w:val="14"/>
              <w:spacing w:before="14" w:line="238" w:lineRule="exact"/>
              <w:ind w:left="610" w:right="603"/>
              <w:rPr>
                <w:rFonts w:ascii="Times New Roman"/>
                <w:sz w:val="21"/>
              </w:rPr>
            </w:pPr>
            <w:r>
              <w:rPr>
                <w:rFonts w:ascii="Times New Roman"/>
                <w:sz w:val="21"/>
              </w:rPr>
              <w:t>10.181</w:t>
            </w:r>
          </w:p>
        </w:tc>
        <w:tc>
          <w:tcPr>
            <w:tcW w:w="1858" w:type="dxa"/>
          </w:tcPr>
          <w:p>
            <w:pPr>
              <w:pStyle w:val="14"/>
              <w:spacing w:before="14" w:line="238" w:lineRule="exact"/>
              <w:ind w:left="609" w:right="603"/>
              <w:rPr>
                <w:rFonts w:ascii="Times New Roman"/>
                <w:sz w:val="21"/>
              </w:rPr>
            </w:pPr>
            <w:r>
              <w:rPr>
                <w:rFonts w:ascii="Times New Roman"/>
                <w:sz w:val="21"/>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856" w:type="dxa"/>
            <w:vMerge w:val="restart"/>
          </w:tcPr>
          <w:p>
            <w:pPr>
              <w:pStyle w:val="14"/>
              <w:spacing w:before="104" w:line="242" w:lineRule="auto"/>
              <w:ind w:left="823" w:right="811"/>
              <w:jc w:val="both"/>
              <w:rPr>
                <w:b/>
                <w:sz w:val="21"/>
              </w:rPr>
            </w:pPr>
            <w:r>
              <w:rPr>
                <w:b/>
                <w:sz w:val="21"/>
              </w:rPr>
              <w:t>阴离子</w:t>
            </w:r>
          </w:p>
        </w:tc>
        <w:tc>
          <w:tcPr>
            <w:tcW w:w="1856" w:type="dxa"/>
          </w:tcPr>
          <w:p>
            <w:pPr>
              <w:pStyle w:val="14"/>
              <w:spacing w:line="166" w:lineRule="exact"/>
              <w:ind w:left="577" w:right="567"/>
              <w:rPr>
                <w:rFonts w:ascii="Times New Roman"/>
                <w:sz w:val="13"/>
              </w:rPr>
            </w:pPr>
            <w:r>
              <w:rPr>
                <w:rFonts w:ascii="Times New Roman"/>
                <w:sz w:val="21"/>
              </w:rPr>
              <w:t xml:space="preserve">HCO </w:t>
            </w:r>
            <w:r>
              <w:rPr>
                <w:rFonts w:ascii="Times New Roman"/>
                <w:position w:val="7"/>
                <w:sz w:val="13"/>
              </w:rPr>
              <w:t>-</w:t>
            </w:r>
          </w:p>
          <w:p>
            <w:pPr>
              <w:pStyle w:val="14"/>
              <w:spacing w:line="55" w:lineRule="exact"/>
              <w:ind w:left="410"/>
              <w:rPr>
                <w:rFonts w:ascii="Times New Roman"/>
                <w:sz w:val="13"/>
              </w:rPr>
            </w:pPr>
            <w:r>
              <w:rPr>
                <w:rFonts w:ascii="Times New Roman"/>
                <w:w w:val="105"/>
                <w:sz w:val="13"/>
              </w:rPr>
              <w:t>3</w:t>
            </w:r>
          </w:p>
        </w:tc>
        <w:tc>
          <w:tcPr>
            <w:tcW w:w="1858" w:type="dxa"/>
          </w:tcPr>
          <w:p>
            <w:pPr>
              <w:pStyle w:val="14"/>
              <w:spacing w:line="221" w:lineRule="exact"/>
              <w:ind w:right="679"/>
              <w:jc w:val="right"/>
              <w:rPr>
                <w:rFonts w:ascii="Times New Roman"/>
                <w:sz w:val="21"/>
              </w:rPr>
            </w:pPr>
            <w:r>
              <w:rPr>
                <w:rFonts w:ascii="Times New Roman"/>
                <w:sz w:val="21"/>
              </w:rPr>
              <w:t>508.1</w:t>
            </w:r>
          </w:p>
        </w:tc>
        <w:tc>
          <w:tcPr>
            <w:tcW w:w="1858" w:type="dxa"/>
          </w:tcPr>
          <w:p>
            <w:pPr>
              <w:pStyle w:val="14"/>
              <w:spacing w:line="221" w:lineRule="exact"/>
              <w:ind w:left="610" w:right="601"/>
              <w:rPr>
                <w:rFonts w:ascii="Times New Roman"/>
                <w:sz w:val="21"/>
              </w:rPr>
            </w:pPr>
            <w:r>
              <w:rPr>
                <w:rFonts w:ascii="Times New Roman"/>
                <w:sz w:val="21"/>
              </w:rPr>
              <w:t>8.330</w:t>
            </w:r>
          </w:p>
        </w:tc>
        <w:tc>
          <w:tcPr>
            <w:tcW w:w="1858" w:type="dxa"/>
          </w:tcPr>
          <w:p>
            <w:pPr>
              <w:pStyle w:val="14"/>
              <w:spacing w:line="221" w:lineRule="exact"/>
              <w:ind w:left="610" w:right="599"/>
              <w:rPr>
                <w:rFonts w:ascii="Times New Roman"/>
                <w:sz w:val="21"/>
              </w:rPr>
            </w:pPr>
            <w:r>
              <w:rPr>
                <w:rFonts w:ascii="Times New Roman"/>
                <w:sz w:val="21"/>
              </w:rPr>
              <w:t>88.41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1856" w:type="dxa"/>
            <w:vMerge w:val="continue"/>
            <w:tcBorders>
              <w:top w:val="nil"/>
            </w:tcBorders>
          </w:tcPr>
          <w:p>
            <w:pPr>
              <w:rPr>
                <w:sz w:val="2"/>
                <w:szCs w:val="2"/>
              </w:rPr>
            </w:pPr>
          </w:p>
        </w:tc>
        <w:tc>
          <w:tcPr>
            <w:tcW w:w="1856" w:type="dxa"/>
          </w:tcPr>
          <w:p>
            <w:pPr>
              <w:pStyle w:val="14"/>
              <w:spacing w:line="222" w:lineRule="exact"/>
              <w:ind w:left="575" w:right="567"/>
              <w:rPr>
                <w:rFonts w:ascii="Times New Roman"/>
                <w:sz w:val="13"/>
              </w:rPr>
            </w:pPr>
            <w:r>
              <w:rPr>
                <w:rFonts w:ascii="Times New Roman"/>
                <w:sz w:val="21"/>
              </w:rPr>
              <w:t>Cl</w:t>
            </w:r>
            <w:r>
              <w:rPr>
                <w:rFonts w:ascii="Times New Roman"/>
                <w:position w:val="7"/>
                <w:sz w:val="13"/>
              </w:rPr>
              <w:t>-</w:t>
            </w:r>
          </w:p>
        </w:tc>
        <w:tc>
          <w:tcPr>
            <w:tcW w:w="1858" w:type="dxa"/>
          </w:tcPr>
          <w:p>
            <w:pPr>
              <w:pStyle w:val="14"/>
              <w:spacing w:line="222" w:lineRule="exact"/>
              <w:ind w:right="732"/>
              <w:jc w:val="right"/>
              <w:rPr>
                <w:rFonts w:ascii="Times New Roman"/>
                <w:sz w:val="21"/>
              </w:rPr>
            </w:pPr>
            <w:r>
              <w:rPr>
                <w:rFonts w:ascii="Times New Roman"/>
                <w:sz w:val="21"/>
              </w:rPr>
              <w:t>16.0</w:t>
            </w:r>
          </w:p>
        </w:tc>
        <w:tc>
          <w:tcPr>
            <w:tcW w:w="1858" w:type="dxa"/>
          </w:tcPr>
          <w:p>
            <w:pPr>
              <w:pStyle w:val="14"/>
              <w:spacing w:line="222" w:lineRule="exact"/>
              <w:ind w:left="610" w:right="601"/>
              <w:rPr>
                <w:rFonts w:ascii="Times New Roman"/>
                <w:sz w:val="21"/>
              </w:rPr>
            </w:pPr>
            <w:r>
              <w:rPr>
                <w:rFonts w:ascii="Times New Roman"/>
                <w:sz w:val="21"/>
              </w:rPr>
              <w:t>0.451</w:t>
            </w:r>
          </w:p>
        </w:tc>
        <w:tc>
          <w:tcPr>
            <w:tcW w:w="1858" w:type="dxa"/>
          </w:tcPr>
          <w:p>
            <w:pPr>
              <w:pStyle w:val="14"/>
              <w:spacing w:line="222" w:lineRule="exact"/>
              <w:ind w:left="610" w:right="602"/>
              <w:rPr>
                <w:rFonts w:ascii="Times New Roman"/>
                <w:sz w:val="21"/>
              </w:rPr>
            </w:pPr>
            <w:r>
              <w:rPr>
                <w:rFonts w:ascii="Times New Roman"/>
                <w:sz w:val="21"/>
              </w:rPr>
              <w:t>4.78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1856" w:type="dxa"/>
            <w:vMerge w:val="continue"/>
            <w:tcBorders>
              <w:top w:val="nil"/>
            </w:tcBorders>
          </w:tcPr>
          <w:p>
            <w:pPr>
              <w:rPr>
                <w:sz w:val="2"/>
                <w:szCs w:val="2"/>
              </w:rPr>
            </w:pPr>
          </w:p>
        </w:tc>
        <w:tc>
          <w:tcPr>
            <w:tcW w:w="1856" w:type="dxa"/>
          </w:tcPr>
          <w:p>
            <w:pPr>
              <w:pStyle w:val="14"/>
              <w:spacing w:line="166" w:lineRule="exact"/>
              <w:ind w:left="577" w:right="567"/>
              <w:rPr>
                <w:rFonts w:ascii="Times New Roman"/>
                <w:sz w:val="13"/>
              </w:rPr>
            </w:pPr>
            <w:r>
              <w:rPr>
                <w:rFonts w:ascii="Times New Roman"/>
                <w:position w:val="-6"/>
                <w:sz w:val="21"/>
              </w:rPr>
              <w:t xml:space="preserve">SO </w:t>
            </w:r>
            <w:r>
              <w:rPr>
                <w:rFonts w:ascii="Times New Roman"/>
                <w:sz w:val="13"/>
              </w:rPr>
              <w:t>2-</w:t>
            </w:r>
          </w:p>
          <w:p>
            <w:pPr>
              <w:pStyle w:val="14"/>
              <w:spacing w:line="55" w:lineRule="exact"/>
              <w:ind w:left="165"/>
              <w:rPr>
                <w:rFonts w:ascii="Times New Roman"/>
                <w:sz w:val="13"/>
              </w:rPr>
            </w:pPr>
            <w:r>
              <w:rPr>
                <w:rFonts w:ascii="Times New Roman"/>
                <w:w w:val="105"/>
                <w:sz w:val="13"/>
              </w:rPr>
              <w:t>4</w:t>
            </w:r>
          </w:p>
        </w:tc>
        <w:tc>
          <w:tcPr>
            <w:tcW w:w="1858" w:type="dxa"/>
          </w:tcPr>
          <w:p>
            <w:pPr>
              <w:pStyle w:val="14"/>
              <w:spacing w:line="221" w:lineRule="exact"/>
              <w:ind w:right="732"/>
              <w:jc w:val="right"/>
              <w:rPr>
                <w:rFonts w:ascii="Times New Roman"/>
                <w:sz w:val="21"/>
              </w:rPr>
            </w:pPr>
            <w:r>
              <w:rPr>
                <w:rFonts w:ascii="Times New Roman"/>
                <w:sz w:val="21"/>
              </w:rPr>
              <w:t>30.8</w:t>
            </w:r>
          </w:p>
        </w:tc>
        <w:tc>
          <w:tcPr>
            <w:tcW w:w="1858" w:type="dxa"/>
          </w:tcPr>
          <w:p>
            <w:pPr>
              <w:pStyle w:val="14"/>
              <w:spacing w:line="221" w:lineRule="exact"/>
              <w:ind w:left="610" w:right="601"/>
              <w:rPr>
                <w:rFonts w:ascii="Times New Roman"/>
                <w:sz w:val="21"/>
              </w:rPr>
            </w:pPr>
            <w:r>
              <w:rPr>
                <w:rFonts w:ascii="Times New Roman"/>
                <w:sz w:val="21"/>
              </w:rPr>
              <w:t>0.642</w:t>
            </w:r>
          </w:p>
        </w:tc>
        <w:tc>
          <w:tcPr>
            <w:tcW w:w="1858" w:type="dxa"/>
          </w:tcPr>
          <w:p>
            <w:pPr>
              <w:pStyle w:val="14"/>
              <w:spacing w:line="221" w:lineRule="exact"/>
              <w:ind w:left="610" w:right="602"/>
              <w:rPr>
                <w:rFonts w:ascii="Times New Roman"/>
                <w:sz w:val="21"/>
              </w:rPr>
            </w:pPr>
            <w:r>
              <w:rPr>
                <w:rFonts w:ascii="Times New Roman"/>
                <w:sz w:val="21"/>
              </w:rPr>
              <w:t>6.81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856" w:type="dxa"/>
            <w:vMerge w:val="continue"/>
            <w:tcBorders>
              <w:top w:val="nil"/>
            </w:tcBorders>
          </w:tcPr>
          <w:p>
            <w:pPr>
              <w:rPr>
                <w:sz w:val="2"/>
                <w:szCs w:val="2"/>
              </w:rPr>
            </w:pPr>
          </w:p>
        </w:tc>
        <w:tc>
          <w:tcPr>
            <w:tcW w:w="1856" w:type="dxa"/>
          </w:tcPr>
          <w:p>
            <w:pPr>
              <w:pStyle w:val="14"/>
              <w:spacing w:line="253" w:lineRule="exact"/>
              <w:ind w:left="572" w:right="567"/>
              <w:rPr>
                <w:sz w:val="21"/>
              </w:rPr>
            </w:pPr>
            <w:r>
              <w:rPr>
                <w:sz w:val="21"/>
              </w:rPr>
              <w:t>总计</w:t>
            </w:r>
          </w:p>
        </w:tc>
        <w:tc>
          <w:tcPr>
            <w:tcW w:w="1858" w:type="dxa"/>
          </w:tcPr>
          <w:p>
            <w:pPr>
              <w:pStyle w:val="14"/>
              <w:spacing w:before="14" w:line="239" w:lineRule="exact"/>
              <w:ind w:right="679"/>
              <w:jc w:val="right"/>
              <w:rPr>
                <w:rFonts w:ascii="Times New Roman"/>
                <w:sz w:val="21"/>
              </w:rPr>
            </w:pPr>
            <w:r>
              <w:rPr>
                <w:rFonts w:ascii="Times New Roman"/>
                <w:sz w:val="21"/>
              </w:rPr>
              <w:t>554.9</w:t>
            </w:r>
          </w:p>
        </w:tc>
        <w:tc>
          <w:tcPr>
            <w:tcW w:w="1858" w:type="dxa"/>
          </w:tcPr>
          <w:p>
            <w:pPr>
              <w:pStyle w:val="14"/>
              <w:spacing w:before="14" w:line="239" w:lineRule="exact"/>
              <w:ind w:left="610" w:right="601"/>
              <w:rPr>
                <w:rFonts w:ascii="Times New Roman"/>
                <w:sz w:val="21"/>
              </w:rPr>
            </w:pPr>
            <w:r>
              <w:rPr>
                <w:rFonts w:ascii="Times New Roman"/>
                <w:sz w:val="21"/>
              </w:rPr>
              <w:t>9.422</w:t>
            </w:r>
          </w:p>
        </w:tc>
        <w:tc>
          <w:tcPr>
            <w:tcW w:w="1858" w:type="dxa"/>
          </w:tcPr>
          <w:p>
            <w:pPr>
              <w:pStyle w:val="14"/>
              <w:spacing w:before="14" w:line="239" w:lineRule="exact"/>
              <w:ind w:left="609" w:right="603"/>
              <w:rPr>
                <w:rFonts w:ascii="Times New Roman"/>
                <w:sz w:val="21"/>
              </w:rPr>
            </w:pPr>
            <w:r>
              <w:rPr>
                <w:rFonts w:ascii="Times New Roman"/>
                <w:sz w:val="21"/>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3712" w:type="dxa"/>
            <w:gridSpan w:val="2"/>
          </w:tcPr>
          <w:p>
            <w:pPr>
              <w:pStyle w:val="14"/>
              <w:spacing w:line="251" w:lineRule="exact"/>
              <w:ind w:left="1519" w:right="1511"/>
              <w:rPr>
                <w:b/>
                <w:sz w:val="21"/>
              </w:rPr>
            </w:pPr>
            <w:r>
              <w:rPr>
                <w:rFonts w:ascii="Times New Roman" w:eastAsia="Times New Roman"/>
                <w:b/>
                <w:sz w:val="21"/>
              </w:rPr>
              <w:t>5#</w:t>
            </w:r>
            <w:r>
              <w:rPr>
                <w:b/>
                <w:sz w:val="21"/>
              </w:rPr>
              <w:t>离子</w:t>
            </w:r>
          </w:p>
        </w:tc>
        <w:tc>
          <w:tcPr>
            <w:tcW w:w="1858" w:type="dxa"/>
          </w:tcPr>
          <w:p>
            <w:pPr>
              <w:pStyle w:val="14"/>
              <w:spacing w:before="14" w:line="237" w:lineRule="exact"/>
              <w:ind w:right="680"/>
              <w:jc w:val="right"/>
              <w:rPr>
                <w:rFonts w:ascii="Times New Roman"/>
                <w:b/>
                <w:sz w:val="21"/>
              </w:rPr>
            </w:pPr>
            <w:r>
              <w:rPr>
                <w:rFonts w:ascii="Times New Roman"/>
                <w:b/>
                <w:w w:val="95"/>
                <w:sz w:val="21"/>
              </w:rPr>
              <w:t>mg/L</w:t>
            </w:r>
          </w:p>
        </w:tc>
        <w:tc>
          <w:tcPr>
            <w:tcW w:w="1858" w:type="dxa"/>
          </w:tcPr>
          <w:p>
            <w:pPr>
              <w:pStyle w:val="14"/>
              <w:spacing w:before="14" w:line="237" w:lineRule="exact"/>
              <w:ind w:left="609" w:right="603"/>
              <w:rPr>
                <w:rFonts w:ascii="Times New Roman"/>
                <w:b/>
                <w:sz w:val="21"/>
              </w:rPr>
            </w:pPr>
            <w:r>
              <w:rPr>
                <w:rFonts w:ascii="Times New Roman"/>
                <w:b/>
                <w:sz w:val="21"/>
              </w:rPr>
              <w:t>meq/L</w:t>
            </w:r>
          </w:p>
        </w:tc>
        <w:tc>
          <w:tcPr>
            <w:tcW w:w="1858" w:type="dxa"/>
          </w:tcPr>
          <w:p>
            <w:pPr>
              <w:pStyle w:val="14"/>
              <w:spacing w:before="14" w:line="237" w:lineRule="exact"/>
              <w:ind w:left="610" w:right="603"/>
              <w:rPr>
                <w:rFonts w:ascii="Times New Roman"/>
                <w:b/>
                <w:sz w:val="21"/>
              </w:rPr>
            </w:pPr>
            <w:r>
              <w:rPr>
                <w:rFonts w:ascii="Times New Roman"/>
                <w:b/>
                <w:sz w:val="21"/>
              </w:rPr>
              <w:t>meq%</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1856" w:type="dxa"/>
            <w:vMerge w:val="restart"/>
          </w:tcPr>
          <w:p>
            <w:pPr>
              <w:pStyle w:val="14"/>
              <w:spacing w:before="105" w:line="242" w:lineRule="auto"/>
              <w:ind w:left="823" w:right="811"/>
              <w:jc w:val="both"/>
              <w:rPr>
                <w:b/>
                <w:sz w:val="21"/>
              </w:rPr>
            </w:pPr>
            <w:r>
              <w:rPr>
                <w:b/>
                <w:sz w:val="21"/>
              </w:rPr>
              <w:t>阳离子</w:t>
            </w:r>
          </w:p>
        </w:tc>
        <w:tc>
          <w:tcPr>
            <w:tcW w:w="1856" w:type="dxa"/>
          </w:tcPr>
          <w:p>
            <w:pPr>
              <w:pStyle w:val="14"/>
              <w:spacing w:line="221" w:lineRule="exact"/>
              <w:ind w:left="577" w:right="567"/>
              <w:rPr>
                <w:rFonts w:ascii="Times New Roman"/>
                <w:sz w:val="13"/>
              </w:rPr>
            </w:pPr>
            <w:r>
              <w:rPr>
                <w:rFonts w:ascii="Times New Roman"/>
                <w:sz w:val="21"/>
              </w:rPr>
              <w:t>K</w:t>
            </w:r>
            <w:r>
              <w:rPr>
                <w:rFonts w:ascii="Times New Roman"/>
                <w:position w:val="7"/>
                <w:sz w:val="13"/>
              </w:rPr>
              <w:t>+</w:t>
            </w:r>
            <w:r>
              <w:rPr>
                <w:rFonts w:ascii="Times New Roman"/>
                <w:sz w:val="21"/>
              </w:rPr>
              <w:t>+Na</w:t>
            </w:r>
            <w:r>
              <w:rPr>
                <w:rFonts w:ascii="Times New Roman"/>
                <w:position w:val="7"/>
                <w:sz w:val="13"/>
              </w:rPr>
              <w:t>+</w:t>
            </w:r>
          </w:p>
        </w:tc>
        <w:tc>
          <w:tcPr>
            <w:tcW w:w="1858" w:type="dxa"/>
          </w:tcPr>
          <w:p>
            <w:pPr>
              <w:pStyle w:val="14"/>
              <w:spacing w:line="221" w:lineRule="exact"/>
              <w:ind w:right="679"/>
              <w:jc w:val="right"/>
              <w:rPr>
                <w:rFonts w:ascii="Times New Roman"/>
                <w:sz w:val="21"/>
              </w:rPr>
            </w:pPr>
            <w:r>
              <w:rPr>
                <w:rFonts w:ascii="Times New Roman"/>
                <w:sz w:val="21"/>
              </w:rPr>
              <w:t>32.55</w:t>
            </w:r>
          </w:p>
        </w:tc>
        <w:tc>
          <w:tcPr>
            <w:tcW w:w="1858" w:type="dxa"/>
          </w:tcPr>
          <w:p>
            <w:pPr>
              <w:pStyle w:val="14"/>
              <w:spacing w:line="221" w:lineRule="exact"/>
              <w:ind w:left="610" w:right="601"/>
              <w:rPr>
                <w:rFonts w:ascii="Times New Roman"/>
                <w:sz w:val="21"/>
              </w:rPr>
            </w:pPr>
            <w:r>
              <w:rPr>
                <w:rFonts w:ascii="Times New Roman"/>
                <w:sz w:val="21"/>
              </w:rPr>
              <w:t>1.343</w:t>
            </w:r>
          </w:p>
        </w:tc>
        <w:tc>
          <w:tcPr>
            <w:tcW w:w="1858" w:type="dxa"/>
          </w:tcPr>
          <w:p>
            <w:pPr>
              <w:pStyle w:val="14"/>
              <w:spacing w:line="221" w:lineRule="exact"/>
              <w:ind w:left="610" w:right="599"/>
              <w:rPr>
                <w:rFonts w:ascii="Times New Roman"/>
                <w:sz w:val="21"/>
              </w:rPr>
            </w:pPr>
            <w:r>
              <w:rPr>
                <w:rFonts w:ascii="Times New Roman"/>
                <w:sz w:val="21"/>
              </w:rPr>
              <w:t>12.96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1856" w:type="dxa"/>
            <w:vMerge w:val="continue"/>
            <w:tcBorders>
              <w:top w:val="nil"/>
            </w:tcBorders>
          </w:tcPr>
          <w:p>
            <w:pPr>
              <w:rPr>
                <w:sz w:val="2"/>
                <w:szCs w:val="2"/>
              </w:rPr>
            </w:pPr>
          </w:p>
        </w:tc>
        <w:tc>
          <w:tcPr>
            <w:tcW w:w="1856" w:type="dxa"/>
          </w:tcPr>
          <w:p>
            <w:pPr>
              <w:pStyle w:val="14"/>
              <w:spacing w:line="222" w:lineRule="exact"/>
              <w:ind w:left="577" w:right="567"/>
              <w:rPr>
                <w:rFonts w:ascii="Times New Roman"/>
                <w:sz w:val="13"/>
              </w:rPr>
            </w:pPr>
            <w:r>
              <w:rPr>
                <w:rFonts w:ascii="Times New Roman"/>
                <w:position w:val="-6"/>
                <w:sz w:val="21"/>
              </w:rPr>
              <w:t>Ca</w:t>
            </w:r>
            <w:r>
              <w:rPr>
                <w:rFonts w:ascii="Times New Roman"/>
                <w:sz w:val="13"/>
              </w:rPr>
              <w:t>2+</w:t>
            </w:r>
          </w:p>
        </w:tc>
        <w:tc>
          <w:tcPr>
            <w:tcW w:w="1858" w:type="dxa"/>
          </w:tcPr>
          <w:p>
            <w:pPr>
              <w:pStyle w:val="14"/>
              <w:spacing w:line="222" w:lineRule="exact"/>
              <w:ind w:right="732"/>
              <w:jc w:val="right"/>
              <w:rPr>
                <w:rFonts w:ascii="Times New Roman"/>
                <w:sz w:val="21"/>
              </w:rPr>
            </w:pPr>
            <w:r>
              <w:rPr>
                <w:rFonts w:ascii="Times New Roman"/>
                <w:sz w:val="21"/>
              </w:rPr>
              <w:t>84.5</w:t>
            </w:r>
          </w:p>
        </w:tc>
        <w:tc>
          <w:tcPr>
            <w:tcW w:w="1858" w:type="dxa"/>
          </w:tcPr>
          <w:p>
            <w:pPr>
              <w:pStyle w:val="14"/>
              <w:spacing w:line="222" w:lineRule="exact"/>
              <w:ind w:left="610" w:right="601"/>
              <w:rPr>
                <w:rFonts w:ascii="Times New Roman"/>
                <w:sz w:val="21"/>
              </w:rPr>
            </w:pPr>
            <w:r>
              <w:rPr>
                <w:rFonts w:ascii="Times New Roman"/>
                <w:sz w:val="21"/>
              </w:rPr>
              <w:t>4.225</w:t>
            </w:r>
          </w:p>
        </w:tc>
        <w:tc>
          <w:tcPr>
            <w:tcW w:w="1858" w:type="dxa"/>
          </w:tcPr>
          <w:p>
            <w:pPr>
              <w:pStyle w:val="14"/>
              <w:spacing w:line="222" w:lineRule="exact"/>
              <w:ind w:left="610" w:right="599"/>
              <w:rPr>
                <w:rFonts w:ascii="Times New Roman"/>
                <w:sz w:val="21"/>
              </w:rPr>
            </w:pPr>
            <w:r>
              <w:rPr>
                <w:rFonts w:ascii="Times New Roman"/>
                <w:sz w:val="21"/>
              </w:rPr>
              <w:t>40.78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1856" w:type="dxa"/>
            <w:vMerge w:val="continue"/>
            <w:tcBorders>
              <w:top w:val="nil"/>
            </w:tcBorders>
          </w:tcPr>
          <w:p>
            <w:pPr>
              <w:rPr>
                <w:sz w:val="2"/>
                <w:szCs w:val="2"/>
              </w:rPr>
            </w:pPr>
          </w:p>
        </w:tc>
        <w:tc>
          <w:tcPr>
            <w:tcW w:w="1856" w:type="dxa"/>
          </w:tcPr>
          <w:p>
            <w:pPr>
              <w:pStyle w:val="14"/>
              <w:spacing w:line="221" w:lineRule="exact"/>
              <w:ind w:left="577" w:right="567"/>
              <w:rPr>
                <w:rFonts w:ascii="Times New Roman"/>
                <w:sz w:val="13"/>
              </w:rPr>
            </w:pPr>
            <w:r>
              <w:rPr>
                <w:rFonts w:ascii="Times New Roman"/>
                <w:position w:val="-6"/>
                <w:sz w:val="21"/>
              </w:rPr>
              <w:t>Mg</w:t>
            </w:r>
            <w:r>
              <w:rPr>
                <w:rFonts w:ascii="Times New Roman"/>
                <w:sz w:val="13"/>
              </w:rPr>
              <w:t>2+</w:t>
            </w:r>
          </w:p>
        </w:tc>
        <w:tc>
          <w:tcPr>
            <w:tcW w:w="1858" w:type="dxa"/>
          </w:tcPr>
          <w:p>
            <w:pPr>
              <w:pStyle w:val="14"/>
              <w:spacing w:line="221" w:lineRule="exact"/>
              <w:ind w:right="732"/>
              <w:jc w:val="right"/>
              <w:rPr>
                <w:rFonts w:ascii="Times New Roman"/>
                <w:sz w:val="21"/>
              </w:rPr>
            </w:pPr>
            <w:r>
              <w:rPr>
                <w:rFonts w:ascii="Times New Roman"/>
                <w:sz w:val="21"/>
              </w:rPr>
              <w:t>57.5</w:t>
            </w:r>
          </w:p>
        </w:tc>
        <w:tc>
          <w:tcPr>
            <w:tcW w:w="1858" w:type="dxa"/>
          </w:tcPr>
          <w:p>
            <w:pPr>
              <w:pStyle w:val="14"/>
              <w:spacing w:line="221" w:lineRule="exact"/>
              <w:ind w:left="610" w:right="601"/>
              <w:rPr>
                <w:rFonts w:ascii="Times New Roman"/>
                <w:sz w:val="21"/>
              </w:rPr>
            </w:pPr>
            <w:r>
              <w:rPr>
                <w:rFonts w:ascii="Times New Roman"/>
                <w:sz w:val="21"/>
              </w:rPr>
              <w:t>4.792</w:t>
            </w:r>
          </w:p>
        </w:tc>
        <w:tc>
          <w:tcPr>
            <w:tcW w:w="1858" w:type="dxa"/>
          </w:tcPr>
          <w:p>
            <w:pPr>
              <w:pStyle w:val="14"/>
              <w:spacing w:line="221" w:lineRule="exact"/>
              <w:ind w:left="610" w:right="599"/>
              <w:rPr>
                <w:rFonts w:ascii="Times New Roman"/>
                <w:sz w:val="21"/>
              </w:rPr>
            </w:pPr>
            <w:r>
              <w:rPr>
                <w:rFonts w:ascii="Times New Roman"/>
                <w:sz w:val="21"/>
              </w:rPr>
              <w:t>46.25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856" w:type="dxa"/>
            <w:vMerge w:val="continue"/>
            <w:tcBorders>
              <w:top w:val="nil"/>
            </w:tcBorders>
          </w:tcPr>
          <w:p>
            <w:pPr>
              <w:rPr>
                <w:sz w:val="2"/>
                <w:szCs w:val="2"/>
              </w:rPr>
            </w:pPr>
          </w:p>
        </w:tc>
        <w:tc>
          <w:tcPr>
            <w:tcW w:w="1856" w:type="dxa"/>
          </w:tcPr>
          <w:p>
            <w:pPr>
              <w:pStyle w:val="14"/>
              <w:spacing w:before="1" w:line="252" w:lineRule="exact"/>
              <w:ind w:left="572" w:right="567"/>
              <w:rPr>
                <w:sz w:val="21"/>
              </w:rPr>
            </w:pPr>
            <w:r>
              <w:rPr>
                <w:sz w:val="21"/>
              </w:rPr>
              <w:t>总计</w:t>
            </w:r>
          </w:p>
        </w:tc>
        <w:tc>
          <w:tcPr>
            <w:tcW w:w="1858" w:type="dxa"/>
          </w:tcPr>
          <w:p>
            <w:pPr>
              <w:pStyle w:val="14"/>
              <w:spacing w:before="15" w:line="238" w:lineRule="exact"/>
              <w:ind w:right="629"/>
              <w:jc w:val="right"/>
              <w:rPr>
                <w:rFonts w:ascii="Times New Roman"/>
                <w:sz w:val="21"/>
              </w:rPr>
            </w:pPr>
            <w:r>
              <w:rPr>
                <w:rFonts w:ascii="Times New Roman"/>
                <w:w w:val="95"/>
                <w:sz w:val="21"/>
              </w:rPr>
              <w:t>174.55</w:t>
            </w:r>
          </w:p>
        </w:tc>
        <w:tc>
          <w:tcPr>
            <w:tcW w:w="1858" w:type="dxa"/>
          </w:tcPr>
          <w:p>
            <w:pPr>
              <w:pStyle w:val="14"/>
              <w:spacing w:before="15" w:line="238" w:lineRule="exact"/>
              <w:ind w:left="610" w:right="601"/>
              <w:rPr>
                <w:rFonts w:ascii="Times New Roman"/>
                <w:sz w:val="21"/>
              </w:rPr>
            </w:pPr>
            <w:r>
              <w:rPr>
                <w:rFonts w:ascii="Times New Roman"/>
                <w:sz w:val="21"/>
              </w:rPr>
              <w:t>10.36</w:t>
            </w:r>
          </w:p>
        </w:tc>
        <w:tc>
          <w:tcPr>
            <w:tcW w:w="1858" w:type="dxa"/>
          </w:tcPr>
          <w:p>
            <w:pPr>
              <w:pStyle w:val="14"/>
              <w:spacing w:before="15" w:line="238" w:lineRule="exact"/>
              <w:ind w:left="609" w:right="603"/>
              <w:rPr>
                <w:rFonts w:ascii="Times New Roman"/>
                <w:sz w:val="21"/>
              </w:rPr>
            </w:pPr>
            <w:r>
              <w:rPr>
                <w:rFonts w:ascii="Times New Roman"/>
                <w:sz w:val="21"/>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856" w:type="dxa"/>
            <w:vMerge w:val="restart"/>
          </w:tcPr>
          <w:p>
            <w:pPr>
              <w:pStyle w:val="14"/>
              <w:spacing w:before="104" w:line="242" w:lineRule="auto"/>
              <w:ind w:left="823" w:right="811"/>
              <w:jc w:val="both"/>
              <w:rPr>
                <w:b/>
                <w:sz w:val="21"/>
              </w:rPr>
            </w:pPr>
            <w:r>
              <w:rPr>
                <w:b/>
                <w:sz w:val="21"/>
              </w:rPr>
              <w:t>阴离子</w:t>
            </w:r>
          </w:p>
        </w:tc>
        <w:tc>
          <w:tcPr>
            <w:tcW w:w="1856" w:type="dxa"/>
          </w:tcPr>
          <w:p>
            <w:pPr>
              <w:pStyle w:val="14"/>
              <w:spacing w:line="165" w:lineRule="exact"/>
              <w:ind w:left="577" w:right="567"/>
              <w:rPr>
                <w:rFonts w:ascii="Times New Roman"/>
                <w:sz w:val="13"/>
              </w:rPr>
            </w:pPr>
            <w:r>
              <w:rPr>
                <w:rFonts w:ascii="Times New Roman"/>
                <w:sz w:val="21"/>
              </w:rPr>
              <w:t xml:space="preserve">HCO </w:t>
            </w:r>
            <w:r>
              <w:rPr>
                <w:rFonts w:ascii="Times New Roman"/>
                <w:position w:val="7"/>
                <w:sz w:val="13"/>
              </w:rPr>
              <w:t>-</w:t>
            </w:r>
          </w:p>
          <w:p>
            <w:pPr>
              <w:pStyle w:val="14"/>
              <w:spacing w:line="56" w:lineRule="exact"/>
              <w:ind w:left="410"/>
              <w:rPr>
                <w:rFonts w:ascii="Times New Roman"/>
                <w:sz w:val="13"/>
              </w:rPr>
            </w:pPr>
            <w:r>
              <w:rPr>
                <w:rFonts w:ascii="Times New Roman"/>
                <w:w w:val="105"/>
                <w:sz w:val="13"/>
              </w:rPr>
              <w:t>3</w:t>
            </w:r>
          </w:p>
        </w:tc>
        <w:tc>
          <w:tcPr>
            <w:tcW w:w="1858" w:type="dxa"/>
          </w:tcPr>
          <w:p>
            <w:pPr>
              <w:pStyle w:val="14"/>
              <w:spacing w:line="221" w:lineRule="exact"/>
              <w:ind w:right="679"/>
              <w:jc w:val="right"/>
              <w:rPr>
                <w:rFonts w:ascii="Times New Roman"/>
                <w:sz w:val="21"/>
              </w:rPr>
            </w:pPr>
            <w:r>
              <w:rPr>
                <w:rFonts w:ascii="Times New Roman"/>
                <w:sz w:val="21"/>
              </w:rPr>
              <w:t>557.4</w:t>
            </w:r>
          </w:p>
        </w:tc>
        <w:tc>
          <w:tcPr>
            <w:tcW w:w="1858" w:type="dxa"/>
          </w:tcPr>
          <w:p>
            <w:pPr>
              <w:pStyle w:val="14"/>
              <w:spacing w:line="221" w:lineRule="exact"/>
              <w:ind w:left="610" w:right="601"/>
              <w:rPr>
                <w:rFonts w:ascii="Times New Roman"/>
                <w:sz w:val="21"/>
              </w:rPr>
            </w:pPr>
            <w:r>
              <w:rPr>
                <w:rFonts w:ascii="Times New Roman"/>
                <w:sz w:val="21"/>
              </w:rPr>
              <w:t>9.138</w:t>
            </w:r>
          </w:p>
        </w:tc>
        <w:tc>
          <w:tcPr>
            <w:tcW w:w="1858" w:type="dxa"/>
          </w:tcPr>
          <w:p>
            <w:pPr>
              <w:pStyle w:val="14"/>
              <w:spacing w:line="221" w:lineRule="exact"/>
              <w:ind w:left="610" w:right="599"/>
              <w:rPr>
                <w:rFonts w:ascii="Times New Roman"/>
                <w:sz w:val="21"/>
              </w:rPr>
            </w:pPr>
            <w:r>
              <w:rPr>
                <w:rFonts w:ascii="Times New Roman"/>
                <w:sz w:val="21"/>
              </w:rPr>
              <w:t>97.23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1856" w:type="dxa"/>
            <w:vMerge w:val="continue"/>
            <w:tcBorders>
              <w:top w:val="nil"/>
            </w:tcBorders>
          </w:tcPr>
          <w:p>
            <w:pPr>
              <w:rPr>
                <w:sz w:val="2"/>
                <w:szCs w:val="2"/>
              </w:rPr>
            </w:pPr>
          </w:p>
        </w:tc>
        <w:tc>
          <w:tcPr>
            <w:tcW w:w="1856" w:type="dxa"/>
          </w:tcPr>
          <w:p>
            <w:pPr>
              <w:pStyle w:val="14"/>
              <w:spacing w:line="222" w:lineRule="exact"/>
              <w:ind w:left="575" w:right="567"/>
              <w:rPr>
                <w:rFonts w:ascii="Times New Roman"/>
                <w:sz w:val="13"/>
              </w:rPr>
            </w:pPr>
            <w:r>
              <w:rPr>
                <w:rFonts w:ascii="Times New Roman"/>
                <w:sz w:val="21"/>
              </w:rPr>
              <w:t>Cl</w:t>
            </w:r>
            <w:r>
              <w:rPr>
                <w:rFonts w:ascii="Times New Roman"/>
                <w:position w:val="7"/>
                <w:sz w:val="13"/>
              </w:rPr>
              <w:t>-</w:t>
            </w:r>
          </w:p>
        </w:tc>
        <w:tc>
          <w:tcPr>
            <w:tcW w:w="1858" w:type="dxa"/>
          </w:tcPr>
          <w:p>
            <w:pPr>
              <w:pStyle w:val="14"/>
              <w:spacing w:line="222" w:lineRule="exact"/>
              <w:ind w:right="732"/>
              <w:jc w:val="right"/>
              <w:rPr>
                <w:rFonts w:ascii="Times New Roman"/>
                <w:sz w:val="21"/>
              </w:rPr>
            </w:pPr>
            <w:r>
              <w:rPr>
                <w:rFonts w:ascii="Times New Roman"/>
                <w:sz w:val="21"/>
              </w:rPr>
              <w:t>3.76</w:t>
            </w:r>
          </w:p>
        </w:tc>
        <w:tc>
          <w:tcPr>
            <w:tcW w:w="1858" w:type="dxa"/>
          </w:tcPr>
          <w:p>
            <w:pPr>
              <w:pStyle w:val="14"/>
              <w:spacing w:line="222" w:lineRule="exact"/>
              <w:ind w:left="610" w:right="601"/>
              <w:rPr>
                <w:rFonts w:ascii="Times New Roman"/>
                <w:sz w:val="21"/>
              </w:rPr>
            </w:pPr>
            <w:r>
              <w:rPr>
                <w:rFonts w:ascii="Times New Roman"/>
                <w:sz w:val="21"/>
              </w:rPr>
              <w:t>0.106</w:t>
            </w:r>
          </w:p>
        </w:tc>
        <w:tc>
          <w:tcPr>
            <w:tcW w:w="1858" w:type="dxa"/>
          </w:tcPr>
          <w:p>
            <w:pPr>
              <w:pStyle w:val="14"/>
              <w:spacing w:line="222" w:lineRule="exact"/>
              <w:ind w:left="610" w:right="602"/>
              <w:rPr>
                <w:rFonts w:ascii="Times New Roman"/>
                <w:sz w:val="21"/>
              </w:rPr>
            </w:pPr>
            <w:r>
              <w:rPr>
                <w:rFonts w:ascii="Times New Roman"/>
                <w:sz w:val="21"/>
              </w:rPr>
              <w:t>1.12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856" w:type="dxa"/>
            <w:vMerge w:val="continue"/>
            <w:tcBorders>
              <w:top w:val="nil"/>
            </w:tcBorders>
          </w:tcPr>
          <w:p>
            <w:pPr>
              <w:rPr>
                <w:sz w:val="2"/>
                <w:szCs w:val="2"/>
              </w:rPr>
            </w:pPr>
          </w:p>
        </w:tc>
        <w:tc>
          <w:tcPr>
            <w:tcW w:w="1856" w:type="dxa"/>
          </w:tcPr>
          <w:p>
            <w:pPr>
              <w:pStyle w:val="14"/>
              <w:spacing w:line="166" w:lineRule="exact"/>
              <w:ind w:left="577" w:right="567"/>
              <w:rPr>
                <w:rFonts w:ascii="Times New Roman"/>
                <w:sz w:val="13"/>
              </w:rPr>
            </w:pPr>
            <w:r>
              <w:rPr>
                <w:rFonts w:ascii="Times New Roman"/>
                <w:position w:val="-6"/>
                <w:sz w:val="21"/>
              </w:rPr>
              <w:t xml:space="preserve">SO </w:t>
            </w:r>
            <w:r>
              <w:rPr>
                <w:rFonts w:ascii="Times New Roman"/>
                <w:sz w:val="13"/>
              </w:rPr>
              <w:t>2-</w:t>
            </w:r>
          </w:p>
          <w:p>
            <w:pPr>
              <w:pStyle w:val="14"/>
              <w:spacing w:line="55" w:lineRule="exact"/>
              <w:ind w:left="165"/>
              <w:rPr>
                <w:rFonts w:ascii="Times New Roman"/>
                <w:sz w:val="13"/>
              </w:rPr>
            </w:pPr>
            <w:r>
              <w:rPr>
                <w:rFonts w:ascii="Times New Roman"/>
                <w:w w:val="105"/>
                <w:sz w:val="13"/>
              </w:rPr>
              <w:t>4</w:t>
            </w:r>
          </w:p>
        </w:tc>
        <w:tc>
          <w:tcPr>
            <w:tcW w:w="1858" w:type="dxa"/>
          </w:tcPr>
          <w:p>
            <w:pPr>
              <w:pStyle w:val="14"/>
              <w:spacing w:line="221" w:lineRule="exact"/>
              <w:ind w:right="732"/>
              <w:jc w:val="right"/>
              <w:rPr>
                <w:rFonts w:ascii="Times New Roman"/>
                <w:sz w:val="21"/>
              </w:rPr>
            </w:pPr>
            <w:r>
              <w:rPr>
                <w:rFonts w:ascii="Times New Roman"/>
                <w:sz w:val="21"/>
              </w:rPr>
              <w:t>7.43</w:t>
            </w:r>
          </w:p>
        </w:tc>
        <w:tc>
          <w:tcPr>
            <w:tcW w:w="1858" w:type="dxa"/>
          </w:tcPr>
          <w:p>
            <w:pPr>
              <w:pStyle w:val="14"/>
              <w:spacing w:line="221" w:lineRule="exact"/>
              <w:ind w:left="610" w:right="601"/>
              <w:rPr>
                <w:rFonts w:ascii="Times New Roman"/>
                <w:sz w:val="21"/>
              </w:rPr>
            </w:pPr>
            <w:r>
              <w:rPr>
                <w:rFonts w:ascii="Times New Roman"/>
                <w:sz w:val="21"/>
              </w:rPr>
              <w:t>0.155</w:t>
            </w:r>
          </w:p>
        </w:tc>
        <w:tc>
          <w:tcPr>
            <w:tcW w:w="1858" w:type="dxa"/>
          </w:tcPr>
          <w:p>
            <w:pPr>
              <w:pStyle w:val="14"/>
              <w:spacing w:line="221" w:lineRule="exact"/>
              <w:ind w:left="610" w:right="602"/>
              <w:rPr>
                <w:rFonts w:ascii="Times New Roman"/>
                <w:sz w:val="21"/>
              </w:rPr>
            </w:pPr>
            <w:r>
              <w:rPr>
                <w:rFonts w:ascii="Times New Roman"/>
                <w:sz w:val="21"/>
              </w:rPr>
              <w:t>1.65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856" w:type="dxa"/>
            <w:vMerge w:val="continue"/>
            <w:tcBorders>
              <w:top w:val="nil"/>
            </w:tcBorders>
          </w:tcPr>
          <w:p>
            <w:pPr>
              <w:rPr>
                <w:sz w:val="2"/>
                <w:szCs w:val="2"/>
              </w:rPr>
            </w:pPr>
          </w:p>
        </w:tc>
        <w:tc>
          <w:tcPr>
            <w:tcW w:w="1856" w:type="dxa"/>
          </w:tcPr>
          <w:p>
            <w:pPr>
              <w:pStyle w:val="14"/>
              <w:spacing w:before="1" w:line="252" w:lineRule="exact"/>
              <w:ind w:left="572" w:right="567"/>
              <w:rPr>
                <w:sz w:val="21"/>
              </w:rPr>
            </w:pPr>
            <w:r>
              <w:rPr>
                <w:sz w:val="21"/>
              </w:rPr>
              <w:t>总计</w:t>
            </w:r>
          </w:p>
        </w:tc>
        <w:tc>
          <w:tcPr>
            <w:tcW w:w="1858" w:type="dxa"/>
          </w:tcPr>
          <w:p>
            <w:pPr>
              <w:pStyle w:val="14"/>
              <w:spacing w:before="15" w:line="238" w:lineRule="exact"/>
              <w:ind w:right="629"/>
              <w:jc w:val="right"/>
              <w:rPr>
                <w:rFonts w:ascii="Times New Roman"/>
                <w:sz w:val="21"/>
              </w:rPr>
            </w:pPr>
            <w:r>
              <w:rPr>
                <w:rFonts w:ascii="Times New Roman"/>
                <w:w w:val="95"/>
                <w:sz w:val="21"/>
              </w:rPr>
              <w:t>568.59</w:t>
            </w:r>
          </w:p>
        </w:tc>
        <w:tc>
          <w:tcPr>
            <w:tcW w:w="1858" w:type="dxa"/>
          </w:tcPr>
          <w:p>
            <w:pPr>
              <w:pStyle w:val="14"/>
              <w:spacing w:before="15" w:line="238" w:lineRule="exact"/>
              <w:ind w:left="610" w:right="601"/>
              <w:rPr>
                <w:rFonts w:ascii="Times New Roman"/>
                <w:sz w:val="21"/>
              </w:rPr>
            </w:pPr>
            <w:r>
              <w:rPr>
                <w:rFonts w:ascii="Times New Roman"/>
                <w:sz w:val="21"/>
              </w:rPr>
              <w:t>9.398</w:t>
            </w:r>
          </w:p>
        </w:tc>
        <w:tc>
          <w:tcPr>
            <w:tcW w:w="1858" w:type="dxa"/>
          </w:tcPr>
          <w:p>
            <w:pPr>
              <w:pStyle w:val="14"/>
              <w:spacing w:before="15" w:line="238" w:lineRule="exact"/>
              <w:ind w:left="609" w:right="603"/>
              <w:rPr>
                <w:rFonts w:ascii="Times New Roman"/>
                <w:sz w:val="21"/>
              </w:rPr>
            </w:pPr>
            <w:r>
              <w:rPr>
                <w:rFonts w:ascii="Times New Roman"/>
                <w:sz w:val="21"/>
              </w:rPr>
              <w:t>100.00</w:t>
            </w:r>
          </w:p>
        </w:tc>
      </w:tr>
    </w:tbl>
    <w:p>
      <w:pPr>
        <w:pStyle w:val="6"/>
        <w:spacing w:before="79" w:line="364" w:lineRule="auto"/>
        <w:ind w:left="1070" w:right="6113"/>
      </w:pPr>
      <w:r>
        <w:t xml:space="preserve">然后计算水质矿化度 </w:t>
      </w:r>
      <w:r>
        <w:rPr>
          <w:rFonts w:ascii="Times New Roman" w:eastAsia="Times New Roman"/>
        </w:rPr>
        <w:t>M</w:t>
      </w:r>
      <w:r>
        <w:t>。</w:t>
      </w:r>
      <w:r>
        <w:rPr>
          <w:rFonts w:ascii="Times New Roman" w:eastAsia="Times New Roman"/>
        </w:rPr>
        <w:t>1#</w:t>
      </w:r>
      <w:r>
        <w:t>水质矿化度计算过程：</w:t>
      </w:r>
    </w:p>
    <w:p>
      <w:pPr>
        <w:pStyle w:val="6"/>
        <w:spacing w:before="1"/>
        <w:ind w:left="1070"/>
      </w:pPr>
      <w:r>
        <w:rPr>
          <w:spacing w:val="-13"/>
        </w:rPr>
        <w:t xml:space="preserve">应先将表 </w:t>
      </w:r>
      <w:r>
        <w:rPr>
          <w:rFonts w:ascii="Times New Roman" w:eastAsia="Times New Roman"/>
        </w:rPr>
        <w:t>6.4-6</w:t>
      </w:r>
      <w:r>
        <w:rPr>
          <w:rFonts w:ascii="Times New Roman" w:eastAsia="Times New Roman"/>
          <w:spacing w:val="2"/>
        </w:rPr>
        <w:t xml:space="preserve"> </w:t>
      </w:r>
      <w:r>
        <w:rPr>
          <w:spacing w:val="-30"/>
        </w:rPr>
        <w:t xml:space="preserve">中 </w:t>
      </w:r>
      <w:r>
        <w:rPr>
          <w:rFonts w:ascii="Times New Roman" w:eastAsia="Times New Roman"/>
        </w:rPr>
        <w:t>1#</w:t>
      </w:r>
      <w:r>
        <w:rPr>
          <w:spacing w:val="-11"/>
        </w:rPr>
        <w:t xml:space="preserve">的阴离子的 </w:t>
      </w:r>
      <w:r>
        <w:rPr>
          <w:rFonts w:ascii="Times New Roman" w:eastAsia="Times New Roman"/>
        </w:rPr>
        <w:t>mg/L</w:t>
      </w:r>
      <w:r>
        <w:rPr>
          <w:rFonts w:ascii="Times New Roman" w:eastAsia="Times New Roman"/>
          <w:spacing w:val="2"/>
        </w:rPr>
        <w:t xml:space="preserve"> </w:t>
      </w:r>
      <w:r>
        <w:rPr>
          <w:spacing w:val="-12"/>
        </w:rPr>
        <w:t xml:space="preserve">数换算成 </w:t>
      </w:r>
      <w:r>
        <w:rPr>
          <w:rFonts w:ascii="Times New Roman" w:eastAsia="Times New Roman"/>
        </w:rPr>
        <w:t>mmol/L</w:t>
      </w:r>
      <w:r>
        <w:rPr>
          <w:rFonts w:ascii="Times New Roman" w:eastAsia="Times New Roman"/>
          <w:spacing w:val="-1"/>
        </w:rPr>
        <w:t xml:space="preserve"> </w:t>
      </w:r>
      <w:r>
        <w:rPr>
          <w:spacing w:val="-13"/>
        </w:rPr>
        <w:t>数。它们的摩尔质量</w:t>
      </w:r>
    </w:p>
    <w:p>
      <w:pPr>
        <w:pStyle w:val="6"/>
        <w:spacing w:before="86" w:line="393" w:lineRule="exact"/>
        <w:ind w:left="551"/>
      </w:pPr>
      <w:r>
        <mc:AlternateContent>
          <mc:Choice Requires="wps">
            <w:drawing>
              <wp:anchor distT="0" distB="0" distL="114300" distR="114300" simplePos="0" relativeHeight="214200320" behindDoc="1" locked="0" layoutInCell="1" allowOverlap="1">
                <wp:simplePos x="0" y="0"/>
                <wp:positionH relativeFrom="page">
                  <wp:posOffset>3157855</wp:posOffset>
                </wp:positionH>
                <wp:positionV relativeFrom="paragraph">
                  <wp:posOffset>255270</wp:posOffset>
                </wp:positionV>
                <wp:extent cx="92075" cy="0"/>
                <wp:effectExtent l="0" t="0" r="0" b="0"/>
                <wp:wrapNone/>
                <wp:docPr id="40" name="直线 129"/>
                <wp:cNvGraphicFramePr/>
                <a:graphic xmlns:a="http://schemas.openxmlformats.org/drawingml/2006/main">
                  <a:graphicData uri="http://schemas.microsoft.com/office/word/2010/wordprocessingShape">
                    <wps:wsp>
                      <wps:cNvSpPr/>
                      <wps:spPr>
                        <a:xfrm>
                          <a:off x="0" y="0"/>
                          <a:ext cx="92075" cy="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129" o:spid="_x0000_s1026" o:spt="20" style="position:absolute;left:0pt;margin-left:248.65pt;margin-top:20.1pt;height:0pt;width:7.25pt;mso-position-horizontal-relative:page;z-index:-289116160;mso-width-relative:page;mso-height-relative:page;" filled="f" stroked="t" coordsize="21600,21600" o:gfxdata="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39CAQdUAAAAJAQAADwAAAAAAAAABACAAAAAiAAAAZHJz&#10;L2Rvd25yZXYueG1sUEsBAhQAFAAAAAgAh07iQJ2NDiLOAQAAjgMAAA4AAAAAAAAAAQAgAAAAJAEA&#10;AGRycy9lMm9Eb2MueG1sUEsFBgAAAAAGAAYAWQEAAGQFAAAAAA==&#10;">
                <v:fill on="f" focussize="0,0"/>
                <v:stroke weight="0.5pt" color="#000000" joinstyle="round"/>
                <v:imagedata o:title=""/>
                <o:lock v:ext="edit" aspectratio="f"/>
              </v:line>
            </w:pict>
          </mc:Fallback>
        </mc:AlternateContent>
      </w:r>
      <w:r>
        <w:rPr>
          <w:rFonts w:ascii="Times New Roman" w:hAnsi="Times New Roman" w:eastAsia="Times New Roman"/>
          <w:position w:val="2"/>
        </w:rPr>
        <w:t>—mg/mmol</w:t>
      </w:r>
      <w:r>
        <w:rPr>
          <w:rFonts w:ascii="Times New Roman" w:hAnsi="Times New Roman" w:eastAsia="Times New Roman"/>
          <w:spacing w:val="11"/>
          <w:position w:val="2"/>
        </w:rPr>
        <w:t xml:space="preserve"> </w:t>
      </w:r>
      <w:r>
        <w:rPr>
          <w:spacing w:val="3"/>
          <w:position w:val="2"/>
        </w:rPr>
        <w:t>数分别采用：</w:t>
      </w:r>
      <w:r>
        <w:rPr>
          <w:rFonts w:ascii="Times New Roman" w:hAnsi="Times New Roman" w:eastAsia="Times New Roman"/>
          <w:spacing w:val="3"/>
          <w:position w:val="2"/>
        </w:rPr>
        <w:t>M</w:t>
      </w:r>
      <w:r>
        <w:rPr>
          <w:spacing w:val="3"/>
          <w:position w:val="2"/>
        </w:rPr>
        <w:t>（</w:t>
      </w:r>
      <w:r>
        <w:rPr>
          <w:spacing w:val="-56"/>
          <w:position w:val="2"/>
        </w:rPr>
        <w:t xml:space="preserve"> </w:t>
      </w:r>
      <w:r>
        <w:rPr>
          <w:rFonts w:ascii="Times New Roman" w:hAnsi="Times New Roman" w:eastAsia="Times New Roman"/>
          <w:position w:val="17"/>
        </w:rPr>
        <w:t>1</w:t>
      </w:r>
      <w:r>
        <w:rPr>
          <w:rFonts w:ascii="Times New Roman" w:hAnsi="Times New Roman" w:eastAsia="Times New Roman"/>
          <w:spacing w:val="23"/>
          <w:position w:val="17"/>
        </w:rPr>
        <w:t xml:space="preserve"> </w:t>
      </w:r>
      <w:r>
        <w:rPr>
          <w:rFonts w:ascii="Times New Roman" w:hAnsi="Times New Roman" w:eastAsia="Times New Roman"/>
          <w:position w:val="2"/>
        </w:rPr>
        <w:t>CO</w:t>
      </w:r>
      <w:r>
        <w:rPr>
          <w:rFonts w:ascii="Times New Roman" w:hAnsi="Times New Roman" w:eastAsia="Times New Roman"/>
          <w:position w:val="2"/>
          <w:vertAlign w:val="subscript"/>
        </w:rPr>
        <w:t>3</w:t>
      </w:r>
      <w:r>
        <w:rPr>
          <w:rFonts w:ascii="Times New Roman" w:hAnsi="Times New Roman" w:eastAsia="Times New Roman"/>
          <w:position w:val="2"/>
          <w:vertAlign w:val="superscript"/>
        </w:rPr>
        <w:t>2-</w:t>
      </w:r>
      <w:r>
        <w:rPr>
          <w:position w:val="2"/>
          <w:vertAlign w:val="baseline"/>
        </w:rPr>
        <w:t>）</w:t>
      </w:r>
      <w:r>
        <w:rPr>
          <w:spacing w:val="-23"/>
          <w:position w:val="2"/>
          <w:vertAlign w:val="baseline"/>
        </w:rPr>
        <w:t xml:space="preserve">是 </w:t>
      </w:r>
      <w:r>
        <w:rPr>
          <w:rFonts w:ascii="Times New Roman" w:hAnsi="Times New Roman" w:eastAsia="Times New Roman"/>
          <w:spacing w:val="2"/>
          <w:position w:val="2"/>
          <w:vertAlign w:val="baseline"/>
        </w:rPr>
        <w:t>30</w:t>
      </w:r>
      <w:r>
        <w:rPr>
          <w:spacing w:val="2"/>
          <w:position w:val="2"/>
          <w:vertAlign w:val="baseline"/>
        </w:rPr>
        <w:t>，</w:t>
      </w:r>
      <w:r>
        <w:rPr>
          <w:rFonts w:ascii="Times New Roman" w:hAnsi="Times New Roman" w:eastAsia="Times New Roman"/>
          <w:spacing w:val="2"/>
          <w:position w:val="2"/>
          <w:vertAlign w:val="baseline"/>
        </w:rPr>
        <w:t>M</w:t>
      </w:r>
      <w:r>
        <w:rPr>
          <w:spacing w:val="2"/>
          <w:position w:val="2"/>
          <w:vertAlign w:val="baseline"/>
        </w:rPr>
        <w:t>（</w:t>
      </w:r>
      <w:r>
        <w:rPr>
          <w:rFonts w:ascii="Times New Roman" w:hAnsi="Times New Roman" w:eastAsia="Times New Roman"/>
          <w:spacing w:val="2"/>
          <w:position w:val="2"/>
          <w:vertAlign w:val="baseline"/>
        </w:rPr>
        <w:t>HCO</w:t>
      </w:r>
      <w:r>
        <w:rPr>
          <w:rFonts w:ascii="Times New Roman" w:hAnsi="Times New Roman" w:eastAsia="Times New Roman"/>
          <w:spacing w:val="2"/>
          <w:position w:val="2"/>
          <w:vertAlign w:val="subscript"/>
        </w:rPr>
        <w:t>3</w:t>
      </w:r>
      <w:r>
        <w:rPr>
          <w:rFonts w:ascii="Times New Roman" w:hAnsi="Times New Roman" w:eastAsia="Times New Roman"/>
          <w:spacing w:val="2"/>
          <w:position w:val="2"/>
          <w:vertAlign w:val="superscript"/>
        </w:rPr>
        <w:t>-</w:t>
      </w:r>
      <w:r>
        <w:rPr>
          <w:spacing w:val="2"/>
          <w:position w:val="2"/>
          <w:vertAlign w:val="baseline"/>
        </w:rPr>
        <w:t>）</w:t>
      </w:r>
      <w:r>
        <w:rPr>
          <w:spacing w:val="-24"/>
          <w:position w:val="2"/>
          <w:vertAlign w:val="baseline"/>
        </w:rPr>
        <w:t xml:space="preserve">是 </w:t>
      </w:r>
      <w:r>
        <w:rPr>
          <w:rFonts w:ascii="Times New Roman" w:hAnsi="Times New Roman" w:eastAsia="Times New Roman"/>
          <w:spacing w:val="4"/>
          <w:position w:val="2"/>
          <w:vertAlign w:val="baseline"/>
        </w:rPr>
        <w:t>61</w:t>
      </w:r>
      <w:r>
        <w:rPr>
          <w:spacing w:val="4"/>
          <w:position w:val="2"/>
          <w:vertAlign w:val="baseline"/>
        </w:rPr>
        <w:t>，</w:t>
      </w:r>
      <w:r>
        <w:rPr>
          <w:rFonts w:ascii="Times New Roman" w:hAnsi="Times New Roman" w:eastAsia="Times New Roman"/>
          <w:spacing w:val="4"/>
          <w:position w:val="2"/>
          <w:vertAlign w:val="baseline"/>
        </w:rPr>
        <w:t>M</w:t>
      </w:r>
      <w:r>
        <w:rPr>
          <w:spacing w:val="4"/>
          <w:position w:val="2"/>
          <w:vertAlign w:val="baseline"/>
        </w:rPr>
        <w:t>（</w:t>
      </w:r>
      <w:r>
        <w:rPr>
          <w:rFonts w:ascii="Times New Roman" w:hAnsi="Times New Roman" w:eastAsia="Times New Roman"/>
          <w:spacing w:val="4"/>
          <w:position w:val="2"/>
          <w:vertAlign w:val="baseline"/>
        </w:rPr>
        <w:t>Cl</w:t>
      </w:r>
      <w:r>
        <w:rPr>
          <w:rFonts w:ascii="Times New Roman" w:hAnsi="Times New Roman" w:eastAsia="Times New Roman"/>
          <w:spacing w:val="4"/>
          <w:position w:val="2"/>
          <w:vertAlign w:val="superscript"/>
        </w:rPr>
        <w:t>-</w:t>
      </w:r>
      <w:r>
        <w:rPr>
          <w:spacing w:val="4"/>
          <w:position w:val="2"/>
          <w:vertAlign w:val="baseline"/>
        </w:rPr>
        <w:t>）</w:t>
      </w:r>
      <w:r>
        <w:rPr>
          <w:position w:val="2"/>
          <w:vertAlign w:val="baseline"/>
        </w:rPr>
        <w:t>是</w:t>
      </w:r>
    </w:p>
    <w:p>
      <w:pPr>
        <w:pStyle w:val="6"/>
        <w:spacing w:line="223" w:lineRule="exact"/>
        <w:ind w:right="2224"/>
        <w:jc w:val="center"/>
        <w:rPr>
          <w:rFonts w:ascii="Times New Roman"/>
        </w:rPr>
      </w:pPr>
      <w:r>
        <w:rPr>
          <w:rFonts w:ascii="Times New Roman"/>
          <w:w w:val="99"/>
        </w:rPr>
        <w:t>2</w:t>
      </w:r>
    </w:p>
    <w:p>
      <w:pPr>
        <w:pStyle w:val="6"/>
        <w:spacing w:before="12" w:line="349" w:lineRule="exact"/>
        <w:ind w:left="551"/>
      </w:pPr>
      <w:r>
        <mc:AlternateContent>
          <mc:Choice Requires="wps">
            <w:drawing>
              <wp:anchor distT="0" distB="0" distL="114300" distR="114300" simplePos="0" relativeHeight="251760640" behindDoc="0" locked="0" layoutInCell="1" allowOverlap="1">
                <wp:simplePos x="0" y="0"/>
                <wp:positionH relativeFrom="page">
                  <wp:posOffset>1769110</wp:posOffset>
                </wp:positionH>
                <wp:positionV relativeFrom="paragraph">
                  <wp:posOffset>205740</wp:posOffset>
                </wp:positionV>
                <wp:extent cx="92075" cy="0"/>
                <wp:effectExtent l="0" t="0" r="0" b="0"/>
                <wp:wrapNone/>
                <wp:docPr id="254" name="直线 130"/>
                <wp:cNvGraphicFramePr/>
                <a:graphic xmlns:a="http://schemas.openxmlformats.org/drawingml/2006/main">
                  <a:graphicData uri="http://schemas.microsoft.com/office/word/2010/wordprocessingShape">
                    <wps:wsp>
                      <wps:cNvSpPr/>
                      <wps:spPr>
                        <a:xfrm>
                          <a:off x="0" y="0"/>
                          <a:ext cx="92075" cy="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130" o:spid="_x0000_s1026" o:spt="20" style="position:absolute;left:0pt;margin-left:139.3pt;margin-top:16.2pt;height:0pt;width:7.25pt;mso-position-horizontal-relative:page;z-index:251760640;mso-width-relative:page;mso-height-relative:page;" filled="f" stroked="t" coordsize="21600,21600" o:gfxdata="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&#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m9hLPWAAAACQEAAA8AAAAAAAAAAQAgAAAAIgAAAGRy&#10;cy9kb3ducmV2LnhtbFBLAQIUABQAAAAIAIdO4kDtxLOlzgEAAI8DAAAOAAAAAAAAAAEAIAAAACUB&#10;AABkcnMvZTJvRG9jLnhtbFBLBQYAAAAABgAGAFkBAABlBQAAAAA=&#10;">
                <v:fill on="f" focussize="0,0"/>
                <v:stroke weight="0.5pt" color="#000000" joinstyle="round"/>
                <v:imagedata o:title=""/>
                <o:lock v:ext="edit" aspectratio="f"/>
              </v:line>
            </w:pict>
          </mc:Fallback>
        </mc:AlternateContent>
      </w:r>
      <w:r>
        <mc:AlternateContent>
          <mc:Choice Requires="wps">
            <w:drawing>
              <wp:anchor distT="0" distB="0" distL="114300" distR="114300" simplePos="0" relativeHeight="214204416" behindDoc="1" locked="0" layoutInCell="1" allowOverlap="1">
                <wp:simplePos x="0" y="0"/>
                <wp:positionH relativeFrom="page">
                  <wp:posOffset>2090420</wp:posOffset>
                </wp:positionH>
                <wp:positionV relativeFrom="paragraph">
                  <wp:posOffset>167005</wp:posOffset>
                </wp:positionV>
                <wp:extent cx="49530" cy="109855"/>
                <wp:effectExtent l="0" t="0" r="0" b="0"/>
                <wp:wrapNone/>
                <wp:docPr id="46" name="文本框 131"/>
                <wp:cNvGraphicFramePr/>
                <a:graphic xmlns:a="http://schemas.openxmlformats.org/drawingml/2006/main">
                  <a:graphicData uri="http://schemas.microsoft.com/office/word/2010/wordprocessingShape">
                    <wps:wsp>
                      <wps:cNvSpPr txBox="1"/>
                      <wps:spPr>
                        <a:xfrm>
                          <a:off x="0" y="0"/>
                          <a:ext cx="49530" cy="109855"/>
                        </a:xfrm>
                        <a:prstGeom prst="rect">
                          <a:avLst/>
                        </a:prstGeom>
                        <a:noFill/>
                        <a:ln>
                          <a:noFill/>
                        </a:ln>
                      </wps:spPr>
                      <wps:txbx>
                        <w:txbxContent>
                          <w:p>
                            <w:pPr>
                              <w:spacing w:before="0" w:line="171" w:lineRule="exact"/>
                              <w:ind w:left="0" w:right="0" w:firstLine="0"/>
                              <w:jc w:val="left"/>
                              <w:rPr>
                                <w:rFonts w:ascii="Times New Roman"/>
                                <w:sz w:val="15"/>
                              </w:rPr>
                            </w:pPr>
                            <w:r>
                              <w:rPr>
                                <w:rFonts w:ascii="Times New Roman"/>
                                <w:w w:val="104"/>
                                <w:sz w:val="15"/>
                              </w:rPr>
                              <w:t>4</w:t>
                            </w:r>
                          </w:p>
                        </w:txbxContent>
                      </wps:txbx>
                      <wps:bodyPr lIns="0" tIns="0" rIns="0" bIns="0" upright="1"/>
                    </wps:wsp>
                  </a:graphicData>
                </a:graphic>
              </wp:anchor>
            </w:drawing>
          </mc:Choice>
          <mc:Fallback>
            <w:pict>
              <v:shape id="文本框 131" o:spid="_x0000_s1026" o:spt="202" type="#_x0000_t202" style="position:absolute;left:0pt;margin-left:164.6pt;margin-top:13.15pt;height:8.65pt;width:3.9pt;mso-position-horizontal-relative:page;z-index:-289112064;mso-width-relative:page;mso-height-relative:page;" filled="f" stroked="f" coordsize="21600,21600" o:gfxdata="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tkiEq2AAAAAkBAAAPAAAAAAAA&#10;AAEAIAAAACIAAABkcnMvZG93bnJldi54bWxQSwECFAAUAAAACACHTuJAqlYBqaABAAAlAwAADgAA&#10;AAAAAAABACAAAAAnAQAAZHJzL2Uyb0RvYy54bWxQSwUGAAAAAAYABgBZAQAAOQUAAAAA&#10;">
                <v:fill on="f" focussize="0,0"/>
                <v:stroke on="f"/>
                <v:imagedata o:title=""/>
                <o:lock v:ext="edit" aspectratio="f"/>
                <v:textbox inset="0mm,0mm,0mm,0mm">
                  <w:txbxContent>
                    <w:p>
                      <w:pPr>
                        <w:spacing w:before="0" w:line="171" w:lineRule="exact"/>
                        <w:ind w:left="0" w:right="0" w:firstLine="0"/>
                        <w:jc w:val="left"/>
                        <w:rPr>
                          <w:rFonts w:ascii="Times New Roman"/>
                          <w:sz w:val="15"/>
                        </w:rPr>
                      </w:pPr>
                      <w:r>
                        <w:rPr>
                          <w:rFonts w:ascii="Times New Roman"/>
                          <w:w w:val="104"/>
                          <w:sz w:val="15"/>
                        </w:rPr>
                        <w:t>4</w:t>
                      </w:r>
                    </w:p>
                  </w:txbxContent>
                </v:textbox>
              </v:shape>
            </w:pict>
          </mc:Fallback>
        </mc:AlternateContent>
      </w:r>
      <w:r>
        <w:rPr>
          <w:rFonts w:ascii="Times New Roman" w:eastAsia="Times New Roman"/>
        </w:rPr>
        <w:t>35.5, M</w:t>
      </w:r>
      <w:r>
        <w:t>（</w:t>
      </w:r>
      <w:r>
        <w:rPr>
          <w:spacing w:val="-68"/>
        </w:rPr>
        <w:t xml:space="preserve"> </w:t>
      </w:r>
      <w:r>
        <w:rPr>
          <w:rFonts w:ascii="Times New Roman" w:eastAsia="Times New Roman"/>
          <w:position w:val="15"/>
        </w:rPr>
        <w:t xml:space="preserve">1 </w:t>
      </w:r>
      <w:r>
        <w:rPr>
          <w:rFonts w:ascii="Times New Roman" w:eastAsia="Times New Roman"/>
        </w:rPr>
        <w:t xml:space="preserve">SO </w:t>
      </w:r>
      <w:r>
        <w:rPr>
          <w:rFonts w:ascii="Times New Roman" w:eastAsia="Times New Roman"/>
          <w:position w:val="8"/>
          <w:sz w:val="15"/>
        </w:rPr>
        <w:t>2-</w:t>
      </w:r>
      <w:r>
        <w:t>）</w:t>
      </w:r>
      <w:r>
        <w:rPr>
          <w:spacing w:val="-30"/>
        </w:rPr>
        <w:t xml:space="preserve">是 </w:t>
      </w:r>
      <w:r>
        <w:rPr>
          <w:rFonts w:ascii="Times New Roman" w:eastAsia="Times New Roman"/>
        </w:rPr>
        <w:t>48</w:t>
      </w:r>
      <w:r>
        <w:t>。</w:t>
      </w:r>
    </w:p>
    <w:p>
      <w:pPr>
        <w:pStyle w:val="6"/>
        <w:spacing w:line="264" w:lineRule="exact"/>
        <w:ind w:left="1602"/>
        <w:rPr>
          <w:rFonts w:ascii="Times New Roman"/>
        </w:rPr>
      </w:pPr>
      <w:r>
        <w:rPr>
          <w:rFonts w:ascii="Times New Roman"/>
          <w:w w:val="99"/>
        </w:rPr>
        <w:t>2</w:t>
      </w:r>
    </w:p>
    <w:p>
      <w:pPr>
        <w:pStyle w:val="6"/>
        <w:spacing w:before="8" w:line="393" w:lineRule="exact"/>
        <w:ind w:left="1070"/>
        <w:rPr>
          <w:rFonts w:ascii="Times New Roman" w:eastAsia="Times New Roman"/>
        </w:rPr>
      </w:pPr>
      <w:r>
        <mc:AlternateContent>
          <mc:Choice Requires="wps">
            <w:drawing>
              <wp:anchor distT="0" distB="0" distL="114300" distR="114300" simplePos="0" relativeHeight="214202368" behindDoc="1" locked="0" layoutInCell="1" allowOverlap="1">
                <wp:simplePos x="0" y="0"/>
                <wp:positionH relativeFrom="page">
                  <wp:posOffset>2820035</wp:posOffset>
                </wp:positionH>
                <wp:positionV relativeFrom="paragraph">
                  <wp:posOffset>205740</wp:posOffset>
                </wp:positionV>
                <wp:extent cx="352425" cy="0"/>
                <wp:effectExtent l="0" t="0" r="0" b="0"/>
                <wp:wrapNone/>
                <wp:docPr id="42" name="直线 132"/>
                <wp:cNvGraphicFramePr/>
                <a:graphic xmlns:a="http://schemas.openxmlformats.org/drawingml/2006/main">
                  <a:graphicData uri="http://schemas.microsoft.com/office/word/2010/wordprocessingShape">
                    <wps:wsp>
                      <wps:cNvSpPr/>
                      <wps:spPr>
                        <a:xfrm>
                          <a:off x="0" y="0"/>
                          <a:ext cx="352425" cy="0"/>
                        </a:xfrm>
                        <a:prstGeom prst="line">
                          <a:avLst/>
                        </a:prstGeom>
                        <a:ln w="6337" cap="flat" cmpd="sng">
                          <a:solidFill>
                            <a:srgbClr val="000000"/>
                          </a:solidFill>
                          <a:prstDash val="solid"/>
                          <a:headEnd type="none" w="med" len="med"/>
                          <a:tailEnd type="none" w="med" len="med"/>
                        </a:ln>
                      </wps:spPr>
                      <wps:bodyPr upright="1"/>
                    </wps:wsp>
                  </a:graphicData>
                </a:graphic>
              </wp:anchor>
            </w:drawing>
          </mc:Choice>
          <mc:Fallback>
            <w:pict>
              <v:line id="直线 132" o:spid="_x0000_s1026" o:spt="20" style="position:absolute;left:0pt;margin-left:222.05pt;margin-top:16.2pt;height:0pt;width:27.75pt;mso-position-horizontal-relative:page;z-index:-289114112;mso-width-relative:page;mso-height-relative:page;" filled="f" stroked="t" coordsize="21600,21600" o:gfxdata="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e4V2a1gAAAAkBAAAPAAAAAAAAAAEAIAAAACIAAABk&#10;cnMvZG93bnJldi54bWxQSwECFAAUAAAACACHTuJASACU7c8BAACPAwAADgAAAAAAAAABACAAAAAl&#10;AQAAZHJzL2Uyb0RvYy54bWxQSwUGAAAAAAYABgBZAQAAZgUAAAAA&#10;">
                <v:fill on="f" focussize="0,0"/>
                <v:stroke weight="0.498976377952756pt" color="#000000" joinstyle="round"/>
                <v:imagedata o:title=""/>
                <o:lock v:ext="edit" aspectratio="f"/>
              </v:line>
            </w:pict>
          </mc:Fallback>
        </mc:AlternateContent>
      </w:r>
      <w:r>
        <w:rPr>
          <w:position w:val="2"/>
        </w:rPr>
        <w:t>所以，</w:t>
      </w:r>
      <w:r>
        <w:rPr>
          <w:rFonts w:ascii="Times New Roman" w:eastAsia="Times New Roman"/>
          <w:position w:val="2"/>
        </w:rPr>
        <w:t>C</w:t>
      </w:r>
      <w:r>
        <w:rPr>
          <w:position w:val="2"/>
        </w:rPr>
        <w:t>（</w:t>
      </w:r>
      <w:r>
        <w:rPr>
          <w:rFonts w:ascii="Times New Roman" w:eastAsia="Times New Roman"/>
          <w:position w:val="2"/>
        </w:rPr>
        <w:t>HCO</w:t>
      </w:r>
      <w:r>
        <w:rPr>
          <w:rFonts w:ascii="Times New Roman" w:eastAsia="Times New Roman"/>
          <w:position w:val="2"/>
          <w:vertAlign w:val="subscript"/>
        </w:rPr>
        <w:t>3</w:t>
      </w:r>
      <w:r>
        <w:rPr>
          <w:rFonts w:ascii="Times New Roman" w:eastAsia="Times New Roman"/>
          <w:position w:val="2"/>
          <w:vertAlign w:val="superscript"/>
        </w:rPr>
        <w:t>-</w:t>
      </w:r>
      <w:r>
        <w:rPr>
          <w:position w:val="2"/>
          <w:vertAlign w:val="baseline"/>
        </w:rPr>
        <w:t>）</w:t>
      </w:r>
      <w:r>
        <w:rPr>
          <w:rFonts w:ascii="Times New Roman" w:eastAsia="Times New Roman"/>
          <w:position w:val="2"/>
          <w:vertAlign w:val="baseline"/>
        </w:rPr>
        <w:t xml:space="preserve">= </w:t>
      </w:r>
      <w:r>
        <w:rPr>
          <w:rFonts w:ascii="Times New Roman" w:eastAsia="Times New Roman"/>
          <w:position w:val="17"/>
          <w:vertAlign w:val="baseline"/>
        </w:rPr>
        <w:t xml:space="preserve">280.3 </w:t>
      </w:r>
      <w:r>
        <w:rPr>
          <w:rFonts w:ascii="Times New Roman" w:eastAsia="Times New Roman"/>
          <w:position w:val="2"/>
          <w:vertAlign w:val="baseline"/>
        </w:rPr>
        <w:t>=4.595</w:t>
      </w:r>
    </w:p>
    <w:p>
      <w:pPr>
        <w:pStyle w:val="6"/>
        <w:spacing w:line="223" w:lineRule="exact"/>
        <w:ind w:right="2863"/>
        <w:jc w:val="center"/>
        <w:rPr>
          <w:rFonts w:ascii="Times New Roman"/>
        </w:rPr>
      </w:pPr>
      <w:r>
        <w:rPr>
          <w:rFonts w:ascii="Times New Roman"/>
        </w:rPr>
        <w:t>61</w:t>
      </w:r>
    </w:p>
    <w:p>
      <w:pPr>
        <w:pStyle w:val="6"/>
        <w:spacing w:before="11" w:line="389" w:lineRule="exact"/>
        <w:ind w:left="1790"/>
        <w:rPr>
          <w:rFonts w:ascii="Times New Roman" w:eastAsia="Times New Roman"/>
        </w:rPr>
      </w:pPr>
      <w:r>
        <mc:AlternateContent>
          <mc:Choice Requires="wps">
            <w:drawing>
              <wp:anchor distT="0" distB="0" distL="114300" distR="114300" simplePos="0" relativeHeight="214203392" behindDoc="1" locked="0" layoutInCell="1" allowOverlap="1">
                <wp:simplePos x="0" y="0"/>
                <wp:positionH relativeFrom="page">
                  <wp:posOffset>2593340</wp:posOffset>
                </wp:positionH>
                <wp:positionV relativeFrom="paragraph">
                  <wp:posOffset>205105</wp:posOffset>
                </wp:positionV>
                <wp:extent cx="275590" cy="0"/>
                <wp:effectExtent l="0" t="0" r="0" b="0"/>
                <wp:wrapNone/>
                <wp:docPr id="44" name="直线 133"/>
                <wp:cNvGraphicFramePr/>
                <a:graphic xmlns:a="http://schemas.openxmlformats.org/drawingml/2006/main">
                  <a:graphicData uri="http://schemas.microsoft.com/office/word/2010/wordprocessingShape">
                    <wps:wsp>
                      <wps:cNvSpPr/>
                      <wps:spPr>
                        <a:xfrm>
                          <a:off x="0" y="0"/>
                          <a:ext cx="275590" cy="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133" o:spid="_x0000_s1026" o:spt="20" style="position:absolute;left:0pt;margin-left:204.2pt;margin-top:16.15pt;height:0pt;width:21.7pt;mso-position-horizontal-relative:page;z-index:-289113088;mso-width-relative:page;mso-height-relative:page;" filled="f" stroked="t" coordsize="21600,21600" o:gfxdata="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KkalJtUAAAAJAQAADwAAAAAAAAABACAAAAAiAAAAZHJz&#10;L2Rvd25yZXYueG1sUEsBAhQAFAAAAAgAh07iQFHkf63OAQAAjwMAAA4AAAAAAAAAAQAgAAAAJAEA&#10;AGRycy9lMm9Eb2MueG1sUEsFBgAAAAAGAAYAWQEAAGQFAAAAAA==&#10;">
                <v:fill on="f" focussize="0,0"/>
                <v:stroke weight="0.5pt" color="#000000" joinstyle="round"/>
                <v:imagedata o:title=""/>
                <o:lock v:ext="edit" aspectratio="f"/>
              </v:line>
            </w:pict>
          </mc:Fallback>
        </mc:AlternateContent>
      </w:r>
      <w:r>
        <w:rPr>
          <w:rFonts w:ascii="Times New Roman" w:eastAsia="Times New Roman"/>
        </w:rPr>
        <w:t>C</w:t>
      </w:r>
      <w:r>
        <w:t>（</w:t>
      </w:r>
      <w:r>
        <w:rPr>
          <w:rFonts w:ascii="Times New Roman" w:eastAsia="Times New Roman"/>
        </w:rPr>
        <w:t>Cl</w:t>
      </w:r>
      <w:r>
        <w:rPr>
          <w:rFonts w:ascii="Times New Roman" w:eastAsia="Times New Roman"/>
          <w:position w:val="8"/>
          <w:sz w:val="15"/>
        </w:rPr>
        <w:t>-</w:t>
      </w:r>
      <w:r>
        <w:t>）</w:t>
      </w:r>
      <w:r>
        <w:rPr>
          <w:rFonts w:ascii="Times New Roman" w:eastAsia="Times New Roman"/>
        </w:rPr>
        <w:t xml:space="preserve">= </w:t>
      </w:r>
      <w:r>
        <w:rPr>
          <w:rFonts w:ascii="Times New Roman" w:eastAsia="Times New Roman"/>
          <w:position w:val="15"/>
        </w:rPr>
        <w:t xml:space="preserve">10.3 </w:t>
      </w:r>
      <w:r>
        <w:rPr>
          <w:rFonts w:ascii="Times New Roman" w:eastAsia="Times New Roman"/>
        </w:rPr>
        <w:t>=0.290</w:t>
      </w:r>
    </w:p>
    <w:p>
      <w:pPr>
        <w:pStyle w:val="6"/>
        <w:spacing w:line="223" w:lineRule="exact"/>
        <w:ind w:left="2892"/>
        <w:rPr>
          <w:rFonts w:ascii="Times New Roman"/>
        </w:rPr>
      </w:pPr>
      <w:r>
        <w:rPr>
          <w:rFonts w:ascii="Times New Roman"/>
        </w:rPr>
        <w:t>35.5</w:t>
      </w:r>
    </w:p>
    <w:p>
      <w:pPr>
        <w:spacing w:after="0" w:line="223" w:lineRule="exact"/>
        <w:rPr>
          <w:rFonts w:ascii="Times New Roman"/>
        </w:rPr>
        <w:sectPr>
          <w:pgSz w:w="11910" w:h="16840"/>
          <w:pgMar w:top="1420" w:right="780" w:bottom="1180" w:left="1200" w:header="0" w:footer="997" w:gutter="0"/>
        </w:sectPr>
      </w:pPr>
    </w:p>
    <w:p>
      <w:pPr>
        <w:pStyle w:val="6"/>
        <w:spacing w:before="70" w:line="349" w:lineRule="exact"/>
        <w:ind w:left="1790"/>
        <w:rPr>
          <w:rFonts w:ascii="Times New Roman" w:eastAsia="Times New Roman"/>
        </w:rPr>
      </w:pPr>
      <w:r>
        <mc:AlternateContent>
          <mc:Choice Requires="wps">
            <w:drawing>
              <wp:anchor distT="0" distB="0" distL="114300" distR="114300" simplePos="0" relativeHeight="251764736" behindDoc="0" locked="0" layoutInCell="1" allowOverlap="1">
                <wp:simplePos x="0" y="0"/>
                <wp:positionH relativeFrom="page">
                  <wp:posOffset>2178685</wp:posOffset>
                </wp:positionH>
                <wp:positionV relativeFrom="paragraph">
                  <wp:posOffset>242570</wp:posOffset>
                </wp:positionV>
                <wp:extent cx="92075" cy="0"/>
                <wp:effectExtent l="0" t="0" r="0" b="0"/>
                <wp:wrapNone/>
                <wp:docPr id="255" name="直线 134"/>
                <wp:cNvGraphicFramePr/>
                <a:graphic xmlns:a="http://schemas.openxmlformats.org/drawingml/2006/main">
                  <a:graphicData uri="http://schemas.microsoft.com/office/word/2010/wordprocessingShape">
                    <wps:wsp>
                      <wps:cNvSpPr/>
                      <wps:spPr>
                        <a:xfrm>
                          <a:off x="0" y="0"/>
                          <a:ext cx="92075" cy="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134" o:spid="_x0000_s1026" o:spt="20" style="position:absolute;left:0pt;margin-left:171.55pt;margin-top:19.1pt;height:0pt;width:7.25pt;mso-position-horizontal-relative:page;z-index:251764736;mso-width-relative:page;mso-height-relative:page;" filled="f" stroked="t" coordsize="21600,21600" o:gfxdata="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&#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yzvLvVAAAACQEAAA8AAAAAAAAAAQAgAAAAIgAAAGRy&#10;cy9kb3ducmV2LnhtbFBLAQIUABQAAAAIAIdO4kBs9snWzwEAAI8DAAAOAAAAAAAAAAEAIAAAACQB&#10;AABkcnMvZTJvRG9jLnhtbFBLBQYAAAAABgAGAFkBAABlBQAAAAA=&#10;">
                <v:fill on="f" focussize="0,0"/>
                <v:stroke weight="0.5pt" color="#000000" joinstyle="round"/>
                <v:imagedata o:title=""/>
                <o:lock v:ext="edit" aspectratio="f"/>
              </v:line>
            </w:pict>
          </mc:Fallback>
        </mc:AlternateContent>
      </w:r>
      <w:r>
        <mc:AlternateContent>
          <mc:Choice Requires="wps">
            <w:drawing>
              <wp:anchor distT="0" distB="0" distL="114300" distR="114300" simplePos="0" relativeHeight="251765760" behindDoc="0" locked="0" layoutInCell="1" allowOverlap="1">
                <wp:simplePos x="0" y="0"/>
                <wp:positionH relativeFrom="page">
                  <wp:posOffset>2894330</wp:posOffset>
                </wp:positionH>
                <wp:positionV relativeFrom="paragraph">
                  <wp:posOffset>242570</wp:posOffset>
                </wp:positionV>
                <wp:extent cx="264795" cy="0"/>
                <wp:effectExtent l="0" t="0" r="0" b="0"/>
                <wp:wrapNone/>
                <wp:docPr id="256" name="直线 135"/>
                <wp:cNvGraphicFramePr/>
                <a:graphic xmlns:a="http://schemas.openxmlformats.org/drawingml/2006/main">
                  <a:graphicData uri="http://schemas.microsoft.com/office/word/2010/wordprocessingShape">
                    <wps:wsp>
                      <wps:cNvSpPr/>
                      <wps:spPr>
                        <a:xfrm>
                          <a:off x="0" y="0"/>
                          <a:ext cx="264795" cy="0"/>
                        </a:xfrm>
                        <a:prstGeom prst="line">
                          <a:avLst/>
                        </a:prstGeom>
                        <a:ln w="6337" cap="flat" cmpd="sng">
                          <a:solidFill>
                            <a:srgbClr val="000000"/>
                          </a:solidFill>
                          <a:prstDash val="solid"/>
                          <a:headEnd type="none" w="med" len="med"/>
                          <a:tailEnd type="none" w="med" len="med"/>
                        </a:ln>
                      </wps:spPr>
                      <wps:bodyPr upright="1"/>
                    </wps:wsp>
                  </a:graphicData>
                </a:graphic>
              </wp:anchor>
            </w:drawing>
          </mc:Choice>
          <mc:Fallback>
            <w:pict>
              <v:line id="直线 135" o:spid="_x0000_s1026" o:spt="20" style="position:absolute;left:0pt;margin-left:227.9pt;margin-top:19.1pt;height:0pt;width:20.85pt;mso-position-horizontal-relative:page;z-index:251765760;mso-width-relative:page;mso-height-relative:page;" filled="f" stroked="t" coordsize="21600,21600" o:gfxdata="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e9o1jXAAAACQEAAA8AAAAAAAAAAQAgAAAAIgAA&#10;AGRycy9kb3ducmV2LnhtbFBLAQIUABQAAAAIAIdO4kAzTlOG0AEAAJADAAAOAAAAAAAAAAEAIAAA&#10;ACYBAABkcnMvZTJvRG9jLnhtbFBLBQYAAAAABgAGAFkBAABoBQAAAAA=&#10;">
                <v:fill on="f" focussize="0,0"/>
                <v:stroke weight="0.498976377952756pt" color="#000000" joinstyle="round"/>
                <v:imagedata o:title=""/>
                <o:lock v:ext="edit" aspectratio="f"/>
              </v:line>
            </w:pict>
          </mc:Fallback>
        </mc:AlternateContent>
      </w:r>
      <w:r>
        <mc:AlternateContent>
          <mc:Choice Requires="wps">
            <w:drawing>
              <wp:anchor distT="0" distB="0" distL="114300" distR="114300" simplePos="0" relativeHeight="214210560" behindDoc="1" locked="0" layoutInCell="1" allowOverlap="1">
                <wp:simplePos x="0" y="0"/>
                <wp:positionH relativeFrom="page">
                  <wp:posOffset>2499360</wp:posOffset>
                </wp:positionH>
                <wp:positionV relativeFrom="paragraph">
                  <wp:posOffset>203835</wp:posOffset>
                </wp:positionV>
                <wp:extent cx="49530" cy="109855"/>
                <wp:effectExtent l="0" t="0" r="0" b="0"/>
                <wp:wrapNone/>
                <wp:docPr id="54" name="文本框 136"/>
                <wp:cNvGraphicFramePr/>
                <a:graphic xmlns:a="http://schemas.openxmlformats.org/drawingml/2006/main">
                  <a:graphicData uri="http://schemas.microsoft.com/office/word/2010/wordprocessingShape">
                    <wps:wsp>
                      <wps:cNvSpPr txBox="1"/>
                      <wps:spPr>
                        <a:xfrm>
                          <a:off x="0" y="0"/>
                          <a:ext cx="49530" cy="109855"/>
                        </a:xfrm>
                        <a:prstGeom prst="rect">
                          <a:avLst/>
                        </a:prstGeom>
                        <a:noFill/>
                        <a:ln>
                          <a:noFill/>
                        </a:ln>
                      </wps:spPr>
                      <wps:txbx>
                        <w:txbxContent>
                          <w:p>
                            <w:pPr>
                              <w:spacing w:before="0" w:line="171" w:lineRule="exact"/>
                              <w:ind w:left="0" w:right="0" w:firstLine="0"/>
                              <w:jc w:val="left"/>
                              <w:rPr>
                                <w:rFonts w:ascii="Times New Roman"/>
                                <w:sz w:val="15"/>
                              </w:rPr>
                            </w:pPr>
                            <w:r>
                              <w:rPr>
                                <w:rFonts w:ascii="Times New Roman"/>
                                <w:w w:val="104"/>
                                <w:sz w:val="15"/>
                              </w:rPr>
                              <w:t>4</w:t>
                            </w:r>
                          </w:p>
                        </w:txbxContent>
                      </wps:txbx>
                      <wps:bodyPr lIns="0" tIns="0" rIns="0" bIns="0" upright="1"/>
                    </wps:wsp>
                  </a:graphicData>
                </a:graphic>
              </wp:anchor>
            </w:drawing>
          </mc:Choice>
          <mc:Fallback>
            <w:pict>
              <v:shape id="文本框 136" o:spid="_x0000_s1026" o:spt="202" type="#_x0000_t202" style="position:absolute;left:0pt;margin-left:196.8pt;margin-top:16.05pt;height:8.65pt;width:3.9pt;mso-position-horizontal-relative:page;z-index:-289105920;mso-width-relative:page;mso-height-relative:page;" filled="f" stroked="f" coordsize="21600,21600" o:gfxdata="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FIN84/XAAAACQEAAA8AAAAAAAAA&#10;AQAgAAAAIgAAAGRycy9kb3ducmV2LnhtbFBLAQIUABQAAAAIAIdO4kBtqNPqoAEAACUDAAAOAAAA&#10;AAAAAAEAIAAAACYBAABkcnMvZTJvRG9jLnhtbFBLBQYAAAAABgAGAFkBAAA4BQAAAAA=&#10;">
                <v:fill on="f" focussize="0,0"/>
                <v:stroke on="f"/>
                <v:imagedata o:title=""/>
                <o:lock v:ext="edit" aspectratio="f"/>
                <v:textbox inset="0mm,0mm,0mm,0mm">
                  <w:txbxContent>
                    <w:p>
                      <w:pPr>
                        <w:spacing w:before="0" w:line="171" w:lineRule="exact"/>
                        <w:ind w:left="0" w:right="0" w:firstLine="0"/>
                        <w:jc w:val="left"/>
                        <w:rPr>
                          <w:rFonts w:ascii="Times New Roman"/>
                          <w:sz w:val="15"/>
                        </w:rPr>
                      </w:pPr>
                      <w:r>
                        <w:rPr>
                          <w:rFonts w:ascii="Times New Roman"/>
                          <w:w w:val="104"/>
                          <w:sz w:val="15"/>
                        </w:rPr>
                        <w:t>4</w:t>
                      </w:r>
                    </w:p>
                  </w:txbxContent>
                </v:textbox>
              </v:shape>
            </w:pict>
          </mc:Fallback>
        </mc:AlternateContent>
      </w:r>
      <w:r>
        <w:rPr>
          <w:rFonts w:ascii="Times New Roman" w:eastAsia="Times New Roman"/>
        </w:rPr>
        <w:t>C</w:t>
      </w:r>
      <w:r>
        <w:t>（</w:t>
      </w:r>
      <w:r>
        <w:rPr>
          <w:spacing w:val="-86"/>
        </w:rPr>
        <w:t xml:space="preserve"> </w:t>
      </w:r>
      <w:r>
        <w:rPr>
          <w:rFonts w:ascii="Times New Roman" w:eastAsia="Times New Roman"/>
          <w:position w:val="15"/>
        </w:rPr>
        <w:t xml:space="preserve">1 </w:t>
      </w:r>
      <w:r>
        <w:rPr>
          <w:rFonts w:ascii="Times New Roman" w:eastAsia="Times New Roman"/>
        </w:rPr>
        <w:t xml:space="preserve">SO </w:t>
      </w:r>
      <w:r>
        <w:rPr>
          <w:rFonts w:ascii="Times New Roman" w:eastAsia="Times New Roman"/>
          <w:position w:val="8"/>
          <w:sz w:val="15"/>
        </w:rPr>
        <w:t>2-</w:t>
      </w:r>
      <w:r>
        <w:t>）</w:t>
      </w:r>
      <w:r>
        <w:rPr>
          <w:rFonts w:ascii="Times New Roman" w:eastAsia="Times New Roman"/>
        </w:rPr>
        <w:t xml:space="preserve">= </w:t>
      </w:r>
      <w:r>
        <w:rPr>
          <w:rFonts w:ascii="Times New Roman" w:eastAsia="Times New Roman"/>
          <w:position w:val="15"/>
        </w:rPr>
        <w:t xml:space="preserve">12.6 </w:t>
      </w:r>
      <w:r>
        <w:rPr>
          <w:rFonts w:ascii="Times New Roman" w:eastAsia="Times New Roman"/>
        </w:rPr>
        <w:t>=0.263</w:t>
      </w:r>
    </w:p>
    <w:p>
      <w:pPr>
        <w:pStyle w:val="6"/>
        <w:tabs>
          <w:tab w:val="left" w:pos="3453"/>
        </w:tabs>
        <w:spacing w:line="265" w:lineRule="exact"/>
        <w:ind w:left="2247"/>
        <w:rPr>
          <w:rFonts w:ascii="Times New Roman"/>
        </w:rPr>
      </w:pPr>
      <w:r>
        <w:rPr>
          <w:rFonts w:ascii="Times New Roman"/>
        </w:rPr>
        <w:t>2</w:t>
      </w:r>
      <w:r>
        <w:rPr>
          <w:rFonts w:ascii="Times New Roman"/>
        </w:rPr>
        <w:tab/>
      </w:r>
      <w:r>
        <w:rPr>
          <w:rFonts w:ascii="Times New Roman"/>
        </w:rPr>
        <w:t>48</w:t>
      </w:r>
    </w:p>
    <w:p>
      <w:pPr>
        <w:pStyle w:val="6"/>
        <w:spacing w:before="83"/>
        <w:ind w:left="1070"/>
        <w:rPr>
          <w:rFonts w:ascii="Times New Roman" w:hAnsi="Times New Roman" w:eastAsia="Times New Roman"/>
        </w:rPr>
      </w:pPr>
      <w:r>
        <w:t>则：</w:t>
      </w:r>
      <w:r>
        <w:rPr>
          <w:rFonts w:ascii="Times New Roman" w:hAnsi="Times New Roman" w:eastAsia="Times New Roman"/>
        </w:rPr>
        <w:t>C</w:t>
      </w:r>
      <w:r>
        <w:t>（</w:t>
      </w:r>
      <w:r>
        <w:rPr>
          <w:rFonts w:ascii="Times New Roman" w:hAnsi="Times New Roman" w:eastAsia="Times New Roman"/>
        </w:rPr>
        <w:t>∑A</w:t>
      </w:r>
      <w:r>
        <w:t>）</w:t>
      </w:r>
      <w:r>
        <w:rPr>
          <w:rFonts w:ascii="Times New Roman" w:hAnsi="Times New Roman" w:eastAsia="Times New Roman"/>
        </w:rPr>
        <w:t>=4.595+0.290+0.263=5.148</w:t>
      </w:r>
    </w:p>
    <w:p>
      <w:pPr>
        <w:pStyle w:val="6"/>
        <w:spacing w:before="89" w:line="381" w:lineRule="exact"/>
        <w:ind w:left="1502"/>
        <w:rPr>
          <w:rFonts w:ascii="Times New Roman"/>
        </w:rPr>
      </w:pPr>
      <w:r>
        <mc:AlternateContent>
          <mc:Choice Requires="wps">
            <w:drawing>
              <wp:anchor distT="0" distB="0" distL="114300" distR="114300" simplePos="0" relativeHeight="214207488" behindDoc="1" locked="0" layoutInCell="1" allowOverlap="1">
                <wp:simplePos x="0" y="0"/>
                <wp:positionH relativeFrom="page">
                  <wp:posOffset>2012315</wp:posOffset>
                </wp:positionH>
                <wp:positionV relativeFrom="paragraph">
                  <wp:posOffset>254635</wp:posOffset>
                </wp:positionV>
                <wp:extent cx="350520" cy="0"/>
                <wp:effectExtent l="0" t="0" r="0" b="0"/>
                <wp:wrapNone/>
                <wp:docPr id="48" name="直线 137"/>
                <wp:cNvGraphicFramePr/>
                <a:graphic xmlns:a="http://schemas.openxmlformats.org/drawingml/2006/main">
                  <a:graphicData uri="http://schemas.microsoft.com/office/word/2010/wordprocessingShape">
                    <wps:wsp>
                      <wps:cNvSpPr/>
                      <wps:spPr>
                        <a:xfrm>
                          <a:off x="0" y="0"/>
                          <a:ext cx="350520" cy="0"/>
                        </a:xfrm>
                        <a:prstGeom prst="line">
                          <a:avLst/>
                        </a:prstGeom>
                        <a:ln w="6337" cap="flat" cmpd="sng">
                          <a:solidFill>
                            <a:srgbClr val="000000"/>
                          </a:solidFill>
                          <a:prstDash val="solid"/>
                          <a:headEnd type="none" w="med" len="med"/>
                          <a:tailEnd type="none" w="med" len="med"/>
                        </a:ln>
                      </wps:spPr>
                      <wps:bodyPr upright="1"/>
                    </wps:wsp>
                  </a:graphicData>
                </a:graphic>
              </wp:anchor>
            </w:drawing>
          </mc:Choice>
          <mc:Fallback>
            <w:pict>
              <v:line id="直线 137" o:spid="_x0000_s1026" o:spt="20" style="position:absolute;left:0pt;margin-left:158.45pt;margin-top:20.05pt;height:0pt;width:27.6pt;mso-position-horizontal-relative:page;z-index:-289108992;mso-width-relative:page;mso-height-relative:page;" filled="f" stroked="t" coordsize="21600,21600" o:gfxdata="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B4bBudUAAAAJAQAADwAAAAAAAAABACAAAAAiAAAAZHJz&#10;L2Rvd25yZXYueG1sUEsBAhQAFAAAAAgAh07iQACfnmnOAQAAjwMAAA4AAAAAAAAAAQAgAAAAJAEA&#10;AGRycy9lMm9Eb2MueG1sUEsFBgAAAAAGAAYAWQEAAGQFAAAAAA==&#10;">
                <v:fill on="f" focussize="0,0"/>
                <v:stroke weight="0.498976377952756pt" color="#000000" joinstyle="round"/>
                <v:imagedata o:title=""/>
                <o:lock v:ext="edit" aspectratio="f"/>
              </v:line>
            </w:pict>
          </mc:Fallback>
        </mc:AlternateContent>
      </w:r>
      <w:r>
        <w:rPr>
          <w:rFonts w:ascii="Times New Roman"/>
        </w:rPr>
        <w:t xml:space="preserve">SB= </w:t>
      </w:r>
      <w:r>
        <w:rPr>
          <w:rFonts w:ascii="Times New Roman"/>
          <w:position w:val="15"/>
        </w:rPr>
        <w:t xml:space="preserve">0.263 </w:t>
      </w:r>
      <w:r>
        <w:rPr>
          <w:rFonts w:ascii="Times New Roman"/>
        </w:rPr>
        <w:t>=0.05</w:t>
      </w:r>
    </w:p>
    <w:p>
      <w:pPr>
        <w:pStyle w:val="6"/>
        <w:spacing w:line="231" w:lineRule="exact"/>
        <w:ind w:left="1978"/>
        <w:rPr>
          <w:rFonts w:ascii="Times New Roman"/>
        </w:rPr>
      </w:pPr>
      <w:r>
        <w:rPr>
          <w:rFonts w:ascii="Times New Roman"/>
        </w:rPr>
        <w:t>5.148</w:t>
      </w:r>
    </w:p>
    <w:p>
      <w:pPr>
        <w:pStyle w:val="6"/>
        <w:spacing w:before="11" w:line="381" w:lineRule="exact"/>
        <w:ind w:left="1502"/>
        <w:rPr>
          <w:rFonts w:ascii="Times New Roman"/>
        </w:rPr>
      </w:pPr>
      <w:r>
        <mc:AlternateContent>
          <mc:Choice Requires="wps">
            <w:drawing>
              <wp:anchor distT="0" distB="0" distL="114300" distR="114300" simplePos="0" relativeHeight="214208512" behindDoc="1" locked="0" layoutInCell="1" allowOverlap="1">
                <wp:simplePos x="0" y="0"/>
                <wp:positionH relativeFrom="page">
                  <wp:posOffset>2140585</wp:posOffset>
                </wp:positionH>
                <wp:positionV relativeFrom="paragraph">
                  <wp:posOffset>205105</wp:posOffset>
                </wp:positionV>
                <wp:extent cx="356235" cy="0"/>
                <wp:effectExtent l="0" t="0" r="0" b="0"/>
                <wp:wrapNone/>
                <wp:docPr id="50" name="直线 138"/>
                <wp:cNvGraphicFramePr/>
                <a:graphic xmlns:a="http://schemas.openxmlformats.org/drawingml/2006/main">
                  <a:graphicData uri="http://schemas.microsoft.com/office/word/2010/wordprocessingShape">
                    <wps:wsp>
                      <wps:cNvSpPr/>
                      <wps:spPr>
                        <a:xfrm>
                          <a:off x="0" y="0"/>
                          <a:ext cx="356235" cy="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138" o:spid="_x0000_s1026" o:spt="20" style="position:absolute;left:0pt;margin-left:168.55pt;margin-top:16.15pt;height:0pt;width:28.05pt;mso-position-horizontal-relative:page;z-index:-289107968;mso-width-relative:page;mso-height-relative:page;" filled="f" stroked="t" coordsize="21600,21600" o:gfxdata="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t5XucdUAAAAJAQAADwAAAAAAAAABACAAAAAiAAAAZHJz&#10;L2Rvd25yZXYueG1sUEsBAhQAFAAAAAgAh07iQEIX0bXOAQAAjwMAAA4AAAAAAAAAAQAgAAAAJAEA&#10;AGRycy9lMm9Eb2MueG1sUEsFBgAAAAAGAAYAWQEAAGQFAAAAAA==&#10;">
                <v:fill on="f" focussize="0,0"/>
                <v:stroke weight="0.5pt" color="#000000" joinstyle="round"/>
                <v:imagedata o:title=""/>
                <o:lock v:ext="edit" aspectratio="f"/>
              </v:line>
            </w:pict>
          </mc:Fallback>
        </mc:AlternateContent>
      </w:r>
      <w:r>
        <w:rPr>
          <w:rFonts w:ascii="Times New Roman"/>
        </w:rPr>
        <w:t xml:space="preserve">HCB= </w:t>
      </w:r>
      <w:r>
        <w:rPr>
          <w:rFonts w:ascii="Times New Roman"/>
          <w:position w:val="15"/>
        </w:rPr>
        <w:t xml:space="preserve">4.595 </w:t>
      </w:r>
      <w:r>
        <w:rPr>
          <w:rFonts w:ascii="Times New Roman"/>
        </w:rPr>
        <w:t>=15.84</w:t>
      </w:r>
    </w:p>
    <w:p>
      <w:pPr>
        <w:pStyle w:val="6"/>
        <w:spacing w:line="231" w:lineRule="exact"/>
        <w:ind w:right="5018"/>
        <w:jc w:val="center"/>
        <w:rPr>
          <w:rFonts w:ascii="Times New Roman"/>
        </w:rPr>
      </w:pPr>
      <w:r>
        <w:rPr>
          <w:rFonts w:ascii="Times New Roman"/>
        </w:rPr>
        <w:t>0.29</w:t>
      </w:r>
    </w:p>
    <w:p>
      <w:pPr>
        <w:pStyle w:val="6"/>
        <w:spacing w:before="83"/>
        <w:ind w:right="4936"/>
        <w:jc w:val="center"/>
        <w:rPr>
          <w:rFonts w:ascii="Times New Roman" w:eastAsia="Times New Roman"/>
        </w:rPr>
      </w:pPr>
      <w:r>
        <w:t xml:space="preserve">经查表 </w:t>
      </w:r>
      <w:r>
        <w:rPr>
          <w:rFonts w:ascii="Times New Roman" w:eastAsia="Times New Roman"/>
        </w:rPr>
        <w:t xml:space="preserve">6.4-4 </w:t>
      </w:r>
      <w:r>
        <w:t xml:space="preserve">得 </w:t>
      </w:r>
      <w:r>
        <w:rPr>
          <w:rFonts w:ascii="Times New Roman" w:eastAsia="Times New Roman"/>
        </w:rPr>
        <w:t xml:space="preserve">Ms </w:t>
      </w:r>
      <w:r>
        <w:t xml:space="preserve">为 </w:t>
      </w:r>
      <w:r>
        <w:rPr>
          <w:rFonts w:ascii="Times New Roman" w:eastAsia="Times New Roman"/>
        </w:rPr>
        <w:t>0.079</w:t>
      </w:r>
    </w:p>
    <w:p>
      <w:pPr>
        <w:pStyle w:val="6"/>
        <w:spacing w:before="161"/>
        <w:ind w:left="1070"/>
        <w:rPr>
          <w:rFonts w:ascii="Times New Roman" w:hAnsi="Times New Roman" w:eastAsia="Times New Roman"/>
        </w:rPr>
      </w:pPr>
      <w:r>
        <w:t>矿化度（</w:t>
      </w:r>
      <w:r>
        <w:rPr>
          <w:rFonts w:ascii="Times New Roman" w:hAnsi="Times New Roman" w:eastAsia="Times New Roman"/>
        </w:rPr>
        <w:t>g/L</w:t>
      </w:r>
      <w:r>
        <w:t>）</w:t>
      </w:r>
      <w:r>
        <w:rPr>
          <w:rFonts w:ascii="Times New Roman" w:hAnsi="Times New Roman" w:eastAsia="Times New Roman"/>
        </w:rPr>
        <w:t>=5.148×0.079=0.41</w:t>
      </w:r>
      <w:r>
        <w:t xml:space="preserve">，所以矿化度处于 </w:t>
      </w:r>
      <w:r>
        <w:rPr>
          <w:rFonts w:ascii="Times New Roman" w:hAnsi="Times New Roman" w:eastAsia="Times New Roman"/>
        </w:rPr>
        <w:t xml:space="preserve">A </w:t>
      </w:r>
      <w:r>
        <w:t>组，</w:t>
      </w:r>
      <w:r>
        <w:rPr>
          <w:rFonts w:ascii="Times New Roman" w:hAnsi="Times New Roman" w:eastAsia="Times New Roman"/>
        </w:rPr>
        <w:t>1#</w:t>
      </w:r>
      <w:r>
        <w:t xml:space="preserve">处地下水为 </w:t>
      </w:r>
      <w:r>
        <w:rPr>
          <w:rFonts w:ascii="Times New Roman" w:hAnsi="Times New Roman" w:eastAsia="Times New Roman"/>
        </w:rPr>
        <w:t>2-A</w:t>
      </w:r>
    </w:p>
    <w:p>
      <w:pPr>
        <w:pStyle w:val="6"/>
        <w:spacing w:before="160" w:line="364" w:lineRule="auto"/>
        <w:ind w:left="1070" w:right="3904" w:hanging="519"/>
      </w:pPr>
      <w:r>
        <mc:AlternateContent>
          <mc:Choice Requires="wps">
            <w:drawing>
              <wp:anchor distT="0" distB="0" distL="114300" distR="114300" simplePos="0" relativeHeight="214211584" behindDoc="1" locked="0" layoutInCell="1" allowOverlap="1">
                <wp:simplePos x="0" y="0"/>
                <wp:positionH relativeFrom="page">
                  <wp:posOffset>3474720</wp:posOffset>
                </wp:positionH>
                <wp:positionV relativeFrom="paragraph">
                  <wp:posOffset>175895</wp:posOffset>
                </wp:positionV>
                <wp:extent cx="49530" cy="109855"/>
                <wp:effectExtent l="0" t="0" r="0" b="0"/>
                <wp:wrapNone/>
                <wp:docPr id="56" name="文本框 139"/>
                <wp:cNvGraphicFramePr/>
                <a:graphic xmlns:a="http://schemas.openxmlformats.org/drawingml/2006/main">
                  <a:graphicData uri="http://schemas.microsoft.com/office/word/2010/wordprocessingShape">
                    <wps:wsp>
                      <wps:cNvSpPr txBox="1"/>
                      <wps:spPr>
                        <a:xfrm>
                          <a:off x="0" y="0"/>
                          <a:ext cx="49530" cy="109855"/>
                        </a:xfrm>
                        <a:prstGeom prst="rect">
                          <a:avLst/>
                        </a:prstGeom>
                        <a:noFill/>
                        <a:ln>
                          <a:noFill/>
                        </a:ln>
                      </wps:spPr>
                      <wps:txbx>
                        <w:txbxContent>
                          <w:p>
                            <w:pPr>
                              <w:spacing w:before="0" w:line="171" w:lineRule="exact"/>
                              <w:ind w:left="0" w:right="0" w:firstLine="0"/>
                              <w:jc w:val="left"/>
                              <w:rPr>
                                <w:rFonts w:ascii="Times New Roman"/>
                                <w:sz w:val="15"/>
                              </w:rPr>
                            </w:pPr>
                            <w:r>
                              <w:rPr>
                                <w:rFonts w:ascii="Times New Roman"/>
                                <w:w w:val="104"/>
                                <w:sz w:val="15"/>
                              </w:rPr>
                              <w:t>3</w:t>
                            </w:r>
                          </w:p>
                        </w:txbxContent>
                      </wps:txbx>
                      <wps:bodyPr lIns="0" tIns="0" rIns="0" bIns="0" upright="1"/>
                    </wps:wsp>
                  </a:graphicData>
                </a:graphic>
              </wp:anchor>
            </w:drawing>
          </mc:Choice>
          <mc:Fallback>
            <w:pict>
              <v:shape id="文本框 139" o:spid="_x0000_s1026" o:spt="202" type="#_x0000_t202" style="position:absolute;left:0pt;margin-left:273.6pt;margin-top:13.85pt;height:8.65pt;width:3.9pt;mso-position-horizontal-relative:page;z-index:-289104896;mso-width-relative:page;mso-height-relative:page;" filled="f" stroked="f" coordsize="21600,21600" o:gfxdata="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yeXlhNkAAAAJAQAADwAAAAAA&#10;AAABACAAAAAiAAAAZHJzL2Rvd25yZXYueG1sUEsBAhQAFAAAAAgAh07iQH3hJKWgAQAAJQMAAA4A&#10;AAAAAAAAAQAgAAAAKAEAAGRycy9lMm9Eb2MueG1sUEsFBgAAAAAGAAYAWQEAADoFAAAAAA==&#10;">
                <v:fill on="f" focussize="0,0"/>
                <v:stroke on="f"/>
                <v:imagedata o:title=""/>
                <o:lock v:ext="edit" aspectratio="f"/>
                <v:textbox inset="0mm,0mm,0mm,0mm">
                  <w:txbxContent>
                    <w:p>
                      <w:pPr>
                        <w:spacing w:before="0" w:line="171" w:lineRule="exact"/>
                        <w:ind w:left="0" w:right="0" w:firstLine="0"/>
                        <w:jc w:val="left"/>
                        <w:rPr>
                          <w:rFonts w:ascii="Times New Roman"/>
                          <w:sz w:val="15"/>
                        </w:rPr>
                      </w:pPr>
                      <w:r>
                        <w:rPr>
                          <w:rFonts w:ascii="Times New Roman"/>
                          <w:w w:val="104"/>
                          <w:sz w:val="15"/>
                        </w:rPr>
                        <w:t>3</w:t>
                      </w:r>
                    </w:p>
                  </w:txbxContent>
                </v:textbox>
              </v:shape>
            </w:pict>
          </mc:Fallback>
        </mc:AlternateContent>
      </w:r>
      <w:r>
        <w:rPr>
          <w:spacing w:val="-6"/>
        </w:rPr>
        <w:t xml:space="preserve">型，表示矿化度小于 </w:t>
      </w:r>
      <w:r>
        <w:rPr>
          <w:rFonts w:ascii="Times New Roman" w:hAnsi="Times New Roman" w:eastAsia="Times New Roman"/>
        </w:rPr>
        <w:t xml:space="preserve">1.5g/L </w:t>
      </w:r>
      <w:r>
        <w:rPr>
          <w:spacing w:val="-30"/>
        </w:rPr>
        <w:t xml:space="preserve">的 </w:t>
      </w:r>
      <w:r>
        <w:rPr>
          <w:rFonts w:ascii="Times New Roman" w:hAnsi="Times New Roman" w:eastAsia="Times New Roman"/>
        </w:rPr>
        <w:t xml:space="preserve">HCO </w:t>
      </w:r>
      <w:r>
        <w:rPr>
          <w:rFonts w:ascii="Times New Roman" w:hAnsi="Times New Roman" w:eastAsia="Times New Roman"/>
          <w:position w:val="8"/>
          <w:sz w:val="15"/>
        </w:rPr>
        <w:t>—</w:t>
      </w:r>
      <w:r>
        <w:rPr>
          <w:rFonts w:ascii="Times New Roman" w:hAnsi="Times New Roman" w:eastAsia="Times New Roman"/>
        </w:rPr>
        <w:t xml:space="preserve">Ca+Mg </w:t>
      </w:r>
      <w:r>
        <w:rPr>
          <w:spacing w:val="-4"/>
        </w:rPr>
        <w:t>型水。</w:t>
      </w:r>
      <w:r>
        <w:t>其它点位计算过程同上。</w:t>
      </w:r>
    </w:p>
    <w:p>
      <w:pPr>
        <w:pStyle w:val="6"/>
        <w:spacing w:before="1"/>
        <w:ind w:left="1070"/>
      </w:pPr>
      <w:r>
        <w:t>水质矿化度计算结果见下表。</w:t>
      </w:r>
    </w:p>
    <w:p>
      <w:pPr>
        <w:pStyle w:val="5"/>
        <w:spacing w:before="161"/>
        <w:ind w:right="412"/>
        <w:jc w:val="center"/>
      </w:pPr>
      <w:r>
        <mc:AlternateContent>
          <mc:Choice Requires="wps">
            <w:drawing>
              <wp:anchor distT="0" distB="0" distL="114300" distR="114300" simplePos="0" relativeHeight="214209536" behindDoc="1" locked="0" layoutInCell="1" allowOverlap="1">
                <wp:simplePos x="0" y="0"/>
                <wp:positionH relativeFrom="page">
                  <wp:posOffset>1083310</wp:posOffset>
                </wp:positionH>
                <wp:positionV relativeFrom="paragraph">
                  <wp:posOffset>353060</wp:posOffset>
                </wp:positionV>
                <wp:extent cx="1473200" cy="399415"/>
                <wp:effectExtent l="1270" t="4445" r="11430" b="15240"/>
                <wp:wrapNone/>
                <wp:docPr id="52" name="直线 140"/>
                <wp:cNvGraphicFramePr/>
                <a:graphic xmlns:a="http://schemas.openxmlformats.org/drawingml/2006/main">
                  <a:graphicData uri="http://schemas.microsoft.com/office/word/2010/wordprocessingShape">
                    <wps:wsp>
                      <wps:cNvSpPr/>
                      <wps:spPr>
                        <a:xfrm>
                          <a:off x="0" y="0"/>
                          <a:ext cx="1473200" cy="399415"/>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140" o:spid="_x0000_s1026" o:spt="20" style="position:absolute;left:0pt;margin-left:85.3pt;margin-top:27.8pt;height:31.45pt;width:116pt;mso-position-horizontal-relative:page;z-index:-289106944;mso-width-relative:page;mso-height-relative:page;" filled="f" stroked="t" coordsize="21600,21600" o:gfxdata="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9Nq6TVAAAACgEAAA8AAAAAAAAAAQAgAAAAIgAA&#10;AGRycy9kb3ducmV2LnhtbFBLAQIUABQAAAAIAIdO4kCQ3I1Z0gEAAJUDAAAOAAAAAAAAAAEAIAAA&#10;ACQBAABkcnMvZTJvRG9jLnhtbFBLBQYAAAAABgAGAFkBAABoBQAAAAA=&#10;">
                <v:fill on="f" focussize="0,0"/>
                <v:stroke weight="0.5pt" color="#000000" joinstyle="round"/>
                <v:imagedata o:title=""/>
                <o:lock v:ext="edit" aspectratio="f"/>
              </v:line>
            </w:pict>
          </mc:Fallback>
        </mc:AlternateContent>
      </w:r>
      <w:r>
        <w:t xml:space="preserve">表 </w:t>
      </w:r>
      <w:r>
        <w:rPr>
          <w:rFonts w:ascii="Times New Roman" w:eastAsia="Times New Roman"/>
        </w:rPr>
        <w:t xml:space="preserve">6.4-7 </w:t>
      </w:r>
      <w:r>
        <w:t>水质矿化度</w:t>
      </w:r>
    </w:p>
    <w:p>
      <w:pPr>
        <w:pStyle w:val="6"/>
        <w:spacing w:before="3"/>
        <w:rPr>
          <w:b/>
          <w:sz w:val="6"/>
        </w:rPr>
      </w:pPr>
    </w:p>
    <w:tbl>
      <w:tblPr>
        <w:tblStyle w:val="10"/>
        <w:tblW w:w="0" w:type="auto"/>
        <w:tblInd w:w="5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25"/>
        <w:gridCol w:w="1235"/>
        <w:gridCol w:w="1235"/>
        <w:gridCol w:w="1235"/>
        <w:gridCol w:w="1235"/>
        <w:gridCol w:w="12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325" w:type="dxa"/>
          </w:tcPr>
          <w:p>
            <w:pPr>
              <w:pStyle w:val="14"/>
              <w:spacing w:before="21"/>
              <w:ind w:left="1320"/>
              <w:jc w:val="left"/>
              <w:rPr>
                <w:b/>
                <w:sz w:val="21"/>
              </w:rPr>
            </w:pPr>
            <w:r>
              <w:rPr>
                <w:b/>
                <w:sz w:val="21"/>
              </w:rPr>
              <w:t>编号</w:t>
            </w:r>
          </w:p>
          <w:p>
            <w:pPr>
              <w:pStyle w:val="14"/>
              <w:spacing w:before="43"/>
              <w:ind w:left="108"/>
              <w:jc w:val="left"/>
              <w:rPr>
                <w:b/>
                <w:sz w:val="21"/>
              </w:rPr>
            </w:pPr>
            <w:r>
              <w:rPr>
                <w:b/>
                <w:sz w:val="21"/>
              </w:rPr>
              <w:t>项目</w:t>
            </w:r>
          </w:p>
        </w:tc>
        <w:tc>
          <w:tcPr>
            <w:tcW w:w="1235" w:type="dxa"/>
          </w:tcPr>
          <w:p>
            <w:pPr>
              <w:pStyle w:val="14"/>
              <w:spacing w:before="191"/>
              <w:ind w:left="412" w:right="402"/>
              <w:rPr>
                <w:rFonts w:ascii="Times New Roman"/>
                <w:sz w:val="21"/>
              </w:rPr>
            </w:pPr>
            <w:r>
              <w:rPr>
                <w:rFonts w:ascii="Times New Roman"/>
                <w:sz w:val="21"/>
              </w:rPr>
              <w:t>1#</w:t>
            </w:r>
          </w:p>
        </w:tc>
        <w:tc>
          <w:tcPr>
            <w:tcW w:w="1235" w:type="dxa"/>
          </w:tcPr>
          <w:p>
            <w:pPr>
              <w:pStyle w:val="14"/>
              <w:spacing w:before="191"/>
              <w:ind w:left="409" w:right="402"/>
              <w:rPr>
                <w:rFonts w:ascii="Times New Roman"/>
                <w:sz w:val="21"/>
              </w:rPr>
            </w:pPr>
            <w:r>
              <w:rPr>
                <w:rFonts w:ascii="Times New Roman"/>
                <w:sz w:val="21"/>
              </w:rPr>
              <w:t>2#</w:t>
            </w:r>
          </w:p>
        </w:tc>
        <w:tc>
          <w:tcPr>
            <w:tcW w:w="1235" w:type="dxa"/>
          </w:tcPr>
          <w:p>
            <w:pPr>
              <w:pStyle w:val="14"/>
              <w:spacing w:before="191"/>
              <w:ind w:left="411" w:right="402"/>
              <w:rPr>
                <w:rFonts w:ascii="Times New Roman"/>
                <w:sz w:val="21"/>
              </w:rPr>
            </w:pPr>
            <w:r>
              <w:rPr>
                <w:rFonts w:ascii="Times New Roman"/>
                <w:sz w:val="21"/>
              </w:rPr>
              <w:t>3#</w:t>
            </w:r>
          </w:p>
        </w:tc>
        <w:tc>
          <w:tcPr>
            <w:tcW w:w="1235" w:type="dxa"/>
          </w:tcPr>
          <w:p>
            <w:pPr>
              <w:pStyle w:val="14"/>
              <w:spacing w:before="191"/>
              <w:ind w:left="408" w:right="402"/>
              <w:rPr>
                <w:rFonts w:ascii="Times New Roman"/>
                <w:sz w:val="21"/>
              </w:rPr>
            </w:pPr>
            <w:r>
              <w:rPr>
                <w:rFonts w:ascii="Times New Roman"/>
                <w:sz w:val="21"/>
              </w:rPr>
              <w:t>4#</w:t>
            </w:r>
          </w:p>
        </w:tc>
        <w:tc>
          <w:tcPr>
            <w:tcW w:w="1235" w:type="dxa"/>
          </w:tcPr>
          <w:p>
            <w:pPr>
              <w:pStyle w:val="14"/>
              <w:spacing w:before="191"/>
              <w:ind w:left="410" w:right="402"/>
              <w:rPr>
                <w:rFonts w:ascii="Times New Roman"/>
                <w:sz w:val="21"/>
              </w:rPr>
            </w:pPr>
            <w:r>
              <w:rPr>
                <w:rFonts w:ascii="Times New Roman"/>
                <w:sz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25" w:type="dxa"/>
          </w:tcPr>
          <w:p>
            <w:pPr>
              <w:pStyle w:val="14"/>
              <w:spacing w:before="21"/>
              <w:ind w:left="516" w:right="506"/>
              <w:rPr>
                <w:b/>
                <w:sz w:val="21"/>
              </w:rPr>
            </w:pPr>
            <w:r>
              <w:rPr>
                <w:b/>
                <w:sz w:val="21"/>
              </w:rPr>
              <w:t>矿化度（</w:t>
            </w:r>
            <w:r>
              <w:rPr>
                <w:rFonts w:ascii="Times New Roman" w:eastAsia="Times New Roman"/>
                <w:b/>
                <w:sz w:val="21"/>
              </w:rPr>
              <w:t>M</w:t>
            </w:r>
            <w:r>
              <w:rPr>
                <w:b/>
                <w:sz w:val="21"/>
              </w:rPr>
              <w:t>）</w:t>
            </w:r>
          </w:p>
        </w:tc>
        <w:tc>
          <w:tcPr>
            <w:tcW w:w="1235" w:type="dxa"/>
          </w:tcPr>
          <w:p>
            <w:pPr>
              <w:pStyle w:val="14"/>
              <w:spacing w:before="34"/>
              <w:ind w:left="412" w:right="402"/>
              <w:rPr>
                <w:rFonts w:ascii="Times New Roman"/>
                <w:sz w:val="21"/>
              </w:rPr>
            </w:pPr>
            <w:r>
              <w:rPr>
                <w:rFonts w:ascii="Times New Roman"/>
                <w:sz w:val="21"/>
              </w:rPr>
              <w:t>0.41</w:t>
            </w:r>
          </w:p>
        </w:tc>
        <w:tc>
          <w:tcPr>
            <w:tcW w:w="1235" w:type="dxa"/>
          </w:tcPr>
          <w:p>
            <w:pPr>
              <w:pStyle w:val="14"/>
              <w:spacing w:before="34"/>
              <w:ind w:left="412" w:right="400"/>
              <w:rPr>
                <w:rFonts w:ascii="Times New Roman"/>
                <w:sz w:val="21"/>
              </w:rPr>
            </w:pPr>
            <w:r>
              <w:rPr>
                <w:rFonts w:ascii="Times New Roman"/>
                <w:sz w:val="21"/>
              </w:rPr>
              <w:t>0.19</w:t>
            </w:r>
          </w:p>
        </w:tc>
        <w:tc>
          <w:tcPr>
            <w:tcW w:w="1235" w:type="dxa"/>
          </w:tcPr>
          <w:p>
            <w:pPr>
              <w:pStyle w:val="14"/>
              <w:spacing w:before="34"/>
              <w:ind w:left="411" w:right="402"/>
              <w:rPr>
                <w:rFonts w:ascii="Times New Roman"/>
                <w:sz w:val="21"/>
              </w:rPr>
            </w:pPr>
            <w:r>
              <w:rPr>
                <w:rFonts w:ascii="Times New Roman"/>
                <w:sz w:val="21"/>
              </w:rPr>
              <w:t>0.38</w:t>
            </w:r>
          </w:p>
        </w:tc>
        <w:tc>
          <w:tcPr>
            <w:tcW w:w="1235" w:type="dxa"/>
          </w:tcPr>
          <w:p>
            <w:pPr>
              <w:pStyle w:val="14"/>
              <w:spacing w:before="34"/>
              <w:ind w:left="412" w:right="401"/>
              <w:rPr>
                <w:rFonts w:ascii="Times New Roman"/>
                <w:sz w:val="21"/>
              </w:rPr>
            </w:pPr>
            <w:r>
              <w:rPr>
                <w:rFonts w:ascii="Times New Roman"/>
                <w:sz w:val="21"/>
              </w:rPr>
              <w:t>0.74</w:t>
            </w:r>
          </w:p>
        </w:tc>
        <w:tc>
          <w:tcPr>
            <w:tcW w:w="1235" w:type="dxa"/>
          </w:tcPr>
          <w:p>
            <w:pPr>
              <w:pStyle w:val="14"/>
              <w:spacing w:before="34"/>
              <w:ind w:left="410" w:right="402"/>
              <w:rPr>
                <w:rFonts w:ascii="Times New Roman"/>
                <w:sz w:val="21"/>
              </w:rPr>
            </w:pPr>
            <w:r>
              <w:rPr>
                <w:rFonts w:ascii="Times New Roman"/>
                <w:sz w:val="21"/>
              </w:rPr>
              <w:t>0.74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25" w:type="dxa"/>
          </w:tcPr>
          <w:p>
            <w:pPr>
              <w:pStyle w:val="14"/>
              <w:spacing w:before="20"/>
              <w:ind w:left="515" w:right="506"/>
              <w:rPr>
                <w:b/>
                <w:sz w:val="21"/>
              </w:rPr>
            </w:pPr>
            <w:r>
              <w:rPr>
                <w:b/>
                <w:sz w:val="21"/>
              </w:rPr>
              <w:t>矿化度分组</w:t>
            </w:r>
          </w:p>
        </w:tc>
        <w:tc>
          <w:tcPr>
            <w:tcW w:w="1235" w:type="dxa"/>
          </w:tcPr>
          <w:p>
            <w:pPr>
              <w:pStyle w:val="14"/>
              <w:spacing w:before="34"/>
              <w:ind w:left="8"/>
              <w:rPr>
                <w:rFonts w:ascii="Times New Roman"/>
                <w:sz w:val="21"/>
              </w:rPr>
            </w:pPr>
            <w:r>
              <w:rPr>
                <w:rFonts w:ascii="Times New Roman"/>
                <w:w w:val="99"/>
                <w:sz w:val="21"/>
              </w:rPr>
              <w:t>A</w:t>
            </w:r>
          </w:p>
        </w:tc>
        <w:tc>
          <w:tcPr>
            <w:tcW w:w="1235" w:type="dxa"/>
          </w:tcPr>
          <w:p>
            <w:pPr>
              <w:pStyle w:val="14"/>
              <w:spacing w:before="34"/>
              <w:ind w:left="10"/>
              <w:rPr>
                <w:rFonts w:ascii="Times New Roman"/>
                <w:sz w:val="21"/>
              </w:rPr>
            </w:pPr>
            <w:r>
              <w:rPr>
                <w:rFonts w:ascii="Times New Roman"/>
                <w:w w:val="99"/>
                <w:sz w:val="21"/>
              </w:rPr>
              <w:t>A</w:t>
            </w:r>
          </w:p>
        </w:tc>
        <w:tc>
          <w:tcPr>
            <w:tcW w:w="1235" w:type="dxa"/>
          </w:tcPr>
          <w:p>
            <w:pPr>
              <w:pStyle w:val="14"/>
              <w:spacing w:before="34"/>
              <w:ind w:left="7"/>
              <w:rPr>
                <w:rFonts w:ascii="Times New Roman"/>
                <w:sz w:val="21"/>
              </w:rPr>
            </w:pPr>
            <w:r>
              <w:rPr>
                <w:rFonts w:ascii="Times New Roman"/>
                <w:w w:val="99"/>
                <w:sz w:val="21"/>
              </w:rPr>
              <w:t>A</w:t>
            </w:r>
          </w:p>
        </w:tc>
        <w:tc>
          <w:tcPr>
            <w:tcW w:w="1235" w:type="dxa"/>
          </w:tcPr>
          <w:p>
            <w:pPr>
              <w:pStyle w:val="14"/>
              <w:spacing w:before="34"/>
              <w:ind w:left="9"/>
              <w:rPr>
                <w:rFonts w:ascii="Times New Roman"/>
                <w:sz w:val="21"/>
              </w:rPr>
            </w:pPr>
            <w:r>
              <w:rPr>
                <w:rFonts w:ascii="Times New Roman"/>
                <w:w w:val="99"/>
                <w:sz w:val="21"/>
              </w:rPr>
              <w:t>A</w:t>
            </w:r>
          </w:p>
        </w:tc>
        <w:tc>
          <w:tcPr>
            <w:tcW w:w="1235" w:type="dxa"/>
          </w:tcPr>
          <w:p>
            <w:pPr>
              <w:pStyle w:val="14"/>
              <w:spacing w:before="34"/>
              <w:ind w:left="7"/>
              <w:rPr>
                <w:rFonts w:ascii="Times New Roman"/>
                <w:sz w:val="21"/>
              </w:rPr>
            </w:pPr>
            <w:r>
              <w:rPr>
                <w:rFonts w:ascii="Times New Roman"/>
                <w:w w:val="99"/>
                <w:sz w:val="21"/>
              </w:rPr>
              <w:t>A</w:t>
            </w:r>
          </w:p>
        </w:tc>
      </w:tr>
    </w:tbl>
    <w:p>
      <w:pPr>
        <w:pStyle w:val="6"/>
        <w:spacing w:before="78" w:line="362" w:lineRule="auto"/>
        <w:ind w:left="551" w:right="844" w:firstLine="518"/>
      </w:pPr>
      <w:r>
        <w:rPr>
          <w:position w:val="2"/>
        </w:rPr>
        <w:t>综上所述，</w:t>
      </w:r>
      <w:r>
        <w:rPr>
          <w:rFonts w:ascii="Times New Roman" w:hAnsi="Times New Roman" w:eastAsia="Times New Roman"/>
          <w:position w:val="2"/>
        </w:rPr>
        <w:t>1#</w:t>
      </w:r>
      <w:r>
        <w:rPr>
          <w:spacing w:val="-10"/>
          <w:position w:val="2"/>
        </w:rPr>
        <w:t xml:space="preserve">处地下水为 </w:t>
      </w:r>
      <w:r>
        <w:rPr>
          <w:rFonts w:ascii="Times New Roman" w:hAnsi="Times New Roman" w:eastAsia="Times New Roman"/>
          <w:position w:val="2"/>
        </w:rPr>
        <w:t xml:space="preserve">2-A </w:t>
      </w:r>
      <w:r>
        <w:rPr>
          <w:spacing w:val="-6"/>
          <w:position w:val="2"/>
        </w:rPr>
        <w:t xml:space="preserve">型，表示矿化度小于 </w:t>
      </w:r>
      <w:r>
        <w:rPr>
          <w:rFonts w:ascii="Times New Roman" w:hAnsi="Times New Roman" w:eastAsia="Times New Roman"/>
          <w:position w:val="2"/>
        </w:rPr>
        <w:t xml:space="preserve">1.5g/L </w:t>
      </w:r>
      <w:r>
        <w:rPr>
          <w:spacing w:val="-27"/>
          <w:position w:val="2"/>
        </w:rPr>
        <w:t xml:space="preserve">的 </w:t>
      </w:r>
      <w:r>
        <w:rPr>
          <w:rFonts w:ascii="Times New Roman" w:hAnsi="Times New Roman" w:eastAsia="Times New Roman"/>
          <w:position w:val="2"/>
        </w:rPr>
        <w:t>HCO</w:t>
      </w:r>
      <w:r>
        <w:rPr>
          <w:rFonts w:ascii="Times New Roman" w:hAnsi="Times New Roman" w:eastAsia="Times New Roman"/>
          <w:position w:val="2"/>
          <w:vertAlign w:val="subscript"/>
        </w:rPr>
        <w:t>3</w:t>
      </w:r>
      <w:r>
        <w:rPr>
          <w:rFonts w:ascii="Times New Roman" w:hAnsi="Times New Roman" w:eastAsia="Times New Roman"/>
          <w:position w:val="2"/>
          <w:vertAlign w:val="superscript"/>
        </w:rPr>
        <w:t>—</w:t>
      </w:r>
      <w:r>
        <w:rPr>
          <w:rFonts w:ascii="Times New Roman" w:hAnsi="Times New Roman" w:eastAsia="Times New Roman"/>
          <w:position w:val="2"/>
          <w:vertAlign w:val="baseline"/>
        </w:rPr>
        <w:t xml:space="preserve">Ca+Mg </w:t>
      </w:r>
      <w:r>
        <w:rPr>
          <w:position w:val="2"/>
          <w:vertAlign w:val="baseline"/>
        </w:rPr>
        <w:t>型水；</w:t>
      </w:r>
      <w:r>
        <w:rPr>
          <w:rFonts w:ascii="Times New Roman" w:hAnsi="Times New Roman" w:eastAsia="Times New Roman"/>
          <w:position w:val="2"/>
          <w:vertAlign w:val="baseline"/>
        </w:rPr>
        <w:t>2#</w:t>
      </w:r>
      <w:r>
        <w:rPr>
          <w:spacing w:val="-10"/>
          <w:position w:val="2"/>
          <w:vertAlign w:val="baseline"/>
        </w:rPr>
        <w:t xml:space="preserve">处地下水为 </w:t>
      </w:r>
      <w:r>
        <w:rPr>
          <w:rFonts w:ascii="Times New Roman" w:hAnsi="Times New Roman" w:eastAsia="Times New Roman"/>
          <w:position w:val="2"/>
          <w:vertAlign w:val="baseline"/>
        </w:rPr>
        <w:t xml:space="preserve">2-A </w:t>
      </w:r>
      <w:r>
        <w:rPr>
          <w:spacing w:val="-6"/>
          <w:position w:val="2"/>
          <w:vertAlign w:val="baseline"/>
        </w:rPr>
        <w:t xml:space="preserve">型，表示矿化度小于 </w:t>
      </w:r>
      <w:r>
        <w:rPr>
          <w:rFonts w:ascii="Times New Roman" w:hAnsi="Times New Roman" w:eastAsia="Times New Roman"/>
          <w:position w:val="2"/>
          <w:vertAlign w:val="baseline"/>
        </w:rPr>
        <w:t xml:space="preserve">1.5g/L </w:t>
      </w:r>
      <w:r>
        <w:rPr>
          <w:spacing w:val="-28"/>
          <w:position w:val="2"/>
          <w:vertAlign w:val="baseline"/>
        </w:rPr>
        <w:t xml:space="preserve">的 </w:t>
      </w:r>
      <w:r>
        <w:rPr>
          <w:rFonts w:ascii="Times New Roman" w:hAnsi="Times New Roman" w:eastAsia="Times New Roman"/>
          <w:position w:val="2"/>
          <w:vertAlign w:val="baseline"/>
        </w:rPr>
        <w:t>HCO</w:t>
      </w:r>
      <w:r>
        <w:rPr>
          <w:rFonts w:ascii="Times New Roman" w:hAnsi="Times New Roman" w:eastAsia="Times New Roman"/>
          <w:position w:val="2"/>
          <w:vertAlign w:val="subscript"/>
        </w:rPr>
        <w:t>3</w:t>
      </w:r>
      <w:r>
        <w:rPr>
          <w:rFonts w:ascii="Times New Roman" w:hAnsi="Times New Roman" w:eastAsia="Times New Roman"/>
          <w:position w:val="2"/>
          <w:vertAlign w:val="superscript"/>
        </w:rPr>
        <w:t>—</w:t>
      </w:r>
      <w:r>
        <w:rPr>
          <w:rFonts w:ascii="Times New Roman" w:hAnsi="Times New Roman" w:eastAsia="Times New Roman"/>
          <w:position w:val="2"/>
          <w:vertAlign w:val="baseline"/>
        </w:rPr>
        <w:t xml:space="preserve">Ca+Mg </w:t>
      </w:r>
      <w:r>
        <w:rPr>
          <w:position w:val="2"/>
          <w:vertAlign w:val="baseline"/>
        </w:rPr>
        <w:t>型水；</w:t>
      </w:r>
      <w:r>
        <w:rPr>
          <w:rFonts w:ascii="Times New Roman" w:hAnsi="Times New Roman" w:eastAsia="Times New Roman"/>
          <w:position w:val="2"/>
          <w:vertAlign w:val="baseline"/>
        </w:rPr>
        <w:t xml:space="preserve">3# </w:t>
      </w:r>
      <w:r>
        <w:rPr>
          <w:spacing w:val="-10"/>
          <w:position w:val="2"/>
          <w:vertAlign w:val="baseline"/>
        </w:rPr>
        <w:t xml:space="preserve">处地下水为 </w:t>
      </w:r>
      <w:r>
        <w:rPr>
          <w:rFonts w:ascii="Times New Roman" w:hAnsi="Times New Roman" w:eastAsia="Times New Roman"/>
          <w:position w:val="2"/>
          <w:vertAlign w:val="baseline"/>
        </w:rPr>
        <w:t xml:space="preserve">2-A </w:t>
      </w:r>
      <w:r>
        <w:rPr>
          <w:spacing w:val="-6"/>
          <w:position w:val="2"/>
          <w:vertAlign w:val="baseline"/>
        </w:rPr>
        <w:t xml:space="preserve">型，表示矿化度小于 </w:t>
      </w:r>
      <w:r>
        <w:rPr>
          <w:rFonts w:ascii="Times New Roman" w:hAnsi="Times New Roman" w:eastAsia="Times New Roman"/>
          <w:position w:val="2"/>
          <w:vertAlign w:val="baseline"/>
        </w:rPr>
        <w:t xml:space="preserve">1.5g/L </w:t>
      </w:r>
      <w:r>
        <w:rPr>
          <w:spacing w:val="-28"/>
          <w:position w:val="2"/>
          <w:vertAlign w:val="baseline"/>
        </w:rPr>
        <w:t xml:space="preserve">的 </w:t>
      </w:r>
      <w:r>
        <w:rPr>
          <w:rFonts w:ascii="Times New Roman" w:hAnsi="Times New Roman" w:eastAsia="Times New Roman"/>
          <w:position w:val="2"/>
          <w:vertAlign w:val="baseline"/>
        </w:rPr>
        <w:t>HCO</w:t>
      </w:r>
      <w:r>
        <w:rPr>
          <w:rFonts w:ascii="Times New Roman" w:hAnsi="Times New Roman" w:eastAsia="Times New Roman"/>
          <w:position w:val="2"/>
          <w:vertAlign w:val="subscript"/>
        </w:rPr>
        <w:t>3</w:t>
      </w:r>
      <w:r>
        <w:rPr>
          <w:rFonts w:ascii="Times New Roman" w:hAnsi="Times New Roman" w:eastAsia="Times New Roman"/>
          <w:position w:val="2"/>
          <w:vertAlign w:val="superscript"/>
        </w:rPr>
        <w:t>—</w:t>
      </w:r>
      <w:r>
        <w:rPr>
          <w:rFonts w:ascii="Times New Roman" w:hAnsi="Times New Roman" w:eastAsia="Times New Roman"/>
          <w:position w:val="2"/>
          <w:vertAlign w:val="baseline"/>
        </w:rPr>
        <w:t xml:space="preserve">Ca+Mg </w:t>
      </w:r>
      <w:r>
        <w:rPr>
          <w:position w:val="2"/>
          <w:vertAlign w:val="baseline"/>
        </w:rPr>
        <w:t>型水；</w:t>
      </w:r>
      <w:r>
        <w:rPr>
          <w:rFonts w:ascii="Times New Roman" w:hAnsi="Times New Roman" w:eastAsia="Times New Roman"/>
          <w:position w:val="2"/>
          <w:vertAlign w:val="baseline"/>
        </w:rPr>
        <w:t>4#</w:t>
      </w:r>
      <w:r>
        <w:rPr>
          <w:position w:val="2"/>
          <w:vertAlign w:val="baseline"/>
        </w:rPr>
        <w:t>处地下水</w:t>
      </w:r>
      <w:r>
        <w:rPr>
          <w:spacing w:val="-30"/>
          <w:position w:val="2"/>
          <w:vertAlign w:val="baseline"/>
        </w:rPr>
        <w:t xml:space="preserve">为 </w:t>
      </w:r>
      <w:r>
        <w:rPr>
          <w:rFonts w:ascii="Times New Roman" w:hAnsi="Times New Roman" w:eastAsia="Times New Roman"/>
          <w:position w:val="2"/>
          <w:vertAlign w:val="baseline"/>
        </w:rPr>
        <w:t xml:space="preserve">2-A </w:t>
      </w:r>
      <w:r>
        <w:rPr>
          <w:spacing w:val="-13"/>
          <w:position w:val="2"/>
          <w:vertAlign w:val="baseline"/>
        </w:rPr>
        <w:t xml:space="preserve">型，表示矿化度小于 </w:t>
      </w:r>
      <w:r>
        <w:rPr>
          <w:rFonts w:ascii="Times New Roman" w:hAnsi="Times New Roman" w:eastAsia="Times New Roman"/>
          <w:position w:val="2"/>
          <w:vertAlign w:val="baseline"/>
        </w:rPr>
        <w:t xml:space="preserve">1.5g/L </w:t>
      </w:r>
      <w:r>
        <w:rPr>
          <w:spacing w:val="-30"/>
          <w:position w:val="2"/>
          <w:vertAlign w:val="baseline"/>
        </w:rPr>
        <w:t xml:space="preserve">的 </w:t>
      </w:r>
      <w:r>
        <w:rPr>
          <w:rFonts w:ascii="Times New Roman" w:hAnsi="Times New Roman" w:eastAsia="Times New Roman"/>
          <w:position w:val="2"/>
          <w:vertAlign w:val="baseline"/>
        </w:rPr>
        <w:t>HCO</w:t>
      </w:r>
      <w:r>
        <w:rPr>
          <w:rFonts w:ascii="Times New Roman" w:hAnsi="Times New Roman" w:eastAsia="Times New Roman"/>
          <w:position w:val="2"/>
          <w:vertAlign w:val="subscript"/>
        </w:rPr>
        <w:t>3</w:t>
      </w:r>
      <w:r>
        <w:rPr>
          <w:rFonts w:ascii="Times New Roman" w:hAnsi="Times New Roman" w:eastAsia="Times New Roman"/>
          <w:position w:val="2"/>
          <w:vertAlign w:val="superscript"/>
        </w:rPr>
        <w:t>—</w:t>
      </w:r>
      <w:r>
        <w:rPr>
          <w:rFonts w:ascii="Times New Roman" w:hAnsi="Times New Roman" w:eastAsia="Times New Roman"/>
          <w:position w:val="2"/>
          <w:vertAlign w:val="baseline"/>
        </w:rPr>
        <w:t xml:space="preserve">Ca+Mg </w:t>
      </w:r>
      <w:r>
        <w:rPr>
          <w:spacing w:val="-6"/>
          <w:position w:val="2"/>
          <w:vertAlign w:val="baseline"/>
        </w:rPr>
        <w:t>型水；</w:t>
      </w:r>
      <w:r>
        <w:rPr>
          <w:rFonts w:ascii="Times New Roman" w:hAnsi="Times New Roman" w:eastAsia="Times New Roman"/>
          <w:spacing w:val="-16"/>
          <w:position w:val="2"/>
          <w:vertAlign w:val="baseline"/>
        </w:rPr>
        <w:t>5#</w:t>
      </w:r>
      <w:r>
        <w:rPr>
          <w:spacing w:val="-10"/>
          <w:position w:val="2"/>
          <w:vertAlign w:val="baseline"/>
        </w:rPr>
        <w:t xml:space="preserve">处地下水为 </w:t>
      </w:r>
      <w:r>
        <w:rPr>
          <w:rFonts w:ascii="Times New Roman" w:hAnsi="Times New Roman" w:eastAsia="Times New Roman"/>
          <w:position w:val="2"/>
          <w:vertAlign w:val="baseline"/>
        </w:rPr>
        <w:t xml:space="preserve">2-A </w:t>
      </w:r>
      <w:r>
        <w:rPr>
          <w:spacing w:val="-9"/>
          <w:position w:val="2"/>
          <w:vertAlign w:val="baseline"/>
        </w:rPr>
        <w:t xml:space="preserve">型， </w:t>
      </w:r>
      <w:r>
        <w:rPr>
          <w:spacing w:val="-8"/>
          <w:position w:val="2"/>
          <w:vertAlign w:val="baseline"/>
        </w:rPr>
        <w:t xml:space="preserve">表示矿化度小于 </w:t>
      </w:r>
      <w:r>
        <w:rPr>
          <w:rFonts w:ascii="Times New Roman" w:hAnsi="Times New Roman" w:eastAsia="Times New Roman"/>
          <w:position w:val="2"/>
          <w:vertAlign w:val="baseline"/>
        </w:rPr>
        <w:t xml:space="preserve">1.5g/L </w:t>
      </w:r>
      <w:r>
        <w:rPr>
          <w:spacing w:val="-30"/>
          <w:position w:val="2"/>
          <w:vertAlign w:val="baseline"/>
        </w:rPr>
        <w:t xml:space="preserve">的 </w:t>
      </w:r>
      <w:r>
        <w:rPr>
          <w:rFonts w:ascii="Times New Roman" w:hAnsi="Times New Roman" w:eastAsia="Times New Roman"/>
          <w:position w:val="2"/>
          <w:vertAlign w:val="baseline"/>
        </w:rPr>
        <w:t>HCO</w:t>
      </w:r>
      <w:r>
        <w:rPr>
          <w:rFonts w:ascii="Times New Roman" w:hAnsi="Times New Roman" w:eastAsia="Times New Roman"/>
          <w:position w:val="2"/>
          <w:vertAlign w:val="subscript"/>
        </w:rPr>
        <w:t>3</w:t>
      </w:r>
      <w:r>
        <w:rPr>
          <w:rFonts w:ascii="Times New Roman" w:hAnsi="Times New Roman" w:eastAsia="Times New Roman"/>
          <w:position w:val="2"/>
          <w:vertAlign w:val="superscript"/>
        </w:rPr>
        <w:t>—</w:t>
      </w:r>
      <w:r>
        <w:rPr>
          <w:rFonts w:ascii="Times New Roman" w:hAnsi="Times New Roman" w:eastAsia="Times New Roman"/>
          <w:position w:val="2"/>
          <w:vertAlign w:val="baseline"/>
        </w:rPr>
        <w:t xml:space="preserve">Ca+Mg </w:t>
      </w:r>
      <w:r>
        <w:rPr>
          <w:position w:val="2"/>
          <w:vertAlign w:val="baseline"/>
        </w:rPr>
        <w:t>型水。</w:t>
      </w:r>
    </w:p>
    <w:p>
      <w:pPr>
        <w:pStyle w:val="6"/>
        <w:spacing w:line="307" w:lineRule="exact"/>
        <w:ind w:left="1031"/>
      </w:pPr>
      <w:r>
        <w:t>（</w:t>
      </w:r>
      <w:r>
        <w:rPr>
          <w:rFonts w:ascii="Calibri" w:eastAsia="Calibri"/>
        </w:rPr>
        <w:t>2</w:t>
      </w:r>
      <w:r>
        <w:t>）水质现状评价结果</w:t>
      </w:r>
    </w:p>
    <w:p>
      <w:pPr>
        <w:pStyle w:val="6"/>
        <w:spacing w:before="161"/>
        <w:ind w:left="1070"/>
      </w:pPr>
      <w:r>
        <w:t xml:space="preserve">地下水监测结果见表 </w:t>
      </w:r>
      <w:r>
        <w:rPr>
          <w:rFonts w:ascii="Times New Roman" w:eastAsia="Times New Roman"/>
        </w:rPr>
        <w:t>6.4-8</w:t>
      </w:r>
      <w:r>
        <w:t xml:space="preserve">，地下水污染指数计算结果见表 </w:t>
      </w:r>
      <w:r>
        <w:rPr>
          <w:rFonts w:ascii="Times New Roman" w:eastAsia="Times New Roman"/>
        </w:rPr>
        <w:t>6.4-9</w:t>
      </w:r>
      <w:r>
        <w:t>。</w:t>
      </w:r>
    </w:p>
    <w:p>
      <w:pPr>
        <w:spacing w:before="99" w:after="24"/>
        <w:ind w:left="0" w:right="415" w:firstLine="0"/>
        <w:jc w:val="center"/>
        <w:rPr>
          <w:b/>
          <w:sz w:val="21"/>
        </w:rPr>
      </w:pPr>
      <w:r>
        <w:rPr>
          <w:b/>
          <w:sz w:val="21"/>
        </w:rPr>
        <w:t xml:space="preserve">表 </w:t>
      </w:r>
      <w:r>
        <w:rPr>
          <w:rFonts w:ascii="Times New Roman" w:eastAsia="Times New Roman"/>
          <w:b/>
          <w:sz w:val="21"/>
        </w:rPr>
        <w:t xml:space="preserve">6.4-8 </w:t>
      </w:r>
      <w:r>
        <w:rPr>
          <w:b/>
          <w:sz w:val="21"/>
        </w:rPr>
        <w:t>地下水监测结果</w:t>
      </w:r>
    </w:p>
    <w:tbl>
      <w:tblPr>
        <w:tblStyle w:val="10"/>
        <w:tblW w:w="0" w:type="auto"/>
        <w:tblInd w:w="4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47"/>
        <w:gridCol w:w="1370"/>
        <w:gridCol w:w="1484"/>
        <w:gridCol w:w="1347"/>
        <w:gridCol w:w="1357"/>
        <w:gridCol w:w="13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747" w:type="dxa"/>
            <w:vMerge w:val="restart"/>
          </w:tcPr>
          <w:p>
            <w:pPr>
              <w:pStyle w:val="14"/>
              <w:spacing w:before="10"/>
              <w:jc w:val="left"/>
              <w:rPr>
                <w:b/>
                <w:sz w:val="14"/>
              </w:rPr>
            </w:pPr>
          </w:p>
          <w:p>
            <w:pPr>
              <w:pStyle w:val="14"/>
              <w:ind w:left="453"/>
              <w:jc w:val="left"/>
              <w:rPr>
                <w:sz w:val="21"/>
              </w:rPr>
            </w:pPr>
            <w:r>
              <w:rPr>
                <w:sz w:val="21"/>
              </w:rPr>
              <w:t>监测项目</w:t>
            </w:r>
          </w:p>
        </w:tc>
        <w:tc>
          <w:tcPr>
            <w:tcW w:w="6871" w:type="dxa"/>
            <w:gridSpan w:val="5"/>
          </w:tcPr>
          <w:p>
            <w:pPr>
              <w:pStyle w:val="14"/>
              <w:spacing w:before="46" w:line="254" w:lineRule="exact"/>
              <w:ind w:left="2242" w:right="2234"/>
              <w:rPr>
                <w:sz w:val="21"/>
              </w:rPr>
            </w:pPr>
            <w:r>
              <w:rPr>
                <w:sz w:val="21"/>
              </w:rPr>
              <w:t>监测结果（单位：</w:t>
            </w:r>
            <w:r>
              <w:rPr>
                <w:rFonts w:ascii="Times New Roman" w:eastAsia="Times New Roman"/>
                <w:sz w:val="21"/>
              </w:rPr>
              <w:t>mg/L</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747" w:type="dxa"/>
            <w:vMerge w:val="continue"/>
            <w:tcBorders>
              <w:top w:val="nil"/>
            </w:tcBorders>
          </w:tcPr>
          <w:p>
            <w:pPr>
              <w:rPr>
                <w:sz w:val="2"/>
                <w:szCs w:val="2"/>
              </w:rPr>
            </w:pPr>
          </w:p>
        </w:tc>
        <w:tc>
          <w:tcPr>
            <w:tcW w:w="1370" w:type="dxa"/>
          </w:tcPr>
          <w:p>
            <w:pPr>
              <w:pStyle w:val="14"/>
              <w:spacing w:before="61" w:line="239" w:lineRule="exact"/>
              <w:ind w:left="122" w:right="111"/>
              <w:rPr>
                <w:rFonts w:ascii="Times New Roman"/>
                <w:sz w:val="21"/>
              </w:rPr>
            </w:pPr>
            <w:r>
              <w:rPr>
                <w:rFonts w:ascii="Times New Roman"/>
                <w:sz w:val="21"/>
              </w:rPr>
              <w:t>1#</w:t>
            </w:r>
          </w:p>
        </w:tc>
        <w:tc>
          <w:tcPr>
            <w:tcW w:w="1484" w:type="dxa"/>
          </w:tcPr>
          <w:p>
            <w:pPr>
              <w:pStyle w:val="14"/>
              <w:spacing w:before="61" w:line="239" w:lineRule="exact"/>
              <w:ind w:left="419" w:right="411"/>
              <w:rPr>
                <w:rFonts w:ascii="Times New Roman"/>
                <w:sz w:val="21"/>
              </w:rPr>
            </w:pPr>
            <w:r>
              <w:rPr>
                <w:rFonts w:ascii="Times New Roman"/>
                <w:sz w:val="21"/>
              </w:rPr>
              <w:t>2#</w:t>
            </w:r>
          </w:p>
        </w:tc>
        <w:tc>
          <w:tcPr>
            <w:tcW w:w="1347" w:type="dxa"/>
          </w:tcPr>
          <w:p>
            <w:pPr>
              <w:pStyle w:val="14"/>
              <w:spacing w:before="61" w:line="239" w:lineRule="exact"/>
              <w:ind w:left="416" w:right="407"/>
              <w:rPr>
                <w:rFonts w:ascii="Times New Roman"/>
                <w:sz w:val="21"/>
              </w:rPr>
            </w:pPr>
            <w:r>
              <w:rPr>
                <w:rFonts w:ascii="Times New Roman"/>
                <w:sz w:val="21"/>
              </w:rPr>
              <w:t>3#</w:t>
            </w:r>
          </w:p>
        </w:tc>
        <w:tc>
          <w:tcPr>
            <w:tcW w:w="1357" w:type="dxa"/>
          </w:tcPr>
          <w:p>
            <w:pPr>
              <w:pStyle w:val="14"/>
              <w:spacing w:before="61" w:line="239" w:lineRule="exact"/>
              <w:ind w:left="421" w:right="413"/>
              <w:rPr>
                <w:rFonts w:ascii="Times New Roman"/>
                <w:sz w:val="21"/>
              </w:rPr>
            </w:pPr>
            <w:r>
              <w:rPr>
                <w:rFonts w:ascii="Times New Roman"/>
                <w:sz w:val="21"/>
              </w:rPr>
              <w:t>4#</w:t>
            </w:r>
          </w:p>
        </w:tc>
        <w:tc>
          <w:tcPr>
            <w:tcW w:w="1313" w:type="dxa"/>
          </w:tcPr>
          <w:p>
            <w:pPr>
              <w:pStyle w:val="14"/>
              <w:spacing w:before="61" w:line="239" w:lineRule="exact"/>
              <w:ind w:left="281" w:right="274"/>
              <w:rPr>
                <w:rFonts w:ascii="Times New Roman"/>
                <w:sz w:val="21"/>
              </w:rPr>
            </w:pPr>
            <w:r>
              <w:rPr>
                <w:rFonts w:ascii="Times New Roman"/>
                <w:sz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47" w:type="dxa"/>
          </w:tcPr>
          <w:p>
            <w:pPr>
              <w:pStyle w:val="14"/>
              <w:spacing w:before="22"/>
              <w:ind w:left="198" w:right="191"/>
              <w:rPr>
                <w:sz w:val="21"/>
              </w:rPr>
            </w:pPr>
            <w:r>
              <w:rPr>
                <w:rFonts w:ascii="Times New Roman" w:eastAsia="Times New Roman"/>
                <w:sz w:val="21"/>
              </w:rPr>
              <w:t>pH</w:t>
            </w:r>
            <w:r>
              <w:rPr>
                <w:sz w:val="21"/>
              </w:rPr>
              <w:t>（无量纲）</w:t>
            </w:r>
          </w:p>
        </w:tc>
        <w:tc>
          <w:tcPr>
            <w:tcW w:w="1370" w:type="dxa"/>
          </w:tcPr>
          <w:p>
            <w:pPr>
              <w:pStyle w:val="14"/>
              <w:spacing w:before="38"/>
              <w:ind w:left="122" w:right="111"/>
              <w:rPr>
                <w:rFonts w:ascii="Times New Roman"/>
                <w:sz w:val="21"/>
              </w:rPr>
            </w:pPr>
            <w:bookmarkStart w:id="238" w:name="8.19"/>
            <w:bookmarkEnd w:id="238"/>
            <w:r>
              <w:rPr>
                <w:rFonts w:ascii="Times New Roman"/>
                <w:sz w:val="21"/>
              </w:rPr>
              <w:t>8.19</w:t>
            </w:r>
          </w:p>
        </w:tc>
        <w:tc>
          <w:tcPr>
            <w:tcW w:w="1484" w:type="dxa"/>
          </w:tcPr>
          <w:p>
            <w:pPr>
              <w:pStyle w:val="14"/>
              <w:spacing w:before="38"/>
              <w:ind w:left="419" w:right="411"/>
              <w:rPr>
                <w:rFonts w:ascii="Times New Roman"/>
                <w:sz w:val="21"/>
              </w:rPr>
            </w:pPr>
            <w:bookmarkStart w:id="239" w:name="7.52"/>
            <w:bookmarkEnd w:id="239"/>
            <w:r>
              <w:rPr>
                <w:rFonts w:ascii="Times New Roman"/>
                <w:sz w:val="21"/>
              </w:rPr>
              <w:t>7.52</w:t>
            </w:r>
          </w:p>
        </w:tc>
        <w:tc>
          <w:tcPr>
            <w:tcW w:w="1347" w:type="dxa"/>
          </w:tcPr>
          <w:p>
            <w:pPr>
              <w:pStyle w:val="14"/>
              <w:spacing w:before="38"/>
              <w:ind w:left="416" w:right="407"/>
              <w:rPr>
                <w:rFonts w:ascii="Times New Roman"/>
                <w:sz w:val="21"/>
              </w:rPr>
            </w:pPr>
            <w:bookmarkStart w:id="240" w:name="7.00"/>
            <w:bookmarkEnd w:id="240"/>
            <w:r>
              <w:rPr>
                <w:rFonts w:ascii="Times New Roman"/>
                <w:sz w:val="21"/>
              </w:rPr>
              <w:t>7.00</w:t>
            </w:r>
          </w:p>
        </w:tc>
        <w:tc>
          <w:tcPr>
            <w:tcW w:w="1357" w:type="dxa"/>
          </w:tcPr>
          <w:p>
            <w:pPr>
              <w:pStyle w:val="14"/>
              <w:spacing w:before="38"/>
              <w:ind w:left="421" w:right="411"/>
              <w:rPr>
                <w:rFonts w:ascii="Times New Roman"/>
                <w:sz w:val="21"/>
              </w:rPr>
            </w:pPr>
            <w:bookmarkStart w:id="241" w:name="7.03"/>
            <w:bookmarkEnd w:id="241"/>
            <w:r>
              <w:rPr>
                <w:rFonts w:ascii="Times New Roman"/>
                <w:sz w:val="21"/>
              </w:rPr>
              <w:t>7.03</w:t>
            </w:r>
          </w:p>
        </w:tc>
        <w:tc>
          <w:tcPr>
            <w:tcW w:w="1313" w:type="dxa"/>
          </w:tcPr>
          <w:p>
            <w:pPr>
              <w:pStyle w:val="14"/>
              <w:spacing w:before="38"/>
              <w:ind w:left="282" w:right="271"/>
              <w:rPr>
                <w:rFonts w:ascii="Times New Roman"/>
                <w:sz w:val="21"/>
              </w:rPr>
            </w:pPr>
            <w:bookmarkStart w:id="242" w:name="7.61"/>
            <w:bookmarkEnd w:id="242"/>
            <w:r>
              <w:rPr>
                <w:rFonts w:ascii="Times New Roman"/>
                <w:sz w:val="21"/>
              </w:rPr>
              <w:t>7.61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47" w:type="dxa"/>
          </w:tcPr>
          <w:p>
            <w:pPr>
              <w:pStyle w:val="14"/>
              <w:spacing w:before="21"/>
              <w:ind w:left="196" w:right="191"/>
              <w:rPr>
                <w:sz w:val="21"/>
              </w:rPr>
            </w:pPr>
            <w:r>
              <w:rPr>
                <w:sz w:val="21"/>
              </w:rPr>
              <w:t>氨氮</w:t>
            </w:r>
          </w:p>
        </w:tc>
        <w:tc>
          <w:tcPr>
            <w:tcW w:w="1370" w:type="dxa"/>
          </w:tcPr>
          <w:p>
            <w:pPr>
              <w:pStyle w:val="14"/>
              <w:spacing w:before="38"/>
              <w:ind w:right="373"/>
              <w:jc w:val="right"/>
              <w:rPr>
                <w:rFonts w:ascii="Times New Roman"/>
                <w:sz w:val="21"/>
              </w:rPr>
            </w:pPr>
            <w:bookmarkStart w:id="243" w:name="0.025L"/>
            <w:bookmarkEnd w:id="243"/>
            <w:r>
              <w:rPr>
                <w:rFonts w:ascii="Times New Roman"/>
                <w:w w:val="95"/>
                <w:sz w:val="21"/>
              </w:rPr>
              <w:t>0.025L</w:t>
            </w:r>
          </w:p>
        </w:tc>
        <w:tc>
          <w:tcPr>
            <w:tcW w:w="1484" w:type="dxa"/>
          </w:tcPr>
          <w:p>
            <w:pPr>
              <w:pStyle w:val="14"/>
              <w:spacing w:before="38"/>
              <w:ind w:left="421" w:right="411"/>
              <w:rPr>
                <w:rFonts w:ascii="Times New Roman"/>
                <w:sz w:val="21"/>
              </w:rPr>
            </w:pPr>
            <w:bookmarkStart w:id="244" w:name="0.025L"/>
            <w:bookmarkEnd w:id="244"/>
            <w:r>
              <w:rPr>
                <w:rFonts w:ascii="Times New Roman"/>
                <w:sz w:val="21"/>
              </w:rPr>
              <w:t>0.025L</w:t>
            </w:r>
          </w:p>
        </w:tc>
        <w:tc>
          <w:tcPr>
            <w:tcW w:w="1347" w:type="dxa"/>
          </w:tcPr>
          <w:p>
            <w:pPr>
              <w:pStyle w:val="14"/>
              <w:spacing w:before="38"/>
              <w:ind w:left="416" w:right="407"/>
              <w:rPr>
                <w:rFonts w:ascii="Times New Roman"/>
                <w:sz w:val="21"/>
              </w:rPr>
            </w:pPr>
            <w:bookmarkStart w:id="245" w:name="0.028"/>
            <w:bookmarkEnd w:id="245"/>
            <w:r>
              <w:rPr>
                <w:rFonts w:ascii="Times New Roman"/>
                <w:sz w:val="21"/>
              </w:rPr>
              <w:t>0.028</w:t>
            </w:r>
          </w:p>
        </w:tc>
        <w:tc>
          <w:tcPr>
            <w:tcW w:w="1357" w:type="dxa"/>
          </w:tcPr>
          <w:p>
            <w:pPr>
              <w:pStyle w:val="14"/>
              <w:spacing w:before="38"/>
              <w:ind w:left="421" w:right="413"/>
              <w:rPr>
                <w:rFonts w:ascii="Times New Roman"/>
                <w:sz w:val="21"/>
              </w:rPr>
            </w:pPr>
            <w:bookmarkStart w:id="246" w:name="0.061"/>
            <w:bookmarkEnd w:id="246"/>
            <w:r>
              <w:rPr>
                <w:rFonts w:ascii="Times New Roman"/>
                <w:sz w:val="21"/>
              </w:rPr>
              <w:t>0.061</w:t>
            </w:r>
          </w:p>
        </w:tc>
        <w:tc>
          <w:tcPr>
            <w:tcW w:w="1313" w:type="dxa"/>
          </w:tcPr>
          <w:p>
            <w:pPr>
              <w:pStyle w:val="14"/>
              <w:spacing w:before="38"/>
              <w:ind w:right="408"/>
              <w:jc w:val="right"/>
              <w:rPr>
                <w:rFonts w:ascii="Times New Roman"/>
                <w:sz w:val="21"/>
              </w:rPr>
            </w:pPr>
            <w:bookmarkStart w:id="247" w:name="0.040"/>
            <w:bookmarkEnd w:id="247"/>
            <w:r>
              <w:rPr>
                <w:rFonts w:ascii="Times New Roman"/>
                <w:w w:val="95"/>
                <w:sz w:val="21"/>
              </w:rPr>
              <w:t>0.040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47" w:type="dxa"/>
          </w:tcPr>
          <w:p>
            <w:pPr>
              <w:pStyle w:val="14"/>
              <w:spacing w:before="21"/>
              <w:ind w:left="196" w:right="191"/>
              <w:rPr>
                <w:sz w:val="21"/>
              </w:rPr>
            </w:pPr>
            <w:r>
              <w:rPr>
                <w:sz w:val="21"/>
              </w:rPr>
              <w:t>硝酸盐</w:t>
            </w:r>
          </w:p>
        </w:tc>
        <w:tc>
          <w:tcPr>
            <w:tcW w:w="1370" w:type="dxa"/>
          </w:tcPr>
          <w:p>
            <w:pPr>
              <w:pStyle w:val="14"/>
              <w:spacing w:before="37"/>
              <w:ind w:left="122" w:right="111"/>
              <w:rPr>
                <w:rFonts w:ascii="Times New Roman"/>
                <w:sz w:val="21"/>
              </w:rPr>
            </w:pPr>
            <w:bookmarkStart w:id="248" w:name="7.0"/>
            <w:bookmarkEnd w:id="248"/>
            <w:r>
              <w:rPr>
                <w:rFonts w:ascii="Times New Roman"/>
                <w:sz w:val="21"/>
              </w:rPr>
              <w:t>7.0</w:t>
            </w:r>
          </w:p>
        </w:tc>
        <w:tc>
          <w:tcPr>
            <w:tcW w:w="1484" w:type="dxa"/>
          </w:tcPr>
          <w:p>
            <w:pPr>
              <w:pStyle w:val="14"/>
              <w:spacing w:before="37"/>
              <w:ind w:left="419" w:right="411"/>
              <w:rPr>
                <w:rFonts w:ascii="Times New Roman"/>
                <w:sz w:val="21"/>
              </w:rPr>
            </w:pPr>
            <w:bookmarkStart w:id="249" w:name="7.9"/>
            <w:bookmarkEnd w:id="249"/>
            <w:r>
              <w:rPr>
                <w:rFonts w:ascii="Times New Roman"/>
                <w:sz w:val="21"/>
              </w:rPr>
              <w:t>7.9</w:t>
            </w:r>
          </w:p>
        </w:tc>
        <w:tc>
          <w:tcPr>
            <w:tcW w:w="1347" w:type="dxa"/>
          </w:tcPr>
          <w:p>
            <w:pPr>
              <w:pStyle w:val="14"/>
              <w:spacing w:before="37"/>
              <w:ind w:left="416" w:right="407"/>
              <w:rPr>
                <w:rFonts w:ascii="Times New Roman"/>
                <w:sz w:val="21"/>
              </w:rPr>
            </w:pPr>
            <w:bookmarkStart w:id="250" w:name="9.8"/>
            <w:bookmarkEnd w:id="250"/>
            <w:r>
              <w:rPr>
                <w:rFonts w:ascii="Times New Roman"/>
                <w:sz w:val="21"/>
              </w:rPr>
              <w:t>9.8</w:t>
            </w:r>
          </w:p>
        </w:tc>
        <w:tc>
          <w:tcPr>
            <w:tcW w:w="1357" w:type="dxa"/>
          </w:tcPr>
          <w:p>
            <w:pPr>
              <w:pStyle w:val="14"/>
              <w:spacing w:before="37"/>
              <w:ind w:left="421" w:right="412"/>
              <w:rPr>
                <w:rFonts w:ascii="Times New Roman"/>
                <w:sz w:val="21"/>
              </w:rPr>
            </w:pPr>
            <w:bookmarkStart w:id="251" w:name="0.2L"/>
            <w:bookmarkEnd w:id="251"/>
            <w:r>
              <w:rPr>
                <w:rFonts w:ascii="Times New Roman"/>
                <w:sz w:val="21"/>
              </w:rPr>
              <w:t>0.2L</w:t>
            </w:r>
          </w:p>
        </w:tc>
        <w:tc>
          <w:tcPr>
            <w:tcW w:w="1313" w:type="dxa"/>
          </w:tcPr>
          <w:p>
            <w:pPr>
              <w:pStyle w:val="14"/>
              <w:spacing w:before="37"/>
              <w:ind w:left="282" w:right="271"/>
              <w:rPr>
                <w:rFonts w:ascii="Times New Roman"/>
                <w:sz w:val="21"/>
              </w:rPr>
            </w:pPr>
            <w:bookmarkStart w:id="252" w:name="0.2L"/>
            <w:bookmarkEnd w:id="252"/>
            <w:r>
              <w:rPr>
                <w:rFonts w:ascii="Times New Roman"/>
                <w:sz w:val="21"/>
              </w:rPr>
              <w:t>0.2L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47" w:type="dxa"/>
          </w:tcPr>
          <w:p>
            <w:pPr>
              <w:pStyle w:val="14"/>
              <w:spacing w:before="21"/>
              <w:ind w:left="198" w:right="191"/>
              <w:rPr>
                <w:sz w:val="21"/>
              </w:rPr>
            </w:pPr>
            <w:r>
              <w:rPr>
                <w:sz w:val="21"/>
              </w:rPr>
              <w:t>亚硝酸盐</w:t>
            </w:r>
          </w:p>
        </w:tc>
        <w:tc>
          <w:tcPr>
            <w:tcW w:w="1370" w:type="dxa"/>
          </w:tcPr>
          <w:p>
            <w:pPr>
              <w:pStyle w:val="14"/>
              <w:spacing w:before="37"/>
              <w:ind w:right="435"/>
              <w:jc w:val="right"/>
              <w:rPr>
                <w:rFonts w:ascii="Times New Roman"/>
                <w:sz w:val="21"/>
              </w:rPr>
            </w:pPr>
            <w:bookmarkStart w:id="253" w:name="0.005"/>
            <w:bookmarkEnd w:id="253"/>
            <w:r>
              <w:rPr>
                <w:rFonts w:ascii="Times New Roman"/>
                <w:sz w:val="21"/>
              </w:rPr>
              <w:t>0.005</w:t>
            </w:r>
          </w:p>
        </w:tc>
        <w:tc>
          <w:tcPr>
            <w:tcW w:w="1484" w:type="dxa"/>
          </w:tcPr>
          <w:p>
            <w:pPr>
              <w:pStyle w:val="14"/>
              <w:spacing w:before="37"/>
              <w:ind w:left="421" w:right="411"/>
              <w:rPr>
                <w:rFonts w:ascii="Times New Roman"/>
                <w:sz w:val="21"/>
              </w:rPr>
            </w:pPr>
            <w:bookmarkStart w:id="254" w:name="0.003L"/>
            <w:bookmarkEnd w:id="254"/>
            <w:r>
              <w:rPr>
                <w:rFonts w:ascii="Times New Roman"/>
                <w:sz w:val="21"/>
              </w:rPr>
              <w:t>0.003L</w:t>
            </w:r>
          </w:p>
        </w:tc>
        <w:tc>
          <w:tcPr>
            <w:tcW w:w="1347" w:type="dxa"/>
          </w:tcPr>
          <w:p>
            <w:pPr>
              <w:pStyle w:val="14"/>
              <w:spacing w:before="37"/>
              <w:ind w:left="416" w:right="407"/>
              <w:rPr>
                <w:rFonts w:ascii="Times New Roman"/>
                <w:sz w:val="21"/>
              </w:rPr>
            </w:pPr>
            <w:bookmarkStart w:id="255" w:name="0.026"/>
            <w:bookmarkEnd w:id="255"/>
            <w:r>
              <w:rPr>
                <w:rFonts w:ascii="Times New Roman"/>
                <w:sz w:val="21"/>
              </w:rPr>
              <w:t>0.026</w:t>
            </w:r>
          </w:p>
        </w:tc>
        <w:tc>
          <w:tcPr>
            <w:tcW w:w="1357" w:type="dxa"/>
          </w:tcPr>
          <w:p>
            <w:pPr>
              <w:pStyle w:val="14"/>
              <w:spacing w:before="37"/>
              <w:ind w:left="421" w:right="413"/>
              <w:rPr>
                <w:rFonts w:ascii="Times New Roman"/>
                <w:sz w:val="21"/>
              </w:rPr>
            </w:pPr>
            <w:bookmarkStart w:id="256" w:name="0.004"/>
            <w:bookmarkEnd w:id="256"/>
            <w:r>
              <w:rPr>
                <w:rFonts w:ascii="Times New Roman"/>
                <w:sz w:val="21"/>
              </w:rPr>
              <w:t>0.004</w:t>
            </w:r>
          </w:p>
        </w:tc>
        <w:tc>
          <w:tcPr>
            <w:tcW w:w="1313" w:type="dxa"/>
          </w:tcPr>
          <w:p>
            <w:pPr>
              <w:pStyle w:val="14"/>
              <w:spacing w:before="37"/>
              <w:ind w:right="344"/>
              <w:jc w:val="right"/>
              <w:rPr>
                <w:rFonts w:ascii="Times New Roman"/>
                <w:sz w:val="21"/>
              </w:rPr>
            </w:pPr>
            <w:bookmarkStart w:id="257" w:name="0.003L"/>
            <w:bookmarkEnd w:id="257"/>
            <w:r>
              <w:rPr>
                <w:rFonts w:ascii="Times New Roman"/>
                <w:w w:val="95"/>
                <w:sz w:val="21"/>
              </w:rPr>
              <w:t>0.003L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47" w:type="dxa"/>
          </w:tcPr>
          <w:p>
            <w:pPr>
              <w:pStyle w:val="14"/>
              <w:spacing w:before="20"/>
              <w:ind w:left="196" w:right="191"/>
              <w:rPr>
                <w:sz w:val="21"/>
              </w:rPr>
            </w:pPr>
            <w:r>
              <w:rPr>
                <w:sz w:val="21"/>
              </w:rPr>
              <w:t>总硬度</w:t>
            </w:r>
          </w:p>
        </w:tc>
        <w:tc>
          <w:tcPr>
            <w:tcW w:w="1370" w:type="dxa"/>
          </w:tcPr>
          <w:p>
            <w:pPr>
              <w:pStyle w:val="14"/>
              <w:spacing w:before="39"/>
              <w:ind w:left="117" w:right="111"/>
              <w:rPr>
                <w:rFonts w:ascii="Times New Roman"/>
                <w:sz w:val="21"/>
              </w:rPr>
            </w:pPr>
            <w:bookmarkStart w:id="258" w:name="226"/>
            <w:bookmarkEnd w:id="258"/>
            <w:r>
              <w:rPr>
                <w:rFonts w:ascii="Times New Roman"/>
                <w:sz w:val="21"/>
              </w:rPr>
              <w:t>226</w:t>
            </w:r>
          </w:p>
        </w:tc>
        <w:tc>
          <w:tcPr>
            <w:tcW w:w="1484" w:type="dxa"/>
          </w:tcPr>
          <w:p>
            <w:pPr>
              <w:pStyle w:val="14"/>
              <w:spacing w:before="39"/>
              <w:ind w:left="419" w:right="411"/>
              <w:rPr>
                <w:rFonts w:ascii="Times New Roman"/>
                <w:sz w:val="21"/>
              </w:rPr>
            </w:pPr>
            <w:bookmarkStart w:id="259" w:name="124"/>
            <w:bookmarkEnd w:id="259"/>
            <w:r>
              <w:rPr>
                <w:rFonts w:ascii="Times New Roman"/>
                <w:sz w:val="21"/>
              </w:rPr>
              <w:t>124</w:t>
            </w:r>
          </w:p>
        </w:tc>
        <w:tc>
          <w:tcPr>
            <w:tcW w:w="1347" w:type="dxa"/>
          </w:tcPr>
          <w:p>
            <w:pPr>
              <w:pStyle w:val="14"/>
              <w:spacing w:before="39"/>
              <w:ind w:left="416" w:right="407"/>
              <w:rPr>
                <w:rFonts w:ascii="Times New Roman"/>
                <w:sz w:val="21"/>
              </w:rPr>
            </w:pPr>
            <w:bookmarkStart w:id="260" w:name="233"/>
            <w:bookmarkEnd w:id="260"/>
            <w:r>
              <w:rPr>
                <w:rFonts w:ascii="Times New Roman"/>
                <w:sz w:val="21"/>
              </w:rPr>
              <w:t>233</w:t>
            </w:r>
          </w:p>
        </w:tc>
        <w:tc>
          <w:tcPr>
            <w:tcW w:w="1357" w:type="dxa"/>
          </w:tcPr>
          <w:p>
            <w:pPr>
              <w:pStyle w:val="14"/>
              <w:spacing w:before="39"/>
              <w:ind w:left="421" w:right="413"/>
              <w:rPr>
                <w:rFonts w:ascii="Times New Roman"/>
                <w:sz w:val="21"/>
              </w:rPr>
            </w:pPr>
            <w:bookmarkStart w:id="261" w:name="458"/>
            <w:bookmarkEnd w:id="261"/>
            <w:r>
              <w:rPr>
                <w:rFonts w:ascii="Times New Roman"/>
                <w:sz w:val="21"/>
              </w:rPr>
              <w:t>458</w:t>
            </w:r>
          </w:p>
        </w:tc>
        <w:tc>
          <w:tcPr>
            <w:tcW w:w="1313" w:type="dxa"/>
          </w:tcPr>
          <w:p>
            <w:pPr>
              <w:pStyle w:val="14"/>
              <w:spacing w:before="39"/>
              <w:ind w:left="282" w:right="271"/>
              <w:rPr>
                <w:rFonts w:ascii="Times New Roman"/>
                <w:sz w:val="21"/>
              </w:rPr>
            </w:pPr>
            <w:bookmarkStart w:id="262" w:name="445"/>
            <w:bookmarkEnd w:id="262"/>
            <w:r>
              <w:rPr>
                <w:rFonts w:ascii="Times New Roman"/>
                <w:sz w:val="21"/>
              </w:rPr>
              <w:t>445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47" w:type="dxa"/>
          </w:tcPr>
          <w:p>
            <w:pPr>
              <w:pStyle w:val="14"/>
              <w:spacing w:before="20"/>
              <w:ind w:left="196" w:right="191"/>
              <w:rPr>
                <w:sz w:val="21"/>
              </w:rPr>
            </w:pPr>
            <w:r>
              <w:rPr>
                <w:sz w:val="21"/>
              </w:rPr>
              <w:t>高锰酸盐指数</w:t>
            </w:r>
          </w:p>
        </w:tc>
        <w:tc>
          <w:tcPr>
            <w:tcW w:w="1370" w:type="dxa"/>
          </w:tcPr>
          <w:p>
            <w:pPr>
              <w:pStyle w:val="14"/>
              <w:spacing w:before="38"/>
              <w:ind w:left="122" w:right="111"/>
              <w:rPr>
                <w:rFonts w:ascii="Times New Roman"/>
                <w:sz w:val="21"/>
              </w:rPr>
            </w:pPr>
            <w:bookmarkStart w:id="263" w:name="1.8"/>
            <w:bookmarkEnd w:id="263"/>
            <w:r>
              <w:rPr>
                <w:rFonts w:ascii="Times New Roman"/>
                <w:sz w:val="21"/>
              </w:rPr>
              <w:t>1.8</w:t>
            </w:r>
          </w:p>
        </w:tc>
        <w:tc>
          <w:tcPr>
            <w:tcW w:w="1484" w:type="dxa"/>
          </w:tcPr>
          <w:p>
            <w:pPr>
              <w:pStyle w:val="14"/>
              <w:spacing w:before="38"/>
              <w:ind w:left="419" w:right="411"/>
              <w:rPr>
                <w:rFonts w:ascii="Times New Roman"/>
                <w:sz w:val="21"/>
              </w:rPr>
            </w:pPr>
            <w:bookmarkStart w:id="264" w:name="1.4"/>
            <w:bookmarkEnd w:id="264"/>
            <w:r>
              <w:rPr>
                <w:rFonts w:ascii="Times New Roman"/>
                <w:sz w:val="21"/>
              </w:rPr>
              <w:t>1.4</w:t>
            </w:r>
          </w:p>
        </w:tc>
        <w:tc>
          <w:tcPr>
            <w:tcW w:w="1347" w:type="dxa"/>
          </w:tcPr>
          <w:p>
            <w:pPr>
              <w:pStyle w:val="14"/>
              <w:spacing w:before="38"/>
              <w:ind w:left="416" w:right="407"/>
              <w:rPr>
                <w:rFonts w:ascii="Times New Roman"/>
                <w:sz w:val="21"/>
              </w:rPr>
            </w:pPr>
            <w:bookmarkStart w:id="265" w:name="1.0"/>
            <w:bookmarkEnd w:id="265"/>
            <w:r>
              <w:rPr>
                <w:rFonts w:ascii="Times New Roman"/>
                <w:sz w:val="21"/>
              </w:rPr>
              <w:t>1.0</w:t>
            </w:r>
          </w:p>
        </w:tc>
        <w:tc>
          <w:tcPr>
            <w:tcW w:w="1357" w:type="dxa"/>
          </w:tcPr>
          <w:p>
            <w:pPr>
              <w:pStyle w:val="14"/>
              <w:spacing w:before="38"/>
              <w:ind w:left="421" w:right="413"/>
              <w:rPr>
                <w:rFonts w:ascii="Times New Roman"/>
                <w:sz w:val="21"/>
              </w:rPr>
            </w:pPr>
            <w:bookmarkStart w:id="266" w:name="0.7"/>
            <w:bookmarkEnd w:id="266"/>
            <w:r>
              <w:rPr>
                <w:rFonts w:ascii="Times New Roman"/>
                <w:sz w:val="21"/>
              </w:rPr>
              <w:t>0.7</w:t>
            </w:r>
          </w:p>
        </w:tc>
        <w:tc>
          <w:tcPr>
            <w:tcW w:w="1313" w:type="dxa"/>
          </w:tcPr>
          <w:p>
            <w:pPr>
              <w:pStyle w:val="14"/>
              <w:spacing w:before="38"/>
              <w:ind w:left="281" w:right="274"/>
              <w:rPr>
                <w:rFonts w:ascii="Times New Roman"/>
                <w:sz w:val="21"/>
              </w:rPr>
            </w:pPr>
            <w:bookmarkStart w:id="267" w:name="1.7"/>
            <w:bookmarkEnd w:id="267"/>
            <w:r>
              <w:rPr>
                <w:rFonts w:ascii="Times New Roman"/>
                <w:sz w:val="21"/>
              </w:rPr>
              <w:t>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47" w:type="dxa"/>
          </w:tcPr>
          <w:p>
            <w:pPr>
              <w:pStyle w:val="14"/>
              <w:spacing w:before="22"/>
              <w:ind w:left="196" w:right="191"/>
              <w:rPr>
                <w:sz w:val="21"/>
              </w:rPr>
            </w:pPr>
            <w:r>
              <w:rPr>
                <w:sz w:val="21"/>
              </w:rPr>
              <w:t>溶解性总固体</w:t>
            </w:r>
          </w:p>
        </w:tc>
        <w:tc>
          <w:tcPr>
            <w:tcW w:w="1370" w:type="dxa"/>
          </w:tcPr>
          <w:p>
            <w:pPr>
              <w:pStyle w:val="14"/>
              <w:spacing w:before="38"/>
              <w:ind w:left="117" w:right="111"/>
              <w:rPr>
                <w:rFonts w:ascii="Times New Roman"/>
                <w:sz w:val="21"/>
              </w:rPr>
            </w:pPr>
            <w:bookmarkStart w:id="268" w:name="333"/>
            <w:bookmarkEnd w:id="268"/>
            <w:r>
              <w:rPr>
                <w:rFonts w:ascii="Times New Roman"/>
                <w:sz w:val="21"/>
              </w:rPr>
              <w:t>333</w:t>
            </w:r>
          </w:p>
        </w:tc>
        <w:tc>
          <w:tcPr>
            <w:tcW w:w="1484" w:type="dxa"/>
          </w:tcPr>
          <w:p>
            <w:pPr>
              <w:pStyle w:val="14"/>
              <w:spacing w:before="38"/>
              <w:ind w:left="419" w:right="411"/>
              <w:rPr>
                <w:rFonts w:ascii="Times New Roman"/>
                <w:sz w:val="21"/>
              </w:rPr>
            </w:pPr>
            <w:bookmarkStart w:id="269" w:name="294"/>
            <w:bookmarkEnd w:id="269"/>
            <w:r>
              <w:rPr>
                <w:rFonts w:ascii="Times New Roman"/>
                <w:sz w:val="21"/>
              </w:rPr>
              <w:t>294</w:t>
            </w:r>
          </w:p>
        </w:tc>
        <w:tc>
          <w:tcPr>
            <w:tcW w:w="1347" w:type="dxa"/>
          </w:tcPr>
          <w:p>
            <w:pPr>
              <w:pStyle w:val="14"/>
              <w:spacing w:before="38"/>
              <w:ind w:left="416" w:right="407"/>
              <w:rPr>
                <w:rFonts w:ascii="Times New Roman"/>
                <w:sz w:val="21"/>
              </w:rPr>
            </w:pPr>
            <w:bookmarkStart w:id="270" w:name="465"/>
            <w:bookmarkEnd w:id="270"/>
            <w:r>
              <w:rPr>
                <w:rFonts w:ascii="Times New Roman"/>
                <w:sz w:val="21"/>
              </w:rPr>
              <w:t>465</w:t>
            </w:r>
          </w:p>
        </w:tc>
        <w:tc>
          <w:tcPr>
            <w:tcW w:w="1357" w:type="dxa"/>
          </w:tcPr>
          <w:p>
            <w:pPr>
              <w:pStyle w:val="14"/>
              <w:spacing w:before="38"/>
              <w:ind w:left="421" w:right="413"/>
              <w:rPr>
                <w:rFonts w:ascii="Times New Roman"/>
                <w:sz w:val="21"/>
              </w:rPr>
            </w:pPr>
            <w:bookmarkStart w:id="271" w:name="542"/>
            <w:bookmarkEnd w:id="271"/>
            <w:r>
              <w:rPr>
                <w:rFonts w:ascii="Times New Roman"/>
                <w:sz w:val="21"/>
              </w:rPr>
              <w:t>542</w:t>
            </w:r>
          </w:p>
        </w:tc>
        <w:tc>
          <w:tcPr>
            <w:tcW w:w="1313" w:type="dxa"/>
          </w:tcPr>
          <w:p>
            <w:pPr>
              <w:pStyle w:val="14"/>
              <w:spacing w:before="38"/>
              <w:ind w:left="282" w:right="271"/>
              <w:rPr>
                <w:rFonts w:ascii="Times New Roman"/>
                <w:sz w:val="21"/>
              </w:rPr>
            </w:pPr>
            <w:bookmarkStart w:id="272" w:name="527"/>
            <w:bookmarkEnd w:id="272"/>
            <w:r>
              <w:rPr>
                <w:rFonts w:ascii="Times New Roman"/>
                <w:sz w:val="21"/>
              </w:rPr>
              <w:t>527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47" w:type="dxa"/>
          </w:tcPr>
          <w:p>
            <w:pPr>
              <w:pStyle w:val="14"/>
              <w:spacing w:before="21"/>
              <w:ind w:left="7"/>
              <w:rPr>
                <w:sz w:val="21"/>
              </w:rPr>
            </w:pPr>
            <w:r>
              <w:rPr>
                <w:w w:val="99"/>
                <w:sz w:val="21"/>
              </w:rPr>
              <w:t>铁</w:t>
            </w:r>
          </w:p>
        </w:tc>
        <w:tc>
          <w:tcPr>
            <w:tcW w:w="1370" w:type="dxa"/>
          </w:tcPr>
          <w:p>
            <w:pPr>
              <w:pStyle w:val="14"/>
              <w:spacing w:before="38"/>
              <w:ind w:right="423"/>
              <w:jc w:val="right"/>
              <w:rPr>
                <w:rFonts w:ascii="Times New Roman"/>
                <w:sz w:val="21"/>
              </w:rPr>
            </w:pPr>
            <w:bookmarkStart w:id="273" w:name="0.03L"/>
            <w:bookmarkEnd w:id="273"/>
            <w:r>
              <w:rPr>
                <w:rFonts w:ascii="Times New Roman"/>
                <w:sz w:val="21"/>
              </w:rPr>
              <w:t>0.03L</w:t>
            </w:r>
          </w:p>
        </w:tc>
        <w:tc>
          <w:tcPr>
            <w:tcW w:w="1484" w:type="dxa"/>
          </w:tcPr>
          <w:p>
            <w:pPr>
              <w:pStyle w:val="14"/>
              <w:spacing w:before="38"/>
              <w:ind w:left="421" w:right="411"/>
              <w:rPr>
                <w:rFonts w:ascii="Times New Roman"/>
                <w:sz w:val="21"/>
              </w:rPr>
            </w:pPr>
            <w:bookmarkStart w:id="274" w:name="0.03L"/>
            <w:bookmarkEnd w:id="274"/>
            <w:r>
              <w:rPr>
                <w:rFonts w:ascii="Times New Roman"/>
                <w:sz w:val="21"/>
              </w:rPr>
              <w:t>0.03L</w:t>
            </w:r>
          </w:p>
        </w:tc>
        <w:tc>
          <w:tcPr>
            <w:tcW w:w="1347" w:type="dxa"/>
          </w:tcPr>
          <w:p>
            <w:pPr>
              <w:pStyle w:val="14"/>
              <w:spacing w:before="38"/>
              <w:ind w:left="416" w:right="407"/>
              <w:rPr>
                <w:rFonts w:ascii="Times New Roman"/>
                <w:sz w:val="21"/>
              </w:rPr>
            </w:pPr>
            <w:bookmarkStart w:id="275" w:name="0.04"/>
            <w:bookmarkEnd w:id="275"/>
            <w:r>
              <w:rPr>
                <w:rFonts w:ascii="Times New Roman"/>
                <w:sz w:val="21"/>
              </w:rPr>
              <w:t>0.04</w:t>
            </w:r>
          </w:p>
        </w:tc>
        <w:tc>
          <w:tcPr>
            <w:tcW w:w="1357" w:type="dxa"/>
          </w:tcPr>
          <w:p>
            <w:pPr>
              <w:pStyle w:val="14"/>
              <w:spacing w:before="38"/>
              <w:ind w:left="421" w:right="411"/>
              <w:rPr>
                <w:rFonts w:ascii="Times New Roman"/>
                <w:sz w:val="21"/>
              </w:rPr>
            </w:pPr>
            <w:bookmarkStart w:id="276" w:name="0.04"/>
            <w:bookmarkEnd w:id="276"/>
            <w:r>
              <w:rPr>
                <w:rFonts w:ascii="Times New Roman"/>
                <w:sz w:val="21"/>
              </w:rPr>
              <w:t>0.04</w:t>
            </w:r>
          </w:p>
        </w:tc>
        <w:tc>
          <w:tcPr>
            <w:tcW w:w="1313" w:type="dxa"/>
          </w:tcPr>
          <w:p>
            <w:pPr>
              <w:pStyle w:val="14"/>
              <w:spacing w:before="38"/>
              <w:ind w:right="395"/>
              <w:jc w:val="right"/>
              <w:rPr>
                <w:rFonts w:ascii="Times New Roman"/>
                <w:sz w:val="21"/>
              </w:rPr>
            </w:pPr>
            <w:bookmarkStart w:id="277" w:name="0.03L"/>
            <w:bookmarkEnd w:id="277"/>
            <w:r>
              <w:rPr>
                <w:rFonts w:ascii="Times New Roman"/>
                <w:sz w:val="21"/>
              </w:rPr>
              <w:t>0.03L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47" w:type="dxa"/>
          </w:tcPr>
          <w:p>
            <w:pPr>
              <w:pStyle w:val="14"/>
              <w:spacing w:before="21"/>
              <w:ind w:left="7"/>
              <w:rPr>
                <w:sz w:val="21"/>
              </w:rPr>
            </w:pPr>
            <w:r>
              <w:rPr>
                <w:w w:val="99"/>
                <w:sz w:val="21"/>
              </w:rPr>
              <w:t>锰</w:t>
            </w:r>
          </w:p>
        </w:tc>
        <w:tc>
          <w:tcPr>
            <w:tcW w:w="1370" w:type="dxa"/>
          </w:tcPr>
          <w:p>
            <w:pPr>
              <w:pStyle w:val="14"/>
              <w:spacing w:before="37"/>
              <w:ind w:right="423"/>
              <w:jc w:val="right"/>
              <w:rPr>
                <w:rFonts w:ascii="Times New Roman"/>
                <w:sz w:val="21"/>
              </w:rPr>
            </w:pPr>
            <w:bookmarkStart w:id="278" w:name="0.01L"/>
            <w:bookmarkEnd w:id="278"/>
            <w:r>
              <w:rPr>
                <w:rFonts w:ascii="Times New Roman"/>
                <w:sz w:val="21"/>
              </w:rPr>
              <w:t>0.01L</w:t>
            </w:r>
          </w:p>
        </w:tc>
        <w:tc>
          <w:tcPr>
            <w:tcW w:w="1484" w:type="dxa"/>
          </w:tcPr>
          <w:p>
            <w:pPr>
              <w:pStyle w:val="14"/>
              <w:spacing w:before="37"/>
              <w:ind w:left="419" w:right="411"/>
              <w:rPr>
                <w:rFonts w:ascii="Times New Roman"/>
                <w:sz w:val="21"/>
              </w:rPr>
            </w:pPr>
            <w:bookmarkStart w:id="279" w:name="0.01"/>
            <w:bookmarkEnd w:id="279"/>
            <w:r>
              <w:rPr>
                <w:rFonts w:ascii="Times New Roman"/>
                <w:sz w:val="21"/>
              </w:rPr>
              <w:t>0.01</w:t>
            </w:r>
          </w:p>
        </w:tc>
        <w:tc>
          <w:tcPr>
            <w:tcW w:w="1347" w:type="dxa"/>
          </w:tcPr>
          <w:p>
            <w:pPr>
              <w:pStyle w:val="14"/>
              <w:spacing w:before="37"/>
              <w:ind w:left="416" w:right="407"/>
              <w:rPr>
                <w:rFonts w:ascii="Times New Roman"/>
                <w:sz w:val="21"/>
              </w:rPr>
            </w:pPr>
            <w:bookmarkStart w:id="280" w:name="0.01"/>
            <w:bookmarkEnd w:id="280"/>
            <w:r>
              <w:rPr>
                <w:rFonts w:ascii="Times New Roman"/>
                <w:sz w:val="21"/>
              </w:rPr>
              <w:t>0.01</w:t>
            </w:r>
          </w:p>
        </w:tc>
        <w:tc>
          <w:tcPr>
            <w:tcW w:w="1357" w:type="dxa"/>
          </w:tcPr>
          <w:p>
            <w:pPr>
              <w:pStyle w:val="14"/>
              <w:spacing w:before="37"/>
              <w:ind w:left="421" w:right="411"/>
              <w:rPr>
                <w:rFonts w:ascii="Times New Roman"/>
                <w:sz w:val="21"/>
              </w:rPr>
            </w:pPr>
            <w:bookmarkStart w:id="281" w:name="0.22"/>
            <w:bookmarkEnd w:id="281"/>
            <w:r>
              <w:rPr>
                <w:rFonts w:ascii="Times New Roman"/>
                <w:sz w:val="21"/>
              </w:rPr>
              <w:t>0.22</w:t>
            </w:r>
          </w:p>
        </w:tc>
        <w:tc>
          <w:tcPr>
            <w:tcW w:w="1313" w:type="dxa"/>
          </w:tcPr>
          <w:p>
            <w:pPr>
              <w:pStyle w:val="14"/>
              <w:spacing w:before="37"/>
              <w:ind w:left="282" w:right="271"/>
              <w:rPr>
                <w:rFonts w:ascii="Times New Roman"/>
                <w:sz w:val="21"/>
              </w:rPr>
            </w:pPr>
            <w:bookmarkStart w:id="282" w:name="0.01"/>
            <w:bookmarkEnd w:id="282"/>
            <w:r>
              <w:rPr>
                <w:rFonts w:ascii="Times New Roman"/>
                <w:sz w:val="21"/>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747" w:type="dxa"/>
          </w:tcPr>
          <w:p>
            <w:pPr>
              <w:pStyle w:val="14"/>
              <w:spacing w:before="21"/>
              <w:ind w:left="198" w:right="188"/>
              <w:rPr>
                <w:sz w:val="21"/>
              </w:rPr>
            </w:pPr>
            <w:r>
              <w:rPr>
                <w:sz w:val="21"/>
              </w:rPr>
              <w:t>铅（</w:t>
            </w:r>
            <w:r>
              <w:rPr>
                <w:rFonts w:ascii="Times New Roman" w:hAnsi="Times New Roman" w:eastAsia="Times New Roman"/>
                <w:sz w:val="21"/>
              </w:rPr>
              <w:t>μg/L</w:t>
            </w:r>
            <w:r>
              <w:rPr>
                <w:sz w:val="21"/>
              </w:rPr>
              <w:t>）</w:t>
            </w:r>
          </w:p>
        </w:tc>
        <w:tc>
          <w:tcPr>
            <w:tcW w:w="1370" w:type="dxa"/>
          </w:tcPr>
          <w:p>
            <w:pPr>
              <w:pStyle w:val="14"/>
              <w:spacing w:before="37"/>
              <w:ind w:left="121" w:right="111"/>
              <w:rPr>
                <w:rFonts w:ascii="Times New Roman"/>
                <w:sz w:val="21"/>
              </w:rPr>
            </w:pPr>
            <w:bookmarkStart w:id="283" w:name="2.5L"/>
            <w:bookmarkEnd w:id="283"/>
            <w:r>
              <w:rPr>
                <w:rFonts w:ascii="Times New Roman"/>
                <w:sz w:val="21"/>
              </w:rPr>
              <w:t>2.5L</w:t>
            </w:r>
          </w:p>
        </w:tc>
        <w:tc>
          <w:tcPr>
            <w:tcW w:w="1484" w:type="dxa"/>
          </w:tcPr>
          <w:p>
            <w:pPr>
              <w:pStyle w:val="14"/>
              <w:spacing w:before="37"/>
              <w:ind w:left="421" w:right="409"/>
              <w:rPr>
                <w:rFonts w:ascii="Times New Roman"/>
                <w:sz w:val="21"/>
              </w:rPr>
            </w:pPr>
            <w:bookmarkStart w:id="284" w:name="2.5L"/>
            <w:bookmarkEnd w:id="284"/>
            <w:r>
              <w:rPr>
                <w:rFonts w:ascii="Times New Roman"/>
                <w:sz w:val="21"/>
              </w:rPr>
              <w:t>2.5L</w:t>
            </w:r>
          </w:p>
        </w:tc>
        <w:tc>
          <w:tcPr>
            <w:tcW w:w="1347" w:type="dxa"/>
          </w:tcPr>
          <w:p>
            <w:pPr>
              <w:pStyle w:val="14"/>
              <w:spacing w:before="37"/>
              <w:ind w:left="416" w:right="407"/>
              <w:rPr>
                <w:rFonts w:ascii="Times New Roman"/>
                <w:sz w:val="21"/>
              </w:rPr>
            </w:pPr>
            <w:bookmarkStart w:id="285" w:name="2.5L"/>
            <w:bookmarkEnd w:id="285"/>
            <w:r>
              <w:rPr>
                <w:rFonts w:ascii="Times New Roman"/>
                <w:sz w:val="21"/>
              </w:rPr>
              <w:t>2.5L</w:t>
            </w:r>
          </w:p>
        </w:tc>
        <w:tc>
          <w:tcPr>
            <w:tcW w:w="1357" w:type="dxa"/>
          </w:tcPr>
          <w:p>
            <w:pPr>
              <w:pStyle w:val="14"/>
              <w:spacing w:before="37"/>
              <w:ind w:left="421" w:right="412"/>
              <w:rPr>
                <w:rFonts w:ascii="Times New Roman"/>
                <w:sz w:val="21"/>
              </w:rPr>
            </w:pPr>
            <w:bookmarkStart w:id="286" w:name="2.5L"/>
            <w:bookmarkEnd w:id="286"/>
            <w:r>
              <w:rPr>
                <w:rFonts w:ascii="Times New Roman"/>
                <w:sz w:val="21"/>
              </w:rPr>
              <w:t>2.5L</w:t>
            </w:r>
          </w:p>
        </w:tc>
        <w:tc>
          <w:tcPr>
            <w:tcW w:w="1313" w:type="dxa"/>
          </w:tcPr>
          <w:p>
            <w:pPr>
              <w:pStyle w:val="14"/>
              <w:spacing w:before="37"/>
              <w:ind w:left="282" w:right="271"/>
              <w:rPr>
                <w:rFonts w:ascii="Times New Roman"/>
                <w:sz w:val="21"/>
              </w:rPr>
            </w:pPr>
            <w:bookmarkStart w:id="287" w:name="2.5L"/>
            <w:bookmarkEnd w:id="287"/>
            <w:r>
              <w:rPr>
                <w:rFonts w:ascii="Times New Roman"/>
                <w:sz w:val="21"/>
              </w:rPr>
              <w:t>2.5L</w:t>
            </w:r>
          </w:p>
        </w:tc>
      </w:tr>
    </w:tbl>
    <w:p>
      <w:pPr>
        <w:spacing w:after="0"/>
        <w:rPr>
          <w:rFonts w:ascii="Times New Roman"/>
          <w:sz w:val="21"/>
        </w:rPr>
        <w:sectPr>
          <w:pgSz w:w="11910" w:h="16840"/>
          <w:pgMar w:top="1360" w:right="780" w:bottom="1180" w:left="1200" w:header="0" w:footer="997" w:gutter="0"/>
        </w:sectPr>
      </w:pPr>
    </w:p>
    <w:tbl>
      <w:tblPr>
        <w:tblStyle w:val="10"/>
        <w:tblW w:w="0" w:type="auto"/>
        <w:tblInd w:w="4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47"/>
        <w:gridCol w:w="1370"/>
        <w:gridCol w:w="1484"/>
        <w:gridCol w:w="1347"/>
        <w:gridCol w:w="1357"/>
        <w:gridCol w:w="13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47" w:type="dxa"/>
          </w:tcPr>
          <w:p>
            <w:pPr>
              <w:pStyle w:val="14"/>
              <w:spacing w:before="21"/>
              <w:ind w:left="196" w:right="191"/>
              <w:rPr>
                <w:sz w:val="21"/>
              </w:rPr>
            </w:pPr>
            <w:r>
              <w:rPr>
                <w:sz w:val="21"/>
              </w:rPr>
              <w:t>六价铬</w:t>
            </w:r>
          </w:p>
        </w:tc>
        <w:tc>
          <w:tcPr>
            <w:tcW w:w="1370" w:type="dxa"/>
          </w:tcPr>
          <w:p>
            <w:pPr>
              <w:pStyle w:val="14"/>
              <w:spacing w:before="37"/>
              <w:ind w:left="119" w:right="111"/>
              <w:rPr>
                <w:rFonts w:ascii="Times New Roman"/>
                <w:sz w:val="21"/>
              </w:rPr>
            </w:pPr>
            <w:bookmarkStart w:id="288" w:name="0.004L"/>
            <w:bookmarkEnd w:id="288"/>
            <w:r>
              <w:rPr>
                <w:rFonts w:ascii="Times New Roman"/>
                <w:sz w:val="21"/>
              </w:rPr>
              <w:t>0.004L</w:t>
            </w:r>
          </w:p>
        </w:tc>
        <w:tc>
          <w:tcPr>
            <w:tcW w:w="1484" w:type="dxa"/>
          </w:tcPr>
          <w:p>
            <w:pPr>
              <w:pStyle w:val="14"/>
              <w:spacing w:before="37"/>
              <w:ind w:right="429"/>
              <w:jc w:val="right"/>
              <w:rPr>
                <w:rFonts w:ascii="Times New Roman"/>
                <w:sz w:val="21"/>
              </w:rPr>
            </w:pPr>
            <w:bookmarkStart w:id="289" w:name="0.004L"/>
            <w:bookmarkEnd w:id="289"/>
            <w:r>
              <w:rPr>
                <w:rFonts w:ascii="Times New Roman"/>
                <w:w w:val="95"/>
                <w:sz w:val="21"/>
              </w:rPr>
              <w:t>0.004L</w:t>
            </w:r>
          </w:p>
        </w:tc>
        <w:tc>
          <w:tcPr>
            <w:tcW w:w="1347" w:type="dxa"/>
          </w:tcPr>
          <w:p>
            <w:pPr>
              <w:pStyle w:val="14"/>
              <w:spacing w:before="37"/>
              <w:ind w:right="362"/>
              <w:jc w:val="right"/>
              <w:rPr>
                <w:rFonts w:ascii="Times New Roman"/>
                <w:sz w:val="21"/>
              </w:rPr>
            </w:pPr>
            <w:bookmarkStart w:id="290" w:name="0.004L"/>
            <w:bookmarkEnd w:id="290"/>
            <w:r>
              <w:rPr>
                <w:rFonts w:ascii="Times New Roman"/>
                <w:w w:val="95"/>
                <w:sz w:val="21"/>
              </w:rPr>
              <w:t>0.004L</w:t>
            </w:r>
          </w:p>
        </w:tc>
        <w:tc>
          <w:tcPr>
            <w:tcW w:w="1357" w:type="dxa"/>
          </w:tcPr>
          <w:p>
            <w:pPr>
              <w:pStyle w:val="14"/>
              <w:spacing w:before="37"/>
              <w:ind w:right="366"/>
              <w:jc w:val="right"/>
              <w:rPr>
                <w:rFonts w:ascii="Times New Roman"/>
                <w:sz w:val="21"/>
              </w:rPr>
            </w:pPr>
            <w:bookmarkStart w:id="291" w:name="0.004L"/>
            <w:bookmarkEnd w:id="291"/>
            <w:r>
              <w:rPr>
                <w:rFonts w:ascii="Times New Roman"/>
                <w:w w:val="95"/>
                <w:sz w:val="21"/>
              </w:rPr>
              <w:t>0.004L</w:t>
            </w:r>
          </w:p>
        </w:tc>
        <w:tc>
          <w:tcPr>
            <w:tcW w:w="1313" w:type="dxa"/>
          </w:tcPr>
          <w:p>
            <w:pPr>
              <w:pStyle w:val="14"/>
              <w:spacing w:before="37"/>
              <w:ind w:left="282" w:right="274"/>
              <w:rPr>
                <w:rFonts w:ascii="Times New Roman"/>
                <w:sz w:val="21"/>
              </w:rPr>
            </w:pPr>
            <w:bookmarkStart w:id="292" w:name="0.004L"/>
            <w:bookmarkEnd w:id="292"/>
            <w:r>
              <w:rPr>
                <w:rFonts w:ascii="Times New Roman"/>
                <w:sz w:val="21"/>
              </w:rPr>
              <w:t>0.004L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47" w:type="dxa"/>
          </w:tcPr>
          <w:p>
            <w:pPr>
              <w:pStyle w:val="14"/>
              <w:spacing w:before="20"/>
              <w:ind w:left="196" w:right="191"/>
              <w:rPr>
                <w:sz w:val="21"/>
              </w:rPr>
            </w:pPr>
            <w:r>
              <w:rPr>
                <w:sz w:val="21"/>
              </w:rPr>
              <w:t>氯化物</w:t>
            </w:r>
          </w:p>
        </w:tc>
        <w:tc>
          <w:tcPr>
            <w:tcW w:w="1370" w:type="dxa"/>
          </w:tcPr>
          <w:p>
            <w:pPr>
              <w:pStyle w:val="14"/>
              <w:spacing w:before="37"/>
              <w:ind w:left="122" w:right="111"/>
              <w:rPr>
                <w:rFonts w:ascii="Times New Roman"/>
                <w:sz w:val="21"/>
              </w:rPr>
            </w:pPr>
            <w:bookmarkStart w:id="293" w:name="12"/>
            <w:bookmarkEnd w:id="293"/>
            <w:r>
              <w:rPr>
                <w:rFonts w:ascii="Times New Roman"/>
                <w:sz w:val="21"/>
              </w:rPr>
              <w:t>12</w:t>
            </w:r>
          </w:p>
        </w:tc>
        <w:tc>
          <w:tcPr>
            <w:tcW w:w="1484" w:type="dxa"/>
          </w:tcPr>
          <w:p>
            <w:pPr>
              <w:pStyle w:val="14"/>
              <w:spacing w:before="37"/>
              <w:ind w:left="421" w:right="408"/>
              <w:rPr>
                <w:rFonts w:ascii="Times New Roman"/>
                <w:sz w:val="21"/>
              </w:rPr>
            </w:pPr>
            <w:bookmarkStart w:id="294" w:name="11"/>
            <w:bookmarkEnd w:id="294"/>
            <w:r>
              <w:rPr>
                <w:rFonts w:ascii="Times New Roman"/>
                <w:sz w:val="21"/>
              </w:rPr>
              <w:t>11</w:t>
            </w:r>
          </w:p>
        </w:tc>
        <w:tc>
          <w:tcPr>
            <w:tcW w:w="1347" w:type="dxa"/>
          </w:tcPr>
          <w:p>
            <w:pPr>
              <w:pStyle w:val="14"/>
              <w:spacing w:before="37"/>
              <w:ind w:left="416" w:right="407"/>
              <w:rPr>
                <w:rFonts w:ascii="Times New Roman"/>
                <w:sz w:val="21"/>
              </w:rPr>
            </w:pPr>
            <w:bookmarkStart w:id="295" w:name="31"/>
            <w:bookmarkEnd w:id="295"/>
            <w:r>
              <w:rPr>
                <w:rFonts w:ascii="Times New Roman"/>
                <w:sz w:val="21"/>
              </w:rPr>
              <w:t>31</w:t>
            </w:r>
          </w:p>
        </w:tc>
        <w:tc>
          <w:tcPr>
            <w:tcW w:w="1357" w:type="dxa"/>
          </w:tcPr>
          <w:p>
            <w:pPr>
              <w:pStyle w:val="14"/>
              <w:spacing w:before="37"/>
              <w:ind w:left="421" w:right="413"/>
              <w:rPr>
                <w:rFonts w:ascii="Times New Roman"/>
                <w:sz w:val="21"/>
              </w:rPr>
            </w:pPr>
            <w:bookmarkStart w:id="296" w:name="12"/>
            <w:bookmarkEnd w:id="296"/>
            <w:r>
              <w:rPr>
                <w:rFonts w:ascii="Times New Roman"/>
                <w:sz w:val="21"/>
              </w:rPr>
              <w:t>12</w:t>
            </w:r>
          </w:p>
        </w:tc>
        <w:tc>
          <w:tcPr>
            <w:tcW w:w="1313" w:type="dxa"/>
          </w:tcPr>
          <w:p>
            <w:pPr>
              <w:pStyle w:val="14"/>
              <w:spacing w:before="37"/>
              <w:ind w:left="7"/>
              <w:rPr>
                <w:rFonts w:ascii="Times New Roman"/>
                <w:sz w:val="21"/>
              </w:rPr>
            </w:pPr>
            <w:bookmarkStart w:id="297" w:name="3"/>
            <w:bookmarkEnd w:id="297"/>
            <w:r>
              <w:rPr>
                <w:rFonts w:ascii="Times New Roman"/>
                <w:w w:val="99"/>
                <w:sz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47" w:type="dxa"/>
          </w:tcPr>
          <w:p>
            <w:pPr>
              <w:pStyle w:val="14"/>
              <w:spacing w:before="20"/>
              <w:ind w:left="196" w:right="191"/>
              <w:rPr>
                <w:sz w:val="21"/>
              </w:rPr>
            </w:pPr>
            <w:r>
              <w:rPr>
                <w:sz w:val="21"/>
              </w:rPr>
              <w:t>硫酸盐</w:t>
            </w:r>
          </w:p>
        </w:tc>
        <w:tc>
          <w:tcPr>
            <w:tcW w:w="1370" w:type="dxa"/>
          </w:tcPr>
          <w:p>
            <w:pPr>
              <w:pStyle w:val="14"/>
              <w:spacing w:before="39"/>
              <w:ind w:left="122" w:right="111"/>
              <w:rPr>
                <w:rFonts w:ascii="Times New Roman"/>
                <w:sz w:val="21"/>
              </w:rPr>
            </w:pPr>
            <w:bookmarkStart w:id="298" w:name="10"/>
            <w:bookmarkEnd w:id="298"/>
            <w:r>
              <w:rPr>
                <w:rFonts w:ascii="Times New Roman"/>
                <w:sz w:val="21"/>
              </w:rPr>
              <w:t>10</w:t>
            </w:r>
          </w:p>
        </w:tc>
        <w:tc>
          <w:tcPr>
            <w:tcW w:w="1484" w:type="dxa"/>
          </w:tcPr>
          <w:p>
            <w:pPr>
              <w:pStyle w:val="14"/>
              <w:spacing w:before="39"/>
              <w:ind w:left="419" w:right="411"/>
              <w:rPr>
                <w:rFonts w:ascii="Times New Roman"/>
                <w:sz w:val="21"/>
              </w:rPr>
            </w:pPr>
            <w:bookmarkStart w:id="299" w:name="16"/>
            <w:bookmarkEnd w:id="299"/>
            <w:r>
              <w:rPr>
                <w:rFonts w:ascii="Times New Roman"/>
                <w:sz w:val="21"/>
              </w:rPr>
              <w:t>16</w:t>
            </w:r>
          </w:p>
        </w:tc>
        <w:tc>
          <w:tcPr>
            <w:tcW w:w="1347" w:type="dxa"/>
          </w:tcPr>
          <w:p>
            <w:pPr>
              <w:pStyle w:val="14"/>
              <w:spacing w:before="39"/>
              <w:ind w:left="416" w:right="407"/>
              <w:rPr>
                <w:rFonts w:ascii="Times New Roman"/>
                <w:sz w:val="21"/>
              </w:rPr>
            </w:pPr>
            <w:bookmarkStart w:id="300" w:name="55"/>
            <w:bookmarkEnd w:id="300"/>
            <w:r>
              <w:rPr>
                <w:rFonts w:ascii="Times New Roman"/>
                <w:sz w:val="21"/>
              </w:rPr>
              <w:t>55</w:t>
            </w:r>
          </w:p>
        </w:tc>
        <w:tc>
          <w:tcPr>
            <w:tcW w:w="1357" w:type="dxa"/>
          </w:tcPr>
          <w:p>
            <w:pPr>
              <w:pStyle w:val="14"/>
              <w:spacing w:before="39"/>
              <w:ind w:left="421" w:right="413"/>
              <w:rPr>
                <w:rFonts w:ascii="Times New Roman"/>
                <w:sz w:val="21"/>
              </w:rPr>
            </w:pPr>
            <w:bookmarkStart w:id="301" w:name="31"/>
            <w:bookmarkEnd w:id="301"/>
            <w:r>
              <w:rPr>
                <w:rFonts w:ascii="Times New Roman"/>
                <w:sz w:val="21"/>
              </w:rPr>
              <w:t>31</w:t>
            </w:r>
          </w:p>
        </w:tc>
        <w:tc>
          <w:tcPr>
            <w:tcW w:w="1313" w:type="dxa"/>
          </w:tcPr>
          <w:p>
            <w:pPr>
              <w:pStyle w:val="14"/>
              <w:spacing w:before="39"/>
              <w:ind w:left="7"/>
              <w:rPr>
                <w:rFonts w:ascii="Times New Roman"/>
                <w:sz w:val="21"/>
              </w:rPr>
            </w:pPr>
            <w:bookmarkStart w:id="302" w:name="9"/>
            <w:bookmarkEnd w:id="302"/>
            <w:r>
              <w:rPr>
                <w:rFonts w:ascii="Times New Roman"/>
                <w:w w:val="99"/>
                <w:sz w:val="21"/>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7" w:hRule="atLeast"/>
        </w:trPr>
        <w:tc>
          <w:tcPr>
            <w:tcW w:w="1747" w:type="dxa"/>
          </w:tcPr>
          <w:p>
            <w:pPr>
              <w:pStyle w:val="14"/>
              <w:spacing w:before="82"/>
              <w:ind w:left="198" w:right="191"/>
              <w:rPr>
                <w:sz w:val="21"/>
              </w:rPr>
            </w:pPr>
            <w:r>
              <w:rPr>
                <w:sz w:val="21"/>
              </w:rPr>
              <w:t>细菌总数</w:t>
            </w:r>
          </w:p>
          <w:p>
            <w:pPr>
              <w:pStyle w:val="14"/>
              <w:spacing w:before="43"/>
              <w:ind w:left="198" w:right="188"/>
              <w:rPr>
                <w:sz w:val="21"/>
              </w:rPr>
            </w:pPr>
            <w:r>
              <w:rPr>
                <w:sz w:val="21"/>
              </w:rPr>
              <w:t>（</w:t>
            </w:r>
            <w:r>
              <w:rPr>
                <w:rFonts w:ascii="Times New Roman" w:eastAsia="Times New Roman"/>
                <w:sz w:val="21"/>
              </w:rPr>
              <w:t>CFU/mL</w:t>
            </w:r>
            <w:r>
              <w:rPr>
                <w:sz w:val="21"/>
              </w:rPr>
              <w:t>）</w:t>
            </w:r>
          </w:p>
        </w:tc>
        <w:tc>
          <w:tcPr>
            <w:tcW w:w="1370" w:type="dxa"/>
          </w:tcPr>
          <w:p>
            <w:pPr>
              <w:pStyle w:val="14"/>
              <w:jc w:val="left"/>
              <w:rPr>
                <w:b/>
                <w:sz w:val="20"/>
              </w:rPr>
            </w:pPr>
          </w:p>
          <w:p>
            <w:pPr>
              <w:pStyle w:val="14"/>
              <w:spacing w:before="1"/>
              <w:ind w:left="122" w:right="111"/>
              <w:rPr>
                <w:rFonts w:ascii="Times New Roman"/>
                <w:sz w:val="21"/>
              </w:rPr>
            </w:pPr>
            <w:bookmarkStart w:id="303" w:name="13"/>
            <w:bookmarkEnd w:id="303"/>
            <w:r>
              <w:rPr>
                <w:rFonts w:ascii="Times New Roman"/>
                <w:sz w:val="21"/>
              </w:rPr>
              <w:t>13</w:t>
            </w:r>
          </w:p>
        </w:tc>
        <w:tc>
          <w:tcPr>
            <w:tcW w:w="1484" w:type="dxa"/>
          </w:tcPr>
          <w:p>
            <w:pPr>
              <w:pStyle w:val="14"/>
              <w:jc w:val="left"/>
              <w:rPr>
                <w:b/>
                <w:sz w:val="20"/>
              </w:rPr>
            </w:pPr>
          </w:p>
          <w:p>
            <w:pPr>
              <w:pStyle w:val="14"/>
              <w:spacing w:before="1"/>
              <w:ind w:left="419" w:right="411"/>
              <w:rPr>
                <w:rFonts w:ascii="Times New Roman"/>
                <w:sz w:val="21"/>
              </w:rPr>
            </w:pPr>
            <w:bookmarkStart w:id="304" w:name="14"/>
            <w:bookmarkEnd w:id="304"/>
            <w:r>
              <w:rPr>
                <w:rFonts w:ascii="Times New Roman"/>
                <w:sz w:val="21"/>
              </w:rPr>
              <w:t>14</w:t>
            </w:r>
          </w:p>
        </w:tc>
        <w:tc>
          <w:tcPr>
            <w:tcW w:w="1347" w:type="dxa"/>
          </w:tcPr>
          <w:p>
            <w:pPr>
              <w:pStyle w:val="14"/>
              <w:jc w:val="left"/>
              <w:rPr>
                <w:b/>
                <w:sz w:val="20"/>
              </w:rPr>
            </w:pPr>
          </w:p>
          <w:p>
            <w:pPr>
              <w:pStyle w:val="14"/>
              <w:spacing w:before="1"/>
              <w:ind w:left="416" w:right="407"/>
              <w:rPr>
                <w:rFonts w:ascii="Times New Roman"/>
                <w:sz w:val="21"/>
              </w:rPr>
            </w:pPr>
            <w:bookmarkStart w:id="305" w:name="15"/>
            <w:bookmarkEnd w:id="305"/>
            <w:r>
              <w:rPr>
                <w:rFonts w:ascii="Times New Roman"/>
                <w:sz w:val="21"/>
              </w:rPr>
              <w:t>15</w:t>
            </w:r>
          </w:p>
        </w:tc>
        <w:tc>
          <w:tcPr>
            <w:tcW w:w="1357" w:type="dxa"/>
          </w:tcPr>
          <w:p>
            <w:pPr>
              <w:pStyle w:val="14"/>
              <w:jc w:val="left"/>
              <w:rPr>
                <w:b/>
                <w:sz w:val="20"/>
              </w:rPr>
            </w:pPr>
          </w:p>
          <w:p>
            <w:pPr>
              <w:pStyle w:val="14"/>
              <w:spacing w:before="1"/>
              <w:ind w:left="421" w:right="413"/>
              <w:rPr>
                <w:rFonts w:ascii="Times New Roman"/>
                <w:sz w:val="21"/>
              </w:rPr>
            </w:pPr>
            <w:bookmarkStart w:id="306" w:name="15"/>
            <w:bookmarkEnd w:id="306"/>
            <w:r>
              <w:rPr>
                <w:rFonts w:ascii="Times New Roman"/>
                <w:sz w:val="21"/>
              </w:rPr>
              <w:t>15</w:t>
            </w:r>
          </w:p>
        </w:tc>
        <w:tc>
          <w:tcPr>
            <w:tcW w:w="1313" w:type="dxa"/>
          </w:tcPr>
          <w:p>
            <w:pPr>
              <w:pStyle w:val="14"/>
              <w:jc w:val="left"/>
              <w:rPr>
                <w:b/>
                <w:sz w:val="20"/>
              </w:rPr>
            </w:pPr>
          </w:p>
          <w:p>
            <w:pPr>
              <w:pStyle w:val="14"/>
              <w:spacing w:before="1"/>
              <w:ind w:left="282" w:right="271"/>
              <w:rPr>
                <w:rFonts w:ascii="Times New Roman"/>
                <w:sz w:val="21"/>
              </w:rPr>
            </w:pPr>
            <w:bookmarkStart w:id="307" w:name="11"/>
            <w:bookmarkEnd w:id="307"/>
            <w:r>
              <w:rPr>
                <w:rFonts w:ascii="Times New Roman"/>
                <w:sz w:val="21"/>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747" w:type="dxa"/>
          </w:tcPr>
          <w:p>
            <w:pPr>
              <w:pStyle w:val="14"/>
              <w:spacing w:before="20"/>
              <w:ind w:left="347"/>
              <w:jc w:val="left"/>
              <w:rPr>
                <w:sz w:val="21"/>
              </w:rPr>
            </w:pPr>
            <w:r>
              <w:rPr>
                <w:w w:val="95"/>
                <w:sz w:val="21"/>
              </w:rPr>
              <w:t>总大肠菌群</w:t>
            </w:r>
          </w:p>
          <w:p>
            <w:pPr>
              <w:pStyle w:val="14"/>
              <w:spacing w:before="43"/>
              <w:ind w:left="342"/>
              <w:jc w:val="left"/>
              <w:rPr>
                <w:sz w:val="21"/>
              </w:rPr>
            </w:pPr>
            <w:r>
              <w:rPr>
                <w:sz w:val="21"/>
              </w:rPr>
              <w:t>（</w:t>
            </w:r>
            <w:r>
              <w:rPr>
                <w:rFonts w:ascii="Times New Roman" w:eastAsia="Times New Roman"/>
                <w:sz w:val="21"/>
              </w:rPr>
              <w:t>MPN/L</w:t>
            </w:r>
            <w:r>
              <w:rPr>
                <w:sz w:val="21"/>
              </w:rPr>
              <w:t>）</w:t>
            </w:r>
          </w:p>
        </w:tc>
        <w:tc>
          <w:tcPr>
            <w:tcW w:w="1370" w:type="dxa"/>
          </w:tcPr>
          <w:p>
            <w:pPr>
              <w:pStyle w:val="14"/>
              <w:spacing w:before="195"/>
              <w:ind w:left="121" w:right="111"/>
              <w:rPr>
                <w:rFonts w:ascii="Times New Roman"/>
                <w:sz w:val="21"/>
              </w:rPr>
            </w:pPr>
            <w:bookmarkStart w:id="308" w:name="20L"/>
            <w:bookmarkEnd w:id="308"/>
            <w:r>
              <w:rPr>
                <w:rFonts w:ascii="Times New Roman"/>
                <w:sz w:val="21"/>
              </w:rPr>
              <w:t>20L</w:t>
            </w:r>
          </w:p>
        </w:tc>
        <w:tc>
          <w:tcPr>
            <w:tcW w:w="1484" w:type="dxa"/>
          </w:tcPr>
          <w:p>
            <w:pPr>
              <w:pStyle w:val="14"/>
              <w:spacing w:before="195"/>
              <w:ind w:left="419" w:right="411"/>
              <w:rPr>
                <w:rFonts w:ascii="Times New Roman"/>
                <w:sz w:val="21"/>
              </w:rPr>
            </w:pPr>
            <w:bookmarkStart w:id="309" w:name="20L"/>
            <w:bookmarkEnd w:id="309"/>
            <w:r>
              <w:rPr>
                <w:rFonts w:ascii="Times New Roman"/>
                <w:sz w:val="21"/>
              </w:rPr>
              <w:t>20L</w:t>
            </w:r>
          </w:p>
        </w:tc>
        <w:tc>
          <w:tcPr>
            <w:tcW w:w="1347" w:type="dxa"/>
          </w:tcPr>
          <w:p>
            <w:pPr>
              <w:pStyle w:val="14"/>
              <w:spacing w:before="195"/>
              <w:ind w:left="416" w:right="407"/>
              <w:rPr>
                <w:rFonts w:ascii="Times New Roman"/>
                <w:sz w:val="21"/>
              </w:rPr>
            </w:pPr>
            <w:bookmarkStart w:id="310" w:name="20L"/>
            <w:bookmarkEnd w:id="310"/>
            <w:r>
              <w:rPr>
                <w:rFonts w:ascii="Times New Roman"/>
                <w:sz w:val="21"/>
              </w:rPr>
              <w:t>20L</w:t>
            </w:r>
          </w:p>
        </w:tc>
        <w:tc>
          <w:tcPr>
            <w:tcW w:w="1357" w:type="dxa"/>
          </w:tcPr>
          <w:p>
            <w:pPr>
              <w:pStyle w:val="14"/>
              <w:spacing w:before="195"/>
              <w:ind w:left="420" w:right="413"/>
              <w:rPr>
                <w:rFonts w:ascii="Times New Roman"/>
                <w:sz w:val="21"/>
              </w:rPr>
            </w:pPr>
            <w:bookmarkStart w:id="311" w:name="20L"/>
            <w:bookmarkEnd w:id="311"/>
            <w:r>
              <w:rPr>
                <w:rFonts w:ascii="Times New Roman"/>
                <w:sz w:val="21"/>
              </w:rPr>
              <w:t>20L</w:t>
            </w:r>
          </w:p>
        </w:tc>
        <w:tc>
          <w:tcPr>
            <w:tcW w:w="1313" w:type="dxa"/>
          </w:tcPr>
          <w:p>
            <w:pPr>
              <w:pStyle w:val="14"/>
              <w:spacing w:before="195"/>
              <w:ind w:left="282" w:right="271"/>
              <w:rPr>
                <w:rFonts w:ascii="Times New Roman"/>
                <w:sz w:val="21"/>
              </w:rPr>
            </w:pPr>
            <w:bookmarkStart w:id="312" w:name="20L"/>
            <w:bookmarkEnd w:id="312"/>
            <w:r>
              <w:rPr>
                <w:rFonts w:ascii="Times New Roman"/>
                <w:sz w:val="21"/>
              </w:rPr>
              <w:t>20L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47" w:type="dxa"/>
          </w:tcPr>
          <w:p>
            <w:pPr>
              <w:pStyle w:val="14"/>
              <w:spacing w:before="20"/>
              <w:ind w:left="198" w:right="191"/>
              <w:rPr>
                <w:sz w:val="21"/>
              </w:rPr>
            </w:pPr>
            <w:r>
              <w:rPr>
                <w:sz w:val="21"/>
              </w:rPr>
              <w:t>挥发性酚类</w:t>
            </w:r>
          </w:p>
        </w:tc>
        <w:tc>
          <w:tcPr>
            <w:tcW w:w="1370" w:type="dxa"/>
          </w:tcPr>
          <w:p>
            <w:pPr>
              <w:pStyle w:val="14"/>
              <w:spacing w:before="38"/>
              <w:ind w:left="119" w:right="111"/>
              <w:rPr>
                <w:rFonts w:ascii="Times New Roman"/>
                <w:sz w:val="21"/>
              </w:rPr>
            </w:pPr>
            <w:bookmarkStart w:id="313" w:name="0.0003L"/>
            <w:bookmarkEnd w:id="313"/>
            <w:r>
              <w:rPr>
                <w:rFonts w:ascii="Times New Roman"/>
                <w:sz w:val="21"/>
              </w:rPr>
              <w:t>0.0003L</w:t>
            </w:r>
          </w:p>
        </w:tc>
        <w:tc>
          <w:tcPr>
            <w:tcW w:w="1484" w:type="dxa"/>
          </w:tcPr>
          <w:p>
            <w:pPr>
              <w:pStyle w:val="14"/>
              <w:spacing w:before="38"/>
              <w:ind w:right="376"/>
              <w:jc w:val="right"/>
              <w:rPr>
                <w:rFonts w:ascii="Times New Roman"/>
                <w:sz w:val="21"/>
              </w:rPr>
            </w:pPr>
            <w:bookmarkStart w:id="314" w:name="0.0003L"/>
            <w:bookmarkEnd w:id="314"/>
            <w:r>
              <w:rPr>
                <w:rFonts w:ascii="Times New Roman"/>
                <w:w w:val="95"/>
                <w:sz w:val="21"/>
              </w:rPr>
              <w:t>0.0003L</w:t>
            </w:r>
          </w:p>
        </w:tc>
        <w:tc>
          <w:tcPr>
            <w:tcW w:w="1347" w:type="dxa"/>
          </w:tcPr>
          <w:p>
            <w:pPr>
              <w:pStyle w:val="14"/>
              <w:spacing w:before="38"/>
              <w:ind w:right="307"/>
              <w:jc w:val="right"/>
              <w:rPr>
                <w:rFonts w:ascii="Times New Roman"/>
                <w:sz w:val="21"/>
              </w:rPr>
            </w:pPr>
            <w:bookmarkStart w:id="315" w:name="0.0003L"/>
            <w:bookmarkEnd w:id="315"/>
            <w:r>
              <w:rPr>
                <w:rFonts w:ascii="Times New Roman"/>
                <w:w w:val="95"/>
                <w:sz w:val="21"/>
              </w:rPr>
              <w:t>0.0003L</w:t>
            </w:r>
          </w:p>
        </w:tc>
        <w:tc>
          <w:tcPr>
            <w:tcW w:w="1357" w:type="dxa"/>
          </w:tcPr>
          <w:p>
            <w:pPr>
              <w:pStyle w:val="14"/>
              <w:spacing w:before="38"/>
              <w:ind w:right="313"/>
              <w:jc w:val="right"/>
              <w:rPr>
                <w:rFonts w:ascii="Times New Roman"/>
                <w:sz w:val="21"/>
              </w:rPr>
            </w:pPr>
            <w:bookmarkStart w:id="316" w:name="0.0003L"/>
            <w:bookmarkEnd w:id="316"/>
            <w:r>
              <w:rPr>
                <w:rFonts w:ascii="Times New Roman"/>
                <w:w w:val="95"/>
                <w:sz w:val="21"/>
              </w:rPr>
              <w:t>0.0003L</w:t>
            </w:r>
          </w:p>
        </w:tc>
        <w:tc>
          <w:tcPr>
            <w:tcW w:w="1313" w:type="dxa"/>
          </w:tcPr>
          <w:p>
            <w:pPr>
              <w:pStyle w:val="14"/>
              <w:spacing w:before="38"/>
              <w:ind w:left="282" w:right="274"/>
              <w:rPr>
                <w:rFonts w:ascii="Times New Roman"/>
                <w:sz w:val="21"/>
              </w:rPr>
            </w:pPr>
            <w:bookmarkStart w:id="317" w:name="0.0003L"/>
            <w:bookmarkEnd w:id="317"/>
            <w:r>
              <w:rPr>
                <w:rFonts w:ascii="Times New Roman"/>
                <w:sz w:val="21"/>
              </w:rPr>
              <w:t>0.0003L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47" w:type="dxa"/>
          </w:tcPr>
          <w:p>
            <w:pPr>
              <w:pStyle w:val="14"/>
              <w:spacing w:before="22"/>
              <w:ind w:left="196" w:right="191"/>
              <w:rPr>
                <w:sz w:val="21"/>
              </w:rPr>
            </w:pPr>
            <w:r>
              <w:rPr>
                <w:sz w:val="21"/>
              </w:rPr>
              <w:t>氰化物</w:t>
            </w:r>
          </w:p>
        </w:tc>
        <w:tc>
          <w:tcPr>
            <w:tcW w:w="1370" w:type="dxa"/>
          </w:tcPr>
          <w:p>
            <w:pPr>
              <w:pStyle w:val="14"/>
              <w:spacing w:before="38"/>
              <w:ind w:left="119" w:right="111"/>
              <w:rPr>
                <w:rFonts w:ascii="Times New Roman"/>
                <w:sz w:val="21"/>
              </w:rPr>
            </w:pPr>
            <w:bookmarkStart w:id="318" w:name="0.002L"/>
            <w:bookmarkEnd w:id="318"/>
            <w:r>
              <w:rPr>
                <w:rFonts w:ascii="Times New Roman"/>
                <w:sz w:val="21"/>
              </w:rPr>
              <w:t>0.002L</w:t>
            </w:r>
          </w:p>
        </w:tc>
        <w:tc>
          <w:tcPr>
            <w:tcW w:w="1484" w:type="dxa"/>
          </w:tcPr>
          <w:p>
            <w:pPr>
              <w:pStyle w:val="14"/>
              <w:spacing w:before="38"/>
              <w:ind w:right="429"/>
              <w:jc w:val="right"/>
              <w:rPr>
                <w:rFonts w:ascii="Times New Roman"/>
                <w:sz w:val="21"/>
              </w:rPr>
            </w:pPr>
            <w:bookmarkStart w:id="319" w:name="0.002L"/>
            <w:bookmarkEnd w:id="319"/>
            <w:r>
              <w:rPr>
                <w:rFonts w:ascii="Times New Roman"/>
                <w:w w:val="95"/>
                <w:sz w:val="21"/>
              </w:rPr>
              <w:t>0.002L</w:t>
            </w:r>
          </w:p>
        </w:tc>
        <w:tc>
          <w:tcPr>
            <w:tcW w:w="1347" w:type="dxa"/>
          </w:tcPr>
          <w:p>
            <w:pPr>
              <w:pStyle w:val="14"/>
              <w:spacing w:before="38"/>
              <w:ind w:right="362"/>
              <w:jc w:val="right"/>
              <w:rPr>
                <w:rFonts w:ascii="Times New Roman"/>
                <w:sz w:val="21"/>
              </w:rPr>
            </w:pPr>
            <w:bookmarkStart w:id="320" w:name="0.002L"/>
            <w:bookmarkEnd w:id="320"/>
            <w:r>
              <w:rPr>
                <w:rFonts w:ascii="Times New Roman"/>
                <w:w w:val="95"/>
                <w:sz w:val="21"/>
              </w:rPr>
              <w:t>0.002L</w:t>
            </w:r>
          </w:p>
        </w:tc>
        <w:tc>
          <w:tcPr>
            <w:tcW w:w="1357" w:type="dxa"/>
          </w:tcPr>
          <w:p>
            <w:pPr>
              <w:pStyle w:val="14"/>
              <w:spacing w:before="38"/>
              <w:ind w:right="366"/>
              <w:jc w:val="right"/>
              <w:rPr>
                <w:rFonts w:ascii="Times New Roman"/>
                <w:sz w:val="21"/>
              </w:rPr>
            </w:pPr>
            <w:bookmarkStart w:id="321" w:name="0.002L"/>
            <w:bookmarkEnd w:id="321"/>
            <w:r>
              <w:rPr>
                <w:rFonts w:ascii="Times New Roman"/>
                <w:w w:val="95"/>
                <w:sz w:val="21"/>
              </w:rPr>
              <w:t>0.002L</w:t>
            </w:r>
          </w:p>
        </w:tc>
        <w:tc>
          <w:tcPr>
            <w:tcW w:w="1313" w:type="dxa"/>
          </w:tcPr>
          <w:p>
            <w:pPr>
              <w:pStyle w:val="14"/>
              <w:spacing w:before="38"/>
              <w:ind w:left="282" w:right="274"/>
              <w:rPr>
                <w:rFonts w:ascii="Times New Roman"/>
                <w:sz w:val="21"/>
              </w:rPr>
            </w:pPr>
            <w:bookmarkStart w:id="322" w:name="0.002L"/>
            <w:bookmarkEnd w:id="322"/>
            <w:r>
              <w:rPr>
                <w:rFonts w:ascii="Times New Roman"/>
                <w:sz w:val="21"/>
              </w:rPr>
              <w:t>0.002L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47" w:type="dxa"/>
          </w:tcPr>
          <w:p>
            <w:pPr>
              <w:pStyle w:val="14"/>
              <w:spacing w:before="21"/>
              <w:ind w:left="198" w:right="188"/>
              <w:rPr>
                <w:sz w:val="21"/>
              </w:rPr>
            </w:pPr>
            <w:r>
              <w:rPr>
                <w:sz w:val="21"/>
              </w:rPr>
              <w:t>砷（</w:t>
            </w:r>
            <w:r>
              <w:rPr>
                <w:rFonts w:ascii="Times New Roman" w:hAnsi="Times New Roman" w:eastAsia="Times New Roman"/>
                <w:sz w:val="21"/>
              </w:rPr>
              <w:t>μg/L</w:t>
            </w:r>
            <w:r>
              <w:rPr>
                <w:sz w:val="21"/>
              </w:rPr>
              <w:t>）</w:t>
            </w:r>
          </w:p>
        </w:tc>
        <w:tc>
          <w:tcPr>
            <w:tcW w:w="1370" w:type="dxa"/>
          </w:tcPr>
          <w:p>
            <w:pPr>
              <w:pStyle w:val="14"/>
              <w:spacing w:before="38"/>
              <w:ind w:left="121" w:right="111"/>
              <w:rPr>
                <w:rFonts w:ascii="Times New Roman"/>
                <w:sz w:val="21"/>
              </w:rPr>
            </w:pPr>
            <w:bookmarkStart w:id="323" w:name="0.3L"/>
            <w:bookmarkEnd w:id="323"/>
            <w:r>
              <w:rPr>
                <w:rFonts w:ascii="Times New Roman"/>
                <w:sz w:val="21"/>
              </w:rPr>
              <w:t>0.3L</w:t>
            </w:r>
          </w:p>
        </w:tc>
        <w:tc>
          <w:tcPr>
            <w:tcW w:w="1484" w:type="dxa"/>
          </w:tcPr>
          <w:p>
            <w:pPr>
              <w:pStyle w:val="14"/>
              <w:spacing w:before="38"/>
              <w:ind w:left="421" w:right="409"/>
              <w:rPr>
                <w:rFonts w:ascii="Times New Roman"/>
                <w:sz w:val="21"/>
              </w:rPr>
            </w:pPr>
            <w:bookmarkStart w:id="324" w:name="0.3L"/>
            <w:bookmarkEnd w:id="324"/>
            <w:r>
              <w:rPr>
                <w:rFonts w:ascii="Times New Roman"/>
                <w:sz w:val="21"/>
              </w:rPr>
              <w:t>0.3L</w:t>
            </w:r>
          </w:p>
        </w:tc>
        <w:tc>
          <w:tcPr>
            <w:tcW w:w="1347" w:type="dxa"/>
          </w:tcPr>
          <w:p>
            <w:pPr>
              <w:pStyle w:val="14"/>
              <w:spacing w:before="38"/>
              <w:ind w:left="416" w:right="407"/>
              <w:rPr>
                <w:rFonts w:ascii="Times New Roman"/>
                <w:sz w:val="21"/>
              </w:rPr>
            </w:pPr>
            <w:bookmarkStart w:id="325" w:name="0.3L"/>
            <w:bookmarkEnd w:id="325"/>
            <w:r>
              <w:rPr>
                <w:rFonts w:ascii="Times New Roman"/>
                <w:sz w:val="21"/>
              </w:rPr>
              <w:t>0.3L</w:t>
            </w:r>
          </w:p>
        </w:tc>
        <w:tc>
          <w:tcPr>
            <w:tcW w:w="1357" w:type="dxa"/>
          </w:tcPr>
          <w:p>
            <w:pPr>
              <w:pStyle w:val="14"/>
              <w:spacing w:before="38"/>
              <w:ind w:left="421" w:right="412"/>
              <w:rPr>
                <w:rFonts w:ascii="Times New Roman"/>
                <w:sz w:val="21"/>
              </w:rPr>
            </w:pPr>
            <w:bookmarkStart w:id="326" w:name="0.3L"/>
            <w:bookmarkEnd w:id="326"/>
            <w:r>
              <w:rPr>
                <w:rFonts w:ascii="Times New Roman"/>
                <w:sz w:val="21"/>
              </w:rPr>
              <w:t>0.3L</w:t>
            </w:r>
          </w:p>
        </w:tc>
        <w:tc>
          <w:tcPr>
            <w:tcW w:w="1313" w:type="dxa"/>
          </w:tcPr>
          <w:p>
            <w:pPr>
              <w:pStyle w:val="14"/>
              <w:spacing w:before="38"/>
              <w:ind w:left="282" w:right="271"/>
              <w:rPr>
                <w:rFonts w:ascii="Times New Roman"/>
                <w:sz w:val="21"/>
              </w:rPr>
            </w:pPr>
            <w:bookmarkStart w:id="327" w:name="0.3L"/>
            <w:bookmarkEnd w:id="327"/>
            <w:r>
              <w:rPr>
                <w:rFonts w:ascii="Times New Roman"/>
                <w:sz w:val="21"/>
              </w:rPr>
              <w:t>0.3L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47" w:type="dxa"/>
          </w:tcPr>
          <w:p>
            <w:pPr>
              <w:pStyle w:val="14"/>
              <w:spacing w:before="21"/>
              <w:ind w:left="198" w:right="188"/>
              <w:rPr>
                <w:sz w:val="21"/>
              </w:rPr>
            </w:pPr>
            <w:r>
              <w:rPr>
                <w:sz w:val="21"/>
              </w:rPr>
              <w:t>汞（</w:t>
            </w:r>
            <w:r>
              <w:rPr>
                <w:rFonts w:ascii="Times New Roman" w:hAnsi="Times New Roman" w:eastAsia="Times New Roman"/>
                <w:sz w:val="21"/>
              </w:rPr>
              <w:t>μg/L</w:t>
            </w:r>
            <w:r>
              <w:rPr>
                <w:sz w:val="21"/>
              </w:rPr>
              <w:t>）</w:t>
            </w:r>
          </w:p>
        </w:tc>
        <w:tc>
          <w:tcPr>
            <w:tcW w:w="1370" w:type="dxa"/>
          </w:tcPr>
          <w:p>
            <w:pPr>
              <w:pStyle w:val="14"/>
              <w:spacing w:before="37"/>
              <w:ind w:left="121" w:right="111"/>
              <w:rPr>
                <w:rFonts w:ascii="Times New Roman"/>
                <w:sz w:val="21"/>
              </w:rPr>
            </w:pPr>
            <w:bookmarkStart w:id="328" w:name="0.04L"/>
            <w:bookmarkEnd w:id="328"/>
            <w:r>
              <w:rPr>
                <w:rFonts w:ascii="Times New Roman"/>
                <w:sz w:val="21"/>
              </w:rPr>
              <w:t>0.04L</w:t>
            </w:r>
          </w:p>
        </w:tc>
        <w:tc>
          <w:tcPr>
            <w:tcW w:w="1484" w:type="dxa"/>
          </w:tcPr>
          <w:p>
            <w:pPr>
              <w:pStyle w:val="14"/>
              <w:spacing w:before="37"/>
              <w:ind w:left="494"/>
              <w:jc w:val="left"/>
              <w:rPr>
                <w:rFonts w:ascii="Times New Roman"/>
                <w:sz w:val="21"/>
              </w:rPr>
            </w:pPr>
            <w:bookmarkStart w:id="329" w:name="0.04L"/>
            <w:bookmarkEnd w:id="329"/>
            <w:r>
              <w:rPr>
                <w:rFonts w:ascii="Times New Roman"/>
                <w:sz w:val="21"/>
              </w:rPr>
              <w:t>0.04L</w:t>
            </w:r>
          </w:p>
        </w:tc>
        <w:tc>
          <w:tcPr>
            <w:tcW w:w="1347" w:type="dxa"/>
          </w:tcPr>
          <w:p>
            <w:pPr>
              <w:pStyle w:val="14"/>
              <w:spacing w:before="37"/>
              <w:ind w:right="413"/>
              <w:jc w:val="right"/>
              <w:rPr>
                <w:rFonts w:ascii="Times New Roman"/>
                <w:sz w:val="21"/>
              </w:rPr>
            </w:pPr>
            <w:bookmarkStart w:id="330" w:name="0.04L"/>
            <w:bookmarkEnd w:id="330"/>
            <w:r>
              <w:rPr>
                <w:rFonts w:ascii="Times New Roman"/>
                <w:w w:val="95"/>
                <w:sz w:val="21"/>
              </w:rPr>
              <w:t>0.04L</w:t>
            </w:r>
          </w:p>
        </w:tc>
        <w:tc>
          <w:tcPr>
            <w:tcW w:w="1357" w:type="dxa"/>
          </w:tcPr>
          <w:p>
            <w:pPr>
              <w:pStyle w:val="14"/>
              <w:spacing w:before="37"/>
              <w:ind w:right="416"/>
              <w:jc w:val="right"/>
              <w:rPr>
                <w:rFonts w:ascii="Times New Roman"/>
                <w:sz w:val="21"/>
              </w:rPr>
            </w:pPr>
            <w:bookmarkStart w:id="331" w:name="0.04L"/>
            <w:bookmarkEnd w:id="331"/>
            <w:r>
              <w:rPr>
                <w:rFonts w:ascii="Times New Roman"/>
                <w:sz w:val="21"/>
              </w:rPr>
              <w:t>0.04L</w:t>
            </w:r>
          </w:p>
        </w:tc>
        <w:tc>
          <w:tcPr>
            <w:tcW w:w="1313" w:type="dxa"/>
          </w:tcPr>
          <w:p>
            <w:pPr>
              <w:pStyle w:val="14"/>
              <w:spacing w:before="37"/>
              <w:ind w:left="282" w:right="271"/>
              <w:rPr>
                <w:rFonts w:ascii="Times New Roman"/>
                <w:sz w:val="21"/>
              </w:rPr>
            </w:pPr>
            <w:bookmarkStart w:id="332" w:name="0.04L"/>
            <w:bookmarkEnd w:id="332"/>
            <w:r>
              <w:rPr>
                <w:rFonts w:ascii="Times New Roman"/>
                <w:sz w:val="21"/>
              </w:rPr>
              <w:t>0.04L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47" w:type="dxa"/>
          </w:tcPr>
          <w:p>
            <w:pPr>
              <w:pStyle w:val="14"/>
              <w:spacing w:before="20"/>
              <w:ind w:left="196" w:right="191"/>
              <w:rPr>
                <w:sz w:val="21"/>
              </w:rPr>
            </w:pPr>
            <w:r>
              <w:rPr>
                <w:sz w:val="21"/>
              </w:rPr>
              <w:t>氟化物</w:t>
            </w:r>
          </w:p>
        </w:tc>
        <w:tc>
          <w:tcPr>
            <w:tcW w:w="1370" w:type="dxa"/>
          </w:tcPr>
          <w:p>
            <w:pPr>
              <w:pStyle w:val="14"/>
              <w:spacing w:before="37"/>
              <w:ind w:left="122" w:right="111"/>
              <w:rPr>
                <w:rFonts w:ascii="Times New Roman"/>
                <w:sz w:val="21"/>
              </w:rPr>
            </w:pPr>
            <w:bookmarkStart w:id="333" w:name="0.24"/>
            <w:bookmarkEnd w:id="333"/>
            <w:r>
              <w:rPr>
                <w:rFonts w:ascii="Times New Roman"/>
                <w:sz w:val="21"/>
              </w:rPr>
              <w:t>0.24</w:t>
            </w:r>
          </w:p>
        </w:tc>
        <w:tc>
          <w:tcPr>
            <w:tcW w:w="1484" w:type="dxa"/>
          </w:tcPr>
          <w:p>
            <w:pPr>
              <w:pStyle w:val="14"/>
              <w:spacing w:before="37"/>
              <w:ind w:left="419" w:right="411"/>
              <w:rPr>
                <w:rFonts w:ascii="Times New Roman"/>
                <w:sz w:val="21"/>
              </w:rPr>
            </w:pPr>
            <w:bookmarkStart w:id="334" w:name="0.26"/>
            <w:bookmarkEnd w:id="334"/>
            <w:r>
              <w:rPr>
                <w:rFonts w:ascii="Times New Roman"/>
                <w:sz w:val="21"/>
              </w:rPr>
              <w:t>0.26</w:t>
            </w:r>
          </w:p>
        </w:tc>
        <w:tc>
          <w:tcPr>
            <w:tcW w:w="1347" w:type="dxa"/>
          </w:tcPr>
          <w:p>
            <w:pPr>
              <w:pStyle w:val="14"/>
              <w:spacing w:before="37"/>
              <w:ind w:left="416" w:right="407"/>
              <w:rPr>
                <w:rFonts w:ascii="Times New Roman"/>
                <w:sz w:val="21"/>
              </w:rPr>
            </w:pPr>
            <w:bookmarkStart w:id="335" w:name="0.25"/>
            <w:bookmarkEnd w:id="335"/>
            <w:r>
              <w:rPr>
                <w:rFonts w:ascii="Times New Roman"/>
                <w:sz w:val="21"/>
              </w:rPr>
              <w:t>0.25</w:t>
            </w:r>
          </w:p>
        </w:tc>
        <w:tc>
          <w:tcPr>
            <w:tcW w:w="1357" w:type="dxa"/>
          </w:tcPr>
          <w:p>
            <w:pPr>
              <w:pStyle w:val="14"/>
              <w:spacing w:before="37"/>
              <w:ind w:left="421" w:right="411"/>
              <w:rPr>
                <w:rFonts w:ascii="Times New Roman"/>
                <w:sz w:val="21"/>
              </w:rPr>
            </w:pPr>
            <w:bookmarkStart w:id="336" w:name="0.22"/>
            <w:bookmarkEnd w:id="336"/>
            <w:r>
              <w:rPr>
                <w:rFonts w:ascii="Times New Roman"/>
                <w:sz w:val="21"/>
              </w:rPr>
              <w:t>0.22</w:t>
            </w:r>
          </w:p>
        </w:tc>
        <w:tc>
          <w:tcPr>
            <w:tcW w:w="1313" w:type="dxa"/>
          </w:tcPr>
          <w:p>
            <w:pPr>
              <w:pStyle w:val="14"/>
              <w:spacing w:before="37"/>
              <w:ind w:left="282" w:right="271"/>
              <w:rPr>
                <w:rFonts w:ascii="Times New Roman"/>
                <w:sz w:val="21"/>
              </w:rPr>
            </w:pPr>
            <w:bookmarkStart w:id="337" w:name="0.20"/>
            <w:bookmarkEnd w:id="337"/>
            <w:r>
              <w:rPr>
                <w:rFonts w:ascii="Times New Roman"/>
                <w:sz w:val="21"/>
              </w:rPr>
              <w:t>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47" w:type="dxa"/>
          </w:tcPr>
          <w:p>
            <w:pPr>
              <w:pStyle w:val="14"/>
              <w:spacing w:before="20"/>
              <w:ind w:left="198" w:right="188"/>
              <w:rPr>
                <w:sz w:val="21"/>
              </w:rPr>
            </w:pPr>
            <w:r>
              <w:rPr>
                <w:sz w:val="21"/>
              </w:rPr>
              <w:t>镉（</w:t>
            </w:r>
            <w:r>
              <w:rPr>
                <w:rFonts w:ascii="Times New Roman" w:hAnsi="Times New Roman" w:eastAsia="Times New Roman"/>
                <w:sz w:val="21"/>
              </w:rPr>
              <w:t>μg/L</w:t>
            </w:r>
            <w:r>
              <w:rPr>
                <w:sz w:val="21"/>
              </w:rPr>
              <w:t>）</w:t>
            </w:r>
          </w:p>
        </w:tc>
        <w:tc>
          <w:tcPr>
            <w:tcW w:w="1370" w:type="dxa"/>
          </w:tcPr>
          <w:p>
            <w:pPr>
              <w:pStyle w:val="14"/>
              <w:spacing w:before="39"/>
              <w:ind w:left="121" w:right="111"/>
              <w:rPr>
                <w:rFonts w:ascii="Times New Roman"/>
                <w:sz w:val="21"/>
              </w:rPr>
            </w:pPr>
            <w:bookmarkStart w:id="338" w:name="0.1L"/>
            <w:bookmarkEnd w:id="338"/>
            <w:r>
              <w:rPr>
                <w:rFonts w:ascii="Times New Roman"/>
                <w:sz w:val="21"/>
              </w:rPr>
              <w:t>0.1L</w:t>
            </w:r>
          </w:p>
        </w:tc>
        <w:tc>
          <w:tcPr>
            <w:tcW w:w="1484" w:type="dxa"/>
          </w:tcPr>
          <w:p>
            <w:pPr>
              <w:pStyle w:val="14"/>
              <w:spacing w:before="39"/>
              <w:ind w:left="421" w:right="409"/>
              <w:rPr>
                <w:rFonts w:ascii="Times New Roman"/>
                <w:sz w:val="21"/>
              </w:rPr>
            </w:pPr>
            <w:bookmarkStart w:id="339" w:name="0.1L"/>
            <w:bookmarkEnd w:id="339"/>
            <w:r>
              <w:rPr>
                <w:rFonts w:ascii="Times New Roman"/>
                <w:sz w:val="21"/>
              </w:rPr>
              <w:t>0.1L</w:t>
            </w:r>
          </w:p>
        </w:tc>
        <w:tc>
          <w:tcPr>
            <w:tcW w:w="1347" w:type="dxa"/>
          </w:tcPr>
          <w:p>
            <w:pPr>
              <w:pStyle w:val="14"/>
              <w:spacing w:before="39"/>
              <w:ind w:left="416" w:right="407"/>
              <w:rPr>
                <w:rFonts w:ascii="Times New Roman"/>
                <w:sz w:val="21"/>
              </w:rPr>
            </w:pPr>
            <w:bookmarkStart w:id="340" w:name="0.1L"/>
            <w:bookmarkEnd w:id="340"/>
            <w:r>
              <w:rPr>
                <w:rFonts w:ascii="Times New Roman"/>
                <w:sz w:val="21"/>
              </w:rPr>
              <w:t>0.1L</w:t>
            </w:r>
          </w:p>
        </w:tc>
        <w:tc>
          <w:tcPr>
            <w:tcW w:w="1357" w:type="dxa"/>
          </w:tcPr>
          <w:p>
            <w:pPr>
              <w:pStyle w:val="14"/>
              <w:spacing w:before="39"/>
              <w:ind w:left="421" w:right="412"/>
              <w:rPr>
                <w:rFonts w:ascii="Times New Roman"/>
                <w:sz w:val="21"/>
              </w:rPr>
            </w:pPr>
            <w:bookmarkStart w:id="341" w:name="0.1L"/>
            <w:bookmarkEnd w:id="341"/>
            <w:r>
              <w:rPr>
                <w:rFonts w:ascii="Times New Roman"/>
                <w:sz w:val="21"/>
              </w:rPr>
              <w:t>0.1L</w:t>
            </w:r>
          </w:p>
        </w:tc>
        <w:tc>
          <w:tcPr>
            <w:tcW w:w="1313" w:type="dxa"/>
          </w:tcPr>
          <w:p>
            <w:pPr>
              <w:pStyle w:val="14"/>
              <w:spacing w:before="39"/>
              <w:ind w:left="282" w:right="271"/>
              <w:rPr>
                <w:rFonts w:ascii="Times New Roman"/>
                <w:sz w:val="21"/>
              </w:rPr>
            </w:pPr>
            <w:bookmarkStart w:id="342" w:name="0.1L"/>
            <w:bookmarkEnd w:id="342"/>
            <w:r>
              <w:rPr>
                <w:rFonts w:ascii="Times New Roman"/>
                <w:sz w:val="21"/>
              </w:rPr>
              <w:t>0.1L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47" w:type="dxa"/>
          </w:tcPr>
          <w:p>
            <w:pPr>
              <w:pStyle w:val="14"/>
              <w:spacing w:before="36"/>
              <w:ind w:left="198" w:right="186"/>
              <w:rPr>
                <w:rFonts w:ascii="Times New Roman"/>
                <w:sz w:val="13"/>
              </w:rPr>
            </w:pPr>
            <w:r>
              <w:rPr>
                <w:rFonts w:ascii="Times New Roman"/>
                <w:position w:val="-6"/>
                <w:sz w:val="21"/>
              </w:rPr>
              <w:t>K</w:t>
            </w:r>
            <w:r>
              <w:rPr>
                <w:rFonts w:ascii="Times New Roman"/>
                <w:sz w:val="13"/>
              </w:rPr>
              <w:t>+</w:t>
            </w:r>
          </w:p>
        </w:tc>
        <w:tc>
          <w:tcPr>
            <w:tcW w:w="1370" w:type="dxa"/>
          </w:tcPr>
          <w:p>
            <w:pPr>
              <w:pStyle w:val="14"/>
              <w:spacing w:before="38"/>
              <w:ind w:left="122" w:right="111"/>
              <w:rPr>
                <w:rFonts w:ascii="Times New Roman"/>
                <w:sz w:val="21"/>
              </w:rPr>
            </w:pPr>
            <w:bookmarkStart w:id="343" w:name="1.00"/>
            <w:bookmarkEnd w:id="343"/>
            <w:r>
              <w:rPr>
                <w:rFonts w:ascii="Times New Roman"/>
                <w:sz w:val="21"/>
              </w:rPr>
              <w:t>1.00</w:t>
            </w:r>
          </w:p>
        </w:tc>
        <w:tc>
          <w:tcPr>
            <w:tcW w:w="1484" w:type="dxa"/>
          </w:tcPr>
          <w:p>
            <w:pPr>
              <w:pStyle w:val="14"/>
              <w:spacing w:before="38"/>
              <w:ind w:left="419" w:right="411"/>
              <w:rPr>
                <w:rFonts w:ascii="Times New Roman"/>
                <w:sz w:val="21"/>
              </w:rPr>
            </w:pPr>
            <w:bookmarkStart w:id="344" w:name="0.72"/>
            <w:bookmarkEnd w:id="344"/>
            <w:r>
              <w:rPr>
                <w:rFonts w:ascii="Times New Roman"/>
                <w:sz w:val="21"/>
              </w:rPr>
              <w:t>0.72</w:t>
            </w:r>
          </w:p>
        </w:tc>
        <w:tc>
          <w:tcPr>
            <w:tcW w:w="1347" w:type="dxa"/>
          </w:tcPr>
          <w:p>
            <w:pPr>
              <w:pStyle w:val="14"/>
              <w:spacing w:before="38"/>
              <w:ind w:left="416" w:right="407"/>
              <w:rPr>
                <w:rFonts w:ascii="Times New Roman"/>
                <w:sz w:val="21"/>
              </w:rPr>
            </w:pPr>
            <w:bookmarkStart w:id="345" w:name="0.73"/>
            <w:bookmarkEnd w:id="345"/>
            <w:r>
              <w:rPr>
                <w:rFonts w:ascii="Times New Roman"/>
                <w:sz w:val="21"/>
              </w:rPr>
              <w:t>0.73</w:t>
            </w:r>
          </w:p>
        </w:tc>
        <w:tc>
          <w:tcPr>
            <w:tcW w:w="1357" w:type="dxa"/>
          </w:tcPr>
          <w:p>
            <w:pPr>
              <w:pStyle w:val="14"/>
              <w:spacing w:before="38"/>
              <w:ind w:left="421" w:right="411"/>
              <w:rPr>
                <w:rFonts w:ascii="Times New Roman"/>
                <w:sz w:val="21"/>
              </w:rPr>
            </w:pPr>
            <w:bookmarkStart w:id="346" w:name="3.55"/>
            <w:bookmarkEnd w:id="346"/>
            <w:r>
              <w:rPr>
                <w:rFonts w:ascii="Times New Roman"/>
                <w:sz w:val="21"/>
              </w:rPr>
              <w:t>3.55</w:t>
            </w:r>
          </w:p>
        </w:tc>
        <w:tc>
          <w:tcPr>
            <w:tcW w:w="1313" w:type="dxa"/>
          </w:tcPr>
          <w:p>
            <w:pPr>
              <w:pStyle w:val="14"/>
              <w:spacing w:before="38"/>
              <w:ind w:left="282" w:right="271"/>
              <w:rPr>
                <w:rFonts w:ascii="Times New Roman"/>
                <w:sz w:val="21"/>
              </w:rPr>
            </w:pPr>
            <w:bookmarkStart w:id="347" w:name="4.05"/>
            <w:bookmarkEnd w:id="347"/>
            <w:r>
              <w:rPr>
                <w:rFonts w:ascii="Times New Roman"/>
                <w:sz w:val="21"/>
              </w:rPr>
              <w:t>4.05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47" w:type="dxa"/>
          </w:tcPr>
          <w:p>
            <w:pPr>
              <w:pStyle w:val="14"/>
              <w:spacing w:before="36"/>
              <w:ind w:left="198" w:right="188"/>
              <w:rPr>
                <w:rFonts w:ascii="Times New Roman"/>
                <w:sz w:val="13"/>
              </w:rPr>
            </w:pPr>
            <w:r>
              <w:rPr>
                <w:rFonts w:ascii="Times New Roman"/>
                <w:sz w:val="21"/>
              </w:rPr>
              <w:t>Na</w:t>
            </w:r>
            <w:r>
              <w:rPr>
                <w:rFonts w:ascii="Times New Roman"/>
                <w:position w:val="7"/>
                <w:sz w:val="13"/>
              </w:rPr>
              <w:t>+</w:t>
            </w:r>
          </w:p>
        </w:tc>
        <w:tc>
          <w:tcPr>
            <w:tcW w:w="1370" w:type="dxa"/>
          </w:tcPr>
          <w:p>
            <w:pPr>
              <w:pStyle w:val="14"/>
              <w:spacing w:before="38"/>
              <w:ind w:left="122" w:right="111"/>
              <w:rPr>
                <w:rFonts w:ascii="Times New Roman"/>
                <w:sz w:val="21"/>
              </w:rPr>
            </w:pPr>
            <w:bookmarkStart w:id="348" w:name="20.3"/>
            <w:bookmarkEnd w:id="348"/>
            <w:r>
              <w:rPr>
                <w:rFonts w:ascii="Times New Roman"/>
                <w:sz w:val="21"/>
              </w:rPr>
              <w:t>20.3</w:t>
            </w:r>
          </w:p>
        </w:tc>
        <w:tc>
          <w:tcPr>
            <w:tcW w:w="1484" w:type="dxa"/>
          </w:tcPr>
          <w:p>
            <w:pPr>
              <w:pStyle w:val="14"/>
              <w:spacing w:before="38"/>
              <w:ind w:left="419" w:right="411"/>
              <w:rPr>
                <w:rFonts w:ascii="Times New Roman"/>
                <w:sz w:val="21"/>
              </w:rPr>
            </w:pPr>
            <w:bookmarkStart w:id="349" w:name="7.99"/>
            <w:bookmarkEnd w:id="349"/>
            <w:r>
              <w:rPr>
                <w:rFonts w:ascii="Times New Roman"/>
                <w:sz w:val="21"/>
              </w:rPr>
              <w:t>7.99</w:t>
            </w:r>
          </w:p>
        </w:tc>
        <w:tc>
          <w:tcPr>
            <w:tcW w:w="1347" w:type="dxa"/>
          </w:tcPr>
          <w:p>
            <w:pPr>
              <w:pStyle w:val="14"/>
              <w:spacing w:before="38"/>
              <w:ind w:left="416" w:right="407"/>
              <w:rPr>
                <w:rFonts w:ascii="Times New Roman"/>
                <w:sz w:val="21"/>
              </w:rPr>
            </w:pPr>
            <w:bookmarkStart w:id="350" w:name="20.8"/>
            <w:bookmarkEnd w:id="350"/>
            <w:r>
              <w:rPr>
                <w:rFonts w:ascii="Times New Roman"/>
                <w:sz w:val="21"/>
              </w:rPr>
              <w:t>20.8</w:t>
            </w:r>
          </w:p>
        </w:tc>
        <w:tc>
          <w:tcPr>
            <w:tcW w:w="1357" w:type="dxa"/>
          </w:tcPr>
          <w:p>
            <w:pPr>
              <w:pStyle w:val="14"/>
              <w:spacing w:before="38"/>
              <w:ind w:left="421" w:right="411"/>
              <w:rPr>
                <w:rFonts w:ascii="Times New Roman"/>
                <w:sz w:val="21"/>
              </w:rPr>
            </w:pPr>
            <w:bookmarkStart w:id="351" w:name="21.8"/>
            <w:bookmarkEnd w:id="351"/>
            <w:r>
              <w:rPr>
                <w:rFonts w:ascii="Times New Roman"/>
                <w:sz w:val="21"/>
              </w:rPr>
              <w:t>21.8</w:t>
            </w:r>
          </w:p>
        </w:tc>
        <w:tc>
          <w:tcPr>
            <w:tcW w:w="1313" w:type="dxa"/>
          </w:tcPr>
          <w:p>
            <w:pPr>
              <w:pStyle w:val="14"/>
              <w:spacing w:before="38"/>
              <w:ind w:left="282" w:right="271"/>
              <w:rPr>
                <w:rFonts w:ascii="Times New Roman"/>
                <w:sz w:val="21"/>
              </w:rPr>
            </w:pPr>
            <w:bookmarkStart w:id="352" w:name="28.5"/>
            <w:bookmarkEnd w:id="352"/>
            <w:r>
              <w:rPr>
                <w:rFonts w:ascii="Times New Roman"/>
                <w:sz w:val="21"/>
              </w:rPr>
              <w:t>28.5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47" w:type="dxa"/>
          </w:tcPr>
          <w:p>
            <w:pPr>
              <w:pStyle w:val="14"/>
              <w:spacing w:before="36"/>
              <w:ind w:left="198" w:right="188"/>
              <w:rPr>
                <w:rFonts w:ascii="Times New Roman"/>
                <w:sz w:val="13"/>
              </w:rPr>
            </w:pPr>
            <w:r>
              <w:rPr>
                <w:rFonts w:ascii="Times New Roman"/>
                <w:position w:val="-6"/>
                <w:sz w:val="21"/>
              </w:rPr>
              <w:t>Ca</w:t>
            </w:r>
            <w:r>
              <w:rPr>
                <w:rFonts w:ascii="Times New Roman"/>
                <w:sz w:val="13"/>
              </w:rPr>
              <w:t>2+</w:t>
            </w:r>
          </w:p>
        </w:tc>
        <w:tc>
          <w:tcPr>
            <w:tcW w:w="1370" w:type="dxa"/>
          </w:tcPr>
          <w:p>
            <w:pPr>
              <w:pStyle w:val="14"/>
              <w:spacing w:before="38"/>
              <w:ind w:left="122" w:right="111"/>
              <w:rPr>
                <w:rFonts w:ascii="Times New Roman"/>
                <w:sz w:val="21"/>
              </w:rPr>
            </w:pPr>
            <w:bookmarkStart w:id="353" w:name="43.6"/>
            <w:bookmarkEnd w:id="353"/>
            <w:r>
              <w:rPr>
                <w:rFonts w:ascii="Times New Roman"/>
                <w:sz w:val="21"/>
              </w:rPr>
              <w:t>43.6</w:t>
            </w:r>
          </w:p>
        </w:tc>
        <w:tc>
          <w:tcPr>
            <w:tcW w:w="1484" w:type="dxa"/>
          </w:tcPr>
          <w:p>
            <w:pPr>
              <w:pStyle w:val="14"/>
              <w:spacing w:before="38"/>
              <w:ind w:left="419" w:right="411"/>
              <w:rPr>
                <w:rFonts w:ascii="Times New Roman"/>
                <w:sz w:val="21"/>
              </w:rPr>
            </w:pPr>
            <w:bookmarkStart w:id="354" w:name="27.8"/>
            <w:bookmarkEnd w:id="354"/>
            <w:r>
              <w:rPr>
                <w:rFonts w:ascii="Times New Roman"/>
                <w:sz w:val="21"/>
              </w:rPr>
              <w:t>27.8</w:t>
            </w:r>
          </w:p>
        </w:tc>
        <w:tc>
          <w:tcPr>
            <w:tcW w:w="1347" w:type="dxa"/>
          </w:tcPr>
          <w:p>
            <w:pPr>
              <w:pStyle w:val="14"/>
              <w:spacing w:before="38"/>
              <w:ind w:left="416" w:right="407"/>
              <w:rPr>
                <w:rFonts w:ascii="Times New Roman"/>
                <w:sz w:val="21"/>
              </w:rPr>
            </w:pPr>
            <w:bookmarkStart w:id="355" w:name="59.5"/>
            <w:bookmarkEnd w:id="355"/>
            <w:r>
              <w:rPr>
                <w:rFonts w:ascii="Times New Roman"/>
                <w:sz w:val="21"/>
              </w:rPr>
              <w:t>59.5</w:t>
            </w:r>
          </w:p>
        </w:tc>
        <w:tc>
          <w:tcPr>
            <w:tcW w:w="1357" w:type="dxa"/>
          </w:tcPr>
          <w:p>
            <w:pPr>
              <w:pStyle w:val="14"/>
              <w:spacing w:before="38"/>
              <w:ind w:left="421" w:right="411"/>
              <w:rPr>
                <w:rFonts w:ascii="Times New Roman"/>
                <w:sz w:val="21"/>
              </w:rPr>
            </w:pPr>
            <w:bookmarkStart w:id="356" w:name="87.0"/>
            <w:bookmarkEnd w:id="356"/>
            <w:r>
              <w:rPr>
                <w:rFonts w:ascii="Times New Roman"/>
                <w:sz w:val="21"/>
              </w:rPr>
              <w:t>87.0</w:t>
            </w:r>
          </w:p>
        </w:tc>
        <w:tc>
          <w:tcPr>
            <w:tcW w:w="1313" w:type="dxa"/>
          </w:tcPr>
          <w:p>
            <w:pPr>
              <w:pStyle w:val="14"/>
              <w:spacing w:before="38"/>
              <w:ind w:left="282" w:right="271"/>
              <w:rPr>
                <w:rFonts w:ascii="Times New Roman"/>
                <w:sz w:val="21"/>
              </w:rPr>
            </w:pPr>
            <w:bookmarkStart w:id="357" w:name="84.5"/>
            <w:bookmarkEnd w:id="357"/>
            <w:r>
              <w:rPr>
                <w:rFonts w:ascii="Times New Roman"/>
                <w:sz w:val="21"/>
              </w:rPr>
              <w:t>84.5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47" w:type="dxa"/>
          </w:tcPr>
          <w:p>
            <w:pPr>
              <w:pStyle w:val="14"/>
              <w:spacing w:before="35"/>
              <w:ind w:left="198" w:right="188"/>
              <w:rPr>
                <w:rFonts w:ascii="Times New Roman"/>
                <w:sz w:val="13"/>
              </w:rPr>
            </w:pPr>
            <w:r>
              <w:rPr>
                <w:rFonts w:ascii="Times New Roman"/>
                <w:position w:val="-6"/>
                <w:sz w:val="21"/>
              </w:rPr>
              <w:t>Mg</w:t>
            </w:r>
            <w:r>
              <w:rPr>
                <w:rFonts w:ascii="Times New Roman"/>
                <w:sz w:val="13"/>
              </w:rPr>
              <w:t>2+</w:t>
            </w:r>
          </w:p>
        </w:tc>
        <w:tc>
          <w:tcPr>
            <w:tcW w:w="1370" w:type="dxa"/>
          </w:tcPr>
          <w:p>
            <w:pPr>
              <w:pStyle w:val="14"/>
              <w:spacing w:before="37"/>
              <w:ind w:left="122" w:right="111"/>
              <w:rPr>
                <w:rFonts w:ascii="Times New Roman"/>
                <w:sz w:val="21"/>
              </w:rPr>
            </w:pPr>
            <w:bookmarkStart w:id="358" w:name="25.9"/>
            <w:bookmarkEnd w:id="358"/>
            <w:r>
              <w:rPr>
                <w:rFonts w:ascii="Times New Roman"/>
                <w:sz w:val="21"/>
              </w:rPr>
              <w:t>25.9</w:t>
            </w:r>
          </w:p>
        </w:tc>
        <w:tc>
          <w:tcPr>
            <w:tcW w:w="1484" w:type="dxa"/>
          </w:tcPr>
          <w:p>
            <w:pPr>
              <w:pStyle w:val="14"/>
              <w:spacing w:before="37"/>
              <w:ind w:left="419" w:right="411"/>
              <w:rPr>
                <w:rFonts w:ascii="Times New Roman"/>
                <w:sz w:val="21"/>
              </w:rPr>
            </w:pPr>
            <w:bookmarkStart w:id="359" w:name="10.2"/>
            <w:bookmarkEnd w:id="359"/>
            <w:r>
              <w:rPr>
                <w:rFonts w:ascii="Times New Roman"/>
                <w:sz w:val="21"/>
              </w:rPr>
              <w:t>10.2</w:t>
            </w:r>
          </w:p>
        </w:tc>
        <w:tc>
          <w:tcPr>
            <w:tcW w:w="1347" w:type="dxa"/>
          </w:tcPr>
          <w:p>
            <w:pPr>
              <w:pStyle w:val="14"/>
              <w:spacing w:before="37"/>
              <w:ind w:left="416" w:right="407"/>
              <w:rPr>
                <w:rFonts w:ascii="Times New Roman"/>
                <w:sz w:val="21"/>
              </w:rPr>
            </w:pPr>
            <w:bookmarkStart w:id="360" w:name="19.3"/>
            <w:bookmarkEnd w:id="360"/>
            <w:r>
              <w:rPr>
                <w:rFonts w:ascii="Times New Roman"/>
                <w:sz w:val="21"/>
              </w:rPr>
              <w:t>19.3</w:t>
            </w:r>
          </w:p>
        </w:tc>
        <w:tc>
          <w:tcPr>
            <w:tcW w:w="1357" w:type="dxa"/>
          </w:tcPr>
          <w:p>
            <w:pPr>
              <w:pStyle w:val="14"/>
              <w:spacing w:before="37"/>
              <w:ind w:left="421" w:right="411"/>
              <w:rPr>
                <w:rFonts w:ascii="Times New Roman"/>
                <w:sz w:val="21"/>
              </w:rPr>
            </w:pPr>
            <w:bookmarkStart w:id="361" w:name="57.5"/>
            <w:bookmarkEnd w:id="361"/>
            <w:r>
              <w:rPr>
                <w:rFonts w:ascii="Times New Roman"/>
                <w:sz w:val="21"/>
              </w:rPr>
              <w:t>57.5</w:t>
            </w:r>
          </w:p>
        </w:tc>
        <w:tc>
          <w:tcPr>
            <w:tcW w:w="1313" w:type="dxa"/>
          </w:tcPr>
          <w:p>
            <w:pPr>
              <w:pStyle w:val="14"/>
              <w:spacing w:before="37"/>
              <w:ind w:left="282" w:right="271"/>
              <w:rPr>
                <w:rFonts w:ascii="Times New Roman"/>
                <w:sz w:val="21"/>
              </w:rPr>
            </w:pPr>
            <w:bookmarkStart w:id="362" w:name="57.5"/>
            <w:bookmarkEnd w:id="362"/>
            <w:r>
              <w:rPr>
                <w:rFonts w:ascii="Times New Roman"/>
                <w:sz w:val="21"/>
              </w:rPr>
              <w:t>57.5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47" w:type="dxa"/>
          </w:tcPr>
          <w:p>
            <w:pPr>
              <w:pStyle w:val="14"/>
              <w:spacing w:before="40" w:line="71" w:lineRule="exact"/>
              <w:ind w:left="560" w:right="191"/>
              <w:rPr>
                <w:rFonts w:ascii="Times New Roman"/>
                <w:sz w:val="13"/>
              </w:rPr>
            </w:pPr>
            <w:r>
              <w:rPr>
                <w:rFonts w:ascii="Times New Roman"/>
                <w:w w:val="105"/>
                <w:sz w:val="13"/>
              </w:rPr>
              <w:t>2-</w:t>
            </w:r>
          </w:p>
          <w:p>
            <w:pPr>
              <w:pStyle w:val="14"/>
              <w:spacing w:line="182" w:lineRule="exact"/>
              <w:ind w:left="89" w:right="191"/>
              <w:rPr>
                <w:rFonts w:ascii="Times New Roman"/>
                <w:sz w:val="21"/>
              </w:rPr>
            </w:pPr>
            <w:r>
              <w:rPr>
                <w:rFonts w:ascii="Times New Roman"/>
                <w:position w:val="2"/>
                <w:sz w:val="21"/>
              </w:rPr>
              <w:t>CO</w:t>
            </w:r>
            <w:r>
              <w:rPr>
                <w:rFonts w:ascii="Times New Roman"/>
                <w:position w:val="2"/>
                <w:sz w:val="21"/>
                <w:vertAlign w:val="subscript"/>
              </w:rPr>
              <w:t>3</w:t>
            </w:r>
          </w:p>
        </w:tc>
        <w:tc>
          <w:tcPr>
            <w:tcW w:w="1370" w:type="dxa"/>
          </w:tcPr>
          <w:p>
            <w:pPr>
              <w:pStyle w:val="14"/>
              <w:spacing w:before="34"/>
              <w:ind w:left="6"/>
              <w:rPr>
                <w:rFonts w:ascii="Times New Roman"/>
                <w:sz w:val="21"/>
              </w:rPr>
            </w:pPr>
            <w:r>
              <w:rPr>
                <w:rFonts w:ascii="Times New Roman"/>
                <w:w w:val="99"/>
                <w:sz w:val="21"/>
              </w:rPr>
              <w:t>0</w:t>
            </w:r>
          </w:p>
        </w:tc>
        <w:tc>
          <w:tcPr>
            <w:tcW w:w="1484" w:type="dxa"/>
          </w:tcPr>
          <w:p>
            <w:pPr>
              <w:pStyle w:val="14"/>
              <w:spacing w:before="37"/>
              <w:ind w:left="8"/>
              <w:rPr>
                <w:rFonts w:ascii="Times New Roman"/>
                <w:sz w:val="21"/>
              </w:rPr>
            </w:pPr>
            <w:bookmarkStart w:id="363" w:name="0"/>
            <w:bookmarkEnd w:id="363"/>
            <w:r>
              <w:rPr>
                <w:rFonts w:ascii="Times New Roman"/>
                <w:w w:val="99"/>
                <w:sz w:val="21"/>
              </w:rPr>
              <w:t>0</w:t>
            </w:r>
          </w:p>
        </w:tc>
        <w:tc>
          <w:tcPr>
            <w:tcW w:w="1347" w:type="dxa"/>
          </w:tcPr>
          <w:p>
            <w:pPr>
              <w:pStyle w:val="14"/>
              <w:spacing w:before="37"/>
              <w:ind w:left="9"/>
              <w:rPr>
                <w:rFonts w:ascii="Times New Roman"/>
                <w:sz w:val="21"/>
              </w:rPr>
            </w:pPr>
            <w:bookmarkStart w:id="364" w:name="0"/>
            <w:bookmarkEnd w:id="364"/>
            <w:r>
              <w:rPr>
                <w:rFonts w:ascii="Times New Roman"/>
                <w:w w:val="99"/>
                <w:sz w:val="21"/>
              </w:rPr>
              <w:t>0</w:t>
            </w:r>
          </w:p>
        </w:tc>
        <w:tc>
          <w:tcPr>
            <w:tcW w:w="1357" w:type="dxa"/>
          </w:tcPr>
          <w:p>
            <w:pPr>
              <w:pStyle w:val="14"/>
              <w:spacing w:before="37"/>
              <w:ind w:left="8"/>
              <w:rPr>
                <w:rFonts w:ascii="Times New Roman"/>
                <w:sz w:val="21"/>
              </w:rPr>
            </w:pPr>
            <w:bookmarkStart w:id="365" w:name="0"/>
            <w:bookmarkEnd w:id="365"/>
            <w:r>
              <w:rPr>
                <w:rFonts w:ascii="Times New Roman"/>
                <w:w w:val="99"/>
                <w:sz w:val="21"/>
              </w:rPr>
              <w:t>0</w:t>
            </w:r>
          </w:p>
        </w:tc>
        <w:tc>
          <w:tcPr>
            <w:tcW w:w="1313" w:type="dxa"/>
          </w:tcPr>
          <w:p>
            <w:pPr>
              <w:pStyle w:val="14"/>
              <w:spacing w:before="37"/>
              <w:ind w:left="7"/>
              <w:rPr>
                <w:rFonts w:ascii="Times New Roman"/>
                <w:sz w:val="21"/>
              </w:rPr>
            </w:pPr>
            <w:bookmarkStart w:id="366" w:name="0"/>
            <w:bookmarkEnd w:id="366"/>
            <w:r>
              <w:rPr>
                <w:rFonts w:ascii="Times New Roman"/>
                <w:w w:val="99"/>
                <w:sz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47" w:type="dxa"/>
          </w:tcPr>
          <w:p>
            <w:pPr>
              <w:pStyle w:val="14"/>
              <w:spacing w:before="42" w:line="69" w:lineRule="exact"/>
              <w:ind w:left="521"/>
              <w:rPr>
                <w:rFonts w:ascii="Times New Roman"/>
                <w:sz w:val="13"/>
              </w:rPr>
            </w:pPr>
            <w:r>
              <w:rPr>
                <w:rFonts w:ascii="Times New Roman"/>
                <w:w w:val="105"/>
                <w:sz w:val="13"/>
              </w:rPr>
              <w:t>-</w:t>
            </w:r>
          </w:p>
          <w:p>
            <w:pPr>
              <w:pStyle w:val="14"/>
              <w:spacing w:line="181" w:lineRule="exact"/>
              <w:ind w:left="159" w:right="191"/>
              <w:rPr>
                <w:rFonts w:ascii="Times New Roman"/>
                <w:sz w:val="21"/>
              </w:rPr>
            </w:pPr>
            <w:r>
              <w:rPr>
                <w:rFonts w:ascii="Times New Roman"/>
                <w:position w:val="2"/>
                <w:sz w:val="21"/>
              </w:rPr>
              <w:t>HCO</w:t>
            </w:r>
            <w:r>
              <w:rPr>
                <w:rFonts w:ascii="Times New Roman"/>
                <w:position w:val="2"/>
                <w:sz w:val="21"/>
                <w:vertAlign w:val="subscript"/>
              </w:rPr>
              <w:t>3</w:t>
            </w:r>
          </w:p>
        </w:tc>
        <w:tc>
          <w:tcPr>
            <w:tcW w:w="1370" w:type="dxa"/>
          </w:tcPr>
          <w:p>
            <w:pPr>
              <w:pStyle w:val="14"/>
              <w:spacing w:before="39"/>
              <w:ind w:left="122" w:right="111"/>
              <w:rPr>
                <w:rFonts w:ascii="Times New Roman"/>
                <w:sz w:val="21"/>
              </w:rPr>
            </w:pPr>
            <w:r>
              <w:rPr>
                <w:rFonts w:ascii="Times New Roman"/>
                <w:sz w:val="21"/>
              </w:rPr>
              <w:t>280.3</w:t>
            </w:r>
          </w:p>
        </w:tc>
        <w:tc>
          <w:tcPr>
            <w:tcW w:w="1484" w:type="dxa"/>
          </w:tcPr>
          <w:p>
            <w:pPr>
              <w:pStyle w:val="14"/>
              <w:spacing w:before="39"/>
              <w:ind w:left="421" w:right="410"/>
              <w:rPr>
                <w:rFonts w:ascii="Times New Roman"/>
                <w:sz w:val="21"/>
              </w:rPr>
            </w:pPr>
            <w:bookmarkStart w:id="367" w:name="121.4"/>
            <w:bookmarkEnd w:id="367"/>
            <w:r>
              <w:rPr>
                <w:rFonts w:ascii="Times New Roman"/>
                <w:sz w:val="21"/>
              </w:rPr>
              <w:t>121.4</w:t>
            </w:r>
          </w:p>
        </w:tc>
        <w:tc>
          <w:tcPr>
            <w:tcW w:w="1347" w:type="dxa"/>
          </w:tcPr>
          <w:p>
            <w:pPr>
              <w:pStyle w:val="14"/>
              <w:spacing w:before="39"/>
              <w:ind w:left="436"/>
              <w:jc w:val="left"/>
              <w:rPr>
                <w:rFonts w:ascii="Times New Roman"/>
                <w:sz w:val="21"/>
              </w:rPr>
            </w:pPr>
            <w:bookmarkStart w:id="368" w:name="188.7"/>
            <w:bookmarkEnd w:id="368"/>
            <w:r>
              <w:rPr>
                <w:rFonts w:ascii="Times New Roman"/>
                <w:sz w:val="21"/>
              </w:rPr>
              <w:t>188.7</w:t>
            </w:r>
          </w:p>
        </w:tc>
        <w:tc>
          <w:tcPr>
            <w:tcW w:w="1357" w:type="dxa"/>
          </w:tcPr>
          <w:p>
            <w:pPr>
              <w:pStyle w:val="14"/>
              <w:spacing w:before="39"/>
              <w:ind w:left="440"/>
              <w:jc w:val="left"/>
              <w:rPr>
                <w:rFonts w:ascii="Times New Roman"/>
                <w:sz w:val="21"/>
              </w:rPr>
            </w:pPr>
            <w:bookmarkStart w:id="369" w:name="508.1"/>
            <w:bookmarkEnd w:id="369"/>
            <w:r>
              <w:rPr>
                <w:rFonts w:ascii="Times New Roman"/>
                <w:sz w:val="21"/>
              </w:rPr>
              <w:t>508.1</w:t>
            </w:r>
          </w:p>
        </w:tc>
        <w:tc>
          <w:tcPr>
            <w:tcW w:w="1313" w:type="dxa"/>
          </w:tcPr>
          <w:p>
            <w:pPr>
              <w:pStyle w:val="14"/>
              <w:spacing w:before="39"/>
              <w:ind w:left="282" w:right="273"/>
              <w:rPr>
                <w:rFonts w:ascii="Times New Roman"/>
                <w:sz w:val="21"/>
              </w:rPr>
            </w:pPr>
            <w:bookmarkStart w:id="370" w:name="557.4"/>
            <w:bookmarkEnd w:id="370"/>
            <w:r>
              <w:rPr>
                <w:rFonts w:ascii="Times New Roman"/>
                <w:sz w:val="21"/>
              </w:rPr>
              <w:t>557.4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47" w:type="dxa"/>
          </w:tcPr>
          <w:p>
            <w:pPr>
              <w:pStyle w:val="14"/>
              <w:spacing w:before="34"/>
              <w:ind w:left="198" w:right="189"/>
              <w:rPr>
                <w:rFonts w:ascii="Times New Roman"/>
                <w:sz w:val="13"/>
              </w:rPr>
            </w:pPr>
            <w:r>
              <w:rPr>
                <w:rFonts w:ascii="Times New Roman"/>
                <w:sz w:val="21"/>
              </w:rPr>
              <w:t>Cl</w:t>
            </w:r>
            <w:r>
              <w:rPr>
                <w:rFonts w:ascii="Times New Roman"/>
                <w:position w:val="7"/>
                <w:sz w:val="13"/>
              </w:rPr>
              <w:t>-</w:t>
            </w:r>
          </w:p>
        </w:tc>
        <w:tc>
          <w:tcPr>
            <w:tcW w:w="1370" w:type="dxa"/>
          </w:tcPr>
          <w:p>
            <w:pPr>
              <w:pStyle w:val="14"/>
              <w:spacing w:before="38"/>
              <w:ind w:left="122" w:right="111"/>
              <w:rPr>
                <w:rFonts w:ascii="Times New Roman"/>
                <w:sz w:val="21"/>
              </w:rPr>
            </w:pPr>
            <w:bookmarkStart w:id="371" w:name="10.3"/>
            <w:bookmarkEnd w:id="371"/>
            <w:r>
              <w:rPr>
                <w:rFonts w:ascii="Times New Roman"/>
                <w:sz w:val="21"/>
              </w:rPr>
              <w:t>10.3</w:t>
            </w:r>
          </w:p>
        </w:tc>
        <w:tc>
          <w:tcPr>
            <w:tcW w:w="1484" w:type="dxa"/>
          </w:tcPr>
          <w:p>
            <w:pPr>
              <w:pStyle w:val="14"/>
              <w:spacing w:before="38"/>
              <w:ind w:left="419" w:right="411"/>
              <w:rPr>
                <w:rFonts w:ascii="Times New Roman"/>
                <w:sz w:val="21"/>
              </w:rPr>
            </w:pPr>
            <w:bookmarkStart w:id="372" w:name="10.1"/>
            <w:bookmarkEnd w:id="372"/>
            <w:r>
              <w:rPr>
                <w:rFonts w:ascii="Times New Roman"/>
                <w:sz w:val="21"/>
              </w:rPr>
              <w:t>10.1</w:t>
            </w:r>
          </w:p>
        </w:tc>
        <w:tc>
          <w:tcPr>
            <w:tcW w:w="1347" w:type="dxa"/>
          </w:tcPr>
          <w:p>
            <w:pPr>
              <w:pStyle w:val="14"/>
              <w:spacing w:before="38"/>
              <w:ind w:left="416" w:right="407"/>
              <w:rPr>
                <w:rFonts w:ascii="Times New Roman"/>
                <w:sz w:val="21"/>
              </w:rPr>
            </w:pPr>
            <w:bookmarkStart w:id="373" w:name="32.4"/>
            <w:bookmarkEnd w:id="373"/>
            <w:r>
              <w:rPr>
                <w:rFonts w:ascii="Times New Roman"/>
                <w:sz w:val="21"/>
              </w:rPr>
              <w:t>32.4</w:t>
            </w:r>
          </w:p>
        </w:tc>
        <w:tc>
          <w:tcPr>
            <w:tcW w:w="1357" w:type="dxa"/>
          </w:tcPr>
          <w:p>
            <w:pPr>
              <w:pStyle w:val="14"/>
              <w:spacing w:before="38"/>
              <w:ind w:left="421" w:right="411"/>
              <w:rPr>
                <w:rFonts w:ascii="Times New Roman"/>
                <w:sz w:val="21"/>
              </w:rPr>
            </w:pPr>
            <w:bookmarkStart w:id="374" w:name="16.0"/>
            <w:bookmarkEnd w:id="374"/>
            <w:r>
              <w:rPr>
                <w:rFonts w:ascii="Times New Roman"/>
                <w:sz w:val="21"/>
              </w:rPr>
              <w:t>16.0</w:t>
            </w:r>
          </w:p>
        </w:tc>
        <w:tc>
          <w:tcPr>
            <w:tcW w:w="1313" w:type="dxa"/>
          </w:tcPr>
          <w:p>
            <w:pPr>
              <w:pStyle w:val="14"/>
              <w:spacing w:before="38"/>
              <w:ind w:left="282" w:right="271"/>
              <w:rPr>
                <w:rFonts w:ascii="Times New Roman"/>
                <w:sz w:val="21"/>
              </w:rPr>
            </w:pPr>
            <w:bookmarkStart w:id="375" w:name="3.76"/>
            <w:bookmarkEnd w:id="375"/>
            <w:r>
              <w:rPr>
                <w:rFonts w:ascii="Times New Roman"/>
                <w:sz w:val="21"/>
              </w:rPr>
              <w:t>3.76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47" w:type="dxa"/>
          </w:tcPr>
          <w:p>
            <w:pPr>
              <w:pStyle w:val="14"/>
              <w:spacing w:before="41" w:line="71" w:lineRule="exact"/>
              <w:ind w:left="536" w:right="191"/>
              <w:rPr>
                <w:rFonts w:ascii="Times New Roman"/>
                <w:sz w:val="13"/>
              </w:rPr>
            </w:pPr>
            <w:r>
              <w:rPr>
                <w:rFonts w:ascii="Times New Roman"/>
                <w:w w:val="105"/>
                <w:sz w:val="13"/>
              </w:rPr>
              <w:t>2-</w:t>
            </w:r>
          </w:p>
          <w:p>
            <w:pPr>
              <w:pStyle w:val="14"/>
              <w:spacing w:line="180" w:lineRule="exact"/>
              <w:ind w:left="89" w:right="191"/>
              <w:rPr>
                <w:rFonts w:ascii="Times New Roman"/>
                <w:sz w:val="21"/>
              </w:rPr>
            </w:pPr>
            <w:r>
              <w:rPr>
                <w:rFonts w:ascii="Times New Roman"/>
                <w:position w:val="2"/>
                <w:sz w:val="21"/>
              </w:rPr>
              <w:t>SO</w:t>
            </w:r>
            <w:r>
              <w:rPr>
                <w:rFonts w:ascii="Times New Roman"/>
                <w:position w:val="2"/>
                <w:sz w:val="21"/>
                <w:vertAlign w:val="subscript"/>
              </w:rPr>
              <w:t>4</w:t>
            </w:r>
          </w:p>
        </w:tc>
        <w:tc>
          <w:tcPr>
            <w:tcW w:w="1370" w:type="dxa"/>
          </w:tcPr>
          <w:p>
            <w:pPr>
              <w:pStyle w:val="14"/>
              <w:spacing w:before="38"/>
              <w:ind w:left="122" w:right="111"/>
              <w:rPr>
                <w:rFonts w:ascii="Times New Roman"/>
                <w:sz w:val="21"/>
              </w:rPr>
            </w:pPr>
            <w:bookmarkStart w:id="376" w:name="12.6"/>
            <w:bookmarkEnd w:id="376"/>
            <w:r>
              <w:rPr>
                <w:rFonts w:ascii="Times New Roman"/>
                <w:sz w:val="21"/>
              </w:rPr>
              <w:t>12.6</w:t>
            </w:r>
          </w:p>
        </w:tc>
        <w:tc>
          <w:tcPr>
            <w:tcW w:w="1484" w:type="dxa"/>
          </w:tcPr>
          <w:p>
            <w:pPr>
              <w:pStyle w:val="14"/>
              <w:spacing w:before="38"/>
              <w:ind w:left="419" w:right="411"/>
              <w:rPr>
                <w:rFonts w:ascii="Times New Roman"/>
                <w:sz w:val="21"/>
              </w:rPr>
            </w:pPr>
            <w:bookmarkStart w:id="377" w:name="12.3"/>
            <w:bookmarkEnd w:id="377"/>
            <w:r>
              <w:rPr>
                <w:rFonts w:ascii="Times New Roman"/>
                <w:sz w:val="21"/>
              </w:rPr>
              <w:t>12.3</w:t>
            </w:r>
          </w:p>
        </w:tc>
        <w:tc>
          <w:tcPr>
            <w:tcW w:w="1347" w:type="dxa"/>
          </w:tcPr>
          <w:p>
            <w:pPr>
              <w:pStyle w:val="14"/>
              <w:spacing w:before="38"/>
              <w:ind w:left="416" w:right="407"/>
              <w:rPr>
                <w:rFonts w:ascii="Times New Roman"/>
                <w:sz w:val="21"/>
              </w:rPr>
            </w:pPr>
            <w:bookmarkStart w:id="378" w:name="59.9"/>
            <w:bookmarkEnd w:id="378"/>
            <w:r>
              <w:rPr>
                <w:rFonts w:ascii="Times New Roman"/>
                <w:sz w:val="21"/>
              </w:rPr>
              <w:t>59.9</w:t>
            </w:r>
          </w:p>
        </w:tc>
        <w:tc>
          <w:tcPr>
            <w:tcW w:w="1357" w:type="dxa"/>
          </w:tcPr>
          <w:p>
            <w:pPr>
              <w:pStyle w:val="14"/>
              <w:spacing w:before="38"/>
              <w:ind w:left="421" w:right="411"/>
              <w:rPr>
                <w:rFonts w:ascii="Times New Roman"/>
                <w:sz w:val="21"/>
              </w:rPr>
            </w:pPr>
            <w:bookmarkStart w:id="379" w:name="30.8"/>
            <w:bookmarkEnd w:id="379"/>
            <w:r>
              <w:rPr>
                <w:rFonts w:ascii="Times New Roman"/>
                <w:sz w:val="21"/>
              </w:rPr>
              <w:t>30.8</w:t>
            </w:r>
          </w:p>
        </w:tc>
        <w:tc>
          <w:tcPr>
            <w:tcW w:w="1313" w:type="dxa"/>
          </w:tcPr>
          <w:p>
            <w:pPr>
              <w:pStyle w:val="14"/>
              <w:spacing w:before="38"/>
              <w:ind w:left="282" w:right="271"/>
              <w:rPr>
                <w:rFonts w:ascii="Times New Roman"/>
                <w:sz w:val="21"/>
              </w:rPr>
            </w:pPr>
            <w:bookmarkStart w:id="380" w:name="7.43"/>
            <w:bookmarkEnd w:id="380"/>
            <w:r>
              <w:rPr>
                <w:rFonts w:ascii="Times New Roman"/>
                <w:sz w:val="21"/>
              </w:rPr>
              <w:t>7.43</w:t>
            </w:r>
          </w:p>
        </w:tc>
      </w:tr>
    </w:tbl>
    <w:p>
      <w:pPr>
        <w:spacing w:before="22" w:after="21"/>
        <w:ind w:left="0" w:right="412" w:firstLine="0"/>
        <w:jc w:val="center"/>
        <w:rPr>
          <w:b/>
          <w:sz w:val="21"/>
        </w:rPr>
      </w:pPr>
      <w:r>
        <w:rPr>
          <w:b/>
          <w:sz w:val="21"/>
        </w:rPr>
        <w:t xml:space="preserve">表 </w:t>
      </w:r>
      <w:r>
        <w:rPr>
          <w:rFonts w:ascii="Times New Roman" w:eastAsia="Times New Roman"/>
          <w:b/>
          <w:sz w:val="21"/>
        </w:rPr>
        <w:t xml:space="preserve">6.4-9 </w:t>
      </w:r>
      <w:r>
        <w:rPr>
          <w:b/>
          <w:sz w:val="21"/>
        </w:rPr>
        <w:t>地下水污染指数计算结果</w:t>
      </w:r>
    </w:p>
    <w:tbl>
      <w:tblPr>
        <w:tblStyle w:val="10"/>
        <w:tblW w:w="0" w:type="auto"/>
        <w:tblInd w:w="4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38"/>
        <w:gridCol w:w="1216"/>
        <w:gridCol w:w="1216"/>
        <w:gridCol w:w="1216"/>
        <w:gridCol w:w="1216"/>
        <w:gridCol w:w="12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0" w:hRule="atLeast"/>
        </w:trPr>
        <w:tc>
          <w:tcPr>
            <w:tcW w:w="2538" w:type="dxa"/>
          </w:tcPr>
          <w:p>
            <w:pPr>
              <w:pStyle w:val="14"/>
              <w:spacing w:before="26"/>
              <w:ind w:left="192" w:right="184"/>
              <w:rPr>
                <w:sz w:val="21"/>
              </w:rPr>
            </w:pPr>
            <w:r>
              <w:rPr>
                <w:sz w:val="21"/>
              </w:rPr>
              <w:t>监测项目</w:t>
            </w:r>
          </w:p>
        </w:tc>
        <w:tc>
          <w:tcPr>
            <w:tcW w:w="1216" w:type="dxa"/>
          </w:tcPr>
          <w:p>
            <w:pPr>
              <w:pStyle w:val="14"/>
              <w:spacing w:before="59" w:line="241" w:lineRule="exact"/>
              <w:ind w:left="271" w:right="262"/>
              <w:rPr>
                <w:rFonts w:ascii="Times New Roman"/>
                <w:sz w:val="21"/>
              </w:rPr>
            </w:pPr>
            <w:r>
              <w:rPr>
                <w:rFonts w:ascii="Times New Roman"/>
                <w:sz w:val="21"/>
              </w:rPr>
              <w:t>1#</w:t>
            </w:r>
          </w:p>
        </w:tc>
        <w:tc>
          <w:tcPr>
            <w:tcW w:w="1216" w:type="dxa"/>
          </w:tcPr>
          <w:p>
            <w:pPr>
              <w:pStyle w:val="14"/>
              <w:spacing w:before="59" w:line="241" w:lineRule="exact"/>
              <w:ind w:left="271" w:right="261"/>
              <w:rPr>
                <w:rFonts w:ascii="Times New Roman"/>
                <w:sz w:val="21"/>
              </w:rPr>
            </w:pPr>
            <w:r>
              <w:rPr>
                <w:rFonts w:ascii="Times New Roman"/>
                <w:sz w:val="21"/>
              </w:rPr>
              <w:t>2#</w:t>
            </w:r>
          </w:p>
        </w:tc>
        <w:tc>
          <w:tcPr>
            <w:tcW w:w="1216" w:type="dxa"/>
          </w:tcPr>
          <w:p>
            <w:pPr>
              <w:pStyle w:val="14"/>
              <w:spacing w:before="59" w:line="241" w:lineRule="exact"/>
              <w:ind w:left="270" w:right="263"/>
              <w:rPr>
                <w:rFonts w:ascii="Times New Roman"/>
                <w:sz w:val="21"/>
              </w:rPr>
            </w:pPr>
            <w:r>
              <w:rPr>
                <w:rFonts w:ascii="Times New Roman"/>
                <w:sz w:val="21"/>
              </w:rPr>
              <w:t>3#</w:t>
            </w:r>
          </w:p>
        </w:tc>
        <w:tc>
          <w:tcPr>
            <w:tcW w:w="1216" w:type="dxa"/>
          </w:tcPr>
          <w:p>
            <w:pPr>
              <w:pStyle w:val="14"/>
              <w:spacing w:before="59" w:line="241" w:lineRule="exact"/>
              <w:ind w:left="271" w:right="262"/>
              <w:rPr>
                <w:rFonts w:ascii="Times New Roman"/>
                <w:sz w:val="21"/>
              </w:rPr>
            </w:pPr>
            <w:r>
              <w:rPr>
                <w:rFonts w:ascii="Times New Roman"/>
                <w:sz w:val="21"/>
              </w:rPr>
              <w:t>4#</w:t>
            </w:r>
          </w:p>
        </w:tc>
        <w:tc>
          <w:tcPr>
            <w:tcW w:w="1216" w:type="dxa"/>
          </w:tcPr>
          <w:p>
            <w:pPr>
              <w:pStyle w:val="14"/>
              <w:spacing w:before="59" w:line="241" w:lineRule="exact"/>
              <w:ind w:left="271" w:right="263"/>
              <w:rPr>
                <w:rFonts w:ascii="Times New Roman"/>
                <w:sz w:val="21"/>
              </w:rPr>
            </w:pPr>
            <w:r>
              <w:rPr>
                <w:rFonts w:ascii="Times New Roman"/>
                <w:sz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538" w:type="dxa"/>
          </w:tcPr>
          <w:p>
            <w:pPr>
              <w:pStyle w:val="14"/>
              <w:spacing w:before="20"/>
              <w:ind w:left="192" w:right="184"/>
              <w:rPr>
                <w:sz w:val="21"/>
              </w:rPr>
            </w:pPr>
            <w:r>
              <w:rPr>
                <w:rFonts w:ascii="Times New Roman" w:eastAsia="Times New Roman"/>
                <w:sz w:val="21"/>
              </w:rPr>
              <w:t>pH</w:t>
            </w:r>
            <w:r>
              <w:rPr>
                <w:sz w:val="21"/>
              </w:rPr>
              <w:t>（无量纲）</w:t>
            </w:r>
          </w:p>
        </w:tc>
        <w:tc>
          <w:tcPr>
            <w:tcW w:w="1216" w:type="dxa"/>
          </w:tcPr>
          <w:p>
            <w:pPr>
              <w:pStyle w:val="14"/>
              <w:spacing w:before="34"/>
              <w:ind w:left="271" w:right="262"/>
              <w:rPr>
                <w:rFonts w:ascii="Times New Roman"/>
                <w:sz w:val="21"/>
              </w:rPr>
            </w:pPr>
            <w:r>
              <w:rPr>
                <w:rFonts w:ascii="Times New Roman"/>
                <w:sz w:val="21"/>
              </w:rPr>
              <w:t>0.79</w:t>
            </w:r>
          </w:p>
        </w:tc>
        <w:tc>
          <w:tcPr>
            <w:tcW w:w="1216" w:type="dxa"/>
          </w:tcPr>
          <w:p>
            <w:pPr>
              <w:pStyle w:val="14"/>
              <w:spacing w:before="34"/>
              <w:ind w:left="271" w:right="261"/>
              <w:rPr>
                <w:rFonts w:ascii="Times New Roman"/>
                <w:sz w:val="21"/>
              </w:rPr>
            </w:pPr>
            <w:r>
              <w:rPr>
                <w:rFonts w:ascii="Times New Roman"/>
                <w:sz w:val="21"/>
              </w:rPr>
              <w:t>0.35</w:t>
            </w:r>
          </w:p>
        </w:tc>
        <w:tc>
          <w:tcPr>
            <w:tcW w:w="1216" w:type="dxa"/>
          </w:tcPr>
          <w:p>
            <w:pPr>
              <w:pStyle w:val="14"/>
              <w:spacing w:before="34"/>
              <w:ind w:left="7"/>
              <w:rPr>
                <w:rFonts w:ascii="Times New Roman"/>
                <w:sz w:val="21"/>
              </w:rPr>
            </w:pPr>
            <w:r>
              <w:rPr>
                <w:rFonts w:ascii="Times New Roman"/>
                <w:w w:val="99"/>
                <w:sz w:val="21"/>
              </w:rPr>
              <w:t>0</w:t>
            </w:r>
          </w:p>
        </w:tc>
        <w:tc>
          <w:tcPr>
            <w:tcW w:w="1216" w:type="dxa"/>
          </w:tcPr>
          <w:p>
            <w:pPr>
              <w:pStyle w:val="14"/>
              <w:spacing w:before="34"/>
              <w:ind w:left="271" w:right="262"/>
              <w:rPr>
                <w:rFonts w:ascii="Times New Roman"/>
                <w:sz w:val="21"/>
              </w:rPr>
            </w:pPr>
            <w:r>
              <w:rPr>
                <w:rFonts w:ascii="Times New Roman"/>
                <w:sz w:val="21"/>
              </w:rPr>
              <w:t>0.02</w:t>
            </w:r>
          </w:p>
        </w:tc>
        <w:tc>
          <w:tcPr>
            <w:tcW w:w="1216" w:type="dxa"/>
          </w:tcPr>
          <w:p>
            <w:pPr>
              <w:pStyle w:val="14"/>
              <w:spacing w:before="34"/>
              <w:ind w:left="271" w:right="261"/>
              <w:rPr>
                <w:rFonts w:ascii="Times New Roman"/>
                <w:sz w:val="21"/>
              </w:rPr>
            </w:pPr>
            <w:r>
              <w:rPr>
                <w:rFonts w:ascii="Times New Roman"/>
                <w:sz w:val="21"/>
              </w:rPr>
              <w:t>0.41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538" w:type="dxa"/>
          </w:tcPr>
          <w:p>
            <w:pPr>
              <w:pStyle w:val="14"/>
              <w:spacing w:before="22"/>
              <w:ind w:left="190" w:right="184"/>
              <w:rPr>
                <w:sz w:val="21"/>
              </w:rPr>
            </w:pPr>
            <w:r>
              <w:rPr>
                <w:sz w:val="21"/>
              </w:rPr>
              <w:t>氨氮</w:t>
            </w:r>
          </w:p>
        </w:tc>
        <w:tc>
          <w:tcPr>
            <w:tcW w:w="1216" w:type="dxa"/>
          </w:tcPr>
          <w:p>
            <w:pPr>
              <w:pStyle w:val="14"/>
              <w:spacing w:before="22"/>
              <w:ind w:left="271" w:right="261"/>
              <w:rPr>
                <w:sz w:val="21"/>
              </w:rPr>
            </w:pPr>
            <w:r>
              <w:rPr>
                <w:sz w:val="21"/>
              </w:rPr>
              <w:t>未检出</w:t>
            </w:r>
          </w:p>
        </w:tc>
        <w:tc>
          <w:tcPr>
            <w:tcW w:w="1216" w:type="dxa"/>
          </w:tcPr>
          <w:p>
            <w:pPr>
              <w:pStyle w:val="14"/>
              <w:spacing w:before="22"/>
              <w:ind w:left="270" w:right="263"/>
              <w:rPr>
                <w:sz w:val="21"/>
              </w:rPr>
            </w:pPr>
            <w:r>
              <w:rPr>
                <w:sz w:val="21"/>
              </w:rPr>
              <w:t>未检出</w:t>
            </w:r>
          </w:p>
        </w:tc>
        <w:tc>
          <w:tcPr>
            <w:tcW w:w="1216" w:type="dxa"/>
          </w:tcPr>
          <w:p>
            <w:pPr>
              <w:pStyle w:val="14"/>
              <w:spacing w:before="36"/>
              <w:ind w:left="270" w:right="263"/>
              <w:rPr>
                <w:rFonts w:ascii="Times New Roman"/>
                <w:sz w:val="21"/>
              </w:rPr>
            </w:pPr>
            <w:r>
              <w:rPr>
                <w:rFonts w:ascii="Times New Roman"/>
                <w:sz w:val="21"/>
              </w:rPr>
              <w:t>0.06</w:t>
            </w:r>
          </w:p>
        </w:tc>
        <w:tc>
          <w:tcPr>
            <w:tcW w:w="1216" w:type="dxa"/>
          </w:tcPr>
          <w:p>
            <w:pPr>
              <w:pStyle w:val="14"/>
              <w:spacing w:before="36"/>
              <w:ind w:left="271" w:right="262"/>
              <w:rPr>
                <w:rFonts w:ascii="Times New Roman"/>
                <w:sz w:val="21"/>
              </w:rPr>
            </w:pPr>
            <w:r>
              <w:rPr>
                <w:rFonts w:ascii="Times New Roman"/>
                <w:sz w:val="21"/>
              </w:rPr>
              <w:t>0.12</w:t>
            </w:r>
          </w:p>
        </w:tc>
        <w:tc>
          <w:tcPr>
            <w:tcW w:w="1216" w:type="dxa"/>
          </w:tcPr>
          <w:p>
            <w:pPr>
              <w:pStyle w:val="14"/>
              <w:spacing w:before="36"/>
              <w:ind w:left="271" w:right="261"/>
              <w:rPr>
                <w:rFonts w:ascii="Times New Roman"/>
                <w:sz w:val="21"/>
              </w:rPr>
            </w:pPr>
            <w:r>
              <w:rPr>
                <w:rFonts w:ascii="Times New Roman"/>
                <w:sz w:val="21"/>
              </w:rPr>
              <w:t>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538" w:type="dxa"/>
          </w:tcPr>
          <w:p>
            <w:pPr>
              <w:pStyle w:val="14"/>
              <w:spacing w:before="21"/>
              <w:ind w:left="190" w:right="184"/>
              <w:rPr>
                <w:sz w:val="21"/>
              </w:rPr>
            </w:pPr>
            <w:r>
              <w:rPr>
                <w:sz w:val="21"/>
              </w:rPr>
              <w:t>硝酸盐</w:t>
            </w:r>
          </w:p>
        </w:tc>
        <w:tc>
          <w:tcPr>
            <w:tcW w:w="1216" w:type="dxa"/>
          </w:tcPr>
          <w:p>
            <w:pPr>
              <w:pStyle w:val="14"/>
              <w:spacing w:before="35"/>
              <w:ind w:left="271" w:right="262"/>
              <w:rPr>
                <w:rFonts w:ascii="Times New Roman"/>
                <w:sz w:val="21"/>
              </w:rPr>
            </w:pPr>
            <w:r>
              <w:rPr>
                <w:rFonts w:ascii="Times New Roman"/>
                <w:sz w:val="21"/>
              </w:rPr>
              <w:t>0.35</w:t>
            </w:r>
          </w:p>
        </w:tc>
        <w:tc>
          <w:tcPr>
            <w:tcW w:w="1216" w:type="dxa"/>
          </w:tcPr>
          <w:p>
            <w:pPr>
              <w:pStyle w:val="14"/>
              <w:spacing w:before="35"/>
              <w:ind w:left="271" w:right="261"/>
              <w:rPr>
                <w:rFonts w:ascii="Times New Roman"/>
                <w:sz w:val="21"/>
              </w:rPr>
            </w:pPr>
            <w:r>
              <w:rPr>
                <w:rFonts w:ascii="Times New Roman"/>
                <w:sz w:val="21"/>
              </w:rPr>
              <w:t>0.40</w:t>
            </w:r>
          </w:p>
        </w:tc>
        <w:tc>
          <w:tcPr>
            <w:tcW w:w="1216" w:type="dxa"/>
          </w:tcPr>
          <w:p>
            <w:pPr>
              <w:pStyle w:val="14"/>
              <w:spacing w:before="35"/>
              <w:ind w:left="270" w:right="263"/>
              <w:rPr>
                <w:rFonts w:ascii="Times New Roman"/>
                <w:sz w:val="21"/>
              </w:rPr>
            </w:pPr>
            <w:r>
              <w:rPr>
                <w:rFonts w:ascii="Times New Roman"/>
                <w:sz w:val="21"/>
              </w:rPr>
              <w:t>0.49</w:t>
            </w:r>
          </w:p>
        </w:tc>
        <w:tc>
          <w:tcPr>
            <w:tcW w:w="1216" w:type="dxa"/>
          </w:tcPr>
          <w:p>
            <w:pPr>
              <w:pStyle w:val="14"/>
              <w:spacing w:before="21"/>
              <w:ind w:left="271" w:right="261"/>
              <w:rPr>
                <w:sz w:val="21"/>
              </w:rPr>
            </w:pPr>
            <w:r>
              <w:rPr>
                <w:sz w:val="21"/>
              </w:rPr>
              <w:t>未检出</w:t>
            </w:r>
          </w:p>
        </w:tc>
        <w:tc>
          <w:tcPr>
            <w:tcW w:w="1216" w:type="dxa"/>
          </w:tcPr>
          <w:p>
            <w:pPr>
              <w:pStyle w:val="14"/>
              <w:spacing w:before="21"/>
              <w:ind w:left="270" w:right="263"/>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538" w:type="dxa"/>
          </w:tcPr>
          <w:p>
            <w:pPr>
              <w:pStyle w:val="14"/>
              <w:spacing w:before="21"/>
              <w:ind w:left="192" w:right="184"/>
              <w:rPr>
                <w:sz w:val="21"/>
              </w:rPr>
            </w:pPr>
            <w:r>
              <w:rPr>
                <w:sz w:val="21"/>
              </w:rPr>
              <w:t>亚硝酸盐</w:t>
            </w:r>
          </w:p>
        </w:tc>
        <w:tc>
          <w:tcPr>
            <w:tcW w:w="1216" w:type="dxa"/>
          </w:tcPr>
          <w:p>
            <w:pPr>
              <w:pStyle w:val="14"/>
              <w:spacing w:before="35"/>
              <w:ind w:left="271" w:right="262"/>
              <w:rPr>
                <w:rFonts w:ascii="Times New Roman"/>
                <w:sz w:val="21"/>
              </w:rPr>
            </w:pPr>
            <w:r>
              <w:rPr>
                <w:rFonts w:ascii="Times New Roman"/>
                <w:sz w:val="21"/>
              </w:rPr>
              <w:t>0.005</w:t>
            </w:r>
          </w:p>
        </w:tc>
        <w:tc>
          <w:tcPr>
            <w:tcW w:w="1216" w:type="dxa"/>
          </w:tcPr>
          <w:p>
            <w:pPr>
              <w:pStyle w:val="14"/>
              <w:spacing w:before="21"/>
              <w:ind w:left="270" w:right="263"/>
              <w:rPr>
                <w:sz w:val="21"/>
              </w:rPr>
            </w:pPr>
            <w:r>
              <w:rPr>
                <w:sz w:val="21"/>
              </w:rPr>
              <w:t>未检出</w:t>
            </w:r>
          </w:p>
        </w:tc>
        <w:tc>
          <w:tcPr>
            <w:tcW w:w="1216" w:type="dxa"/>
          </w:tcPr>
          <w:p>
            <w:pPr>
              <w:pStyle w:val="14"/>
              <w:spacing w:before="35"/>
              <w:ind w:left="271" w:right="261"/>
              <w:rPr>
                <w:rFonts w:ascii="Times New Roman"/>
                <w:sz w:val="21"/>
              </w:rPr>
            </w:pPr>
            <w:r>
              <w:rPr>
                <w:rFonts w:ascii="Times New Roman"/>
                <w:sz w:val="21"/>
              </w:rPr>
              <w:t>0.026</w:t>
            </w:r>
          </w:p>
        </w:tc>
        <w:tc>
          <w:tcPr>
            <w:tcW w:w="1216" w:type="dxa"/>
          </w:tcPr>
          <w:p>
            <w:pPr>
              <w:pStyle w:val="14"/>
              <w:spacing w:before="35"/>
              <w:ind w:left="271" w:right="262"/>
              <w:rPr>
                <w:rFonts w:ascii="Times New Roman"/>
                <w:sz w:val="21"/>
              </w:rPr>
            </w:pPr>
            <w:r>
              <w:rPr>
                <w:rFonts w:ascii="Times New Roman"/>
                <w:sz w:val="21"/>
              </w:rPr>
              <w:t>0.004</w:t>
            </w:r>
          </w:p>
        </w:tc>
        <w:tc>
          <w:tcPr>
            <w:tcW w:w="1216" w:type="dxa"/>
          </w:tcPr>
          <w:p>
            <w:pPr>
              <w:pStyle w:val="14"/>
              <w:spacing w:before="21"/>
              <w:ind w:left="270" w:right="263"/>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538" w:type="dxa"/>
          </w:tcPr>
          <w:p>
            <w:pPr>
              <w:pStyle w:val="14"/>
              <w:spacing w:before="20"/>
              <w:ind w:left="190" w:right="184"/>
              <w:rPr>
                <w:sz w:val="21"/>
              </w:rPr>
            </w:pPr>
            <w:r>
              <w:rPr>
                <w:sz w:val="21"/>
              </w:rPr>
              <w:t>总硬度</w:t>
            </w:r>
          </w:p>
        </w:tc>
        <w:tc>
          <w:tcPr>
            <w:tcW w:w="1216" w:type="dxa"/>
          </w:tcPr>
          <w:p>
            <w:pPr>
              <w:pStyle w:val="14"/>
              <w:spacing w:before="34"/>
              <w:ind w:left="271" w:right="262"/>
              <w:rPr>
                <w:rFonts w:ascii="Times New Roman"/>
                <w:sz w:val="21"/>
              </w:rPr>
            </w:pPr>
            <w:r>
              <w:rPr>
                <w:rFonts w:ascii="Times New Roman"/>
                <w:sz w:val="21"/>
              </w:rPr>
              <w:t>0.50</w:t>
            </w:r>
          </w:p>
        </w:tc>
        <w:tc>
          <w:tcPr>
            <w:tcW w:w="1216" w:type="dxa"/>
          </w:tcPr>
          <w:p>
            <w:pPr>
              <w:pStyle w:val="14"/>
              <w:spacing w:before="34"/>
              <w:ind w:left="271" w:right="261"/>
              <w:rPr>
                <w:rFonts w:ascii="Times New Roman"/>
                <w:sz w:val="21"/>
              </w:rPr>
            </w:pPr>
            <w:r>
              <w:rPr>
                <w:rFonts w:ascii="Times New Roman"/>
                <w:sz w:val="21"/>
              </w:rPr>
              <w:t>0.28</w:t>
            </w:r>
          </w:p>
        </w:tc>
        <w:tc>
          <w:tcPr>
            <w:tcW w:w="1216" w:type="dxa"/>
          </w:tcPr>
          <w:p>
            <w:pPr>
              <w:pStyle w:val="14"/>
              <w:spacing w:before="34"/>
              <w:ind w:left="270" w:right="263"/>
              <w:rPr>
                <w:rFonts w:ascii="Times New Roman"/>
                <w:sz w:val="21"/>
              </w:rPr>
            </w:pPr>
            <w:r>
              <w:rPr>
                <w:rFonts w:ascii="Times New Roman"/>
                <w:sz w:val="21"/>
              </w:rPr>
              <w:t>0.52</w:t>
            </w:r>
          </w:p>
        </w:tc>
        <w:tc>
          <w:tcPr>
            <w:tcW w:w="1216" w:type="dxa"/>
          </w:tcPr>
          <w:p>
            <w:pPr>
              <w:pStyle w:val="14"/>
              <w:spacing w:before="34"/>
              <w:ind w:left="271" w:right="262"/>
              <w:rPr>
                <w:rFonts w:ascii="Times New Roman"/>
                <w:sz w:val="21"/>
              </w:rPr>
            </w:pPr>
            <w:r>
              <w:rPr>
                <w:rFonts w:ascii="Times New Roman"/>
                <w:sz w:val="21"/>
              </w:rPr>
              <w:t>1.02</w:t>
            </w:r>
          </w:p>
        </w:tc>
        <w:tc>
          <w:tcPr>
            <w:tcW w:w="1216" w:type="dxa"/>
          </w:tcPr>
          <w:p>
            <w:pPr>
              <w:pStyle w:val="14"/>
              <w:spacing w:before="34"/>
              <w:ind w:left="271" w:right="261"/>
              <w:rPr>
                <w:rFonts w:ascii="Times New Roman"/>
                <w:sz w:val="21"/>
              </w:rPr>
            </w:pPr>
            <w:r>
              <w:rPr>
                <w:rFonts w:ascii="Times New Roman"/>
                <w:sz w:val="21"/>
              </w:rPr>
              <w:t>0.99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538" w:type="dxa"/>
          </w:tcPr>
          <w:p>
            <w:pPr>
              <w:pStyle w:val="14"/>
              <w:spacing w:before="20"/>
              <w:ind w:left="190" w:right="184"/>
              <w:rPr>
                <w:sz w:val="21"/>
              </w:rPr>
            </w:pPr>
            <w:r>
              <w:rPr>
                <w:sz w:val="21"/>
              </w:rPr>
              <w:t>高锰酸盐指数</w:t>
            </w:r>
          </w:p>
        </w:tc>
        <w:tc>
          <w:tcPr>
            <w:tcW w:w="1216" w:type="dxa"/>
          </w:tcPr>
          <w:p>
            <w:pPr>
              <w:pStyle w:val="14"/>
              <w:spacing w:before="34"/>
              <w:ind w:left="271" w:right="262"/>
              <w:rPr>
                <w:rFonts w:ascii="Times New Roman"/>
                <w:sz w:val="21"/>
              </w:rPr>
            </w:pPr>
            <w:r>
              <w:rPr>
                <w:rFonts w:ascii="Times New Roman"/>
                <w:sz w:val="21"/>
              </w:rPr>
              <w:t>0.60</w:t>
            </w:r>
          </w:p>
        </w:tc>
        <w:tc>
          <w:tcPr>
            <w:tcW w:w="1216" w:type="dxa"/>
          </w:tcPr>
          <w:p>
            <w:pPr>
              <w:pStyle w:val="14"/>
              <w:spacing w:before="34"/>
              <w:ind w:left="271" w:right="261"/>
              <w:rPr>
                <w:rFonts w:ascii="Times New Roman"/>
                <w:sz w:val="21"/>
              </w:rPr>
            </w:pPr>
            <w:r>
              <w:rPr>
                <w:rFonts w:ascii="Times New Roman"/>
                <w:sz w:val="21"/>
              </w:rPr>
              <w:t>0.47</w:t>
            </w:r>
          </w:p>
        </w:tc>
        <w:tc>
          <w:tcPr>
            <w:tcW w:w="1216" w:type="dxa"/>
          </w:tcPr>
          <w:p>
            <w:pPr>
              <w:pStyle w:val="14"/>
              <w:spacing w:before="34"/>
              <w:ind w:left="270" w:right="263"/>
              <w:rPr>
                <w:rFonts w:ascii="Times New Roman"/>
                <w:sz w:val="21"/>
              </w:rPr>
            </w:pPr>
            <w:r>
              <w:rPr>
                <w:rFonts w:ascii="Times New Roman"/>
                <w:sz w:val="21"/>
              </w:rPr>
              <w:t>0.33</w:t>
            </w:r>
          </w:p>
        </w:tc>
        <w:tc>
          <w:tcPr>
            <w:tcW w:w="1216" w:type="dxa"/>
          </w:tcPr>
          <w:p>
            <w:pPr>
              <w:pStyle w:val="14"/>
              <w:spacing w:before="34"/>
              <w:ind w:left="271" w:right="262"/>
              <w:rPr>
                <w:rFonts w:ascii="Times New Roman"/>
                <w:sz w:val="21"/>
              </w:rPr>
            </w:pPr>
            <w:r>
              <w:rPr>
                <w:rFonts w:ascii="Times New Roman"/>
                <w:sz w:val="21"/>
              </w:rPr>
              <w:t>0.23</w:t>
            </w:r>
          </w:p>
        </w:tc>
        <w:tc>
          <w:tcPr>
            <w:tcW w:w="1216" w:type="dxa"/>
          </w:tcPr>
          <w:p>
            <w:pPr>
              <w:pStyle w:val="14"/>
              <w:spacing w:before="34"/>
              <w:ind w:left="271" w:right="261"/>
              <w:rPr>
                <w:rFonts w:ascii="Times New Roman"/>
                <w:sz w:val="21"/>
              </w:rPr>
            </w:pPr>
            <w:r>
              <w:rPr>
                <w:rFonts w:ascii="Times New Roman"/>
                <w:sz w:val="21"/>
              </w:rPr>
              <w:t>0.57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538" w:type="dxa"/>
          </w:tcPr>
          <w:p>
            <w:pPr>
              <w:pStyle w:val="14"/>
              <w:spacing w:before="20"/>
              <w:ind w:left="190" w:right="184"/>
              <w:rPr>
                <w:sz w:val="21"/>
              </w:rPr>
            </w:pPr>
            <w:r>
              <w:rPr>
                <w:sz w:val="21"/>
              </w:rPr>
              <w:t>溶解性总固体</w:t>
            </w:r>
          </w:p>
        </w:tc>
        <w:tc>
          <w:tcPr>
            <w:tcW w:w="1216" w:type="dxa"/>
          </w:tcPr>
          <w:p>
            <w:pPr>
              <w:pStyle w:val="14"/>
              <w:spacing w:before="34"/>
              <w:ind w:left="271" w:right="262"/>
              <w:rPr>
                <w:rFonts w:ascii="Times New Roman"/>
                <w:sz w:val="21"/>
              </w:rPr>
            </w:pPr>
            <w:r>
              <w:rPr>
                <w:rFonts w:ascii="Times New Roman"/>
                <w:sz w:val="21"/>
              </w:rPr>
              <w:t>0.33</w:t>
            </w:r>
          </w:p>
        </w:tc>
        <w:tc>
          <w:tcPr>
            <w:tcW w:w="1216" w:type="dxa"/>
          </w:tcPr>
          <w:p>
            <w:pPr>
              <w:pStyle w:val="14"/>
              <w:spacing w:before="34"/>
              <w:ind w:left="271" w:right="261"/>
              <w:rPr>
                <w:rFonts w:ascii="Times New Roman"/>
                <w:sz w:val="21"/>
              </w:rPr>
            </w:pPr>
            <w:r>
              <w:rPr>
                <w:rFonts w:ascii="Times New Roman"/>
                <w:sz w:val="21"/>
              </w:rPr>
              <w:t>0.29</w:t>
            </w:r>
          </w:p>
        </w:tc>
        <w:tc>
          <w:tcPr>
            <w:tcW w:w="1216" w:type="dxa"/>
          </w:tcPr>
          <w:p>
            <w:pPr>
              <w:pStyle w:val="14"/>
              <w:spacing w:before="34"/>
              <w:ind w:left="270" w:right="263"/>
              <w:rPr>
                <w:rFonts w:ascii="Times New Roman"/>
                <w:sz w:val="21"/>
              </w:rPr>
            </w:pPr>
            <w:r>
              <w:rPr>
                <w:rFonts w:ascii="Times New Roman"/>
                <w:sz w:val="21"/>
              </w:rPr>
              <w:t>0.47</w:t>
            </w:r>
          </w:p>
        </w:tc>
        <w:tc>
          <w:tcPr>
            <w:tcW w:w="1216" w:type="dxa"/>
          </w:tcPr>
          <w:p>
            <w:pPr>
              <w:pStyle w:val="14"/>
              <w:spacing w:before="34"/>
              <w:ind w:left="271" w:right="262"/>
              <w:rPr>
                <w:rFonts w:ascii="Times New Roman"/>
                <w:sz w:val="21"/>
              </w:rPr>
            </w:pPr>
            <w:r>
              <w:rPr>
                <w:rFonts w:ascii="Times New Roman"/>
                <w:sz w:val="21"/>
              </w:rPr>
              <w:t>0.54</w:t>
            </w:r>
          </w:p>
        </w:tc>
        <w:tc>
          <w:tcPr>
            <w:tcW w:w="1216" w:type="dxa"/>
          </w:tcPr>
          <w:p>
            <w:pPr>
              <w:pStyle w:val="14"/>
              <w:spacing w:before="34"/>
              <w:ind w:left="271" w:right="261"/>
              <w:rPr>
                <w:rFonts w:ascii="Times New Roman"/>
                <w:sz w:val="21"/>
              </w:rPr>
            </w:pPr>
            <w:r>
              <w:rPr>
                <w:rFonts w:ascii="Times New Roman"/>
                <w:sz w:val="21"/>
              </w:rPr>
              <w:t>0.53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538" w:type="dxa"/>
          </w:tcPr>
          <w:p>
            <w:pPr>
              <w:pStyle w:val="14"/>
              <w:spacing w:before="22"/>
              <w:ind w:left="8"/>
              <w:rPr>
                <w:sz w:val="21"/>
              </w:rPr>
            </w:pPr>
            <w:r>
              <w:rPr>
                <w:w w:val="99"/>
                <w:sz w:val="21"/>
              </w:rPr>
              <w:t>铁</w:t>
            </w:r>
          </w:p>
        </w:tc>
        <w:tc>
          <w:tcPr>
            <w:tcW w:w="1216" w:type="dxa"/>
          </w:tcPr>
          <w:p>
            <w:pPr>
              <w:pStyle w:val="14"/>
              <w:spacing w:before="22"/>
              <w:ind w:left="271" w:right="261"/>
              <w:rPr>
                <w:sz w:val="21"/>
              </w:rPr>
            </w:pPr>
            <w:r>
              <w:rPr>
                <w:sz w:val="21"/>
              </w:rPr>
              <w:t>未检出</w:t>
            </w:r>
          </w:p>
        </w:tc>
        <w:tc>
          <w:tcPr>
            <w:tcW w:w="1216" w:type="dxa"/>
          </w:tcPr>
          <w:p>
            <w:pPr>
              <w:pStyle w:val="14"/>
              <w:spacing w:before="22"/>
              <w:ind w:left="270" w:right="263"/>
              <w:rPr>
                <w:sz w:val="21"/>
              </w:rPr>
            </w:pPr>
            <w:r>
              <w:rPr>
                <w:sz w:val="21"/>
              </w:rPr>
              <w:t>未检出</w:t>
            </w:r>
          </w:p>
        </w:tc>
        <w:tc>
          <w:tcPr>
            <w:tcW w:w="1216" w:type="dxa"/>
          </w:tcPr>
          <w:p>
            <w:pPr>
              <w:pStyle w:val="14"/>
              <w:spacing w:before="36"/>
              <w:ind w:left="270" w:right="263"/>
              <w:rPr>
                <w:rFonts w:ascii="Times New Roman"/>
                <w:sz w:val="21"/>
              </w:rPr>
            </w:pPr>
            <w:r>
              <w:rPr>
                <w:rFonts w:ascii="Times New Roman"/>
                <w:sz w:val="21"/>
              </w:rPr>
              <w:t>0.13</w:t>
            </w:r>
          </w:p>
        </w:tc>
        <w:tc>
          <w:tcPr>
            <w:tcW w:w="1216" w:type="dxa"/>
          </w:tcPr>
          <w:p>
            <w:pPr>
              <w:pStyle w:val="14"/>
              <w:spacing w:before="36"/>
              <w:ind w:left="271" w:right="262"/>
              <w:rPr>
                <w:rFonts w:ascii="Times New Roman"/>
                <w:sz w:val="21"/>
              </w:rPr>
            </w:pPr>
            <w:r>
              <w:rPr>
                <w:rFonts w:ascii="Times New Roman"/>
                <w:sz w:val="21"/>
              </w:rPr>
              <w:t>0.13</w:t>
            </w:r>
          </w:p>
        </w:tc>
        <w:tc>
          <w:tcPr>
            <w:tcW w:w="1216" w:type="dxa"/>
          </w:tcPr>
          <w:p>
            <w:pPr>
              <w:pStyle w:val="14"/>
              <w:spacing w:before="22"/>
              <w:ind w:left="270" w:right="263"/>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538" w:type="dxa"/>
          </w:tcPr>
          <w:p>
            <w:pPr>
              <w:pStyle w:val="14"/>
              <w:spacing w:before="21"/>
              <w:ind w:left="8"/>
              <w:rPr>
                <w:sz w:val="21"/>
              </w:rPr>
            </w:pPr>
            <w:r>
              <w:rPr>
                <w:w w:val="99"/>
                <w:sz w:val="21"/>
              </w:rPr>
              <w:t>锰</w:t>
            </w:r>
          </w:p>
        </w:tc>
        <w:tc>
          <w:tcPr>
            <w:tcW w:w="1216" w:type="dxa"/>
          </w:tcPr>
          <w:p>
            <w:pPr>
              <w:pStyle w:val="14"/>
              <w:spacing w:before="21"/>
              <w:ind w:left="271" w:right="261"/>
              <w:rPr>
                <w:sz w:val="21"/>
              </w:rPr>
            </w:pPr>
            <w:r>
              <w:rPr>
                <w:sz w:val="21"/>
              </w:rPr>
              <w:t>未检出</w:t>
            </w:r>
          </w:p>
        </w:tc>
        <w:tc>
          <w:tcPr>
            <w:tcW w:w="1216" w:type="dxa"/>
          </w:tcPr>
          <w:p>
            <w:pPr>
              <w:pStyle w:val="14"/>
              <w:spacing w:before="35"/>
              <w:ind w:left="271" w:right="261"/>
              <w:rPr>
                <w:rFonts w:ascii="Times New Roman"/>
                <w:sz w:val="21"/>
              </w:rPr>
            </w:pPr>
            <w:r>
              <w:rPr>
                <w:rFonts w:ascii="Times New Roman"/>
                <w:sz w:val="21"/>
              </w:rPr>
              <w:t>0.10</w:t>
            </w:r>
          </w:p>
        </w:tc>
        <w:tc>
          <w:tcPr>
            <w:tcW w:w="1216" w:type="dxa"/>
          </w:tcPr>
          <w:p>
            <w:pPr>
              <w:pStyle w:val="14"/>
              <w:spacing w:before="35"/>
              <w:ind w:left="270" w:right="263"/>
              <w:rPr>
                <w:rFonts w:ascii="Times New Roman"/>
                <w:sz w:val="21"/>
              </w:rPr>
            </w:pPr>
            <w:r>
              <w:rPr>
                <w:rFonts w:ascii="Times New Roman"/>
                <w:sz w:val="21"/>
              </w:rPr>
              <w:t>0.10</w:t>
            </w:r>
          </w:p>
        </w:tc>
        <w:tc>
          <w:tcPr>
            <w:tcW w:w="1216" w:type="dxa"/>
          </w:tcPr>
          <w:p>
            <w:pPr>
              <w:pStyle w:val="14"/>
              <w:spacing w:before="35"/>
              <w:ind w:left="271" w:right="262"/>
              <w:rPr>
                <w:rFonts w:ascii="Times New Roman"/>
                <w:sz w:val="21"/>
              </w:rPr>
            </w:pPr>
            <w:r>
              <w:rPr>
                <w:rFonts w:ascii="Times New Roman"/>
                <w:sz w:val="21"/>
              </w:rPr>
              <w:t>2.20</w:t>
            </w:r>
          </w:p>
        </w:tc>
        <w:tc>
          <w:tcPr>
            <w:tcW w:w="1216" w:type="dxa"/>
          </w:tcPr>
          <w:p>
            <w:pPr>
              <w:pStyle w:val="14"/>
              <w:spacing w:before="35"/>
              <w:ind w:left="271" w:right="261"/>
              <w:rPr>
                <w:rFonts w:ascii="Times New Roman"/>
                <w:sz w:val="21"/>
              </w:rPr>
            </w:pPr>
            <w:r>
              <w:rPr>
                <w:rFonts w:ascii="Times New Roman"/>
                <w:sz w:val="21"/>
              </w:rPr>
              <w: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538" w:type="dxa"/>
          </w:tcPr>
          <w:p>
            <w:pPr>
              <w:pStyle w:val="14"/>
              <w:spacing w:before="21"/>
              <w:ind w:left="192" w:right="184"/>
              <w:rPr>
                <w:sz w:val="21"/>
              </w:rPr>
            </w:pPr>
            <w:r>
              <w:rPr>
                <w:sz w:val="21"/>
              </w:rPr>
              <w:t>铅（</w:t>
            </w:r>
            <w:r>
              <w:rPr>
                <w:rFonts w:ascii="Times New Roman" w:hAnsi="Times New Roman" w:eastAsia="Times New Roman"/>
                <w:sz w:val="21"/>
              </w:rPr>
              <w:t>μg/L</w:t>
            </w:r>
            <w:r>
              <w:rPr>
                <w:sz w:val="21"/>
              </w:rPr>
              <w:t>）</w:t>
            </w:r>
          </w:p>
        </w:tc>
        <w:tc>
          <w:tcPr>
            <w:tcW w:w="1216" w:type="dxa"/>
          </w:tcPr>
          <w:p>
            <w:pPr>
              <w:pStyle w:val="14"/>
              <w:spacing w:before="21"/>
              <w:ind w:left="271" w:right="261"/>
              <w:rPr>
                <w:sz w:val="21"/>
              </w:rPr>
            </w:pPr>
            <w:r>
              <w:rPr>
                <w:sz w:val="21"/>
              </w:rPr>
              <w:t>未检出</w:t>
            </w:r>
          </w:p>
        </w:tc>
        <w:tc>
          <w:tcPr>
            <w:tcW w:w="1216" w:type="dxa"/>
          </w:tcPr>
          <w:p>
            <w:pPr>
              <w:pStyle w:val="14"/>
              <w:spacing w:before="21"/>
              <w:ind w:left="270" w:right="263"/>
              <w:rPr>
                <w:sz w:val="21"/>
              </w:rPr>
            </w:pPr>
            <w:r>
              <w:rPr>
                <w:sz w:val="21"/>
              </w:rPr>
              <w:t>未检出</w:t>
            </w:r>
          </w:p>
        </w:tc>
        <w:tc>
          <w:tcPr>
            <w:tcW w:w="1216" w:type="dxa"/>
          </w:tcPr>
          <w:p>
            <w:pPr>
              <w:pStyle w:val="14"/>
              <w:spacing w:before="21"/>
              <w:ind w:left="271" w:right="263"/>
              <w:rPr>
                <w:sz w:val="21"/>
              </w:rPr>
            </w:pPr>
            <w:r>
              <w:rPr>
                <w:sz w:val="21"/>
              </w:rPr>
              <w:t>未检出</w:t>
            </w:r>
          </w:p>
        </w:tc>
        <w:tc>
          <w:tcPr>
            <w:tcW w:w="1216" w:type="dxa"/>
          </w:tcPr>
          <w:p>
            <w:pPr>
              <w:pStyle w:val="14"/>
              <w:spacing w:before="21"/>
              <w:ind w:left="271" w:right="261"/>
              <w:rPr>
                <w:sz w:val="21"/>
              </w:rPr>
            </w:pPr>
            <w:r>
              <w:rPr>
                <w:sz w:val="21"/>
              </w:rPr>
              <w:t>未检出</w:t>
            </w:r>
          </w:p>
        </w:tc>
        <w:tc>
          <w:tcPr>
            <w:tcW w:w="1216" w:type="dxa"/>
          </w:tcPr>
          <w:p>
            <w:pPr>
              <w:pStyle w:val="14"/>
              <w:spacing w:before="21"/>
              <w:ind w:left="270" w:right="263"/>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538" w:type="dxa"/>
          </w:tcPr>
          <w:p>
            <w:pPr>
              <w:pStyle w:val="14"/>
              <w:spacing w:before="20"/>
              <w:ind w:left="190" w:right="184"/>
              <w:rPr>
                <w:sz w:val="21"/>
              </w:rPr>
            </w:pPr>
            <w:r>
              <w:rPr>
                <w:sz w:val="21"/>
              </w:rPr>
              <w:t>六价铬</w:t>
            </w:r>
          </w:p>
        </w:tc>
        <w:tc>
          <w:tcPr>
            <w:tcW w:w="1216" w:type="dxa"/>
          </w:tcPr>
          <w:p>
            <w:pPr>
              <w:pStyle w:val="14"/>
              <w:spacing w:before="20"/>
              <w:ind w:left="271" w:right="261"/>
              <w:rPr>
                <w:sz w:val="21"/>
              </w:rPr>
            </w:pPr>
            <w:r>
              <w:rPr>
                <w:sz w:val="21"/>
              </w:rPr>
              <w:t>未检出</w:t>
            </w:r>
          </w:p>
        </w:tc>
        <w:tc>
          <w:tcPr>
            <w:tcW w:w="1216" w:type="dxa"/>
          </w:tcPr>
          <w:p>
            <w:pPr>
              <w:pStyle w:val="14"/>
              <w:spacing w:before="20"/>
              <w:ind w:left="270" w:right="263"/>
              <w:rPr>
                <w:sz w:val="21"/>
              </w:rPr>
            </w:pPr>
            <w:r>
              <w:rPr>
                <w:sz w:val="21"/>
              </w:rPr>
              <w:t>未检出</w:t>
            </w:r>
          </w:p>
        </w:tc>
        <w:tc>
          <w:tcPr>
            <w:tcW w:w="1216" w:type="dxa"/>
          </w:tcPr>
          <w:p>
            <w:pPr>
              <w:pStyle w:val="14"/>
              <w:spacing w:before="20"/>
              <w:ind w:left="271" w:right="263"/>
              <w:rPr>
                <w:sz w:val="21"/>
              </w:rPr>
            </w:pPr>
            <w:r>
              <w:rPr>
                <w:sz w:val="21"/>
              </w:rPr>
              <w:t>未检出</w:t>
            </w:r>
          </w:p>
        </w:tc>
        <w:tc>
          <w:tcPr>
            <w:tcW w:w="1216" w:type="dxa"/>
          </w:tcPr>
          <w:p>
            <w:pPr>
              <w:pStyle w:val="14"/>
              <w:spacing w:before="20"/>
              <w:ind w:left="271" w:right="261"/>
              <w:rPr>
                <w:sz w:val="21"/>
              </w:rPr>
            </w:pPr>
            <w:r>
              <w:rPr>
                <w:sz w:val="21"/>
              </w:rPr>
              <w:t>未检出</w:t>
            </w:r>
          </w:p>
        </w:tc>
        <w:tc>
          <w:tcPr>
            <w:tcW w:w="1216" w:type="dxa"/>
          </w:tcPr>
          <w:p>
            <w:pPr>
              <w:pStyle w:val="14"/>
              <w:spacing w:before="20"/>
              <w:ind w:left="270" w:right="263"/>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538" w:type="dxa"/>
          </w:tcPr>
          <w:p>
            <w:pPr>
              <w:pStyle w:val="14"/>
              <w:spacing w:before="20"/>
              <w:ind w:left="190" w:right="184"/>
              <w:rPr>
                <w:sz w:val="21"/>
              </w:rPr>
            </w:pPr>
            <w:r>
              <w:rPr>
                <w:sz w:val="21"/>
              </w:rPr>
              <w:t>氯化物</w:t>
            </w:r>
          </w:p>
        </w:tc>
        <w:tc>
          <w:tcPr>
            <w:tcW w:w="1216" w:type="dxa"/>
          </w:tcPr>
          <w:p>
            <w:pPr>
              <w:pStyle w:val="14"/>
              <w:spacing w:before="34"/>
              <w:ind w:left="271" w:right="262"/>
              <w:rPr>
                <w:rFonts w:ascii="Times New Roman"/>
                <w:sz w:val="21"/>
              </w:rPr>
            </w:pPr>
            <w:r>
              <w:rPr>
                <w:rFonts w:ascii="Times New Roman"/>
                <w:sz w:val="21"/>
              </w:rPr>
              <w:t>0.05</w:t>
            </w:r>
          </w:p>
        </w:tc>
        <w:tc>
          <w:tcPr>
            <w:tcW w:w="1216" w:type="dxa"/>
          </w:tcPr>
          <w:p>
            <w:pPr>
              <w:pStyle w:val="14"/>
              <w:spacing w:before="34"/>
              <w:ind w:left="271" w:right="261"/>
              <w:rPr>
                <w:rFonts w:ascii="Times New Roman"/>
                <w:sz w:val="21"/>
              </w:rPr>
            </w:pPr>
            <w:r>
              <w:rPr>
                <w:rFonts w:ascii="Times New Roman"/>
                <w:sz w:val="21"/>
              </w:rPr>
              <w:t>0.04</w:t>
            </w:r>
          </w:p>
        </w:tc>
        <w:tc>
          <w:tcPr>
            <w:tcW w:w="1216" w:type="dxa"/>
          </w:tcPr>
          <w:p>
            <w:pPr>
              <w:pStyle w:val="14"/>
              <w:spacing w:before="34"/>
              <w:ind w:left="270" w:right="263"/>
              <w:rPr>
                <w:rFonts w:ascii="Times New Roman"/>
                <w:sz w:val="21"/>
              </w:rPr>
            </w:pPr>
            <w:r>
              <w:rPr>
                <w:rFonts w:ascii="Times New Roman"/>
                <w:sz w:val="21"/>
              </w:rPr>
              <w:t>0.12</w:t>
            </w:r>
          </w:p>
        </w:tc>
        <w:tc>
          <w:tcPr>
            <w:tcW w:w="1216" w:type="dxa"/>
          </w:tcPr>
          <w:p>
            <w:pPr>
              <w:pStyle w:val="14"/>
              <w:spacing w:before="34"/>
              <w:ind w:left="271" w:right="262"/>
              <w:rPr>
                <w:rFonts w:ascii="Times New Roman"/>
                <w:sz w:val="21"/>
              </w:rPr>
            </w:pPr>
            <w:r>
              <w:rPr>
                <w:rFonts w:ascii="Times New Roman"/>
                <w:sz w:val="21"/>
              </w:rPr>
              <w:t>0.05</w:t>
            </w:r>
          </w:p>
        </w:tc>
        <w:tc>
          <w:tcPr>
            <w:tcW w:w="1216" w:type="dxa"/>
          </w:tcPr>
          <w:p>
            <w:pPr>
              <w:pStyle w:val="14"/>
              <w:spacing w:before="34"/>
              <w:ind w:left="271" w:right="261"/>
              <w:rPr>
                <w:rFonts w:ascii="Times New Roman"/>
                <w:sz w:val="21"/>
              </w:rPr>
            </w:pPr>
            <w:r>
              <w:rPr>
                <w:rFonts w:ascii="Times New Roman"/>
                <w:sz w:val="21"/>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538" w:type="dxa"/>
          </w:tcPr>
          <w:p>
            <w:pPr>
              <w:pStyle w:val="14"/>
              <w:spacing w:before="20"/>
              <w:ind w:left="190" w:right="184"/>
              <w:rPr>
                <w:sz w:val="21"/>
              </w:rPr>
            </w:pPr>
            <w:r>
              <w:rPr>
                <w:sz w:val="21"/>
              </w:rPr>
              <w:t>硫酸盐</w:t>
            </w:r>
          </w:p>
        </w:tc>
        <w:tc>
          <w:tcPr>
            <w:tcW w:w="1216" w:type="dxa"/>
          </w:tcPr>
          <w:p>
            <w:pPr>
              <w:pStyle w:val="14"/>
              <w:spacing w:before="34"/>
              <w:ind w:left="271" w:right="262"/>
              <w:rPr>
                <w:rFonts w:ascii="Times New Roman"/>
                <w:sz w:val="21"/>
              </w:rPr>
            </w:pPr>
            <w:r>
              <w:rPr>
                <w:rFonts w:ascii="Times New Roman"/>
                <w:sz w:val="21"/>
              </w:rPr>
              <w:t>0.04</w:t>
            </w:r>
          </w:p>
        </w:tc>
        <w:tc>
          <w:tcPr>
            <w:tcW w:w="1216" w:type="dxa"/>
          </w:tcPr>
          <w:p>
            <w:pPr>
              <w:pStyle w:val="14"/>
              <w:spacing w:before="34"/>
              <w:ind w:left="271" w:right="261"/>
              <w:rPr>
                <w:rFonts w:ascii="Times New Roman"/>
                <w:sz w:val="21"/>
              </w:rPr>
            </w:pPr>
            <w:r>
              <w:rPr>
                <w:rFonts w:ascii="Times New Roman"/>
                <w:sz w:val="21"/>
              </w:rPr>
              <w:t>0.06</w:t>
            </w:r>
          </w:p>
        </w:tc>
        <w:tc>
          <w:tcPr>
            <w:tcW w:w="1216" w:type="dxa"/>
          </w:tcPr>
          <w:p>
            <w:pPr>
              <w:pStyle w:val="14"/>
              <w:spacing w:before="34"/>
              <w:ind w:left="270" w:right="263"/>
              <w:rPr>
                <w:rFonts w:ascii="Times New Roman"/>
                <w:sz w:val="21"/>
              </w:rPr>
            </w:pPr>
            <w:r>
              <w:rPr>
                <w:rFonts w:ascii="Times New Roman"/>
                <w:sz w:val="21"/>
              </w:rPr>
              <w:t>0.22</w:t>
            </w:r>
          </w:p>
        </w:tc>
        <w:tc>
          <w:tcPr>
            <w:tcW w:w="1216" w:type="dxa"/>
          </w:tcPr>
          <w:p>
            <w:pPr>
              <w:pStyle w:val="14"/>
              <w:spacing w:before="34"/>
              <w:ind w:left="271" w:right="262"/>
              <w:rPr>
                <w:rFonts w:ascii="Times New Roman"/>
                <w:sz w:val="21"/>
              </w:rPr>
            </w:pPr>
            <w:r>
              <w:rPr>
                <w:rFonts w:ascii="Times New Roman"/>
                <w:sz w:val="21"/>
              </w:rPr>
              <w:t>0.12</w:t>
            </w:r>
          </w:p>
        </w:tc>
        <w:tc>
          <w:tcPr>
            <w:tcW w:w="1216" w:type="dxa"/>
          </w:tcPr>
          <w:p>
            <w:pPr>
              <w:pStyle w:val="14"/>
              <w:spacing w:before="34"/>
              <w:ind w:left="271" w:right="261"/>
              <w:rPr>
                <w:rFonts w:ascii="Times New Roman"/>
                <w:sz w:val="21"/>
              </w:rPr>
            </w:pPr>
            <w:r>
              <w:rPr>
                <w:rFonts w:ascii="Times New Roman"/>
                <w:sz w:val="21"/>
              </w:rPr>
              <w:t>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2538" w:type="dxa"/>
          </w:tcPr>
          <w:p>
            <w:pPr>
              <w:pStyle w:val="14"/>
              <w:spacing w:before="82"/>
              <w:ind w:left="192" w:right="181"/>
              <w:rPr>
                <w:sz w:val="21"/>
              </w:rPr>
            </w:pPr>
            <w:r>
              <w:rPr>
                <w:sz w:val="21"/>
              </w:rPr>
              <w:t>细菌总数（</w:t>
            </w:r>
            <w:r>
              <w:rPr>
                <w:rFonts w:ascii="Times New Roman" w:eastAsia="Times New Roman"/>
                <w:sz w:val="21"/>
              </w:rPr>
              <w:t>CFU/mL</w:t>
            </w:r>
            <w:r>
              <w:rPr>
                <w:sz w:val="21"/>
              </w:rPr>
              <w:t>）</w:t>
            </w:r>
          </w:p>
        </w:tc>
        <w:tc>
          <w:tcPr>
            <w:tcW w:w="1216" w:type="dxa"/>
          </w:tcPr>
          <w:p>
            <w:pPr>
              <w:pStyle w:val="14"/>
              <w:spacing w:before="96"/>
              <w:ind w:left="271" w:right="262"/>
              <w:rPr>
                <w:rFonts w:ascii="Times New Roman"/>
                <w:sz w:val="21"/>
              </w:rPr>
            </w:pPr>
            <w:r>
              <w:rPr>
                <w:rFonts w:ascii="Times New Roman"/>
                <w:sz w:val="21"/>
              </w:rPr>
              <w:t>0.13</w:t>
            </w:r>
          </w:p>
        </w:tc>
        <w:tc>
          <w:tcPr>
            <w:tcW w:w="1216" w:type="dxa"/>
          </w:tcPr>
          <w:p>
            <w:pPr>
              <w:pStyle w:val="14"/>
              <w:spacing w:before="96"/>
              <w:ind w:left="271" w:right="261"/>
              <w:rPr>
                <w:rFonts w:ascii="Times New Roman"/>
                <w:sz w:val="21"/>
              </w:rPr>
            </w:pPr>
            <w:r>
              <w:rPr>
                <w:rFonts w:ascii="Times New Roman"/>
                <w:sz w:val="21"/>
              </w:rPr>
              <w:t>0.14</w:t>
            </w:r>
          </w:p>
        </w:tc>
        <w:tc>
          <w:tcPr>
            <w:tcW w:w="1216" w:type="dxa"/>
          </w:tcPr>
          <w:p>
            <w:pPr>
              <w:pStyle w:val="14"/>
              <w:spacing w:before="96"/>
              <w:ind w:left="270" w:right="263"/>
              <w:rPr>
                <w:rFonts w:ascii="Times New Roman"/>
                <w:sz w:val="21"/>
              </w:rPr>
            </w:pPr>
            <w:r>
              <w:rPr>
                <w:rFonts w:ascii="Times New Roman"/>
                <w:sz w:val="21"/>
              </w:rPr>
              <w:t>0.15</w:t>
            </w:r>
          </w:p>
        </w:tc>
        <w:tc>
          <w:tcPr>
            <w:tcW w:w="1216" w:type="dxa"/>
          </w:tcPr>
          <w:p>
            <w:pPr>
              <w:pStyle w:val="14"/>
              <w:spacing w:before="96"/>
              <w:ind w:left="271" w:right="262"/>
              <w:rPr>
                <w:rFonts w:ascii="Times New Roman"/>
                <w:sz w:val="21"/>
              </w:rPr>
            </w:pPr>
            <w:r>
              <w:rPr>
                <w:rFonts w:ascii="Times New Roman"/>
                <w:sz w:val="21"/>
              </w:rPr>
              <w:t>0.15</w:t>
            </w:r>
          </w:p>
        </w:tc>
        <w:tc>
          <w:tcPr>
            <w:tcW w:w="1216" w:type="dxa"/>
          </w:tcPr>
          <w:p>
            <w:pPr>
              <w:pStyle w:val="14"/>
              <w:spacing w:before="96"/>
              <w:ind w:left="271" w:right="261"/>
              <w:rPr>
                <w:rFonts w:ascii="Times New Roman"/>
                <w:sz w:val="21"/>
              </w:rPr>
            </w:pPr>
            <w:r>
              <w:rPr>
                <w:rFonts w:ascii="Times New Roman"/>
                <w:sz w:val="21"/>
              </w:rPr>
              <w:t>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538" w:type="dxa"/>
          </w:tcPr>
          <w:p>
            <w:pPr>
              <w:pStyle w:val="14"/>
              <w:spacing w:before="20"/>
              <w:ind w:left="192" w:right="184"/>
              <w:rPr>
                <w:sz w:val="21"/>
              </w:rPr>
            </w:pPr>
            <w:r>
              <w:rPr>
                <w:sz w:val="21"/>
              </w:rPr>
              <w:t>总大肠菌群（</w:t>
            </w:r>
            <w:r>
              <w:rPr>
                <w:rFonts w:ascii="Times New Roman" w:eastAsia="Times New Roman"/>
                <w:sz w:val="21"/>
              </w:rPr>
              <w:t>MPN/L</w:t>
            </w:r>
            <w:r>
              <w:rPr>
                <w:sz w:val="21"/>
              </w:rPr>
              <w:t>）</w:t>
            </w:r>
          </w:p>
        </w:tc>
        <w:tc>
          <w:tcPr>
            <w:tcW w:w="1216" w:type="dxa"/>
          </w:tcPr>
          <w:p>
            <w:pPr>
              <w:pStyle w:val="14"/>
              <w:spacing w:before="20"/>
              <w:ind w:left="271" w:right="261"/>
              <w:rPr>
                <w:sz w:val="21"/>
              </w:rPr>
            </w:pPr>
            <w:r>
              <w:rPr>
                <w:sz w:val="21"/>
              </w:rPr>
              <w:t>未检出</w:t>
            </w:r>
          </w:p>
        </w:tc>
        <w:tc>
          <w:tcPr>
            <w:tcW w:w="1216" w:type="dxa"/>
          </w:tcPr>
          <w:p>
            <w:pPr>
              <w:pStyle w:val="14"/>
              <w:spacing w:before="20"/>
              <w:ind w:left="270" w:right="263"/>
              <w:rPr>
                <w:sz w:val="21"/>
              </w:rPr>
            </w:pPr>
            <w:r>
              <w:rPr>
                <w:sz w:val="21"/>
              </w:rPr>
              <w:t>未检出</w:t>
            </w:r>
          </w:p>
        </w:tc>
        <w:tc>
          <w:tcPr>
            <w:tcW w:w="1216" w:type="dxa"/>
          </w:tcPr>
          <w:p>
            <w:pPr>
              <w:pStyle w:val="14"/>
              <w:spacing w:before="20"/>
              <w:ind w:left="271" w:right="263"/>
              <w:rPr>
                <w:sz w:val="21"/>
              </w:rPr>
            </w:pPr>
            <w:r>
              <w:rPr>
                <w:sz w:val="21"/>
              </w:rPr>
              <w:t>未检出</w:t>
            </w:r>
          </w:p>
        </w:tc>
        <w:tc>
          <w:tcPr>
            <w:tcW w:w="1216" w:type="dxa"/>
          </w:tcPr>
          <w:p>
            <w:pPr>
              <w:pStyle w:val="14"/>
              <w:spacing w:before="20"/>
              <w:ind w:left="271" w:right="261"/>
              <w:rPr>
                <w:sz w:val="21"/>
              </w:rPr>
            </w:pPr>
            <w:r>
              <w:rPr>
                <w:sz w:val="21"/>
              </w:rPr>
              <w:t>未检出</w:t>
            </w:r>
          </w:p>
        </w:tc>
        <w:tc>
          <w:tcPr>
            <w:tcW w:w="1216" w:type="dxa"/>
          </w:tcPr>
          <w:p>
            <w:pPr>
              <w:pStyle w:val="14"/>
              <w:spacing w:before="20"/>
              <w:ind w:left="270" w:right="263"/>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538" w:type="dxa"/>
          </w:tcPr>
          <w:p>
            <w:pPr>
              <w:pStyle w:val="14"/>
              <w:spacing w:before="22"/>
              <w:ind w:left="192" w:right="184"/>
              <w:rPr>
                <w:sz w:val="21"/>
              </w:rPr>
            </w:pPr>
            <w:r>
              <w:rPr>
                <w:sz w:val="21"/>
              </w:rPr>
              <w:t>挥发性酚类</w:t>
            </w:r>
          </w:p>
        </w:tc>
        <w:tc>
          <w:tcPr>
            <w:tcW w:w="1216" w:type="dxa"/>
          </w:tcPr>
          <w:p>
            <w:pPr>
              <w:pStyle w:val="14"/>
              <w:spacing w:before="22"/>
              <w:ind w:left="271" w:right="261"/>
              <w:rPr>
                <w:sz w:val="21"/>
              </w:rPr>
            </w:pPr>
            <w:r>
              <w:rPr>
                <w:sz w:val="21"/>
              </w:rPr>
              <w:t>未检出</w:t>
            </w:r>
          </w:p>
        </w:tc>
        <w:tc>
          <w:tcPr>
            <w:tcW w:w="1216" w:type="dxa"/>
          </w:tcPr>
          <w:p>
            <w:pPr>
              <w:pStyle w:val="14"/>
              <w:spacing w:before="22"/>
              <w:ind w:left="270" w:right="263"/>
              <w:rPr>
                <w:sz w:val="21"/>
              </w:rPr>
            </w:pPr>
            <w:r>
              <w:rPr>
                <w:sz w:val="21"/>
              </w:rPr>
              <w:t>未检出</w:t>
            </w:r>
          </w:p>
        </w:tc>
        <w:tc>
          <w:tcPr>
            <w:tcW w:w="1216" w:type="dxa"/>
          </w:tcPr>
          <w:p>
            <w:pPr>
              <w:pStyle w:val="14"/>
              <w:spacing w:before="22"/>
              <w:ind w:left="271" w:right="263"/>
              <w:rPr>
                <w:sz w:val="21"/>
              </w:rPr>
            </w:pPr>
            <w:r>
              <w:rPr>
                <w:sz w:val="21"/>
              </w:rPr>
              <w:t>未检出</w:t>
            </w:r>
          </w:p>
        </w:tc>
        <w:tc>
          <w:tcPr>
            <w:tcW w:w="1216" w:type="dxa"/>
          </w:tcPr>
          <w:p>
            <w:pPr>
              <w:pStyle w:val="14"/>
              <w:spacing w:before="22"/>
              <w:ind w:left="271" w:right="261"/>
              <w:rPr>
                <w:sz w:val="21"/>
              </w:rPr>
            </w:pPr>
            <w:r>
              <w:rPr>
                <w:sz w:val="21"/>
              </w:rPr>
              <w:t>未检出</w:t>
            </w:r>
          </w:p>
        </w:tc>
        <w:tc>
          <w:tcPr>
            <w:tcW w:w="1216" w:type="dxa"/>
          </w:tcPr>
          <w:p>
            <w:pPr>
              <w:pStyle w:val="14"/>
              <w:spacing w:before="22"/>
              <w:ind w:left="270" w:right="263"/>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538" w:type="dxa"/>
          </w:tcPr>
          <w:p>
            <w:pPr>
              <w:pStyle w:val="14"/>
              <w:spacing w:before="21"/>
              <w:ind w:left="190" w:right="184"/>
              <w:rPr>
                <w:sz w:val="21"/>
              </w:rPr>
            </w:pPr>
            <w:r>
              <w:rPr>
                <w:sz w:val="21"/>
              </w:rPr>
              <w:t>氰化物</w:t>
            </w:r>
          </w:p>
        </w:tc>
        <w:tc>
          <w:tcPr>
            <w:tcW w:w="1216" w:type="dxa"/>
          </w:tcPr>
          <w:p>
            <w:pPr>
              <w:pStyle w:val="14"/>
              <w:spacing w:before="21"/>
              <w:ind w:left="271" w:right="261"/>
              <w:rPr>
                <w:sz w:val="21"/>
              </w:rPr>
            </w:pPr>
            <w:r>
              <w:rPr>
                <w:sz w:val="21"/>
              </w:rPr>
              <w:t>未检出</w:t>
            </w:r>
          </w:p>
        </w:tc>
        <w:tc>
          <w:tcPr>
            <w:tcW w:w="1216" w:type="dxa"/>
          </w:tcPr>
          <w:p>
            <w:pPr>
              <w:pStyle w:val="14"/>
              <w:spacing w:before="21"/>
              <w:ind w:left="270" w:right="263"/>
              <w:rPr>
                <w:sz w:val="21"/>
              </w:rPr>
            </w:pPr>
            <w:r>
              <w:rPr>
                <w:sz w:val="21"/>
              </w:rPr>
              <w:t>未检出</w:t>
            </w:r>
          </w:p>
        </w:tc>
        <w:tc>
          <w:tcPr>
            <w:tcW w:w="1216" w:type="dxa"/>
          </w:tcPr>
          <w:p>
            <w:pPr>
              <w:pStyle w:val="14"/>
              <w:spacing w:before="21"/>
              <w:ind w:left="271" w:right="263"/>
              <w:rPr>
                <w:sz w:val="21"/>
              </w:rPr>
            </w:pPr>
            <w:r>
              <w:rPr>
                <w:sz w:val="21"/>
              </w:rPr>
              <w:t>未检出</w:t>
            </w:r>
          </w:p>
        </w:tc>
        <w:tc>
          <w:tcPr>
            <w:tcW w:w="1216" w:type="dxa"/>
          </w:tcPr>
          <w:p>
            <w:pPr>
              <w:pStyle w:val="14"/>
              <w:spacing w:before="21"/>
              <w:ind w:left="271" w:right="261"/>
              <w:rPr>
                <w:sz w:val="21"/>
              </w:rPr>
            </w:pPr>
            <w:r>
              <w:rPr>
                <w:sz w:val="21"/>
              </w:rPr>
              <w:t>未检出</w:t>
            </w:r>
          </w:p>
        </w:tc>
        <w:tc>
          <w:tcPr>
            <w:tcW w:w="1216" w:type="dxa"/>
          </w:tcPr>
          <w:p>
            <w:pPr>
              <w:pStyle w:val="14"/>
              <w:spacing w:before="21"/>
              <w:ind w:left="270" w:right="263"/>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538" w:type="dxa"/>
          </w:tcPr>
          <w:p>
            <w:pPr>
              <w:pStyle w:val="14"/>
              <w:spacing w:before="21"/>
              <w:ind w:left="192" w:right="184"/>
              <w:rPr>
                <w:sz w:val="21"/>
              </w:rPr>
            </w:pPr>
            <w:r>
              <w:rPr>
                <w:sz w:val="21"/>
              </w:rPr>
              <w:t>砷（</w:t>
            </w:r>
            <w:r>
              <w:rPr>
                <w:rFonts w:ascii="Times New Roman" w:hAnsi="Times New Roman" w:eastAsia="Times New Roman"/>
                <w:sz w:val="21"/>
              </w:rPr>
              <w:t>μg/L</w:t>
            </w:r>
            <w:r>
              <w:rPr>
                <w:sz w:val="21"/>
              </w:rPr>
              <w:t>）</w:t>
            </w:r>
          </w:p>
        </w:tc>
        <w:tc>
          <w:tcPr>
            <w:tcW w:w="1216" w:type="dxa"/>
          </w:tcPr>
          <w:p>
            <w:pPr>
              <w:pStyle w:val="14"/>
              <w:spacing w:before="21"/>
              <w:ind w:left="271" w:right="261"/>
              <w:rPr>
                <w:sz w:val="21"/>
              </w:rPr>
            </w:pPr>
            <w:r>
              <w:rPr>
                <w:sz w:val="21"/>
              </w:rPr>
              <w:t>未检出</w:t>
            </w:r>
          </w:p>
        </w:tc>
        <w:tc>
          <w:tcPr>
            <w:tcW w:w="1216" w:type="dxa"/>
          </w:tcPr>
          <w:p>
            <w:pPr>
              <w:pStyle w:val="14"/>
              <w:spacing w:before="21"/>
              <w:ind w:left="270" w:right="263"/>
              <w:rPr>
                <w:sz w:val="21"/>
              </w:rPr>
            </w:pPr>
            <w:r>
              <w:rPr>
                <w:sz w:val="21"/>
              </w:rPr>
              <w:t>未检出</w:t>
            </w:r>
          </w:p>
        </w:tc>
        <w:tc>
          <w:tcPr>
            <w:tcW w:w="1216" w:type="dxa"/>
          </w:tcPr>
          <w:p>
            <w:pPr>
              <w:pStyle w:val="14"/>
              <w:spacing w:before="21"/>
              <w:ind w:left="271" w:right="263"/>
              <w:rPr>
                <w:sz w:val="21"/>
              </w:rPr>
            </w:pPr>
            <w:r>
              <w:rPr>
                <w:sz w:val="21"/>
              </w:rPr>
              <w:t>未检出</w:t>
            </w:r>
          </w:p>
        </w:tc>
        <w:tc>
          <w:tcPr>
            <w:tcW w:w="1216" w:type="dxa"/>
          </w:tcPr>
          <w:p>
            <w:pPr>
              <w:pStyle w:val="14"/>
              <w:spacing w:before="21"/>
              <w:ind w:left="271" w:right="261"/>
              <w:rPr>
                <w:sz w:val="21"/>
              </w:rPr>
            </w:pPr>
            <w:r>
              <w:rPr>
                <w:sz w:val="21"/>
              </w:rPr>
              <w:t>未检出</w:t>
            </w:r>
          </w:p>
        </w:tc>
        <w:tc>
          <w:tcPr>
            <w:tcW w:w="1216" w:type="dxa"/>
          </w:tcPr>
          <w:p>
            <w:pPr>
              <w:pStyle w:val="14"/>
              <w:spacing w:before="21"/>
              <w:ind w:left="270" w:right="263"/>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538" w:type="dxa"/>
          </w:tcPr>
          <w:p>
            <w:pPr>
              <w:pStyle w:val="14"/>
              <w:spacing w:before="20"/>
              <w:ind w:left="192" w:right="184"/>
              <w:rPr>
                <w:sz w:val="21"/>
              </w:rPr>
            </w:pPr>
            <w:r>
              <w:rPr>
                <w:sz w:val="21"/>
              </w:rPr>
              <w:t>汞（</w:t>
            </w:r>
            <w:r>
              <w:rPr>
                <w:rFonts w:ascii="Times New Roman" w:hAnsi="Times New Roman" w:eastAsia="Times New Roman"/>
                <w:sz w:val="21"/>
              </w:rPr>
              <w:t>μg/L</w:t>
            </w:r>
            <w:r>
              <w:rPr>
                <w:sz w:val="21"/>
              </w:rPr>
              <w:t>）</w:t>
            </w:r>
          </w:p>
        </w:tc>
        <w:tc>
          <w:tcPr>
            <w:tcW w:w="1216" w:type="dxa"/>
          </w:tcPr>
          <w:p>
            <w:pPr>
              <w:pStyle w:val="14"/>
              <w:spacing w:before="20"/>
              <w:ind w:left="271" w:right="261"/>
              <w:rPr>
                <w:sz w:val="21"/>
              </w:rPr>
            </w:pPr>
            <w:r>
              <w:rPr>
                <w:sz w:val="21"/>
              </w:rPr>
              <w:t>未检出</w:t>
            </w:r>
          </w:p>
        </w:tc>
        <w:tc>
          <w:tcPr>
            <w:tcW w:w="1216" w:type="dxa"/>
          </w:tcPr>
          <w:p>
            <w:pPr>
              <w:pStyle w:val="14"/>
              <w:spacing w:before="20"/>
              <w:ind w:left="270" w:right="263"/>
              <w:rPr>
                <w:sz w:val="21"/>
              </w:rPr>
            </w:pPr>
            <w:r>
              <w:rPr>
                <w:sz w:val="21"/>
              </w:rPr>
              <w:t>未检出</w:t>
            </w:r>
          </w:p>
        </w:tc>
        <w:tc>
          <w:tcPr>
            <w:tcW w:w="1216" w:type="dxa"/>
          </w:tcPr>
          <w:p>
            <w:pPr>
              <w:pStyle w:val="14"/>
              <w:spacing w:before="20"/>
              <w:ind w:left="271" w:right="263"/>
              <w:rPr>
                <w:sz w:val="21"/>
              </w:rPr>
            </w:pPr>
            <w:r>
              <w:rPr>
                <w:sz w:val="21"/>
              </w:rPr>
              <w:t>未检出</w:t>
            </w:r>
          </w:p>
        </w:tc>
        <w:tc>
          <w:tcPr>
            <w:tcW w:w="1216" w:type="dxa"/>
          </w:tcPr>
          <w:p>
            <w:pPr>
              <w:pStyle w:val="14"/>
              <w:spacing w:before="20"/>
              <w:ind w:left="271" w:right="261"/>
              <w:rPr>
                <w:sz w:val="21"/>
              </w:rPr>
            </w:pPr>
            <w:r>
              <w:rPr>
                <w:sz w:val="21"/>
              </w:rPr>
              <w:t>未检出</w:t>
            </w:r>
          </w:p>
        </w:tc>
        <w:tc>
          <w:tcPr>
            <w:tcW w:w="1216" w:type="dxa"/>
          </w:tcPr>
          <w:p>
            <w:pPr>
              <w:pStyle w:val="14"/>
              <w:spacing w:before="20"/>
              <w:ind w:left="270" w:right="263"/>
              <w:rPr>
                <w:sz w:val="21"/>
              </w:rPr>
            </w:pPr>
            <w:r>
              <w:rPr>
                <w:sz w:val="21"/>
              </w:rPr>
              <w:t>未检出</w:t>
            </w:r>
          </w:p>
        </w:tc>
      </w:tr>
    </w:tbl>
    <w:p>
      <w:pPr>
        <w:spacing w:after="0"/>
        <w:rPr>
          <w:sz w:val="21"/>
        </w:rPr>
        <w:sectPr>
          <w:pgSz w:w="11910" w:h="16840"/>
          <w:pgMar w:top="1420" w:right="780" w:bottom="1180" w:left="1200" w:header="0" w:footer="997" w:gutter="0"/>
        </w:sectPr>
      </w:pPr>
    </w:p>
    <w:tbl>
      <w:tblPr>
        <w:tblStyle w:val="10"/>
        <w:tblW w:w="0" w:type="auto"/>
        <w:tblInd w:w="4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38"/>
        <w:gridCol w:w="1216"/>
        <w:gridCol w:w="1216"/>
        <w:gridCol w:w="1216"/>
        <w:gridCol w:w="1216"/>
        <w:gridCol w:w="12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538" w:type="dxa"/>
          </w:tcPr>
          <w:p>
            <w:pPr>
              <w:pStyle w:val="14"/>
              <w:spacing w:before="21"/>
              <w:ind w:left="190" w:right="184"/>
              <w:rPr>
                <w:sz w:val="21"/>
              </w:rPr>
            </w:pPr>
            <w:r>
              <w:rPr>
                <w:sz w:val="21"/>
              </w:rPr>
              <w:t>氟化物</w:t>
            </w:r>
          </w:p>
        </w:tc>
        <w:tc>
          <w:tcPr>
            <w:tcW w:w="1216" w:type="dxa"/>
          </w:tcPr>
          <w:p>
            <w:pPr>
              <w:pStyle w:val="14"/>
              <w:spacing w:before="35"/>
              <w:ind w:left="271" w:right="262"/>
              <w:rPr>
                <w:rFonts w:ascii="Times New Roman"/>
                <w:sz w:val="21"/>
              </w:rPr>
            </w:pPr>
            <w:r>
              <w:rPr>
                <w:rFonts w:ascii="Times New Roman"/>
                <w:sz w:val="21"/>
              </w:rPr>
              <w:t>0.24</w:t>
            </w:r>
          </w:p>
        </w:tc>
        <w:tc>
          <w:tcPr>
            <w:tcW w:w="1216" w:type="dxa"/>
          </w:tcPr>
          <w:p>
            <w:pPr>
              <w:pStyle w:val="14"/>
              <w:spacing w:before="35"/>
              <w:ind w:left="271" w:right="261"/>
              <w:rPr>
                <w:rFonts w:ascii="Times New Roman"/>
                <w:sz w:val="21"/>
              </w:rPr>
            </w:pPr>
            <w:r>
              <w:rPr>
                <w:rFonts w:ascii="Times New Roman"/>
                <w:sz w:val="21"/>
              </w:rPr>
              <w:t>0.26</w:t>
            </w:r>
          </w:p>
        </w:tc>
        <w:tc>
          <w:tcPr>
            <w:tcW w:w="1216" w:type="dxa"/>
          </w:tcPr>
          <w:p>
            <w:pPr>
              <w:pStyle w:val="14"/>
              <w:spacing w:before="35"/>
              <w:ind w:left="270" w:right="263"/>
              <w:rPr>
                <w:rFonts w:ascii="Times New Roman"/>
                <w:sz w:val="21"/>
              </w:rPr>
            </w:pPr>
            <w:r>
              <w:rPr>
                <w:rFonts w:ascii="Times New Roman"/>
                <w:sz w:val="21"/>
              </w:rPr>
              <w:t>0.25</w:t>
            </w:r>
          </w:p>
        </w:tc>
        <w:tc>
          <w:tcPr>
            <w:tcW w:w="1216" w:type="dxa"/>
          </w:tcPr>
          <w:p>
            <w:pPr>
              <w:pStyle w:val="14"/>
              <w:spacing w:before="35"/>
              <w:ind w:left="271" w:right="262"/>
              <w:rPr>
                <w:rFonts w:ascii="Times New Roman"/>
                <w:sz w:val="21"/>
              </w:rPr>
            </w:pPr>
            <w:r>
              <w:rPr>
                <w:rFonts w:ascii="Times New Roman"/>
                <w:sz w:val="21"/>
              </w:rPr>
              <w:t>0.22</w:t>
            </w:r>
          </w:p>
        </w:tc>
        <w:tc>
          <w:tcPr>
            <w:tcW w:w="1216" w:type="dxa"/>
          </w:tcPr>
          <w:p>
            <w:pPr>
              <w:pStyle w:val="14"/>
              <w:spacing w:before="35"/>
              <w:ind w:left="271" w:right="261"/>
              <w:rPr>
                <w:rFonts w:ascii="Times New Roman"/>
                <w:sz w:val="21"/>
              </w:rPr>
            </w:pPr>
            <w:r>
              <w:rPr>
                <w:rFonts w:ascii="Times New Roman"/>
                <w:sz w:val="21"/>
              </w:rPr>
              <w:t>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538" w:type="dxa"/>
          </w:tcPr>
          <w:p>
            <w:pPr>
              <w:pStyle w:val="14"/>
              <w:spacing w:before="20"/>
              <w:ind w:left="192" w:right="184"/>
              <w:rPr>
                <w:sz w:val="21"/>
              </w:rPr>
            </w:pPr>
            <w:r>
              <w:rPr>
                <w:sz w:val="21"/>
              </w:rPr>
              <w:t>镉（</w:t>
            </w:r>
            <w:r>
              <w:rPr>
                <w:rFonts w:ascii="Times New Roman" w:hAnsi="Times New Roman" w:eastAsia="Times New Roman"/>
                <w:sz w:val="21"/>
              </w:rPr>
              <w:t>μg/L</w:t>
            </w:r>
            <w:r>
              <w:rPr>
                <w:sz w:val="21"/>
              </w:rPr>
              <w:t>）</w:t>
            </w:r>
          </w:p>
        </w:tc>
        <w:tc>
          <w:tcPr>
            <w:tcW w:w="1216" w:type="dxa"/>
          </w:tcPr>
          <w:p>
            <w:pPr>
              <w:pStyle w:val="14"/>
              <w:spacing w:before="20"/>
              <w:ind w:left="271" w:right="261"/>
              <w:rPr>
                <w:sz w:val="21"/>
              </w:rPr>
            </w:pPr>
            <w:r>
              <w:rPr>
                <w:sz w:val="21"/>
              </w:rPr>
              <w:t>未检出</w:t>
            </w:r>
          </w:p>
        </w:tc>
        <w:tc>
          <w:tcPr>
            <w:tcW w:w="1216" w:type="dxa"/>
          </w:tcPr>
          <w:p>
            <w:pPr>
              <w:pStyle w:val="14"/>
              <w:spacing w:before="20"/>
              <w:ind w:left="270" w:right="263"/>
              <w:rPr>
                <w:sz w:val="21"/>
              </w:rPr>
            </w:pPr>
            <w:r>
              <w:rPr>
                <w:sz w:val="21"/>
              </w:rPr>
              <w:t>未检出</w:t>
            </w:r>
          </w:p>
        </w:tc>
        <w:tc>
          <w:tcPr>
            <w:tcW w:w="1216" w:type="dxa"/>
          </w:tcPr>
          <w:p>
            <w:pPr>
              <w:pStyle w:val="14"/>
              <w:spacing w:before="20"/>
              <w:ind w:left="271" w:right="263"/>
              <w:rPr>
                <w:sz w:val="21"/>
              </w:rPr>
            </w:pPr>
            <w:r>
              <w:rPr>
                <w:sz w:val="21"/>
              </w:rPr>
              <w:t>未检出</w:t>
            </w:r>
          </w:p>
        </w:tc>
        <w:tc>
          <w:tcPr>
            <w:tcW w:w="1216" w:type="dxa"/>
          </w:tcPr>
          <w:p>
            <w:pPr>
              <w:pStyle w:val="14"/>
              <w:spacing w:before="20"/>
              <w:ind w:left="271" w:right="261"/>
              <w:rPr>
                <w:sz w:val="21"/>
              </w:rPr>
            </w:pPr>
            <w:r>
              <w:rPr>
                <w:sz w:val="21"/>
              </w:rPr>
              <w:t>未检出</w:t>
            </w:r>
          </w:p>
        </w:tc>
        <w:tc>
          <w:tcPr>
            <w:tcW w:w="1216" w:type="dxa"/>
          </w:tcPr>
          <w:p>
            <w:pPr>
              <w:pStyle w:val="14"/>
              <w:spacing w:before="20"/>
              <w:ind w:left="270" w:right="263"/>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538" w:type="dxa"/>
          </w:tcPr>
          <w:p>
            <w:pPr>
              <w:pStyle w:val="14"/>
              <w:spacing w:before="37"/>
              <w:ind w:left="192" w:right="184"/>
              <w:rPr>
                <w:rFonts w:ascii="Times New Roman"/>
                <w:sz w:val="13"/>
              </w:rPr>
            </w:pPr>
            <w:r>
              <w:rPr>
                <w:rFonts w:ascii="Times New Roman"/>
                <w:position w:val="-6"/>
                <w:sz w:val="21"/>
              </w:rPr>
              <w:t>K</w:t>
            </w:r>
            <w:r>
              <w:rPr>
                <w:rFonts w:ascii="Times New Roman"/>
                <w:sz w:val="13"/>
              </w:rPr>
              <w:t>+</w:t>
            </w:r>
          </w:p>
        </w:tc>
        <w:tc>
          <w:tcPr>
            <w:tcW w:w="1216" w:type="dxa"/>
          </w:tcPr>
          <w:p>
            <w:pPr>
              <w:pStyle w:val="14"/>
              <w:spacing w:before="34"/>
              <w:ind w:left="10"/>
              <w:rPr>
                <w:rFonts w:ascii="Times New Roman"/>
                <w:b/>
                <w:sz w:val="21"/>
              </w:rPr>
            </w:pPr>
            <w:r>
              <w:rPr>
                <w:rFonts w:ascii="Times New Roman"/>
                <w:b/>
                <w:w w:val="99"/>
                <w:sz w:val="21"/>
              </w:rPr>
              <w:t>/</w:t>
            </w:r>
          </w:p>
        </w:tc>
        <w:tc>
          <w:tcPr>
            <w:tcW w:w="1216" w:type="dxa"/>
          </w:tcPr>
          <w:p>
            <w:pPr>
              <w:pStyle w:val="14"/>
              <w:spacing w:before="34"/>
              <w:ind w:left="7"/>
              <w:rPr>
                <w:rFonts w:ascii="Times New Roman"/>
                <w:b/>
                <w:sz w:val="21"/>
              </w:rPr>
            </w:pPr>
            <w:r>
              <w:rPr>
                <w:rFonts w:ascii="Times New Roman"/>
                <w:b/>
                <w:w w:val="99"/>
                <w:sz w:val="21"/>
              </w:rPr>
              <w:t>/</w:t>
            </w:r>
          </w:p>
        </w:tc>
        <w:tc>
          <w:tcPr>
            <w:tcW w:w="1216" w:type="dxa"/>
          </w:tcPr>
          <w:p>
            <w:pPr>
              <w:pStyle w:val="14"/>
              <w:spacing w:before="34"/>
              <w:ind w:left="9"/>
              <w:rPr>
                <w:rFonts w:ascii="Times New Roman"/>
                <w:b/>
                <w:sz w:val="21"/>
              </w:rPr>
            </w:pPr>
            <w:r>
              <w:rPr>
                <w:rFonts w:ascii="Times New Roman"/>
                <w:b/>
                <w:w w:val="99"/>
                <w:sz w:val="21"/>
              </w:rPr>
              <w:t>/</w:t>
            </w:r>
          </w:p>
        </w:tc>
        <w:tc>
          <w:tcPr>
            <w:tcW w:w="1216" w:type="dxa"/>
          </w:tcPr>
          <w:p>
            <w:pPr>
              <w:pStyle w:val="14"/>
              <w:spacing w:before="34"/>
              <w:ind w:left="10"/>
              <w:rPr>
                <w:rFonts w:ascii="Times New Roman"/>
                <w:b/>
                <w:sz w:val="21"/>
              </w:rPr>
            </w:pPr>
            <w:r>
              <w:rPr>
                <w:rFonts w:ascii="Times New Roman"/>
                <w:b/>
                <w:w w:val="99"/>
                <w:sz w:val="21"/>
              </w:rPr>
              <w:t>/</w:t>
            </w:r>
          </w:p>
        </w:tc>
        <w:tc>
          <w:tcPr>
            <w:tcW w:w="1216" w:type="dxa"/>
          </w:tcPr>
          <w:p>
            <w:pPr>
              <w:pStyle w:val="14"/>
              <w:spacing w:before="34"/>
              <w:ind w:left="7"/>
              <w:rPr>
                <w:rFonts w:ascii="Times New Roman"/>
                <w:b/>
                <w:sz w:val="21"/>
              </w:rPr>
            </w:pPr>
            <w:r>
              <w:rPr>
                <w:rFonts w:ascii="Times New Roman"/>
                <w:b/>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538" w:type="dxa"/>
          </w:tcPr>
          <w:p>
            <w:pPr>
              <w:pStyle w:val="14"/>
              <w:spacing w:before="34"/>
              <w:ind w:left="192" w:right="181"/>
              <w:rPr>
                <w:rFonts w:ascii="Times New Roman"/>
                <w:sz w:val="13"/>
              </w:rPr>
            </w:pPr>
            <w:r>
              <w:rPr>
                <w:rFonts w:ascii="Times New Roman"/>
                <w:sz w:val="21"/>
              </w:rPr>
              <w:t>Na</w:t>
            </w:r>
            <w:r>
              <w:rPr>
                <w:rFonts w:ascii="Times New Roman"/>
                <w:position w:val="7"/>
                <w:sz w:val="13"/>
              </w:rPr>
              <w:t>+</w:t>
            </w:r>
          </w:p>
        </w:tc>
        <w:tc>
          <w:tcPr>
            <w:tcW w:w="1216" w:type="dxa"/>
          </w:tcPr>
          <w:p>
            <w:pPr>
              <w:pStyle w:val="14"/>
              <w:spacing w:before="34"/>
              <w:ind w:left="271" w:right="262"/>
              <w:rPr>
                <w:rFonts w:ascii="Times New Roman"/>
                <w:sz w:val="21"/>
              </w:rPr>
            </w:pPr>
            <w:r>
              <w:rPr>
                <w:rFonts w:ascii="Times New Roman"/>
                <w:sz w:val="21"/>
              </w:rPr>
              <w:t>0.10</w:t>
            </w:r>
          </w:p>
        </w:tc>
        <w:tc>
          <w:tcPr>
            <w:tcW w:w="1216" w:type="dxa"/>
          </w:tcPr>
          <w:p>
            <w:pPr>
              <w:pStyle w:val="14"/>
              <w:spacing w:before="34"/>
              <w:ind w:left="271" w:right="261"/>
              <w:rPr>
                <w:rFonts w:ascii="Times New Roman"/>
                <w:sz w:val="21"/>
              </w:rPr>
            </w:pPr>
            <w:r>
              <w:rPr>
                <w:rFonts w:ascii="Times New Roman"/>
                <w:sz w:val="21"/>
              </w:rPr>
              <w:t>0.04</w:t>
            </w:r>
          </w:p>
        </w:tc>
        <w:tc>
          <w:tcPr>
            <w:tcW w:w="1216" w:type="dxa"/>
          </w:tcPr>
          <w:p>
            <w:pPr>
              <w:pStyle w:val="14"/>
              <w:spacing w:before="34"/>
              <w:ind w:left="270" w:right="263"/>
              <w:rPr>
                <w:rFonts w:ascii="Times New Roman"/>
                <w:sz w:val="21"/>
              </w:rPr>
            </w:pPr>
            <w:r>
              <w:rPr>
                <w:rFonts w:ascii="Times New Roman"/>
                <w:sz w:val="21"/>
              </w:rPr>
              <w:t>0.10</w:t>
            </w:r>
          </w:p>
        </w:tc>
        <w:tc>
          <w:tcPr>
            <w:tcW w:w="1216" w:type="dxa"/>
          </w:tcPr>
          <w:p>
            <w:pPr>
              <w:pStyle w:val="14"/>
              <w:spacing w:before="34"/>
              <w:ind w:left="271" w:right="260"/>
              <w:rPr>
                <w:rFonts w:ascii="Times New Roman"/>
                <w:sz w:val="21"/>
              </w:rPr>
            </w:pPr>
            <w:r>
              <w:rPr>
                <w:rFonts w:ascii="Times New Roman"/>
                <w:sz w:val="21"/>
              </w:rPr>
              <w:t>0.11</w:t>
            </w:r>
          </w:p>
        </w:tc>
        <w:tc>
          <w:tcPr>
            <w:tcW w:w="1216" w:type="dxa"/>
          </w:tcPr>
          <w:p>
            <w:pPr>
              <w:pStyle w:val="14"/>
              <w:spacing w:before="34"/>
              <w:ind w:left="271" w:right="261"/>
              <w:rPr>
                <w:rFonts w:ascii="Times New Roman"/>
                <w:sz w:val="21"/>
              </w:rPr>
            </w:pPr>
            <w:r>
              <w:rPr>
                <w:rFonts w:ascii="Times New Roman"/>
                <w:sz w:val="21"/>
              </w:rPr>
              <w:t>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538" w:type="dxa"/>
          </w:tcPr>
          <w:p>
            <w:pPr>
              <w:pStyle w:val="14"/>
              <w:spacing w:before="36"/>
              <w:ind w:left="192" w:right="181"/>
              <w:rPr>
                <w:rFonts w:ascii="Times New Roman"/>
                <w:sz w:val="13"/>
              </w:rPr>
            </w:pPr>
            <w:r>
              <w:rPr>
                <w:rFonts w:ascii="Times New Roman"/>
                <w:position w:val="-6"/>
                <w:sz w:val="21"/>
              </w:rPr>
              <w:t>Ca</w:t>
            </w:r>
            <w:r>
              <w:rPr>
                <w:rFonts w:ascii="Times New Roman"/>
                <w:sz w:val="13"/>
              </w:rPr>
              <w:t>2+</w:t>
            </w:r>
          </w:p>
        </w:tc>
        <w:tc>
          <w:tcPr>
            <w:tcW w:w="1216" w:type="dxa"/>
          </w:tcPr>
          <w:p>
            <w:pPr>
              <w:pStyle w:val="14"/>
              <w:spacing w:before="36"/>
              <w:ind w:left="10"/>
              <w:rPr>
                <w:rFonts w:ascii="Times New Roman"/>
                <w:b/>
                <w:sz w:val="21"/>
              </w:rPr>
            </w:pPr>
            <w:r>
              <w:rPr>
                <w:rFonts w:ascii="Times New Roman"/>
                <w:b/>
                <w:w w:val="99"/>
                <w:sz w:val="21"/>
              </w:rPr>
              <w:t>/</w:t>
            </w:r>
          </w:p>
        </w:tc>
        <w:tc>
          <w:tcPr>
            <w:tcW w:w="1216" w:type="dxa"/>
          </w:tcPr>
          <w:p>
            <w:pPr>
              <w:pStyle w:val="14"/>
              <w:spacing w:before="36"/>
              <w:ind w:left="7"/>
              <w:rPr>
                <w:rFonts w:ascii="Times New Roman"/>
                <w:b/>
                <w:sz w:val="21"/>
              </w:rPr>
            </w:pPr>
            <w:r>
              <w:rPr>
                <w:rFonts w:ascii="Times New Roman"/>
                <w:b/>
                <w:w w:val="99"/>
                <w:sz w:val="21"/>
              </w:rPr>
              <w:t>/</w:t>
            </w:r>
          </w:p>
        </w:tc>
        <w:tc>
          <w:tcPr>
            <w:tcW w:w="1216" w:type="dxa"/>
          </w:tcPr>
          <w:p>
            <w:pPr>
              <w:pStyle w:val="14"/>
              <w:spacing w:before="36"/>
              <w:ind w:left="9"/>
              <w:rPr>
                <w:rFonts w:ascii="Times New Roman"/>
                <w:b/>
                <w:sz w:val="21"/>
              </w:rPr>
            </w:pPr>
            <w:r>
              <w:rPr>
                <w:rFonts w:ascii="Times New Roman"/>
                <w:b/>
                <w:w w:val="99"/>
                <w:sz w:val="21"/>
              </w:rPr>
              <w:t>/</w:t>
            </w:r>
          </w:p>
        </w:tc>
        <w:tc>
          <w:tcPr>
            <w:tcW w:w="1216" w:type="dxa"/>
          </w:tcPr>
          <w:p>
            <w:pPr>
              <w:pStyle w:val="14"/>
              <w:spacing w:before="36"/>
              <w:ind w:left="10"/>
              <w:rPr>
                <w:rFonts w:ascii="Times New Roman"/>
                <w:b/>
                <w:sz w:val="21"/>
              </w:rPr>
            </w:pPr>
            <w:r>
              <w:rPr>
                <w:rFonts w:ascii="Times New Roman"/>
                <w:b/>
                <w:w w:val="99"/>
                <w:sz w:val="21"/>
              </w:rPr>
              <w:t>/</w:t>
            </w:r>
          </w:p>
        </w:tc>
        <w:tc>
          <w:tcPr>
            <w:tcW w:w="1216" w:type="dxa"/>
          </w:tcPr>
          <w:p>
            <w:pPr>
              <w:pStyle w:val="14"/>
              <w:spacing w:before="36"/>
              <w:ind w:left="7"/>
              <w:rPr>
                <w:rFonts w:ascii="Times New Roman"/>
                <w:b/>
                <w:sz w:val="21"/>
              </w:rPr>
            </w:pPr>
            <w:r>
              <w:rPr>
                <w:rFonts w:ascii="Times New Roman"/>
                <w:b/>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538" w:type="dxa"/>
          </w:tcPr>
          <w:p>
            <w:pPr>
              <w:pStyle w:val="14"/>
              <w:spacing w:before="36"/>
              <w:ind w:left="192" w:right="181"/>
              <w:rPr>
                <w:rFonts w:ascii="Times New Roman"/>
                <w:sz w:val="13"/>
              </w:rPr>
            </w:pPr>
            <w:r>
              <w:rPr>
                <w:rFonts w:ascii="Times New Roman"/>
                <w:position w:val="-6"/>
                <w:sz w:val="21"/>
              </w:rPr>
              <w:t>Mg</w:t>
            </w:r>
            <w:r>
              <w:rPr>
                <w:rFonts w:ascii="Times New Roman"/>
                <w:sz w:val="13"/>
              </w:rPr>
              <w:t>2+</w:t>
            </w:r>
          </w:p>
        </w:tc>
        <w:tc>
          <w:tcPr>
            <w:tcW w:w="1216" w:type="dxa"/>
          </w:tcPr>
          <w:p>
            <w:pPr>
              <w:pStyle w:val="14"/>
              <w:spacing w:before="35"/>
              <w:ind w:left="10"/>
              <w:rPr>
                <w:rFonts w:ascii="Times New Roman"/>
                <w:b/>
                <w:sz w:val="21"/>
              </w:rPr>
            </w:pPr>
            <w:r>
              <w:rPr>
                <w:rFonts w:ascii="Times New Roman"/>
                <w:b/>
                <w:w w:val="99"/>
                <w:sz w:val="21"/>
              </w:rPr>
              <w:t>/</w:t>
            </w:r>
          </w:p>
        </w:tc>
        <w:tc>
          <w:tcPr>
            <w:tcW w:w="1216" w:type="dxa"/>
          </w:tcPr>
          <w:p>
            <w:pPr>
              <w:pStyle w:val="14"/>
              <w:spacing w:before="35"/>
              <w:ind w:left="7"/>
              <w:rPr>
                <w:rFonts w:ascii="Times New Roman"/>
                <w:b/>
                <w:sz w:val="21"/>
              </w:rPr>
            </w:pPr>
            <w:r>
              <w:rPr>
                <w:rFonts w:ascii="Times New Roman"/>
                <w:b/>
                <w:w w:val="99"/>
                <w:sz w:val="21"/>
              </w:rPr>
              <w:t>/</w:t>
            </w:r>
          </w:p>
        </w:tc>
        <w:tc>
          <w:tcPr>
            <w:tcW w:w="1216" w:type="dxa"/>
          </w:tcPr>
          <w:p>
            <w:pPr>
              <w:pStyle w:val="14"/>
              <w:spacing w:before="35"/>
              <w:ind w:left="9"/>
              <w:rPr>
                <w:rFonts w:ascii="Times New Roman"/>
                <w:b/>
                <w:sz w:val="21"/>
              </w:rPr>
            </w:pPr>
            <w:r>
              <w:rPr>
                <w:rFonts w:ascii="Times New Roman"/>
                <w:b/>
                <w:w w:val="99"/>
                <w:sz w:val="21"/>
              </w:rPr>
              <w:t>/</w:t>
            </w:r>
          </w:p>
        </w:tc>
        <w:tc>
          <w:tcPr>
            <w:tcW w:w="1216" w:type="dxa"/>
          </w:tcPr>
          <w:p>
            <w:pPr>
              <w:pStyle w:val="14"/>
              <w:spacing w:before="35"/>
              <w:ind w:left="10"/>
              <w:rPr>
                <w:rFonts w:ascii="Times New Roman"/>
                <w:b/>
                <w:sz w:val="21"/>
              </w:rPr>
            </w:pPr>
            <w:r>
              <w:rPr>
                <w:rFonts w:ascii="Times New Roman"/>
                <w:b/>
                <w:w w:val="99"/>
                <w:sz w:val="21"/>
              </w:rPr>
              <w:t>/</w:t>
            </w:r>
          </w:p>
        </w:tc>
        <w:tc>
          <w:tcPr>
            <w:tcW w:w="1216" w:type="dxa"/>
          </w:tcPr>
          <w:p>
            <w:pPr>
              <w:pStyle w:val="14"/>
              <w:spacing w:before="35"/>
              <w:ind w:left="7"/>
              <w:rPr>
                <w:rFonts w:ascii="Times New Roman"/>
                <w:b/>
                <w:sz w:val="21"/>
              </w:rPr>
            </w:pPr>
            <w:r>
              <w:rPr>
                <w:rFonts w:ascii="Times New Roman"/>
                <w:b/>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538" w:type="dxa"/>
          </w:tcPr>
          <w:p>
            <w:pPr>
              <w:pStyle w:val="14"/>
              <w:spacing w:before="40" w:line="71" w:lineRule="exact"/>
              <w:ind w:left="554" w:right="184"/>
              <w:rPr>
                <w:rFonts w:ascii="Times New Roman"/>
                <w:sz w:val="13"/>
              </w:rPr>
            </w:pPr>
            <w:r>
              <w:rPr>
                <w:rFonts w:ascii="Times New Roman"/>
                <w:w w:val="105"/>
                <w:sz w:val="13"/>
              </w:rPr>
              <w:t>2-</w:t>
            </w:r>
          </w:p>
          <w:p>
            <w:pPr>
              <w:pStyle w:val="14"/>
              <w:spacing w:line="181" w:lineRule="exact"/>
              <w:ind w:left="83" w:right="184"/>
              <w:rPr>
                <w:rFonts w:ascii="Times New Roman"/>
                <w:sz w:val="21"/>
              </w:rPr>
            </w:pPr>
            <w:r>
              <w:rPr>
                <w:rFonts w:ascii="Times New Roman"/>
                <w:position w:val="2"/>
                <w:sz w:val="21"/>
              </w:rPr>
              <w:t>CO</w:t>
            </w:r>
            <w:r>
              <w:rPr>
                <w:rFonts w:ascii="Times New Roman"/>
                <w:position w:val="2"/>
                <w:sz w:val="21"/>
                <w:vertAlign w:val="subscript"/>
              </w:rPr>
              <w:t>3</w:t>
            </w:r>
          </w:p>
        </w:tc>
        <w:tc>
          <w:tcPr>
            <w:tcW w:w="1216" w:type="dxa"/>
          </w:tcPr>
          <w:p>
            <w:pPr>
              <w:pStyle w:val="14"/>
              <w:spacing w:before="35"/>
              <w:ind w:left="10"/>
              <w:rPr>
                <w:rFonts w:ascii="Times New Roman"/>
                <w:b/>
                <w:sz w:val="21"/>
              </w:rPr>
            </w:pPr>
            <w:r>
              <w:rPr>
                <w:rFonts w:ascii="Times New Roman"/>
                <w:b/>
                <w:w w:val="99"/>
                <w:sz w:val="21"/>
              </w:rPr>
              <w:t>/</w:t>
            </w:r>
          </w:p>
        </w:tc>
        <w:tc>
          <w:tcPr>
            <w:tcW w:w="1216" w:type="dxa"/>
          </w:tcPr>
          <w:p>
            <w:pPr>
              <w:pStyle w:val="14"/>
              <w:spacing w:before="35"/>
              <w:ind w:left="7"/>
              <w:rPr>
                <w:rFonts w:ascii="Times New Roman"/>
                <w:b/>
                <w:sz w:val="21"/>
              </w:rPr>
            </w:pPr>
            <w:r>
              <w:rPr>
                <w:rFonts w:ascii="Times New Roman"/>
                <w:b/>
                <w:w w:val="99"/>
                <w:sz w:val="21"/>
              </w:rPr>
              <w:t>/</w:t>
            </w:r>
          </w:p>
        </w:tc>
        <w:tc>
          <w:tcPr>
            <w:tcW w:w="1216" w:type="dxa"/>
          </w:tcPr>
          <w:p>
            <w:pPr>
              <w:pStyle w:val="14"/>
              <w:spacing w:before="35"/>
              <w:ind w:left="9"/>
              <w:rPr>
                <w:rFonts w:ascii="Times New Roman"/>
                <w:b/>
                <w:sz w:val="21"/>
              </w:rPr>
            </w:pPr>
            <w:r>
              <w:rPr>
                <w:rFonts w:ascii="Times New Roman"/>
                <w:b/>
                <w:w w:val="99"/>
                <w:sz w:val="21"/>
              </w:rPr>
              <w:t>/</w:t>
            </w:r>
          </w:p>
        </w:tc>
        <w:tc>
          <w:tcPr>
            <w:tcW w:w="1216" w:type="dxa"/>
          </w:tcPr>
          <w:p>
            <w:pPr>
              <w:pStyle w:val="14"/>
              <w:spacing w:before="35"/>
              <w:ind w:left="10"/>
              <w:rPr>
                <w:rFonts w:ascii="Times New Roman"/>
                <w:b/>
                <w:sz w:val="21"/>
              </w:rPr>
            </w:pPr>
            <w:r>
              <w:rPr>
                <w:rFonts w:ascii="Times New Roman"/>
                <w:b/>
                <w:w w:val="99"/>
                <w:sz w:val="21"/>
              </w:rPr>
              <w:t>/</w:t>
            </w:r>
          </w:p>
        </w:tc>
        <w:tc>
          <w:tcPr>
            <w:tcW w:w="1216" w:type="dxa"/>
          </w:tcPr>
          <w:p>
            <w:pPr>
              <w:pStyle w:val="14"/>
              <w:spacing w:before="35"/>
              <w:ind w:left="7"/>
              <w:rPr>
                <w:rFonts w:ascii="Times New Roman"/>
                <w:b/>
                <w:sz w:val="21"/>
              </w:rPr>
            </w:pPr>
            <w:r>
              <w:rPr>
                <w:rFonts w:ascii="Times New Roman"/>
                <w:b/>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538" w:type="dxa"/>
          </w:tcPr>
          <w:p>
            <w:pPr>
              <w:pStyle w:val="14"/>
              <w:spacing w:before="31" w:line="260" w:lineRule="exact"/>
              <w:ind w:left="192" w:right="182"/>
              <w:rPr>
                <w:rFonts w:ascii="Times New Roman"/>
                <w:sz w:val="21"/>
              </w:rPr>
            </w:pPr>
            <w:r>
              <w:rPr>
                <w:rFonts w:ascii="Times New Roman"/>
                <w:position w:val="2"/>
                <w:sz w:val="21"/>
              </w:rPr>
              <w:t>HCO</w:t>
            </w:r>
            <w:r>
              <w:rPr>
                <w:rFonts w:ascii="Times New Roman"/>
                <w:position w:val="2"/>
                <w:sz w:val="21"/>
                <w:vertAlign w:val="subscript"/>
              </w:rPr>
              <w:t>3</w:t>
            </w:r>
            <w:r>
              <w:rPr>
                <w:rFonts w:ascii="Times New Roman"/>
                <w:position w:val="2"/>
                <w:sz w:val="21"/>
                <w:vertAlign w:val="superscript"/>
              </w:rPr>
              <w:t>-</w:t>
            </w:r>
          </w:p>
        </w:tc>
        <w:tc>
          <w:tcPr>
            <w:tcW w:w="1216" w:type="dxa"/>
          </w:tcPr>
          <w:p>
            <w:pPr>
              <w:pStyle w:val="14"/>
              <w:spacing w:before="34"/>
              <w:ind w:left="10"/>
              <w:rPr>
                <w:rFonts w:ascii="Times New Roman"/>
                <w:b/>
                <w:sz w:val="21"/>
              </w:rPr>
            </w:pPr>
            <w:r>
              <w:rPr>
                <w:rFonts w:ascii="Times New Roman"/>
                <w:b/>
                <w:w w:val="99"/>
                <w:sz w:val="21"/>
              </w:rPr>
              <w:t>/</w:t>
            </w:r>
          </w:p>
        </w:tc>
        <w:tc>
          <w:tcPr>
            <w:tcW w:w="1216" w:type="dxa"/>
          </w:tcPr>
          <w:p>
            <w:pPr>
              <w:pStyle w:val="14"/>
              <w:spacing w:before="34"/>
              <w:ind w:left="7"/>
              <w:rPr>
                <w:rFonts w:ascii="Times New Roman"/>
                <w:b/>
                <w:sz w:val="21"/>
              </w:rPr>
            </w:pPr>
            <w:r>
              <w:rPr>
                <w:rFonts w:ascii="Times New Roman"/>
                <w:b/>
                <w:w w:val="99"/>
                <w:sz w:val="21"/>
              </w:rPr>
              <w:t>/</w:t>
            </w:r>
          </w:p>
        </w:tc>
        <w:tc>
          <w:tcPr>
            <w:tcW w:w="1216" w:type="dxa"/>
          </w:tcPr>
          <w:p>
            <w:pPr>
              <w:pStyle w:val="14"/>
              <w:spacing w:before="34"/>
              <w:ind w:left="9"/>
              <w:rPr>
                <w:rFonts w:ascii="Times New Roman"/>
                <w:b/>
                <w:sz w:val="21"/>
              </w:rPr>
            </w:pPr>
            <w:r>
              <w:rPr>
                <w:rFonts w:ascii="Times New Roman"/>
                <w:b/>
                <w:w w:val="99"/>
                <w:sz w:val="21"/>
              </w:rPr>
              <w:t>/</w:t>
            </w:r>
          </w:p>
        </w:tc>
        <w:tc>
          <w:tcPr>
            <w:tcW w:w="1216" w:type="dxa"/>
          </w:tcPr>
          <w:p>
            <w:pPr>
              <w:pStyle w:val="14"/>
              <w:spacing w:before="34"/>
              <w:ind w:left="10"/>
              <w:rPr>
                <w:rFonts w:ascii="Times New Roman"/>
                <w:b/>
                <w:sz w:val="21"/>
              </w:rPr>
            </w:pPr>
            <w:r>
              <w:rPr>
                <w:rFonts w:ascii="Times New Roman"/>
                <w:b/>
                <w:w w:val="99"/>
                <w:sz w:val="21"/>
              </w:rPr>
              <w:t>/</w:t>
            </w:r>
          </w:p>
        </w:tc>
        <w:tc>
          <w:tcPr>
            <w:tcW w:w="1216" w:type="dxa"/>
          </w:tcPr>
          <w:p>
            <w:pPr>
              <w:pStyle w:val="14"/>
              <w:spacing w:before="34"/>
              <w:ind w:left="7"/>
              <w:rPr>
                <w:rFonts w:ascii="Times New Roman"/>
                <w:b/>
                <w:sz w:val="21"/>
              </w:rPr>
            </w:pPr>
            <w:r>
              <w:rPr>
                <w:rFonts w:ascii="Times New Roman"/>
                <w:b/>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538" w:type="dxa"/>
          </w:tcPr>
          <w:p>
            <w:pPr>
              <w:pStyle w:val="14"/>
              <w:spacing w:before="34"/>
              <w:ind w:left="192" w:right="184"/>
              <w:rPr>
                <w:rFonts w:ascii="Times New Roman"/>
                <w:sz w:val="13"/>
              </w:rPr>
            </w:pPr>
            <w:r>
              <w:rPr>
                <w:rFonts w:ascii="Times New Roman"/>
                <w:sz w:val="21"/>
              </w:rPr>
              <w:t>Cl</w:t>
            </w:r>
            <w:r>
              <w:rPr>
                <w:rFonts w:ascii="Times New Roman"/>
                <w:position w:val="7"/>
                <w:sz w:val="13"/>
              </w:rPr>
              <w:t>-</w:t>
            </w:r>
          </w:p>
        </w:tc>
        <w:tc>
          <w:tcPr>
            <w:tcW w:w="1216" w:type="dxa"/>
          </w:tcPr>
          <w:p>
            <w:pPr>
              <w:pStyle w:val="14"/>
              <w:spacing w:before="34"/>
              <w:ind w:left="10"/>
              <w:rPr>
                <w:rFonts w:ascii="Times New Roman"/>
                <w:b/>
                <w:sz w:val="21"/>
              </w:rPr>
            </w:pPr>
            <w:r>
              <w:rPr>
                <w:rFonts w:ascii="Times New Roman"/>
                <w:b/>
                <w:w w:val="99"/>
                <w:sz w:val="21"/>
              </w:rPr>
              <w:t>/</w:t>
            </w:r>
          </w:p>
        </w:tc>
        <w:tc>
          <w:tcPr>
            <w:tcW w:w="1216" w:type="dxa"/>
          </w:tcPr>
          <w:p>
            <w:pPr>
              <w:pStyle w:val="14"/>
              <w:spacing w:before="34"/>
              <w:ind w:left="7"/>
              <w:rPr>
                <w:rFonts w:ascii="Times New Roman"/>
                <w:b/>
                <w:sz w:val="21"/>
              </w:rPr>
            </w:pPr>
            <w:r>
              <w:rPr>
                <w:rFonts w:ascii="Times New Roman"/>
                <w:b/>
                <w:w w:val="99"/>
                <w:sz w:val="21"/>
              </w:rPr>
              <w:t>/</w:t>
            </w:r>
          </w:p>
        </w:tc>
        <w:tc>
          <w:tcPr>
            <w:tcW w:w="1216" w:type="dxa"/>
          </w:tcPr>
          <w:p>
            <w:pPr>
              <w:pStyle w:val="14"/>
              <w:spacing w:before="34"/>
              <w:ind w:left="9"/>
              <w:rPr>
                <w:rFonts w:ascii="Times New Roman"/>
                <w:b/>
                <w:sz w:val="21"/>
              </w:rPr>
            </w:pPr>
            <w:r>
              <w:rPr>
                <w:rFonts w:ascii="Times New Roman"/>
                <w:b/>
                <w:w w:val="99"/>
                <w:sz w:val="21"/>
              </w:rPr>
              <w:t>/</w:t>
            </w:r>
          </w:p>
        </w:tc>
        <w:tc>
          <w:tcPr>
            <w:tcW w:w="1216" w:type="dxa"/>
          </w:tcPr>
          <w:p>
            <w:pPr>
              <w:pStyle w:val="14"/>
              <w:spacing w:before="34"/>
              <w:ind w:left="10"/>
              <w:rPr>
                <w:rFonts w:ascii="Times New Roman"/>
                <w:b/>
                <w:sz w:val="21"/>
              </w:rPr>
            </w:pPr>
            <w:r>
              <w:rPr>
                <w:rFonts w:ascii="Times New Roman"/>
                <w:b/>
                <w:w w:val="99"/>
                <w:sz w:val="21"/>
              </w:rPr>
              <w:t>/</w:t>
            </w:r>
          </w:p>
        </w:tc>
        <w:tc>
          <w:tcPr>
            <w:tcW w:w="1216" w:type="dxa"/>
          </w:tcPr>
          <w:p>
            <w:pPr>
              <w:pStyle w:val="14"/>
              <w:spacing w:before="34"/>
              <w:ind w:left="7"/>
              <w:rPr>
                <w:rFonts w:ascii="Times New Roman"/>
                <w:b/>
                <w:sz w:val="21"/>
              </w:rPr>
            </w:pPr>
            <w:r>
              <w:rPr>
                <w:rFonts w:ascii="Times New Roman"/>
                <w:b/>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538" w:type="dxa"/>
          </w:tcPr>
          <w:p>
            <w:pPr>
              <w:pStyle w:val="14"/>
              <w:spacing w:before="41" w:line="71" w:lineRule="exact"/>
              <w:ind w:left="530" w:right="184"/>
              <w:rPr>
                <w:rFonts w:ascii="Times New Roman"/>
                <w:sz w:val="13"/>
              </w:rPr>
            </w:pPr>
            <w:r>
              <w:rPr>
                <w:rFonts w:ascii="Times New Roman"/>
                <w:w w:val="105"/>
                <w:sz w:val="13"/>
              </w:rPr>
              <w:t>2-</w:t>
            </w:r>
          </w:p>
          <w:p>
            <w:pPr>
              <w:pStyle w:val="14"/>
              <w:spacing w:line="180" w:lineRule="exact"/>
              <w:ind w:left="83" w:right="184"/>
              <w:rPr>
                <w:rFonts w:ascii="Times New Roman"/>
                <w:sz w:val="21"/>
              </w:rPr>
            </w:pPr>
            <w:r>
              <w:rPr>
                <w:rFonts w:ascii="Times New Roman"/>
                <w:position w:val="2"/>
                <w:sz w:val="21"/>
              </w:rPr>
              <w:t>SO</w:t>
            </w:r>
            <w:r>
              <w:rPr>
                <w:rFonts w:ascii="Times New Roman"/>
                <w:position w:val="2"/>
                <w:sz w:val="21"/>
                <w:vertAlign w:val="subscript"/>
              </w:rPr>
              <w:t>4</w:t>
            </w:r>
          </w:p>
        </w:tc>
        <w:tc>
          <w:tcPr>
            <w:tcW w:w="1216" w:type="dxa"/>
          </w:tcPr>
          <w:p>
            <w:pPr>
              <w:pStyle w:val="14"/>
              <w:spacing w:before="34"/>
              <w:ind w:left="10"/>
              <w:rPr>
                <w:rFonts w:ascii="Times New Roman"/>
                <w:b/>
                <w:sz w:val="21"/>
              </w:rPr>
            </w:pPr>
            <w:r>
              <w:rPr>
                <w:rFonts w:ascii="Times New Roman"/>
                <w:b/>
                <w:w w:val="99"/>
                <w:sz w:val="21"/>
              </w:rPr>
              <w:t>/</w:t>
            </w:r>
          </w:p>
        </w:tc>
        <w:tc>
          <w:tcPr>
            <w:tcW w:w="1216" w:type="dxa"/>
          </w:tcPr>
          <w:p>
            <w:pPr>
              <w:pStyle w:val="14"/>
              <w:spacing w:before="34"/>
              <w:ind w:left="7"/>
              <w:rPr>
                <w:rFonts w:ascii="Times New Roman"/>
                <w:b/>
                <w:sz w:val="21"/>
              </w:rPr>
            </w:pPr>
            <w:r>
              <w:rPr>
                <w:rFonts w:ascii="Times New Roman"/>
                <w:b/>
                <w:w w:val="99"/>
                <w:sz w:val="21"/>
              </w:rPr>
              <w:t>/</w:t>
            </w:r>
          </w:p>
        </w:tc>
        <w:tc>
          <w:tcPr>
            <w:tcW w:w="1216" w:type="dxa"/>
          </w:tcPr>
          <w:p>
            <w:pPr>
              <w:pStyle w:val="14"/>
              <w:spacing w:before="34"/>
              <w:ind w:left="9"/>
              <w:rPr>
                <w:rFonts w:ascii="Times New Roman"/>
                <w:b/>
                <w:sz w:val="21"/>
              </w:rPr>
            </w:pPr>
            <w:r>
              <w:rPr>
                <w:rFonts w:ascii="Times New Roman"/>
                <w:b/>
                <w:w w:val="99"/>
                <w:sz w:val="21"/>
              </w:rPr>
              <w:t>/</w:t>
            </w:r>
          </w:p>
        </w:tc>
        <w:tc>
          <w:tcPr>
            <w:tcW w:w="1216" w:type="dxa"/>
          </w:tcPr>
          <w:p>
            <w:pPr>
              <w:pStyle w:val="14"/>
              <w:spacing w:before="34"/>
              <w:ind w:left="10"/>
              <w:rPr>
                <w:rFonts w:ascii="Times New Roman"/>
                <w:b/>
                <w:sz w:val="21"/>
              </w:rPr>
            </w:pPr>
            <w:r>
              <w:rPr>
                <w:rFonts w:ascii="Times New Roman"/>
                <w:b/>
                <w:w w:val="99"/>
                <w:sz w:val="21"/>
              </w:rPr>
              <w:t>/</w:t>
            </w:r>
          </w:p>
        </w:tc>
        <w:tc>
          <w:tcPr>
            <w:tcW w:w="1216" w:type="dxa"/>
          </w:tcPr>
          <w:p>
            <w:pPr>
              <w:pStyle w:val="14"/>
              <w:spacing w:before="34"/>
              <w:ind w:left="7"/>
              <w:rPr>
                <w:rFonts w:ascii="Times New Roman"/>
                <w:b/>
                <w:sz w:val="21"/>
              </w:rPr>
            </w:pPr>
            <w:r>
              <w:rPr>
                <w:rFonts w:ascii="Times New Roman"/>
                <w:b/>
                <w:w w:val="99"/>
                <w:sz w:val="21"/>
              </w:rPr>
              <w:t>/</w:t>
            </w:r>
          </w:p>
        </w:tc>
      </w:tr>
    </w:tbl>
    <w:p>
      <w:pPr>
        <w:pStyle w:val="6"/>
        <w:spacing w:before="8"/>
        <w:rPr>
          <w:b/>
          <w:sz w:val="22"/>
        </w:rPr>
      </w:pPr>
    </w:p>
    <w:p>
      <w:pPr>
        <w:pStyle w:val="5"/>
        <w:spacing w:before="74"/>
        <w:ind w:left="551"/>
      </w:pPr>
      <w:r>
        <w:rPr>
          <w:rFonts w:ascii="Times New Roman" w:eastAsia="Times New Roman"/>
        </w:rPr>
        <w:t xml:space="preserve">6.3.2.4 </w:t>
      </w:r>
      <w:r>
        <w:t>地下水现状评价结论</w:t>
      </w:r>
    </w:p>
    <w:p>
      <w:pPr>
        <w:pStyle w:val="6"/>
        <w:spacing w:before="161" w:line="364" w:lineRule="auto"/>
        <w:ind w:left="551" w:right="847" w:firstLine="480"/>
      </w:pPr>
      <w:r>
        <w:rPr>
          <w:spacing w:val="2"/>
        </w:rPr>
        <w:t>根据对黑龙江康和检测有限公司于</w:t>
      </w:r>
      <w:r>
        <w:rPr>
          <w:rFonts w:ascii="Times New Roman" w:hAnsi="Times New Roman" w:eastAsia="Times New Roman"/>
        </w:rPr>
        <w:t xml:space="preserve">2020 </w:t>
      </w:r>
      <w:r>
        <w:rPr>
          <w:spacing w:val="40"/>
        </w:rPr>
        <w:t>年</w:t>
      </w:r>
      <w:r>
        <w:rPr>
          <w:rFonts w:ascii="Times New Roman" w:hAnsi="Times New Roman" w:eastAsia="Times New Roman"/>
        </w:rPr>
        <w:t xml:space="preserve">06 </w:t>
      </w:r>
      <w:r>
        <w:rPr>
          <w:spacing w:val="40"/>
        </w:rPr>
        <w:t>月</w:t>
      </w:r>
      <w:r>
        <w:rPr>
          <w:rFonts w:ascii="Times New Roman" w:hAnsi="Times New Roman" w:eastAsia="Times New Roman"/>
        </w:rPr>
        <w:t xml:space="preserve">15 </w:t>
      </w:r>
      <w:r>
        <w:t>日出具的监测报告进行分析可知，</w:t>
      </w:r>
      <w:r>
        <w:rPr>
          <w:rFonts w:ascii="Times New Roman" w:hAnsi="Times New Roman" w:eastAsia="Times New Roman"/>
        </w:rPr>
        <w:t>1#</w:t>
      </w:r>
      <w:r>
        <w:t>、</w:t>
      </w:r>
      <w:r>
        <w:rPr>
          <w:rFonts w:ascii="Times New Roman" w:hAnsi="Times New Roman" w:eastAsia="Times New Roman"/>
        </w:rPr>
        <w:t>2#</w:t>
      </w:r>
      <w:r>
        <w:t>、</w:t>
      </w:r>
      <w:r>
        <w:rPr>
          <w:rFonts w:ascii="Times New Roman" w:hAnsi="Times New Roman" w:eastAsia="Times New Roman"/>
        </w:rPr>
        <w:t>3#</w:t>
      </w:r>
      <w:r>
        <w:t>、</w:t>
      </w:r>
      <w:r>
        <w:rPr>
          <w:rFonts w:ascii="Times New Roman" w:hAnsi="Times New Roman" w:eastAsia="Times New Roman"/>
        </w:rPr>
        <w:t>5#</w:t>
      </w:r>
      <w:r>
        <w:t>监测点水质良好，监测因子均未超标，</w:t>
      </w:r>
      <w:r>
        <w:rPr>
          <w:rFonts w:ascii="Times New Roman" w:hAnsi="Times New Roman" w:eastAsia="Times New Roman"/>
        </w:rPr>
        <w:t>4#</w:t>
      </w:r>
      <w:r>
        <w:t>监测点总硬度</w:t>
      </w:r>
      <w:r>
        <w:rPr>
          <w:spacing w:val="-11"/>
        </w:rPr>
        <w:t>和锰超标，其他监测因子满足《地下水质量标准》</w:t>
      </w:r>
      <w:r>
        <w:t>（</w:t>
      </w:r>
      <w:r>
        <w:rPr>
          <w:rFonts w:ascii="Times New Roman" w:hAnsi="Times New Roman" w:eastAsia="Times New Roman"/>
        </w:rPr>
        <w:t>GB/T14848-2017</w:t>
      </w:r>
      <w:r>
        <w:t>）</w:t>
      </w:r>
      <w:r>
        <w:rPr>
          <w:spacing w:val="-3"/>
        </w:rPr>
        <w:t>Ⅲ类标准。</w:t>
      </w:r>
      <w:r>
        <w:t>总硬度和锰超标原因由原生地质导致。</w:t>
      </w:r>
    </w:p>
    <w:p>
      <w:pPr>
        <w:pStyle w:val="3"/>
        <w:numPr>
          <w:ilvl w:val="1"/>
          <w:numId w:val="55"/>
        </w:numPr>
        <w:tabs>
          <w:tab w:val="left" w:pos="1001"/>
        </w:tabs>
        <w:spacing w:before="115" w:after="0" w:line="240" w:lineRule="auto"/>
        <w:ind w:left="1000" w:right="0" w:hanging="450"/>
        <w:jc w:val="left"/>
      </w:pPr>
      <w:bookmarkStart w:id="381" w:name="_bookmark34"/>
      <w:bookmarkEnd w:id="381"/>
      <w:bookmarkStart w:id="382" w:name="6.5建设期地下水环境影响分析与防治措施"/>
      <w:bookmarkEnd w:id="382"/>
      <w:bookmarkStart w:id="383" w:name="_bookmark34"/>
      <w:bookmarkEnd w:id="383"/>
      <w:r>
        <w:t>建设期地下水环境影响分析与防治措施</w:t>
      </w:r>
    </w:p>
    <w:p>
      <w:pPr>
        <w:pStyle w:val="6"/>
        <w:spacing w:before="263" w:line="374" w:lineRule="auto"/>
        <w:ind w:left="551" w:right="969" w:firstLine="480"/>
      </w:pPr>
      <w:r>
        <w:t>矿井建设期污水排放主要有井下排水、施工区废水和施工营地生活污水三部分水污染源。</w:t>
      </w:r>
    </w:p>
    <w:p>
      <w:pPr>
        <w:pStyle w:val="6"/>
        <w:spacing w:line="287" w:lineRule="exact"/>
        <w:ind w:left="1031"/>
      </w:pPr>
      <w:r>
        <w:t>本项目矿井建设工期施工人数较多，必然要排放一定量的生活污水，使用场</w:t>
      </w:r>
    </w:p>
    <w:p>
      <w:pPr>
        <w:pStyle w:val="6"/>
        <w:spacing w:before="158"/>
        <w:ind w:left="551"/>
      </w:pPr>
      <w:r>
        <w:t>地设有防渗旱厕，定期清掏，外运堆肥，不外排</w:t>
      </w:r>
    </w:p>
    <w:p>
      <w:pPr>
        <w:pStyle w:val="6"/>
        <w:spacing w:before="161" w:line="364" w:lineRule="auto"/>
        <w:ind w:left="551" w:right="988" w:firstLine="520"/>
        <w:jc w:val="both"/>
      </w:pPr>
      <w:r>
        <w:t xml:space="preserve">施工区废水主要来自于施工设备冲洗水和建材物料冲洗水， 废水中主要含有 </w:t>
      </w:r>
      <w:r>
        <w:rPr>
          <w:rFonts w:ascii="Times New Roman" w:eastAsia="Times New Roman"/>
        </w:rPr>
        <w:t xml:space="preserve">SS </w:t>
      </w:r>
      <w:r>
        <w:t>和石油类污染物。该部分废水收集到临时废水沉淀池处理后循环利用。</w:t>
      </w:r>
    </w:p>
    <w:p>
      <w:pPr>
        <w:pStyle w:val="6"/>
        <w:spacing w:before="76" w:line="364" w:lineRule="auto"/>
        <w:ind w:left="551" w:right="973" w:firstLine="600"/>
        <w:jc w:val="both"/>
      </w:pPr>
      <w:r>
        <w:rPr>
          <w:spacing w:val="-5"/>
        </w:rPr>
        <w:t>施工期井下排水可能造成局部地下水位的下降和地下水资源的破坏，影响本</w:t>
      </w:r>
      <w:r>
        <w:rPr>
          <w:spacing w:val="-1"/>
        </w:rPr>
        <w:t>矿井充水因素的地下水主要是风化裂隙和构造裂隙含水层，受地表水及大气降水补给，补给条件较弱，井筒施工过程对地下水的水量影响较小。井下排水主要污</w:t>
      </w:r>
      <w:r>
        <w:rPr>
          <w:spacing w:val="-15"/>
        </w:rPr>
        <w:t xml:space="preserve">染物为 </w:t>
      </w:r>
      <w:r>
        <w:rPr>
          <w:rFonts w:ascii="Times New Roman" w:eastAsia="Times New Roman"/>
          <w:spacing w:val="-16"/>
        </w:rPr>
        <w:t>SS</w:t>
      </w:r>
      <w:r>
        <w:rPr>
          <w:spacing w:val="-8"/>
        </w:rPr>
        <w:t>，抽排至地面设置的临时废水沉淀池，经沉淀处理后再回用于井下施工</w:t>
      </w:r>
      <w:r>
        <w:t>用水和地面设备、物料冲洗水。</w:t>
      </w:r>
    </w:p>
    <w:p>
      <w:pPr>
        <w:pStyle w:val="3"/>
        <w:numPr>
          <w:ilvl w:val="1"/>
          <w:numId w:val="55"/>
        </w:numPr>
        <w:tabs>
          <w:tab w:val="left" w:pos="1001"/>
        </w:tabs>
        <w:spacing w:before="0" w:after="0" w:line="308" w:lineRule="exact"/>
        <w:ind w:left="1000" w:right="0" w:hanging="450"/>
        <w:jc w:val="left"/>
      </w:pPr>
      <w:r>
        <w:t>地下水环境影响分析</w:t>
      </w:r>
    </w:p>
    <w:p>
      <w:pPr>
        <w:pStyle w:val="4"/>
        <w:numPr>
          <w:ilvl w:val="2"/>
          <w:numId w:val="55"/>
        </w:numPr>
        <w:tabs>
          <w:tab w:val="left" w:pos="1181"/>
        </w:tabs>
        <w:spacing w:before="200" w:after="0" w:line="240" w:lineRule="auto"/>
        <w:ind w:left="1180" w:right="0" w:hanging="630"/>
        <w:jc w:val="left"/>
      </w:pPr>
      <w:r>
        <w:t>地下水影响因素及污染途径识别</w:t>
      </w:r>
    </w:p>
    <w:p>
      <w:pPr>
        <w:pStyle w:val="6"/>
        <w:spacing w:before="264"/>
        <w:ind w:left="1031"/>
      </w:pPr>
      <w:r>
        <w:t>根据项目相关资料，运营期水污染主要为工业场地内的生活污水、矿井涌水。</w:t>
      </w:r>
    </w:p>
    <w:p>
      <w:pPr>
        <w:spacing w:after="0"/>
        <w:sectPr>
          <w:pgSz w:w="11910" w:h="16840"/>
          <w:pgMar w:top="1420" w:right="780" w:bottom="1180" w:left="1200" w:header="0" w:footer="997" w:gutter="0"/>
        </w:sectPr>
      </w:pPr>
    </w:p>
    <w:p>
      <w:pPr>
        <w:pStyle w:val="6"/>
        <w:spacing w:before="62" w:line="364" w:lineRule="auto"/>
        <w:ind w:left="551" w:right="967"/>
        <w:jc w:val="both"/>
      </w:pPr>
      <w:r>
        <w:rPr>
          <w:spacing w:val="-5"/>
        </w:rPr>
        <w:t xml:space="preserve">项目矿井正常的涌水量为 </w:t>
      </w:r>
      <w:r>
        <w:rPr>
          <w:rFonts w:ascii="Times New Roman" w:hAnsi="Times New Roman" w:eastAsia="Times New Roman"/>
          <w:spacing w:val="-6"/>
        </w:rPr>
        <w:t>76m</w:t>
      </w:r>
      <w:r>
        <w:rPr>
          <w:spacing w:val="-6"/>
        </w:rPr>
        <w:t>³</w:t>
      </w:r>
      <w:r>
        <w:rPr>
          <w:rFonts w:ascii="Times New Roman" w:hAnsi="Times New Roman" w:eastAsia="Times New Roman"/>
          <w:spacing w:val="-6"/>
        </w:rPr>
        <w:t>/h</w:t>
      </w:r>
      <w:r>
        <w:rPr>
          <w:spacing w:val="-6"/>
        </w:rPr>
        <w:t>，工业场地设矿井水处理站一座，常规处理规模</w:t>
      </w:r>
      <w:r>
        <w:rPr>
          <w:rFonts w:ascii="Times New Roman" w:hAnsi="Times New Roman" w:eastAsia="Times New Roman"/>
          <w:spacing w:val="-3"/>
        </w:rPr>
        <w:t>3720m</w:t>
      </w:r>
      <w:r>
        <w:rPr>
          <w:spacing w:val="-3"/>
        </w:rPr>
        <w:t>³</w:t>
      </w:r>
      <w:r>
        <w:rPr>
          <w:rFonts w:ascii="Times New Roman" w:hAnsi="Times New Roman" w:eastAsia="Times New Roman"/>
          <w:spacing w:val="-3"/>
        </w:rPr>
        <w:t>/d</w:t>
      </w:r>
      <w:r>
        <w:rPr>
          <w:spacing w:val="-2"/>
        </w:rPr>
        <w:t>，经调节</w:t>
      </w:r>
      <w:r>
        <w:rPr>
          <w:rFonts w:ascii="Times New Roman" w:hAnsi="Times New Roman" w:eastAsia="Times New Roman"/>
        </w:rPr>
        <w:t>+</w:t>
      </w:r>
      <w:r>
        <w:t>絮凝</w:t>
      </w:r>
      <w:r>
        <w:rPr>
          <w:rFonts w:ascii="Times New Roman" w:hAnsi="Times New Roman" w:eastAsia="Times New Roman"/>
        </w:rPr>
        <w:t>+</w:t>
      </w:r>
      <w:r>
        <w:t>沉淀</w:t>
      </w:r>
      <w:r>
        <w:rPr>
          <w:rFonts w:ascii="Times New Roman" w:hAnsi="Times New Roman" w:eastAsia="Times New Roman"/>
        </w:rPr>
        <w:t>+</w:t>
      </w:r>
      <w:r>
        <w:t>过滤</w:t>
      </w:r>
      <w:r>
        <w:rPr>
          <w:rFonts w:ascii="Times New Roman" w:hAnsi="Times New Roman" w:eastAsia="Times New Roman"/>
        </w:rPr>
        <w:t>+</w:t>
      </w:r>
      <w:r>
        <w:rPr>
          <w:spacing w:val="-8"/>
        </w:rPr>
        <w:t>消毒处理后，部分回用，部分外排。工业场</w:t>
      </w:r>
      <w:r>
        <w:rPr>
          <w:spacing w:val="-6"/>
        </w:rPr>
        <w:t xml:space="preserve">地生活污水主要来自食堂、浴室、洗衣房以及办公楼等。产生量 </w:t>
      </w:r>
      <w:r>
        <w:rPr>
          <w:rFonts w:ascii="Times New Roman" w:hAnsi="Times New Roman" w:eastAsia="Times New Roman"/>
        </w:rPr>
        <w:t>108.65m</w:t>
      </w:r>
      <w:r>
        <w:t>³</w:t>
      </w:r>
      <w:r>
        <w:rPr>
          <w:rFonts w:ascii="Times New Roman" w:hAnsi="Times New Roman" w:eastAsia="Times New Roman"/>
        </w:rPr>
        <w:t>/d</w:t>
      </w:r>
      <w:r>
        <w:rPr>
          <w:spacing w:val="-8"/>
        </w:rPr>
        <w:t>。生</w:t>
      </w:r>
      <w:r>
        <w:rPr>
          <w:spacing w:val="-6"/>
          <w:position w:val="2"/>
        </w:rPr>
        <w:t xml:space="preserve">活污水主要污染物为 </w:t>
      </w:r>
      <w:r>
        <w:rPr>
          <w:rFonts w:ascii="Times New Roman" w:hAnsi="Times New Roman" w:eastAsia="Times New Roman"/>
          <w:position w:val="2"/>
        </w:rPr>
        <w:t>SS</w:t>
      </w:r>
      <w:r>
        <w:rPr>
          <w:position w:val="2"/>
        </w:rPr>
        <w:t>、</w:t>
      </w:r>
      <w:r>
        <w:rPr>
          <w:rFonts w:ascii="Times New Roman" w:hAnsi="Times New Roman" w:eastAsia="Times New Roman"/>
          <w:position w:val="2"/>
        </w:rPr>
        <w:t>COD</w:t>
      </w:r>
      <w:r>
        <w:rPr>
          <w:position w:val="2"/>
        </w:rPr>
        <w:t>、</w:t>
      </w:r>
      <w:r>
        <w:rPr>
          <w:rFonts w:ascii="Times New Roman" w:hAnsi="Times New Roman" w:eastAsia="Times New Roman"/>
          <w:position w:val="2"/>
        </w:rPr>
        <w:t>BOD</w:t>
      </w:r>
      <w:r>
        <w:rPr>
          <w:rFonts w:ascii="Times New Roman" w:hAnsi="Times New Roman" w:eastAsia="Times New Roman"/>
          <w:position w:val="2"/>
          <w:vertAlign w:val="subscript"/>
        </w:rPr>
        <w:t>5</w:t>
      </w:r>
      <w:r>
        <w:rPr>
          <w:position w:val="2"/>
          <w:vertAlign w:val="baseline"/>
        </w:rPr>
        <w:t>、氨氮。矿井生活污水处理站处理规模为</w:t>
      </w:r>
      <w:r>
        <w:rPr>
          <w:rFonts w:ascii="Times New Roman" w:hAnsi="Times New Roman" w:eastAsia="Times New Roman"/>
          <w:vertAlign w:val="baseline"/>
        </w:rPr>
        <w:t>360m</w:t>
      </w:r>
      <w:r>
        <w:rPr>
          <w:rFonts w:ascii="Times New Roman" w:hAnsi="Times New Roman" w:eastAsia="Times New Roman"/>
          <w:position w:val="8"/>
          <w:sz w:val="15"/>
          <w:vertAlign w:val="baseline"/>
        </w:rPr>
        <w:t>3</w:t>
      </w:r>
      <w:r>
        <w:rPr>
          <w:rFonts w:ascii="Times New Roman" w:hAnsi="Times New Roman" w:eastAsia="Times New Roman"/>
          <w:vertAlign w:val="baseline"/>
        </w:rPr>
        <w:t>/d</w:t>
      </w:r>
      <w:r>
        <w:rPr>
          <w:vertAlign w:val="baseline"/>
        </w:rPr>
        <w:t>，二级生物处理后，回用于生产、工业场地绿化洒水用水等。</w:t>
      </w:r>
    </w:p>
    <w:p>
      <w:pPr>
        <w:pStyle w:val="6"/>
        <w:spacing w:line="306" w:lineRule="exact"/>
        <w:ind w:left="1031"/>
        <w:jc w:val="both"/>
      </w:pPr>
      <w:r>
        <w:t xml:space="preserve">因此，本次地下水环境影响预测主要以生活污水为主，预测因子取 </w:t>
      </w:r>
      <w:r>
        <w:rPr>
          <w:rFonts w:ascii="Times New Roman" w:eastAsia="Times New Roman"/>
        </w:rPr>
        <w:t>COD</w:t>
      </w:r>
      <w:r>
        <w:t>。</w:t>
      </w:r>
    </w:p>
    <w:p>
      <w:pPr>
        <w:pStyle w:val="4"/>
        <w:numPr>
          <w:ilvl w:val="2"/>
          <w:numId w:val="55"/>
        </w:numPr>
        <w:tabs>
          <w:tab w:val="left" w:pos="1181"/>
        </w:tabs>
        <w:spacing w:before="214" w:after="0" w:line="240" w:lineRule="auto"/>
        <w:ind w:left="1180" w:right="0" w:hanging="630"/>
        <w:jc w:val="left"/>
      </w:pPr>
      <w:r>
        <w:t>运营期地下水环境影响预测和分析</w:t>
      </w:r>
    </w:p>
    <w:p>
      <w:pPr>
        <w:pStyle w:val="6"/>
        <w:spacing w:before="212"/>
        <w:ind w:left="1031"/>
      </w:pPr>
      <w:r>
        <w:rPr>
          <w:rFonts w:ascii="Times New Roman" w:eastAsia="Times New Roman"/>
        </w:rPr>
        <w:t>1</w:t>
      </w:r>
      <w:r>
        <w:t>、正常情况</w:t>
      </w:r>
    </w:p>
    <w:p>
      <w:pPr>
        <w:pStyle w:val="6"/>
        <w:spacing w:before="160" w:line="364" w:lineRule="auto"/>
        <w:ind w:left="551" w:right="967" w:firstLine="480"/>
        <w:jc w:val="both"/>
      </w:pPr>
      <w:r>
        <w:t>正常状况指建设项目污废水集、贮及处理建（构）</w:t>
      </w:r>
      <w:r>
        <w:rPr>
          <w:spacing w:val="-2"/>
        </w:rPr>
        <w:t>筑物、装置和设施区域的</w:t>
      </w:r>
      <w:r>
        <w:rPr>
          <w:spacing w:val="-1"/>
        </w:rPr>
        <w:t>防渗措施达到防渗技术要求。矿井水本身水质较好，运行期矿井水受采煤产生的煤屑污染，受污染后的矿井涌水首先汇集到井底水仓然后通过主排水系统进入矿井水处理站处理。矿井水处理站为防水钢筋混凝土结构，正常状况下，矿井水处理站的防渗措施达到防渗技术要求，对地下水的影响较小。生活污水主要污染物</w:t>
      </w:r>
      <w:r>
        <w:rPr>
          <w:spacing w:val="-30"/>
          <w:position w:val="2"/>
        </w:rPr>
        <w:t xml:space="preserve">为 </w:t>
      </w:r>
      <w:r>
        <w:rPr>
          <w:rFonts w:ascii="Times New Roman" w:eastAsia="Times New Roman"/>
          <w:position w:val="2"/>
        </w:rPr>
        <w:t>COD</w:t>
      </w:r>
      <w:r>
        <w:rPr>
          <w:spacing w:val="-27"/>
          <w:position w:val="2"/>
        </w:rPr>
        <w:t>、</w:t>
      </w:r>
      <w:r>
        <w:rPr>
          <w:rFonts w:ascii="Times New Roman" w:eastAsia="Times New Roman"/>
          <w:position w:val="2"/>
        </w:rPr>
        <w:t>NH</w:t>
      </w:r>
      <w:r>
        <w:rPr>
          <w:rFonts w:ascii="Times New Roman" w:eastAsia="Times New Roman"/>
          <w:position w:val="2"/>
          <w:vertAlign w:val="subscript"/>
        </w:rPr>
        <w:t>3</w:t>
      </w:r>
      <w:r>
        <w:rPr>
          <w:rFonts w:ascii="Times New Roman" w:eastAsia="Times New Roman"/>
          <w:position w:val="2"/>
          <w:vertAlign w:val="baseline"/>
        </w:rPr>
        <w:t xml:space="preserve">-N </w:t>
      </w:r>
      <w:r>
        <w:rPr>
          <w:spacing w:val="-9"/>
          <w:position w:val="2"/>
          <w:vertAlign w:val="baseline"/>
        </w:rPr>
        <w:t>等，水质较差，生活污水处理站为防水钢筋混凝土结构，正常情</w:t>
      </w:r>
      <w:r>
        <w:rPr>
          <w:vertAlign w:val="baseline"/>
        </w:rPr>
        <w:t>况下，生活污水处理站的防渗措施达到防渗技术要求，对地下水的影响较小。</w:t>
      </w:r>
    </w:p>
    <w:p>
      <w:pPr>
        <w:pStyle w:val="6"/>
        <w:spacing w:line="307" w:lineRule="exact"/>
        <w:ind w:left="1031"/>
      </w:pPr>
      <w:r>
        <w:rPr>
          <w:rFonts w:ascii="Times New Roman" w:eastAsia="Times New Roman"/>
        </w:rPr>
        <w:t>2</w:t>
      </w:r>
      <w:r>
        <w:t>、非正常情况</w:t>
      </w:r>
    </w:p>
    <w:p>
      <w:pPr>
        <w:pStyle w:val="6"/>
        <w:spacing w:before="161" w:line="364" w:lineRule="auto"/>
        <w:ind w:left="551" w:right="973" w:firstLine="480"/>
        <w:jc w:val="both"/>
      </w:pPr>
      <w:r>
        <w:t>非正常状况指污废水集、贮及处理建（构）筑物、装置和设施区域的防渗措施因老化、腐蚀等原因达不到防渗技术要求时的状况。本次环评考虑生活污水处理站非正常状况下对地下水环境影响。</w:t>
      </w:r>
    </w:p>
    <w:p>
      <w:pPr>
        <w:pStyle w:val="6"/>
        <w:spacing w:before="1"/>
        <w:ind w:left="1031"/>
      </w:pPr>
      <w:r>
        <w:t>预测情景</w:t>
      </w:r>
    </w:p>
    <w:p>
      <w:pPr>
        <w:pStyle w:val="6"/>
        <w:spacing w:before="161" w:line="364" w:lineRule="auto"/>
        <w:ind w:left="551" w:right="853" w:firstLine="480"/>
      </w:pPr>
      <w:r>
        <w:t>本次预测对污染物的吸附、挥发、生物化学反应均不予以考虑，对模型中的各项参数均予保守性估计，即假定污染质在地下运移过程中，不与含水层介质发</w:t>
      </w:r>
      <w:r>
        <w:rPr>
          <w:spacing w:val="-13"/>
        </w:rPr>
        <w:t>生作用或反应，计算按保守性计算，估计污染源最大程度上对地下水水质的影响。</w:t>
      </w:r>
      <w:r>
        <w:t>非正常状况下，生活污水处理站和矿井水处理站污废水的渗漏不容易被发现，会</w:t>
      </w:r>
      <w:r>
        <w:rPr>
          <w:spacing w:val="-14"/>
        </w:rPr>
        <w:t>发生持续泄漏，因此污染物的渗漏规律概化为连续恒定排放。根据地下水预测《环境影响评价技术导则 地下水》</w:t>
      </w:r>
      <w:r>
        <w:rPr>
          <w:spacing w:val="-3"/>
        </w:rPr>
        <w:t>（</w:t>
      </w:r>
      <w:r>
        <w:rPr>
          <w:rFonts w:ascii="Times New Roman" w:hAnsi="Times New Roman" w:eastAsia="Times New Roman"/>
          <w:spacing w:val="-3"/>
        </w:rPr>
        <w:t>HJ610-2016</w:t>
      </w:r>
      <w:r>
        <w:rPr>
          <w:spacing w:val="-3"/>
        </w:rPr>
        <w:t>）</w:t>
      </w:r>
      <w:r>
        <w:rPr>
          <w:spacing w:val="-5"/>
        </w:rPr>
        <w:t>要求，根据本项目地下水的污染特性选用</w:t>
      </w:r>
      <w:r>
        <w:rPr>
          <w:rFonts w:ascii="Times New Roman" w:hAnsi="Times New Roman" w:eastAsia="Times New Roman"/>
          <w:spacing w:val="-5"/>
        </w:rPr>
        <w:t>“</w:t>
      </w:r>
      <w:r>
        <w:rPr>
          <w:spacing w:val="-5"/>
        </w:rPr>
        <w:t>一维无限长多孔介质柱体，示踪剂瞬时注入</w:t>
      </w:r>
      <w:r>
        <w:rPr>
          <w:rFonts w:ascii="Times New Roman" w:hAnsi="Times New Roman" w:eastAsia="Times New Roman"/>
          <w:spacing w:val="-5"/>
        </w:rPr>
        <w:t>”</w:t>
      </w:r>
      <w:r>
        <w:rPr>
          <w:spacing w:val="-5"/>
        </w:rPr>
        <w:t>，公式如下。</w:t>
      </w:r>
    </w:p>
    <w:p>
      <w:pPr>
        <w:spacing w:after="0" w:line="364" w:lineRule="auto"/>
        <w:sectPr>
          <w:pgSz w:w="11910" w:h="16840"/>
          <w:pgMar w:top="1440" w:right="780" w:bottom="1180" w:left="1200" w:header="0" w:footer="997" w:gutter="0"/>
        </w:sectPr>
      </w:pPr>
    </w:p>
    <w:p>
      <w:pPr>
        <w:pStyle w:val="6"/>
        <w:spacing w:before="3" w:after="1"/>
        <w:rPr>
          <w:sz w:val="22"/>
        </w:rPr>
      </w:pPr>
    </w:p>
    <w:p>
      <w:pPr>
        <w:pStyle w:val="6"/>
        <w:ind w:left="2900"/>
        <w:rPr>
          <w:sz w:val="20"/>
        </w:rPr>
      </w:pPr>
      <w:r>
        <w:rPr>
          <w:sz w:val="20"/>
        </w:rPr>
        <w:drawing>
          <wp:inline distT="0" distB="0" distL="0" distR="0">
            <wp:extent cx="2501265" cy="643890"/>
            <wp:effectExtent l="0" t="0" r="0" b="0"/>
            <wp:docPr id="6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5.jpeg"/>
                    <pic:cNvPicPr>
                      <a:picLocks noChangeAspect="1"/>
                    </pic:cNvPicPr>
                  </pic:nvPicPr>
                  <pic:blipFill>
                    <a:blip r:embed="rId71" cstate="print"/>
                    <a:stretch>
                      <a:fillRect/>
                    </a:stretch>
                  </pic:blipFill>
                  <pic:spPr>
                    <a:xfrm>
                      <a:off x="0" y="0"/>
                      <a:ext cx="2501352" cy="643890"/>
                    </a:xfrm>
                    <a:prstGeom prst="rect">
                      <a:avLst/>
                    </a:prstGeom>
                  </pic:spPr>
                </pic:pic>
              </a:graphicData>
            </a:graphic>
          </wp:inline>
        </w:drawing>
      </w:r>
    </w:p>
    <w:p>
      <w:pPr>
        <w:pStyle w:val="6"/>
        <w:rPr>
          <w:sz w:val="20"/>
        </w:rPr>
      </w:pPr>
    </w:p>
    <w:p>
      <w:pPr>
        <w:pStyle w:val="6"/>
        <w:spacing w:before="12"/>
        <w:rPr>
          <w:sz w:val="18"/>
        </w:rPr>
      </w:pPr>
    </w:p>
    <w:p>
      <w:pPr>
        <w:pStyle w:val="6"/>
        <w:spacing w:before="77" w:line="388" w:lineRule="auto"/>
        <w:ind w:left="1732" w:right="5452" w:hanging="581"/>
      </w:pPr>
      <w:r>
        <w:t xml:space="preserve">式中 </w:t>
      </w:r>
      <w:r>
        <w:rPr>
          <w:rFonts w:ascii="Times New Roman" w:hAnsi="Times New Roman" w:eastAsia="Times New Roman"/>
        </w:rPr>
        <w:t>x—</w:t>
      </w:r>
      <w:r>
        <w:t>距注入点的距离，</w:t>
      </w:r>
      <w:r>
        <w:rPr>
          <w:rFonts w:ascii="Times New Roman" w:hAnsi="Times New Roman" w:eastAsia="Times New Roman"/>
        </w:rPr>
        <w:t>m</w:t>
      </w:r>
      <w:r>
        <w:t xml:space="preserve">； </w:t>
      </w:r>
      <w:r>
        <w:rPr>
          <w:rFonts w:ascii="Times New Roman" w:hAnsi="Times New Roman" w:eastAsia="Times New Roman"/>
        </w:rPr>
        <w:t>t—</w:t>
      </w:r>
      <w:r>
        <w:t>时间，</w:t>
      </w:r>
      <w:r>
        <w:rPr>
          <w:rFonts w:ascii="Times New Roman" w:hAnsi="Times New Roman" w:eastAsia="Times New Roman"/>
        </w:rPr>
        <w:t>d</w:t>
      </w:r>
      <w:r>
        <w:t>；</w:t>
      </w:r>
    </w:p>
    <w:p>
      <w:pPr>
        <w:pStyle w:val="6"/>
        <w:spacing w:before="2"/>
        <w:ind w:left="1732"/>
      </w:pPr>
      <w:r>
        <w:rPr>
          <w:rFonts w:ascii="Times New Roman" w:hAnsi="Times New Roman" w:eastAsia="Times New Roman"/>
        </w:rPr>
        <w:t xml:space="preserve">C—t </w:t>
      </w:r>
      <w:r>
        <w:t xml:space="preserve">时刻 </w:t>
      </w:r>
      <w:r>
        <w:rPr>
          <w:rFonts w:ascii="Times New Roman" w:hAnsi="Times New Roman" w:eastAsia="Times New Roman"/>
        </w:rPr>
        <w:t xml:space="preserve">x </w:t>
      </w:r>
      <w:r>
        <w:t>处的示踪剂浓度，</w:t>
      </w:r>
      <w:r>
        <w:rPr>
          <w:rFonts w:ascii="Times New Roman" w:hAnsi="Times New Roman" w:eastAsia="Times New Roman"/>
        </w:rPr>
        <w:t>g/L</w:t>
      </w:r>
      <w:r>
        <w:t>；</w:t>
      </w:r>
    </w:p>
    <w:p>
      <w:pPr>
        <w:pStyle w:val="6"/>
        <w:spacing w:before="194" w:line="388" w:lineRule="auto"/>
        <w:ind w:left="1732" w:right="5111"/>
      </w:pPr>
      <w:r>
        <w:rPr>
          <w:rFonts w:ascii="Times New Roman" w:hAnsi="Times New Roman" w:eastAsia="Times New Roman"/>
        </w:rPr>
        <w:t>m—</w:t>
      </w:r>
      <w:r>
        <w:t>注入的示踪剂质量，</w:t>
      </w:r>
      <w:r>
        <w:rPr>
          <w:rFonts w:ascii="Times New Roman" w:hAnsi="Times New Roman" w:eastAsia="Times New Roman"/>
        </w:rPr>
        <w:t>kg</w:t>
      </w:r>
      <w:r>
        <w:t xml:space="preserve">； </w:t>
      </w:r>
      <w:r>
        <w:rPr>
          <w:rFonts w:ascii="Times New Roman" w:hAnsi="Times New Roman" w:eastAsia="Times New Roman"/>
        </w:rPr>
        <w:t>w—</w:t>
      </w:r>
      <w:r>
        <w:t>横截面面积，</w:t>
      </w:r>
      <w:r>
        <w:rPr>
          <w:rFonts w:ascii="Times New Roman" w:hAnsi="Times New Roman" w:eastAsia="Times New Roman"/>
        </w:rPr>
        <w:t>m</w:t>
      </w:r>
      <w:r>
        <w:rPr>
          <w:rFonts w:ascii="Times New Roman" w:hAnsi="Times New Roman" w:eastAsia="Times New Roman"/>
          <w:position w:val="8"/>
          <w:sz w:val="15"/>
        </w:rPr>
        <w:t>2</w:t>
      </w:r>
      <w:r>
        <w:t>；</w:t>
      </w:r>
    </w:p>
    <w:p>
      <w:pPr>
        <w:pStyle w:val="6"/>
        <w:spacing w:before="2"/>
        <w:ind w:left="1732"/>
      </w:pPr>
      <w:r>
        <w:rPr>
          <w:rFonts w:ascii="Times New Roman" w:hAnsi="Times New Roman" w:eastAsia="Times New Roman"/>
        </w:rPr>
        <w:t>u—</w:t>
      </w:r>
      <w:r>
        <w:t>水流速度，</w:t>
      </w:r>
      <w:r>
        <w:rPr>
          <w:rFonts w:ascii="Times New Roman" w:hAnsi="Times New Roman" w:eastAsia="Times New Roman"/>
        </w:rPr>
        <w:t>m/d</w:t>
      </w:r>
      <w:r>
        <w:t>；</w:t>
      </w:r>
    </w:p>
    <w:p>
      <w:pPr>
        <w:pStyle w:val="6"/>
        <w:spacing w:before="191" w:line="386" w:lineRule="auto"/>
        <w:ind w:left="1732" w:right="5313"/>
        <w:jc w:val="both"/>
      </w:pPr>
      <w:r>
        <w:rPr>
          <w:rFonts w:ascii="Times New Roman" w:hAnsi="Times New Roman" w:eastAsia="Times New Roman"/>
          <w:position w:val="2"/>
        </w:rPr>
        <w:t>n</w:t>
      </w:r>
      <w:r>
        <w:rPr>
          <w:rFonts w:ascii="Times New Roman" w:hAnsi="Times New Roman" w:eastAsia="Times New Roman"/>
          <w:position w:val="2"/>
          <w:vertAlign w:val="subscript"/>
        </w:rPr>
        <w:t>e</w:t>
      </w:r>
      <w:r>
        <w:rPr>
          <w:rFonts w:ascii="Times New Roman" w:hAnsi="Times New Roman" w:eastAsia="Times New Roman"/>
          <w:position w:val="2"/>
          <w:vertAlign w:val="baseline"/>
        </w:rPr>
        <w:t>—</w:t>
      </w:r>
      <w:r>
        <w:rPr>
          <w:position w:val="2"/>
          <w:vertAlign w:val="baseline"/>
        </w:rPr>
        <w:t xml:space="preserve">有效孔隙度，无量纲； </w:t>
      </w:r>
      <w:r>
        <w:rPr>
          <w:rFonts w:ascii="Times New Roman" w:hAnsi="Times New Roman" w:eastAsia="Times New Roman"/>
          <w:position w:val="2"/>
          <w:vertAlign w:val="baseline"/>
        </w:rPr>
        <w:t>D</w:t>
      </w:r>
      <w:r>
        <w:rPr>
          <w:rFonts w:ascii="Times New Roman" w:hAnsi="Times New Roman" w:eastAsia="Times New Roman"/>
          <w:position w:val="2"/>
          <w:vertAlign w:val="subscript"/>
        </w:rPr>
        <w:t>L</w:t>
      </w:r>
      <w:r>
        <w:rPr>
          <w:rFonts w:ascii="Times New Roman" w:hAnsi="Times New Roman" w:eastAsia="Times New Roman"/>
          <w:position w:val="2"/>
          <w:vertAlign w:val="baseline"/>
        </w:rPr>
        <w:t>—</w:t>
      </w:r>
      <w:r>
        <w:rPr>
          <w:position w:val="2"/>
          <w:vertAlign w:val="baseline"/>
        </w:rPr>
        <w:t>纵向弥散系数，</w:t>
      </w:r>
      <w:r>
        <w:rPr>
          <w:rFonts w:ascii="Times New Roman" w:hAnsi="Times New Roman" w:eastAsia="Times New Roman"/>
          <w:position w:val="2"/>
          <w:vertAlign w:val="baseline"/>
        </w:rPr>
        <w:t>m</w:t>
      </w:r>
      <w:r>
        <w:rPr>
          <w:rFonts w:ascii="Times New Roman" w:hAnsi="Times New Roman" w:eastAsia="Times New Roman"/>
          <w:position w:val="2"/>
          <w:vertAlign w:val="superscript"/>
        </w:rPr>
        <w:t>2</w:t>
      </w:r>
      <w:r>
        <w:rPr>
          <w:rFonts w:ascii="Times New Roman" w:hAnsi="Times New Roman" w:eastAsia="Times New Roman"/>
          <w:position w:val="2"/>
          <w:vertAlign w:val="baseline"/>
        </w:rPr>
        <w:t>/d</w:t>
      </w:r>
      <w:r>
        <w:rPr>
          <w:position w:val="2"/>
          <w:vertAlign w:val="baseline"/>
        </w:rPr>
        <w:t xml:space="preserve">； </w:t>
      </w:r>
      <w:r>
        <w:rPr>
          <w:rFonts w:ascii="Times New Roman" w:hAnsi="Times New Roman" w:eastAsia="Times New Roman"/>
          <w:vertAlign w:val="baseline"/>
        </w:rPr>
        <w:t>π—</w:t>
      </w:r>
      <w:r>
        <w:rPr>
          <w:vertAlign w:val="baseline"/>
        </w:rPr>
        <w:t>圆周率。</w:t>
      </w:r>
    </w:p>
    <w:p>
      <w:pPr>
        <w:pStyle w:val="6"/>
        <w:spacing w:line="235" w:lineRule="exact"/>
        <w:ind w:left="1031"/>
      </w:pPr>
      <w:r>
        <w:t>本项目潜水层主要由砂、砾砂组成，其中夹薄黏土及亚黏土。渗透系数参照</w:t>
      </w:r>
    </w:p>
    <w:p>
      <w:pPr>
        <w:pStyle w:val="6"/>
        <w:spacing w:before="160" w:line="364" w:lineRule="auto"/>
        <w:ind w:left="551" w:right="967"/>
        <w:jc w:val="both"/>
      </w:pPr>
      <w:r>
        <w:rPr>
          <w:spacing w:val="-2"/>
        </w:rPr>
        <w:t>《环境影响评价技术导则 地下水环境》</w:t>
      </w:r>
      <w:r>
        <w:t>（</w:t>
      </w:r>
      <w:r>
        <w:rPr>
          <w:rFonts w:ascii="Times New Roman" w:hAnsi="Times New Roman" w:eastAsia="Times New Roman"/>
        </w:rPr>
        <w:t>HJ610-2016</w:t>
      </w:r>
      <w:r>
        <w:t>）</w:t>
      </w:r>
      <w:r>
        <w:rPr>
          <w:spacing w:val="-21"/>
        </w:rPr>
        <w:t xml:space="preserve">附录 </w:t>
      </w:r>
      <w:r>
        <w:rPr>
          <w:rFonts w:ascii="Times New Roman" w:hAnsi="Times New Roman" w:eastAsia="Times New Roman"/>
        </w:rPr>
        <w:t xml:space="preserve">B1 </w:t>
      </w:r>
      <w:r>
        <w:rPr>
          <w:spacing w:val="-4"/>
        </w:rPr>
        <w:t>中的亚黏土，取</w:t>
      </w:r>
      <w:r>
        <w:rPr>
          <w:spacing w:val="-16"/>
          <w:position w:val="2"/>
        </w:rPr>
        <w:t xml:space="preserve">值为 </w:t>
      </w:r>
      <w:r>
        <w:rPr>
          <w:rFonts w:ascii="Times New Roman" w:hAnsi="Times New Roman" w:eastAsia="Times New Roman"/>
          <w:position w:val="2"/>
        </w:rPr>
        <w:t>0.25m/d</w:t>
      </w:r>
      <w:r>
        <w:rPr>
          <w:spacing w:val="-5"/>
          <w:position w:val="2"/>
        </w:rPr>
        <w:t xml:space="preserve">，有效孔隙度取经验值 </w:t>
      </w:r>
      <w:r>
        <w:rPr>
          <w:rFonts w:ascii="Times New Roman" w:hAnsi="Times New Roman" w:eastAsia="Times New Roman"/>
          <w:position w:val="2"/>
        </w:rPr>
        <w:t>n</w:t>
      </w:r>
      <w:r>
        <w:rPr>
          <w:rFonts w:ascii="Times New Roman" w:hAnsi="Times New Roman" w:eastAsia="Times New Roman"/>
          <w:position w:val="2"/>
          <w:vertAlign w:val="subscript"/>
        </w:rPr>
        <w:t>e</w:t>
      </w:r>
      <w:r>
        <w:rPr>
          <w:rFonts w:ascii="Times New Roman" w:hAnsi="Times New Roman" w:eastAsia="Times New Roman"/>
          <w:position w:val="2"/>
          <w:vertAlign w:val="baseline"/>
        </w:rPr>
        <w:t>=0.30</w:t>
      </w:r>
      <w:r>
        <w:rPr>
          <w:spacing w:val="-7"/>
          <w:position w:val="2"/>
          <w:vertAlign w:val="baseline"/>
        </w:rPr>
        <w:t xml:space="preserve">，水力坡度取 </w:t>
      </w:r>
      <w:r>
        <w:rPr>
          <w:rFonts w:ascii="Times New Roman" w:hAnsi="Times New Roman" w:eastAsia="Times New Roman"/>
          <w:position w:val="2"/>
          <w:vertAlign w:val="baseline"/>
        </w:rPr>
        <w:t>I=3‰</w:t>
      </w:r>
      <w:r>
        <w:rPr>
          <w:position w:val="2"/>
          <w:vertAlign w:val="baseline"/>
        </w:rPr>
        <w:t>，根据达西定律</w:t>
      </w:r>
      <w:r>
        <w:rPr>
          <w:rFonts w:ascii="Times New Roman" w:hAnsi="Times New Roman" w:eastAsia="Times New Roman"/>
          <w:vertAlign w:val="baseline"/>
        </w:rPr>
        <w:t>u=</w:t>
      </w:r>
      <w:r>
        <w:rPr>
          <w:vertAlign w:val="baseline"/>
        </w:rPr>
        <w:t>渗透系数</w:t>
      </w:r>
      <w:r>
        <w:rPr>
          <w:rFonts w:ascii="Times New Roman" w:hAnsi="Times New Roman" w:eastAsia="Times New Roman"/>
          <w:vertAlign w:val="baseline"/>
        </w:rPr>
        <w:t>×</w:t>
      </w:r>
      <w:r>
        <w:rPr>
          <w:vertAlign w:val="baseline"/>
        </w:rPr>
        <w:t>地下水水力坡度</w:t>
      </w:r>
      <w:r>
        <w:rPr>
          <w:rFonts w:ascii="Times New Roman" w:hAnsi="Times New Roman" w:eastAsia="Times New Roman"/>
          <w:vertAlign w:val="baseline"/>
        </w:rPr>
        <w:t>/</w:t>
      </w:r>
      <w:r>
        <w:rPr>
          <w:spacing w:val="-12"/>
          <w:vertAlign w:val="baseline"/>
        </w:rPr>
        <w:t xml:space="preserve">有效孔隙度，计算可得流速为 </w:t>
      </w:r>
      <w:r>
        <w:rPr>
          <w:rFonts w:ascii="Times New Roman" w:hAnsi="Times New Roman" w:eastAsia="Times New Roman"/>
          <w:spacing w:val="-6"/>
          <w:vertAlign w:val="baseline"/>
        </w:rPr>
        <w:t>0.0025m/d</w:t>
      </w:r>
      <w:r>
        <w:rPr>
          <w:spacing w:val="-2"/>
          <w:vertAlign w:val="baseline"/>
        </w:rPr>
        <w:t>，弥散系数</w:t>
      </w:r>
      <w:r>
        <w:rPr>
          <w:spacing w:val="-11"/>
          <w:vertAlign w:val="baseline"/>
        </w:rPr>
        <w:t xml:space="preserve">根据经验值取 </w:t>
      </w:r>
      <w:r>
        <w:rPr>
          <w:rFonts w:ascii="Times New Roman" w:hAnsi="Times New Roman" w:eastAsia="Times New Roman"/>
          <w:vertAlign w:val="baseline"/>
        </w:rPr>
        <w:t>0.2m</w:t>
      </w:r>
      <w:r>
        <w:rPr>
          <w:rFonts w:ascii="Times New Roman" w:hAnsi="Times New Roman" w:eastAsia="Times New Roman"/>
          <w:position w:val="8"/>
          <w:sz w:val="15"/>
          <w:vertAlign w:val="baseline"/>
        </w:rPr>
        <w:t>2</w:t>
      </w:r>
      <w:r>
        <w:rPr>
          <w:rFonts w:ascii="Times New Roman" w:hAnsi="Times New Roman" w:eastAsia="Times New Roman"/>
          <w:vertAlign w:val="baseline"/>
        </w:rPr>
        <w:t>/d</w:t>
      </w:r>
      <w:r>
        <w:rPr>
          <w:vertAlign w:val="baseline"/>
        </w:rPr>
        <w:t>。</w:t>
      </w:r>
    </w:p>
    <w:p>
      <w:pPr>
        <w:pStyle w:val="5"/>
        <w:tabs>
          <w:tab w:val="left" w:pos="1039"/>
        </w:tabs>
        <w:spacing w:after="3" w:line="227" w:lineRule="exact"/>
        <w:ind w:right="415"/>
        <w:jc w:val="center"/>
      </w:pPr>
      <w:r>
        <w:t>表</w:t>
      </w:r>
      <w:r>
        <w:rPr>
          <w:spacing w:val="-62"/>
        </w:rPr>
        <w:t xml:space="preserve"> </w:t>
      </w:r>
      <w:r>
        <w:rPr>
          <w:rFonts w:ascii="Times New Roman" w:eastAsia="Times New Roman"/>
        </w:rPr>
        <w:t>6.5-4</w:t>
      </w:r>
      <w:r>
        <w:rPr>
          <w:rFonts w:ascii="Times New Roman" w:eastAsia="Times New Roman"/>
        </w:rPr>
        <w:tab/>
      </w:r>
      <w:r>
        <w:t>预测参数</w:t>
      </w:r>
    </w:p>
    <w:tbl>
      <w:tblPr>
        <w:tblStyle w:val="10"/>
        <w:tblW w:w="0" w:type="auto"/>
        <w:tblInd w:w="3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56"/>
        <w:gridCol w:w="48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956" w:type="dxa"/>
          </w:tcPr>
          <w:p>
            <w:pPr>
              <w:pStyle w:val="14"/>
              <w:spacing w:before="63"/>
              <w:ind w:left="1432" w:right="1424"/>
              <w:rPr>
                <w:sz w:val="21"/>
              </w:rPr>
            </w:pPr>
            <w:r>
              <w:rPr>
                <w:sz w:val="21"/>
              </w:rPr>
              <w:t>含水层参数</w:t>
            </w:r>
          </w:p>
        </w:tc>
        <w:tc>
          <w:tcPr>
            <w:tcW w:w="4889" w:type="dxa"/>
          </w:tcPr>
          <w:p>
            <w:pPr>
              <w:pStyle w:val="14"/>
              <w:spacing w:before="63"/>
              <w:ind w:left="1969" w:right="1962"/>
              <w:rPr>
                <w:sz w:val="21"/>
              </w:rPr>
            </w:pPr>
            <w:r>
              <w:rPr>
                <w:sz w:val="21"/>
              </w:rPr>
              <w:t>取值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956" w:type="dxa"/>
          </w:tcPr>
          <w:p>
            <w:pPr>
              <w:pStyle w:val="14"/>
              <w:spacing w:before="64"/>
              <w:ind w:left="1432" w:right="1424"/>
              <w:rPr>
                <w:sz w:val="21"/>
              </w:rPr>
            </w:pPr>
            <w:r>
              <w:rPr>
                <w:sz w:val="21"/>
              </w:rPr>
              <w:t>水流速度</w:t>
            </w:r>
          </w:p>
        </w:tc>
        <w:tc>
          <w:tcPr>
            <w:tcW w:w="4889" w:type="dxa"/>
          </w:tcPr>
          <w:p>
            <w:pPr>
              <w:pStyle w:val="14"/>
              <w:spacing w:before="78"/>
              <w:ind w:left="1971" w:right="1962"/>
              <w:rPr>
                <w:rFonts w:ascii="Times New Roman"/>
                <w:sz w:val="21"/>
              </w:rPr>
            </w:pPr>
            <w:r>
              <w:rPr>
                <w:rFonts w:ascii="Times New Roman"/>
                <w:sz w:val="21"/>
              </w:rPr>
              <w:t>0.0025m/d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956" w:type="dxa"/>
          </w:tcPr>
          <w:p>
            <w:pPr>
              <w:pStyle w:val="14"/>
              <w:spacing w:before="62"/>
              <w:ind w:left="1432" w:right="1424"/>
              <w:rPr>
                <w:sz w:val="21"/>
              </w:rPr>
            </w:pPr>
            <w:r>
              <w:rPr>
                <w:sz w:val="21"/>
              </w:rPr>
              <w:t>弥散系数</w:t>
            </w:r>
          </w:p>
        </w:tc>
        <w:tc>
          <w:tcPr>
            <w:tcW w:w="4889" w:type="dxa"/>
          </w:tcPr>
          <w:p>
            <w:pPr>
              <w:pStyle w:val="14"/>
              <w:spacing w:before="76"/>
              <w:ind w:left="1968" w:right="1962"/>
              <w:rPr>
                <w:rFonts w:ascii="Times New Roman"/>
                <w:sz w:val="21"/>
              </w:rPr>
            </w:pPr>
            <w:r>
              <w:rPr>
                <w:rFonts w:ascii="Times New Roman"/>
                <w:sz w:val="21"/>
              </w:rPr>
              <w:t>0.2m</w:t>
            </w:r>
            <w:r>
              <w:rPr>
                <w:rFonts w:ascii="Times New Roman"/>
                <w:position w:val="7"/>
                <w:sz w:val="13"/>
              </w:rPr>
              <w:t>2</w:t>
            </w:r>
            <w:r>
              <w:rPr>
                <w:rFonts w:ascii="Times New Roman"/>
                <w:sz w:val="21"/>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3956" w:type="dxa"/>
          </w:tcPr>
          <w:p>
            <w:pPr>
              <w:pStyle w:val="14"/>
              <w:spacing w:before="63"/>
              <w:ind w:left="1432" w:right="1424"/>
              <w:rPr>
                <w:sz w:val="21"/>
              </w:rPr>
            </w:pPr>
            <w:r>
              <w:rPr>
                <w:sz w:val="21"/>
              </w:rPr>
              <w:t>有效孔隙度</w:t>
            </w:r>
          </w:p>
        </w:tc>
        <w:tc>
          <w:tcPr>
            <w:tcW w:w="4889" w:type="dxa"/>
          </w:tcPr>
          <w:p>
            <w:pPr>
              <w:pStyle w:val="14"/>
              <w:spacing w:before="77"/>
              <w:ind w:left="1971" w:right="1960"/>
              <w:rPr>
                <w:rFonts w:ascii="Times New Roman"/>
                <w:sz w:val="21"/>
              </w:rPr>
            </w:pPr>
            <w:r>
              <w:rPr>
                <w:rFonts w:ascii="Times New Roman"/>
                <w:sz w:val="21"/>
              </w:rPr>
              <w:t>0.30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956" w:type="dxa"/>
          </w:tcPr>
          <w:p>
            <w:pPr>
              <w:pStyle w:val="14"/>
              <w:spacing w:before="62"/>
              <w:ind w:left="1432" w:right="1424"/>
              <w:rPr>
                <w:sz w:val="21"/>
              </w:rPr>
            </w:pPr>
            <w:r>
              <w:rPr>
                <w:sz w:val="21"/>
              </w:rPr>
              <w:t>横截面面积</w:t>
            </w:r>
          </w:p>
        </w:tc>
        <w:tc>
          <w:tcPr>
            <w:tcW w:w="4889" w:type="dxa"/>
          </w:tcPr>
          <w:p>
            <w:pPr>
              <w:pStyle w:val="14"/>
              <w:spacing w:before="76"/>
              <w:ind w:left="1971" w:right="1962"/>
              <w:rPr>
                <w:rFonts w:ascii="Times New Roman"/>
                <w:sz w:val="13"/>
              </w:rPr>
            </w:pPr>
            <w:r>
              <w:rPr>
                <w:rFonts w:ascii="Times New Roman"/>
                <w:sz w:val="21"/>
              </w:rPr>
              <w:t>0.01m</w:t>
            </w:r>
            <w:r>
              <w:rPr>
                <w:rFonts w:ascii="Times New Roman"/>
                <w:position w:val="7"/>
                <w:sz w:val="13"/>
              </w:rPr>
              <w:t>2</w:t>
            </w:r>
          </w:p>
        </w:tc>
      </w:tr>
    </w:tbl>
    <w:p>
      <w:pPr>
        <w:pStyle w:val="6"/>
        <w:spacing w:before="81"/>
        <w:ind w:right="4900"/>
        <w:jc w:val="center"/>
      </w:pPr>
      <w:r>
        <w:t xml:space="preserve">污染物预测参数见表 </w:t>
      </w:r>
      <w:r>
        <w:rPr>
          <w:rFonts w:ascii="Times New Roman" w:eastAsia="Times New Roman"/>
        </w:rPr>
        <w:t>6.5-5</w:t>
      </w:r>
      <w:r>
        <w:t>。</w:t>
      </w:r>
    </w:p>
    <w:p>
      <w:pPr>
        <w:pStyle w:val="5"/>
        <w:tabs>
          <w:tab w:val="left" w:pos="1039"/>
        </w:tabs>
        <w:spacing w:before="81" w:after="3"/>
        <w:ind w:right="412"/>
        <w:jc w:val="center"/>
      </w:pPr>
      <w:r>
        <w:t>表</w:t>
      </w:r>
      <w:r>
        <w:rPr>
          <w:spacing w:val="-62"/>
        </w:rPr>
        <w:t xml:space="preserve"> </w:t>
      </w:r>
      <w:r>
        <w:rPr>
          <w:rFonts w:ascii="Times New Roman" w:eastAsia="Times New Roman"/>
        </w:rPr>
        <w:t>6.5-5</w:t>
      </w:r>
      <w:r>
        <w:rPr>
          <w:rFonts w:ascii="Times New Roman" w:eastAsia="Times New Roman"/>
        </w:rPr>
        <w:tab/>
      </w:r>
      <w:r>
        <w:t>污染物预测参数</w:t>
      </w:r>
    </w:p>
    <w:tbl>
      <w:tblPr>
        <w:tblStyle w:val="10"/>
        <w:tblW w:w="0" w:type="auto"/>
        <w:tblInd w:w="4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45"/>
        <w:gridCol w:w="1945"/>
        <w:gridCol w:w="2693"/>
        <w:gridCol w:w="19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945" w:type="dxa"/>
          </w:tcPr>
          <w:p>
            <w:pPr>
              <w:pStyle w:val="14"/>
              <w:spacing w:before="175"/>
              <w:ind w:left="303" w:right="295"/>
              <w:rPr>
                <w:sz w:val="21"/>
              </w:rPr>
            </w:pPr>
            <w:r>
              <w:rPr>
                <w:sz w:val="21"/>
              </w:rPr>
              <w:t>污染物</w:t>
            </w:r>
          </w:p>
        </w:tc>
        <w:tc>
          <w:tcPr>
            <w:tcW w:w="1945" w:type="dxa"/>
          </w:tcPr>
          <w:p>
            <w:pPr>
              <w:pStyle w:val="14"/>
              <w:spacing w:before="175"/>
              <w:ind w:left="303" w:right="297"/>
              <w:rPr>
                <w:sz w:val="21"/>
              </w:rPr>
            </w:pPr>
            <w:r>
              <w:rPr>
                <w:sz w:val="21"/>
              </w:rPr>
              <w:t>浓度（</w:t>
            </w:r>
            <w:r>
              <w:rPr>
                <w:rFonts w:ascii="Times New Roman" w:eastAsia="Times New Roman"/>
                <w:sz w:val="21"/>
              </w:rPr>
              <w:t>mg/L</w:t>
            </w:r>
            <w:r>
              <w:rPr>
                <w:sz w:val="21"/>
              </w:rPr>
              <w:t>）</w:t>
            </w:r>
          </w:p>
        </w:tc>
        <w:tc>
          <w:tcPr>
            <w:tcW w:w="2693" w:type="dxa"/>
          </w:tcPr>
          <w:p>
            <w:pPr>
              <w:pStyle w:val="14"/>
              <w:spacing w:before="175"/>
              <w:ind w:left="393" w:right="388"/>
              <w:rPr>
                <w:sz w:val="21"/>
              </w:rPr>
            </w:pPr>
            <w:r>
              <w:rPr>
                <w:sz w:val="21"/>
              </w:rPr>
              <w:t>污水泄漏量（</w:t>
            </w:r>
            <w:r>
              <w:rPr>
                <w:rFonts w:ascii="Times New Roman" w:eastAsia="Times New Roman"/>
                <w:sz w:val="21"/>
              </w:rPr>
              <w:t>m</w:t>
            </w:r>
            <w:r>
              <w:rPr>
                <w:rFonts w:ascii="Times New Roman" w:eastAsia="Times New Roman"/>
                <w:position w:val="7"/>
                <w:sz w:val="13"/>
              </w:rPr>
              <w:t>3</w:t>
            </w:r>
            <w:r>
              <w:rPr>
                <w:rFonts w:ascii="Times New Roman" w:eastAsia="Times New Roman"/>
                <w:sz w:val="21"/>
              </w:rPr>
              <w:t>/d</w:t>
            </w:r>
            <w:r>
              <w:rPr>
                <w:sz w:val="21"/>
              </w:rPr>
              <w:t>）</w:t>
            </w:r>
          </w:p>
        </w:tc>
        <w:tc>
          <w:tcPr>
            <w:tcW w:w="1939" w:type="dxa"/>
          </w:tcPr>
          <w:p>
            <w:pPr>
              <w:pStyle w:val="14"/>
              <w:spacing w:before="19"/>
              <w:ind w:left="108" w:right="101"/>
              <w:rPr>
                <w:sz w:val="21"/>
              </w:rPr>
            </w:pPr>
            <w:r>
              <w:rPr>
                <w:sz w:val="21"/>
              </w:rPr>
              <w:t>注入的示踪剂质量</w:t>
            </w:r>
          </w:p>
          <w:p>
            <w:pPr>
              <w:pStyle w:val="14"/>
              <w:spacing w:before="43"/>
              <w:ind w:left="106" w:right="101"/>
              <w:rPr>
                <w:sz w:val="21"/>
              </w:rPr>
            </w:pPr>
            <w:r>
              <w:rPr>
                <w:sz w:val="21"/>
              </w:rPr>
              <w:t>（</w:t>
            </w:r>
            <w:r>
              <w:rPr>
                <w:rFonts w:ascii="Times New Roman" w:eastAsia="Times New Roman"/>
                <w:sz w:val="21"/>
              </w:rPr>
              <w:t>kg</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1945" w:type="dxa"/>
          </w:tcPr>
          <w:p>
            <w:pPr>
              <w:pStyle w:val="14"/>
              <w:spacing w:before="69"/>
              <w:ind w:left="303" w:right="295"/>
              <w:rPr>
                <w:rFonts w:ascii="Times New Roman"/>
                <w:sz w:val="21"/>
              </w:rPr>
            </w:pPr>
            <w:r>
              <w:rPr>
                <w:rFonts w:ascii="Times New Roman"/>
                <w:sz w:val="21"/>
              </w:rPr>
              <w:t>COD</w:t>
            </w:r>
          </w:p>
        </w:tc>
        <w:tc>
          <w:tcPr>
            <w:tcW w:w="1945" w:type="dxa"/>
          </w:tcPr>
          <w:p>
            <w:pPr>
              <w:pStyle w:val="14"/>
              <w:spacing w:before="69"/>
              <w:ind w:left="303" w:right="293"/>
              <w:rPr>
                <w:rFonts w:ascii="Times New Roman"/>
                <w:sz w:val="21"/>
              </w:rPr>
            </w:pPr>
            <w:r>
              <w:rPr>
                <w:rFonts w:ascii="Times New Roman"/>
                <w:sz w:val="21"/>
              </w:rPr>
              <w:t>300</w:t>
            </w:r>
          </w:p>
        </w:tc>
        <w:tc>
          <w:tcPr>
            <w:tcW w:w="2693" w:type="dxa"/>
          </w:tcPr>
          <w:p>
            <w:pPr>
              <w:pStyle w:val="14"/>
              <w:spacing w:before="69"/>
              <w:ind w:left="9"/>
              <w:rPr>
                <w:rFonts w:ascii="Times New Roman"/>
                <w:sz w:val="21"/>
              </w:rPr>
            </w:pPr>
            <w:r>
              <w:rPr>
                <w:rFonts w:ascii="Times New Roman"/>
                <w:w w:val="99"/>
                <w:sz w:val="21"/>
              </w:rPr>
              <w:t>2</w:t>
            </w:r>
          </w:p>
        </w:tc>
        <w:tc>
          <w:tcPr>
            <w:tcW w:w="1939" w:type="dxa"/>
          </w:tcPr>
          <w:p>
            <w:pPr>
              <w:pStyle w:val="14"/>
              <w:spacing w:before="69"/>
              <w:ind w:left="108" w:right="99"/>
              <w:rPr>
                <w:rFonts w:ascii="Times New Roman"/>
                <w:sz w:val="21"/>
              </w:rPr>
            </w:pPr>
            <w:r>
              <w:rPr>
                <w:rFonts w:ascii="Times New Roman"/>
                <w:sz w:val="21"/>
              </w:rPr>
              <w:t>0.6</w:t>
            </w:r>
          </w:p>
        </w:tc>
      </w:tr>
    </w:tbl>
    <w:p>
      <w:pPr>
        <w:pStyle w:val="6"/>
        <w:spacing w:before="79" w:line="364" w:lineRule="auto"/>
        <w:ind w:left="551" w:right="973" w:firstLine="480"/>
      </w:pPr>
      <w:r>
        <w:t xml:space="preserve">将预测参数代入地下水溶质运移解析模型中，计算污染物在指定浓度持续渗漏 </w:t>
      </w:r>
      <w:r>
        <w:rPr>
          <w:rFonts w:ascii="Times New Roman" w:eastAsia="Times New Roman"/>
        </w:rPr>
        <w:t>100d</w:t>
      </w:r>
      <w:r>
        <w:t>、</w:t>
      </w:r>
      <w:r>
        <w:rPr>
          <w:rFonts w:ascii="Times New Roman" w:eastAsia="Times New Roman"/>
        </w:rPr>
        <w:t xml:space="preserve">1000d </w:t>
      </w:r>
      <w:r>
        <w:t xml:space="preserve">的迁移情况，预测结果见表 </w:t>
      </w:r>
      <w:r>
        <w:rPr>
          <w:rFonts w:ascii="Times New Roman" w:eastAsia="Times New Roman"/>
        </w:rPr>
        <w:t>6.5-6</w:t>
      </w:r>
      <w:r>
        <w:t>。</w:t>
      </w:r>
    </w:p>
    <w:p>
      <w:pPr>
        <w:spacing w:after="0" w:line="364" w:lineRule="auto"/>
        <w:sectPr>
          <w:pgSz w:w="11910" w:h="16840"/>
          <w:pgMar w:top="1580" w:right="780" w:bottom="1180" w:left="1200" w:header="0" w:footer="997" w:gutter="0"/>
        </w:sectPr>
      </w:pPr>
    </w:p>
    <w:p>
      <w:pPr>
        <w:pStyle w:val="5"/>
        <w:tabs>
          <w:tab w:val="left" w:pos="1039"/>
        </w:tabs>
        <w:spacing w:before="63" w:after="3"/>
        <w:ind w:right="410"/>
        <w:jc w:val="center"/>
      </w:pPr>
      <w:r>
        <w:t>表</w:t>
      </w:r>
      <w:r>
        <w:rPr>
          <w:spacing w:val="-62"/>
        </w:rPr>
        <w:t xml:space="preserve"> </w:t>
      </w:r>
      <w:r>
        <w:rPr>
          <w:rFonts w:ascii="Times New Roman" w:eastAsia="Times New Roman"/>
        </w:rPr>
        <w:t>6.5-6</w:t>
      </w:r>
      <w:r>
        <w:rPr>
          <w:rFonts w:ascii="Times New Roman" w:eastAsia="Times New Roman"/>
        </w:rPr>
        <w:tab/>
      </w:r>
      <w:r>
        <w:rPr>
          <w:rFonts w:ascii="Times New Roman" w:eastAsia="Times New Roman"/>
        </w:rPr>
        <w:t xml:space="preserve">COD100d </w:t>
      </w:r>
      <w:r>
        <w:t>和</w:t>
      </w:r>
      <w:r>
        <w:rPr>
          <w:spacing w:val="-59"/>
        </w:rPr>
        <w:t xml:space="preserve"> </w:t>
      </w:r>
      <w:r>
        <w:rPr>
          <w:rFonts w:ascii="Times New Roman" w:eastAsia="Times New Roman"/>
        </w:rPr>
        <w:t>1000d</w:t>
      </w:r>
      <w:r>
        <w:rPr>
          <w:rFonts w:ascii="Times New Roman" w:eastAsia="Times New Roman"/>
          <w:spacing w:val="-2"/>
        </w:rPr>
        <w:t xml:space="preserve"> </w:t>
      </w:r>
      <w:r>
        <w:t>地下水迁移情况</w:t>
      </w:r>
    </w:p>
    <w:tbl>
      <w:tblPr>
        <w:tblStyle w:val="10"/>
        <w:tblW w:w="0" w:type="auto"/>
        <w:tblInd w:w="4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15"/>
        <w:gridCol w:w="2143"/>
        <w:gridCol w:w="2115"/>
        <w:gridCol w:w="21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523" w:type="dxa"/>
            <w:gridSpan w:val="4"/>
          </w:tcPr>
          <w:p>
            <w:pPr>
              <w:pStyle w:val="14"/>
              <w:spacing w:before="77"/>
              <w:ind w:left="4017" w:right="4011"/>
              <w:rPr>
                <w:rFonts w:ascii="Times New Roman"/>
                <w:sz w:val="21"/>
              </w:rPr>
            </w:pPr>
            <w:r>
              <w:rPr>
                <w:rFonts w:ascii="Times New Roman"/>
                <w:sz w:val="21"/>
              </w:rPr>
              <w:t>COD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258" w:type="dxa"/>
            <w:gridSpan w:val="2"/>
          </w:tcPr>
          <w:p>
            <w:pPr>
              <w:pStyle w:val="14"/>
              <w:spacing w:before="64"/>
              <w:ind w:left="1156"/>
              <w:jc w:val="left"/>
              <w:rPr>
                <w:sz w:val="21"/>
              </w:rPr>
            </w:pPr>
            <w:r>
              <w:rPr>
                <w:rFonts w:ascii="Times New Roman" w:eastAsia="Times New Roman"/>
                <w:sz w:val="21"/>
              </w:rPr>
              <w:t xml:space="preserve">100d </w:t>
            </w:r>
            <w:r>
              <w:rPr>
                <w:sz w:val="21"/>
              </w:rPr>
              <w:t>污染物迁移结果</w:t>
            </w:r>
          </w:p>
        </w:tc>
        <w:tc>
          <w:tcPr>
            <w:tcW w:w="4265" w:type="dxa"/>
            <w:gridSpan w:val="2"/>
          </w:tcPr>
          <w:p>
            <w:pPr>
              <w:pStyle w:val="14"/>
              <w:spacing w:before="64"/>
              <w:ind w:left="1108"/>
              <w:jc w:val="left"/>
              <w:rPr>
                <w:sz w:val="21"/>
              </w:rPr>
            </w:pPr>
            <w:r>
              <w:rPr>
                <w:rFonts w:ascii="Times New Roman" w:eastAsia="Times New Roman"/>
                <w:sz w:val="21"/>
              </w:rPr>
              <w:t xml:space="preserve">1000d </w:t>
            </w:r>
            <w:r>
              <w:rPr>
                <w:sz w:val="21"/>
              </w:rPr>
              <w:t>污染物迁移结果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5" w:type="dxa"/>
          </w:tcPr>
          <w:p>
            <w:pPr>
              <w:pStyle w:val="14"/>
              <w:spacing w:before="62"/>
              <w:ind w:left="534" w:right="525"/>
              <w:rPr>
                <w:sz w:val="21"/>
              </w:rPr>
            </w:pPr>
            <w:r>
              <w:rPr>
                <w:sz w:val="21"/>
              </w:rPr>
              <w:t>距离（</w:t>
            </w:r>
            <w:r>
              <w:rPr>
                <w:rFonts w:ascii="Times New Roman" w:eastAsia="Times New Roman"/>
                <w:sz w:val="21"/>
              </w:rPr>
              <w:t>m</w:t>
            </w:r>
            <w:r>
              <w:rPr>
                <w:sz w:val="21"/>
              </w:rPr>
              <w:t>）</w:t>
            </w:r>
          </w:p>
        </w:tc>
        <w:tc>
          <w:tcPr>
            <w:tcW w:w="2143" w:type="dxa"/>
          </w:tcPr>
          <w:p>
            <w:pPr>
              <w:pStyle w:val="14"/>
              <w:spacing w:before="62"/>
              <w:ind w:left="403" w:right="395"/>
              <w:rPr>
                <w:sz w:val="21"/>
              </w:rPr>
            </w:pPr>
            <w:r>
              <w:rPr>
                <w:sz w:val="21"/>
              </w:rPr>
              <w:t>浓度（</w:t>
            </w:r>
            <w:r>
              <w:rPr>
                <w:rFonts w:ascii="Times New Roman" w:eastAsia="Times New Roman"/>
                <w:sz w:val="21"/>
              </w:rPr>
              <w:t>mg/L</w:t>
            </w:r>
            <w:r>
              <w:rPr>
                <w:sz w:val="21"/>
              </w:rPr>
              <w:t>）</w:t>
            </w:r>
          </w:p>
        </w:tc>
        <w:tc>
          <w:tcPr>
            <w:tcW w:w="2115" w:type="dxa"/>
          </w:tcPr>
          <w:p>
            <w:pPr>
              <w:pStyle w:val="14"/>
              <w:spacing w:before="62"/>
              <w:ind w:left="534" w:right="526"/>
              <w:rPr>
                <w:sz w:val="21"/>
              </w:rPr>
            </w:pPr>
            <w:r>
              <w:rPr>
                <w:sz w:val="21"/>
              </w:rPr>
              <w:t>距离（</w:t>
            </w:r>
            <w:r>
              <w:rPr>
                <w:rFonts w:ascii="Times New Roman" w:eastAsia="Times New Roman"/>
                <w:sz w:val="21"/>
              </w:rPr>
              <w:t>m</w:t>
            </w:r>
            <w:r>
              <w:rPr>
                <w:sz w:val="21"/>
              </w:rPr>
              <w:t>）</w:t>
            </w:r>
          </w:p>
        </w:tc>
        <w:tc>
          <w:tcPr>
            <w:tcW w:w="2150" w:type="dxa"/>
          </w:tcPr>
          <w:p>
            <w:pPr>
              <w:pStyle w:val="14"/>
              <w:spacing w:before="62"/>
              <w:ind w:left="196" w:right="188"/>
              <w:rPr>
                <w:sz w:val="21"/>
              </w:rPr>
            </w:pPr>
            <w:r>
              <w:rPr>
                <w:sz w:val="21"/>
              </w:rPr>
              <w:t>浓度（</w:t>
            </w:r>
            <w:r>
              <w:rPr>
                <w:rFonts w:ascii="Times New Roman" w:eastAsia="Times New Roman"/>
                <w:sz w:val="21"/>
              </w:rPr>
              <w:t>mg/L</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115" w:type="dxa"/>
          </w:tcPr>
          <w:p>
            <w:pPr>
              <w:pStyle w:val="14"/>
              <w:spacing w:before="77"/>
              <w:ind w:left="10"/>
              <w:rPr>
                <w:rFonts w:ascii="Times New Roman"/>
                <w:sz w:val="21"/>
              </w:rPr>
            </w:pPr>
            <w:r>
              <w:rPr>
                <w:rFonts w:ascii="Times New Roman"/>
                <w:w w:val="99"/>
                <w:sz w:val="21"/>
              </w:rPr>
              <w:t>0</w:t>
            </w:r>
          </w:p>
        </w:tc>
        <w:tc>
          <w:tcPr>
            <w:tcW w:w="2143" w:type="dxa"/>
          </w:tcPr>
          <w:p>
            <w:pPr>
              <w:pStyle w:val="14"/>
              <w:spacing w:before="77"/>
              <w:ind w:left="403" w:right="394"/>
              <w:rPr>
                <w:rFonts w:ascii="Times New Roman"/>
                <w:sz w:val="21"/>
              </w:rPr>
            </w:pPr>
            <w:r>
              <w:rPr>
                <w:rFonts w:ascii="Times New Roman"/>
                <w:sz w:val="21"/>
              </w:rPr>
              <w:t>1.26E+04</w:t>
            </w:r>
          </w:p>
        </w:tc>
        <w:tc>
          <w:tcPr>
            <w:tcW w:w="2115" w:type="dxa"/>
          </w:tcPr>
          <w:p>
            <w:pPr>
              <w:pStyle w:val="14"/>
              <w:spacing w:before="77"/>
              <w:ind w:left="9"/>
              <w:rPr>
                <w:rFonts w:ascii="Times New Roman"/>
                <w:sz w:val="21"/>
              </w:rPr>
            </w:pPr>
            <w:r>
              <w:rPr>
                <w:rFonts w:ascii="Times New Roman"/>
                <w:w w:val="99"/>
                <w:sz w:val="21"/>
              </w:rPr>
              <w:t>0</w:t>
            </w:r>
          </w:p>
        </w:tc>
        <w:tc>
          <w:tcPr>
            <w:tcW w:w="2150" w:type="dxa"/>
          </w:tcPr>
          <w:p>
            <w:pPr>
              <w:pStyle w:val="14"/>
              <w:spacing w:before="77"/>
              <w:ind w:left="196" w:right="187"/>
              <w:rPr>
                <w:rFonts w:ascii="Times New Roman"/>
                <w:sz w:val="21"/>
              </w:rPr>
            </w:pPr>
            <w:r>
              <w:rPr>
                <w:rFonts w:ascii="Times New Roman"/>
                <w:sz w:val="21"/>
              </w:rPr>
              <w:t>3.96E+03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5" w:type="dxa"/>
          </w:tcPr>
          <w:p>
            <w:pPr>
              <w:pStyle w:val="14"/>
              <w:spacing w:before="76"/>
              <w:ind w:left="534" w:right="524"/>
              <w:rPr>
                <w:rFonts w:ascii="Times New Roman"/>
                <w:sz w:val="21"/>
              </w:rPr>
            </w:pPr>
            <w:r>
              <w:rPr>
                <w:rFonts w:ascii="Times New Roman"/>
                <w:sz w:val="21"/>
              </w:rPr>
              <w:t>10</w:t>
            </w:r>
          </w:p>
        </w:tc>
        <w:tc>
          <w:tcPr>
            <w:tcW w:w="2143" w:type="dxa"/>
          </w:tcPr>
          <w:p>
            <w:pPr>
              <w:pStyle w:val="14"/>
              <w:spacing w:before="78"/>
              <w:ind w:left="403" w:right="394"/>
              <w:rPr>
                <w:rFonts w:ascii="Times New Roman"/>
                <w:sz w:val="21"/>
              </w:rPr>
            </w:pPr>
            <w:r>
              <w:rPr>
                <w:rFonts w:ascii="Times New Roman"/>
                <w:sz w:val="21"/>
              </w:rPr>
              <w:t>3.84E+03</w:t>
            </w:r>
          </w:p>
        </w:tc>
        <w:tc>
          <w:tcPr>
            <w:tcW w:w="2115" w:type="dxa"/>
          </w:tcPr>
          <w:p>
            <w:pPr>
              <w:pStyle w:val="14"/>
              <w:spacing w:before="76"/>
              <w:ind w:left="534" w:right="525"/>
              <w:rPr>
                <w:rFonts w:ascii="Times New Roman"/>
                <w:sz w:val="21"/>
              </w:rPr>
            </w:pPr>
            <w:r>
              <w:rPr>
                <w:rFonts w:ascii="Times New Roman"/>
                <w:sz w:val="21"/>
              </w:rPr>
              <w:t>50</w:t>
            </w:r>
          </w:p>
        </w:tc>
        <w:tc>
          <w:tcPr>
            <w:tcW w:w="2150" w:type="dxa"/>
          </w:tcPr>
          <w:p>
            <w:pPr>
              <w:pStyle w:val="14"/>
              <w:spacing w:before="76"/>
              <w:ind w:left="196" w:right="187"/>
              <w:rPr>
                <w:rFonts w:ascii="Times New Roman"/>
                <w:sz w:val="21"/>
              </w:rPr>
            </w:pPr>
            <w:r>
              <w:rPr>
                <w:rFonts w:ascii="Times New Roman"/>
                <w:sz w:val="21"/>
              </w:rPr>
              <w:t>2.38E+02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5" w:type="dxa"/>
          </w:tcPr>
          <w:p>
            <w:pPr>
              <w:pStyle w:val="14"/>
              <w:spacing w:before="77"/>
              <w:ind w:left="534" w:right="524"/>
              <w:rPr>
                <w:rFonts w:ascii="Times New Roman"/>
                <w:sz w:val="21"/>
              </w:rPr>
            </w:pPr>
            <w:r>
              <w:rPr>
                <w:rFonts w:ascii="Times New Roman"/>
                <w:sz w:val="21"/>
              </w:rPr>
              <w:t>20</w:t>
            </w:r>
          </w:p>
        </w:tc>
        <w:tc>
          <w:tcPr>
            <w:tcW w:w="2143" w:type="dxa"/>
          </w:tcPr>
          <w:p>
            <w:pPr>
              <w:pStyle w:val="14"/>
              <w:spacing w:before="77"/>
              <w:ind w:left="403" w:right="394"/>
              <w:rPr>
                <w:rFonts w:ascii="Times New Roman"/>
                <w:sz w:val="21"/>
              </w:rPr>
            </w:pPr>
            <w:r>
              <w:rPr>
                <w:rFonts w:ascii="Times New Roman"/>
                <w:sz w:val="21"/>
              </w:rPr>
              <w:t>9.62E+01</w:t>
            </w:r>
          </w:p>
        </w:tc>
        <w:tc>
          <w:tcPr>
            <w:tcW w:w="2115" w:type="dxa"/>
          </w:tcPr>
          <w:p>
            <w:pPr>
              <w:pStyle w:val="14"/>
              <w:spacing w:before="77"/>
              <w:ind w:left="534" w:right="525"/>
              <w:rPr>
                <w:rFonts w:ascii="Times New Roman"/>
                <w:sz w:val="21"/>
              </w:rPr>
            </w:pPr>
            <w:r>
              <w:rPr>
                <w:rFonts w:ascii="Times New Roman"/>
                <w:sz w:val="21"/>
              </w:rPr>
              <w:t>100</w:t>
            </w:r>
          </w:p>
        </w:tc>
        <w:tc>
          <w:tcPr>
            <w:tcW w:w="2150" w:type="dxa"/>
          </w:tcPr>
          <w:p>
            <w:pPr>
              <w:pStyle w:val="14"/>
              <w:spacing w:before="77"/>
              <w:ind w:left="196" w:right="187"/>
              <w:rPr>
                <w:rFonts w:ascii="Times New Roman"/>
                <w:sz w:val="21"/>
              </w:rPr>
            </w:pPr>
            <w:r>
              <w:rPr>
                <w:rFonts w:ascii="Times New Roman"/>
                <w:sz w:val="21"/>
              </w:rPr>
              <w:t>2.76E-02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5" w:type="dxa"/>
          </w:tcPr>
          <w:p>
            <w:pPr>
              <w:pStyle w:val="14"/>
              <w:spacing w:before="78"/>
              <w:ind w:left="534" w:right="524"/>
              <w:rPr>
                <w:rFonts w:ascii="Times New Roman"/>
                <w:sz w:val="21"/>
              </w:rPr>
            </w:pPr>
            <w:r>
              <w:rPr>
                <w:rFonts w:ascii="Times New Roman"/>
                <w:sz w:val="21"/>
              </w:rPr>
              <w:t>30</w:t>
            </w:r>
          </w:p>
        </w:tc>
        <w:tc>
          <w:tcPr>
            <w:tcW w:w="2143" w:type="dxa"/>
          </w:tcPr>
          <w:p>
            <w:pPr>
              <w:pStyle w:val="14"/>
              <w:spacing w:before="78"/>
              <w:ind w:left="402" w:right="395"/>
              <w:rPr>
                <w:rFonts w:ascii="Times New Roman"/>
                <w:sz w:val="21"/>
              </w:rPr>
            </w:pPr>
            <w:r>
              <w:rPr>
                <w:rFonts w:ascii="Times New Roman"/>
                <w:sz w:val="21"/>
              </w:rPr>
              <w:t>1.98E-01</w:t>
            </w:r>
          </w:p>
        </w:tc>
        <w:tc>
          <w:tcPr>
            <w:tcW w:w="2115" w:type="dxa"/>
          </w:tcPr>
          <w:p>
            <w:pPr>
              <w:pStyle w:val="14"/>
              <w:spacing w:before="78"/>
              <w:ind w:left="534" w:right="525"/>
              <w:rPr>
                <w:rFonts w:ascii="Times New Roman"/>
                <w:sz w:val="21"/>
              </w:rPr>
            </w:pPr>
            <w:r>
              <w:rPr>
                <w:rFonts w:ascii="Times New Roman"/>
                <w:sz w:val="21"/>
              </w:rPr>
              <w:t>150</w:t>
            </w:r>
          </w:p>
        </w:tc>
        <w:tc>
          <w:tcPr>
            <w:tcW w:w="2150" w:type="dxa"/>
          </w:tcPr>
          <w:p>
            <w:pPr>
              <w:pStyle w:val="14"/>
              <w:spacing w:before="78"/>
              <w:ind w:left="196" w:right="187"/>
              <w:rPr>
                <w:rFonts w:ascii="Times New Roman"/>
                <w:sz w:val="21"/>
              </w:rPr>
            </w:pPr>
            <w:r>
              <w:rPr>
                <w:rFonts w:ascii="Times New Roman"/>
                <w:sz w:val="21"/>
              </w:rPr>
              <w:t>6.17E-09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5" w:type="dxa"/>
          </w:tcPr>
          <w:p>
            <w:pPr>
              <w:pStyle w:val="14"/>
              <w:spacing w:before="76"/>
              <w:ind w:left="534" w:right="524"/>
              <w:rPr>
                <w:rFonts w:ascii="Times New Roman"/>
                <w:sz w:val="21"/>
              </w:rPr>
            </w:pPr>
            <w:r>
              <w:rPr>
                <w:rFonts w:ascii="Times New Roman"/>
                <w:sz w:val="21"/>
              </w:rPr>
              <w:t>40</w:t>
            </w:r>
          </w:p>
        </w:tc>
        <w:tc>
          <w:tcPr>
            <w:tcW w:w="2143" w:type="dxa"/>
          </w:tcPr>
          <w:p>
            <w:pPr>
              <w:pStyle w:val="14"/>
              <w:spacing w:before="79"/>
              <w:ind w:left="402" w:right="395"/>
              <w:rPr>
                <w:rFonts w:ascii="Times New Roman"/>
                <w:sz w:val="21"/>
              </w:rPr>
            </w:pPr>
            <w:r>
              <w:rPr>
                <w:rFonts w:ascii="Times New Roman"/>
                <w:sz w:val="21"/>
              </w:rPr>
              <w:t>3.34E-05</w:t>
            </w:r>
          </w:p>
        </w:tc>
        <w:tc>
          <w:tcPr>
            <w:tcW w:w="2115" w:type="dxa"/>
          </w:tcPr>
          <w:p>
            <w:pPr>
              <w:pStyle w:val="14"/>
              <w:spacing w:before="76"/>
              <w:ind w:left="534" w:right="525"/>
              <w:rPr>
                <w:rFonts w:ascii="Times New Roman"/>
                <w:sz w:val="21"/>
              </w:rPr>
            </w:pPr>
            <w:r>
              <w:rPr>
                <w:rFonts w:ascii="Times New Roman"/>
                <w:sz w:val="21"/>
              </w:rPr>
              <w:t>200</w:t>
            </w:r>
          </w:p>
        </w:tc>
        <w:tc>
          <w:tcPr>
            <w:tcW w:w="2150" w:type="dxa"/>
          </w:tcPr>
          <w:p>
            <w:pPr>
              <w:pStyle w:val="14"/>
              <w:spacing w:before="76"/>
              <w:ind w:left="196" w:right="187"/>
              <w:rPr>
                <w:rFonts w:ascii="Times New Roman"/>
                <w:sz w:val="21"/>
              </w:rPr>
            </w:pPr>
            <w:r>
              <w:rPr>
                <w:rFonts w:ascii="Times New Roman"/>
                <w:sz w:val="21"/>
              </w:rPr>
              <w:t>2.66E-18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115" w:type="dxa"/>
          </w:tcPr>
          <w:p>
            <w:pPr>
              <w:pStyle w:val="14"/>
              <w:spacing w:before="77"/>
              <w:ind w:left="534" w:right="524"/>
              <w:rPr>
                <w:rFonts w:ascii="Times New Roman"/>
                <w:sz w:val="21"/>
              </w:rPr>
            </w:pPr>
            <w:r>
              <w:rPr>
                <w:rFonts w:ascii="Times New Roman"/>
                <w:sz w:val="21"/>
              </w:rPr>
              <w:t>50</w:t>
            </w:r>
          </w:p>
        </w:tc>
        <w:tc>
          <w:tcPr>
            <w:tcW w:w="2143" w:type="dxa"/>
          </w:tcPr>
          <w:p>
            <w:pPr>
              <w:pStyle w:val="14"/>
              <w:spacing w:before="77"/>
              <w:ind w:left="402" w:right="395"/>
              <w:rPr>
                <w:rFonts w:ascii="Times New Roman"/>
                <w:sz w:val="21"/>
              </w:rPr>
            </w:pPr>
            <w:r>
              <w:rPr>
                <w:rFonts w:ascii="Times New Roman"/>
                <w:sz w:val="21"/>
              </w:rPr>
              <w:t>4.62E-10</w:t>
            </w:r>
          </w:p>
        </w:tc>
        <w:tc>
          <w:tcPr>
            <w:tcW w:w="2115" w:type="dxa"/>
          </w:tcPr>
          <w:p>
            <w:pPr>
              <w:pStyle w:val="14"/>
              <w:spacing w:before="77"/>
              <w:ind w:left="534" w:right="525"/>
              <w:rPr>
                <w:rFonts w:ascii="Times New Roman"/>
                <w:sz w:val="21"/>
              </w:rPr>
            </w:pPr>
            <w:r>
              <w:rPr>
                <w:rFonts w:ascii="Times New Roman"/>
                <w:sz w:val="21"/>
              </w:rPr>
              <w:t>250</w:t>
            </w:r>
          </w:p>
        </w:tc>
        <w:tc>
          <w:tcPr>
            <w:tcW w:w="2150" w:type="dxa"/>
          </w:tcPr>
          <w:p>
            <w:pPr>
              <w:pStyle w:val="14"/>
              <w:spacing w:before="77"/>
              <w:ind w:left="196" w:right="187"/>
              <w:rPr>
                <w:rFonts w:ascii="Times New Roman"/>
                <w:sz w:val="21"/>
              </w:rPr>
            </w:pPr>
            <w:r>
              <w:rPr>
                <w:rFonts w:ascii="Times New Roman"/>
                <w:sz w:val="21"/>
              </w:rPr>
              <w:t>2.22E-30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5" w:type="dxa"/>
          </w:tcPr>
          <w:p>
            <w:pPr>
              <w:pStyle w:val="14"/>
              <w:spacing w:before="76"/>
              <w:ind w:left="534" w:right="524"/>
              <w:rPr>
                <w:rFonts w:ascii="Times New Roman"/>
                <w:sz w:val="21"/>
              </w:rPr>
            </w:pPr>
            <w:r>
              <w:rPr>
                <w:rFonts w:ascii="Times New Roman"/>
                <w:sz w:val="21"/>
              </w:rPr>
              <w:t>60</w:t>
            </w:r>
          </w:p>
        </w:tc>
        <w:tc>
          <w:tcPr>
            <w:tcW w:w="2143" w:type="dxa"/>
          </w:tcPr>
          <w:p>
            <w:pPr>
              <w:pStyle w:val="14"/>
              <w:spacing w:before="78"/>
              <w:ind w:left="402" w:right="395"/>
              <w:rPr>
                <w:rFonts w:ascii="Times New Roman"/>
                <w:sz w:val="21"/>
              </w:rPr>
            </w:pPr>
            <w:r>
              <w:rPr>
                <w:rFonts w:ascii="Times New Roman"/>
                <w:sz w:val="21"/>
              </w:rPr>
              <w:t>5.25E-16</w:t>
            </w:r>
          </w:p>
        </w:tc>
        <w:tc>
          <w:tcPr>
            <w:tcW w:w="2115" w:type="dxa"/>
          </w:tcPr>
          <w:p>
            <w:pPr>
              <w:pStyle w:val="14"/>
              <w:spacing w:before="76"/>
              <w:ind w:left="534" w:right="525"/>
              <w:rPr>
                <w:rFonts w:ascii="Times New Roman"/>
                <w:sz w:val="21"/>
              </w:rPr>
            </w:pPr>
            <w:r>
              <w:rPr>
                <w:rFonts w:ascii="Times New Roman"/>
                <w:sz w:val="21"/>
              </w:rPr>
              <w:t>300</w:t>
            </w:r>
          </w:p>
        </w:tc>
        <w:tc>
          <w:tcPr>
            <w:tcW w:w="2150" w:type="dxa"/>
          </w:tcPr>
          <w:p>
            <w:pPr>
              <w:pStyle w:val="14"/>
              <w:spacing w:before="76"/>
              <w:ind w:left="196" w:right="187"/>
              <w:rPr>
                <w:rFonts w:ascii="Times New Roman"/>
                <w:sz w:val="21"/>
              </w:rPr>
            </w:pPr>
            <w:r>
              <w:rPr>
                <w:rFonts w:ascii="Times New Roman"/>
                <w:sz w:val="21"/>
              </w:rPr>
              <w:t>4.20E-45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115" w:type="dxa"/>
          </w:tcPr>
          <w:p>
            <w:pPr>
              <w:pStyle w:val="14"/>
              <w:spacing w:before="77"/>
              <w:ind w:left="534" w:right="524"/>
              <w:rPr>
                <w:rFonts w:ascii="Times New Roman"/>
                <w:sz w:val="21"/>
              </w:rPr>
            </w:pPr>
            <w:r>
              <w:rPr>
                <w:rFonts w:ascii="Times New Roman"/>
                <w:sz w:val="21"/>
              </w:rPr>
              <w:t>70</w:t>
            </w:r>
          </w:p>
        </w:tc>
        <w:tc>
          <w:tcPr>
            <w:tcW w:w="2143" w:type="dxa"/>
          </w:tcPr>
          <w:p>
            <w:pPr>
              <w:pStyle w:val="14"/>
              <w:spacing w:before="77"/>
              <w:ind w:left="402" w:right="395"/>
              <w:rPr>
                <w:rFonts w:ascii="Times New Roman"/>
                <w:sz w:val="21"/>
              </w:rPr>
            </w:pPr>
            <w:r>
              <w:rPr>
                <w:rFonts w:ascii="Times New Roman"/>
                <w:sz w:val="21"/>
              </w:rPr>
              <w:t>4.90E-23</w:t>
            </w:r>
          </w:p>
        </w:tc>
        <w:tc>
          <w:tcPr>
            <w:tcW w:w="2115" w:type="dxa"/>
          </w:tcPr>
          <w:p>
            <w:pPr>
              <w:pStyle w:val="14"/>
              <w:spacing w:before="77"/>
              <w:ind w:left="534" w:right="525"/>
              <w:rPr>
                <w:rFonts w:ascii="Times New Roman"/>
                <w:sz w:val="21"/>
              </w:rPr>
            </w:pPr>
            <w:r>
              <w:rPr>
                <w:rFonts w:ascii="Times New Roman"/>
                <w:sz w:val="21"/>
              </w:rPr>
              <w:t>350</w:t>
            </w:r>
          </w:p>
        </w:tc>
        <w:tc>
          <w:tcPr>
            <w:tcW w:w="2150" w:type="dxa"/>
          </w:tcPr>
          <w:p>
            <w:pPr>
              <w:pStyle w:val="14"/>
              <w:spacing w:before="77"/>
              <w:ind w:left="196" w:right="187"/>
              <w:rPr>
                <w:rFonts w:ascii="Times New Roman"/>
                <w:sz w:val="21"/>
              </w:rPr>
            </w:pPr>
            <w:r>
              <w:rPr>
                <w:rFonts w:ascii="Times New Roman"/>
                <w:sz w:val="21"/>
              </w:rPr>
              <w:t>0.00E+00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5" w:type="dxa"/>
          </w:tcPr>
          <w:p>
            <w:pPr>
              <w:pStyle w:val="14"/>
              <w:spacing w:before="76"/>
              <w:ind w:left="534" w:right="524"/>
              <w:rPr>
                <w:rFonts w:ascii="Times New Roman"/>
                <w:sz w:val="21"/>
              </w:rPr>
            </w:pPr>
            <w:r>
              <w:rPr>
                <w:rFonts w:ascii="Times New Roman"/>
                <w:sz w:val="21"/>
              </w:rPr>
              <w:t>80</w:t>
            </w:r>
          </w:p>
        </w:tc>
        <w:tc>
          <w:tcPr>
            <w:tcW w:w="2143" w:type="dxa"/>
          </w:tcPr>
          <w:p>
            <w:pPr>
              <w:pStyle w:val="14"/>
              <w:spacing w:before="78"/>
              <w:ind w:left="402" w:right="395"/>
              <w:rPr>
                <w:rFonts w:ascii="Times New Roman"/>
                <w:sz w:val="21"/>
              </w:rPr>
            </w:pPr>
            <w:r>
              <w:rPr>
                <w:rFonts w:ascii="Times New Roman"/>
                <w:sz w:val="21"/>
              </w:rPr>
              <w:t>3.75E-31</w:t>
            </w:r>
          </w:p>
        </w:tc>
        <w:tc>
          <w:tcPr>
            <w:tcW w:w="2115" w:type="dxa"/>
          </w:tcPr>
          <w:p>
            <w:pPr>
              <w:pStyle w:val="14"/>
              <w:spacing w:before="76"/>
              <w:ind w:left="534" w:right="525"/>
              <w:rPr>
                <w:rFonts w:ascii="Times New Roman"/>
                <w:sz w:val="21"/>
              </w:rPr>
            </w:pPr>
            <w:r>
              <w:rPr>
                <w:rFonts w:ascii="Times New Roman"/>
                <w:sz w:val="21"/>
              </w:rPr>
              <w:t>400</w:t>
            </w:r>
          </w:p>
        </w:tc>
        <w:tc>
          <w:tcPr>
            <w:tcW w:w="2150" w:type="dxa"/>
          </w:tcPr>
          <w:p>
            <w:pPr>
              <w:pStyle w:val="14"/>
              <w:spacing w:before="76"/>
              <w:ind w:left="196" w:right="187"/>
              <w:rPr>
                <w:rFonts w:ascii="Times New Roman"/>
                <w:sz w:val="21"/>
              </w:rPr>
            </w:pPr>
            <w:r>
              <w:rPr>
                <w:rFonts w:ascii="Times New Roman"/>
                <w:sz w:val="21"/>
              </w:rPr>
              <w:t>0.00E+00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115" w:type="dxa"/>
          </w:tcPr>
          <w:p>
            <w:pPr>
              <w:pStyle w:val="14"/>
              <w:spacing w:before="77"/>
              <w:ind w:left="534" w:right="524"/>
              <w:rPr>
                <w:rFonts w:ascii="Times New Roman"/>
                <w:sz w:val="21"/>
              </w:rPr>
            </w:pPr>
            <w:r>
              <w:rPr>
                <w:rFonts w:ascii="Times New Roman"/>
                <w:sz w:val="21"/>
              </w:rPr>
              <w:t>90</w:t>
            </w:r>
          </w:p>
        </w:tc>
        <w:tc>
          <w:tcPr>
            <w:tcW w:w="2143" w:type="dxa"/>
          </w:tcPr>
          <w:p>
            <w:pPr>
              <w:pStyle w:val="14"/>
              <w:spacing w:before="77"/>
              <w:ind w:left="402" w:right="395"/>
              <w:rPr>
                <w:rFonts w:ascii="Times New Roman"/>
                <w:sz w:val="21"/>
              </w:rPr>
            </w:pPr>
            <w:r>
              <w:rPr>
                <w:rFonts w:ascii="Times New Roman"/>
                <w:sz w:val="21"/>
              </w:rPr>
              <w:t>2.36E-40</w:t>
            </w:r>
          </w:p>
        </w:tc>
        <w:tc>
          <w:tcPr>
            <w:tcW w:w="2115" w:type="dxa"/>
          </w:tcPr>
          <w:p>
            <w:pPr>
              <w:pStyle w:val="14"/>
              <w:spacing w:before="77"/>
              <w:ind w:left="534" w:right="525"/>
              <w:rPr>
                <w:rFonts w:ascii="Times New Roman"/>
                <w:sz w:val="21"/>
              </w:rPr>
            </w:pPr>
            <w:r>
              <w:rPr>
                <w:rFonts w:ascii="Times New Roman"/>
                <w:sz w:val="21"/>
              </w:rPr>
              <w:t>450</w:t>
            </w:r>
          </w:p>
        </w:tc>
        <w:tc>
          <w:tcPr>
            <w:tcW w:w="2150" w:type="dxa"/>
          </w:tcPr>
          <w:p>
            <w:pPr>
              <w:pStyle w:val="14"/>
              <w:spacing w:before="77"/>
              <w:ind w:left="196" w:right="187"/>
              <w:rPr>
                <w:rFonts w:ascii="Times New Roman"/>
                <w:sz w:val="21"/>
              </w:rPr>
            </w:pPr>
            <w:r>
              <w:rPr>
                <w:rFonts w:ascii="Times New Roman"/>
                <w:sz w:val="21"/>
              </w:rPr>
              <w:t>0.00E+00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5" w:type="dxa"/>
          </w:tcPr>
          <w:p>
            <w:pPr>
              <w:pStyle w:val="14"/>
              <w:spacing w:before="78"/>
              <w:ind w:left="534" w:right="524"/>
              <w:rPr>
                <w:rFonts w:ascii="Times New Roman"/>
                <w:sz w:val="21"/>
              </w:rPr>
            </w:pPr>
            <w:r>
              <w:rPr>
                <w:rFonts w:ascii="Times New Roman"/>
                <w:sz w:val="21"/>
              </w:rPr>
              <w:t>100</w:t>
            </w:r>
          </w:p>
        </w:tc>
        <w:tc>
          <w:tcPr>
            <w:tcW w:w="2143" w:type="dxa"/>
          </w:tcPr>
          <w:p>
            <w:pPr>
              <w:pStyle w:val="14"/>
              <w:spacing w:before="78"/>
              <w:ind w:left="403" w:right="394"/>
              <w:rPr>
                <w:rFonts w:ascii="Times New Roman"/>
                <w:sz w:val="21"/>
              </w:rPr>
            </w:pPr>
            <w:r>
              <w:rPr>
                <w:rFonts w:ascii="Times New Roman"/>
                <w:sz w:val="21"/>
              </w:rPr>
              <w:t>0.00E+00</w:t>
            </w:r>
          </w:p>
        </w:tc>
        <w:tc>
          <w:tcPr>
            <w:tcW w:w="2115" w:type="dxa"/>
          </w:tcPr>
          <w:p>
            <w:pPr>
              <w:pStyle w:val="14"/>
              <w:spacing w:before="78"/>
              <w:ind w:left="534" w:right="525"/>
              <w:rPr>
                <w:rFonts w:ascii="Times New Roman"/>
                <w:sz w:val="21"/>
              </w:rPr>
            </w:pPr>
            <w:r>
              <w:rPr>
                <w:rFonts w:ascii="Times New Roman"/>
                <w:sz w:val="21"/>
              </w:rPr>
              <w:t>500</w:t>
            </w:r>
          </w:p>
        </w:tc>
        <w:tc>
          <w:tcPr>
            <w:tcW w:w="2150" w:type="dxa"/>
          </w:tcPr>
          <w:p>
            <w:pPr>
              <w:pStyle w:val="14"/>
              <w:spacing w:before="78"/>
              <w:ind w:left="196" w:right="187"/>
              <w:rPr>
                <w:rFonts w:ascii="Times New Roman"/>
                <w:sz w:val="21"/>
              </w:rPr>
            </w:pPr>
            <w:r>
              <w:rPr>
                <w:rFonts w:ascii="Times New Roman"/>
                <w:sz w:val="21"/>
              </w:rPr>
              <w:t>0.00E+00</w:t>
            </w:r>
          </w:p>
        </w:tc>
      </w:tr>
    </w:tbl>
    <w:p>
      <w:pPr>
        <w:pStyle w:val="6"/>
        <w:spacing w:before="80" w:line="364" w:lineRule="auto"/>
        <w:ind w:left="551" w:right="853" w:firstLine="480"/>
      </w:pPr>
      <w:r>
        <w:rPr>
          <w:spacing w:val="-12"/>
        </w:rPr>
        <w:t xml:space="preserve">由上表可知，在非正常情况下，区域地下水流动缓慢，如污染物渗入地下水， </w:t>
      </w:r>
      <w:r>
        <w:t>污染物随地下水迁移速度较慢，</w:t>
      </w:r>
      <w:r>
        <w:rPr>
          <w:rFonts w:ascii="Times New Roman" w:eastAsia="Times New Roman"/>
        </w:rPr>
        <w:t>100</w:t>
      </w:r>
      <w:r>
        <w:rPr>
          <w:spacing w:val="-2"/>
        </w:rPr>
        <w:t>天时，预测的最大值为</w:t>
      </w:r>
      <w:r>
        <w:rPr>
          <w:rFonts w:ascii="Times New Roman" w:eastAsia="Times New Roman"/>
        </w:rPr>
        <w:t>12615.66mg/l</w:t>
      </w:r>
      <w:r>
        <w:t>，预测超标距离最远为</w:t>
      </w:r>
      <w:r>
        <w:rPr>
          <w:rFonts w:ascii="Times New Roman" w:eastAsia="Times New Roman"/>
        </w:rPr>
        <w:t>26m</w:t>
      </w:r>
      <w:r>
        <w:t>，影响距离最远为</w:t>
      </w:r>
      <w:r>
        <w:rPr>
          <w:rFonts w:ascii="Times New Roman" w:eastAsia="Times New Roman"/>
        </w:rPr>
        <w:t>30m</w:t>
      </w:r>
      <w:r>
        <w:t>；</w:t>
      </w:r>
      <w:r>
        <w:rPr>
          <w:rFonts w:ascii="Times New Roman" w:eastAsia="Times New Roman"/>
        </w:rPr>
        <w:t>1000</w:t>
      </w:r>
      <w:r>
        <w:t>天时，预测的最大值为</w:t>
      </w:r>
      <w:r>
        <w:rPr>
          <w:rFonts w:ascii="Times New Roman" w:eastAsia="Times New Roman"/>
        </w:rPr>
        <w:t>3989.423mg/l</w:t>
      </w:r>
      <w:r>
        <w:t>，预测超标距离最远为</w:t>
      </w:r>
      <w:r>
        <w:rPr>
          <w:rFonts w:ascii="Times New Roman" w:eastAsia="Times New Roman"/>
          <w:spacing w:val="-3"/>
        </w:rPr>
        <w:t>78m</w:t>
      </w:r>
      <w:r>
        <w:rPr>
          <w:spacing w:val="-2"/>
        </w:rPr>
        <w:t>，影响距离最远为</w:t>
      </w:r>
      <w:r>
        <w:rPr>
          <w:rFonts w:ascii="Times New Roman" w:eastAsia="Times New Roman"/>
          <w:spacing w:val="-3"/>
        </w:rPr>
        <w:t>94m</w:t>
      </w:r>
      <w:r>
        <w:rPr>
          <w:spacing w:val="-2"/>
        </w:rPr>
        <w:t>，该范围内无地下水敏感目标，不会对周围地下水井产生影响，故对其地下水环境影响较小。</w:t>
      </w:r>
    </w:p>
    <w:p>
      <w:pPr>
        <w:pStyle w:val="6"/>
        <w:spacing w:before="3"/>
        <w:ind w:left="1031"/>
      </w:pPr>
      <w:r>
        <w:rPr>
          <w:rFonts w:ascii="Times New Roman" w:eastAsia="Times New Roman"/>
        </w:rPr>
        <w:t>3</w:t>
      </w:r>
      <w:r>
        <w:t>、煤矸石转运场对地下水水质的影响</w:t>
      </w:r>
    </w:p>
    <w:p>
      <w:pPr>
        <w:pStyle w:val="13"/>
        <w:numPr>
          <w:ilvl w:val="0"/>
          <w:numId w:val="60"/>
        </w:numPr>
        <w:tabs>
          <w:tab w:val="left" w:pos="1633"/>
        </w:tabs>
        <w:spacing w:before="161" w:after="0" w:line="240" w:lineRule="auto"/>
        <w:ind w:left="1633" w:right="0" w:hanging="602"/>
        <w:jc w:val="left"/>
        <w:rPr>
          <w:sz w:val="24"/>
        </w:rPr>
      </w:pPr>
      <w:r>
        <w:rPr>
          <w:sz w:val="24"/>
        </w:rPr>
        <w:t>煤矸石转运场地质情况</w:t>
      </w:r>
    </w:p>
    <w:p>
      <w:pPr>
        <w:pStyle w:val="6"/>
        <w:spacing w:before="160" w:line="364" w:lineRule="auto"/>
        <w:ind w:left="551" w:right="906" w:firstLine="480"/>
      </w:pPr>
      <w:r>
        <w:t xml:space="preserve">据调查煤矸石转运场地面新生界第四系顶部有 </w:t>
      </w:r>
      <w:r>
        <w:rPr>
          <w:rFonts w:ascii="Times New Roman" w:hAnsi="Times New Roman" w:eastAsia="Times New Roman"/>
        </w:rPr>
        <w:t xml:space="preserve">1.0—8.0 </w:t>
      </w:r>
      <w:r>
        <w:t>米的腐植土和粘土， 在一定程度上对大气降水起着隔水作用，可以防止矸石淋滤液下渗。</w:t>
      </w:r>
    </w:p>
    <w:p>
      <w:pPr>
        <w:pStyle w:val="13"/>
        <w:numPr>
          <w:ilvl w:val="0"/>
          <w:numId w:val="60"/>
        </w:numPr>
        <w:tabs>
          <w:tab w:val="left" w:pos="1633"/>
        </w:tabs>
        <w:spacing w:before="2" w:after="0" w:line="240" w:lineRule="auto"/>
        <w:ind w:left="1633" w:right="0" w:hanging="602"/>
        <w:jc w:val="left"/>
        <w:rPr>
          <w:sz w:val="24"/>
        </w:rPr>
      </w:pPr>
      <w:r>
        <w:rPr>
          <w:sz w:val="24"/>
        </w:rPr>
        <w:t>煤矸石种类检测结果</w:t>
      </w:r>
    </w:p>
    <w:p>
      <w:pPr>
        <w:pStyle w:val="6"/>
        <w:spacing w:before="160"/>
        <w:ind w:left="1151"/>
      </w:pPr>
      <w:r>
        <w:rPr>
          <w:spacing w:val="-16"/>
        </w:rPr>
        <w:t>经检测，本项目煤矸石属于《一般工业固体废物贮存、处置场污染控制标准》</w:t>
      </w:r>
    </w:p>
    <w:p>
      <w:pPr>
        <w:pStyle w:val="6"/>
        <w:spacing w:before="161"/>
        <w:ind w:left="551"/>
      </w:pPr>
      <w:r>
        <w:rPr>
          <w:rFonts w:ascii="Times New Roman" w:hAnsi="Times New Roman" w:eastAsia="Times New Roman"/>
          <w:spacing w:val="-1"/>
        </w:rPr>
        <w:t>(GB18599-2001)</w:t>
      </w:r>
      <w:r>
        <w:rPr>
          <w:spacing w:val="-7"/>
        </w:rPr>
        <w:t>中所定义第Ⅰ类一般固体废物，煤矸石转运场按Ⅰ类贮存场设计。</w:t>
      </w:r>
    </w:p>
    <w:p>
      <w:pPr>
        <w:pStyle w:val="13"/>
        <w:numPr>
          <w:ilvl w:val="0"/>
          <w:numId w:val="60"/>
        </w:numPr>
        <w:tabs>
          <w:tab w:val="left" w:pos="1633"/>
        </w:tabs>
        <w:spacing w:before="160" w:after="0" w:line="240" w:lineRule="auto"/>
        <w:ind w:left="1633" w:right="0" w:hanging="602"/>
        <w:jc w:val="left"/>
        <w:rPr>
          <w:sz w:val="24"/>
        </w:rPr>
      </w:pPr>
      <w:r>
        <w:rPr>
          <w:sz w:val="24"/>
        </w:rPr>
        <w:t>煤矸石转运场对地下水影响</w:t>
      </w:r>
    </w:p>
    <w:p>
      <w:pPr>
        <w:pStyle w:val="6"/>
        <w:spacing w:before="161" w:line="364" w:lineRule="auto"/>
        <w:ind w:left="551" w:right="964" w:firstLine="600"/>
        <w:jc w:val="both"/>
      </w:pPr>
      <w:r>
        <w:rPr>
          <w:spacing w:val="-7"/>
        </w:rPr>
        <w:t>矸石堆场周边修建截排水沟，正常状况下不会产生矸石淋滤水。根据煤矸石浸出液监测结果，矸石淋溶液各特征污染物浓度均较低，各浓度特征污染物浓度</w:t>
      </w:r>
      <w:r>
        <w:rPr>
          <w:spacing w:val="-19"/>
        </w:rPr>
        <w:t xml:space="preserve">均低于 </w:t>
      </w:r>
      <w:r>
        <w:rPr>
          <w:rFonts w:ascii="Times New Roman" w:eastAsia="Times New Roman"/>
        </w:rPr>
        <w:t>GB/T14848-2017</w:t>
      </w:r>
      <w:r>
        <w:t>《地下水质量标准》</w:t>
      </w:r>
      <w:r>
        <w:rPr>
          <w:rFonts w:ascii="Times New Roman" w:eastAsia="Times New Roman"/>
        </w:rPr>
        <w:t xml:space="preserve">III </w:t>
      </w:r>
      <w:r>
        <w:t>类水标准限值，故本次评价不再对临时矸石堆场淋滤液下渗污染进行预测评价。</w:t>
      </w:r>
    </w:p>
    <w:p>
      <w:pPr>
        <w:spacing w:after="0" w:line="364" w:lineRule="auto"/>
        <w:jc w:val="both"/>
        <w:sectPr>
          <w:pgSz w:w="11910" w:h="16840"/>
          <w:pgMar w:top="1360" w:right="780" w:bottom="1180" w:left="1200" w:header="0" w:footer="997" w:gutter="0"/>
        </w:sectPr>
      </w:pPr>
    </w:p>
    <w:p>
      <w:pPr>
        <w:pStyle w:val="4"/>
        <w:spacing w:before="55"/>
        <w:ind w:left="551" w:firstLine="0"/>
      </w:pPr>
      <w:r>
        <w:rPr>
          <w:rFonts w:ascii="Times New Roman" w:eastAsia="Times New Roman"/>
        </w:rPr>
        <w:t xml:space="preserve">6.6.6 </w:t>
      </w:r>
      <w:r>
        <w:t>地下水环境影响分析结论</w:t>
      </w:r>
    </w:p>
    <w:p>
      <w:pPr>
        <w:pStyle w:val="6"/>
        <w:spacing w:before="212" w:line="364" w:lineRule="auto"/>
        <w:ind w:left="551" w:right="853" w:firstLine="480"/>
      </w:pPr>
      <w:r>
        <w:t>建设项目对地下水的污染主要来自污水处理站下渗对地下水造成的污染，本工程污水处理构筑物及污水管道均采取了防渗处理措施，在运行期间，通过加强</w:t>
      </w:r>
      <w:r>
        <w:rPr>
          <w:spacing w:val="-12"/>
        </w:rPr>
        <w:t xml:space="preserve">管理，严防污染物的跑、冒、滴、漏，将污染物渗漏的环境风险事故降到最低限， </w:t>
      </w:r>
      <w:r>
        <w:t>通过预测结果可以看出本工程污染物渗漏对地下水水质影响较小。</w:t>
      </w:r>
    </w:p>
    <w:p>
      <w:pPr>
        <w:pStyle w:val="3"/>
        <w:numPr>
          <w:ilvl w:val="1"/>
          <w:numId w:val="55"/>
        </w:numPr>
        <w:tabs>
          <w:tab w:val="left" w:pos="1001"/>
        </w:tabs>
        <w:spacing w:before="43" w:after="0" w:line="240" w:lineRule="auto"/>
        <w:ind w:left="1000" w:right="0" w:hanging="450"/>
        <w:jc w:val="left"/>
      </w:pPr>
      <w:bookmarkStart w:id="384" w:name="6.7地下水环境保护措施"/>
      <w:bookmarkEnd w:id="384"/>
      <w:bookmarkStart w:id="385" w:name="_bookmark35"/>
      <w:bookmarkEnd w:id="385"/>
      <w:bookmarkStart w:id="386" w:name="_bookmark35"/>
      <w:bookmarkEnd w:id="386"/>
      <w:r>
        <w:t>地下水环境保护措施</w:t>
      </w:r>
    </w:p>
    <w:p>
      <w:pPr>
        <w:pStyle w:val="4"/>
        <w:numPr>
          <w:ilvl w:val="2"/>
          <w:numId w:val="55"/>
        </w:numPr>
        <w:tabs>
          <w:tab w:val="left" w:pos="1181"/>
        </w:tabs>
        <w:spacing w:before="121" w:after="0" w:line="240" w:lineRule="auto"/>
        <w:ind w:left="1180" w:right="0" w:hanging="630"/>
        <w:jc w:val="left"/>
      </w:pPr>
      <w:bookmarkStart w:id="387" w:name="6.7.1源头控制措施"/>
      <w:bookmarkEnd w:id="387"/>
      <w:bookmarkStart w:id="388" w:name="6.7.1源头控制措施"/>
      <w:bookmarkEnd w:id="388"/>
      <w:r>
        <w:t>源头控制措施</w:t>
      </w:r>
    </w:p>
    <w:p>
      <w:pPr>
        <w:pStyle w:val="6"/>
        <w:spacing w:before="185" w:line="364" w:lineRule="auto"/>
        <w:ind w:left="551" w:right="969" w:firstLine="480"/>
      </w:pPr>
      <w:r>
        <w:rPr>
          <w:rFonts w:ascii="Times New Roman" w:eastAsia="Times New Roman"/>
        </w:rPr>
        <w:t>1</w:t>
      </w:r>
      <w:r>
        <w:rPr>
          <w:spacing w:val="-11"/>
        </w:rPr>
        <w:t>、矿井生活污水处理站和矿井水处理站水处理过程中的池、渠及地面要采取</w:t>
      </w:r>
      <w:r>
        <w:t>防渗处理，阻断污染物进入地下水环境途径。</w:t>
      </w:r>
    </w:p>
    <w:p>
      <w:pPr>
        <w:pStyle w:val="6"/>
        <w:spacing w:line="364" w:lineRule="auto"/>
        <w:ind w:left="551" w:right="969" w:firstLine="480"/>
      </w:pPr>
      <w:r>
        <w:rPr>
          <w:rFonts w:ascii="Times New Roman" w:eastAsia="Times New Roman"/>
        </w:rPr>
        <w:t>2</w:t>
      </w:r>
      <w:r>
        <w:rPr>
          <w:spacing w:val="-12"/>
        </w:rPr>
        <w:t>、禁止建设及生产过程中生活垃圾乱堆乱放，生活垃圾统一收集、集中运至</w:t>
      </w:r>
      <w:r>
        <w:t>垃圾处理厂处置。</w:t>
      </w:r>
    </w:p>
    <w:p>
      <w:pPr>
        <w:pStyle w:val="6"/>
        <w:spacing w:line="364" w:lineRule="auto"/>
        <w:ind w:left="551" w:right="968" w:firstLine="480"/>
        <w:jc w:val="both"/>
      </w:pPr>
      <w:r>
        <w:rPr>
          <w:rFonts w:ascii="Times New Roman" w:hAnsi="Times New Roman" w:eastAsia="Times New Roman"/>
        </w:rPr>
        <w:t>3</w:t>
      </w:r>
      <w:r>
        <w:t>、在开采煤层时，需要坚持</w:t>
      </w:r>
      <w:r>
        <w:rPr>
          <w:rFonts w:ascii="Times New Roman" w:hAnsi="Times New Roman" w:eastAsia="Times New Roman"/>
        </w:rPr>
        <w:t>“</w:t>
      </w:r>
      <w:r>
        <w:t>预测预报、有掘必探、先探后掘，先治后采</w:t>
      </w:r>
      <w:r>
        <w:rPr>
          <w:rFonts w:ascii="Times New Roman" w:hAnsi="Times New Roman" w:eastAsia="Times New Roman"/>
        </w:rPr>
        <w:t xml:space="preserve">” </w:t>
      </w:r>
      <w:r>
        <w:t>的原则，避免发生突水、透水事故，既可以保护水资源，又可以保证煤矿安全生产。需严格执行《煤矿安全规程》，防止煤矿开采对奥灰水造成影响。严格执行探水工作，在可能发生突水的区域应采取探防水措施，探测是否有隐伏陷落柱和断裂构造，探明构造情况后进行注浆堵水等工程措施，杜绝矿井突水事件发生。探水钻进要严格按照操作规程进行，报废的钻孔必须及时封孔，切断各含水层间因钻孔形成的水力联系，防止地下水通过钻孔进入井巷，以保护地下水资源。另外应加强开采过程中对断层导水性变化的鉴别以及渗水量的监测。</w:t>
      </w:r>
    </w:p>
    <w:p>
      <w:pPr>
        <w:pStyle w:val="6"/>
        <w:spacing w:line="362" w:lineRule="auto"/>
        <w:ind w:left="551" w:right="969" w:firstLine="480"/>
      </w:pPr>
      <w:r>
        <w:rPr>
          <w:rFonts w:ascii="Times New Roman" w:eastAsia="Times New Roman"/>
        </w:rPr>
        <w:t>5</w:t>
      </w:r>
      <w:r>
        <w:rPr>
          <w:spacing w:val="-12"/>
        </w:rPr>
        <w:t>、矸石场必须建设完备的排水设施并做好防渗处理，确保矸石淋溶液不对区</w:t>
      </w:r>
      <w:r>
        <w:t>域水环境产生明显影响。</w:t>
      </w:r>
    </w:p>
    <w:p>
      <w:pPr>
        <w:pStyle w:val="4"/>
        <w:numPr>
          <w:ilvl w:val="2"/>
          <w:numId w:val="55"/>
        </w:numPr>
        <w:tabs>
          <w:tab w:val="left" w:pos="1181"/>
        </w:tabs>
        <w:spacing w:before="0" w:after="0" w:line="240" w:lineRule="auto"/>
        <w:ind w:left="1180" w:right="0" w:hanging="630"/>
        <w:jc w:val="left"/>
      </w:pPr>
      <w:bookmarkStart w:id="389" w:name="6.7.2地下水水资源损失减缓措施"/>
      <w:bookmarkEnd w:id="389"/>
      <w:bookmarkStart w:id="390" w:name="6.7.2地下水水资源损失减缓措施"/>
      <w:bookmarkEnd w:id="390"/>
      <w:r>
        <w:t>地下水水资源损失减缓措施</w:t>
      </w:r>
    </w:p>
    <w:p>
      <w:pPr>
        <w:pStyle w:val="6"/>
        <w:spacing w:before="184"/>
        <w:ind w:left="1031"/>
      </w:pPr>
      <w:r>
        <w:rPr>
          <w:rFonts w:ascii="Times New Roman" w:eastAsia="Times New Roman"/>
        </w:rPr>
        <w:t>1</w:t>
      </w:r>
      <w:r>
        <w:t>、建立地下水观测网系统</w:t>
      </w:r>
    </w:p>
    <w:p>
      <w:pPr>
        <w:pStyle w:val="6"/>
        <w:spacing w:before="160" w:line="364" w:lineRule="auto"/>
        <w:ind w:left="551" w:right="969" w:firstLine="480"/>
        <w:jc w:val="both"/>
      </w:pPr>
      <w:r>
        <w:t>结合观测区地质水文地质、地表、地下条件，以用最少点控制较大面积为原则，建立地下水动态观测网，以掌握地下水位动态变化规律，有效预测疏干涌水量，指导疏干工作。若实际开发中造成区域地下水水位严重下降，建设单位应及时组织水文地质专家查找原因，针对性地制定工程防治措施和配套补救措施，对可能造成的不良影响的给予经济补偿，并根据建设项目可能诱发的环境水文地质问题制定相应的监测方案。</w:t>
      </w:r>
    </w:p>
    <w:p>
      <w:pPr>
        <w:spacing w:after="0" w:line="364" w:lineRule="auto"/>
        <w:jc w:val="both"/>
        <w:sectPr>
          <w:footerReference r:id="rId22" w:type="default"/>
          <w:pgSz w:w="11910" w:h="16840"/>
          <w:pgMar w:top="1500" w:right="780" w:bottom="1180" w:left="1200" w:header="0" w:footer="997" w:gutter="0"/>
          <w:pgNumType w:start="120"/>
        </w:sectPr>
      </w:pPr>
    </w:p>
    <w:p>
      <w:pPr>
        <w:pStyle w:val="6"/>
        <w:spacing w:before="63"/>
        <w:ind w:left="1031"/>
      </w:pPr>
      <w:r>
        <w:rPr>
          <w:rFonts w:ascii="Times New Roman" w:eastAsia="Times New Roman"/>
        </w:rPr>
        <w:t>2</w:t>
      </w:r>
      <w:r>
        <w:t>、做好雨季或非正常状态下的矿坑防排水工作</w:t>
      </w:r>
    </w:p>
    <w:p>
      <w:pPr>
        <w:pStyle w:val="6"/>
        <w:spacing w:before="160" w:line="364" w:lineRule="auto"/>
        <w:ind w:left="551" w:right="847" w:firstLine="480"/>
      </w:pPr>
      <w:r>
        <w:t>在雨季或非正常状态下，矿井涌水量会再很短时间内突然增大，如果防排水系统不合理或者不通畅，涌水量超过排水能力，会造成淹没煤层，污染煤系地层</w:t>
      </w:r>
      <w:r>
        <w:rPr>
          <w:spacing w:val="-11"/>
        </w:rPr>
        <w:t xml:space="preserve">的地下水水质，甚至会影响煤矿安全生产。因此，为了保证煤矿的正常安全生产， </w:t>
      </w:r>
      <w:r>
        <w:t>矿方应提前建立好相关的地下水疏干计算机控制系统、地下水位监测计算机控制系统、地面防排水、地下水疏干系统，根据需要进行预先疏干。</w:t>
      </w:r>
    </w:p>
    <w:p>
      <w:pPr>
        <w:pStyle w:val="4"/>
        <w:numPr>
          <w:ilvl w:val="2"/>
          <w:numId w:val="55"/>
        </w:numPr>
        <w:tabs>
          <w:tab w:val="left" w:pos="1181"/>
        </w:tabs>
        <w:spacing w:before="0" w:after="0" w:line="358" w:lineRule="exact"/>
        <w:ind w:left="1180" w:right="0" w:hanging="630"/>
        <w:jc w:val="left"/>
      </w:pPr>
      <w:bookmarkStart w:id="391" w:name="6.7.3分区防渗控制措施"/>
      <w:bookmarkEnd w:id="391"/>
      <w:bookmarkStart w:id="392" w:name="6.7.3分区防渗控制措施"/>
      <w:bookmarkEnd w:id="392"/>
      <w:r>
        <w:t>分区防渗控制措施</w:t>
      </w:r>
    </w:p>
    <w:p>
      <w:pPr>
        <w:pStyle w:val="6"/>
        <w:spacing w:before="183" w:line="364" w:lineRule="auto"/>
        <w:ind w:left="551" w:right="969" w:firstLine="480"/>
        <w:jc w:val="both"/>
      </w:pPr>
      <w:r>
        <w:t>将工业场地区划分为重点污染防治区和一般污染防治区，将临时排矸场区域及生活污水处理站、矿井水处理站等区域划分为重点防治区域，对这些区域的地面做防渗处理，防止污染物下渗造成地下水污染。其它区域划分为一般污染防治区域，对这些区域仅做一般的硬化处理。为防止项目对地下水产生污染，场区拟采取以下分区防渗措施：</w:t>
      </w:r>
    </w:p>
    <w:p>
      <w:pPr>
        <w:pStyle w:val="6"/>
        <w:spacing w:line="306" w:lineRule="exact"/>
        <w:ind w:left="1031"/>
      </w:pPr>
      <w:r>
        <w:t>将项目分为重点防渗区、一般防渗区。</w:t>
      </w:r>
    </w:p>
    <w:p>
      <w:pPr>
        <w:pStyle w:val="6"/>
        <w:spacing w:before="161" w:line="362" w:lineRule="auto"/>
        <w:ind w:left="551" w:right="969" w:firstLine="480"/>
      </w:pPr>
      <w:r>
        <w:rPr>
          <w:rFonts w:ascii="Times New Roman" w:hAnsi="Times New Roman" w:eastAsia="Times New Roman"/>
        </w:rPr>
        <w:t>1</w:t>
      </w:r>
      <w:r>
        <w:rPr>
          <w:spacing w:val="-12"/>
        </w:rPr>
        <w:t>、重点防渗区为工业广场、矸石堆场、生活区污水处理站及化粪池、矿井水</w:t>
      </w:r>
      <w:r>
        <w:rPr>
          <w:spacing w:val="-4"/>
        </w:rPr>
        <w:t xml:space="preserve">处理站，需满足等效黏土防渗层 </w:t>
      </w:r>
      <w:r>
        <w:rPr>
          <w:rFonts w:ascii="Times New Roman" w:hAnsi="Times New Roman" w:eastAsia="Times New Roman"/>
        </w:rPr>
        <w:t>Mb≥6.0m</w:t>
      </w:r>
      <w:r>
        <w:t>，</w:t>
      </w:r>
      <w:r>
        <w:rPr>
          <w:rFonts w:ascii="Times New Roman" w:hAnsi="Times New Roman" w:eastAsia="Times New Roman"/>
        </w:rPr>
        <w:t>K≤1×10</w:t>
      </w:r>
      <w:r>
        <w:rPr>
          <w:rFonts w:ascii="Times New Roman" w:hAnsi="Times New Roman" w:eastAsia="Times New Roman"/>
          <w:position w:val="8"/>
          <w:sz w:val="15"/>
        </w:rPr>
        <w:t>-7</w:t>
      </w:r>
      <w:r>
        <w:rPr>
          <w:rFonts w:ascii="Times New Roman" w:hAnsi="Times New Roman" w:eastAsia="Times New Roman"/>
        </w:rPr>
        <w:t xml:space="preserve">cm/s </w:t>
      </w:r>
      <w:r>
        <w:t>的要求。</w:t>
      </w:r>
    </w:p>
    <w:p>
      <w:pPr>
        <w:pStyle w:val="6"/>
        <w:spacing w:before="2" w:line="364" w:lineRule="auto"/>
        <w:ind w:left="551" w:right="969" w:firstLine="480"/>
      </w:pPr>
      <w:r>
        <w:rPr>
          <w:rFonts w:ascii="Times New Roman" w:hAnsi="Times New Roman" w:eastAsia="Times New Roman"/>
        </w:rPr>
        <w:t xml:space="preserve">2 </w:t>
      </w:r>
      <w:r>
        <w:t xml:space="preserve">、一般防渗区为储煤仓等区域， 需满足等效黏土防渗层 </w:t>
      </w:r>
      <w:r>
        <w:rPr>
          <w:rFonts w:ascii="Times New Roman" w:hAnsi="Times New Roman" w:eastAsia="Times New Roman"/>
        </w:rPr>
        <w:t>Mb≥1.5m</w:t>
      </w:r>
      <w:r>
        <w:t xml:space="preserve">， </w:t>
      </w:r>
      <w:r>
        <w:rPr>
          <w:rFonts w:ascii="Times New Roman" w:hAnsi="Times New Roman" w:eastAsia="Times New Roman"/>
        </w:rPr>
        <w:t>K≤1×10</w:t>
      </w:r>
      <w:r>
        <w:rPr>
          <w:rFonts w:ascii="Times New Roman" w:hAnsi="Times New Roman" w:eastAsia="Times New Roman"/>
          <w:position w:val="8"/>
          <w:sz w:val="15"/>
        </w:rPr>
        <w:t>-7</w:t>
      </w:r>
      <w:r>
        <w:rPr>
          <w:rFonts w:ascii="Times New Roman" w:hAnsi="Times New Roman" w:eastAsia="Times New Roman"/>
        </w:rPr>
        <w:t xml:space="preserve">cm/s </w:t>
      </w:r>
      <w:r>
        <w:t>的要求。</w:t>
      </w:r>
    </w:p>
    <w:p>
      <w:pPr>
        <w:pStyle w:val="6"/>
        <w:spacing w:before="1"/>
        <w:ind w:left="1031"/>
      </w:pPr>
      <w:r>
        <w:rPr>
          <w:rFonts w:ascii="Times New Roman" w:eastAsia="Times New Roman"/>
        </w:rPr>
        <w:t>3</w:t>
      </w:r>
      <w:r>
        <w:t>、简单防渗区</w:t>
      </w:r>
    </w:p>
    <w:p>
      <w:pPr>
        <w:pStyle w:val="6"/>
        <w:spacing w:before="158" w:line="364" w:lineRule="auto"/>
        <w:ind w:left="551" w:right="969" w:firstLine="480"/>
      </w:pPr>
      <w:r>
        <w:t>简单防渗区为厂区道路、综合办公区域、变电所和职工宿舍大楼等区域，进行一般地面硬化。</w:t>
      </w:r>
    </w:p>
    <w:p>
      <w:pPr>
        <w:pStyle w:val="4"/>
        <w:numPr>
          <w:ilvl w:val="2"/>
          <w:numId w:val="55"/>
        </w:numPr>
        <w:tabs>
          <w:tab w:val="left" w:pos="1181"/>
        </w:tabs>
        <w:spacing w:before="0" w:after="0" w:line="358" w:lineRule="exact"/>
        <w:ind w:left="1180" w:right="0" w:hanging="630"/>
        <w:jc w:val="left"/>
      </w:pPr>
      <w:bookmarkStart w:id="393" w:name="6.7.4地下水监测措施"/>
      <w:bookmarkEnd w:id="393"/>
      <w:bookmarkStart w:id="394" w:name="6.7.4地下水监测措施"/>
      <w:bookmarkEnd w:id="394"/>
      <w:r>
        <w:t>地下水监测措施</w:t>
      </w:r>
    </w:p>
    <w:p>
      <w:pPr>
        <w:pStyle w:val="6"/>
        <w:spacing w:before="186" w:line="364" w:lineRule="auto"/>
        <w:ind w:left="551" w:right="969" w:firstLine="480"/>
        <w:jc w:val="both"/>
      </w:pPr>
      <w:r>
        <w:t>本次评价给出地下水监测计划，目的在于保护井田下游居民饮水安全，对开采导致的地下水污染及时预警，并采取合理的补救措施。因此，为了及时准确的掌握地下水水质的变化情况，评价建议建立评价区的区域地下水监控体系，其主要包括监测点位与监测项目、监测频率与监测因子、监测设备与监测人员等。</w:t>
      </w:r>
    </w:p>
    <w:p>
      <w:pPr>
        <w:pStyle w:val="6"/>
        <w:spacing w:line="305" w:lineRule="exact"/>
        <w:ind w:left="1031"/>
      </w:pPr>
      <w:r>
        <w:rPr>
          <w:rFonts w:ascii="Times New Roman" w:eastAsia="Times New Roman"/>
        </w:rPr>
        <w:t>1</w:t>
      </w:r>
      <w:r>
        <w:t>、监测项目</w:t>
      </w:r>
    </w:p>
    <w:p>
      <w:pPr>
        <w:pStyle w:val="6"/>
        <w:spacing w:before="160" w:line="364" w:lineRule="auto"/>
        <w:ind w:left="551" w:right="842" w:firstLine="480"/>
      </w:pPr>
      <w:r>
        <w:rPr>
          <w:rFonts w:ascii="Times New Roman" w:eastAsia="Times New Roman"/>
        </w:rPr>
        <w:t xml:space="preserve">pH </w:t>
      </w:r>
      <w:r>
        <w:rPr>
          <w:spacing w:val="-11"/>
        </w:rPr>
        <w:t>值、溶解性总固体、总硬度、钾、钠、钙、镁、碳酸根、碳酸氢根、硫酸</w:t>
      </w:r>
      <w:r>
        <w:rPr>
          <w:spacing w:val="-12"/>
        </w:rPr>
        <w:t>盐、氯化物、氨氮、硝酸盐氮、亚硝酸盐氮、挥发酚、氟化物、氰化物、铁、锰、</w:t>
      </w:r>
      <w:r>
        <w:rPr>
          <w:spacing w:val="-13"/>
        </w:rPr>
        <w:t xml:space="preserve">铅、六价铬、镉、汞、砷、高锰酸盐指数、总大肠菌群和细菌总数共 </w:t>
      </w:r>
      <w:r>
        <w:rPr>
          <w:rFonts w:ascii="Times New Roman" w:eastAsia="Times New Roman"/>
        </w:rPr>
        <w:t xml:space="preserve">29 </w:t>
      </w:r>
      <w:r>
        <w:rPr>
          <w:spacing w:val="-5"/>
        </w:rPr>
        <w:t>项，并记</w:t>
      </w:r>
    </w:p>
    <w:p>
      <w:pPr>
        <w:spacing w:after="0" w:line="364" w:lineRule="auto"/>
        <w:sectPr>
          <w:pgSz w:w="11910" w:h="16840"/>
          <w:pgMar w:top="1360" w:right="780" w:bottom="1180" w:left="1200" w:header="0" w:footer="997" w:gutter="0"/>
        </w:sectPr>
      </w:pPr>
    </w:p>
    <w:p>
      <w:pPr>
        <w:pStyle w:val="6"/>
        <w:spacing w:before="43"/>
        <w:ind w:left="551"/>
      </w:pPr>
      <w:r>
        <w:t>录井深、水位、水温。</w:t>
      </w:r>
    </w:p>
    <w:p>
      <w:pPr>
        <w:pStyle w:val="6"/>
        <w:spacing w:before="160"/>
        <w:ind w:left="1031"/>
      </w:pPr>
      <w:r>
        <w:rPr>
          <w:rFonts w:ascii="Times New Roman" w:eastAsia="Times New Roman"/>
        </w:rPr>
        <w:t>2</w:t>
      </w:r>
      <w:r>
        <w:t>、监测点布设</w:t>
      </w:r>
    </w:p>
    <w:p>
      <w:pPr>
        <w:pStyle w:val="6"/>
        <w:spacing w:before="158" w:line="364" w:lineRule="auto"/>
        <w:ind w:left="551" w:right="969" w:firstLine="480"/>
        <w:jc w:val="both"/>
      </w:pPr>
      <w:r>
        <w:t>煤炭开采疏排水对浅层含水层水位影响较小，且井田内无居民饮用水井，因此，大顺煤矿开采形成的沉陷对居民水井设施影响不大，且大顺煤矿疏排水对第四系含水层影响较小，因此，本次评价不再对居民水井进行长期监测，仅要求对工业场地下游厂界布设一口第四系含水层的长期监测井进行水位、水质的长期监测。</w:t>
      </w:r>
    </w:p>
    <w:p>
      <w:pPr>
        <w:pStyle w:val="6"/>
        <w:spacing w:line="306" w:lineRule="exact"/>
        <w:ind w:left="1031"/>
      </w:pPr>
      <w:r>
        <w:rPr>
          <w:rFonts w:ascii="Times New Roman" w:eastAsia="Times New Roman"/>
        </w:rPr>
        <w:t>3</w:t>
      </w:r>
      <w:r>
        <w:t>、监测频率</w:t>
      </w:r>
    </w:p>
    <w:p>
      <w:pPr>
        <w:pStyle w:val="6"/>
        <w:spacing w:before="161" w:line="362" w:lineRule="auto"/>
        <w:ind w:left="551" w:right="923" w:firstLine="480"/>
      </w:pPr>
      <w:r>
        <w:t>地下水水质监测，根据《地下水环境监测技术规范》（</w:t>
      </w:r>
      <w:r>
        <w:rPr>
          <w:rFonts w:ascii="Times New Roman" w:eastAsia="Times New Roman"/>
        </w:rPr>
        <w:t>HJ/T 164-2004</w:t>
      </w:r>
      <w:r>
        <w:t xml:space="preserve">）污染控制监测井逢单月监测 </w:t>
      </w:r>
      <w:r>
        <w:rPr>
          <w:rFonts w:ascii="Times New Roman" w:eastAsia="Times New Roman"/>
        </w:rPr>
        <w:t xml:space="preserve">1 </w:t>
      </w:r>
      <w:r>
        <w:t xml:space="preserve">次，全年 </w:t>
      </w:r>
      <w:r>
        <w:rPr>
          <w:rFonts w:ascii="Times New Roman" w:eastAsia="Times New Roman"/>
        </w:rPr>
        <w:t xml:space="preserve">6 </w:t>
      </w:r>
      <w:r>
        <w:t>次。</w:t>
      </w:r>
    </w:p>
    <w:p>
      <w:pPr>
        <w:pStyle w:val="6"/>
        <w:spacing w:before="2"/>
        <w:ind w:left="1031"/>
      </w:pPr>
      <w:r>
        <w:rPr>
          <w:rFonts w:ascii="Times New Roman" w:eastAsia="Times New Roman"/>
        </w:rPr>
        <w:t>4</w:t>
      </w:r>
      <w:r>
        <w:t>、监测数据管理</w:t>
      </w:r>
    </w:p>
    <w:p>
      <w:pPr>
        <w:pStyle w:val="6"/>
        <w:spacing w:before="161" w:line="364" w:lineRule="auto"/>
        <w:ind w:left="551" w:right="969" w:firstLine="480"/>
        <w:jc w:val="both"/>
      </w:pPr>
      <w:r>
        <w:t>监测结果应及时建立档案，并定期向厂安全环保部门汇报，对于常规监测数据应该进行公开，信息公开计划应至少包括建设项目特征因子的地下水环境监测值，特别是跟周边居民用水安全相关的数据要定期张贴公示，如发现异常或者发生事故，应加密监测频次，改为每天监测一次，并分析污染原因，及时采取应对措施。</w:t>
      </w:r>
    </w:p>
    <w:p>
      <w:pPr>
        <w:pStyle w:val="4"/>
        <w:numPr>
          <w:ilvl w:val="2"/>
          <w:numId w:val="55"/>
        </w:numPr>
        <w:tabs>
          <w:tab w:val="left" w:pos="1181"/>
        </w:tabs>
        <w:spacing w:before="0" w:after="0" w:line="358" w:lineRule="exact"/>
        <w:ind w:left="1180" w:right="0" w:hanging="630"/>
        <w:jc w:val="left"/>
      </w:pPr>
      <w:bookmarkStart w:id="395" w:name="6.7.5应急管理措施"/>
      <w:bookmarkEnd w:id="395"/>
      <w:bookmarkStart w:id="396" w:name="6.7.5应急管理措施"/>
      <w:bookmarkEnd w:id="396"/>
      <w:r>
        <w:t>应急管理措施</w:t>
      </w:r>
    </w:p>
    <w:p>
      <w:pPr>
        <w:pStyle w:val="6"/>
        <w:spacing w:before="185"/>
        <w:ind w:left="1031"/>
      </w:pPr>
      <w:r>
        <w:rPr>
          <w:rFonts w:ascii="Times New Roman" w:eastAsia="Times New Roman"/>
        </w:rPr>
        <w:t>1</w:t>
      </w:r>
      <w:r>
        <w:t>、风险应急预案</w:t>
      </w:r>
    </w:p>
    <w:p>
      <w:pPr>
        <w:pStyle w:val="6"/>
        <w:spacing w:before="158" w:line="364" w:lineRule="auto"/>
        <w:ind w:left="551" w:right="969" w:firstLine="480"/>
        <w:jc w:val="both"/>
      </w:pPr>
      <w:r>
        <w:t xml:space="preserve">制定风险事故应急预案的目的是为了在发生风险事故时，能以最快的速度发挥最大的效能，有序地实施救援，尽快控制事态的发展，降低事故对地下水的污染。针对应急工作需要，参照相关技术导则，结合地下水污染治理的技术特点， 制定地下水污染应急治理程序见图 </w:t>
      </w:r>
      <w:r>
        <w:rPr>
          <w:rFonts w:ascii="Times New Roman" w:eastAsia="Times New Roman"/>
        </w:rPr>
        <w:t>6.5-1</w:t>
      </w:r>
      <w:r>
        <w:t>。</w:t>
      </w:r>
    </w:p>
    <w:p>
      <w:pPr>
        <w:spacing w:after="0" w:line="364" w:lineRule="auto"/>
        <w:jc w:val="both"/>
        <w:sectPr>
          <w:pgSz w:w="11910" w:h="16840"/>
          <w:pgMar w:top="1380" w:right="780" w:bottom="1180" w:left="1200" w:header="0" w:footer="997" w:gutter="0"/>
        </w:sectPr>
      </w:pPr>
    </w:p>
    <w:p>
      <w:pPr>
        <w:pStyle w:val="6"/>
        <w:ind w:left="1351"/>
        <w:rPr>
          <w:sz w:val="20"/>
        </w:rPr>
      </w:pPr>
      <w:r>
        <w:rPr>
          <w:sz w:val="20"/>
        </w:rPr>
        <w:drawing>
          <wp:inline distT="0" distB="0" distL="0" distR="0">
            <wp:extent cx="4338320" cy="5646420"/>
            <wp:effectExtent l="0" t="0" r="0" b="0"/>
            <wp:docPr id="6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6.jpeg"/>
                    <pic:cNvPicPr>
                      <a:picLocks noChangeAspect="1"/>
                    </pic:cNvPicPr>
                  </pic:nvPicPr>
                  <pic:blipFill>
                    <a:blip r:embed="rId72" cstate="print"/>
                    <a:stretch>
                      <a:fillRect/>
                    </a:stretch>
                  </pic:blipFill>
                  <pic:spPr>
                    <a:xfrm>
                      <a:off x="0" y="0"/>
                      <a:ext cx="4338691" cy="5646420"/>
                    </a:xfrm>
                    <a:prstGeom prst="rect">
                      <a:avLst/>
                    </a:prstGeom>
                  </pic:spPr>
                </pic:pic>
              </a:graphicData>
            </a:graphic>
          </wp:inline>
        </w:drawing>
      </w:r>
    </w:p>
    <w:p>
      <w:pPr>
        <w:pStyle w:val="6"/>
        <w:spacing w:before="1"/>
        <w:rPr>
          <w:sz w:val="8"/>
        </w:rPr>
      </w:pPr>
    </w:p>
    <w:p>
      <w:pPr>
        <w:pStyle w:val="6"/>
        <w:tabs>
          <w:tab w:val="left" w:pos="1099"/>
        </w:tabs>
        <w:spacing w:before="77"/>
        <w:ind w:left="60"/>
        <w:jc w:val="center"/>
      </w:pPr>
      <w:r>
        <w:t>图</w:t>
      </w:r>
      <w:r>
        <w:rPr>
          <w:spacing w:val="-61"/>
        </w:rPr>
        <w:t xml:space="preserve"> </w:t>
      </w:r>
      <w:r>
        <w:rPr>
          <w:rFonts w:ascii="Times New Roman" w:eastAsia="Times New Roman"/>
        </w:rPr>
        <w:t>6.5-1</w:t>
      </w:r>
      <w:r>
        <w:rPr>
          <w:rFonts w:ascii="Times New Roman" w:eastAsia="Times New Roman"/>
        </w:rPr>
        <w:tab/>
      </w:r>
      <w:r>
        <w:t>地下水污染应急治理程序框图</w:t>
      </w:r>
    </w:p>
    <w:p>
      <w:pPr>
        <w:pStyle w:val="6"/>
        <w:spacing w:before="158"/>
        <w:ind w:left="1031"/>
      </w:pPr>
      <w:r>
        <w:rPr>
          <w:rFonts w:ascii="Times New Roman" w:eastAsia="Times New Roman"/>
        </w:rPr>
        <w:t>2</w:t>
      </w:r>
      <w:r>
        <w:t>、应急管理</w:t>
      </w:r>
    </w:p>
    <w:p>
      <w:pPr>
        <w:pStyle w:val="6"/>
        <w:spacing w:before="160" w:line="362" w:lineRule="auto"/>
        <w:ind w:left="551" w:right="969" w:firstLine="480"/>
      </w:pPr>
      <w:r>
        <w:t>在突发地下水污染事故情况下，建议采取以下应急管理措施，以保护地下水环境：</w:t>
      </w:r>
    </w:p>
    <w:p>
      <w:pPr>
        <w:pStyle w:val="6"/>
        <w:spacing w:before="5"/>
        <w:ind w:left="1031"/>
      </w:pPr>
      <w:r>
        <w:t>①立即启动应急预案；</w:t>
      </w:r>
    </w:p>
    <w:p>
      <w:pPr>
        <w:pStyle w:val="6"/>
        <w:spacing w:before="161"/>
        <w:ind w:left="1031"/>
      </w:pPr>
      <w:r>
        <w:t>②查明并切断污染源；</w:t>
      </w:r>
    </w:p>
    <w:p>
      <w:pPr>
        <w:pStyle w:val="6"/>
        <w:spacing w:before="158"/>
        <w:ind w:left="1031"/>
      </w:pPr>
      <w:r>
        <w:t>③查明地下水污染深度、范围和程度；</w:t>
      </w:r>
    </w:p>
    <w:p>
      <w:pPr>
        <w:pStyle w:val="6"/>
        <w:spacing w:before="160"/>
        <w:ind w:left="1031"/>
      </w:pPr>
      <w:r>
        <w:t>④依据查明的地下水污染情况，合理布置浅井，并进行试抽水工作；</w:t>
      </w:r>
    </w:p>
    <w:p>
      <w:pPr>
        <w:pStyle w:val="6"/>
        <w:spacing w:before="159"/>
        <w:ind w:left="1031"/>
      </w:pPr>
      <w:r>
        <w:t>⑤依据抽水设计方案进行施工，抽出被污染的地下水体；</w:t>
      </w:r>
    </w:p>
    <w:p>
      <w:pPr>
        <w:pStyle w:val="6"/>
        <w:spacing w:before="160"/>
        <w:ind w:left="1031"/>
      </w:pPr>
      <w:r>
        <w:t>⑥将抽出的地下水进行集中收集处理，并送实验室进行化验分析；</w:t>
      </w:r>
    </w:p>
    <w:p>
      <w:pPr>
        <w:spacing w:after="0"/>
        <w:sectPr>
          <w:pgSz w:w="11910" w:h="16840"/>
          <w:pgMar w:top="1420" w:right="780" w:bottom="1180" w:left="1200" w:header="0" w:footer="997" w:gutter="0"/>
        </w:sectPr>
      </w:pPr>
    </w:p>
    <w:p>
      <w:pPr>
        <w:pStyle w:val="6"/>
        <w:spacing w:before="43" w:line="364" w:lineRule="auto"/>
        <w:ind w:left="551" w:right="969" w:firstLine="480"/>
      </w:pPr>
      <w:r>
        <w:t>⑦监测孔中的特征污染物浓度满足《地下水质量标准》相关级别标准后，逐步停止抽水，并进行土壤修复治理工作。</w:t>
      </w:r>
    </w:p>
    <w:p>
      <w:pPr>
        <w:pStyle w:val="6"/>
        <w:spacing w:line="306" w:lineRule="exact"/>
        <w:ind w:left="1031"/>
      </w:pPr>
      <w:r>
        <w:rPr>
          <w:rFonts w:ascii="Times New Roman" w:eastAsia="Times New Roman"/>
        </w:rPr>
        <w:t>3</w:t>
      </w:r>
      <w:r>
        <w:t>、应急保障</w:t>
      </w:r>
    </w:p>
    <w:p>
      <w:pPr>
        <w:pStyle w:val="6"/>
        <w:spacing w:before="160" w:line="362" w:lineRule="auto"/>
        <w:ind w:left="551" w:right="969" w:firstLine="480"/>
      </w:pPr>
      <w:r>
        <w:t>①人力资源保障：明确各类应急响应的人力资源，包括专业应急队伍、兼职应急队伍的组织与保障方案。</w:t>
      </w:r>
    </w:p>
    <w:p>
      <w:pPr>
        <w:pStyle w:val="6"/>
        <w:spacing w:before="5" w:line="362" w:lineRule="auto"/>
        <w:ind w:left="551" w:right="969" w:firstLine="480"/>
      </w:pPr>
      <w:r>
        <w:t>②财力保障：明确应急专项经费来源、使用范围、数量和监督管理措施，保障应急状态时应急经费的及时到位。</w:t>
      </w:r>
    </w:p>
    <w:p>
      <w:pPr>
        <w:pStyle w:val="6"/>
        <w:spacing w:before="5" w:line="364" w:lineRule="auto"/>
        <w:ind w:left="551" w:right="849" w:firstLine="480"/>
      </w:pPr>
      <w:r>
        <w:rPr>
          <w:spacing w:val="-11"/>
        </w:rPr>
        <w:t>③物资保障：明确应急救援需要使用的应急物资、应急监测仪器、防护器材、</w:t>
      </w:r>
      <w:r>
        <w:t>装备的类型、数量、性能、存放位置、管理责任人等内容。</w:t>
      </w:r>
    </w:p>
    <w:p>
      <w:pPr>
        <w:spacing w:after="0" w:line="364" w:lineRule="auto"/>
        <w:sectPr>
          <w:pgSz w:w="11910" w:h="16840"/>
          <w:pgMar w:top="1380" w:right="780" w:bottom="1180" w:left="1200" w:header="0" w:footer="997" w:gutter="0"/>
        </w:sectPr>
      </w:pPr>
    </w:p>
    <w:p>
      <w:pPr>
        <w:pStyle w:val="6"/>
        <w:rPr>
          <w:sz w:val="32"/>
        </w:rPr>
      </w:pPr>
    </w:p>
    <w:p>
      <w:pPr>
        <w:pStyle w:val="6"/>
        <w:spacing w:before="3"/>
        <w:rPr>
          <w:sz w:val="26"/>
        </w:rPr>
      </w:pPr>
    </w:p>
    <w:p>
      <w:pPr>
        <w:pStyle w:val="3"/>
        <w:numPr>
          <w:ilvl w:val="1"/>
          <w:numId w:val="61"/>
        </w:numPr>
        <w:tabs>
          <w:tab w:val="left" w:pos="668"/>
        </w:tabs>
        <w:spacing w:before="1" w:after="0" w:line="240" w:lineRule="auto"/>
        <w:ind w:left="667" w:right="0" w:hanging="453"/>
        <w:jc w:val="left"/>
        <w:rPr>
          <w:rFonts w:ascii="Times New Roman" w:eastAsia="Times New Roman"/>
        </w:rPr>
      </w:pPr>
      <w:bookmarkStart w:id="397" w:name="7.1评价等级"/>
      <w:bookmarkEnd w:id="397"/>
      <w:bookmarkStart w:id="398" w:name="_bookmark36"/>
      <w:bookmarkEnd w:id="398"/>
      <w:bookmarkStart w:id="399" w:name="_bookmark36"/>
      <w:bookmarkEnd w:id="399"/>
      <w:r>
        <w:t>评价等级</w:t>
      </w:r>
    </w:p>
    <w:p>
      <w:pPr>
        <w:pStyle w:val="2"/>
        <w:numPr>
          <w:ilvl w:val="0"/>
          <w:numId w:val="62"/>
        </w:numPr>
        <w:tabs>
          <w:tab w:val="left" w:pos="487"/>
        </w:tabs>
        <w:spacing w:before="46" w:after="0" w:line="240" w:lineRule="auto"/>
        <w:ind w:left="487" w:right="0" w:hanging="272"/>
        <w:jc w:val="left"/>
      </w:pPr>
      <w:bookmarkStart w:id="400" w:name="_bookmark37"/>
      <w:bookmarkEnd w:id="400"/>
      <w:bookmarkStart w:id="401" w:name="_bookmark37"/>
      <w:bookmarkEnd w:id="401"/>
      <w:bookmarkStart w:id="402" w:name="7.地表水环境影响分析"/>
      <w:bookmarkEnd w:id="402"/>
      <w:r>
        <w:rPr>
          <w:spacing w:val="2"/>
          <w:w w:val="99"/>
        </w:rPr>
        <w:br w:type="column"/>
      </w:r>
      <w:r>
        <w:t>地表水环境影响分析</w:t>
      </w:r>
    </w:p>
    <w:p>
      <w:pPr>
        <w:spacing w:after="0" w:line="240" w:lineRule="auto"/>
        <w:jc w:val="left"/>
        <w:sectPr>
          <w:footerReference r:id="rId23" w:type="default"/>
          <w:pgSz w:w="11910" w:h="16840"/>
          <w:pgMar w:top="1540" w:right="780" w:bottom="1240" w:left="1200" w:header="0" w:footer="1058" w:gutter="0"/>
          <w:pgNumType w:start="125"/>
          <w:cols w:equalWidth="0" w:num="2">
            <w:col w:w="1910" w:space="896"/>
            <w:col w:w="7124"/>
          </w:cols>
        </w:sectPr>
      </w:pPr>
    </w:p>
    <w:p>
      <w:pPr>
        <w:pStyle w:val="6"/>
        <w:spacing w:before="7"/>
        <w:rPr>
          <w:b/>
          <w:sz w:val="9"/>
        </w:rPr>
      </w:pPr>
    </w:p>
    <w:p>
      <w:pPr>
        <w:pStyle w:val="6"/>
        <w:spacing w:before="74" w:line="364" w:lineRule="auto"/>
        <w:ind w:left="215" w:right="577" w:firstLine="480"/>
        <w:jc w:val="both"/>
      </w:pPr>
      <w:r>
        <w:rPr>
          <w:spacing w:val="-5"/>
        </w:rPr>
        <w:t>根据《环境影响评价技术导则 地表水环境》</w:t>
      </w:r>
      <w:r>
        <w:t>（</w:t>
      </w:r>
      <w:r>
        <w:rPr>
          <w:rFonts w:ascii="Times New Roman" w:eastAsia="Times New Roman"/>
        </w:rPr>
        <w:t>HJ2.3-2018</w:t>
      </w:r>
      <w:r>
        <w:t>）</w:t>
      </w:r>
      <w:r>
        <w:rPr>
          <w:spacing w:val="-4"/>
        </w:rPr>
        <w:t>的规定，建设项目地表</w:t>
      </w:r>
      <w:r>
        <w:rPr>
          <w:spacing w:val="-1"/>
        </w:rPr>
        <w:t>水环境影响评价等级按照影响类型、排放方式、排放量或影响情况、受纳水体环境质量</w:t>
      </w:r>
      <w:r>
        <w:t>现状、水环境保护目标综合确定。</w:t>
      </w:r>
    </w:p>
    <w:p>
      <w:pPr>
        <w:pStyle w:val="6"/>
        <w:spacing w:line="364" w:lineRule="auto"/>
        <w:ind w:left="215" w:right="577" w:firstLine="480"/>
        <w:jc w:val="both"/>
      </w:pPr>
      <w:r>
        <w:rPr>
          <w:spacing w:val="-5"/>
        </w:rPr>
        <w:t xml:space="preserve">本项目生活污水产生量为 </w:t>
      </w:r>
      <w:r>
        <w:rPr>
          <w:rFonts w:ascii="Times New Roman" w:eastAsia="Times New Roman"/>
          <w:spacing w:val="-5"/>
        </w:rPr>
        <w:t>86.92m</w:t>
      </w:r>
      <w:r>
        <w:rPr>
          <w:rFonts w:ascii="Times New Roman" w:eastAsia="Times New Roman"/>
          <w:spacing w:val="-5"/>
          <w:position w:val="8"/>
          <w:sz w:val="15"/>
        </w:rPr>
        <w:t>3</w:t>
      </w:r>
      <w:r>
        <w:rPr>
          <w:rFonts w:ascii="Times New Roman" w:eastAsia="Times New Roman"/>
          <w:spacing w:val="-5"/>
        </w:rPr>
        <w:t>/d</w:t>
      </w:r>
      <w:r>
        <w:rPr>
          <w:spacing w:val="-8"/>
        </w:rPr>
        <w:t>，处理后的污、废水作为矿井工业场地绿化洒水</w:t>
      </w:r>
      <w:r>
        <w:rPr>
          <w:spacing w:val="-10"/>
        </w:rPr>
        <w:t xml:space="preserve">用水；本项目矿井正常涌水 </w:t>
      </w:r>
      <w:r>
        <w:rPr>
          <w:rFonts w:ascii="Times New Roman" w:eastAsia="Times New Roman"/>
          <w:spacing w:val="-6"/>
        </w:rPr>
        <w:t>76m</w:t>
      </w:r>
      <w:r>
        <w:rPr>
          <w:rFonts w:ascii="Times New Roman" w:eastAsia="Times New Roman"/>
          <w:spacing w:val="-6"/>
          <w:position w:val="8"/>
          <w:sz w:val="15"/>
        </w:rPr>
        <w:t>3</w:t>
      </w:r>
      <w:r>
        <w:rPr>
          <w:rFonts w:ascii="Times New Roman" w:eastAsia="Times New Roman"/>
          <w:spacing w:val="-6"/>
        </w:rPr>
        <w:t>/h</w:t>
      </w:r>
      <w:r>
        <w:rPr>
          <w:spacing w:val="-6"/>
        </w:rPr>
        <w:t>，进入矿井水处理站</w:t>
      </w:r>
      <w:r>
        <w:t>（缓冲调节池</w:t>
      </w:r>
      <w:r>
        <w:rPr>
          <w:rFonts w:ascii="Times New Roman" w:eastAsia="Times New Roman"/>
        </w:rPr>
        <w:t>-</w:t>
      </w:r>
      <w:r>
        <w:rPr>
          <w:spacing w:val="-2"/>
        </w:rPr>
        <w:t>絮凝反应斜板沉淀</w:t>
      </w:r>
      <w:r>
        <w:t>池</w:t>
      </w:r>
      <w:r>
        <w:rPr>
          <w:rFonts w:ascii="Times New Roman" w:eastAsia="Times New Roman"/>
        </w:rPr>
        <w:t>-</w:t>
      </w:r>
      <w:r>
        <w:t>普通快滤池-消毒）处理，矿井水处理达标后部分用于井下、绿化、非生活饮用水、道路洒水及锅炉用水，剩余未利用部分外排扁石河。</w:t>
      </w:r>
    </w:p>
    <w:p>
      <w:pPr>
        <w:pStyle w:val="6"/>
        <w:ind w:left="696"/>
        <w:jc w:val="both"/>
      </w:pPr>
      <w:r>
        <w:t>本项目地表水影响类型为水污染影响型，根据《环境影响评价技术导则 地表水环境》</w:t>
      </w:r>
    </w:p>
    <w:p>
      <w:pPr>
        <w:pStyle w:val="6"/>
        <w:spacing w:before="157"/>
        <w:ind w:left="215"/>
      </w:pPr>
      <w:r>
        <w:t>（</w:t>
      </w:r>
      <w:r>
        <w:rPr>
          <w:rFonts w:ascii="Times New Roman" w:eastAsia="Times New Roman"/>
        </w:rPr>
        <w:t>HJ2.3-2018</w:t>
      </w:r>
      <w:r>
        <w:t xml:space="preserve">）中 </w:t>
      </w:r>
      <w:r>
        <w:rPr>
          <w:rFonts w:ascii="Times New Roman" w:eastAsia="Times New Roman"/>
        </w:rPr>
        <w:t xml:space="preserve">5.5.2 </w:t>
      </w:r>
      <w:r>
        <w:t>判定地表水评价等级。</w:t>
      </w:r>
    </w:p>
    <w:p>
      <w:pPr>
        <w:pStyle w:val="6"/>
        <w:spacing w:before="2"/>
        <w:rPr>
          <w:sz w:val="21"/>
        </w:rPr>
      </w:pPr>
    </w:p>
    <w:p>
      <w:pPr>
        <w:pStyle w:val="5"/>
        <w:tabs>
          <w:tab w:val="left" w:pos="1118"/>
        </w:tabs>
        <w:spacing w:after="20"/>
        <w:ind w:left="74"/>
        <w:jc w:val="center"/>
      </w:pPr>
      <w:r>
        <w:t>表</w:t>
      </w:r>
      <w:r>
        <w:rPr>
          <w:spacing w:val="-62"/>
        </w:rPr>
        <w:t xml:space="preserve"> </w:t>
      </w:r>
      <w:r>
        <w:rPr>
          <w:rFonts w:ascii="Calibri" w:eastAsia="Calibri"/>
        </w:rPr>
        <w:t>7.1-1</w:t>
      </w:r>
      <w:r>
        <w:rPr>
          <w:rFonts w:ascii="Calibri" w:eastAsia="Calibri"/>
        </w:rPr>
        <w:tab/>
      </w:r>
      <w:r>
        <w:t>水污染影响型建设项目评价等级判定</w:t>
      </w: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07"/>
        <w:gridCol w:w="2173"/>
        <w:gridCol w:w="59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207" w:type="dxa"/>
            <w:vMerge w:val="restart"/>
          </w:tcPr>
          <w:p>
            <w:pPr>
              <w:pStyle w:val="14"/>
              <w:spacing w:before="139"/>
              <w:ind w:left="183"/>
              <w:jc w:val="left"/>
              <w:rPr>
                <w:sz w:val="21"/>
              </w:rPr>
            </w:pPr>
            <w:r>
              <w:rPr>
                <w:sz w:val="21"/>
              </w:rPr>
              <w:t>评价等级</w:t>
            </w:r>
          </w:p>
        </w:tc>
        <w:tc>
          <w:tcPr>
            <w:tcW w:w="8137" w:type="dxa"/>
            <w:gridSpan w:val="2"/>
          </w:tcPr>
          <w:p>
            <w:pPr>
              <w:pStyle w:val="14"/>
              <w:spacing w:line="252" w:lineRule="exact"/>
              <w:ind w:left="3625" w:right="3621"/>
              <w:rPr>
                <w:sz w:val="21"/>
              </w:rPr>
            </w:pPr>
            <w:r>
              <w:rPr>
                <w:sz w:val="21"/>
              </w:rPr>
              <w:t>判定依据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207" w:type="dxa"/>
            <w:vMerge w:val="continue"/>
            <w:tcBorders>
              <w:top w:val="nil"/>
            </w:tcBorders>
          </w:tcPr>
          <w:p>
            <w:pPr>
              <w:rPr>
                <w:sz w:val="2"/>
                <w:szCs w:val="2"/>
              </w:rPr>
            </w:pPr>
          </w:p>
        </w:tc>
        <w:tc>
          <w:tcPr>
            <w:tcW w:w="2173" w:type="dxa"/>
          </w:tcPr>
          <w:p>
            <w:pPr>
              <w:pStyle w:val="14"/>
              <w:spacing w:before="1" w:line="250" w:lineRule="exact"/>
              <w:ind w:left="641" w:right="634"/>
              <w:rPr>
                <w:sz w:val="21"/>
              </w:rPr>
            </w:pPr>
            <w:r>
              <w:rPr>
                <w:sz w:val="21"/>
              </w:rPr>
              <w:t>排放方式</w:t>
            </w:r>
          </w:p>
        </w:tc>
        <w:tc>
          <w:tcPr>
            <w:tcW w:w="5964" w:type="dxa"/>
          </w:tcPr>
          <w:p>
            <w:pPr>
              <w:pStyle w:val="14"/>
              <w:spacing w:before="1" w:line="250" w:lineRule="exact"/>
              <w:ind w:left="338" w:right="330"/>
              <w:rPr>
                <w:sz w:val="21"/>
              </w:rPr>
            </w:pPr>
            <w:r>
              <w:rPr>
                <w:sz w:val="21"/>
              </w:rPr>
              <w:t xml:space="preserve">废水排放量 </w:t>
            </w:r>
            <w:r>
              <w:rPr>
                <w:rFonts w:ascii="Times New Roman" w:eastAsia="Times New Roman"/>
                <w:i/>
                <w:sz w:val="21"/>
              </w:rPr>
              <w:t>Q</w:t>
            </w:r>
            <w:r>
              <w:rPr>
                <w:rFonts w:ascii="Times New Roman" w:eastAsia="Times New Roman"/>
                <w:sz w:val="21"/>
              </w:rPr>
              <w:t>/</w:t>
            </w:r>
            <w:r>
              <w:rPr>
                <w:sz w:val="21"/>
              </w:rPr>
              <w:t>（</w:t>
            </w:r>
            <w:r>
              <w:rPr>
                <w:rFonts w:ascii="Times New Roman" w:eastAsia="Times New Roman"/>
                <w:sz w:val="21"/>
              </w:rPr>
              <w:t>m</w:t>
            </w:r>
            <w:r>
              <w:rPr>
                <w:rFonts w:ascii="Times New Roman" w:eastAsia="Times New Roman"/>
                <w:position w:val="7"/>
                <w:sz w:val="13"/>
              </w:rPr>
              <w:t>3</w:t>
            </w:r>
            <w:r>
              <w:rPr>
                <w:rFonts w:ascii="Times New Roman" w:eastAsia="Times New Roman"/>
                <w:sz w:val="21"/>
              </w:rPr>
              <w:t>/d</w:t>
            </w:r>
            <w:r>
              <w:rPr>
                <w:sz w:val="21"/>
              </w:rPr>
              <w:t xml:space="preserve">）；水污染物当量数 </w:t>
            </w:r>
            <w:r>
              <w:rPr>
                <w:rFonts w:ascii="Times New Roman" w:eastAsia="Times New Roman"/>
                <w:i/>
                <w:sz w:val="21"/>
              </w:rPr>
              <w:t>W</w:t>
            </w:r>
            <w:r>
              <w:rPr>
                <w:rFonts w:ascii="Times New Roman" w:eastAsia="Times New Roman"/>
                <w:sz w:val="21"/>
              </w:rPr>
              <w:t>/</w:t>
            </w:r>
            <w:r>
              <w:rPr>
                <w:sz w:val="21"/>
              </w:rPr>
              <w:t>（无量纲）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207" w:type="dxa"/>
          </w:tcPr>
          <w:p>
            <w:pPr>
              <w:pStyle w:val="14"/>
              <w:spacing w:line="253" w:lineRule="exact"/>
              <w:ind w:left="240" w:right="235"/>
              <w:rPr>
                <w:sz w:val="21"/>
              </w:rPr>
            </w:pPr>
            <w:r>
              <w:rPr>
                <w:sz w:val="21"/>
              </w:rPr>
              <w:t>一级</w:t>
            </w:r>
          </w:p>
        </w:tc>
        <w:tc>
          <w:tcPr>
            <w:tcW w:w="2173" w:type="dxa"/>
          </w:tcPr>
          <w:p>
            <w:pPr>
              <w:pStyle w:val="14"/>
              <w:spacing w:line="253" w:lineRule="exact"/>
              <w:ind w:left="641" w:right="634"/>
              <w:rPr>
                <w:sz w:val="21"/>
              </w:rPr>
            </w:pPr>
            <w:r>
              <w:rPr>
                <w:sz w:val="21"/>
              </w:rPr>
              <w:t>直接排放</w:t>
            </w:r>
          </w:p>
        </w:tc>
        <w:tc>
          <w:tcPr>
            <w:tcW w:w="5964" w:type="dxa"/>
          </w:tcPr>
          <w:p>
            <w:pPr>
              <w:pStyle w:val="14"/>
              <w:spacing w:line="253" w:lineRule="exact"/>
              <w:ind w:left="338" w:right="324"/>
              <w:rPr>
                <w:rFonts w:ascii="Times New Roman" w:hAnsi="Times New Roman" w:eastAsia="Times New Roman"/>
                <w:sz w:val="21"/>
              </w:rPr>
            </w:pPr>
            <w:r>
              <w:rPr>
                <w:rFonts w:ascii="Times New Roman" w:hAnsi="Times New Roman" w:eastAsia="Times New Roman"/>
                <w:i/>
                <w:sz w:val="21"/>
              </w:rPr>
              <w:t>Q</w:t>
            </w:r>
            <w:r>
              <w:rPr>
                <w:rFonts w:ascii="Times New Roman" w:hAnsi="Times New Roman" w:eastAsia="Times New Roman"/>
                <w:sz w:val="21"/>
              </w:rPr>
              <w:t xml:space="preserve">≥20000 </w:t>
            </w:r>
            <w:r>
              <w:rPr>
                <w:sz w:val="21"/>
              </w:rPr>
              <w:t xml:space="preserve">或 </w:t>
            </w:r>
            <w:r>
              <w:rPr>
                <w:rFonts w:ascii="Times New Roman" w:hAnsi="Times New Roman" w:eastAsia="Times New Roman"/>
                <w:i/>
                <w:sz w:val="21"/>
              </w:rPr>
              <w:t>W</w:t>
            </w:r>
            <w:r>
              <w:rPr>
                <w:rFonts w:ascii="Times New Roman" w:hAnsi="Times New Roman" w:eastAsia="Times New Roman"/>
                <w:sz w:val="21"/>
              </w:rPr>
              <w:t>≥600000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207" w:type="dxa"/>
          </w:tcPr>
          <w:p>
            <w:pPr>
              <w:pStyle w:val="14"/>
              <w:spacing w:line="252" w:lineRule="exact"/>
              <w:ind w:left="242" w:right="235"/>
              <w:rPr>
                <w:b/>
                <w:sz w:val="21"/>
              </w:rPr>
            </w:pPr>
            <w:r>
              <w:rPr>
                <w:b/>
                <w:sz w:val="21"/>
              </w:rPr>
              <w:t>二级</w:t>
            </w:r>
          </w:p>
        </w:tc>
        <w:tc>
          <w:tcPr>
            <w:tcW w:w="2173" w:type="dxa"/>
          </w:tcPr>
          <w:p>
            <w:pPr>
              <w:pStyle w:val="14"/>
              <w:spacing w:line="251" w:lineRule="exact"/>
              <w:ind w:left="645" w:right="634"/>
              <w:rPr>
                <w:b/>
                <w:sz w:val="21"/>
              </w:rPr>
            </w:pPr>
            <w:r>
              <w:rPr>
                <w:b/>
                <w:sz w:val="21"/>
              </w:rPr>
              <w:t>直接排放</w:t>
            </w:r>
          </w:p>
        </w:tc>
        <w:tc>
          <w:tcPr>
            <w:tcW w:w="5964" w:type="dxa"/>
          </w:tcPr>
          <w:p>
            <w:pPr>
              <w:pStyle w:val="14"/>
              <w:spacing w:line="251" w:lineRule="exact"/>
              <w:ind w:left="338" w:right="328"/>
              <w:rPr>
                <w:b/>
                <w:sz w:val="21"/>
              </w:rPr>
            </w:pPr>
            <w:r>
              <w:rPr>
                <w:b/>
                <w:sz w:val="21"/>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207" w:type="dxa"/>
          </w:tcPr>
          <w:p>
            <w:pPr>
              <w:pStyle w:val="14"/>
              <w:spacing w:line="253" w:lineRule="exact"/>
              <w:ind w:left="244" w:right="235"/>
              <w:rPr>
                <w:rFonts w:ascii="Times New Roman" w:eastAsia="Times New Roman"/>
                <w:sz w:val="21"/>
              </w:rPr>
            </w:pPr>
            <w:r>
              <w:rPr>
                <w:sz w:val="21"/>
              </w:rPr>
              <w:t xml:space="preserve">三级 </w:t>
            </w:r>
            <w:r>
              <w:rPr>
                <w:rFonts w:ascii="Times New Roman" w:eastAsia="Times New Roman"/>
                <w:sz w:val="21"/>
              </w:rPr>
              <w:t>A</w:t>
            </w:r>
          </w:p>
        </w:tc>
        <w:tc>
          <w:tcPr>
            <w:tcW w:w="2173" w:type="dxa"/>
          </w:tcPr>
          <w:p>
            <w:pPr>
              <w:pStyle w:val="14"/>
              <w:spacing w:before="1" w:line="251" w:lineRule="exact"/>
              <w:ind w:left="641" w:right="634"/>
              <w:rPr>
                <w:sz w:val="21"/>
              </w:rPr>
            </w:pPr>
            <w:r>
              <w:rPr>
                <w:sz w:val="21"/>
              </w:rPr>
              <w:t>直接排放</w:t>
            </w:r>
          </w:p>
        </w:tc>
        <w:tc>
          <w:tcPr>
            <w:tcW w:w="5964" w:type="dxa"/>
          </w:tcPr>
          <w:p>
            <w:pPr>
              <w:pStyle w:val="14"/>
              <w:spacing w:before="1" w:line="251" w:lineRule="exact"/>
              <w:ind w:left="338" w:right="326"/>
              <w:rPr>
                <w:rFonts w:ascii="Times New Roman" w:eastAsia="Times New Roman"/>
                <w:sz w:val="21"/>
              </w:rPr>
            </w:pPr>
            <w:r>
              <w:rPr>
                <w:rFonts w:ascii="Times New Roman" w:eastAsia="Times New Roman"/>
                <w:i/>
                <w:sz w:val="21"/>
              </w:rPr>
              <w:t>Q</w:t>
            </w:r>
            <w:r>
              <w:rPr>
                <w:sz w:val="21"/>
              </w:rPr>
              <w:t>＜</w:t>
            </w:r>
            <w:r>
              <w:rPr>
                <w:rFonts w:ascii="Times New Roman" w:eastAsia="Times New Roman"/>
                <w:sz w:val="21"/>
              </w:rPr>
              <w:t xml:space="preserve">200 </w:t>
            </w:r>
            <w:r>
              <w:rPr>
                <w:sz w:val="21"/>
              </w:rPr>
              <w:t xml:space="preserve">且 </w:t>
            </w:r>
            <w:r>
              <w:rPr>
                <w:rFonts w:ascii="Times New Roman" w:eastAsia="Times New Roman"/>
                <w:i/>
                <w:sz w:val="21"/>
              </w:rPr>
              <w:t>W</w:t>
            </w:r>
            <w:r>
              <w:rPr>
                <w:sz w:val="21"/>
              </w:rPr>
              <w:t>＜</w:t>
            </w:r>
            <w:r>
              <w:rPr>
                <w:rFonts w:ascii="Times New Roman" w:eastAsia="Times New Roman"/>
                <w:sz w:val="21"/>
              </w:rPr>
              <w:t>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207" w:type="dxa"/>
          </w:tcPr>
          <w:p>
            <w:pPr>
              <w:pStyle w:val="14"/>
              <w:spacing w:line="252" w:lineRule="exact"/>
              <w:ind w:left="243" w:right="235"/>
              <w:rPr>
                <w:rFonts w:ascii="Times New Roman" w:eastAsia="Times New Roman"/>
                <w:sz w:val="21"/>
              </w:rPr>
            </w:pPr>
            <w:r>
              <w:rPr>
                <w:sz w:val="21"/>
              </w:rPr>
              <w:t xml:space="preserve">三级 </w:t>
            </w:r>
            <w:r>
              <w:rPr>
                <w:rFonts w:ascii="Times New Roman" w:eastAsia="Times New Roman"/>
                <w:sz w:val="21"/>
              </w:rPr>
              <w:t>B</w:t>
            </w:r>
          </w:p>
        </w:tc>
        <w:tc>
          <w:tcPr>
            <w:tcW w:w="2173" w:type="dxa"/>
          </w:tcPr>
          <w:p>
            <w:pPr>
              <w:pStyle w:val="14"/>
              <w:spacing w:line="252" w:lineRule="exact"/>
              <w:ind w:left="641" w:right="634"/>
              <w:rPr>
                <w:sz w:val="21"/>
              </w:rPr>
            </w:pPr>
            <w:r>
              <w:rPr>
                <w:sz w:val="21"/>
              </w:rPr>
              <w:t>间接排放</w:t>
            </w:r>
          </w:p>
        </w:tc>
        <w:tc>
          <w:tcPr>
            <w:tcW w:w="5964" w:type="dxa"/>
          </w:tcPr>
          <w:p>
            <w:pPr>
              <w:pStyle w:val="14"/>
              <w:spacing w:before="13" w:line="238" w:lineRule="exact"/>
              <w:ind w:left="6"/>
              <w:rPr>
                <w:rFonts w:ascii="Times New Roman" w:hAnsi="Times New Roman"/>
                <w:sz w:val="21"/>
              </w:rPr>
            </w:pPr>
            <w:r>
              <w:rPr>
                <w:rFonts w:ascii="Times New Roman" w:hAns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9344" w:type="dxa"/>
            <w:gridSpan w:val="3"/>
          </w:tcPr>
          <w:p>
            <w:pPr>
              <w:pStyle w:val="14"/>
              <w:spacing w:before="2" w:line="230" w:lineRule="atLeast"/>
              <w:ind w:left="106" w:right="6"/>
              <w:jc w:val="left"/>
              <w:rPr>
                <w:sz w:val="18"/>
              </w:rPr>
            </w:pPr>
            <w:r>
              <w:rPr>
                <w:spacing w:val="-24"/>
                <w:sz w:val="18"/>
              </w:rPr>
              <w:t xml:space="preserve">注 </w:t>
            </w:r>
            <w:r>
              <w:rPr>
                <w:rFonts w:ascii="Times New Roman" w:eastAsia="Times New Roman"/>
                <w:sz w:val="18"/>
              </w:rPr>
              <w:t>1</w:t>
            </w:r>
            <w:r>
              <w:rPr>
                <w:spacing w:val="-1"/>
                <w:sz w:val="18"/>
              </w:rPr>
              <w:t>：水污染物当量数等于该污染物的年排放量除以该污染物的污染当量值，计算污染物的污染物当量数，应区分第</w:t>
            </w:r>
            <w:r>
              <w:rPr>
                <w:spacing w:val="-10"/>
                <w:sz w:val="18"/>
              </w:rPr>
              <w:t xml:space="preserve">一类污染物和其他类水污染物，统计第一类污染物当量数总和，然后与其他类污染物按照污染物当量数从大到小排序， </w:t>
            </w:r>
            <w:r>
              <w:rPr>
                <w:sz w:val="18"/>
              </w:rPr>
              <w:t>取最大当量数作为建设项目评价等级确定的依据。</w:t>
            </w:r>
          </w:p>
        </w:tc>
      </w:tr>
    </w:tbl>
    <w:p>
      <w:pPr>
        <w:pStyle w:val="6"/>
        <w:spacing w:before="2"/>
        <w:ind w:left="696"/>
        <w:jc w:val="both"/>
      </w:pPr>
      <w:r>
        <w:t xml:space="preserve">水污染物当量数计算结果见表 </w:t>
      </w:r>
      <w:r>
        <w:rPr>
          <w:rFonts w:ascii="Times New Roman" w:eastAsia="Times New Roman"/>
        </w:rPr>
        <w:t>7.1-2</w:t>
      </w:r>
      <w:r>
        <w:t>。</w:t>
      </w:r>
    </w:p>
    <w:p>
      <w:pPr>
        <w:pStyle w:val="6"/>
        <w:spacing w:before="2"/>
        <w:rPr>
          <w:sz w:val="21"/>
        </w:rPr>
      </w:pPr>
    </w:p>
    <w:p>
      <w:pPr>
        <w:pStyle w:val="5"/>
        <w:tabs>
          <w:tab w:val="left" w:pos="1109"/>
        </w:tabs>
        <w:spacing w:after="20"/>
        <w:ind w:left="67"/>
        <w:jc w:val="center"/>
      </w:pPr>
      <w:r>
        <w:t>表</w:t>
      </w:r>
      <w:r>
        <w:rPr>
          <w:spacing w:val="-62"/>
        </w:rPr>
        <w:t xml:space="preserve"> </w:t>
      </w:r>
      <w:r>
        <w:rPr>
          <w:rFonts w:ascii="Times New Roman" w:eastAsia="Times New Roman"/>
        </w:rPr>
        <w:t>7.1-2</w:t>
      </w:r>
      <w:r>
        <w:rPr>
          <w:rFonts w:ascii="Times New Roman" w:eastAsia="Times New Roman"/>
        </w:rPr>
        <w:tab/>
      </w:r>
      <w:r>
        <w:t>水污染物当量数计算结果</w:t>
      </w:r>
    </w:p>
    <w:tbl>
      <w:tblPr>
        <w:tblStyle w:val="10"/>
        <w:tblW w:w="0" w:type="auto"/>
        <w:tblInd w:w="1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14"/>
        <w:gridCol w:w="3109"/>
        <w:gridCol w:w="1864"/>
        <w:gridCol w:w="28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14" w:type="dxa"/>
          </w:tcPr>
          <w:p>
            <w:pPr>
              <w:pStyle w:val="14"/>
              <w:spacing w:line="252" w:lineRule="exact"/>
              <w:ind w:left="210" w:right="204"/>
              <w:rPr>
                <w:sz w:val="21"/>
              </w:rPr>
            </w:pPr>
            <w:r>
              <w:rPr>
                <w:sz w:val="21"/>
              </w:rPr>
              <w:t>污染物种类</w:t>
            </w:r>
          </w:p>
        </w:tc>
        <w:tc>
          <w:tcPr>
            <w:tcW w:w="3109" w:type="dxa"/>
          </w:tcPr>
          <w:p>
            <w:pPr>
              <w:pStyle w:val="14"/>
              <w:spacing w:line="252" w:lineRule="exact"/>
              <w:ind w:left="1031" w:right="1023"/>
              <w:rPr>
                <w:rFonts w:ascii="Times New Roman" w:eastAsia="Times New Roman"/>
                <w:sz w:val="21"/>
              </w:rPr>
            </w:pPr>
            <w:r>
              <w:rPr>
                <w:sz w:val="21"/>
              </w:rPr>
              <w:t xml:space="preserve">年排放量 </w:t>
            </w:r>
            <w:r>
              <w:rPr>
                <w:rFonts w:ascii="Times New Roman" w:eastAsia="Times New Roman"/>
                <w:sz w:val="21"/>
              </w:rPr>
              <w:t>t</w:t>
            </w:r>
          </w:p>
        </w:tc>
        <w:tc>
          <w:tcPr>
            <w:tcW w:w="1864" w:type="dxa"/>
          </w:tcPr>
          <w:p>
            <w:pPr>
              <w:pStyle w:val="14"/>
              <w:spacing w:line="252" w:lineRule="exact"/>
              <w:ind w:left="227" w:right="221"/>
              <w:rPr>
                <w:rFonts w:ascii="Times New Roman" w:eastAsia="Times New Roman"/>
                <w:sz w:val="21"/>
              </w:rPr>
            </w:pPr>
            <w:r>
              <w:rPr>
                <w:sz w:val="21"/>
              </w:rPr>
              <w:t xml:space="preserve">污染当量值 </w:t>
            </w:r>
            <w:r>
              <w:rPr>
                <w:rFonts w:ascii="Times New Roman" w:eastAsia="Times New Roman"/>
                <w:sz w:val="21"/>
              </w:rPr>
              <w:t>kg</w:t>
            </w:r>
          </w:p>
        </w:tc>
        <w:tc>
          <w:tcPr>
            <w:tcW w:w="2857" w:type="dxa"/>
          </w:tcPr>
          <w:p>
            <w:pPr>
              <w:pStyle w:val="14"/>
              <w:spacing w:line="252" w:lineRule="exact"/>
              <w:ind w:left="671" w:right="666"/>
              <w:rPr>
                <w:sz w:val="21"/>
              </w:rPr>
            </w:pPr>
            <w:r>
              <w:rPr>
                <w:sz w:val="21"/>
              </w:rPr>
              <w:t>水污染物当量数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1514" w:type="dxa"/>
          </w:tcPr>
          <w:p>
            <w:pPr>
              <w:pStyle w:val="14"/>
              <w:spacing w:line="221" w:lineRule="exact"/>
              <w:ind w:left="210" w:right="202"/>
              <w:rPr>
                <w:rFonts w:ascii="Times New Roman"/>
                <w:sz w:val="21"/>
              </w:rPr>
            </w:pPr>
            <w:r>
              <w:rPr>
                <w:rFonts w:ascii="Times New Roman"/>
                <w:sz w:val="21"/>
              </w:rPr>
              <w:t>COD</w:t>
            </w:r>
          </w:p>
        </w:tc>
        <w:tc>
          <w:tcPr>
            <w:tcW w:w="3109" w:type="dxa"/>
          </w:tcPr>
          <w:p>
            <w:pPr>
              <w:pStyle w:val="14"/>
              <w:spacing w:line="221" w:lineRule="exact"/>
              <w:ind w:left="1031" w:right="1022"/>
              <w:rPr>
                <w:rFonts w:ascii="Times New Roman"/>
                <w:sz w:val="21"/>
              </w:rPr>
            </w:pPr>
            <w:r>
              <w:rPr>
                <w:rFonts w:ascii="Times New Roman"/>
                <w:sz w:val="21"/>
              </w:rPr>
              <w:t>7.106</w:t>
            </w:r>
          </w:p>
        </w:tc>
        <w:tc>
          <w:tcPr>
            <w:tcW w:w="1864" w:type="dxa"/>
          </w:tcPr>
          <w:p>
            <w:pPr>
              <w:pStyle w:val="14"/>
              <w:spacing w:line="221" w:lineRule="exact"/>
              <w:ind w:left="6"/>
              <w:rPr>
                <w:rFonts w:ascii="Times New Roman"/>
                <w:sz w:val="21"/>
              </w:rPr>
            </w:pPr>
            <w:r>
              <w:rPr>
                <w:rFonts w:ascii="Times New Roman"/>
                <w:w w:val="99"/>
                <w:sz w:val="21"/>
              </w:rPr>
              <w:t>1</w:t>
            </w:r>
          </w:p>
        </w:tc>
        <w:tc>
          <w:tcPr>
            <w:tcW w:w="2857" w:type="dxa"/>
          </w:tcPr>
          <w:p>
            <w:pPr>
              <w:pStyle w:val="14"/>
              <w:spacing w:line="221" w:lineRule="exact"/>
              <w:ind w:left="671" w:right="663"/>
              <w:rPr>
                <w:rFonts w:ascii="Times New Roman"/>
                <w:sz w:val="21"/>
              </w:rPr>
            </w:pPr>
            <w:r>
              <w:rPr>
                <w:rFonts w:ascii="Times New Roman"/>
                <w:sz w:val="21"/>
              </w:rPr>
              <w:t>7106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514" w:type="dxa"/>
          </w:tcPr>
          <w:p>
            <w:pPr>
              <w:pStyle w:val="14"/>
              <w:spacing w:before="1" w:line="251" w:lineRule="exact"/>
              <w:ind w:left="210" w:right="202"/>
              <w:rPr>
                <w:sz w:val="21"/>
              </w:rPr>
            </w:pPr>
            <w:r>
              <w:rPr>
                <w:sz w:val="21"/>
              </w:rPr>
              <w:t>石油类</w:t>
            </w:r>
          </w:p>
        </w:tc>
        <w:tc>
          <w:tcPr>
            <w:tcW w:w="3109" w:type="dxa"/>
          </w:tcPr>
          <w:p>
            <w:pPr>
              <w:pStyle w:val="14"/>
              <w:spacing w:before="15" w:line="237" w:lineRule="exact"/>
              <w:ind w:left="1031" w:right="1022"/>
              <w:rPr>
                <w:rFonts w:ascii="Times New Roman"/>
                <w:sz w:val="21"/>
              </w:rPr>
            </w:pPr>
            <w:r>
              <w:rPr>
                <w:rFonts w:ascii="Times New Roman"/>
                <w:sz w:val="21"/>
              </w:rPr>
              <w:t>0.009</w:t>
            </w:r>
          </w:p>
        </w:tc>
        <w:tc>
          <w:tcPr>
            <w:tcW w:w="1864" w:type="dxa"/>
          </w:tcPr>
          <w:p>
            <w:pPr>
              <w:pStyle w:val="14"/>
              <w:spacing w:before="15" w:line="237" w:lineRule="exact"/>
              <w:ind w:left="227" w:right="216"/>
              <w:rPr>
                <w:rFonts w:ascii="Times New Roman"/>
                <w:sz w:val="21"/>
              </w:rPr>
            </w:pPr>
            <w:r>
              <w:rPr>
                <w:rFonts w:ascii="Times New Roman"/>
                <w:sz w:val="21"/>
              </w:rPr>
              <w:t>0.1</w:t>
            </w:r>
          </w:p>
        </w:tc>
        <w:tc>
          <w:tcPr>
            <w:tcW w:w="2857" w:type="dxa"/>
          </w:tcPr>
          <w:p>
            <w:pPr>
              <w:pStyle w:val="14"/>
              <w:spacing w:before="29" w:line="222" w:lineRule="exact"/>
              <w:ind w:left="671" w:right="663"/>
              <w:rPr>
                <w:rFonts w:ascii="Times New Roman"/>
                <w:sz w:val="21"/>
              </w:rPr>
            </w:pPr>
            <w:r>
              <w:rPr>
                <w:rFonts w:ascii="Times New Roman"/>
                <w:sz w:val="21"/>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1514" w:type="dxa"/>
          </w:tcPr>
          <w:p>
            <w:pPr>
              <w:pStyle w:val="14"/>
              <w:spacing w:line="222" w:lineRule="exact"/>
              <w:ind w:left="210" w:right="201"/>
              <w:rPr>
                <w:rFonts w:ascii="Times New Roman"/>
                <w:sz w:val="21"/>
              </w:rPr>
            </w:pPr>
            <w:r>
              <w:rPr>
                <w:rFonts w:ascii="Times New Roman"/>
                <w:sz w:val="21"/>
              </w:rPr>
              <w:t>SS</w:t>
            </w:r>
          </w:p>
        </w:tc>
        <w:tc>
          <w:tcPr>
            <w:tcW w:w="3109" w:type="dxa"/>
          </w:tcPr>
          <w:p>
            <w:pPr>
              <w:pStyle w:val="14"/>
              <w:spacing w:line="222" w:lineRule="exact"/>
              <w:ind w:left="1031" w:right="1022"/>
              <w:rPr>
                <w:rFonts w:ascii="Times New Roman"/>
                <w:sz w:val="21"/>
              </w:rPr>
            </w:pPr>
            <w:r>
              <w:rPr>
                <w:rFonts w:ascii="Times New Roman"/>
                <w:sz w:val="21"/>
              </w:rPr>
              <w:t>18.95</w:t>
            </w:r>
          </w:p>
        </w:tc>
        <w:tc>
          <w:tcPr>
            <w:tcW w:w="1864" w:type="dxa"/>
          </w:tcPr>
          <w:p>
            <w:pPr>
              <w:pStyle w:val="14"/>
              <w:spacing w:line="222" w:lineRule="exact"/>
              <w:ind w:left="6"/>
              <w:rPr>
                <w:rFonts w:ascii="Times New Roman"/>
                <w:sz w:val="21"/>
              </w:rPr>
            </w:pPr>
            <w:r>
              <w:rPr>
                <w:rFonts w:ascii="Times New Roman"/>
                <w:w w:val="99"/>
                <w:sz w:val="21"/>
              </w:rPr>
              <w:t>4</w:t>
            </w:r>
          </w:p>
        </w:tc>
        <w:tc>
          <w:tcPr>
            <w:tcW w:w="2857" w:type="dxa"/>
          </w:tcPr>
          <w:p>
            <w:pPr>
              <w:pStyle w:val="14"/>
              <w:spacing w:line="222" w:lineRule="exact"/>
              <w:ind w:left="671" w:right="663"/>
              <w:rPr>
                <w:rFonts w:ascii="Times New Roman"/>
                <w:sz w:val="21"/>
              </w:rPr>
            </w:pPr>
            <w:r>
              <w:rPr>
                <w:rFonts w:ascii="Times New Roman"/>
                <w:sz w:val="21"/>
              </w:rPr>
              <w:t>4738</w:t>
            </w:r>
          </w:p>
        </w:tc>
      </w:tr>
    </w:tbl>
    <w:p>
      <w:pPr>
        <w:pStyle w:val="6"/>
        <w:spacing w:before="3" w:line="362" w:lineRule="auto"/>
        <w:ind w:left="215" w:right="578" w:firstLine="480"/>
        <w:jc w:val="both"/>
      </w:pPr>
      <w:r>
        <w:rPr>
          <w:spacing w:val="-2"/>
        </w:rPr>
        <w:t xml:space="preserve">综上，本项目废水排放方式为直接排放，废水排放量 </w:t>
      </w:r>
      <w:r>
        <w:rPr>
          <w:rFonts w:ascii="Times New Roman" w:eastAsia="Times New Roman"/>
        </w:rPr>
        <w:t xml:space="preserve">Q </w:t>
      </w:r>
      <w:r>
        <w:rPr>
          <w:spacing w:val="-22"/>
        </w:rPr>
        <w:t xml:space="preserve">为 </w:t>
      </w:r>
      <w:r>
        <w:rPr>
          <w:rFonts w:ascii="Times New Roman" w:eastAsia="Times New Roman"/>
        </w:rPr>
        <w:t>1435.68t/d</w:t>
      </w:r>
      <w:r>
        <w:t>，水污染物当</w:t>
      </w:r>
      <w:r>
        <w:rPr>
          <w:spacing w:val="-20"/>
        </w:rPr>
        <w:t xml:space="preserve">量数 </w:t>
      </w:r>
      <w:r>
        <w:rPr>
          <w:rFonts w:ascii="Times New Roman" w:eastAsia="Times New Roman"/>
        </w:rPr>
        <w:t xml:space="preserve">W </w:t>
      </w:r>
      <w:r>
        <w:rPr>
          <w:spacing w:val="-30"/>
        </w:rPr>
        <w:t xml:space="preserve">为 </w:t>
      </w:r>
      <w:r>
        <w:rPr>
          <w:rFonts w:ascii="Times New Roman" w:eastAsia="Times New Roman"/>
        </w:rPr>
        <w:t>7106</w:t>
      </w:r>
      <w:r>
        <w:t>，所以判定本项目地表水环境影响评价工作等级为二级。</w:t>
      </w:r>
    </w:p>
    <w:p>
      <w:pPr>
        <w:pStyle w:val="3"/>
        <w:numPr>
          <w:ilvl w:val="1"/>
          <w:numId w:val="61"/>
        </w:numPr>
        <w:tabs>
          <w:tab w:val="left" w:pos="668"/>
        </w:tabs>
        <w:spacing w:before="5" w:after="0" w:line="240" w:lineRule="auto"/>
        <w:ind w:left="667" w:right="0" w:hanging="453"/>
        <w:jc w:val="left"/>
        <w:rPr>
          <w:rFonts w:ascii="Times New Roman" w:eastAsia="Times New Roman"/>
        </w:rPr>
      </w:pPr>
      <w:bookmarkStart w:id="403" w:name="7.2地表水环境污染源现状调查"/>
      <w:bookmarkEnd w:id="403"/>
      <w:bookmarkStart w:id="404" w:name="_bookmark38"/>
      <w:bookmarkEnd w:id="404"/>
      <w:bookmarkStart w:id="405" w:name="_bookmark38"/>
      <w:bookmarkEnd w:id="405"/>
      <w:r>
        <w:t>地表水环境污染源现状调查</w:t>
      </w:r>
    </w:p>
    <w:p>
      <w:pPr>
        <w:pStyle w:val="4"/>
        <w:numPr>
          <w:ilvl w:val="2"/>
          <w:numId w:val="61"/>
        </w:numPr>
        <w:tabs>
          <w:tab w:val="left" w:pos="848"/>
        </w:tabs>
        <w:spacing w:before="200" w:after="0" w:line="240" w:lineRule="auto"/>
        <w:ind w:left="847" w:right="0" w:hanging="633"/>
        <w:jc w:val="left"/>
      </w:pPr>
      <w:bookmarkStart w:id="406" w:name="7.2.1评价区水环境概况"/>
      <w:bookmarkEnd w:id="406"/>
      <w:bookmarkStart w:id="407" w:name="7.2.1评价区水环境概况"/>
      <w:bookmarkEnd w:id="407"/>
      <w:r>
        <w:t>评价区水环境概况</w:t>
      </w:r>
    </w:p>
    <w:p>
      <w:pPr>
        <w:pStyle w:val="6"/>
        <w:spacing w:before="185" w:line="364" w:lineRule="auto"/>
        <w:ind w:left="215" w:right="457" w:firstLine="480"/>
      </w:pPr>
      <w:r>
        <w:rPr>
          <w:spacing w:val="-1"/>
        </w:rPr>
        <w:t>本项目纳污水体为扁石河。扁石河为七星河水系的分支，七星河水系分布在双鸭山</w:t>
      </w:r>
      <w:r>
        <w:rPr>
          <w:spacing w:val="-8"/>
        </w:rPr>
        <w:t>东部地区，七星河发源于完达山系北麓七星砬子，</w:t>
      </w:r>
      <w:r>
        <w:fldChar w:fldCharType="begin"/>
      </w:r>
      <w:r>
        <w:instrText xml:space="preserve"> HYPERLINK "https://baike.so.com/doc/6705081-6919058.html" \h </w:instrText>
      </w:r>
      <w:r>
        <w:fldChar w:fldCharType="separate"/>
      </w:r>
      <w:r>
        <w:t>从七星农场</w:t>
      </w:r>
      <w:r>
        <w:fldChar w:fldCharType="end"/>
      </w:r>
      <w:r>
        <w:rPr>
          <w:spacing w:val="-7"/>
        </w:rPr>
        <w:t>东部流向东北，经十二连、</w:t>
      </w:r>
      <w:r>
        <w:t>十一</w:t>
      </w:r>
      <w:r>
        <w:fldChar w:fldCharType="begin"/>
      </w:r>
      <w:r>
        <w:instrText xml:space="preserve"> HYPERLINK "https://baike.so.com/doc/4297302-4501007.html" \h </w:instrText>
      </w:r>
      <w:r>
        <w:fldChar w:fldCharType="separate"/>
      </w:r>
      <w:r>
        <w:t>连</w:t>
      </w:r>
      <w:r>
        <w:fldChar w:fldCharType="end"/>
      </w:r>
      <w:r>
        <w:rPr>
          <w:spacing w:val="-7"/>
        </w:rPr>
        <w:t>、九连、十三连出场区</w:t>
      </w:r>
      <w:r>
        <w:rPr>
          <w:rFonts w:ascii="Times New Roman" w:eastAsia="Times New Roman"/>
        </w:rPr>
        <w:t>(</w:t>
      </w:r>
      <w:r>
        <w:rPr>
          <w:spacing w:val="-2"/>
        </w:rPr>
        <w:t>连队称呼为国家农垦农场人们口头表述，因之前为军垦地</w:t>
      </w:r>
    </w:p>
    <w:p>
      <w:pPr>
        <w:spacing w:after="0" w:line="364" w:lineRule="auto"/>
        <w:sectPr>
          <w:type w:val="continuous"/>
          <w:pgSz w:w="11910" w:h="16840"/>
          <w:pgMar w:top="1580" w:right="780" w:bottom="280" w:left="1200" w:header="720" w:footer="720" w:gutter="0"/>
        </w:sectPr>
      </w:pPr>
    </w:p>
    <w:p>
      <w:pPr>
        <w:pStyle w:val="6"/>
        <w:spacing w:before="66" w:line="364" w:lineRule="auto"/>
        <w:ind w:left="215" w:right="457"/>
      </w:pPr>
      <w:r>
        <w:t>以及生产建设兵团师团连</w:t>
      </w:r>
      <w:r>
        <w:rPr>
          <w:rFonts w:ascii="Times New Roman" w:eastAsia="Times New Roman"/>
          <w:spacing w:val="-33"/>
        </w:rPr>
        <w:t>)</w:t>
      </w:r>
      <w:r>
        <w:rPr>
          <w:spacing w:val="-16"/>
        </w:rPr>
        <w:t xml:space="preserve">，在宝清县境内汇入挠力河，最终汇入乌苏里江。全长 </w:t>
      </w:r>
      <w:r>
        <w:rPr>
          <w:rFonts w:ascii="Times New Roman" w:eastAsia="Times New Roman"/>
          <w:spacing w:val="-3"/>
        </w:rPr>
        <w:t>241km</w:t>
      </w:r>
      <w:r>
        <w:rPr>
          <w:spacing w:val="-3"/>
        </w:rPr>
        <w:t xml:space="preserve">， </w:t>
      </w:r>
      <w:r>
        <w:rPr>
          <w:spacing w:val="-10"/>
        </w:rPr>
        <w:t xml:space="preserve">流域面积 </w:t>
      </w:r>
      <w:r>
        <w:rPr>
          <w:rFonts w:ascii="Times New Roman" w:eastAsia="Times New Roman"/>
        </w:rPr>
        <w:t>3940km</w:t>
      </w:r>
      <w:r>
        <w:rPr>
          <w:rFonts w:ascii="Times New Roman" w:eastAsia="Times New Roman"/>
          <w:position w:val="8"/>
          <w:sz w:val="15"/>
        </w:rPr>
        <w:t>2</w:t>
      </w:r>
      <w:r>
        <w:t>。由友谊县地区西南部流经八分场、六分场、五分场，在十分场注入</w:t>
      </w:r>
      <w:r>
        <w:rPr>
          <w:spacing w:val="-12"/>
        </w:rPr>
        <w:t xml:space="preserve">挠力河，区内流程 </w:t>
      </w:r>
      <w:r>
        <w:rPr>
          <w:rFonts w:ascii="Times New Roman" w:eastAsia="Times New Roman"/>
          <w:spacing w:val="-6"/>
        </w:rPr>
        <w:t>138.8km</w:t>
      </w:r>
      <w:r>
        <w:rPr>
          <w:spacing w:val="-10"/>
        </w:rPr>
        <w:t xml:space="preserve">，流域面积达 </w:t>
      </w:r>
      <w:r>
        <w:rPr>
          <w:rFonts w:ascii="Times New Roman" w:eastAsia="Times New Roman"/>
        </w:rPr>
        <w:t>1243km</w:t>
      </w:r>
      <w:r>
        <w:rPr>
          <w:rFonts w:ascii="Times New Roman" w:eastAsia="Times New Roman"/>
          <w:position w:val="8"/>
          <w:sz w:val="15"/>
        </w:rPr>
        <w:t>2</w:t>
      </w:r>
      <w:r>
        <w:rPr>
          <w:spacing w:val="-17"/>
        </w:rPr>
        <w:t xml:space="preserve">。最大流量 </w:t>
      </w:r>
      <w:r>
        <w:rPr>
          <w:rFonts w:ascii="Times New Roman" w:eastAsia="Times New Roman"/>
          <w:spacing w:val="-5"/>
        </w:rPr>
        <w:t>20.46m</w:t>
      </w:r>
      <w:r>
        <w:rPr>
          <w:rFonts w:ascii="Times New Roman" w:eastAsia="Times New Roman"/>
          <w:spacing w:val="-5"/>
          <w:position w:val="8"/>
          <w:sz w:val="15"/>
        </w:rPr>
        <w:t>3</w:t>
      </w:r>
      <w:r>
        <w:rPr>
          <w:rFonts w:ascii="Times New Roman" w:eastAsia="Times New Roman"/>
          <w:spacing w:val="-5"/>
        </w:rPr>
        <w:t>/s</w:t>
      </w:r>
      <w:r>
        <w:rPr>
          <w:spacing w:val="-13"/>
        </w:rPr>
        <w:t xml:space="preserve">，平均为 </w:t>
      </w:r>
      <w:r>
        <w:rPr>
          <w:rFonts w:ascii="Times New Roman" w:eastAsia="Times New Roman"/>
        </w:rPr>
        <w:t>4.0m</w:t>
      </w:r>
      <w:r>
        <w:rPr>
          <w:rFonts w:ascii="Times New Roman" w:eastAsia="Times New Roman"/>
          <w:position w:val="8"/>
          <w:sz w:val="15"/>
        </w:rPr>
        <w:t>3</w:t>
      </w:r>
      <w:r>
        <w:rPr>
          <w:rFonts w:ascii="Times New Roman" w:eastAsia="Times New Roman"/>
        </w:rPr>
        <w:t>/s</w:t>
      </w:r>
      <w:r>
        <w:t>。</w:t>
      </w:r>
    </w:p>
    <w:p>
      <w:pPr>
        <w:pStyle w:val="4"/>
        <w:numPr>
          <w:ilvl w:val="2"/>
          <w:numId w:val="61"/>
        </w:numPr>
        <w:tabs>
          <w:tab w:val="left" w:pos="848"/>
        </w:tabs>
        <w:spacing w:before="0" w:after="0" w:line="357" w:lineRule="exact"/>
        <w:ind w:left="847" w:right="0" w:hanging="633"/>
        <w:jc w:val="left"/>
      </w:pPr>
      <w:bookmarkStart w:id="408" w:name="7.2.2污染源现状调查"/>
      <w:bookmarkEnd w:id="408"/>
      <w:bookmarkStart w:id="409" w:name="7.2.2污染源现状调查"/>
      <w:bookmarkEnd w:id="409"/>
      <w:r>
        <w:t>污染源现状调查</w:t>
      </w:r>
    </w:p>
    <w:p>
      <w:pPr>
        <w:pStyle w:val="6"/>
        <w:spacing w:before="185"/>
        <w:ind w:left="696"/>
      </w:pPr>
      <w:r>
        <w:t>本评价区域内，无重大污染工业项目。评价区主要污染源为处理后的矿井涌水排放。</w:t>
      </w:r>
    </w:p>
    <w:p>
      <w:pPr>
        <w:pStyle w:val="3"/>
        <w:numPr>
          <w:ilvl w:val="1"/>
          <w:numId w:val="61"/>
        </w:numPr>
        <w:tabs>
          <w:tab w:val="left" w:pos="668"/>
        </w:tabs>
        <w:spacing w:before="161" w:after="0" w:line="240" w:lineRule="auto"/>
        <w:ind w:left="667" w:right="0" w:hanging="453"/>
        <w:jc w:val="left"/>
        <w:rPr>
          <w:rFonts w:ascii="Times New Roman" w:eastAsia="Times New Roman"/>
        </w:rPr>
      </w:pPr>
      <w:bookmarkStart w:id="410" w:name="7.3地表水环境质量现状监测与评价"/>
      <w:bookmarkEnd w:id="410"/>
      <w:bookmarkStart w:id="411" w:name="_bookmark39"/>
      <w:bookmarkEnd w:id="411"/>
      <w:bookmarkStart w:id="412" w:name="_bookmark39"/>
      <w:bookmarkEnd w:id="412"/>
      <w:r>
        <w:t>地表水环境质量现状监测与评价</w:t>
      </w:r>
    </w:p>
    <w:p>
      <w:pPr>
        <w:pStyle w:val="4"/>
        <w:numPr>
          <w:ilvl w:val="2"/>
          <w:numId w:val="61"/>
        </w:numPr>
        <w:tabs>
          <w:tab w:val="left" w:pos="917"/>
        </w:tabs>
        <w:spacing w:before="199" w:after="0" w:line="240" w:lineRule="auto"/>
        <w:ind w:left="916" w:right="0" w:hanging="702"/>
        <w:jc w:val="left"/>
      </w:pPr>
      <w:bookmarkStart w:id="413" w:name="7.3.1 现状监测"/>
      <w:bookmarkEnd w:id="413"/>
      <w:bookmarkStart w:id="414" w:name="7.3.1 现状监测"/>
      <w:bookmarkEnd w:id="414"/>
      <w:r>
        <w:t>现状监测</w:t>
      </w:r>
    </w:p>
    <w:p>
      <w:pPr>
        <w:pStyle w:val="5"/>
        <w:numPr>
          <w:ilvl w:val="3"/>
          <w:numId w:val="61"/>
        </w:numPr>
        <w:tabs>
          <w:tab w:val="left" w:pos="936"/>
        </w:tabs>
        <w:spacing w:before="186" w:after="0" w:line="240" w:lineRule="auto"/>
        <w:ind w:left="936" w:right="0" w:hanging="721"/>
        <w:jc w:val="left"/>
      </w:pPr>
      <w:bookmarkStart w:id="415" w:name="7.3.1.1监测范围"/>
      <w:bookmarkEnd w:id="415"/>
      <w:bookmarkStart w:id="416" w:name="7.3.1.1监测范围"/>
      <w:bookmarkEnd w:id="416"/>
      <w:r>
        <w:t>监测范围</w:t>
      </w:r>
    </w:p>
    <w:p>
      <w:pPr>
        <w:pStyle w:val="6"/>
        <w:spacing w:before="158" w:line="364" w:lineRule="auto"/>
        <w:ind w:left="215" w:right="580" w:firstLine="480"/>
        <w:jc w:val="both"/>
      </w:pPr>
      <w:r>
        <w:t xml:space="preserve">根据本项目的排污特点及纳污水体的环境质量现状，确定本次评价的监测范围为纳污水体扁石河汇入口上游 </w:t>
      </w:r>
      <w:r>
        <w:rPr>
          <w:rFonts w:ascii="Times New Roman" w:eastAsia="Times New Roman"/>
        </w:rPr>
        <w:t>500m</w:t>
      </w:r>
      <w:r>
        <w:t xml:space="preserve">，下游 </w:t>
      </w:r>
      <w:r>
        <w:rPr>
          <w:rFonts w:ascii="Times New Roman" w:eastAsia="Times New Roman"/>
        </w:rPr>
        <w:t>1000m</w:t>
      </w:r>
      <w:r>
        <w:t xml:space="preserve">，下游 </w:t>
      </w:r>
      <w:r>
        <w:rPr>
          <w:rFonts w:ascii="Times New Roman" w:eastAsia="Times New Roman"/>
        </w:rPr>
        <w:t>5000m</w:t>
      </w:r>
      <w:r>
        <w:t xml:space="preserve">，总控制长度约 </w:t>
      </w:r>
      <w:r>
        <w:rPr>
          <w:rFonts w:ascii="Times New Roman" w:eastAsia="Times New Roman"/>
        </w:rPr>
        <w:t>5500m</w:t>
      </w:r>
      <w:r>
        <w:t>。</w:t>
      </w:r>
    </w:p>
    <w:p>
      <w:pPr>
        <w:pStyle w:val="5"/>
        <w:numPr>
          <w:ilvl w:val="3"/>
          <w:numId w:val="61"/>
        </w:numPr>
        <w:tabs>
          <w:tab w:val="left" w:pos="936"/>
        </w:tabs>
        <w:spacing w:before="1" w:after="0" w:line="240" w:lineRule="auto"/>
        <w:ind w:left="936" w:right="0" w:hanging="721"/>
        <w:jc w:val="both"/>
      </w:pPr>
      <w:bookmarkStart w:id="417" w:name="7.3.1.2监测项目及分析方法"/>
      <w:bookmarkEnd w:id="417"/>
      <w:bookmarkStart w:id="418" w:name="7.3.1.2监测项目及分析方法"/>
      <w:bookmarkEnd w:id="418"/>
      <w:r>
        <w:t>监测项目及分析方法</w:t>
      </w:r>
    </w:p>
    <w:p>
      <w:pPr>
        <w:pStyle w:val="6"/>
        <w:spacing w:before="158" w:line="362" w:lineRule="auto"/>
        <w:ind w:left="215" w:right="453" w:firstLine="480"/>
        <w:jc w:val="both"/>
      </w:pPr>
      <w:r>
        <w:rPr>
          <w:spacing w:val="-4"/>
        </w:rPr>
        <w:t>根据扁石河水质污染现状及本项目投产后的排水特点，选择如下监测项目：</w:t>
      </w:r>
      <w:r>
        <w:rPr>
          <w:rFonts w:ascii="Times New Roman" w:eastAsia="Times New Roman"/>
          <w:spacing w:val="-22"/>
        </w:rPr>
        <w:t>pH</w:t>
      </w:r>
      <w:r>
        <w:rPr>
          <w:spacing w:val="-63"/>
        </w:rPr>
        <w:t>、</w:t>
      </w:r>
      <w:r>
        <w:rPr>
          <w:rFonts w:ascii="Times New Roman" w:eastAsia="Times New Roman"/>
        </w:rPr>
        <w:t>SS</w:t>
      </w:r>
      <w:r>
        <w:t>、</w:t>
      </w:r>
      <w:r>
        <w:rPr>
          <w:rFonts w:ascii="Times New Roman" w:eastAsia="Times New Roman"/>
        </w:rPr>
        <w:t>COD</w:t>
      </w:r>
      <w:r>
        <w:rPr>
          <w:spacing w:val="-14"/>
        </w:rPr>
        <w:t>、石油类、总铁、总锰、总汞、总镉、总铬、六价铬、总铅、总砷、总锌、氟化物、</w:t>
      </w:r>
      <w:r>
        <w:rPr>
          <w:spacing w:val="-11"/>
          <w:position w:val="2"/>
        </w:rPr>
        <w:t>溶解氧、</w:t>
      </w:r>
      <w:r>
        <w:rPr>
          <w:rFonts w:ascii="Times New Roman" w:eastAsia="Times New Roman"/>
          <w:position w:val="2"/>
        </w:rPr>
        <w:t>BOD</w:t>
      </w:r>
      <w:r>
        <w:rPr>
          <w:rFonts w:ascii="Times New Roman" w:eastAsia="Times New Roman"/>
          <w:position w:val="2"/>
          <w:vertAlign w:val="subscript"/>
        </w:rPr>
        <w:t>5</w:t>
      </w:r>
      <w:r>
        <w:rPr>
          <w:spacing w:val="-19"/>
          <w:position w:val="2"/>
          <w:vertAlign w:val="baseline"/>
        </w:rPr>
        <w:t xml:space="preserve">、氨氮共计 </w:t>
      </w:r>
      <w:r>
        <w:rPr>
          <w:rFonts w:ascii="Times New Roman" w:eastAsia="Times New Roman"/>
          <w:position w:val="2"/>
          <w:vertAlign w:val="baseline"/>
        </w:rPr>
        <w:t xml:space="preserve">17 </w:t>
      </w:r>
      <w:r>
        <w:rPr>
          <w:spacing w:val="-15"/>
          <w:position w:val="2"/>
          <w:vertAlign w:val="baseline"/>
        </w:rPr>
        <w:t>项。分析方法按照《地表水环境质量标准》</w:t>
      </w:r>
      <w:r>
        <w:rPr>
          <w:position w:val="2"/>
          <w:vertAlign w:val="baseline"/>
        </w:rPr>
        <w:t>（</w:t>
      </w:r>
      <w:r>
        <w:rPr>
          <w:rFonts w:ascii="Times New Roman" w:eastAsia="Times New Roman"/>
          <w:position w:val="2"/>
          <w:vertAlign w:val="baseline"/>
        </w:rPr>
        <w:t>GB3838-2002</w:t>
      </w:r>
      <w:r>
        <w:rPr>
          <w:position w:val="2"/>
          <w:vertAlign w:val="baseline"/>
        </w:rPr>
        <w:t xml:space="preserve">） </w:t>
      </w:r>
      <w:r>
        <w:rPr>
          <w:spacing w:val="-5"/>
          <w:vertAlign w:val="baseline"/>
        </w:rPr>
        <w:t xml:space="preserve">中规定的方法进行，具体见表 </w:t>
      </w:r>
      <w:r>
        <w:rPr>
          <w:rFonts w:ascii="Times New Roman" w:eastAsia="Times New Roman"/>
          <w:vertAlign w:val="baseline"/>
        </w:rPr>
        <w:t>7.3-1</w:t>
      </w:r>
      <w:r>
        <w:rPr>
          <w:spacing w:val="-8"/>
          <w:vertAlign w:val="baseline"/>
        </w:rPr>
        <w:t xml:space="preserve">，监测结果见表 </w:t>
      </w:r>
      <w:r>
        <w:rPr>
          <w:rFonts w:ascii="Times New Roman" w:eastAsia="Times New Roman"/>
          <w:vertAlign w:val="baseline"/>
        </w:rPr>
        <w:t>7.3-2</w:t>
      </w:r>
      <w:r>
        <w:rPr>
          <w:vertAlign w:val="baseline"/>
        </w:rPr>
        <w:t>。</w:t>
      </w:r>
    </w:p>
    <w:p>
      <w:pPr>
        <w:pStyle w:val="5"/>
        <w:numPr>
          <w:ilvl w:val="3"/>
          <w:numId w:val="61"/>
        </w:numPr>
        <w:tabs>
          <w:tab w:val="left" w:pos="936"/>
        </w:tabs>
        <w:spacing w:before="5" w:after="0" w:line="240" w:lineRule="auto"/>
        <w:ind w:left="936" w:right="0" w:hanging="721"/>
        <w:jc w:val="left"/>
      </w:pPr>
      <w:bookmarkStart w:id="419" w:name="7.3.1.3监测结果及分析"/>
      <w:bookmarkEnd w:id="419"/>
      <w:bookmarkStart w:id="420" w:name="7.3.1.3监测结果及分析"/>
      <w:bookmarkEnd w:id="420"/>
      <w:r>
        <w:rPr>
          <w:w w:val="95"/>
        </w:rPr>
        <w:t>监测结果及分析</w:t>
      </w:r>
    </w:p>
    <w:p>
      <w:pPr>
        <w:pStyle w:val="6"/>
        <w:spacing w:before="161" w:line="362" w:lineRule="auto"/>
        <w:ind w:left="215" w:right="577" w:firstLine="480"/>
        <w:jc w:val="both"/>
      </w:pPr>
      <w:r>
        <w:rPr>
          <w:spacing w:val="-5"/>
        </w:rPr>
        <w:t xml:space="preserve">委托黑龙江康和检测有限公司于 </w:t>
      </w:r>
      <w:r>
        <w:rPr>
          <w:rFonts w:ascii="Times New Roman" w:eastAsia="Times New Roman"/>
        </w:rPr>
        <w:t>2020</w:t>
      </w:r>
      <w:r>
        <w:rPr>
          <w:rFonts w:ascii="Times New Roman" w:eastAsia="Times New Roman"/>
          <w:spacing w:val="-5"/>
        </w:rPr>
        <w:t xml:space="preserve"> </w:t>
      </w:r>
      <w:r>
        <w:rPr>
          <w:spacing w:val="-34"/>
        </w:rPr>
        <w:t xml:space="preserve">年 </w:t>
      </w:r>
      <w:r>
        <w:rPr>
          <w:rFonts w:ascii="Times New Roman" w:eastAsia="Times New Roman"/>
        </w:rPr>
        <w:t>05</w:t>
      </w:r>
      <w:r>
        <w:rPr>
          <w:rFonts w:ascii="Times New Roman" w:eastAsia="Times New Roman"/>
          <w:spacing w:val="-4"/>
        </w:rPr>
        <w:t xml:space="preserve"> </w:t>
      </w:r>
      <w:r>
        <w:rPr>
          <w:spacing w:val="-33"/>
        </w:rPr>
        <w:t xml:space="preserve">月 </w:t>
      </w:r>
      <w:r>
        <w:rPr>
          <w:rFonts w:ascii="Times New Roman" w:eastAsia="Times New Roman"/>
        </w:rPr>
        <w:t>22</w:t>
      </w:r>
      <w:r>
        <w:rPr>
          <w:rFonts w:ascii="Times New Roman" w:eastAsia="Times New Roman"/>
          <w:spacing w:val="-8"/>
        </w:rPr>
        <w:t xml:space="preserve"> </w:t>
      </w:r>
      <w:r>
        <w:t>日</w:t>
      </w:r>
      <w:r>
        <w:rPr>
          <w:rFonts w:ascii="Times New Roman" w:eastAsia="Times New Roman"/>
        </w:rPr>
        <w:t>~2020</w:t>
      </w:r>
      <w:r>
        <w:rPr>
          <w:rFonts w:ascii="Times New Roman" w:eastAsia="Times New Roman"/>
          <w:spacing w:val="-8"/>
        </w:rPr>
        <w:t xml:space="preserve"> </w:t>
      </w:r>
      <w:r>
        <w:rPr>
          <w:spacing w:val="-32"/>
        </w:rPr>
        <w:t xml:space="preserve">年 </w:t>
      </w:r>
      <w:r>
        <w:rPr>
          <w:rFonts w:ascii="Times New Roman" w:eastAsia="Times New Roman"/>
        </w:rPr>
        <w:t>05</w:t>
      </w:r>
      <w:r>
        <w:rPr>
          <w:rFonts w:ascii="Times New Roman" w:eastAsia="Times New Roman"/>
          <w:spacing w:val="-5"/>
        </w:rPr>
        <w:t xml:space="preserve"> </w:t>
      </w:r>
      <w:r>
        <w:rPr>
          <w:spacing w:val="-34"/>
        </w:rPr>
        <w:t xml:space="preserve">月 </w:t>
      </w:r>
      <w:r>
        <w:rPr>
          <w:rFonts w:ascii="Times New Roman" w:eastAsia="Times New Roman"/>
        </w:rPr>
        <w:t>24</w:t>
      </w:r>
      <w:r>
        <w:rPr>
          <w:rFonts w:ascii="Times New Roman" w:eastAsia="Times New Roman"/>
          <w:spacing w:val="-4"/>
        </w:rPr>
        <w:t xml:space="preserve"> </w:t>
      </w:r>
      <w:r>
        <w:rPr>
          <w:spacing w:val="-2"/>
        </w:rPr>
        <w:t>日对本项目纳</w:t>
      </w:r>
      <w:r>
        <w:t>污水体扁石河的水质进行监测。</w:t>
      </w:r>
    </w:p>
    <w:p>
      <w:pPr>
        <w:pStyle w:val="6"/>
        <w:spacing w:before="5"/>
        <w:ind w:left="696"/>
      </w:pPr>
      <w:r>
        <w:t xml:space="preserve">地表水现状监测项目及分析方法见表 </w:t>
      </w:r>
      <w:r>
        <w:rPr>
          <w:rFonts w:ascii="Times New Roman" w:eastAsia="Times New Roman"/>
        </w:rPr>
        <w:t>7.3-1</w:t>
      </w:r>
      <w:r>
        <w:t xml:space="preserve">，地表水监测结果见表 </w:t>
      </w:r>
      <w:r>
        <w:rPr>
          <w:rFonts w:ascii="Times New Roman" w:eastAsia="Times New Roman"/>
        </w:rPr>
        <w:t>7.3-2</w:t>
      </w:r>
      <w:r>
        <w:t>。</w:t>
      </w:r>
    </w:p>
    <w:p>
      <w:pPr>
        <w:pStyle w:val="5"/>
        <w:tabs>
          <w:tab w:val="left" w:pos="1166"/>
        </w:tabs>
        <w:spacing w:before="158" w:after="3"/>
        <w:ind w:left="127"/>
        <w:jc w:val="center"/>
      </w:pPr>
      <w:r>
        <w:t>表</w:t>
      </w:r>
      <w:r>
        <w:rPr>
          <w:spacing w:val="-62"/>
        </w:rPr>
        <w:t xml:space="preserve"> </w:t>
      </w:r>
      <w:r>
        <w:rPr>
          <w:rFonts w:ascii="Times New Roman" w:eastAsia="Times New Roman"/>
        </w:rPr>
        <w:t>7.3-1</w:t>
      </w:r>
      <w:r>
        <w:rPr>
          <w:rFonts w:ascii="Times New Roman" w:eastAsia="Times New Roman"/>
        </w:rPr>
        <w:tab/>
      </w:r>
      <w:r>
        <w:t>地表水监测项目及分析方法</w:t>
      </w: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25"/>
        <w:gridCol w:w="1950"/>
        <w:gridCol w:w="59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425" w:type="dxa"/>
          </w:tcPr>
          <w:p>
            <w:pPr>
              <w:pStyle w:val="14"/>
              <w:spacing w:before="137"/>
              <w:ind w:left="270" w:right="265"/>
              <w:rPr>
                <w:sz w:val="21"/>
              </w:rPr>
            </w:pPr>
            <w:r>
              <w:rPr>
                <w:sz w:val="21"/>
              </w:rPr>
              <w:t>监测项目</w:t>
            </w:r>
          </w:p>
        </w:tc>
        <w:tc>
          <w:tcPr>
            <w:tcW w:w="1950" w:type="dxa"/>
          </w:tcPr>
          <w:p>
            <w:pPr>
              <w:pStyle w:val="14"/>
              <w:spacing w:before="137"/>
              <w:ind w:left="638" w:right="631"/>
              <w:rPr>
                <w:sz w:val="21"/>
              </w:rPr>
            </w:pPr>
            <w:r>
              <w:rPr>
                <w:sz w:val="21"/>
              </w:rPr>
              <w:t>单位</w:t>
            </w:r>
          </w:p>
        </w:tc>
        <w:tc>
          <w:tcPr>
            <w:tcW w:w="5969" w:type="dxa"/>
          </w:tcPr>
          <w:p>
            <w:pPr>
              <w:pStyle w:val="14"/>
              <w:spacing w:before="137"/>
              <w:ind w:left="6"/>
              <w:rPr>
                <w:sz w:val="21"/>
              </w:rPr>
            </w:pPr>
            <w:r>
              <w:rPr>
                <w:sz w:val="21"/>
              </w:rPr>
              <w:t>分析方法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425" w:type="dxa"/>
          </w:tcPr>
          <w:p>
            <w:pPr>
              <w:pStyle w:val="14"/>
              <w:spacing w:before="16" w:line="237" w:lineRule="exact"/>
              <w:ind w:left="270" w:right="260"/>
              <w:rPr>
                <w:rFonts w:ascii="Times New Roman"/>
                <w:sz w:val="21"/>
              </w:rPr>
            </w:pPr>
            <w:r>
              <w:rPr>
                <w:rFonts w:ascii="Times New Roman"/>
                <w:sz w:val="21"/>
              </w:rPr>
              <w:t>pH</w:t>
            </w:r>
          </w:p>
        </w:tc>
        <w:tc>
          <w:tcPr>
            <w:tcW w:w="1950" w:type="dxa"/>
          </w:tcPr>
          <w:p>
            <w:pPr>
              <w:pStyle w:val="14"/>
              <w:spacing w:before="2" w:line="251" w:lineRule="exact"/>
              <w:ind w:left="638" w:right="631"/>
              <w:rPr>
                <w:sz w:val="21"/>
              </w:rPr>
            </w:pPr>
            <w:r>
              <w:rPr>
                <w:sz w:val="21"/>
              </w:rPr>
              <w:t>无量纲</w:t>
            </w:r>
          </w:p>
        </w:tc>
        <w:tc>
          <w:tcPr>
            <w:tcW w:w="5969" w:type="dxa"/>
          </w:tcPr>
          <w:p>
            <w:pPr>
              <w:pStyle w:val="14"/>
              <w:spacing w:before="2" w:line="251" w:lineRule="exact"/>
              <w:ind w:left="12"/>
              <w:rPr>
                <w:rFonts w:ascii="Times New Roman" w:eastAsia="Times New Roman"/>
                <w:sz w:val="21"/>
              </w:rPr>
            </w:pPr>
            <w:r>
              <w:rPr>
                <w:sz w:val="21"/>
              </w:rPr>
              <w:t xml:space="preserve">水质 </w:t>
            </w:r>
            <w:r>
              <w:rPr>
                <w:rFonts w:ascii="Times New Roman" w:eastAsia="Times New Roman"/>
                <w:sz w:val="21"/>
              </w:rPr>
              <w:t xml:space="preserve">pH </w:t>
            </w:r>
            <w:r>
              <w:rPr>
                <w:sz w:val="21"/>
              </w:rPr>
              <w:t xml:space="preserve">值的测定玻璃电极法 </w:t>
            </w:r>
            <w:r>
              <w:rPr>
                <w:rFonts w:ascii="Times New Roman" w:eastAsia="Times New Roman"/>
                <w:sz w:val="21"/>
              </w:rPr>
              <w:t>GB/T 6920-1986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425" w:type="dxa"/>
          </w:tcPr>
          <w:p>
            <w:pPr>
              <w:pStyle w:val="14"/>
              <w:spacing w:before="14" w:line="238" w:lineRule="exact"/>
              <w:ind w:left="270" w:right="261"/>
              <w:rPr>
                <w:rFonts w:ascii="Times New Roman"/>
                <w:sz w:val="21"/>
              </w:rPr>
            </w:pPr>
            <w:r>
              <w:rPr>
                <w:rFonts w:ascii="Times New Roman"/>
                <w:sz w:val="21"/>
              </w:rPr>
              <w:t>SS</w:t>
            </w:r>
          </w:p>
        </w:tc>
        <w:tc>
          <w:tcPr>
            <w:tcW w:w="1950" w:type="dxa"/>
          </w:tcPr>
          <w:p>
            <w:pPr>
              <w:pStyle w:val="14"/>
              <w:spacing w:before="14" w:line="238" w:lineRule="exact"/>
              <w:ind w:left="638" w:right="630"/>
              <w:rPr>
                <w:rFonts w:ascii="Times New Roman"/>
                <w:sz w:val="21"/>
              </w:rPr>
            </w:pPr>
            <w:r>
              <w:rPr>
                <w:rFonts w:ascii="Times New Roman"/>
                <w:sz w:val="21"/>
              </w:rPr>
              <w:t>mg/L</w:t>
            </w:r>
          </w:p>
        </w:tc>
        <w:tc>
          <w:tcPr>
            <w:tcW w:w="5969" w:type="dxa"/>
          </w:tcPr>
          <w:p>
            <w:pPr>
              <w:pStyle w:val="14"/>
              <w:spacing w:line="252" w:lineRule="exact"/>
              <w:ind w:left="1049"/>
              <w:jc w:val="left"/>
              <w:rPr>
                <w:rFonts w:ascii="Times New Roman" w:eastAsia="Times New Roman"/>
                <w:sz w:val="21"/>
              </w:rPr>
            </w:pPr>
            <w:r>
              <w:rPr>
                <w:sz w:val="21"/>
              </w:rPr>
              <w:t xml:space="preserve">水质 悬浮物的测定重量法 </w:t>
            </w:r>
            <w:r>
              <w:rPr>
                <w:rFonts w:ascii="Times New Roman" w:eastAsia="Times New Roman"/>
                <w:sz w:val="21"/>
              </w:rPr>
              <w:t>GB 11901-1989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425" w:type="dxa"/>
          </w:tcPr>
          <w:p>
            <w:pPr>
              <w:pStyle w:val="14"/>
              <w:spacing w:before="15" w:line="237" w:lineRule="exact"/>
              <w:ind w:left="270" w:right="263"/>
              <w:rPr>
                <w:rFonts w:ascii="Times New Roman"/>
                <w:sz w:val="21"/>
              </w:rPr>
            </w:pPr>
            <w:r>
              <w:rPr>
                <w:rFonts w:ascii="Times New Roman"/>
                <w:sz w:val="21"/>
              </w:rPr>
              <w:t>COD</w:t>
            </w:r>
          </w:p>
        </w:tc>
        <w:tc>
          <w:tcPr>
            <w:tcW w:w="1950" w:type="dxa"/>
          </w:tcPr>
          <w:p>
            <w:pPr>
              <w:pStyle w:val="14"/>
              <w:spacing w:before="15" w:line="237" w:lineRule="exact"/>
              <w:ind w:left="638" w:right="630"/>
              <w:rPr>
                <w:rFonts w:ascii="Times New Roman"/>
                <w:sz w:val="21"/>
              </w:rPr>
            </w:pPr>
            <w:r>
              <w:rPr>
                <w:rFonts w:ascii="Times New Roman"/>
                <w:sz w:val="21"/>
              </w:rPr>
              <w:t>mg/L</w:t>
            </w:r>
          </w:p>
        </w:tc>
        <w:tc>
          <w:tcPr>
            <w:tcW w:w="5969" w:type="dxa"/>
          </w:tcPr>
          <w:p>
            <w:pPr>
              <w:pStyle w:val="14"/>
              <w:spacing w:before="1" w:line="251" w:lineRule="exact"/>
              <w:ind w:left="9"/>
              <w:rPr>
                <w:rFonts w:ascii="Times New Roman" w:eastAsia="Times New Roman"/>
                <w:sz w:val="21"/>
              </w:rPr>
            </w:pPr>
            <w:r>
              <w:rPr>
                <w:sz w:val="21"/>
              </w:rPr>
              <w:t xml:space="preserve">水质 化学需氧量的测定重铬酸盐法 </w:t>
            </w:r>
            <w:r>
              <w:rPr>
                <w:rFonts w:ascii="Times New Roman" w:eastAsia="Times New Roman"/>
                <w:sz w:val="21"/>
              </w:rPr>
              <w:t>HJ 828-2017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425" w:type="dxa"/>
          </w:tcPr>
          <w:p>
            <w:pPr>
              <w:pStyle w:val="14"/>
              <w:spacing w:line="253" w:lineRule="exact"/>
              <w:ind w:left="270" w:right="262"/>
              <w:rPr>
                <w:sz w:val="21"/>
              </w:rPr>
            </w:pPr>
            <w:r>
              <w:rPr>
                <w:sz w:val="21"/>
              </w:rPr>
              <w:t>石油类</w:t>
            </w:r>
          </w:p>
        </w:tc>
        <w:tc>
          <w:tcPr>
            <w:tcW w:w="1950" w:type="dxa"/>
          </w:tcPr>
          <w:p>
            <w:pPr>
              <w:pStyle w:val="14"/>
              <w:spacing w:before="14" w:line="239" w:lineRule="exact"/>
              <w:ind w:left="638" w:right="630"/>
              <w:rPr>
                <w:rFonts w:ascii="Times New Roman"/>
                <w:sz w:val="21"/>
              </w:rPr>
            </w:pPr>
            <w:r>
              <w:rPr>
                <w:rFonts w:ascii="Times New Roman"/>
                <w:sz w:val="21"/>
              </w:rPr>
              <w:t>mg/L</w:t>
            </w:r>
          </w:p>
        </w:tc>
        <w:tc>
          <w:tcPr>
            <w:tcW w:w="5969" w:type="dxa"/>
          </w:tcPr>
          <w:p>
            <w:pPr>
              <w:pStyle w:val="14"/>
              <w:spacing w:line="253" w:lineRule="exact"/>
              <w:ind w:left="9"/>
              <w:rPr>
                <w:rFonts w:ascii="Times New Roman" w:eastAsia="Times New Roman"/>
                <w:sz w:val="21"/>
              </w:rPr>
            </w:pPr>
            <w:r>
              <w:rPr>
                <w:sz w:val="21"/>
              </w:rPr>
              <w:t xml:space="preserve">水质 石油类的测定紫外分光光度法 </w:t>
            </w:r>
            <w:r>
              <w:rPr>
                <w:rFonts w:ascii="Times New Roman" w:eastAsia="Times New Roman"/>
                <w:sz w:val="21"/>
              </w:rPr>
              <w:t>HJ 970-2018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425" w:type="dxa"/>
          </w:tcPr>
          <w:p>
            <w:pPr>
              <w:pStyle w:val="14"/>
              <w:spacing w:line="252" w:lineRule="exact"/>
              <w:ind w:left="270" w:right="262"/>
              <w:rPr>
                <w:sz w:val="21"/>
              </w:rPr>
            </w:pPr>
            <w:r>
              <w:rPr>
                <w:sz w:val="21"/>
              </w:rPr>
              <w:t>总铁</w:t>
            </w:r>
          </w:p>
        </w:tc>
        <w:tc>
          <w:tcPr>
            <w:tcW w:w="1950" w:type="dxa"/>
          </w:tcPr>
          <w:p>
            <w:pPr>
              <w:pStyle w:val="14"/>
              <w:spacing w:before="14" w:line="238" w:lineRule="exact"/>
              <w:ind w:left="638" w:right="630"/>
              <w:rPr>
                <w:rFonts w:ascii="Times New Roman"/>
                <w:sz w:val="21"/>
              </w:rPr>
            </w:pPr>
            <w:r>
              <w:rPr>
                <w:rFonts w:ascii="Times New Roman"/>
                <w:sz w:val="21"/>
              </w:rPr>
              <w:t>mg/L</w:t>
            </w:r>
          </w:p>
        </w:tc>
        <w:tc>
          <w:tcPr>
            <w:tcW w:w="5969" w:type="dxa"/>
          </w:tcPr>
          <w:p>
            <w:pPr>
              <w:pStyle w:val="14"/>
              <w:spacing w:line="252" w:lineRule="exact"/>
              <w:ind w:right="192"/>
              <w:jc w:val="right"/>
              <w:rPr>
                <w:rFonts w:ascii="Times New Roman" w:eastAsia="Times New Roman"/>
                <w:sz w:val="21"/>
              </w:rPr>
            </w:pPr>
            <w:r>
              <w:rPr>
                <w:sz w:val="21"/>
              </w:rPr>
              <w:t xml:space="preserve">水质 铁、锰的测定火焰原子吸收分光光度法 </w:t>
            </w:r>
            <w:r>
              <w:rPr>
                <w:rFonts w:ascii="Times New Roman" w:eastAsia="Times New Roman"/>
                <w:sz w:val="21"/>
              </w:rPr>
              <w:t>GB 11911-1989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425" w:type="dxa"/>
          </w:tcPr>
          <w:p>
            <w:pPr>
              <w:pStyle w:val="14"/>
              <w:spacing w:line="252" w:lineRule="exact"/>
              <w:ind w:left="270" w:right="262"/>
              <w:rPr>
                <w:sz w:val="21"/>
              </w:rPr>
            </w:pPr>
            <w:r>
              <w:rPr>
                <w:sz w:val="21"/>
              </w:rPr>
              <w:t>总锰</w:t>
            </w:r>
          </w:p>
        </w:tc>
        <w:tc>
          <w:tcPr>
            <w:tcW w:w="1950" w:type="dxa"/>
          </w:tcPr>
          <w:p>
            <w:pPr>
              <w:pStyle w:val="14"/>
              <w:spacing w:before="13" w:line="239" w:lineRule="exact"/>
              <w:ind w:left="638" w:right="630"/>
              <w:rPr>
                <w:rFonts w:ascii="Times New Roman"/>
                <w:sz w:val="21"/>
              </w:rPr>
            </w:pPr>
            <w:r>
              <w:rPr>
                <w:rFonts w:ascii="Times New Roman"/>
                <w:sz w:val="21"/>
              </w:rPr>
              <w:t>mg/L</w:t>
            </w:r>
          </w:p>
        </w:tc>
        <w:tc>
          <w:tcPr>
            <w:tcW w:w="5969" w:type="dxa"/>
          </w:tcPr>
          <w:p>
            <w:pPr>
              <w:pStyle w:val="14"/>
              <w:spacing w:line="252" w:lineRule="exact"/>
              <w:ind w:right="192"/>
              <w:jc w:val="right"/>
              <w:rPr>
                <w:rFonts w:ascii="Times New Roman" w:eastAsia="Times New Roman"/>
                <w:sz w:val="21"/>
              </w:rPr>
            </w:pPr>
            <w:r>
              <w:rPr>
                <w:sz w:val="21"/>
              </w:rPr>
              <w:t xml:space="preserve">水质 铁、锰的测定火焰原子吸收分光光度法 </w:t>
            </w:r>
            <w:r>
              <w:rPr>
                <w:rFonts w:ascii="Times New Roman" w:eastAsia="Times New Roman"/>
                <w:sz w:val="21"/>
              </w:rPr>
              <w:t>GB 11911-1989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425" w:type="dxa"/>
          </w:tcPr>
          <w:p>
            <w:pPr>
              <w:pStyle w:val="14"/>
              <w:spacing w:line="253" w:lineRule="exact"/>
              <w:ind w:left="270" w:right="262"/>
              <w:rPr>
                <w:sz w:val="21"/>
              </w:rPr>
            </w:pPr>
            <w:r>
              <w:rPr>
                <w:sz w:val="21"/>
              </w:rPr>
              <w:t>总汞</w:t>
            </w:r>
          </w:p>
        </w:tc>
        <w:tc>
          <w:tcPr>
            <w:tcW w:w="1950" w:type="dxa"/>
          </w:tcPr>
          <w:p>
            <w:pPr>
              <w:pStyle w:val="14"/>
              <w:spacing w:before="14" w:line="239" w:lineRule="exact"/>
              <w:ind w:left="638" w:right="630"/>
              <w:rPr>
                <w:rFonts w:ascii="Times New Roman"/>
                <w:sz w:val="21"/>
              </w:rPr>
            </w:pPr>
            <w:r>
              <w:rPr>
                <w:rFonts w:ascii="Times New Roman"/>
                <w:sz w:val="21"/>
              </w:rPr>
              <w:t>mg/L</w:t>
            </w:r>
          </w:p>
        </w:tc>
        <w:tc>
          <w:tcPr>
            <w:tcW w:w="5969" w:type="dxa"/>
          </w:tcPr>
          <w:p>
            <w:pPr>
              <w:pStyle w:val="14"/>
              <w:spacing w:line="253" w:lineRule="exact"/>
              <w:ind w:left="338"/>
              <w:jc w:val="left"/>
              <w:rPr>
                <w:rFonts w:ascii="Times New Roman" w:eastAsia="Times New Roman"/>
                <w:sz w:val="21"/>
              </w:rPr>
            </w:pPr>
            <w:r>
              <w:rPr>
                <w:sz w:val="21"/>
              </w:rPr>
              <w:t xml:space="preserve">水质 汞、砷、硒、铋和锑的测定原子荧光法 </w:t>
            </w:r>
            <w:r>
              <w:rPr>
                <w:rFonts w:ascii="Times New Roman" w:eastAsia="Times New Roman"/>
                <w:sz w:val="21"/>
              </w:rPr>
              <w:t>HJ 694-2014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1425" w:type="dxa"/>
          </w:tcPr>
          <w:p>
            <w:pPr>
              <w:pStyle w:val="14"/>
              <w:spacing w:before="134"/>
              <w:ind w:left="270" w:right="262"/>
              <w:rPr>
                <w:sz w:val="21"/>
              </w:rPr>
            </w:pPr>
            <w:r>
              <w:rPr>
                <w:sz w:val="21"/>
              </w:rPr>
              <w:t>总镉</w:t>
            </w:r>
          </w:p>
        </w:tc>
        <w:tc>
          <w:tcPr>
            <w:tcW w:w="1950" w:type="dxa"/>
          </w:tcPr>
          <w:p>
            <w:pPr>
              <w:pStyle w:val="14"/>
              <w:spacing w:before="151"/>
              <w:ind w:left="638" w:right="630"/>
              <w:rPr>
                <w:rFonts w:ascii="Times New Roman"/>
                <w:sz w:val="21"/>
              </w:rPr>
            </w:pPr>
            <w:r>
              <w:rPr>
                <w:rFonts w:ascii="Times New Roman"/>
                <w:sz w:val="21"/>
              </w:rPr>
              <w:t>mg/L</w:t>
            </w:r>
          </w:p>
        </w:tc>
        <w:tc>
          <w:tcPr>
            <w:tcW w:w="5969" w:type="dxa"/>
          </w:tcPr>
          <w:p>
            <w:pPr>
              <w:pStyle w:val="14"/>
              <w:ind w:left="10"/>
              <w:rPr>
                <w:rFonts w:ascii="Times New Roman" w:eastAsia="Times New Roman"/>
                <w:sz w:val="21"/>
              </w:rPr>
            </w:pPr>
            <w:r>
              <w:rPr>
                <w:sz w:val="21"/>
              </w:rPr>
              <w:t>镉石墨炉原子吸收法《水和废水监测分析方法》</w:t>
            </w:r>
            <w:r>
              <w:rPr>
                <w:rFonts w:ascii="Times New Roman" w:eastAsia="Times New Roman"/>
                <w:sz w:val="21"/>
              </w:rPr>
              <w:t>(</w:t>
            </w:r>
            <w:r>
              <w:rPr>
                <w:sz w:val="21"/>
              </w:rPr>
              <w:t>第四版增补版</w:t>
            </w:r>
            <w:r>
              <w:rPr>
                <w:rFonts w:ascii="Times New Roman" w:eastAsia="Times New Roman"/>
                <w:sz w:val="21"/>
              </w:rPr>
              <w:t>)</w:t>
            </w:r>
          </w:p>
          <w:p>
            <w:pPr>
              <w:pStyle w:val="14"/>
              <w:spacing w:before="2" w:line="252" w:lineRule="exact"/>
              <w:ind w:left="12"/>
              <w:rPr>
                <w:rFonts w:ascii="Times New Roman" w:eastAsia="Times New Roman"/>
                <w:sz w:val="21"/>
              </w:rPr>
            </w:pPr>
            <w:r>
              <w:rPr>
                <w:sz w:val="21"/>
              </w:rPr>
              <w:t>国家环境保护总局</w:t>
            </w:r>
            <w:r>
              <w:rPr>
                <w:rFonts w:ascii="Times New Roman" w:eastAsia="Times New Roman"/>
                <w:sz w:val="21"/>
              </w:rPr>
              <w:t xml:space="preserve">(2002 </w:t>
            </w:r>
            <w:r>
              <w:rPr>
                <w:sz w:val="21"/>
              </w:rPr>
              <w:t>年</w:t>
            </w:r>
            <w:r>
              <w:rPr>
                <w:rFonts w:ascii="Times New Roman" w:eastAsia="Times New Roman"/>
                <w:sz w:val="21"/>
              </w:rPr>
              <w:t>) P331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425" w:type="dxa"/>
          </w:tcPr>
          <w:p>
            <w:pPr>
              <w:pStyle w:val="14"/>
              <w:spacing w:before="1" w:line="252" w:lineRule="exact"/>
              <w:ind w:left="270" w:right="262"/>
              <w:rPr>
                <w:sz w:val="21"/>
              </w:rPr>
            </w:pPr>
            <w:r>
              <w:rPr>
                <w:sz w:val="21"/>
              </w:rPr>
              <w:t>总铬</w:t>
            </w:r>
          </w:p>
        </w:tc>
        <w:tc>
          <w:tcPr>
            <w:tcW w:w="1950" w:type="dxa"/>
          </w:tcPr>
          <w:p>
            <w:pPr>
              <w:pStyle w:val="14"/>
              <w:spacing w:before="14" w:line="238" w:lineRule="exact"/>
              <w:ind w:left="638" w:right="630"/>
              <w:rPr>
                <w:rFonts w:ascii="Times New Roman"/>
                <w:sz w:val="21"/>
              </w:rPr>
            </w:pPr>
            <w:r>
              <w:rPr>
                <w:rFonts w:ascii="Times New Roman"/>
                <w:sz w:val="21"/>
              </w:rPr>
              <w:t>mg/L</w:t>
            </w:r>
          </w:p>
        </w:tc>
        <w:tc>
          <w:tcPr>
            <w:tcW w:w="5969" w:type="dxa"/>
          </w:tcPr>
          <w:p>
            <w:pPr>
              <w:pStyle w:val="14"/>
              <w:spacing w:before="1" w:line="252" w:lineRule="exact"/>
              <w:ind w:left="550"/>
              <w:jc w:val="left"/>
              <w:rPr>
                <w:rFonts w:ascii="Times New Roman" w:eastAsia="Times New Roman"/>
                <w:sz w:val="21"/>
              </w:rPr>
            </w:pPr>
            <w:r>
              <w:fldChar w:fldCharType="begin"/>
            </w:r>
            <w:r>
              <w:instrText xml:space="preserve"> HYPERLINK "http://www.es.org.cn/siteadmin/File/StdView.php?bzlistID=1465" \h </w:instrText>
            </w:r>
            <w:r>
              <w:fldChar w:fldCharType="separate"/>
            </w:r>
            <w:r>
              <w:rPr>
                <w:sz w:val="21"/>
              </w:rPr>
              <w:t xml:space="preserve">水质 铬的测定火焰原子吸收分光光度法 </w:t>
            </w:r>
            <w:r>
              <w:rPr>
                <w:sz w:val="21"/>
              </w:rPr>
              <w:fldChar w:fldCharType="end"/>
            </w:r>
            <w:r>
              <w:rPr>
                <w:rFonts w:ascii="Times New Roman" w:eastAsia="Times New Roman"/>
                <w:sz w:val="21"/>
              </w:rPr>
              <w:t>HJ 757-2015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425" w:type="dxa"/>
          </w:tcPr>
          <w:p>
            <w:pPr>
              <w:pStyle w:val="14"/>
              <w:spacing w:before="1" w:line="251" w:lineRule="exact"/>
              <w:ind w:left="270" w:right="262"/>
              <w:rPr>
                <w:sz w:val="21"/>
              </w:rPr>
            </w:pPr>
            <w:r>
              <w:rPr>
                <w:sz w:val="21"/>
              </w:rPr>
              <w:t>六价铬</w:t>
            </w:r>
          </w:p>
        </w:tc>
        <w:tc>
          <w:tcPr>
            <w:tcW w:w="1950" w:type="dxa"/>
          </w:tcPr>
          <w:p>
            <w:pPr>
              <w:pStyle w:val="14"/>
              <w:spacing w:before="15" w:line="237" w:lineRule="exact"/>
              <w:ind w:left="638" w:right="630"/>
              <w:rPr>
                <w:rFonts w:ascii="Times New Roman"/>
                <w:sz w:val="21"/>
              </w:rPr>
            </w:pPr>
            <w:r>
              <w:rPr>
                <w:rFonts w:ascii="Times New Roman"/>
                <w:sz w:val="21"/>
              </w:rPr>
              <w:t>mg/L</w:t>
            </w:r>
          </w:p>
        </w:tc>
        <w:tc>
          <w:tcPr>
            <w:tcW w:w="5969" w:type="dxa"/>
          </w:tcPr>
          <w:p>
            <w:pPr>
              <w:pStyle w:val="14"/>
              <w:spacing w:before="1" w:line="251" w:lineRule="exact"/>
              <w:ind w:right="151"/>
              <w:jc w:val="right"/>
              <w:rPr>
                <w:rFonts w:ascii="Times New Roman" w:eastAsia="Times New Roman"/>
                <w:sz w:val="21"/>
              </w:rPr>
            </w:pPr>
            <w:r>
              <w:rPr>
                <w:sz w:val="21"/>
              </w:rPr>
              <w:t xml:space="preserve">水质 六价铬的测定二苯碳酰二肼分光光度法 </w:t>
            </w:r>
            <w:r>
              <w:rPr>
                <w:rFonts w:ascii="Times New Roman" w:eastAsia="Times New Roman"/>
                <w:sz w:val="21"/>
              </w:rPr>
              <w:t>GB/T 7467-1987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425" w:type="dxa"/>
          </w:tcPr>
          <w:p>
            <w:pPr>
              <w:pStyle w:val="14"/>
              <w:spacing w:before="2" w:line="248" w:lineRule="exact"/>
              <w:ind w:left="270" w:right="262"/>
              <w:rPr>
                <w:sz w:val="21"/>
              </w:rPr>
            </w:pPr>
            <w:r>
              <w:rPr>
                <w:sz w:val="21"/>
              </w:rPr>
              <w:t>总铅</w:t>
            </w:r>
          </w:p>
        </w:tc>
        <w:tc>
          <w:tcPr>
            <w:tcW w:w="1950" w:type="dxa"/>
          </w:tcPr>
          <w:p>
            <w:pPr>
              <w:pStyle w:val="14"/>
              <w:spacing w:before="16" w:line="234" w:lineRule="exact"/>
              <w:ind w:left="638" w:right="630"/>
              <w:rPr>
                <w:rFonts w:ascii="Times New Roman"/>
                <w:sz w:val="21"/>
              </w:rPr>
            </w:pPr>
            <w:r>
              <w:rPr>
                <w:rFonts w:ascii="Times New Roman"/>
                <w:sz w:val="21"/>
              </w:rPr>
              <w:t>mg/L</w:t>
            </w:r>
          </w:p>
        </w:tc>
        <w:tc>
          <w:tcPr>
            <w:tcW w:w="5969" w:type="dxa"/>
          </w:tcPr>
          <w:p>
            <w:pPr>
              <w:pStyle w:val="14"/>
              <w:spacing w:before="2" w:line="248" w:lineRule="exact"/>
              <w:ind w:right="94"/>
              <w:jc w:val="right"/>
              <w:rPr>
                <w:rFonts w:ascii="Times New Roman" w:eastAsia="Times New Roman"/>
                <w:sz w:val="21"/>
              </w:rPr>
            </w:pPr>
            <w:r>
              <w:rPr>
                <w:spacing w:val="-15"/>
                <w:sz w:val="21"/>
              </w:rPr>
              <w:t xml:space="preserve">水质铜、锌、铅、镉的测定原子吸收分光光度法 </w:t>
            </w:r>
            <w:r>
              <w:rPr>
                <w:rFonts w:ascii="Times New Roman" w:eastAsia="Times New Roman"/>
                <w:sz w:val="21"/>
              </w:rPr>
              <w:t>GB/T 7475-1987</w:t>
            </w:r>
          </w:p>
        </w:tc>
      </w:tr>
    </w:tbl>
    <w:p>
      <w:pPr>
        <w:spacing w:after="0" w:line="248" w:lineRule="exact"/>
        <w:jc w:val="right"/>
        <w:rPr>
          <w:rFonts w:ascii="Times New Roman" w:eastAsia="Times New Roman"/>
          <w:sz w:val="21"/>
        </w:rPr>
        <w:sectPr>
          <w:pgSz w:w="11910" w:h="16840"/>
          <w:pgMar w:top="1520" w:right="780" w:bottom="1320" w:left="1200" w:header="0" w:footer="1058" w:gutter="0"/>
        </w:sectPr>
      </w:pP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25"/>
        <w:gridCol w:w="1950"/>
        <w:gridCol w:w="59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425" w:type="dxa"/>
          </w:tcPr>
          <w:p>
            <w:pPr>
              <w:pStyle w:val="14"/>
              <w:spacing w:line="251" w:lineRule="exact"/>
              <w:ind w:left="270" w:right="262"/>
              <w:rPr>
                <w:sz w:val="21"/>
              </w:rPr>
            </w:pPr>
            <w:r>
              <w:rPr>
                <w:sz w:val="21"/>
              </w:rPr>
              <w:t>总砷</w:t>
            </w:r>
          </w:p>
        </w:tc>
        <w:tc>
          <w:tcPr>
            <w:tcW w:w="1950" w:type="dxa"/>
          </w:tcPr>
          <w:p>
            <w:pPr>
              <w:pStyle w:val="14"/>
              <w:spacing w:before="14" w:line="237" w:lineRule="exact"/>
              <w:ind w:left="638" w:right="630"/>
              <w:rPr>
                <w:rFonts w:ascii="Times New Roman"/>
                <w:sz w:val="21"/>
              </w:rPr>
            </w:pPr>
            <w:r>
              <w:rPr>
                <w:rFonts w:ascii="Times New Roman"/>
                <w:sz w:val="21"/>
              </w:rPr>
              <w:t>mg/L</w:t>
            </w:r>
          </w:p>
        </w:tc>
        <w:tc>
          <w:tcPr>
            <w:tcW w:w="5969" w:type="dxa"/>
          </w:tcPr>
          <w:p>
            <w:pPr>
              <w:pStyle w:val="14"/>
              <w:tabs>
                <w:tab w:val="left" w:pos="640"/>
              </w:tabs>
              <w:spacing w:line="251" w:lineRule="exact"/>
              <w:ind w:left="12"/>
              <w:rPr>
                <w:rFonts w:ascii="Times New Roman" w:eastAsia="Times New Roman"/>
                <w:sz w:val="21"/>
              </w:rPr>
            </w:pPr>
            <w:r>
              <w:rPr>
                <w:sz w:val="21"/>
              </w:rPr>
              <w:t>水质</w:t>
            </w:r>
            <w:r>
              <w:rPr>
                <w:sz w:val="21"/>
              </w:rPr>
              <w:tab/>
            </w:r>
            <w:r>
              <w:rPr>
                <w:sz w:val="21"/>
              </w:rPr>
              <w:t>汞、砷、硒、铋和锑的测定原子荧光法</w:t>
            </w:r>
            <w:r>
              <w:rPr>
                <w:spacing w:val="-3"/>
                <w:sz w:val="21"/>
              </w:rPr>
              <w:t xml:space="preserve"> </w:t>
            </w:r>
            <w:r>
              <w:rPr>
                <w:rFonts w:ascii="Times New Roman" w:eastAsia="Times New Roman"/>
                <w:sz w:val="21"/>
              </w:rPr>
              <w:t>HJ</w:t>
            </w:r>
            <w:r>
              <w:rPr>
                <w:rFonts w:ascii="Times New Roman" w:eastAsia="Times New Roman"/>
                <w:spacing w:val="-1"/>
                <w:sz w:val="21"/>
              </w:rPr>
              <w:t xml:space="preserve"> </w:t>
            </w:r>
            <w:r>
              <w:rPr>
                <w:rFonts w:ascii="Times New Roman" w:eastAsia="Times New Roman"/>
                <w:sz w:val="21"/>
              </w:rPr>
              <w:t>694-2014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425" w:type="dxa"/>
          </w:tcPr>
          <w:p>
            <w:pPr>
              <w:pStyle w:val="14"/>
              <w:spacing w:before="2" w:line="251" w:lineRule="exact"/>
              <w:ind w:left="270" w:right="262"/>
              <w:rPr>
                <w:sz w:val="21"/>
              </w:rPr>
            </w:pPr>
            <w:r>
              <w:rPr>
                <w:sz w:val="21"/>
              </w:rPr>
              <w:t>总锌</w:t>
            </w:r>
          </w:p>
        </w:tc>
        <w:tc>
          <w:tcPr>
            <w:tcW w:w="1950" w:type="dxa"/>
          </w:tcPr>
          <w:p>
            <w:pPr>
              <w:pStyle w:val="14"/>
              <w:spacing w:before="16" w:line="237" w:lineRule="exact"/>
              <w:ind w:left="638" w:right="630"/>
              <w:rPr>
                <w:rFonts w:ascii="Times New Roman"/>
                <w:sz w:val="21"/>
              </w:rPr>
            </w:pPr>
            <w:r>
              <w:rPr>
                <w:rFonts w:ascii="Times New Roman"/>
                <w:sz w:val="21"/>
              </w:rPr>
              <w:t>mg/L</w:t>
            </w:r>
          </w:p>
        </w:tc>
        <w:tc>
          <w:tcPr>
            <w:tcW w:w="5969" w:type="dxa"/>
          </w:tcPr>
          <w:p>
            <w:pPr>
              <w:pStyle w:val="14"/>
              <w:spacing w:before="2" w:line="251" w:lineRule="exact"/>
              <w:ind w:left="12"/>
              <w:rPr>
                <w:rFonts w:ascii="Times New Roman" w:eastAsia="Times New Roman"/>
                <w:sz w:val="21"/>
              </w:rPr>
            </w:pPr>
            <w:r>
              <w:rPr>
                <w:spacing w:val="-15"/>
                <w:sz w:val="21"/>
              </w:rPr>
              <w:t xml:space="preserve">水质铜、锌、铅、镉的测定原子吸收分光光度法 </w:t>
            </w:r>
            <w:r>
              <w:rPr>
                <w:rFonts w:ascii="Times New Roman" w:eastAsia="Times New Roman"/>
                <w:sz w:val="21"/>
              </w:rPr>
              <w:t>GB/T 7475-1987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425" w:type="dxa"/>
          </w:tcPr>
          <w:p>
            <w:pPr>
              <w:pStyle w:val="14"/>
              <w:spacing w:line="252" w:lineRule="exact"/>
              <w:ind w:left="270" w:right="262"/>
              <w:rPr>
                <w:sz w:val="21"/>
              </w:rPr>
            </w:pPr>
            <w:r>
              <w:rPr>
                <w:sz w:val="21"/>
              </w:rPr>
              <w:t>氟化物</w:t>
            </w:r>
          </w:p>
        </w:tc>
        <w:tc>
          <w:tcPr>
            <w:tcW w:w="1950" w:type="dxa"/>
          </w:tcPr>
          <w:p>
            <w:pPr>
              <w:pStyle w:val="14"/>
              <w:spacing w:before="13" w:line="238" w:lineRule="exact"/>
              <w:ind w:left="638" w:right="630"/>
              <w:rPr>
                <w:rFonts w:ascii="Times New Roman"/>
                <w:sz w:val="21"/>
              </w:rPr>
            </w:pPr>
            <w:r>
              <w:rPr>
                <w:rFonts w:ascii="Times New Roman"/>
                <w:sz w:val="21"/>
              </w:rPr>
              <w:t>mg/L</w:t>
            </w:r>
          </w:p>
        </w:tc>
        <w:tc>
          <w:tcPr>
            <w:tcW w:w="5969" w:type="dxa"/>
          </w:tcPr>
          <w:p>
            <w:pPr>
              <w:pStyle w:val="14"/>
              <w:spacing w:line="252" w:lineRule="exact"/>
              <w:ind w:left="9"/>
              <w:rPr>
                <w:rFonts w:ascii="Times New Roman" w:eastAsia="Times New Roman"/>
                <w:sz w:val="21"/>
              </w:rPr>
            </w:pPr>
            <w:r>
              <w:rPr>
                <w:sz w:val="21"/>
              </w:rPr>
              <w:t xml:space="preserve">水质氟化物的测定离子选择电极法 </w:t>
            </w:r>
            <w:r>
              <w:rPr>
                <w:rFonts w:ascii="Times New Roman" w:eastAsia="Times New Roman"/>
                <w:sz w:val="21"/>
              </w:rPr>
              <w:t>GB7484-1987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425" w:type="dxa"/>
          </w:tcPr>
          <w:p>
            <w:pPr>
              <w:pStyle w:val="14"/>
              <w:spacing w:before="1" w:line="251" w:lineRule="exact"/>
              <w:ind w:left="270" w:right="262"/>
              <w:rPr>
                <w:sz w:val="21"/>
              </w:rPr>
            </w:pPr>
            <w:r>
              <w:rPr>
                <w:sz w:val="21"/>
              </w:rPr>
              <w:t>溶解氧</w:t>
            </w:r>
          </w:p>
        </w:tc>
        <w:tc>
          <w:tcPr>
            <w:tcW w:w="1950" w:type="dxa"/>
          </w:tcPr>
          <w:p>
            <w:pPr>
              <w:pStyle w:val="14"/>
              <w:spacing w:before="15" w:line="237" w:lineRule="exact"/>
              <w:ind w:left="638" w:right="630"/>
              <w:rPr>
                <w:rFonts w:ascii="Times New Roman"/>
                <w:sz w:val="21"/>
              </w:rPr>
            </w:pPr>
            <w:r>
              <w:rPr>
                <w:rFonts w:ascii="Times New Roman"/>
                <w:sz w:val="21"/>
              </w:rPr>
              <w:t>mg/L</w:t>
            </w:r>
          </w:p>
        </w:tc>
        <w:tc>
          <w:tcPr>
            <w:tcW w:w="5969" w:type="dxa"/>
          </w:tcPr>
          <w:p>
            <w:pPr>
              <w:pStyle w:val="14"/>
              <w:spacing w:before="1" w:line="251" w:lineRule="exact"/>
              <w:ind w:left="12"/>
              <w:rPr>
                <w:rFonts w:ascii="Times New Roman" w:eastAsia="Times New Roman"/>
                <w:sz w:val="21"/>
              </w:rPr>
            </w:pPr>
            <w:r>
              <w:rPr>
                <w:sz w:val="21"/>
              </w:rPr>
              <w:t xml:space="preserve">水质溶解氧的测定电化学探头法 </w:t>
            </w:r>
            <w:r>
              <w:rPr>
                <w:rFonts w:ascii="Times New Roman" w:eastAsia="Times New Roman"/>
                <w:sz w:val="21"/>
              </w:rPr>
              <w:t>HJ 506-2009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1425" w:type="dxa"/>
          </w:tcPr>
          <w:p>
            <w:pPr>
              <w:pStyle w:val="14"/>
              <w:spacing w:before="133"/>
              <w:ind w:left="270" w:right="261"/>
              <w:rPr>
                <w:rFonts w:ascii="Times New Roman"/>
                <w:sz w:val="21"/>
              </w:rPr>
            </w:pPr>
            <w:r>
              <w:rPr>
                <w:rFonts w:ascii="Times New Roman"/>
                <w:position w:val="2"/>
                <w:sz w:val="21"/>
              </w:rPr>
              <w:t>BOD</w:t>
            </w:r>
            <w:r>
              <w:rPr>
                <w:rFonts w:ascii="Times New Roman"/>
                <w:position w:val="2"/>
                <w:sz w:val="21"/>
                <w:vertAlign w:val="subscript"/>
              </w:rPr>
              <w:t>5</w:t>
            </w:r>
          </w:p>
        </w:tc>
        <w:tc>
          <w:tcPr>
            <w:tcW w:w="1950" w:type="dxa"/>
          </w:tcPr>
          <w:p>
            <w:pPr>
              <w:pStyle w:val="14"/>
              <w:spacing w:before="136"/>
              <w:ind w:left="638" w:right="630"/>
              <w:rPr>
                <w:rFonts w:ascii="Times New Roman"/>
                <w:sz w:val="21"/>
              </w:rPr>
            </w:pPr>
            <w:r>
              <w:rPr>
                <w:rFonts w:ascii="Times New Roman"/>
                <w:sz w:val="21"/>
              </w:rPr>
              <w:t>mg/L</w:t>
            </w:r>
          </w:p>
        </w:tc>
        <w:tc>
          <w:tcPr>
            <w:tcW w:w="5969" w:type="dxa"/>
          </w:tcPr>
          <w:p>
            <w:pPr>
              <w:pStyle w:val="14"/>
              <w:spacing w:before="2"/>
              <w:ind w:left="8"/>
              <w:rPr>
                <w:sz w:val="21"/>
              </w:rPr>
            </w:pPr>
            <w:r>
              <w:rPr>
                <w:sz w:val="21"/>
              </w:rPr>
              <w:t>水质 五日生化需氧量</w:t>
            </w:r>
            <w:r>
              <w:rPr>
                <w:rFonts w:ascii="Times New Roman" w:eastAsia="Times New Roman"/>
                <w:sz w:val="21"/>
              </w:rPr>
              <w:t>(BOD5)</w:t>
            </w:r>
            <w:r>
              <w:rPr>
                <w:sz w:val="21"/>
              </w:rPr>
              <w:t>的测定 稀释与接种法</w:t>
            </w:r>
          </w:p>
          <w:p>
            <w:pPr>
              <w:pStyle w:val="14"/>
              <w:spacing w:before="2" w:line="221" w:lineRule="exact"/>
              <w:ind w:left="9"/>
              <w:rPr>
                <w:rFonts w:ascii="Times New Roman"/>
                <w:sz w:val="21"/>
              </w:rPr>
            </w:pPr>
            <w:r>
              <w:rPr>
                <w:rFonts w:ascii="Times New Roman"/>
                <w:sz w:val="21"/>
              </w:rPr>
              <w:t>HJ 505-2009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425" w:type="dxa"/>
          </w:tcPr>
          <w:p>
            <w:pPr>
              <w:pStyle w:val="14"/>
              <w:spacing w:before="1" w:line="252" w:lineRule="exact"/>
              <w:ind w:left="270" w:right="262"/>
              <w:rPr>
                <w:sz w:val="21"/>
              </w:rPr>
            </w:pPr>
            <w:r>
              <w:rPr>
                <w:sz w:val="21"/>
              </w:rPr>
              <w:t>氨氮</w:t>
            </w:r>
          </w:p>
        </w:tc>
        <w:tc>
          <w:tcPr>
            <w:tcW w:w="1950" w:type="dxa"/>
          </w:tcPr>
          <w:p>
            <w:pPr>
              <w:pStyle w:val="14"/>
              <w:spacing w:before="15" w:line="238" w:lineRule="exact"/>
              <w:ind w:left="638" w:right="630"/>
              <w:rPr>
                <w:rFonts w:ascii="Times New Roman"/>
                <w:sz w:val="21"/>
              </w:rPr>
            </w:pPr>
            <w:r>
              <w:rPr>
                <w:rFonts w:ascii="Times New Roman"/>
                <w:sz w:val="21"/>
              </w:rPr>
              <w:t>mg/L</w:t>
            </w:r>
          </w:p>
        </w:tc>
        <w:tc>
          <w:tcPr>
            <w:tcW w:w="5969" w:type="dxa"/>
          </w:tcPr>
          <w:p>
            <w:pPr>
              <w:pStyle w:val="14"/>
              <w:spacing w:before="1" w:line="252" w:lineRule="exact"/>
              <w:ind w:left="12"/>
              <w:rPr>
                <w:rFonts w:ascii="Times New Roman" w:eastAsia="Times New Roman"/>
                <w:sz w:val="21"/>
              </w:rPr>
            </w:pPr>
            <w:r>
              <w:rPr>
                <w:sz w:val="21"/>
              </w:rPr>
              <w:t xml:space="preserve">水质 氨氮的测定 纳氏试剂分光光度法 </w:t>
            </w:r>
            <w:r>
              <w:rPr>
                <w:rFonts w:ascii="Times New Roman" w:eastAsia="Times New Roman"/>
                <w:sz w:val="21"/>
              </w:rPr>
              <w:t>HJ 535-2009</w:t>
            </w:r>
          </w:p>
        </w:tc>
      </w:tr>
    </w:tbl>
    <w:p>
      <w:pPr>
        <w:tabs>
          <w:tab w:val="left" w:pos="1041"/>
        </w:tabs>
        <w:spacing w:before="4"/>
        <w:ind w:left="0" w:right="357" w:firstLine="0"/>
        <w:jc w:val="center"/>
        <w:rPr>
          <w:b/>
          <w:sz w:val="24"/>
        </w:rPr>
      </w:pPr>
      <w:r>
        <w:rPr>
          <w:b/>
          <w:sz w:val="24"/>
        </w:rPr>
        <w:t>表</w:t>
      </w:r>
      <w:r>
        <w:rPr>
          <w:b/>
          <w:spacing w:val="-61"/>
          <w:sz w:val="24"/>
        </w:rPr>
        <w:t xml:space="preserve"> </w:t>
      </w:r>
      <w:r>
        <w:rPr>
          <w:rFonts w:ascii="Times New Roman" w:eastAsia="Times New Roman"/>
          <w:b/>
          <w:sz w:val="24"/>
        </w:rPr>
        <w:t>7.3-2</w:t>
      </w:r>
      <w:r>
        <w:rPr>
          <w:rFonts w:ascii="Times New Roman" w:eastAsia="Times New Roman"/>
          <w:b/>
          <w:sz w:val="24"/>
        </w:rPr>
        <w:tab/>
      </w:r>
      <w:r>
        <w:rPr>
          <w:b/>
          <w:sz w:val="24"/>
        </w:rPr>
        <w:t>地表水监测结果</w:t>
      </w:r>
    </w:p>
    <w:p>
      <w:pPr>
        <w:pStyle w:val="6"/>
        <w:spacing w:before="5"/>
        <w:rPr>
          <w:b/>
          <w:sz w:val="12"/>
        </w:rPr>
      </w:pP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0"/>
        <w:gridCol w:w="882"/>
        <w:gridCol w:w="882"/>
        <w:gridCol w:w="882"/>
        <w:gridCol w:w="882"/>
        <w:gridCol w:w="882"/>
        <w:gridCol w:w="882"/>
        <w:gridCol w:w="882"/>
        <w:gridCol w:w="882"/>
        <w:gridCol w:w="8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400" w:type="dxa"/>
            <w:vMerge w:val="restart"/>
          </w:tcPr>
          <w:p>
            <w:pPr>
              <w:pStyle w:val="14"/>
              <w:spacing w:before="11"/>
              <w:jc w:val="left"/>
              <w:rPr>
                <w:b/>
                <w:sz w:val="16"/>
              </w:rPr>
            </w:pPr>
          </w:p>
          <w:p>
            <w:pPr>
              <w:pStyle w:val="14"/>
              <w:spacing w:before="1"/>
              <w:ind w:left="279"/>
              <w:jc w:val="left"/>
              <w:rPr>
                <w:sz w:val="21"/>
              </w:rPr>
            </w:pPr>
            <w:r>
              <w:rPr>
                <w:sz w:val="21"/>
              </w:rPr>
              <w:t>监测项目</w:t>
            </w:r>
          </w:p>
        </w:tc>
        <w:tc>
          <w:tcPr>
            <w:tcW w:w="7944" w:type="dxa"/>
            <w:gridSpan w:val="9"/>
          </w:tcPr>
          <w:p>
            <w:pPr>
              <w:pStyle w:val="14"/>
              <w:spacing w:before="1" w:line="252" w:lineRule="exact"/>
              <w:ind w:left="3531" w:right="3523"/>
              <w:rPr>
                <w:sz w:val="21"/>
              </w:rPr>
            </w:pPr>
            <w:r>
              <w:rPr>
                <w:sz w:val="21"/>
              </w:rPr>
              <w:t>监测结果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400" w:type="dxa"/>
            <w:vMerge w:val="continue"/>
            <w:tcBorders>
              <w:top w:val="nil"/>
            </w:tcBorders>
          </w:tcPr>
          <w:p>
            <w:pPr>
              <w:rPr>
                <w:sz w:val="2"/>
                <w:szCs w:val="2"/>
              </w:rPr>
            </w:pPr>
          </w:p>
        </w:tc>
        <w:tc>
          <w:tcPr>
            <w:tcW w:w="2646" w:type="dxa"/>
            <w:gridSpan w:val="3"/>
          </w:tcPr>
          <w:p>
            <w:pPr>
              <w:pStyle w:val="14"/>
              <w:spacing w:before="73"/>
              <w:ind w:left="847"/>
              <w:jc w:val="left"/>
              <w:rPr>
                <w:rFonts w:ascii="Times New Roman" w:eastAsia="Times New Roman"/>
                <w:sz w:val="21"/>
              </w:rPr>
            </w:pPr>
            <w:r>
              <w:rPr>
                <w:sz w:val="21"/>
              </w:rPr>
              <w:t xml:space="preserve">上游 </w:t>
            </w:r>
            <w:r>
              <w:rPr>
                <w:rFonts w:ascii="Times New Roman" w:eastAsia="Times New Roman"/>
                <w:sz w:val="21"/>
              </w:rPr>
              <w:t>500m</w:t>
            </w:r>
          </w:p>
        </w:tc>
        <w:tc>
          <w:tcPr>
            <w:tcW w:w="2646" w:type="dxa"/>
            <w:gridSpan w:val="3"/>
          </w:tcPr>
          <w:p>
            <w:pPr>
              <w:pStyle w:val="14"/>
              <w:spacing w:before="73"/>
              <w:ind w:left="793"/>
              <w:jc w:val="left"/>
              <w:rPr>
                <w:rFonts w:ascii="Times New Roman" w:eastAsia="Times New Roman"/>
                <w:sz w:val="21"/>
              </w:rPr>
            </w:pPr>
            <w:r>
              <w:rPr>
                <w:sz w:val="21"/>
              </w:rPr>
              <w:t xml:space="preserve">下游 </w:t>
            </w:r>
            <w:r>
              <w:rPr>
                <w:rFonts w:ascii="Times New Roman" w:eastAsia="Times New Roman"/>
                <w:sz w:val="21"/>
              </w:rPr>
              <w:t>1000m</w:t>
            </w:r>
          </w:p>
        </w:tc>
        <w:tc>
          <w:tcPr>
            <w:tcW w:w="2652" w:type="dxa"/>
            <w:gridSpan w:val="3"/>
          </w:tcPr>
          <w:p>
            <w:pPr>
              <w:pStyle w:val="14"/>
              <w:spacing w:before="73"/>
              <w:ind w:left="797"/>
              <w:jc w:val="left"/>
              <w:rPr>
                <w:rFonts w:ascii="Times New Roman" w:eastAsia="Times New Roman"/>
                <w:sz w:val="21"/>
              </w:rPr>
            </w:pPr>
            <w:r>
              <w:rPr>
                <w:sz w:val="21"/>
              </w:rPr>
              <w:t xml:space="preserve">下游 </w:t>
            </w:r>
            <w:r>
              <w:rPr>
                <w:rFonts w:ascii="Times New Roman" w:eastAsia="Times New Roman"/>
                <w:sz w:val="21"/>
              </w:rPr>
              <w:t>5000m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400" w:type="dxa"/>
          </w:tcPr>
          <w:p>
            <w:pPr>
              <w:pStyle w:val="14"/>
              <w:spacing w:before="1" w:line="251" w:lineRule="exact"/>
              <w:ind w:left="106" w:right="-15"/>
              <w:jc w:val="left"/>
              <w:rPr>
                <w:sz w:val="21"/>
              </w:rPr>
            </w:pPr>
            <w:r>
              <w:rPr>
                <w:rFonts w:ascii="Times New Roman" w:eastAsia="Times New Roman"/>
                <w:spacing w:val="-6"/>
                <w:sz w:val="21"/>
              </w:rPr>
              <w:t>pH</w:t>
            </w:r>
            <w:r>
              <w:rPr>
                <w:spacing w:val="-6"/>
                <w:sz w:val="21"/>
              </w:rPr>
              <w:t>（</w:t>
            </w:r>
            <w:r>
              <w:rPr>
                <w:sz w:val="21"/>
              </w:rPr>
              <w:t>无量纲）</w:t>
            </w:r>
          </w:p>
        </w:tc>
        <w:tc>
          <w:tcPr>
            <w:tcW w:w="882" w:type="dxa"/>
          </w:tcPr>
          <w:p>
            <w:pPr>
              <w:pStyle w:val="14"/>
              <w:spacing w:before="17" w:line="235" w:lineRule="exact"/>
              <w:ind w:left="119" w:right="109"/>
              <w:rPr>
                <w:rFonts w:ascii="Times New Roman"/>
                <w:sz w:val="21"/>
              </w:rPr>
            </w:pPr>
            <w:bookmarkStart w:id="421" w:name="7.32"/>
            <w:bookmarkEnd w:id="421"/>
            <w:r>
              <w:rPr>
                <w:rFonts w:ascii="Times New Roman"/>
                <w:sz w:val="21"/>
              </w:rPr>
              <w:t>7.32</w:t>
            </w:r>
          </w:p>
        </w:tc>
        <w:tc>
          <w:tcPr>
            <w:tcW w:w="882" w:type="dxa"/>
          </w:tcPr>
          <w:p>
            <w:pPr>
              <w:pStyle w:val="14"/>
              <w:spacing w:before="17" w:line="235" w:lineRule="exact"/>
              <w:ind w:left="118" w:right="110"/>
              <w:rPr>
                <w:rFonts w:ascii="Times New Roman"/>
                <w:sz w:val="21"/>
              </w:rPr>
            </w:pPr>
            <w:bookmarkStart w:id="422" w:name="7.34"/>
            <w:bookmarkEnd w:id="422"/>
            <w:r>
              <w:rPr>
                <w:rFonts w:ascii="Times New Roman"/>
                <w:sz w:val="21"/>
              </w:rPr>
              <w:t>7.34</w:t>
            </w:r>
          </w:p>
        </w:tc>
        <w:tc>
          <w:tcPr>
            <w:tcW w:w="882" w:type="dxa"/>
          </w:tcPr>
          <w:p>
            <w:pPr>
              <w:pStyle w:val="14"/>
              <w:spacing w:before="17" w:line="235" w:lineRule="exact"/>
              <w:ind w:left="119" w:right="109"/>
              <w:rPr>
                <w:rFonts w:ascii="Times New Roman"/>
                <w:sz w:val="21"/>
              </w:rPr>
            </w:pPr>
            <w:bookmarkStart w:id="423" w:name="7.35"/>
            <w:bookmarkEnd w:id="423"/>
            <w:r>
              <w:rPr>
                <w:rFonts w:ascii="Times New Roman"/>
                <w:sz w:val="21"/>
              </w:rPr>
              <w:t>7.35</w:t>
            </w:r>
          </w:p>
        </w:tc>
        <w:tc>
          <w:tcPr>
            <w:tcW w:w="882" w:type="dxa"/>
          </w:tcPr>
          <w:p>
            <w:pPr>
              <w:pStyle w:val="14"/>
              <w:spacing w:before="17" w:line="235" w:lineRule="exact"/>
              <w:ind w:left="118" w:right="110"/>
              <w:rPr>
                <w:rFonts w:ascii="Times New Roman"/>
                <w:sz w:val="21"/>
              </w:rPr>
            </w:pPr>
            <w:bookmarkStart w:id="424" w:name="7.35"/>
            <w:bookmarkEnd w:id="424"/>
            <w:r>
              <w:rPr>
                <w:rFonts w:ascii="Times New Roman"/>
                <w:sz w:val="21"/>
              </w:rPr>
              <w:t>7.35</w:t>
            </w:r>
          </w:p>
        </w:tc>
        <w:tc>
          <w:tcPr>
            <w:tcW w:w="882" w:type="dxa"/>
          </w:tcPr>
          <w:p>
            <w:pPr>
              <w:pStyle w:val="14"/>
              <w:spacing w:before="17" w:line="235" w:lineRule="exact"/>
              <w:ind w:left="119" w:right="109"/>
              <w:rPr>
                <w:rFonts w:ascii="Times New Roman"/>
                <w:sz w:val="21"/>
              </w:rPr>
            </w:pPr>
            <w:bookmarkStart w:id="425" w:name="7.32"/>
            <w:bookmarkEnd w:id="425"/>
            <w:r>
              <w:rPr>
                <w:rFonts w:ascii="Times New Roman"/>
                <w:sz w:val="21"/>
              </w:rPr>
              <w:t>7.32</w:t>
            </w:r>
          </w:p>
        </w:tc>
        <w:tc>
          <w:tcPr>
            <w:tcW w:w="882" w:type="dxa"/>
          </w:tcPr>
          <w:p>
            <w:pPr>
              <w:pStyle w:val="14"/>
              <w:spacing w:before="17" w:line="235" w:lineRule="exact"/>
              <w:ind w:left="118" w:right="110"/>
              <w:rPr>
                <w:rFonts w:ascii="Times New Roman"/>
                <w:sz w:val="21"/>
              </w:rPr>
            </w:pPr>
            <w:bookmarkStart w:id="426" w:name="7.29"/>
            <w:bookmarkEnd w:id="426"/>
            <w:r>
              <w:rPr>
                <w:rFonts w:ascii="Times New Roman"/>
                <w:sz w:val="21"/>
              </w:rPr>
              <w:t>7.29</w:t>
            </w:r>
          </w:p>
        </w:tc>
        <w:tc>
          <w:tcPr>
            <w:tcW w:w="882" w:type="dxa"/>
          </w:tcPr>
          <w:p>
            <w:pPr>
              <w:pStyle w:val="14"/>
              <w:spacing w:before="17" w:line="235" w:lineRule="exact"/>
              <w:ind w:left="119" w:right="109"/>
              <w:rPr>
                <w:rFonts w:ascii="Times New Roman"/>
                <w:sz w:val="21"/>
              </w:rPr>
            </w:pPr>
            <w:bookmarkStart w:id="427" w:name="7.37"/>
            <w:bookmarkEnd w:id="427"/>
            <w:r>
              <w:rPr>
                <w:rFonts w:ascii="Times New Roman"/>
                <w:sz w:val="21"/>
              </w:rPr>
              <w:t>7.37</w:t>
            </w:r>
          </w:p>
        </w:tc>
        <w:tc>
          <w:tcPr>
            <w:tcW w:w="882" w:type="dxa"/>
          </w:tcPr>
          <w:p>
            <w:pPr>
              <w:pStyle w:val="14"/>
              <w:spacing w:before="17" w:line="235" w:lineRule="exact"/>
              <w:ind w:left="118" w:right="110"/>
              <w:rPr>
                <w:rFonts w:ascii="Times New Roman"/>
                <w:sz w:val="21"/>
              </w:rPr>
            </w:pPr>
            <w:bookmarkStart w:id="428" w:name="7.35"/>
            <w:bookmarkEnd w:id="428"/>
            <w:r>
              <w:rPr>
                <w:rFonts w:ascii="Times New Roman"/>
                <w:sz w:val="21"/>
              </w:rPr>
              <w:t>7.35</w:t>
            </w:r>
          </w:p>
        </w:tc>
        <w:tc>
          <w:tcPr>
            <w:tcW w:w="888" w:type="dxa"/>
          </w:tcPr>
          <w:p>
            <w:pPr>
              <w:pStyle w:val="14"/>
              <w:spacing w:before="17" w:line="235" w:lineRule="exact"/>
              <w:ind w:left="122" w:right="113"/>
              <w:rPr>
                <w:rFonts w:ascii="Times New Roman"/>
                <w:sz w:val="21"/>
              </w:rPr>
            </w:pPr>
            <w:bookmarkStart w:id="429" w:name="7.22"/>
            <w:bookmarkEnd w:id="429"/>
            <w:r>
              <w:rPr>
                <w:rFonts w:ascii="Times New Roman"/>
                <w:sz w:val="21"/>
              </w:rPr>
              <w:t>7.22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400" w:type="dxa"/>
          </w:tcPr>
          <w:p>
            <w:pPr>
              <w:pStyle w:val="14"/>
              <w:spacing w:before="2" w:line="250" w:lineRule="exact"/>
              <w:ind w:left="147"/>
              <w:jc w:val="left"/>
              <w:rPr>
                <w:sz w:val="21"/>
              </w:rPr>
            </w:pPr>
            <w:r>
              <w:rPr>
                <w:rFonts w:ascii="Times New Roman" w:eastAsia="Times New Roman"/>
                <w:sz w:val="21"/>
              </w:rPr>
              <w:t>SS</w:t>
            </w:r>
            <w:r>
              <w:rPr>
                <w:sz w:val="21"/>
              </w:rPr>
              <w:t>（</w:t>
            </w:r>
            <w:r>
              <w:rPr>
                <w:rFonts w:ascii="Times New Roman" w:eastAsia="Times New Roman"/>
                <w:sz w:val="21"/>
              </w:rPr>
              <w:t>mg/L</w:t>
            </w:r>
            <w:r>
              <w:rPr>
                <w:sz w:val="21"/>
              </w:rPr>
              <w:t>）</w:t>
            </w:r>
          </w:p>
        </w:tc>
        <w:tc>
          <w:tcPr>
            <w:tcW w:w="882" w:type="dxa"/>
          </w:tcPr>
          <w:p>
            <w:pPr>
              <w:pStyle w:val="14"/>
              <w:spacing w:before="18" w:line="233" w:lineRule="exact"/>
              <w:ind w:left="119" w:right="109"/>
              <w:rPr>
                <w:rFonts w:ascii="Times New Roman"/>
                <w:sz w:val="21"/>
              </w:rPr>
            </w:pPr>
            <w:bookmarkStart w:id="430" w:name="22"/>
            <w:bookmarkEnd w:id="430"/>
            <w:r>
              <w:rPr>
                <w:rFonts w:ascii="Times New Roman"/>
                <w:sz w:val="21"/>
              </w:rPr>
              <w:t>22</w:t>
            </w:r>
          </w:p>
        </w:tc>
        <w:tc>
          <w:tcPr>
            <w:tcW w:w="882" w:type="dxa"/>
          </w:tcPr>
          <w:p>
            <w:pPr>
              <w:pStyle w:val="14"/>
              <w:spacing w:before="18" w:line="233" w:lineRule="exact"/>
              <w:ind w:left="118" w:right="110"/>
              <w:rPr>
                <w:rFonts w:ascii="Times New Roman"/>
                <w:sz w:val="21"/>
              </w:rPr>
            </w:pPr>
            <w:bookmarkStart w:id="431" w:name="23"/>
            <w:bookmarkEnd w:id="431"/>
            <w:r>
              <w:rPr>
                <w:rFonts w:ascii="Times New Roman"/>
                <w:sz w:val="21"/>
              </w:rPr>
              <w:t>23</w:t>
            </w:r>
          </w:p>
        </w:tc>
        <w:tc>
          <w:tcPr>
            <w:tcW w:w="882" w:type="dxa"/>
          </w:tcPr>
          <w:p>
            <w:pPr>
              <w:pStyle w:val="14"/>
              <w:spacing w:before="18" w:line="233" w:lineRule="exact"/>
              <w:ind w:left="119" w:right="109"/>
              <w:rPr>
                <w:rFonts w:ascii="Times New Roman"/>
                <w:sz w:val="21"/>
              </w:rPr>
            </w:pPr>
            <w:bookmarkStart w:id="432" w:name="25"/>
            <w:bookmarkEnd w:id="432"/>
            <w:r>
              <w:rPr>
                <w:rFonts w:ascii="Times New Roman"/>
                <w:sz w:val="21"/>
              </w:rPr>
              <w:t>25</w:t>
            </w:r>
          </w:p>
        </w:tc>
        <w:tc>
          <w:tcPr>
            <w:tcW w:w="882" w:type="dxa"/>
          </w:tcPr>
          <w:p>
            <w:pPr>
              <w:pStyle w:val="14"/>
              <w:spacing w:before="18" w:line="233" w:lineRule="exact"/>
              <w:ind w:left="118" w:right="110"/>
              <w:rPr>
                <w:rFonts w:ascii="Times New Roman"/>
                <w:sz w:val="21"/>
              </w:rPr>
            </w:pPr>
            <w:bookmarkStart w:id="433" w:name="23"/>
            <w:bookmarkEnd w:id="433"/>
            <w:r>
              <w:rPr>
                <w:rFonts w:ascii="Times New Roman"/>
                <w:sz w:val="21"/>
              </w:rPr>
              <w:t>23</w:t>
            </w:r>
          </w:p>
        </w:tc>
        <w:tc>
          <w:tcPr>
            <w:tcW w:w="882" w:type="dxa"/>
          </w:tcPr>
          <w:p>
            <w:pPr>
              <w:pStyle w:val="14"/>
              <w:spacing w:before="18" w:line="233" w:lineRule="exact"/>
              <w:ind w:left="119" w:right="109"/>
              <w:rPr>
                <w:rFonts w:ascii="Times New Roman"/>
                <w:sz w:val="21"/>
              </w:rPr>
            </w:pPr>
            <w:bookmarkStart w:id="434" w:name="25"/>
            <w:bookmarkEnd w:id="434"/>
            <w:r>
              <w:rPr>
                <w:rFonts w:ascii="Times New Roman"/>
                <w:sz w:val="21"/>
              </w:rPr>
              <w:t>25</w:t>
            </w:r>
          </w:p>
        </w:tc>
        <w:tc>
          <w:tcPr>
            <w:tcW w:w="882" w:type="dxa"/>
          </w:tcPr>
          <w:p>
            <w:pPr>
              <w:pStyle w:val="14"/>
              <w:spacing w:before="18" w:line="233" w:lineRule="exact"/>
              <w:ind w:left="118" w:right="110"/>
              <w:rPr>
                <w:rFonts w:ascii="Times New Roman"/>
                <w:sz w:val="21"/>
              </w:rPr>
            </w:pPr>
            <w:bookmarkStart w:id="435" w:name="27"/>
            <w:bookmarkEnd w:id="435"/>
            <w:r>
              <w:rPr>
                <w:rFonts w:ascii="Times New Roman"/>
                <w:sz w:val="21"/>
              </w:rPr>
              <w:t>27</w:t>
            </w:r>
          </w:p>
        </w:tc>
        <w:tc>
          <w:tcPr>
            <w:tcW w:w="882" w:type="dxa"/>
          </w:tcPr>
          <w:p>
            <w:pPr>
              <w:pStyle w:val="14"/>
              <w:spacing w:before="18" w:line="233" w:lineRule="exact"/>
              <w:ind w:left="119" w:right="109"/>
              <w:rPr>
                <w:rFonts w:ascii="Times New Roman"/>
                <w:sz w:val="21"/>
              </w:rPr>
            </w:pPr>
            <w:bookmarkStart w:id="436" w:name="24"/>
            <w:bookmarkEnd w:id="436"/>
            <w:r>
              <w:rPr>
                <w:rFonts w:ascii="Times New Roman"/>
                <w:sz w:val="21"/>
              </w:rPr>
              <w:t>24</w:t>
            </w:r>
          </w:p>
        </w:tc>
        <w:tc>
          <w:tcPr>
            <w:tcW w:w="882" w:type="dxa"/>
          </w:tcPr>
          <w:p>
            <w:pPr>
              <w:pStyle w:val="14"/>
              <w:spacing w:before="18" w:line="233" w:lineRule="exact"/>
              <w:ind w:left="118" w:right="110"/>
              <w:rPr>
                <w:rFonts w:ascii="Times New Roman"/>
                <w:sz w:val="21"/>
              </w:rPr>
            </w:pPr>
            <w:bookmarkStart w:id="437" w:name="22"/>
            <w:bookmarkEnd w:id="437"/>
            <w:r>
              <w:rPr>
                <w:rFonts w:ascii="Times New Roman"/>
                <w:sz w:val="21"/>
              </w:rPr>
              <w:t>22</w:t>
            </w:r>
          </w:p>
        </w:tc>
        <w:tc>
          <w:tcPr>
            <w:tcW w:w="888" w:type="dxa"/>
          </w:tcPr>
          <w:p>
            <w:pPr>
              <w:pStyle w:val="14"/>
              <w:spacing w:before="18" w:line="233" w:lineRule="exact"/>
              <w:ind w:left="122" w:right="113"/>
              <w:rPr>
                <w:rFonts w:ascii="Times New Roman"/>
                <w:sz w:val="21"/>
              </w:rPr>
            </w:pPr>
            <w:bookmarkStart w:id="438" w:name="29"/>
            <w:bookmarkEnd w:id="438"/>
            <w:r>
              <w:rPr>
                <w:rFonts w:ascii="Times New Roman"/>
                <w:sz w:val="21"/>
              </w:rPr>
              <w:t>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400" w:type="dxa"/>
          </w:tcPr>
          <w:p>
            <w:pPr>
              <w:pStyle w:val="14"/>
              <w:spacing w:before="1" w:line="252" w:lineRule="exact"/>
              <w:ind w:left="109" w:right="-15"/>
              <w:jc w:val="left"/>
              <w:rPr>
                <w:sz w:val="21"/>
              </w:rPr>
            </w:pPr>
            <w:r>
              <w:rPr>
                <w:rFonts w:ascii="Times New Roman" w:eastAsia="Times New Roman"/>
                <w:spacing w:val="-4"/>
                <w:sz w:val="21"/>
              </w:rPr>
              <w:t>COD</w:t>
            </w:r>
            <w:r>
              <w:rPr>
                <w:spacing w:val="-4"/>
                <w:sz w:val="21"/>
              </w:rPr>
              <w:t>（</w:t>
            </w:r>
            <w:r>
              <w:rPr>
                <w:rFonts w:ascii="Times New Roman" w:eastAsia="Times New Roman"/>
                <w:spacing w:val="-4"/>
                <w:sz w:val="21"/>
              </w:rPr>
              <w:t>mg/L</w:t>
            </w:r>
            <w:r>
              <w:rPr>
                <w:spacing w:val="-4"/>
                <w:sz w:val="21"/>
              </w:rPr>
              <w:t>）</w:t>
            </w:r>
          </w:p>
        </w:tc>
        <w:tc>
          <w:tcPr>
            <w:tcW w:w="882" w:type="dxa"/>
          </w:tcPr>
          <w:p>
            <w:pPr>
              <w:pStyle w:val="14"/>
              <w:spacing w:before="17" w:line="236" w:lineRule="exact"/>
              <w:ind w:left="119" w:right="109"/>
              <w:rPr>
                <w:rFonts w:ascii="Times New Roman"/>
                <w:sz w:val="21"/>
              </w:rPr>
            </w:pPr>
            <w:bookmarkStart w:id="439" w:name="46"/>
            <w:bookmarkEnd w:id="439"/>
            <w:r>
              <w:rPr>
                <w:rFonts w:ascii="Times New Roman"/>
                <w:sz w:val="21"/>
              </w:rPr>
              <w:t>46</w:t>
            </w:r>
          </w:p>
        </w:tc>
        <w:tc>
          <w:tcPr>
            <w:tcW w:w="882" w:type="dxa"/>
          </w:tcPr>
          <w:p>
            <w:pPr>
              <w:pStyle w:val="14"/>
              <w:spacing w:before="17" w:line="236" w:lineRule="exact"/>
              <w:ind w:left="118" w:right="110"/>
              <w:rPr>
                <w:rFonts w:ascii="Times New Roman"/>
                <w:sz w:val="21"/>
              </w:rPr>
            </w:pPr>
            <w:bookmarkStart w:id="440" w:name="48"/>
            <w:bookmarkEnd w:id="440"/>
            <w:r>
              <w:rPr>
                <w:rFonts w:ascii="Times New Roman"/>
                <w:sz w:val="21"/>
              </w:rPr>
              <w:t>48</w:t>
            </w:r>
          </w:p>
        </w:tc>
        <w:tc>
          <w:tcPr>
            <w:tcW w:w="882" w:type="dxa"/>
          </w:tcPr>
          <w:p>
            <w:pPr>
              <w:pStyle w:val="14"/>
              <w:spacing w:before="17" w:line="236" w:lineRule="exact"/>
              <w:ind w:left="119" w:right="109"/>
              <w:rPr>
                <w:rFonts w:ascii="Times New Roman"/>
                <w:sz w:val="21"/>
              </w:rPr>
            </w:pPr>
            <w:bookmarkStart w:id="441" w:name="45"/>
            <w:bookmarkEnd w:id="441"/>
            <w:r>
              <w:rPr>
                <w:rFonts w:ascii="Times New Roman"/>
                <w:sz w:val="21"/>
              </w:rPr>
              <w:t>45</w:t>
            </w:r>
          </w:p>
        </w:tc>
        <w:tc>
          <w:tcPr>
            <w:tcW w:w="882" w:type="dxa"/>
          </w:tcPr>
          <w:p>
            <w:pPr>
              <w:pStyle w:val="14"/>
              <w:spacing w:before="17" w:line="236" w:lineRule="exact"/>
              <w:ind w:left="118" w:right="110"/>
              <w:rPr>
                <w:rFonts w:ascii="Times New Roman"/>
                <w:sz w:val="21"/>
              </w:rPr>
            </w:pPr>
            <w:bookmarkStart w:id="442" w:name="47"/>
            <w:bookmarkEnd w:id="442"/>
            <w:r>
              <w:rPr>
                <w:rFonts w:ascii="Times New Roman"/>
                <w:sz w:val="21"/>
              </w:rPr>
              <w:t>47</w:t>
            </w:r>
          </w:p>
        </w:tc>
        <w:tc>
          <w:tcPr>
            <w:tcW w:w="882" w:type="dxa"/>
          </w:tcPr>
          <w:p>
            <w:pPr>
              <w:pStyle w:val="14"/>
              <w:spacing w:before="17" w:line="236" w:lineRule="exact"/>
              <w:ind w:left="119" w:right="109"/>
              <w:rPr>
                <w:rFonts w:ascii="Times New Roman"/>
                <w:sz w:val="21"/>
              </w:rPr>
            </w:pPr>
            <w:bookmarkStart w:id="443" w:name="48"/>
            <w:bookmarkEnd w:id="443"/>
            <w:r>
              <w:rPr>
                <w:rFonts w:ascii="Times New Roman"/>
                <w:sz w:val="21"/>
              </w:rPr>
              <w:t>48</w:t>
            </w:r>
          </w:p>
        </w:tc>
        <w:tc>
          <w:tcPr>
            <w:tcW w:w="882" w:type="dxa"/>
          </w:tcPr>
          <w:p>
            <w:pPr>
              <w:pStyle w:val="14"/>
              <w:spacing w:before="17" w:line="236" w:lineRule="exact"/>
              <w:ind w:left="118" w:right="110"/>
              <w:rPr>
                <w:rFonts w:ascii="Times New Roman"/>
                <w:sz w:val="21"/>
              </w:rPr>
            </w:pPr>
            <w:bookmarkStart w:id="444" w:name="42"/>
            <w:bookmarkEnd w:id="444"/>
            <w:r>
              <w:rPr>
                <w:rFonts w:ascii="Times New Roman"/>
                <w:sz w:val="21"/>
              </w:rPr>
              <w:t>42</w:t>
            </w:r>
          </w:p>
        </w:tc>
        <w:tc>
          <w:tcPr>
            <w:tcW w:w="882" w:type="dxa"/>
          </w:tcPr>
          <w:p>
            <w:pPr>
              <w:pStyle w:val="14"/>
              <w:spacing w:before="17" w:line="236" w:lineRule="exact"/>
              <w:ind w:left="119" w:right="109"/>
              <w:rPr>
                <w:rFonts w:ascii="Times New Roman"/>
                <w:sz w:val="21"/>
              </w:rPr>
            </w:pPr>
            <w:bookmarkStart w:id="445" w:name="42"/>
            <w:bookmarkEnd w:id="445"/>
            <w:r>
              <w:rPr>
                <w:rFonts w:ascii="Times New Roman"/>
                <w:sz w:val="21"/>
              </w:rPr>
              <w:t>42</w:t>
            </w:r>
          </w:p>
        </w:tc>
        <w:tc>
          <w:tcPr>
            <w:tcW w:w="882" w:type="dxa"/>
          </w:tcPr>
          <w:p>
            <w:pPr>
              <w:pStyle w:val="14"/>
              <w:spacing w:before="17" w:line="236" w:lineRule="exact"/>
              <w:ind w:left="118" w:right="110"/>
              <w:rPr>
                <w:rFonts w:ascii="Times New Roman"/>
                <w:sz w:val="21"/>
              </w:rPr>
            </w:pPr>
            <w:bookmarkStart w:id="446" w:name="44"/>
            <w:bookmarkEnd w:id="446"/>
            <w:r>
              <w:rPr>
                <w:rFonts w:ascii="Times New Roman"/>
                <w:sz w:val="21"/>
              </w:rPr>
              <w:t>44</w:t>
            </w:r>
          </w:p>
        </w:tc>
        <w:tc>
          <w:tcPr>
            <w:tcW w:w="888" w:type="dxa"/>
          </w:tcPr>
          <w:p>
            <w:pPr>
              <w:pStyle w:val="14"/>
              <w:spacing w:before="17" w:line="236" w:lineRule="exact"/>
              <w:ind w:left="122" w:right="113"/>
              <w:rPr>
                <w:rFonts w:ascii="Times New Roman"/>
                <w:sz w:val="21"/>
              </w:rPr>
            </w:pPr>
            <w:bookmarkStart w:id="447" w:name="48"/>
            <w:bookmarkEnd w:id="447"/>
            <w:r>
              <w:rPr>
                <w:rFonts w:ascii="Times New Roman"/>
                <w:sz w:val="21"/>
              </w:rPr>
              <w:t>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1400" w:type="dxa"/>
          </w:tcPr>
          <w:p>
            <w:pPr>
              <w:pStyle w:val="14"/>
              <w:spacing w:before="1"/>
              <w:ind w:left="242" w:right="233"/>
              <w:rPr>
                <w:sz w:val="21"/>
              </w:rPr>
            </w:pPr>
            <w:r>
              <w:rPr>
                <w:sz w:val="21"/>
              </w:rPr>
              <w:t>石油类</w:t>
            </w:r>
          </w:p>
          <w:p>
            <w:pPr>
              <w:pStyle w:val="14"/>
              <w:spacing w:before="2" w:line="252" w:lineRule="exact"/>
              <w:ind w:left="242" w:right="233"/>
              <w:rPr>
                <w:sz w:val="21"/>
              </w:rPr>
            </w:pPr>
            <w:r>
              <w:rPr>
                <w:sz w:val="21"/>
              </w:rPr>
              <w:t>（</w:t>
            </w:r>
            <w:r>
              <w:rPr>
                <w:rFonts w:ascii="Times New Roman" w:eastAsia="Times New Roman"/>
                <w:sz w:val="21"/>
              </w:rPr>
              <w:t>mg/L</w:t>
            </w:r>
            <w:r>
              <w:rPr>
                <w:sz w:val="21"/>
              </w:rPr>
              <w:t>）</w:t>
            </w:r>
          </w:p>
        </w:tc>
        <w:tc>
          <w:tcPr>
            <w:tcW w:w="882" w:type="dxa"/>
          </w:tcPr>
          <w:p>
            <w:pPr>
              <w:pStyle w:val="14"/>
              <w:spacing w:before="152"/>
              <w:ind w:left="119" w:right="109"/>
              <w:rPr>
                <w:rFonts w:ascii="Times New Roman"/>
                <w:sz w:val="21"/>
              </w:rPr>
            </w:pPr>
            <w:bookmarkStart w:id="448" w:name="0.01L"/>
            <w:bookmarkEnd w:id="448"/>
            <w:r>
              <w:rPr>
                <w:rFonts w:ascii="Times New Roman"/>
                <w:sz w:val="21"/>
              </w:rPr>
              <w:t>0.01L</w:t>
            </w:r>
          </w:p>
        </w:tc>
        <w:tc>
          <w:tcPr>
            <w:tcW w:w="882" w:type="dxa"/>
          </w:tcPr>
          <w:p>
            <w:pPr>
              <w:pStyle w:val="14"/>
              <w:spacing w:before="152"/>
              <w:ind w:left="119" w:right="109"/>
              <w:rPr>
                <w:rFonts w:ascii="Times New Roman"/>
                <w:sz w:val="21"/>
              </w:rPr>
            </w:pPr>
            <w:bookmarkStart w:id="449" w:name="0.01L"/>
            <w:bookmarkEnd w:id="449"/>
            <w:r>
              <w:rPr>
                <w:rFonts w:ascii="Times New Roman"/>
                <w:sz w:val="21"/>
              </w:rPr>
              <w:t>0.01L</w:t>
            </w:r>
          </w:p>
        </w:tc>
        <w:tc>
          <w:tcPr>
            <w:tcW w:w="882" w:type="dxa"/>
          </w:tcPr>
          <w:p>
            <w:pPr>
              <w:pStyle w:val="14"/>
              <w:spacing w:before="152"/>
              <w:ind w:left="119" w:right="109"/>
              <w:rPr>
                <w:rFonts w:ascii="Times New Roman"/>
                <w:sz w:val="21"/>
              </w:rPr>
            </w:pPr>
            <w:bookmarkStart w:id="450" w:name="0.01L"/>
            <w:bookmarkEnd w:id="450"/>
            <w:r>
              <w:rPr>
                <w:rFonts w:ascii="Times New Roman"/>
                <w:sz w:val="21"/>
              </w:rPr>
              <w:t>0.01L</w:t>
            </w:r>
          </w:p>
        </w:tc>
        <w:tc>
          <w:tcPr>
            <w:tcW w:w="882" w:type="dxa"/>
          </w:tcPr>
          <w:p>
            <w:pPr>
              <w:pStyle w:val="14"/>
              <w:spacing w:before="152"/>
              <w:ind w:left="119" w:right="109"/>
              <w:rPr>
                <w:rFonts w:ascii="Times New Roman"/>
                <w:sz w:val="21"/>
              </w:rPr>
            </w:pPr>
            <w:bookmarkStart w:id="451" w:name="0.01L"/>
            <w:bookmarkEnd w:id="451"/>
            <w:r>
              <w:rPr>
                <w:rFonts w:ascii="Times New Roman"/>
                <w:sz w:val="21"/>
              </w:rPr>
              <w:t>0.01L</w:t>
            </w:r>
          </w:p>
        </w:tc>
        <w:tc>
          <w:tcPr>
            <w:tcW w:w="882" w:type="dxa"/>
          </w:tcPr>
          <w:p>
            <w:pPr>
              <w:pStyle w:val="14"/>
              <w:spacing w:before="152"/>
              <w:ind w:left="119" w:right="109"/>
              <w:rPr>
                <w:rFonts w:ascii="Times New Roman"/>
                <w:sz w:val="21"/>
              </w:rPr>
            </w:pPr>
            <w:bookmarkStart w:id="452" w:name="0.01L"/>
            <w:bookmarkEnd w:id="452"/>
            <w:r>
              <w:rPr>
                <w:rFonts w:ascii="Times New Roman"/>
                <w:sz w:val="21"/>
              </w:rPr>
              <w:t>0.01L</w:t>
            </w:r>
          </w:p>
        </w:tc>
        <w:tc>
          <w:tcPr>
            <w:tcW w:w="882" w:type="dxa"/>
          </w:tcPr>
          <w:p>
            <w:pPr>
              <w:pStyle w:val="14"/>
              <w:spacing w:before="152"/>
              <w:ind w:left="119" w:right="109"/>
              <w:rPr>
                <w:rFonts w:ascii="Times New Roman"/>
                <w:sz w:val="21"/>
              </w:rPr>
            </w:pPr>
            <w:bookmarkStart w:id="453" w:name="0.01L"/>
            <w:bookmarkEnd w:id="453"/>
            <w:r>
              <w:rPr>
                <w:rFonts w:ascii="Times New Roman"/>
                <w:sz w:val="21"/>
              </w:rPr>
              <w:t>0.01L</w:t>
            </w:r>
          </w:p>
        </w:tc>
        <w:tc>
          <w:tcPr>
            <w:tcW w:w="882" w:type="dxa"/>
          </w:tcPr>
          <w:p>
            <w:pPr>
              <w:pStyle w:val="14"/>
              <w:spacing w:before="152"/>
              <w:ind w:left="119" w:right="109"/>
              <w:rPr>
                <w:rFonts w:ascii="Times New Roman"/>
                <w:sz w:val="21"/>
              </w:rPr>
            </w:pPr>
            <w:bookmarkStart w:id="454" w:name="0.01L"/>
            <w:bookmarkEnd w:id="454"/>
            <w:r>
              <w:rPr>
                <w:rFonts w:ascii="Times New Roman"/>
                <w:sz w:val="21"/>
              </w:rPr>
              <w:t>0.01L</w:t>
            </w:r>
          </w:p>
        </w:tc>
        <w:tc>
          <w:tcPr>
            <w:tcW w:w="882" w:type="dxa"/>
          </w:tcPr>
          <w:p>
            <w:pPr>
              <w:pStyle w:val="14"/>
              <w:spacing w:before="152"/>
              <w:ind w:left="119" w:right="109"/>
              <w:rPr>
                <w:rFonts w:ascii="Times New Roman"/>
                <w:sz w:val="21"/>
              </w:rPr>
            </w:pPr>
            <w:bookmarkStart w:id="455" w:name="0.01L"/>
            <w:bookmarkEnd w:id="455"/>
            <w:r>
              <w:rPr>
                <w:rFonts w:ascii="Times New Roman"/>
                <w:sz w:val="21"/>
              </w:rPr>
              <w:t>0.01L</w:t>
            </w:r>
          </w:p>
        </w:tc>
        <w:tc>
          <w:tcPr>
            <w:tcW w:w="888" w:type="dxa"/>
          </w:tcPr>
          <w:p>
            <w:pPr>
              <w:pStyle w:val="14"/>
              <w:spacing w:before="152"/>
              <w:ind w:left="121" w:right="113"/>
              <w:rPr>
                <w:rFonts w:ascii="Times New Roman"/>
                <w:sz w:val="21"/>
              </w:rPr>
            </w:pPr>
            <w:bookmarkStart w:id="456" w:name="0.01L"/>
            <w:bookmarkEnd w:id="456"/>
            <w:r>
              <w:rPr>
                <w:rFonts w:ascii="Times New Roman"/>
                <w:sz w:val="21"/>
              </w:rPr>
              <w:t>0.01L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400" w:type="dxa"/>
          </w:tcPr>
          <w:p>
            <w:pPr>
              <w:pStyle w:val="14"/>
              <w:spacing w:before="1" w:line="251" w:lineRule="exact"/>
              <w:ind w:left="106" w:right="-15"/>
              <w:jc w:val="left"/>
              <w:rPr>
                <w:sz w:val="21"/>
              </w:rPr>
            </w:pPr>
            <w:r>
              <w:rPr>
                <w:spacing w:val="-2"/>
                <w:sz w:val="21"/>
              </w:rPr>
              <w:t>总铁</w:t>
            </w:r>
            <w:r>
              <w:rPr>
                <w:sz w:val="21"/>
              </w:rPr>
              <w:t>（</w:t>
            </w:r>
            <w:r>
              <w:rPr>
                <w:rFonts w:ascii="Times New Roman" w:eastAsia="Times New Roman"/>
                <w:sz w:val="21"/>
              </w:rPr>
              <w:t>mg/L</w:t>
            </w:r>
            <w:r>
              <w:rPr>
                <w:sz w:val="21"/>
              </w:rPr>
              <w:t>）</w:t>
            </w:r>
          </w:p>
        </w:tc>
        <w:tc>
          <w:tcPr>
            <w:tcW w:w="882" w:type="dxa"/>
          </w:tcPr>
          <w:p>
            <w:pPr>
              <w:pStyle w:val="14"/>
              <w:spacing w:before="18" w:line="235" w:lineRule="exact"/>
              <w:ind w:left="119" w:right="109"/>
              <w:rPr>
                <w:rFonts w:ascii="Times New Roman"/>
                <w:sz w:val="21"/>
              </w:rPr>
            </w:pPr>
            <w:bookmarkStart w:id="457" w:name="0.39"/>
            <w:bookmarkEnd w:id="457"/>
            <w:r>
              <w:rPr>
                <w:rFonts w:ascii="Times New Roman"/>
                <w:sz w:val="21"/>
              </w:rPr>
              <w:t>0.39</w:t>
            </w:r>
          </w:p>
        </w:tc>
        <w:tc>
          <w:tcPr>
            <w:tcW w:w="882" w:type="dxa"/>
          </w:tcPr>
          <w:p>
            <w:pPr>
              <w:pStyle w:val="14"/>
              <w:spacing w:before="18" w:line="235" w:lineRule="exact"/>
              <w:ind w:left="118" w:right="110"/>
              <w:rPr>
                <w:rFonts w:ascii="Times New Roman"/>
                <w:sz w:val="21"/>
              </w:rPr>
            </w:pPr>
            <w:bookmarkStart w:id="458" w:name="0.39"/>
            <w:bookmarkEnd w:id="458"/>
            <w:r>
              <w:rPr>
                <w:rFonts w:ascii="Times New Roman"/>
                <w:sz w:val="21"/>
              </w:rPr>
              <w:t>0.39</w:t>
            </w:r>
          </w:p>
        </w:tc>
        <w:tc>
          <w:tcPr>
            <w:tcW w:w="882" w:type="dxa"/>
          </w:tcPr>
          <w:p>
            <w:pPr>
              <w:pStyle w:val="14"/>
              <w:spacing w:before="18" w:line="235" w:lineRule="exact"/>
              <w:ind w:left="119" w:right="109"/>
              <w:rPr>
                <w:rFonts w:ascii="Times New Roman"/>
                <w:sz w:val="21"/>
              </w:rPr>
            </w:pPr>
            <w:bookmarkStart w:id="459" w:name="0.40"/>
            <w:bookmarkEnd w:id="459"/>
            <w:r>
              <w:rPr>
                <w:rFonts w:ascii="Times New Roman"/>
                <w:sz w:val="21"/>
              </w:rPr>
              <w:t>0.40</w:t>
            </w:r>
          </w:p>
        </w:tc>
        <w:tc>
          <w:tcPr>
            <w:tcW w:w="882" w:type="dxa"/>
          </w:tcPr>
          <w:p>
            <w:pPr>
              <w:pStyle w:val="14"/>
              <w:spacing w:before="18" w:line="235" w:lineRule="exact"/>
              <w:ind w:left="118" w:right="110"/>
              <w:rPr>
                <w:rFonts w:ascii="Times New Roman"/>
                <w:sz w:val="21"/>
              </w:rPr>
            </w:pPr>
            <w:bookmarkStart w:id="460" w:name="0.41"/>
            <w:bookmarkEnd w:id="460"/>
            <w:r>
              <w:rPr>
                <w:rFonts w:ascii="Times New Roman"/>
                <w:sz w:val="21"/>
              </w:rPr>
              <w:t>0.41</w:t>
            </w:r>
          </w:p>
        </w:tc>
        <w:tc>
          <w:tcPr>
            <w:tcW w:w="882" w:type="dxa"/>
          </w:tcPr>
          <w:p>
            <w:pPr>
              <w:pStyle w:val="14"/>
              <w:spacing w:before="18" w:line="235" w:lineRule="exact"/>
              <w:ind w:left="119" w:right="109"/>
              <w:rPr>
                <w:rFonts w:ascii="Times New Roman"/>
                <w:sz w:val="21"/>
              </w:rPr>
            </w:pPr>
            <w:bookmarkStart w:id="461" w:name="0.40"/>
            <w:bookmarkEnd w:id="461"/>
            <w:r>
              <w:rPr>
                <w:rFonts w:ascii="Times New Roman"/>
                <w:sz w:val="21"/>
              </w:rPr>
              <w:t>0.40</w:t>
            </w:r>
          </w:p>
        </w:tc>
        <w:tc>
          <w:tcPr>
            <w:tcW w:w="882" w:type="dxa"/>
          </w:tcPr>
          <w:p>
            <w:pPr>
              <w:pStyle w:val="14"/>
              <w:spacing w:before="18" w:line="235" w:lineRule="exact"/>
              <w:ind w:left="118" w:right="110"/>
              <w:rPr>
                <w:rFonts w:ascii="Times New Roman"/>
                <w:sz w:val="21"/>
              </w:rPr>
            </w:pPr>
            <w:bookmarkStart w:id="462" w:name="0.39"/>
            <w:bookmarkEnd w:id="462"/>
            <w:r>
              <w:rPr>
                <w:rFonts w:ascii="Times New Roman"/>
                <w:sz w:val="21"/>
              </w:rPr>
              <w:t>0.39</w:t>
            </w:r>
          </w:p>
        </w:tc>
        <w:tc>
          <w:tcPr>
            <w:tcW w:w="882" w:type="dxa"/>
          </w:tcPr>
          <w:p>
            <w:pPr>
              <w:pStyle w:val="14"/>
              <w:spacing w:before="18" w:line="235" w:lineRule="exact"/>
              <w:ind w:left="119" w:right="109"/>
              <w:rPr>
                <w:rFonts w:ascii="Times New Roman"/>
                <w:sz w:val="21"/>
              </w:rPr>
            </w:pPr>
            <w:bookmarkStart w:id="463" w:name="0.40"/>
            <w:bookmarkEnd w:id="463"/>
            <w:r>
              <w:rPr>
                <w:rFonts w:ascii="Times New Roman"/>
                <w:sz w:val="21"/>
              </w:rPr>
              <w:t>0.40</w:t>
            </w:r>
          </w:p>
        </w:tc>
        <w:tc>
          <w:tcPr>
            <w:tcW w:w="882" w:type="dxa"/>
          </w:tcPr>
          <w:p>
            <w:pPr>
              <w:pStyle w:val="14"/>
              <w:spacing w:before="18" w:line="235" w:lineRule="exact"/>
              <w:ind w:left="118" w:right="110"/>
              <w:rPr>
                <w:rFonts w:ascii="Times New Roman"/>
                <w:sz w:val="21"/>
              </w:rPr>
            </w:pPr>
            <w:bookmarkStart w:id="464" w:name="0.39"/>
            <w:bookmarkEnd w:id="464"/>
            <w:r>
              <w:rPr>
                <w:rFonts w:ascii="Times New Roman"/>
                <w:sz w:val="21"/>
              </w:rPr>
              <w:t>0.39</w:t>
            </w:r>
          </w:p>
        </w:tc>
        <w:tc>
          <w:tcPr>
            <w:tcW w:w="888" w:type="dxa"/>
          </w:tcPr>
          <w:p>
            <w:pPr>
              <w:pStyle w:val="14"/>
              <w:spacing w:before="18" w:line="235" w:lineRule="exact"/>
              <w:ind w:left="122" w:right="113"/>
              <w:rPr>
                <w:rFonts w:ascii="Times New Roman"/>
                <w:sz w:val="21"/>
              </w:rPr>
            </w:pPr>
            <w:bookmarkStart w:id="465" w:name="0.42"/>
            <w:bookmarkEnd w:id="465"/>
            <w:r>
              <w:rPr>
                <w:rFonts w:ascii="Times New Roman"/>
                <w:sz w:val="21"/>
              </w:rPr>
              <w:t>0.42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400" w:type="dxa"/>
          </w:tcPr>
          <w:p>
            <w:pPr>
              <w:pStyle w:val="14"/>
              <w:spacing w:line="252" w:lineRule="exact"/>
              <w:ind w:left="106" w:right="-15"/>
              <w:jc w:val="left"/>
              <w:rPr>
                <w:sz w:val="21"/>
              </w:rPr>
            </w:pPr>
            <w:r>
              <w:rPr>
                <w:spacing w:val="-2"/>
                <w:sz w:val="21"/>
              </w:rPr>
              <w:t>总锰</w:t>
            </w:r>
            <w:r>
              <w:rPr>
                <w:sz w:val="21"/>
              </w:rPr>
              <w:t>（</w:t>
            </w:r>
            <w:r>
              <w:rPr>
                <w:rFonts w:ascii="Times New Roman" w:eastAsia="Times New Roman"/>
                <w:sz w:val="21"/>
              </w:rPr>
              <w:t>mg/L</w:t>
            </w:r>
            <w:r>
              <w:rPr>
                <w:sz w:val="21"/>
              </w:rPr>
              <w:t>）</w:t>
            </w:r>
          </w:p>
        </w:tc>
        <w:tc>
          <w:tcPr>
            <w:tcW w:w="882" w:type="dxa"/>
          </w:tcPr>
          <w:p>
            <w:pPr>
              <w:pStyle w:val="14"/>
              <w:spacing w:before="18" w:line="234" w:lineRule="exact"/>
              <w:ind w:left="119" w:right="109"/>
              <w:rPr>
                <w:rFonts w:ascii="Times New Roman"/>
                <w:sz w:val="21"/>
              </w:rPr>
            </w:pPr>
            <w:bookmarkStart w:id="466" w:name="0.01"/>
            <w:bookmarkEnd w:id="466"/>
            <w:r>
              <w:rPr>
                <w:rFonts w:ascii="Times New Roman"/>
                <w:sz w:val="21"/>
              </w:rPr>
              <w:t>0.01</w:t>
            </w:r>
          </w:p>
        </w:tc>
        <w:tc>
          <w:tcPr>
            <w:tcW w:w="882" w:type="dxa"/>
          </w:tcPr>
          <w:p>
            <w:pPr>
              <w:pStyle w:val="14"/>
              <w:spacing w:before="18" w:line="234" w:lineRule="exact"/>
              <w:ind w:left="118" w:right="110"/>
              <w:rPr>
                <w:rFonts w:ascii="Times New Roman"/>
                <w:sz w:val="21"/>
              </w:rPr>
            </w:pPr>
            <w:bookmarkStart w:id="467" w:name="0.01"/>
            <w:bookmarkEnd w:id="467"/>
            <w:r>
              <w:rPr>
                <w:rFonts w:ascii="Times New Roman"/>
                <w:sz w:val="21"/>
              </w:rPr>
              <w:t>0.01</w:t>
            </w:r>
          </w:p>
        </w:tc>
        <w:tc>
          <w:tcPr>
            <w:tcW w:w="882" w:type="dxa"/>
          </w:tcPr>
          <w:p>
            <w:pPr>
              <w:pStyle w:val="14"/>
              <w:spacing w:before="18" w:line="234" w:lineRule="exact"/>
              <w:ind w:left="119" w:right="109"/>
              <w:rPr>
                <w:rFonts w:ascii="Times New Roman"/>
                <w:sz w:val="21"/>
              </w:rPr>
            </w:pPr>
            <w:bookmarkStart w:id="468" w:name="0.01"/>
            <w:bookmarkEnd w:id="468"/>
            <w:r>
              <w:rPr>
                <w:rFonts w:ascii="Times New Roman"/>
                <w:sz w:val="21"/>
              </w:rPr>
              <w:t>0.01</w:t>
            </w:r>
          </w:p>
        </w:tc>
        <w:tc>
          <w:tcPr>
            <w:tcW w:w="882" w:type="dxa"/>
          </w:tcPr>
          <w:p>
            <w:pPr>
              <w:pStyle w:val="14"/>
              <w:spacing w:before="18" w:line="234" w:lineRule="exact"/>
              <w:ind w:left="118" w:right="110"/>
              <w:rPr>
                <w:rFonts w:ascii="Times New Roman"/>
                <w:sz w:val="21"/>
              </w:rPr>
            </w:pPr>
            <w:bookmarkStart w:id="469" w:name="0.01"/>
            <w:bookmarkEnd w:id="469"/>
            <w:r>
              <w:rPr>
                <w:rFonts w:ascii="Times New Roman"/>
                <w:sz w:val="21"/>
              </w:rPr>
              <w:t>0.01</w:t>
            </w:r>
          </w:p>
        </w:tc>
        <w:tc>
          <w:tcPr>
            <w:tcW w:w="882" w:type="dxa"/>
          </w:tcPr>
          <w:p>
            <w:pPr>
              <w:pStyle w:val="14"/>
              <w:spacing w:before="18" w:line="234" w:lineRule="exact"/>
              <w:ind w:left="119" w:right="109"/>
              <w:rPr>
                <w:rFonts w:ascii="Times New Roman"/>
                <w:sz w:val="21"/>
              </w:rPr>
            </w:pPr>
            <w:bookmarkStart w:id="470" w:name="0.01"/>
            <w:bookmarkEnd w:id="470"/>
            <w:r>
              <w:rPr>
                <w:rFonts w:ascii="Times New Roman"/>
                <w:sz w:val="21"/>
              </w:rPr>
              <w:t>0.01</w:t>
            </w:r>
          </w:p>
        </w:tc>
        <w:tc>
          <w:tcPr>
            <w:tcW w:w="882" w:type="dxa"/>
          </w:tcPr>
          <w:p>
            <w:pPr>
              <w:pStyle w:val="14"/>
              <w:spacing w:before="18" w:line="234" w:lineRule="exact"/>
              <w:ind w:left="118" w:right="110"/>
              <w:rPr>
                <w:rFonts w:ascii="Times New Roman"/>
                <w:sz w:val="21"/>
              </w:rPr>
            </w:pPr>
            <w:bookmarkStart w:id="471" w:name="0.01"/>
            <w:bookmarkEnd w:id="471"/>
            <w:r>
              <w:rPr>
                <w:rFonts w:ascii="Times New Roman"/>
                <w:sz w:val="21"/>
              </w:rPr>
              <w:t>0.01</w:t>
            </w:r>
          </w:p>
        </w:tc>
        <w:tc>
          <w:tcPr>
            <w:tcW w:w="882" w:type="dxa"/>
          </w:tcPr>
          <w:p>
            <w:pPr>
              <w:pStyle w:val="14"/>
              <w:spacing w:before="18" w:line="234" w:lineRule="exact"/>
              <w:ind w:left="119" w:right="109"/>
              <w:rPr>
                <w:rFonts w:ascii="Times New Roman"/>
                <w:sz w:val="21"/>
              </w:rPr>
            </w:pPr>
            <w:bookmarkStart w:id="472" w:name="0.01"/>
            <w:bookmarkEnd w:id="472"/>
            <w:r>
              <w:rPr>
                <w:rFonts w:ascii="Times New Roman"/>
                <w:sz w:val="21"/>
              </w:rPr>
              <w:t>0.01</w:t>
            </w:r>
          </w:p>
        </w:tc>
        <w:tc>
          <w:tcPr>
            <w:tcW w:w="882" w:type="dxa"/>
          </w:tcPr>
          <w:p>
            <w:pPr>
              <w:pStyle w:val="14"/>
              <w:spacing w:before="18" w:line="234" w:lineRule="exact"/>
              <w:ind w:left="118" w:right="110"/>
              <w:rPr>
                <w:rFonts w:ascii="Times New Roman"/>
                <w:sz w:val="21"/>
              </w:rPr>
            </w:pPr>
            <w:bookmarkStart w:id="473" w:name="0.01"/>
            <w:bookmarkEnd w:id="473"/>
            <w:r>
              <w:rPr>
                <w:rFonts w:ascii="Times New Roman"/>
                <w:sz w:val="21"/>
              </w:rPr>
              <w:t>0.01</w:t>
            </w:r>
          </w:p>
        </w:tc>
        <w:tc>
          <w:tcPr>
            <w:tcW w:w="888" w:type="dxa"/>
          </w:tcPr>
          <w:p>
            <w:pPr>
              <w:pStyle w:val="14"/>
              <w:spacing w:before="18" w:line="234" w:lineRule="exact"/>
              <w:ind w:left="122" w:right="113"/>
              <w:rPr>
                <w:rFonts w:ascii="Times New Roman"/>
                <w:sz w:val="21"/>
              </w:rPr>
            </w:pPr>
            <w:bookmarkStart w:id="474" w:name="0.01"/>
            <w:bookmarkEnd w:id="474"/>
            <w:r>
              <w:rPr>
                <w:rFonts w:ascii="Times New Roman"/>
                <w:sz w:val="21"/>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400" w:type="dxa"/>
          </w:tcPr>
          <w:p>
            <w:pPr>
              <w:pStyle w:val="14"/>
              <w:spacing w:line="252" w:lineRule="exact"/>
              <w:ind w:left="109"/>
              <w:jc w:val="left"/>
              <w:rPr>
                <w:sz w:val="21"/>
              </w:rPr>
            </w:pPr>
            <w:r>
              <w:rPr>
                <w:sz w:val="21"/>
              </w:rPr>
              <w:t>总汞（</w:t>
            </w:r>
            <w:r>
              <w:rPr>
                <w:rFonts w:ascii="Times New Roman" w:hAnsi="Times New Roman" w:eastAsia="Times New Roman"/>
                <w:sz w:val="21"/>
              </w:rPr>
              <w:t>μg/L</w:t>
            </w:r>
            <w:r>
              <w:rPr>
                <w:sz w:val="21"/>
              </w:rPr>
              <w:t>）</w:t>
            </w:r>
          </w:p>
        </w:tc>
        <w:tc>
          <w:tcPr>
            <w:tcW w:w="882" w:type="dxa"/>
          </w:tcPr>
          <w:p>
            <w:pPr>
              <w:pStyle w:val="14"/>
              <w:spacing w:before="17" w:line="236" w:lineRule="exact"/>
              <w:ind w:left="119" w:right="109"/>
              <w:rPr>
                <w:rFonts w:ascii="Times New Roman"/>
                <w:sz w:val="21"/>
              </w:rPr>
            </w:pPr>
            <w:bookmarkStart w:id="475" w:name="0.04L"/>
            <w:bookmarkEnd w:id="475"/>
            <w:r>
              <w:rPr>
                <w:rFonts w:ascii="Times New Roman"/>
                <w:sz w:val="21"/>
              </w:rPr>
              <w:t>0.04L</w:t>
            </w:r>
          </w:p>
        </w:tc>
        <w:tc>
          <w:tcPr>
            <w:tcW w:w="882" w:type="dxa"/>
          </w:tcPr>
          <w:p>
            <w:pPr>
              <w:pStyle w:val="14"/>
              <w:spacing w:before="17" w:line="236" w:lineRule="exact"/>
              <w:ind w:left="119" w:right="109"/>
              <w:rPr>
                <w:rFonts w:ascii="Times New Roman"/>
                <w:sz w:val="21"/>
              </w:rPr>
            </w:pPr>
            <w:bookmarkStart w:id="476" w:name="0.04L"/>
            <w:bookmarkEnd w:id="476"/>
            <w:r>
              <w:rPr>
                <w:rFonts w:ascii="Times New Roman"/>
                <w:sz w:val="21"/>
              </w:rPr>
              <w:t>0.04L</w:t>
            </w:r>
          </w:p>
        </w:tc>
        <w:tc>
          <w:tcPr>
            <w:tcW w:w="882" w:type="dxa"/>
          </w:tcPr>
          <w:p>
            <w:pPr>
              <w:pStyle w:val="14"/>
              <w:spacing w:before="17" w:line="236" w:lineRule="exact"/>
              <w:ind w:left="119" w:right="109"/>
              <w:rPr>
                <w:rFonts w:ascii="Times New Roman"/>
                <w:sz w:val="21"/>
              </w:rPr>
            </w:pPr>
            <w:bookmarkStart w:id="477" w:name="0.04L"/>
            <w:bookmarkEnd w:id="477"/>
            <w:r>
              <w:rPr>
                <w:rFonts w:ascii="Times New Roman"/>
                <w:sz w:val="21"/>
              </w:rPr>
              <w:t>0.04L</w:t>
            </w:r>
          </w:p>
        </w:tc>
        <w:tc>
          <w:tcPr>
            <w:tcW w:w="882" w:type="dxa"/>
          </w:tcPr>
          <w:p>
            <w:pPr>
              <w:pStyle w:val="14"/>
              <w:spacing w:before="17" w:line="236" w:lineRule="exact"/>
              <w:ind w:left="119" w:right="109"/>
              <w:rPr>
                <w:rFonts w:ascii="Times New Roman"/>
                <w:sz w:val="21"/>
              </w:rPr>
            </w:pPr>
            <w:bookmarkStart w:id="478" w:name="0.04L"/>
            <w:bookmarkEnd w:id="478"/>
            <w:r>
              <w:rPr>
                <w:rFonts w:ascii="Times New Roman"/>
                <w:sz w:val="21"/>
              </w:rPr>
              <w:t>0.04L</w:t>
            </w:r>
          </w:p>
        </w:tc>
        <w:tc>
          <w:tcPr>
            <w:tcW w:w="882" w:type="dxa"/>
          </w:tcPr>
          <w:p>
            <w:pPr>
              <w:pStyle w:val="14"/>
              <w:spacing w:before="17" w:line="236" w:lineRule="exact"/>
              <w:ind w:left="119" w:right="109"/>
              <w:rPr>
                <w:rFonts w:ascii="Times New Roman"/>
                <w:sz w:val="21"/>
              </w:rPr>
            </w:pPr>
            <w:bookmarkStart w:id="479" w:name="0.04L"/>
            <w:bookmarkEnd w:id="479"/>
            <w:r>
              <w:rPr>
                <w:rFonts w:ascii="Times New Roman"/>
                <w:sz w:val="21"/>
              </w:rPr>
              <w:t>0.04L</w:t>
            </w:r>
          </w:p>
        </w:tc>
        <w:tc>
          <w:tcPr>
            <w:tcW w:w="882" w:type="dxa"/>
          </w:tcPr>
          <w:p>
            <w:pPr>
              <w:pStyle w:val="14"/>
              <w:spacing w:before="17" w:line="236" w:lineRule="exact"/>
              <w:ind w:left="119" w:right="109"/>
              <w:rPr>
                <w:rFonts w:ascii="Times New Roman"/>
                <w:sz w:val="21"/>
              </w:rPr>
            </w:pPr>
            <w:bookmarkStart w:id="480" w:name="0.04L"/>
            <w:bookmarkEnd w:id="480"/>
            <w:r>
              <w:rPr>
                <w:rFonts w:ascii="Times New Roman"/>
                <w:sz w:val="21"/>
              </w:rPr>
              <w:t>0.04L</w:t>
            </w:r>
          </w:p>
        </w:tc>
        <w:tc>
          <w:tcPr>
            <w:tcW w:w="882" w:type="dxa"/>
          </w:tcPr>
          <w:p>
            <w:pPr>
              <w:pStyle w:val="14"/>
              <w:spacing w:before="17" w:line="236" w:lineRule="exact"/>
              <w:ind w:left="119" w:right="109"/>
              <w:rPr>
                <w:rFonts w:ascii="Times New Roman"/>
                <w:sz w:val="21"/>
              </w:rPr>
            </w:pPr>
            <w:bookmarkStart w:id="481" w:name="0.04L"/>
            <w:bookmarkEnd w:id="481"/>
            <w:r>
              <w:rPr>
                <w:rFonts w:ascii="Times New Roman"/>
                <w:sz w:val="21"/>
              </w:rPr>
              <w:t>0.04L</w:t>
            </w:r>
          </w:p>
        </w:tc>
        <w:tc>
          <w:tcPr>
            <w:tcW w:w="882" w:type="dxa"/>
          </w:tcPr>
          <w:p>
            <w:pPr>
              <w:pStyle w:val="14"/>
              <w:spacing w:before="17" w:line="236" w:lineRule="exact"/>
              <w:ind w:left="119" w:right="109"/>
              <w:rPr>
                <w:rFonts w:ascii="Times New Roman"/>
                <w:sz w:val="21"/>
              </w:rPr>
            </w:pPr>
            <w:bookmarkStart w:id="482" w:name="0.04L"/>
            <w:bookmarkEnd w:id="482"/>
            <w:r>
              <w:rPr>
                <w:rFonts w:ascii="Times New Roman"/>
                <w:sz w:val="21"/>
              </w:rPr>
              <w:t>0.04L</w:t>
            </w:r>
          </w:p>
        </w:tc>
        <w:tc>
          <w:tcPr>
            <w:tcW w:w="888" w:type="dxa"/>
          </w:tcPr>
          <w:p>
            <w:pPr>
              <w:pStyle w:val="14"/>
              <w:spacing w:before="17" w:line="236" w:lineRule="exact"/>
              <w:ind w:left="121" w:right="113"/>
              <w:rPr>
                <w:rFonts w:ascii="Times New Roman"/>
                <w:sz w:val="21"/>
              </w:rPr>
            </w:pPr>
            <w:bookmarkStart w:id="483" w:name="0.04L"/>
            <w:bookmarkEnd w:id="483"/>
            <w:r>
              <w:rPr>
                <w:rFonts w:ascii="Times New Roman"/>
                <w:sz w:val="21"/>
              </w:rPr>
              <w:t>0.04L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400" w:type="dxa"/>
          </w:tcPr>
          <w:p>
            <w:pPr>
              <w:pStyle w:val="14"/>
              <w:spacing w:line="251" w:lineRule="exact"/>
              <w:ind w:left="109"/>
              <w:jc w:val="left"/>
              <w:rPr>
                <w:sz w:val="21"/>
              </w:rPr>
            </w:pPr>
            <w:r>
              <w:rPr>
                <w:sz w:val="21"/>
              </w:rPr>
              <w:t>总镉（</w:t>
            </w:r>
            <w:r>
              <w:rPr>
                <w:rFonts w:ascii="Times New Roman" w:hAnsi="Times New Roman" w:eastAsia="Times New Roman"/>
                <w:sz w:val="21"/>
              </w:rPr>
              <w:t>μg/L</w:t>
            </w:r>
            <w:r>
              <w:rPr>
                <w:sz w:val="21"/>
              </w:rPr>
              <w:t>）</w:t>
            </w:r>
          </w:p>
        </w:tc>
        <w:tc>
          <w:tcPr>
            <w:tcW w:w="882" w:type="dxa"/>
          </w:tcPr>
          <w:p>
            <w:pPr>
              <w:pStyle w:val="14"/>
              <w:spacing w:before="17" w:line="235" w:lineRule="exact"/>
              <w:ind w:left="119" w:right="109"/>
              <w:rPr>
                <w:rFonts w:ascii="Times New Roman"/>
                <w:sz w:val="21"/>
              </w:rPr>
            </w:pPr>
            <w:bookmarkStart w:id="484" w:name="0.1L"/>
            <w:bookmarkEnd w:id="484"/>
            <w:r>
              <w:rPr>
                <w:rFonts w:ascii="Times New Roman"/>
                <w:sz w:val="21"/>
              </w:rPr>
              <w:t>0.1L</w:t>
            </w:r>
          </w:p>
        </w:tc>
        <w:tc>
          <w:tcPr>
            <w:tcW w:w="882" w:type="dxa"/>
          </w:tcPr>
          <w:p>
            <w:pPr>
              <w:pStyle w:val="14"/>
              <w:spacing w:before="17" w:line="235" w:lineRule="exact"/>
              <w:ind w:left="119" w:right="107"/>
              <w:rPr>
                <w:rFonts w:ascii="Times New Roman"/>
                <w:sz w:val="21"/>
              </w:rPr>
            </w:pPr>
            <w:bookmarkStart w:id="485" w:name="0.1L"/>
            <w:bookmarkEnd w:id="485"/>
            <w:r>
              <w:rPr>
                <w:rFonts w:ascii="Times New Roman"/>
                <w:sz w:val="21"/>
              </w:rPr>
              <w:t>0.1L</w:t>
            </w:r>
          </w:p>
        </w:tc>
        <w:tc>
          <w:tcPr>
            <w:tcW w:w="882" w:type="dxa"/>
          </w:tcPr>
          <w:p>
            <w:pPr>
              <w:pStyle w:val="14"/>
              <w:spacing w:before="17" w:line="235" w:lineRule="exact"/>
              <w:ind w:left="119" w:right="109"/>
              <w:rPr>
                <w:rFonts w:ascii="Times New Roman"/>
                <w:sz w:val="21"/>
              </w:rPr>
            </w:pPr>
            <w:bookmarkStart w:id="486" w:name="0.1L"/>
            <w:bookmarkEnd w:id="486"/>
            <w:r>
              <w:rPr>
                <w:rFonts w:ascii="Times New Roman"/>
                <w:sz w:val="21"/>
              </w:rPr>
              <w:t>0.1L</w:t>
            </w:r>
          </w:p>
        </w:tc>
        <w:tc>
          <w:tcPr>
            <w:tcW w:w="882" w:type="dxa"/>
          </w:tcPr>
          <w:p>
            <w:pPr>
              <w:pStyle w:val="14"/>
              <w:spacing w:before="17" w:line="235" w:lineRule="exact"/>
              <w:ind w:left="119" w:right="107"/>
              <w:rPr>
                <w:rFonts w:ascii="Times New Roman"/>
                <w:sz w:val="21"/>
              </w:rPr>
            </w:pPr>
            <w:bookmarkStart w:id="487" w:name="0.1L"/>
            <w:bookmarkEnd w:id="487"/>
            <w:r>
              <w:rPr>
                <w:rFonts w:ascii="Times New Roman"/>
                <w:sz w:val="21"/>
              </w:rPr>
              <w:t>0.1L</w:t>
            </w:r>
          </w:p>
        </w:tc>
        <w:tc>
          <w:tcPr>
            <w:tcW w:w="882" w:type="dxa"/>
          </w:tcPr>
          <w:p>
            <w:pPr>
              <w:pStyle w:val="14"/>
              <w:spacing w:before="17" w:line="235" w:lineRule="exact"/>
              <w:ind w:left="119" w:right="109"/>
              <w:rPr>
                <w:rFonts w:ascii="Times New Roman"/>
                <w:sz w:val="21"/>
              </w:rPr>
            </w:pPr>
            <w:bookmarkStart w:id="488" w:name="0.1L"/>
            <w:bookmarkEnd w:id="488"/>
            <w:r>
              <w:rPr>
                <w:rFonts w:ascii="Times New Roman"/>
                <w:sz w:val="21"/>
              </w:rPr>
              <w:t>0.1L</w:t>
            </w:r>
          </w:p>
        </w:tc>
        <w:tc>
          <w:tcPr>
            <w:tcW w:w="882" w:type="dxa"/>
          </w:tcPr>
          <w:p>
            <w:pPr>
              <w:pStyle w:val="14"/>
              <w:spacing w:before="17" w:line="235" w:lineRule="exact"/>
              <w:ind w:left="119" w:right="107"/>
              <w:rPr>
                <w:rFonts w:ascii="Times New Roman"/>
                <w:sz w:val="21"/>
              </w:rPr>
            </w:pPr>
            <w:bookmarkStart w:id="489" w:name="0.1L"/>
            <w:bookmarkEnd w:id="489"/>
            <w:r>
              <w:rPr>
                <w:rFonts w:ascii="Times New Roman"/>
                <w:sz w:val="21"/>
              </w:rPr>
              <w:t>0.1L</w:t>
            </w:r>
          </w:p>
        </w:tc>
        <w:tc>
          <w:tcPr>
            <w:tcW w:w="882" w:type="dxa"/>
          </w:tcPr>
          <w:p>
            <w:pPr>
              <w:pStyle w:val="14"/>
              <w:spacing w:before="17" w:line="235" w:lineRule="exact"/>
              <w:ind w:left="119" w:right="109"/>
              <w:rPr>
                <w:rFonts w:ascii="Times New Roman"/>
                <w:sz w:val="21"/>
              </w:rPr>
            </w:pPr>
            <w:bookmarkStart w:id="490" w:name="0.1L"/>
            <w:bookmarkEnd w:id="490"/>
            <w:r>
              <w:rPr>
                <w:rFonts w:ascii="Times New Roman"/>
                <w:sz w:val="21"/>
              </w:rPr>
              <w:t>0.1L</w:t>
            </w:r>
          </w:p>
        </w:tc>
        <w:tc>
          <w:tcPr>
            <w:tcW w:w="882" w:type="dxa"/>
          </w:tcPr>
          <w:p>
            <w:pPr>
              <w:pStyle w:val="14"/>
              <w:spacing w:before="17" w:line="235" w:lineRule="exact"/>
              <w:ind w:left="119" w:right="107"/>
              <w:rPr>
                <w:rFonts w:ascii="Times New Roman"/>
                <w:sz w:val="21"/>
              </w:rPr>
            </w:pPr>
            <w:bookmarkStart w:id="491" w:name="0.1L"/>
            <w:bookmarkEnd w:id="491"/>
            <w:r>
              <w:rPr>
                <w:rFonts w:ascii="Times New Roman"/>
                <w:sz w:val="21"/>
              </w:rPr>
              <w:t>0.1L</w:t>
            </w:r>
          </w:p>
        </w:tc>
        <w:tc>
          <w:tcPr>
            <w:tcW w:w="888" w:type="dxa"/>
          </w:tcPr>
          <w:p>
            <w:pPr>
              <w:pStyle w:val="14"/>
              <w:spacing w:before="17" w:line="235" w:lineRule="exact"/>
              <w:ind w:left="121" w:right="113"/>
              <w:rPr>
                <w:rFonts w:ascii="Times New Roman"/>
                <w:sz w:val="21"/>
              </w:rPr>
            </w:pPr>
            <w:bookmarkStart w:id="492" w:name="0.1L"/>
            <w:bookmarkEnd w:id="492"/>
            <w:r>
              <w:rPr>
                <w:rFonts w:ascii="Times New Roman"/>
                <w:sz w:val="21"/>
              </w:rPr>
              <w:t>0.1L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400" w:type="dxa"/>
          </w:tcPr>
          <w:p>
            <w:pPr>
              <w:pStyle w:val="14"/>
              <w:spacing w:line="252" w:lineRule="exact"/>
              <w:ind w:left="106" w:right="-15"/>
              <w:jc w:val="left"/>
              <w:rPr>
                <w:sz w:val="21"/>
              </w:rPr>
            </w:pPr>
            <w:r>
              <w:rPr>
                <w:spacing w:val="-2"/>
                <w:sz w:val="21"/>
              </w:rPr>
              <w:t>总铬</w:t>
            </w:r>
            <w:r>
              <w:rPr>
                <w:sz w:val="21"/>
              </w:rPr>
              <w:t>（</w:t>
            </w:r>
            <w:r>
              <w:rPr>
                <w:rFonts w:ascii="Times New Roman" w:eastAsia="Times New Roman"/>
                <w:sz w:val="21"/>
              </w:rPr>
              <w:t>mg/L</w:t>
            </w:r>
            <w:r>
              <w:rPr>
                <w:sz w:val="21"/>
              </w:rPr>
              <w:t>）</w:t>
            </w:r>
          </w:p>
        </w:tc>
        <w:tc>
          <w:tcPr>
            <w:tcW w:w="882" w:type="dxa"/>
          </w:tcPr>
          <w:p>
            <w:pPr>
              <w:pStyle w:val="14"/>
              <w:spacing w:before="16" w:line="236" w:lineRule="exact"/>
              <w:ind w:left="119" w:right="109"/>
              <w:rPr>
                <w:rFonts w:ascii="Times New Roman"/>
                <w:sz w:val="21"/>
              </w:rPr>
            </w:pPr>
            <w:bookmarkStart w:id="493" w:name="0.03L"/>
            <w:bookmarkEnd w:id="493"/>
            <w:r>
              <w:rPr>
                <w:rFonts w:ascii="Times New Roman"/>
                <w:sz w:val="21"/>
              </w:rPr>
              <w:t>0.03L</w:t>
            </w:r>
          </w:p>
        </w:tc>
        <w:tc>
          <w:tcPr>
            <w:tcW w:w="882" w:type="dxa"/>
          </w:tcPr>
          <w:p>
            <w:pPr>
              <w:pStyle w:val="14"/>
              <w:spacing w:before="16" w:line="236" w:lineRule="exact"/>
              <w:ind w:left="119" w:right="109"/>
              <w:rPr>
                <w:rFonts w:ascii="Times New Roman"/>
                <w:sz w:val="21"/>
              </w:rPr>
            </w:pPr>
            <w:bookmarkStart w:id="494" w:name="0.03L"/>
            <w:bookmarkEnd w:id="494"/>
            <w:r>
              <w:rPr>
                <w:rFonts w:ascii="Times New Roman"/>
                <w:sz w:val="21"/>
              </w:rPr>
              <w:t>0.03L</w:t>
            </w:r>
          </w:p>
        </w:tc>
        <w:tc>
          <w:tcPr>
            <w:tcW w:w="882" w:type="dxa"/>
          </w:tcPr>
          <w:p>
            <w:pPr>
              <w:pStyle w:val="14"/>
              <w:spacing w:before="16" w:line="236" w:lineRule="exact"/>
              <w:ind w:left="119" w:right="109"/>
              <w:rPr>
                <w:rFonts w:ascii="Times New Roman"/>
                <w:sz w:val="21"/>
              </w:rPr>
            </w:pPr>
            <w:bookmarkStart w:id="495" w:name="0.03L"/>
            <w:bookmarkEnd w:id="495"/>
            <w:r>
              <w:rPr>
                <w:rFonts w:ascii="Times New Roman"/>
                <w:sz w:val="21"/>
              </w:rPr>
              <w:t>0.03L</w:t>
            </w:r>
          </w:p>
        </w:tc>
        <w:tc>
          <w:tcPr>
            <w:tcW w:w="882" w:type="dxa"/>
          </w:tcPr>
          <w:p>
            <w:pPr>
              <w:pStyle w:val="14"/>
              <w:spacing w:before="16" w:line="236" w:lineRule="exact"/>
              <w:ind w:left="119" w:right="109"/>
              <w:rPr>
                <w:rFonts w:ascii="Times New Roman"/>
                <w:sz w:val="21"/>
              </w:rPr>
            </w:pPr>
            <w:bookmarkStart w:id="496" w:name="0.03L"/>
            <w:bookmarkEnd w:id="496"/>
            <w:r>
              <w:rPr>
                <w:rFonts w:ascii="Times New Roman"/>
                <w:sz w:val="21"/>
              </w:rPr>
              <w:t>0.03L</w:t>
            </w:r>
          </w:p>
        </w:tc>
        <w:tc>
          <w:tcPr>
            <w:tcW w:w="882" w:type="dxa"/>
          </w:tcPr>
          <w:p>
            <w:pPr>
              <w:pStyle w:val="14"/>
              <w:spacing w:before="16" w:line="236" w:lineRule="exact"/>
              <w:ind w:left="119" w:right="109"/>
              <w:rPr>
                <w:rFonts w:ascii="Times New Roman"/>
                <w:sz w:val="21"/>
              </w:rPr>
            </w:pPr>
            <w:bookmarkStart w:id="497" w:name="0.03L"/>
            <w:bookmarkEnd w:id="497"/>
            <w:r>
              <w:rPr>
                <w:rFonts w:ascii="Times New Roman"/>
                <w:sz w:val="21"/>
              </w:rPr>
              <w:t>0.03L</w:t>
            </w:r>
          </w:p>
        </w:tc>
        <w:tc>
          <w:tcPr>
            <w:tcW w:w="882" w:type="dxa"/>
          </w:tcPr>
          <w:p>
            <w:pPr>
              <w:pStyle w:val="14"/>
              <w:spacing w:before="16" w:line="236" w:lineRule="exact"/>
              <w:ind w:left="119" w:right="109"/>
              <w:rPr>
                <w:rFonts w:ascii="Times New Roman"/>
                <w:sz w:val="21"/>
              </w:rPr>
            </w:pPr>
            <w:bookmarkStart w:id="498" w:name="0.03L"/>
            <w:bookmarkEnd w:id="498"/>
            <w:r>
              <w:rPr>
                <w:rFonts w:ascii="Times New Roman"/>
                <w:sz w:val="21"/>
              </w:rPr>
              <w:t>0.03L</w:t>
            </w:r>
          </w:p>
        </w:tc>
        <w:tc>
          <w:tcPr>
            <w:tcW w:w="882" w:type="dxa"/>
          </w:tcPr>
          <w:p>
            <w:pPr>
              <w:pStyle w:val="14"/>
              <w:spacing w:before="16" w:line="236" w:lineRule="exact"/>
              <w:ind w:left="119" w:right="109"/>
              <w:rPr>
                <w:rFonts w:ascii="Times New Roman"/>
                <w:sz w:val="21"/>
              </w:rPr>
            </w:pPr>
            <w:bookmarkStart w:id="499" w:name="0.03L"/>
            <w:bookmarkEnd w:id="499"/>
            <w:r>
              <w:rPr>
                <w:rFonts w:ascii="Times New Roman"/>
                <w:sz w:val="21"/>
              </w:rPr>
              <w:t>0.03L</w:t>
            </w:r>
          </w:p>
        </w:tc>
        <w:tc>
          <w:tcPr>
            <w:tcW w:w="882" w:type="dxa"/>
          </w:tcPr>
          <w:p>
            <w:pPr>
              <w:pStyle w:val="14"/>
              <w:spacing w:before="16" w:line="236" w:lineRule="exact"/>
              <w:ind w:left="119" w:right="109"/>
              <w:rPr>
                <w:rFonts w:ascii="Times New Roman"/>
                <w:sz w:val="21"/>
              </w:rPr>
            </w:pPr>
            <w:bookmarkStart w:id="500" w:name="0.03L"/>
            <w:bookmarkEnd w:id="500"/>
            <w:r>
              <w:rPr>
                <w:rFonts w:ascii="Times New Roman"/>
                <w:sz w:val="21"/>
              </w:rPr>
              <w:t>0.03L</w:t>
            </w:r>
          </w:p>
        </w:tc>
        <w:tc>
          <w:tcPr>
            <w:tcW w:w="888" w:type="dxa"/>
          </w:tcPr>
          <w:p>
            <w:pPr>
              <w:pStyle w:val="14"/>
              <w:spacing w:before="16" w:line="236" w:lineRule="exact"/>
              <w:ind w:left="121" w:right="113"/>
              <w:rPr>
                <w:rFonts w:ascii="Times New Roman"/>
                <w:sz w:val="21"/>
              </w:rPr>
            </w:pPr>
            <w:bookmarkStart w:id="501" w:name="0.03L"/>
            <w:bookmarkEnd w:id="501"/>
            <w:r>
              <w:rPr>
                <w:rFonts w:ascii="Times New Roman"/>
                <w:sz w:val="21"/>
              </w:rPr>
              <w:t>0.03L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400" w:type="dxa"/>
          </w:tcPr>
          <w:p>
            <w:pPr>
              <w:pStyle w:val="14"/>
              <w:spacing w:before="1" w:line="252" w:lineRule="exact"/>
              <w:ind w:left="109"/>
              <w:jc w:val="left"/>
              <w:rPr>
                <w:sz w:val="21"/>
              </w:rPr>
            </w:pPr>
            <w:r>
              <w:rPr>
                <w:sz w:val="21"/>
              </w:rPr>
              <w:t>总铅（</w:t>
            </w:r>
            <w:r>
              <w:rPr>
                <w:rFonts w:ascii="Times New Roman" w:hAnsi="Times New Roman" w:eastAsia="Times New Roman"/>
                <w:sz w:val="21"/>
              </w:rPr>
              <w:t>μg/L</w:t>
            </w:r>
            <w:r>
              <w:rPr>
                <w:sz w:val="21"/>
              </w:rPr>
              <w:t>）</w:t>
            </w:r>
          </w:p>
        </w:tc>
        <w:tc>
          <w:tcPr>
            <w:tcW w:w="882" w:type="dxa"/>
          </w:tcPr>
          <w:p>
            <w:pPr>
              <w:pStyle w:val="14"/>
              <w:spacing w:before="17" w:line="236" w:lineRule="exact"/>
              <w:ind w:left="119" w:right="109"/>
              <w:rPr>
                <w:rFonts w:ascii="Times New Roman"/>
                <w:sz w:val="21"/>
              </w:rPr>
            </w:pPr>
            <w:bookmarkStart w:id="502" w:name="10L"/>
            <w:bookmarkEnd w:id="502"/>
            <w:r>
              <w:rPr>
                <w:rFonts w:ascii="Times New Roman"/>
                <w:sz w:val="21"/>
              </w:rPr>
              <w:t>10L</w:t>
            </w:r>
          </w:p>
        </w:tc>
        <w:tc>
          <w:tcPr>
            <w:tcW w:w="882" w:type="dxa"/>
          </w:tcPr>
          <w:p>
            <w:pPr>
              <w:pStyle w:val="14"/>
              <w:spacing w:before="17" w:line="236" w:lineRule="exact"/>
              <w:ind w:left="119" w:right="107"/>
              <w:rPr>
                <w:rFonts w:ascii="Times New Roman"/>
                <w:sz w:val="21"/>
              </w:rPr>
            </w:pPr>
            <w:bookmarkStart w:id="503" w:name="10L"/>
            <w:bookmarkEnd w:id="503"/>
            <w:r>
              <w:rPr>
                <w:rFonts w:ascii="Times New Roman"/>
                <w:sz w:val="21"/>
              </w:rPr>
              <w:t>10L</w:t>
            </w:r>
          </w:p>
        </w:tc>
        <w:tc>
          <w:tcPr>
            <w:tcW w:w="882" w:type="dxa"/>
          </w:tcPr>
          <w:p>
            <w:pPr>
              <w:pStyle w:val="14"/>
              <w:spacing w:before="17" w:line="236" w:lineRule="exact"/>
              <w:ind w:left="119" w:right="109"/>
              <w:rPr>
                <w:rFonts w:ascii="Times New Roman"/>
                <w:sz w:val="21"/>
              </w:rPr>
            </w:pPr>
            <w:bookmarkStart w:id="504" w:name="10L"/>
            <w:bookmarkEnd w:id="504"/>
            <w:r>
              <w:rPr>
                <w:rFonts w:ascii="Times New Roman"/>
                <w:sz w:val="21"/>
              </w:rPr>
              <w:t>10L</w:t>
            </w:r>
          </w:p>
        </w:tc>
        <w:tc>
          <w:tcPr>
            <w:tcW w:w="882" w:type="dxa"/>
          </w:tcPr>
          <w:p>
            <w:pPr>
              <w:pStyle w:val="14"/>
              <w:spacing w:before="17" w:line="236" w:lineRule="exact"/>
              <w:ind w:left="119" w:right="107"/>
              <w:rPr>
                <w:rFonts w:ascii="Times New Roman"/>
                <w:sz w:val="21"/>
              </w:rPr>
            </w:pPr>
            <w:bookmarkStart w:id="505" w:name="10L"/>
            <w:bookmarkEnd w:id="505"/>
            <w:r>
              <w:rPr>
                <w:rFonts w:ascii="Times New Roman"/>
                <w:sz w:val="21"/>
              </w:rPr>
              <w:t>10L</w:t>
            </w:r>
          </w:p>
        </w:tc>
        <w:tc>
          <w:tcPr>
            <w:tcW w:w="882" w:type="dxa"/>
          </w:tcPr>
          <w:p>
            <w:pPr>
              <w:pStyle w:val="14"/>
              <w:spacing w:before="17" w:line="236" w:lineRule="exact"/>
              <w:ind w:left="119" w:right="109"/>
              <w:rPr>
                <w:rFonts w:ascii="Times New Roman"/>
                <w:sz w:val="21"/>
              </w:rPr>
            </w:pPr>
            <w:bookmarkStart w:id="506" w:name="10L"/>
            <w:bookmarkEnd w:id="506"/>
            <w:r>
              <w:rPr>
                <w:rFonts w:ascii="Times New Roman"/>
                <w:sz w:val="21"/>
              </w:rPr>
              <w:t>10L</w:t>
            </w:r>
          </w:p>
        </w:tc>
        <w:tc>
          <w:tcPr>
            <w:tcW w:w="882" w:type="dxa"/>
          </w:tcPr>
          <w:p>
            <w:pPr>
              <w:pStyle w:val="14"/>
              <w:spacing w:before="17" w:line="236" w:lineRule="exact"/>
              <w:ind w:left="119" w:right="107"/>
              <w:rPr>
                <w:rFonts w:ascii="Times New Roman"/>
                <w:sz w:val="21"/>
              </w:rPr>
            </w:pPr>
            <w:bookmarkStart w:id="507" w:name="10L"/>
            <w:bookmarkEnd w:id="507"/>
            <w:r>
              <w:rPr>
                <w:rFonts w:ascii="Times New Roman"/>
                <w:sz w:val="21"/>
              </w:rPr>
              <w:t>10L</w:t>
            </w:r>
          </w:p>
        </w:tc>
        <w:tc>
          <w:tcPr>
            <w:tcW w:w="882" w:type="dxa"/>
          </w:tcPr>
          <w:p>
            <w:pPr>
              <w:pStyle w:val="14"/>
              <w:spacing w:before="17" w:line="236" w:lineRule="exact"/>
              <w:ind w:left="119" w:right="109"/>
              <w:rPr>
                <w:rFonts w:ascii="Times New Roman"/>
                <w:sz w:val="21"/>
              </w:rPr>
            </w:pPr>
            <w:bookmarkStart w:id="508" w:name="10L"/>
            <w:bookmarkEnd w:id="508"/>
            <w:r>
              <w:rPr>
                <w:rFonts w:ascii="Times New Roman"/>
                <w:sz w:val="21"/>
              </w:rPr>
              <w:t>10L</w:t>
            </w:r>
          </w:p>
        </w:tc>
        <w:tc>
          <w:tcPr>
            <w:tcW w:w="882" w:type="dxa"/>
          </w:tcPr>
          <w:p>
            <w:pPr>
              <w:pStyle w:val="14"/>
              <w:spacing w:before="17" w:line="236" w:lineRule="exact"/>
              <w:ind w:left="119" w:right="107"/>
              <w:rPr>
                <w:rFonts w:ascii="Times New Roman"/>
                <w:sz w:val="21"/>
              </w:rPr>
            </w:pPr>
            <w:bookmarkStart w:id="509" w:name="10L"/>
            <w:bookmarkEnd w:id="509"/>
            <w:r>
              <w:rPr>
                <w:rFonts w:ascii="Times New Roman"/>
                <w:sz w:val="21"/>
              </w:rPr>
              <w:t>10L</w:t>
            </w:r>
          </w:p>
        </w:tc>
        <w:tc>
          <w:tcPr>
            <w:tcW w:w="888" w:type="dxa"/>
          </w:tcPr>
          <w:p>
            <w:pPr>
              <w:pStyle w:val="14"/>
              <w:spacing w:before="17" w:line="236" w:lineRule="exact"/>
              <w:ind w:left="121" w:right="113"/>
              <w:rPr>
                <w:rFonts w:ascii="Times New Roman"/>
                <w:sz w:val="21"/>
              </w:rPr>
            </w:pPr>
            <w:bookmarkStart w:id="510" w:name="10L"/>
            <w:bookmarkEnd w:id="510"/>
            <w:r>
              <w:rPr>
                <w:rFonts w:ascii="Times New Roman"/>
                <w:sz w:val="21"/>
              </w:rPr>
              <w:t>10L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400" w:type="dxa"/>
          </w:tcPr>
          <w:p>
            <w:pPr>
              <w:pStyle w:val="14"/>
              <w:spacing w:before="1" w:line="251" w:lineRule="exact"/>
              <w:ind w:left="109"/>
              <w:jc w:val="left"/>
              <w:rPr>
                <w:sz w:val="21"/>
              </w:rPr>
            </w:pPr>
            <w:r>
              <w:rPr>
                <w:sz w:val="21"/>
              </w:rPr>
              <w:t>总砷（</w:t>
            </w:r>
            <w:r>
              <w:rPr>
                <w:rFonts w:ascii="Times New Roman" w:hAnsi="Times New Roman" w:eastAsia="Times New Roman"/>
                <w:sz w:val="21"/>
              </w:rPr>
              <w:t>μg/L</w:t>
            </w:r>
            <w:r>
              <w:rPr>
                <w:sz w:val="21"/>
              </w:rPr>
              <w:t>）</w:t>
            </w:r>
          </w:p>
        </w:tc>
        <w:tc>
          <w:tcPr>
            <w:tcW w:w="882" w:type="dxa"/>
          </w:tcPr>
          <w:p>
            <w:pPr>
              <w:pStyle w:val="14"/>
              <w:spacing w:before="17" w:line="235" w:lineRule="exact"/>
              <w:ind w:left="119" w:right="109"/>
              <w:rPr>
                <w:rFonts w:ascii="Times New Roman"/>
                <w:sz w:val="21"/>
              </w:rPr>
            </w:pPr>
            <w:bookmarkStart w:id="511" w:name="0.3L"/>
            <w:bookmarkEnd w:id="511"/>
            <w:r>
              <w:rPr>
                <w:rFonts w:ascii="Times New Roman"/>
                <w:sz w:val="21"/>
              </w:rPr>
              <w:t>0.3L</w:t>
            </w:r>
          </w:p>
        </w:tc>
        <w:tc>
          <w:tcPr>
            <w:tcW w:w="882" w:type="dxa"/>
          </w:tcPr>
          <w:p>
            <w:pPr>
              <w:pStyle w:val="14"/>
              <w:spacing w:before="17" w:line="235" w:lineRule="exact"/>
              <w:ind w:left="119" w:right="107"/>
              <w:rPr>
                <w:rFonts w:ascii="Times New Roman"/>
                <w:sz w:val="21"/>
              </w:rPr>
            </w:pPr>
            <w:bookmarkStart w:id="512" w:name="0.3L"/>
            <w:bookmarkEnd w:id="512"/>
            <w:r>
              <w:rPr>
                <w:rFonts w:ascii="Times New Roman"/>
                <w:sz w:val="21"/>
              </w:rPr>
              <w:t>0.3L</w:t>
            </w:r>
          </w:p>
        </w:tc>
        <w:tc>
          <w:tcPr>
            <w:tcW w:w="882" w:type="dxa"/>
          </w:tcPr>
          <w:p>
            <w:pPr>
              <w:pStyle w:val="14"/>
              <w:spacing w:before="17" w:line="235" w:lineRule="exact"/>
              <w:ind w:left="119" w:right="109"/>
              <w:rPr>
                <w:rFonts w:ascii="Times New Roman"/>
                <w:sz w:val="21"/>
              </w:rPr>
            </w:pPr>
            <w:bookmarkStart w:id="513" w:name="0.3L"/>
            <w:bookmarkEnd w:id="513"/>
            <w:r>
              <w:rPr>
                <w:rFonts w:ascii="Times New Roman"/>
                <w:sz w:val="21"/>
              </w:rPr>
              <w:t>0.3L</w:t>
            </w:r>
          </w:p>
        </w:tc>
        <w:tc>
          <w:tcPr>
            <w:tcW w:w="882" w:type="dxa"/>
          </w:tcPr>
          <w:p>
            <w:pPr>
              <w:pStyle w:val="14"/>
              <w:spacing w:before="17" w:line="235" w:lineRule="exact"/>
              <w:ind w:left="119" w:right="107"/>
              <w:rPr>
                <w:rFonts w:ascii="Times New Roman"/>
                <w:sz w:val="21"/>
              </w:rPr>
            </w:pPr>
            <w:bookmarkStart w:id="514" w:name="0.3L"/>
            <w:bookmarkEnd w:id="514"/>
            <w:r>
              <w:rPr>
                <w:rFonts w:ascii="Times New Roman"/>
                <w:sz w:val="21"/>
              </w:rPr>
              <w:t>0.3L</w:t>
            </w:r>
          </w:p>
        </w:tc>
        <w:tc>
          <w:tcPr>
            <w:tcW w:w="882" w:type="dxa"/>
          </w:tcPr>
          <w:p>
            <w:pPr>
              <w:pStyle w:val="14"/>
              <w:spacing w:before="17" w:line="235" w:lineRule="exact"/>
              <w:ind w:left="119" w:right="109"/>
              <w:rPr>
                <w:rFonts w:ascii="Times New Roman"/>
                <w:sz w:val="21"/>
              </w:rPr>
            </w:pPr>
            <w:bookmarkStart w:id="515" w:name="0.3L"/>
            <w:bookmarkEnd w:id="515"/>
            <w:r>
              <w:rPr>
                <w:rFonts w:ascii="Times New Roman"/>
                <w:sz w:val="21"/>
              </w:rPr>
              <w:t>0.3L</w:t>
            </w:r>
          </w:p>
        </w:tc>
        <w:tc>
          <w:tcPr>
            <w:tcW w:w="882" w:type="dxa"/>
          </w:tcPr>
          <w:p>
            <w:pPr>
              <w:pStyle w:val="14"/>
              <w:spacing w:before="17" w:line="235" w:lineRule="exact"/>
              <w:ind w:left="119" w:right="107"/>
              <w:rPr>
                <w:rFonts w:ascii="Times New Roman"/>
                <w:sz w:val="21"/>
              </w:rPr>
            </w:pPr>
            <w:bookmarkStart w:id="516" w:name="0.3L"/>
            <w:bookmarkEnd w:id="516"/>
            <w:r>
              <w:rPr>
                <w:rFonts w:ascii="Times New Roman"/>
                <w:sz w:val="21"/>
              </w:rPr>
              <w:t>0.3L</w:t>
            </w:r>
          </w:p>
        </w:tc>
        <w:tc>
          <w:tcPr>
            <w:tcW w:w="882" w:type="dxa"/>
          </w:tcPr>
          <w:p>
            <w:pPr>
              <w:pStyle w:val="14"/>
              <w:spacing w:before="17" w:line="235" w:lineRule="exact"/>
              <w:ind w:left="119" w:right="109"/>
              <w:rPr>
                <w:rFonts w:ascii="Times New Roman"/>
                <w:sz w:val="21"/>
              </w:rPr>
            </w:pPr>
            <w:bookmarkStart w:id="517" w:name="0.3L"/>
            <w:bookmarkEnd w:id="517"/>
            <w:r>
              <w:rPr>
                <w:rFonts w:ascii="Times New Roman"/>
                <w:sz w:val="21"/>
              </w:rPr>
              <w:t>0.3L</w:t>
            </w:r>
          </w:p>
        </w:tc>
        <w:tc>
          <w:tcPr>
            <w:tcW w:w="882" w:type="dxa"/>
          </w:tcPr>
          <w:p>
            <w:pPr>
              <w:pStyle w:val="14"/>
              <w:spacing w:before="17" w:line="235" w:lineRule="exact"/>
              <w:ind w:left="119" w:right="107"/>
              <w:rPr>
                <w:rFonts w:ascii="Times New Roman"/>
                <w:sz w:val="21"/>
              </w:rPr>
            </w:pPr>
            <w:bookmarkStart w:id="518" w:name="0.3L"/>
            <w:bookmarkEnd w:id="518"/>
            <w:r>
              <w:rPr>
                <w:rFonts w:ascii="Times New Roman"/>
                <w:sz w:val="21"/>
              </w:rPr>
              <w:t>0.3L</w:t>
            </w:r>
          </w:p>
        </w:tc>
        <w:tc>
          <w:tcPr>
            <w:tcW w:w="888" w:type="dxa"/>
          </w:tcPr>
          <w:p>
            <w:pPr>
              <w:pStyle w:val="14"/>
              <w:spacing w:before="17" w:line="235" w:lineRule="exact"/>
              <w:ind w:left="121" w:right="113"/>
              <w:rPr>
                <w:rFonts w:ascii="Times New Roman"/>
                <w:sz w:val="21"/>
              </w:rPr>
            </w:pPr>
            <w:bookmarkStart w:id="519" w:name="0.3L"/>
            <w:bookmarkEnd w:id="519"/>
            <w:r>
              <w:rPr>
                <w:rFonts w:ascii="Times New Roman"/>
                <w:sz w:val="21"/>
              </w:rPr>
              <w:t>0.3L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400" w:type="dxa"/>
          </w:tcPr>
          <w:p>
            <w:pPr>
              <w:pStyle w:val="14"/>
              <w:spacing w:line="252" w:lineRule="exact"/>
              <w:ind w:left="106" w:right="-15"/>
              <w:jc w:val="left"/>
              <w:rPr>
                <w:sz w:val="21"/>
              </w:rPr>
            </w:pPr>
            <w:r>
              <w:rPr>
                <w:spacing w:val="-2"/>
                <w:sz w:val="21"/>
              </w:rPr>
              <w:t>总锌</w:t>
            </w:r>
            <w:r>
              <w:rPr>
                <w:sz w:val="21"/>
              </w:rPr>
              <w:t>（</w:t>
            </w:r>
            <w:r>
              <w:rPr>
                <w:rFonts w:ascii="Times New Roman" w:eastAsia="Times New Roman"/>
                <w:sz w:val="21"/>
              </w:rPr>
              <w:t>mg/L</w:t>
            </w:r>
            <w:r>
              <w:rPr>
                <w:sz w:val="21"/>
              </w:rPr>
              <w:t>）</w:t>
            </w:r>
          </w:p>
        </w:tc>
        <w:tc>
          <w:tcPr>
            <w:tcW w:w="882" w:type="dxa"/>
          </w:tcPr>
          <w:p>
            <w:pPr>
              <w:pStyle w:val="14"/>
              <w:spacing w:before="16" w:line="236" w:lineRule="exact"/>
              <w:ind w:left="119" w:right="109"/>
              <w:rPr>
                <w:rFonts w:ascii="Times New Roman"/>
                <w:sz w:val="21"/>
              </w:rPr>
            </w:pPr>
            <w:bookmarkStart w:id="520" w:name="0.05L"/>
            <w:bookmarkEnd w:id="520"/>
            <w:r>
              <w:rPr>
                <w:rFonts w:ascii="Times New Roman"/>
                <w:sz w:val="21"/>
              </w:rPr>
              <w:t>0.05L</w:t>
            </w:r>
          </w:p>
        </w:tc>
        <w:tc>
          <w:tcPr>
            <w:tcW w:w="882" w:type="dxa"/>
          </w:tcPr>
          <w:p>
            <w:pPr>
              <w:pStyle w:val="14"/>
              <w:spacing w:before="16" w:line="236" w:lineRule="exact"/>
              <w:ind w:left="118" w:right="110"/>
              <w:rPr>
                <w:rFonts w:ascii="Times New Roman"/>
                <w:sz w:val="21"/>
              </w:rPr>
            </w:pPr>
            <w:bookmarkStart w:id="521" w:name="0.05"/>
            <w:bookmarkEnd w:id="521"/>
            <w:r>
              <w:rPr>
                <w:rFonts w:ascii="Times New Roman"/>
                <w:sz w:val="21"/>
              </w:rPr>
              <w:t>0.05</w:t>
            </w:r>
          </w:p>
        </w:tc>
        <w:tc>
          <w:tcPr>
            <w:tcW w:w="882" w:type="dxa"/>
          </w:tcPr>
          <w:p>
            <w:pPr>
              <w:pStyle w:val="14"/>
              <w:spacing w:before="16" w:line="236" w:lineRule="exact"/>
              <w:ind w:left="119" w:right="109"/>
              <w:rPr>
                <w:rFonts w:ascii="Times New Roman"/>
                <w:sz w:val="21"/>
              </w:rPr>
            </w:pPr>
            <w:bookmarkStart w:id="522" w:name="0.05"/>
            <w:bookmarkEnd w:id="522"/>
            <w:r>
              <w:rPr>
                <w:rFonts w:ascii="Times New Roman"/>
                <w:sz w:val="21"/>
              </w:rPr>
              <w:t>0.05</w:t>
            </w:r>
          </w:p>
        </w:tc>
        <w:tc>
          <w:tcPr>
            <w:tcW w:w="882" w:type="dxa"/>
          </w:tcPr>
          <w:p>
            <w:pPr>
              <w:pStyle w:val="14"/>
              <w:spacing w:before="16" w:line="236" w:lineRule="exact"/>
              <w:ind w:left="118" w:right="110"/>
              <w:rPr>
                <w:rFonts w:ascii="Times New Roman"/>
                <w:sz w:val="21"/>
              </w:rPr>
            </w:pPr>
            <w:bookmarkStart w:id="523" w:name="0.05"/>
            <w:bookmarkEnd w:id="523"/>
            <w:r>
              <w:rPr>
                <w:rFonts w:ascii="Times New Roman"/>
                <w:sz w:val="21"/>
              </w:rPr>
              <w:t>0.05</w:t>
            </w:r>
          </w:p>
        </w:tc>
        <w:tc>
          <w:tcPr>
            <w:tcW w:w="882" w:type="dxa"/>
          </w:tcPr>
          <w:p>
            <w:pPr>
              <w:pStyle w:val="14"/>
              <w:spacing w:before="16" w:line="236" w:lineRule="exact"/>
              <w:ind w:left="119" w:right="109"/>
              <w:rPr>
                <w:rFonts w:ascii="Times New Roman"/>
                <w:sz w:val="21"/>
              </w:rPr>
            </w:pPr>
            <w:bookmarkStart w:id="524" w:name="0.05"/>
            <w:bookmarkEnd w:id="524"/>
            <w:r>
              <w:rPr>
                <w:rFonts w:ascii="Times New Roman"/>
                <w:sz w:val="21"/>
              </w:rPr>
              <w:t>0.05</w:t>
            </w:r>
          </w:p>
        </w:tc>
        <w:tc>
          <w:tcPr>
            <w:tcW w:w="882" w:type="dxa"/>
          </w:tcPr>
          <w:p>
            <w:pPr>
              <w:pStyle w:val="14"/>
              <w:spacing w:before="16" w:line="236" w:lineRule="exact"/>
              <w:ind w:left="118" w:right="110"/>
              <w:rPr>
                <w:rFonts w:ascii="Times New Roman"/>
                <w:sz w:val="21"/>
              </w:rPr>
            </w:pPr>
            <w:bookmarkStart w:id="525" w:name="0.05"/>
            <w:bookmarkEnd w:id="525"/>
            <w:r>
              <w:rPr>
                <w:rFonts w:ascii="Times New Roman"/>
                <w:sz w:val="21"/>
              </w:rPr>
              <w:t>0.05</w:t>
            </w:r>
          </w:p>
        </w:tc>
        <w:tc>
          <w:tcPr>
            <w:tcW w:w="882" w:type="dxa"/>
          </w:tcPr>
          <w:p>
            <w:pPr>
              <w:pStyle w:val="14"/>
              <w:spacing w:before="16" w:line="236" w:lineRule="exact"/>
              <w:ind w:left="119" w:right="109"/>
              <w:rPr>
                <w:rFonts w:ascii="Times New Roman"/>
                <w:sz w:val="21"/>
              </w:rPr>
            </w:pPr>
            <w:bookmarkStart w:id="526" w:name="0.05"/>
            <w:bookmarkEnd w:id="526"/>
            <w:r>
              <w:rPr>
                <w:rFonts w:ascii="Times New Roman"/>
                <w:sz w:val="21"/>
              </w:rPr>
              <w:t>0.05</w:t>
            </w:r>
          </w:p>
        </w:tc>
        <w:tc>
          <w:tcPr>
            <w:tcW w:w="882" w:type="dxa"/>
          </w:tcPr>
          <w:p>
            <w:pPr>
              <w:pStyle w:val="14"/>
              <w:spacing w:before="16" w:line="236" w:lineRule="exact"/>
              <w:ind w:left="118" w:right="110"/>
              <w:rPr>
                <w:rFonts w:ascii="Times New Roman"/>
                <w:sz w:val="21"/>
              </w:rPr>
            </w:pPr>
            <w:bookmarkStart w:id="527" w:name="0.05"/>
            <w:bookmarkEnd w:id="527"/>
            <w:r>
              <w:rPr>
                <w:rFonts w:ascii="Times New Roman"/>
                <w:sz w:val="21"/>
              </w:rPr>
              <w:t>0.05</w:t>
            </w:r>
          </w:p>
        </w:tc>
        <w:tc>
          <w:tcPr>
            <w:tcW w:w="888" w:type="dxa"/>
          </w:tcPr>
          <w:p>
            <w:pPr>
              <w:pStyle w:val="14"/>
              <w:spacing w:before="16" w:line="236" w:lineRule="exact"/>
              <w:ind w:left="122" w:right="113"/>
              <w:rPr>
                <w:rFonts w:ascii="Times New Roman"/>
                <w:sz w:val="21"/>
              </w:rPr>
            </w:pPr>
            <w:bookmarkStart w:id="528" w:name="0.05"/>
            <w:bookmarkEnd w:id="528"/>
            <w:r>
              <w:rPr>
                <w:rFonts w:ascii="Times New Roman"/>
                <w:sz w:val="21"/>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400" w:type="dxa"/>
          </w:tcPr>
          <w:p>
            <w:pPr>
              <w:pStyle w:val="14"/>
              <w:spacing w:before="1"/>
              <w:ind w:left="242" w:right="233"/>
              <w:rPr>
                <w:sz w:val="21"/>
              </w:rPr>
            </w:pPr>
            <w:r>
              <w:rPr>
                <w:sz w:val="21"/>
              </w:rPr>
              <w:t>六价铬</w:t>
            </w:r>
          </w:p>
          <w:p>
            <w:pPr>
              <w:pStyle w:val="14"/>
              <w:spacing w:before="2" w:line="253" w:lineRule="exact"/>
              <w:ind w:left="242" w:right="233"/>
              <w:rPr>
                <w:sz w:val="21"/>
              </w:rPr>
            </w:pPr>
            <w:r>
              <w:rPr>
                <w:sz w:val="21"/>
              </w:rPr>
              <w:t>（</w:t>
            </w:r>
            <w:r>
              <w:rPr>
                <w:rFonts w:ascii="Times New Roman" w:eastAsia="Times New Roman"/>
                <w:sz w:val="21"/>
              </w:rPr>
              <w:t>mg/L</w:t>
            </w:r>
            <w:r>
              <w:rPr>
                <w:sz w:val="21"/>
              </w:rPr>
              <w:t>）</w:t>
            </w:r>
          </w:p>
        </w:tc>
        <w:tc>
          <w:tcPr>
            <w:tcW w:w="882" w:type="dxa"/>
          </w:tcPr>
          <w:p>
            <w:pPr>
              <w:pStyle w:val="14"/>
              <w:spacing w:before="154"/>
              <w:ind w:left="117" w:right="110"/>
              <w:rPr>
                <w:rFonts w:ascii="Times New Roman"/>
                <w:sz w:val="21"/>
              </w:rPr>
            </w:pPr>
            <w:bookmarkStart w:id="529" w:name="0.004L"/>
            <w:bookmarkEnd w:id="529"/>
            <w:r>
              <w:rPr>
                <w:rFonts w:ascii="Times New Roman"/>
                <w:sz w:val="21"/>
              </w:rPr>
              <w:t>0.004L</w:t>
            </w:r>
          </w:p>
        </w:tc>
        <w:tc>
          <w:tcPr>
            <w:tcW w:w="882" w:type="dxa"/>
          </w:tcPr>
          <w:p>
            <w:pPr>
              <w:pStyle w:val="14"/>
              <w:spacing w:before="154"/>
              <w:ind w:left="119" w:right="109"/>
              <w:rPr>
                <w:rFonts w:ascii="Times New Roman"/>
                <w:sz w:val="21"/>
              </w:rPr>
            </w:pPr>
            <w:bookmarkStart w:id="530" w:name="0.004L"/>
            <w:bookmarkEnd w:id="530"/>
            <w:r>
              <w:rPr>
                <w:rFonts w:ascii="Times New Roman"/>
                <w:sz w:val="21"/>
              </w:rPr>
              <w:t>0.004L</w:t>
            </w:r>
          </w:p>
        </w:tc>
        <w:tc>
          <w:tcPr>
            <w:tcW w:w="882" w:type="dxa"/>
          </w:tcPr>
          <w:p>
            <w:pPr>
              <w:pStyle w:val="14"/>
              <w:spacing w:before="154"/>
              <w:ind w:left="117" w:right="110"/>
              <w:rPr>
                <w:rFonts w:ascii="Times New Roman"/>
                <w:sz w:val="21"/>
              </w:rPr>
            </w:pPr>
            <w:bookmarkStart w:id="531" w:name="0.004L"/>
            <w:bookmarkEnd w:id="531"/>
            <w:r>
              <w:rPr>
                <w:rFonts w:ascii="Times New Roman"/>
                <w:sz w:val="21"/>
              </w:rPr>
              <w:t>0.004L</w:t>
            </w:r>
          </w:p>
        </w:tc>
        <w:tc>
          <w:tcPr>
            <w:tcW w:w="882" w:type="dxa"/>
          </w:tcPr>
          <w:p>
            <w:pPr>
              <w:pStyle w:val="14"/>
              <w:spacing w:before="154"/>
              <w:ind w:left="119" w:right="109"/>
              <w:rPr>
                <w:rFonts w:ascii="Times New Roman"/>
                <w:sz w:val="21"/>
              </w:rPr>
            </w:pPr>
            <w:bookmarkStart w:id="532" w:name="0.004L"/>
            <w:bookmarkEnd w:id="532"/>
            <w:r>
              <w:rPr>
                <w:rFonts w:ascii="Times New Roman"/>
                <w:sz w:val="21"/>
              </w:rPr>
              <w:t>0.004L</w:t>
            </w:r>
          </w:p>
        </w:tc>
        <w:tc>
          <w:tcPr>
            <w:tcW w:w="882" w:type="dxa"/>
          </w:tcPr>
          <w:p>
            <w:pPr>
              <w:pStyle w:val="14"/>
              <w:spacing w:before="154"/>
              <w:ind w:left="117" w:right="110"/>
              <w:rPr>
                <w:rFonts w:ascii="Times New Roman"/>
                <w:sz w:val="21"/>
              </w:rPr>
            </w:pPr>
            <w:bookmarkStart w:id="533" w:name="0.004L"/>
            <w:bookmarkEnd w:id="533"/>
            <w:r>
              <w:rPr>
                <w:rFonts w:ascii="Times New Roman"/>
                <w:sz w:val="21"/>
              </w:rPr>
              <w:t>0.004L</w:t>
            </w:r>
          </w:p>
        </w:tc>
        <w:tc>
          <w:tcPr>
            <w:tcW w:w="882" w:type="dxa"/>
          </w:tcPr>
          <w:p>
            <w:pPr>
              <w:pStyle w:val="14"/>
              <w:spacing w:before="154"/>
              <w:ind w:left="119" w:right="109"/>
              <w:rPr>
                <w:rFonts w:ascii="Times New Roman"/>
                <w:sz w:val="21"/>
              </w:rPr>
            </w:pPr>
            <w:bookmarkStart w:id="534" w:name="0.004L"/>
            <w:bookmarkEnd w:id="534"/>
            <w:r>
              <w:rPr>
                <w:rFonts w:ascii="Times New Roman"/>
                <w:sz w:val="21"/>
              </w:rPr>
              <w:t>0.004L</w:t>
            </w:r>
          </w:p>
        </w:tc>
        <w:tc>
          <w:tcPr>
            <w:tcW w:w="882" w:type="dxa"/>
          </w:tcPr>
          <w:p>
            <w:pPr>
              <w:pStyle w:val="14"/>
              <w:spacing w:before="154"/>
              <w:ind w:left="117" w:right="110"/>
              <w:rPr>
                <w:rFonts w:ascii="Times New Roman"/>
                <w:sz w:val="21"/>
              </w:rPr>
            </w:pPr>
            <w:bookmarkStart w:id="535" w:name="0.004L"/>
            <w:bookmarkEnd w:id="535"/>
            <w:r>
              <w:rPr>
                <w:rFonts w:ascii="Times New Roman"/>
                <w:sz w:val="21"/>
              </w:rPr>
              <w:t>0.004L</w:t>
            </w:r>
          </w:p>
        </w:tc>
        <w:tc>
          <w:tcPr>
            <w:tcW w:w="882" w:type="dxa"/>
          </w:tcPr>
          <w:p>
            <w:pPr>
              <w:pStyle w:val="14"/>
              <w:spacing w:before="154"/>
              <w:ind w:left="119" w:right="109"/>
              <w:rPr>
                <w:rFonts w:ascii="Times New Roman"/>
                <w:sz w:val="21"/>
              </w:rPr>
            </w:pPr>
            <w:bookmarkStart w:id="536" w:name="0.004L"/>
            <w:bookmarkEnd w:id="536"/>
            <w:r>
              <w:rPr>
                <w:rFonts w:ascii="Times New Roman"/>
                <w:sz w:val="21"/>
              </w:rPr>
              <w:t>0.004L</w:t>
            </w:r>
          </w:p>
        </w:tc>
        <w:tc>
          <w:tcPr>
            <w:tcW w:w="888" w:type="dxa"/>
          </w:tcPr>
          <w:p>
            <w:pPr>
              <w:pStyle w:val="14"/>
              <w:spacing w:before="154"/>
              <w:ind w:left="124" w:right="113"/>
              <w:rPr>
                <w:rFonts w:ascii="Times New Roman"/>
                <w:sz w:val="21"/>
              </w:rPr>
            </w:pPr>
            <w:bookmarkStart w:id="537" w:name="0.004L"/>
            <w:bookmarkEnd w:id="537"/>
            <w:r>
              <w:rPr>
                <w:rFonts w:ascii="Times New Roman"/>
                <w:sz w:val="21"/>
              </w:rPr>
              <w:t>0.004L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400" w:type="dxa"/>
          </w:tcPr>
          <w:p>
            <w:pPr>
              <w:pStyle w:val="14"/>
              <w:ind w:left="242" w:right="233"/>
              <w:rPr>
                <w:sz w:val="21"/>
              </w:rPr>
            </w:pPr>
            <w:r>
              <w:rPr>
                <w:sz w:val="21"/>
              </w:rPr>
              <w:t>氟化物</w:t>
            </w:r>
          </w:p>
          <w:p>
            <w:pPr>
              <w:pStyle w:val="14"/>
              <w:spacing w:before="2" w:line="253" w:lineRule="exact"/>
              <w:ind w:left="242" w:right="233"/>
              <w:rPr>
                <w:sz w:val="21"/>
              </w:rPr>
            </w:pPr>
            <w:r>
              <w:rPr>
                <w:sz w:val="21"/>
              </w:rPr>
              <w:t>（</w:t>
            </w:r>
            <w:r>
              <w:rPr>
                <w:rFonts w:ascii="Times New Roman" w:eastAsia="Times New Roman"/>
                <w:sz w:val="21"/>
              </w:rPr>
              <w:t>mg/L</w:t>
            </w:r>
            <w:r>
              <w:rPr>
                <w:sz w:val="21"/>
              </w:rPr>
              <w:t>）</w:t>
            </w:r>
          </w:p>
        </w:tc>
        <w:tc>
          <w:tcPr>
            <w:tcW w:w="882" w:type="dxa"/>
          </w:tcPr>
          <w:p>
            <w:pPr>
              <w:pStyle w:val="14"/>
              <w:spacing w:before="153"/>
              <w:ind w:left="119" w:right="109"/>
              <w:rPr>
                <w:rFonts w:ascii="Times New Roman"/>
                <w:sz w:val="21"/>
              </w:rPr>
            </w:pPr>
            <w:bookmarkStart w:id="538" w:name="0.05L"/>
            <w:bookmarkEnd w:id="538"/>
            <w:r>
              <w:rPr>
                <w:rFonts w:ascii="Times New Roman"/>
                <w:sz w:val="21"/>
              </w:rPr>
              <w:t>0.05L</w:t>
            </w:r>
          </w:p>
        </w:tc>
        <w:tc>
          <w:tcPr>
            <w:tcW w:w="882" w:type="dxa"/>
          </w:tcPr>
          <w:p>
            <w:pPr>
              <w:pStyle w:val="14"/>
              <w:spacing w:before="153"/>
              <w:ind w:left="119" w:right="109"/>
              <w:rPr>
                <w:rFonts w:ascii="Times New Roman"/>
                <w:sz w:val="21"/>
              </w:rPr>
            </w:pPr>
            <w:bookmarkStart w:id="539" w:name="0.05L"/>
            <w:bookmarkEnd w:id="539"/>
            <w:r>
              <w:rPr>
                <w:rFonts w:ascii="Times New Roman"/>
                <w:sz w:val="21"/>
              </w:rPr>
              <w:t>0.05L</w:t>
            </w:r>
          </w:p>
        </w:tc>
        <w:tc>
          <w:tcPr>
            <w:tcW w:w="882" w:type="dxa"/>
          </w:tcPr>
          <w:p>
            <w:pPr>
              <w:pStyle w:val="14"/>
              <w:spacing w:before="153"/>
              <w:ind w:left="119" w:right="109"/>
              <w:rPr>
                <w:rFonts w:ascii="Times New Roman"/>
                <w:sz w:val="21"/>
              </w:rPr>
            </w:pPr>
            <w:bookmarkStart w:id="540" w:name="0.05L"/>
            <w:bookmarkEnd w:id="540"/>
            <w:r>
              <w:rPr>
                <w:rFonts w:ascii="Times New Roman"/>
                <w:sz w:val="21"/>
              </w:rPr>
              <w:t>0.05L</w:t>
            </w:r>
          </w:p>
        </w:tc>
        <w:tc>
          <w:tcPr>
            <w:tcW w:w="882" w:type="dxa"/>
          </w:tcPr>
          <w:p>
            <w:pPr>
              <w:pStyle w:val="14"/>
              <w:spacing w:before="153"/>
              <w:ind w:left="119" w:right="109"/>
              <w:rPr>
                <w:rFonts w:ascii="Times New Roman"/>
                <w:sz w:val="21"/>
              </w:rPr>
            </w:pPr>
            <w:bookmarkStart w:id="541" w:name="0.05L"/>
            <w:bookmarkEnd w:id="541"/>
            <w:r>
              <w:rPr>
                <w:rFonts w:ascii="Times New Roman"/>
                <w:sz w:val="21"/>
              </w:rPr>
              <w:t>0.05L</w:t>
            </w:r>
          </w:p>
        </w:tc>
        <w:tc>
          <w:tcPr>
            <w:tcW w:w="882" w:type="dxa"/>
          </w:tcPr>
          <w:p>
            <w:pPr>
              <w:pStyle w:val="14"/>
              <w:spacing w:before="153"/>
              <w:ind w:left="119" w:right="109"/>
              <w:rPr>
                <w:rFonts w:ascii="Times New Roman"/>
                <w:sz w:val="21"/>
              </w:rPr>
            </w:pPr>
            <w:bookmarkStart w:id="542" w:name="0.05L"/>
            <w:bookmarkEnd w:id="542"/>
            <w:r>
              <w:rPr>
                <w:rFonts w:ascii="Times New Roman"/>
                <w:sz w:val="21"/>
              </w:rPr>
              <w:t>0.05L</w:t>
            </w:r>
          </w:p>
        </w:tc>
        <w:tc>
          <w:tcPr>
            <w:tcW w:w="882" w:type="dxa"/>
          </w:tcPr>
          <w:p>
            <w:pPr>
              <w:pStyle w:val="14"/>
              <w:spacing w:before="153"/>
              <w:ind w:left="119" w:right="109"/>
              <w:rPr>
                <w:rFonts w:ascii="Times New Roman"/>
                <w:sz w:val="21"/>
              </w:rPr>
            </w:pPr>
            <w:bookmarkStart w:id="543" w:name="0.05L"/>
            <w:bookmarkEnd w:id="543"/>
            <w:r>
              <w:rPr>
                <w:rFonts w:ascii="Times New Roman"/>
                <w:sz w:val="21"/>
              </w:rPr>
              <w:t>0.05L</w:t>
            </w:r>
          </w:p>
        </w:tc>
        <w:tc>
          <w:tcPr>
            <w:tcW w:w="882" w:type="dxa"/>
          </w:tcPr>
          <w:p>
            <w:pPr>
              <w:pStyle w:val="14"/>
              <w:spacing w:before="153"/>
              <w:ind w:left="119" w:right="109"/>
              <w:rPr>
                <w:rFonts w:ascii="Times New Roman"/>
                <w:sz w:val="21"/>
              </w:rPr>
            </w:pPr>
            <w:bookmarkStart w:id="544" w:name="0.05L"/>
            <w:bookmarkEnd w:id="544"/>
            <w:r>
              <w:rPr>
                <w:rFonts w:ascii="Times New Roman"/>
                <w:sz w:val="21"/>
              </w:rPr>
              <w:t>0.05L</w:t>
            </w:r>
          </w:p>
        </w:tc>
        <w:tc>
          <w:tcPr>
            <w:tcW w:w="882" w:type="dxa"/>
          </w:tcPr>
          <w:p>
            <w:pPr>
              <w:pStyle w:val="14"/>
              <w:spacing w:before="153"/>
              <w:ind w:left="119" w:right="109"/>
              <w:rPr>
                <w:rFonts w:ascii="Times New Roman"/>
                <w:sz w:val="21"/>
              </w:rPr>
            </w:pPr>
            <w:bookmarkStart w:id="545" w:name="0.05L"/>
            <w:bookmarkEnd w:id="545"/>
            <w:r>
              <w:rPr>
                <w:rFonts w:ascii="Times New Roman"/>
                <w:sz w:val="21"/>
              </w:rPr>
              <w:t>0.05L</w:t>
            </w:r>
          </w:p>
        </w:tc>
        <w:tc>
          <w:tcPr>
            <w:tcW w:w="888" w:type="dxa"/>
          </w:tcPr>
          <w:p>
            <w:pPr>
              <w:pStyle w:val="14"/>
              <w:spacing w:before="153"/>
              <w:ind w:left="121" w:right="113"/>
              <w:rPr>
                <w:rFonts w:ascii="Times New Roman"/>
                <w:sz w:val="21"/>
              </w:rPr>
            </w:pPr>
            <w:bookmarkStart w:id="546" w:name="0.05L"/>
            <w:bookmarkEnd w:id="546"/>
            <w:r>
              <w:rPr>
                <w:rFonts w:ascii="Times New Roman"/>
                <w:sz w:val="21"/>
              </w:rPr>
              <w:t>0.05L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1400" w:type="dxa"/>
          </w:tcPr>
          <w:p>
            <w:pPr>
              <w:pStyle w:val="14"/>
              <w:spacing w:line="269" w:lineRule="exact"/>
              <w:ind w:left="242" w:right="233"/>
              <w:rPr>
                <w:sz w:val="21"/>
              </w:rPr>
            </w:pPr>
            <w:r>
              <w:rPr>
                <w:sz w:val="21"/>
              </w:rPr>
              <w:t>溶解氧</w:t>
            </w:r>
          </w:p>
          <w:p>
            <w:pPr>
              <w:pStyle w:val="14"/>
              <w:spacing w:before="2" w:line="253" w:lineRule="exact"/>
              <w:ind w:left="242" w:right="233"/>
              <w:rPr>
                <w:sz w:val="21"/>
              </w:rPr>
            </w:pPr>
            <w:r>
              <w:rPr>
                <w:sz w:val="21"/>
              </w:rPr>
              <w:t>（</w:t>
            </w:r>
            <w:r>
              <w:rPr>
                <w:rFonts w:ascii="Times New Roman" w:eastAsia="Times New Roman"/>
                <w:sz w:val="21"/>
              </w:rPr>
              <w:t>mg/L</w:t>
            </w:r>
            <w:r>
              <w:rPr>
                <w:sz w:val="21"/>
              </w:rPr>
              <w:t>）</w:t>
            </w:r>
          </w:p>
        </w:tc>
        <w:tc>
          <w:tcPr>
            <w:tcW w:w="882" w:type="dxa"/>
          </w:tcPr>
          <w:p>
            <w:pPr>
              <w:pStyle w:val="14"/>
              <w:spacing w:before="153"/>
              <w:ind w:left="119" w:right="109"/>
              <w:rPr>
                <w:rFonts w:ascii="Times New Roman"/>
                <w:sz w:val="21"/>
              </w:rPr>
            </w:pPr>
            <w:bookmarkStart w:id="547" w:name="6.11"/>
            <w:bookmarkEnd w:id="547"/>
            <w:r>
              <w:rPr>
                <w:rFonts w:ascii="Times New Roman"/>
                <w:sz w:val="21"/>
              </w:rPr>
              <w:t>6.11</w:t>
            </w:r>
          </w:p>
        </w:tc>
        <w:tc>
          <w:tcPr>
            <w:tcW w:w="882" w:type="dxa"/>
          </w:tcPr>
          <w:p>
            <w:pPr>
              <w:pStyle w:val="14"/>
              <w:spacing w:before="153"/>
              <w:ind w:left="118" w:right="110"/>
              <w:rPr>
                <w:rFonts w:ascii="Times New Roman"/>
                <w:sz w:val="21"/>
              </w:rPr>
            </w:pPr>
            <w:bookmarkStart w:id="548" w:name="6.13"/>
            <w:bookmarkEnd w:id="548"/>
            <w:r>
              <w:rPr>
                <w:rFonts w:ascii="Times New Roman"/>
                <w:sz w:val="21"/>
              </w:rPr>
              <w:t>6.13</w:t>
            </w:r>
          </w:p>
        </w:tc>
        <w:tc>
          <w:tcPr>
            <w:tcW w:w="882" w:type="dxa"/>
          </w:tcPr>
          <w:p>
            <w:pPr>
              <w:pStyle w:val="14"/>
              <w:spacing w:before="153"/>
              <w:ind w:left="119" w:right="109"/>
              <w:rPr>
                <w:rFonts w:ascii="Times New Roman"/>
                <w:sz w:val="21"/>
              </w:rPr>
            </w:pPr>
            <w:bookmarkStart w:id="549" w:name="6.09"/>
            <w:bookmarkEnd w:id="549"/>
            <w:r>
              <w:rPr>
                <w:rFonts w:ascii="Times New Roman"/>
                <w:sz w:val="21"/>
              </w:rPr>
              <w:t>6.09</w:t>
            </w:r>
          </w:p>
        </w:tc>
        <w:tc>
          <w:tcPr>
            <w:tcW w:w="882" w:type="dxa"/>
          </w:tcPr>
          <w:p>
            <w:pPr>
              <w:pStyle w:val="14"/>
              <w:spacing w:before="153"/>
              <w:ind w:left="118" w:right="110"/>
              <w:rPr>
                <w:rFonts w:ascii="Times New Roman"/>
                <w:sz w:val="21"/>
              </w:rPr>
            </w:pPr>
            <w:bookmarkStart w:id="550" w:name="6.12"/>
            <w:bookmarkEnd w:id="550"/>
            <w:r>
              <w:rPr>
                <w:rFonts w:ascii="Times New Roman"/>
                <w:sz w:val="21"/>
              </w:rPr>
              <w:t>6.12</w:t>
            </w:r>
          </w:p>
        </w:tc>
        <w:tc>
          <w:tcPr>
            <w:tcW w:w="882" w:type="dxa"/>
          </w:tcPr>
          <w:p>
            <w:pPr>
              <w:pStyle w:val="14"/>
              <w:spacing w:before="153"/>
              <w:ind w:left="119" w:right="109"/>
              <w:rPr>
                <w:rFonts w:ascii="Times New Roman"/>
                <w:sz w:val="21"/>
              </w:rPr>
            </w:pPr>
            <w:bookmarkStart w:id="551" w:name="6.14"/>
            <w:bookmarkEnd w:id="551"/>
            <w:r>
              <w:rPr>
                <w:rFonts w:ascii="Times New Roman"/>
                <w:sz w:val="21"/>
              </w:rPr>
              <w:t>6.14</w:t>
            </w:r>
          </w:p>
        </w:tc>
        <w:tc>
          <w:tcPr>
            <w:tcW w:w="882" w:type="dxa"/>
          </w:tcPr>
          <w:p>
            <w:pPr>
              <w:pStyle w:val="14"/>
              <w:spacing w:before="153"/>
              <w:ind w:left="118" w:right="110"/>
              <w:rPr>
                <w:rFonts w:ascii="Times New Roman"/>
                <w:sz w:val="21"/>
              </w:rPr>
            </w:pPr>
            <w:bookmarkStart w:id="552" w:name="6.08"/>
            <w:bookmarkEnd w:id="552"/>
            <w:r>
              <w:rPr>
                <w:rFonts w:ascii="Times New Roman"/>
                <w:sz w:val="21"/>
              </w:rPr>
              <w:t>6.08</w:t>
            </w:r>
          </w:p>
        </w:tc>
        <w:tc>
          <w:tcPr>
            <w:tcW w:w="882" w:type="dxa"/>
          </w:tcPr>
          <w:p>
            <w:pPr>
              <w:pStyle w:val="14"/>
              <w:spacing w:before="153"/>
              <w:ind w:left="119" w:right="109"/>
              <w:rPr>
                <w:rFonts w:ascii="Times New Roman"/>
                <w:sz w:val="21"/>
              </w:rPr>
            </w:pPr>
            <w:bookmarkStart w:id="553" w:name="6.11"/>
            <w:bookmarkEnd w:id="553"/>
            <w:r>
              <w:rPr>
                <w:rFonts w:ascii="Times New Roman"/>
                <w:sz w:val="21"/>
              </w:rPr>
              <w:t>6.11</w:t>
            </w:r>
          </w:p>
        </w:tc>
        <w:tc>
          <w:tcPr>
            <w:tcW w:w="882" w:type="dxa"/>
          </w:tcPr>
          <w:p>
            <w:pPr>
              <w:pStyle w:val="14"/>
              <w:spacing w:before="153"/>
              <w:ind w:left="118" w:right="110"/>
              <w:rPr>
                <w:rFonts w:ascii="Times New Roman"/>
                <w:sz w:val="21"/>
              </w:rPr>
            </w:pPr>
            <w:bookmarkStart w:id="554" w:name="6.12"/>
            <w:bookmarkEnd w:id="554"/>
            <w:r>
              <w:rPr>
                <w:rFonts w:ascii="Times New Roman"/>
                <w:sz w:val="21"/>
              </w:rPr>
              <w:t>6.12</w:t>
            </w:r>
          </w:p>
        </w:tc>
        <w:tc>
          <w:tcPr>
            <w:tcW w:w="888" w:type="dxa"/>
          </w:tcPr>
          <w:p>
            <w:pPr>
              <w:pStyle w:val="14"/>
              <w:spacing w:before="153"/>
              <w:ind w:left="122" w:right="113"/>
              <w:rPr>
                <w:rFonts w:ascii="Times New Roman"/>
                <w:sz w:val="21"/>
              </w:rPr>
            </w:pPr>
            <w:bookmarkStart w:id="555" w:name="6.15"/>
            <w:bookmarkEnd w:id="555"/>
            <w:r>
              <w:rPr>
                <w:rFonts w:ascii="Times New Roman"/>
                <w:sz w:val="21"/>
              </w:rPr>
              <w:t>6.15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400" w:type="dxa"/>
          </w:tcPr>
          <w:p>
            <w:pPr>
              <w:pStyle w:val="14"/>
              <w:spacing w:line="253" w:lineRule="exact"/>
              <w:ind w:left="109" w:right="-15"/>
              <w:jc w:val="left"/>
              <w:rPr>
                <w:sz w:val="21"/>
              </w:rPr>
            </w:pPr>
            <w:r>
              <w:rPr>
                <w:rFonts w:ascii="Times New Roman" w:eastAsia="Times New Roman"/>
                <w:spacing w:val="-1"/>
                <w:w w:val="99"/>
                <w:position w:val="2"/>
                <w:sz w:val="21"/>
              </w:rPr>
              <w:t>B</w:t>
            </w:r>
            <w:r>
              <w:rPr>
                <w:rFonts w:ascii="Times New Roman" w:eastAsia="Times New Roman"/>
                <w:w w:val="99"/>
                <w:position w:val="2"/>
                <w:sz w:val="21"/>
              </w:rPr>
              <w:t>O</w:t>
            </w:r>
            <w:r>
              <w:rPr>
                <w:rFonts w:ascii="Times New Roman" w:eastAsia="Times New Roman"/>
                <w:spacing w:val="-29"/>
                <w:w w:val="99"/>
                <w:position w:val="2"/>
                <w:sz w:val="21"/>
              </w:rPr>
              <w:t>D</w:t>
            </w:r>
            <w:r>
              <w:rPr>
                <w:spacing w:val="-181"/>
                <w:w w:val="99"/>
                <w:position w:val="2"/>
                <w:sz w:val="21"/>
              </w:rPr>
              <w:t>（</w:t>
            </w:r>
            <w:r>
              <w:rPr>
                <w:rFonts w:ascii="Times New Roman" w:eastAsia="Times New Roman"/>
                <w:w w:val="105"/>
                <w:sz w:val="13"/>
              </w:rPr>
              <w:t>5</w:t>
            </w:r>
            <w:r>
              <w:rPr>
                <w:rFonts w:ascii="Times New Roman" w:eastAsia="Times New Roman"/>
                <w:sz w:val="13"/>
              </w:rPr>
              <w:t xml:space="preserve">   </w:t>
            </w:r>
            <w:r>
              <w:rPr>
                <w:rFonts w:ascii="Times New Roman" w:eastAsia="Times New Roman"/>
                <w:spacing w:val="-17"/>
                <w:sz w:val="13"/>
              </w:rPr>
              <w:t xml:space="preserve"> </w:t>
            </w:r>
            <w:r>
              <w:rPr>
                <w:rFonts w:ascii="Times New Roman" w:eastAsia="Times New Roman"/>
                <w:spacing w:val="-2"/>
                <w:w w:val="99"/>
                <w:position w:val="2"/>
                <w:sz w:val="21"/>
              </w:rPr>
              <w:t>mg</w:t>
            </w:r>
            <w:r>
              <w:rPr>
                <w:rFonts w:ascii="Times New Roman" w:eastAsia="Times New Roman"/>
                <w:spacing w:val="1"/>
                <w:w w:val="99"/>
                <w:position w:val="2"/>
                <w:sz w:val="21"/>
              </w:rPr>
              <w:t>/L</w:t>
            </w:r>
            <w:r>
              <w:rPr>
                <w:w w:val="99"/>
                <w:position w:val="2"/>
                <w:sz w:val="21"/>
              </w:rPr>
              <w:t>）</w:t>
            </w:r>
          </w:p>
        </w:tc>
        <w:tc>
          <w:tcPr>
            <w:tcW w:w="882" w:type="dxa"/>
          </w:tcPr>
          <w:p>
            <w:pPr>
              <w:pStyle w:val="14"/>
              <w:spacing w:before="19" w:line="234" w:lineRule="exact"/>
              <w:ind w:left="119" w:right="109"/>
              <w:rPr>
                <w:rFonts w:ascii="Times New Roman"/>
                <w:sz w:val="21"/>
              </w:rPr>
            </w:pPr>
            <w:bookmarkStart w:id="556" w:name="15.3"/>
            <w:bookmarkEnd w:id="556"/>
            <w:r>
              <w:rPr>
                <w:rFonts w:ascii="Times New Roman"/>
                <w:sz w:val="21"/>
              </w:rPr>
              <w:t>15.3</w:t>
            </w:r>
          </w:p>
        </w:tc>
        <w:tc>
          <w:tcPr>
            <w:tcW w:w="882" w:type="dxa"/>
          </w:tcPr>
          <w:p>
            <w:pPr>
              <w:pStyle w:val="14"/>
              <w:spacing w:before="19" w:line="234" w:lineRule="exact"/>
              <w:ind w:left="118" w:right="110"/>
              <w:rPr>
                <w:rFonts w:ascii="Times New Roman"/>
                <w:sz w:val="21"/>
              </w:rPr>
            </w:pPr>
            <w:bookmarkStart w:id="557" w:name="16.2"/>
            <w:bookmarkEnd w:id="557"/>
            <w:r>
              <w:rPr>
                <w:rFonts w:ascii="Times New Roman"/>
                <w:sz w:val="21"/>
              </w:rPr>
              <w:t>16.2</w:t>
            </w:r>
          </w:p>
        </w:tc>
        <w:tc>
          <w:tcPr>
            <w:tcW w:w="882" w:type="dxa"/>
          </w:tcPr>
          <w:p>
            <w:pPr>
              <w:pStyle w:val="14"/>
              <w:spacing w:before="19" w:line="234" w:lineRule="exact"/>
              <w:ind w:left="119" w:right="109"/>
              <w:rPr>
                <w:rFonts w:ascii="Times New Roman"/>
                <w:sz w:val="21"/>
              </w:rPr>
            </w:pPr>
            <w:bookmarkStart w:id="558" w:name="15.7"/>
            <w:bookmarkEnd w:id="558"/>
            <w:r>
              <w:rPr>
                <w:rFonts w:ascii="Times New Roman"/>
                <w:sz w:val="21"/>
              </w:rPr>
              <w:t>15.7</w:t>
            </w:r>
          </w:p>
        </w:tc>
        <w:tc>
          <w:tcPr>
            <w:tcW w:w="882" w:type="dxa"/>
          </w:tcPr>
          <w:p>
            <w:pPr>
              <w:pStyle w:val="14"/>
              <w:spacing w:before="19" w:line="234" w:lineRule="exact"/>
              <w:ind w:left="118" w:right="110"/>
              <w:rPr>
                <w:rFonts w:ascii="Times New Roman"/>
                <w:sz w:val="21"/>
              </w:rPr>
            </w:pPr>
            <w:bookmarkStart w:id="559" w:name="16.2"/>
            <w:bookmarkEnd w:id="559"/>
            <w:r>
              <w:rPr>
                <w:rFonts w:ascii="Times New Roman"/>
                <w:sz w:val="21"/>
              </w:rPr>
              <w:t>16.2</w:t>
            </w:r>
          </w:p>
        </w:tc>
        <w:tc>
          <w:tcPr>
            <w:tcW w:w="882" w:type="dxa"/>
          </w:tcPr>
          <w:p>
            <w:pPr>
              <w:pStyle w:val="14"/>
              <w:spacing w:before="19" w:line="234" w:lineRule="exact"/>
              <w:ind w:left="119" w:right="109"/>
              <w:rPr>
                <w:rFonts w:ascii="Times New Roman"/>
                <w:sz w:val="21"/>
              </w:rPr>
            </w:pPr>
            <w:bookmarkStart w:id="560" w:name="16.6"/>
            <w:bookmarkEnd w:id="560"/>
            <w:r>
              <w:rPr>
                <w:rFonts w:ascii="Times New Roman"/>
                <w:sz w:val="21"/>
              </w:rPr>
              <w:t>16.6</w:t>
            </w:r>
          </w:p>
        </w:tc>
        <w:tc>
          <w:tcPr>
            <w:tcW w:w="882" w:type="dxa"/>
          </w:tcPr>
          <w:p>
            <w:pPr>
              <w:pStyle w:val="14"/>
              <w:spacing w:before="19" w:line="234" w:lineRule="exact"/>
              <w:ind w:left="118" w:right="110"/>
              <w:rPr>
                <w:rFonts w:ascii="Times New Roman"/>
                <w:sz w:val="21"/>
              </w:rPr>
            </w:pPr>
            <w:bookmarkStart w:id="561" w:name="14.1"/>
            <w:bookmarkEnd w:id="561"/>
            <w:r>
              <w:rPr>
                <w:rFonts w:ascii="Times New Roman"/>
                <w:sz w:val="21"/>
              </w:rPr>
              <w:t>14.1</w:t>
            </w:r>
          </w:p>
        </w:tc>
        <w:tc>
          <w:tcPr>
            <w:tcW w:w="882" w:type="dxa"/>
          </w:tcPr>
          <w:p>
            <w:pPr>
              <w:pStyle w:val="14"/>
              <w:spacing w:before="19" w:line="234" w:lineRule="exact"/>
              <w:ind w:left="119" w:right="109"/>
              <w:rPr>
                <w:rFonts w:ascii="Times New Roman"/>
                <w:sz w:val="21"/>
              </w:rPr>
            </w:pPr>
            <w:bookmarkStart w:id="562" w:name="14.0"/>
            <w:bookmarkEnd w:id="562"/>
            <w:r>
              <w:rPr>
                <w:rFonts w:ascii="Times New Roman"/>
                <w:sz w:val="21"/>
              </w:rPr>
              <w:t>14.0</w:t>
            </w:r>
          </w:p>
        </w:tc>
        <w:tc>
          <w:tcPr>
            <w:tcW w:w="882" w:type="dxa"/>
          </w:tcPr>
          <w:p>
            <w:pPr>
              <w:pStyle w:val="14"/>
              <w:spacing w:before="19" w:line="234" w:lineRule="exact"/>
              <w:ind w:left="118" w:right="110"/>
              <w:rPr>
                <w:rFonts w:ascii="Times New Roman"/>
                <w:sz w:val="21"/>
              </w:rPr>
            </w:pPr>
            <w:bookmarkStart w:id="563" w:name="15.2"/>
            <w:bookmarkEnd w:id="563"/>
            <w:r>
              <w:rPr>
                <w:rFonts w:ascii="Times New Roman"/>
                <w:sz w:val="21"/>
              </w:rPr>
              <w:t>15.2</w:t>
            </w:r>
          </w:p>
        </w:tc>
        <w:tc>
          <w:tcPr>
            <w:tcW w:w="888" w:type="dxa"/>
          </w:tcPr>
          <w:p>
            <w:pPr>
              <w:pStyle w:val="14"/>
              <w:spacing w:before="19" w:line="234" w:lineRule="exact"/>
              <w:ind w:left="122" w:right="113"/>
              <w:rPr>
                <w:rFonts w:ascii="Times New Roman"/>
                <w:sz w:val="21"/>
              </w:rPr>
            </w:pPr>
            <w:bookmarkStart w:id="564" w:name="15.9"/>
            <w:bookmarkEnd w:id="564"/>
            <w:r>
              <w:rPr>
                <w:rFonts w:ascii="Times New Roman"/>
                <w:sz w:val="21"/>
              </w:rPr>
              <w:t>15.9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400" w:type="dxa"/>
          </w:tcPr>
          <w:p>
            <w:pPr>
              <w:pStyle w:val="14"/>
              <w:spacing w:line="252" w:lineRule="exact"/>
              <w:ind w:left="106" w:right="-15"/>
              <w:jc w:val="left"/>
              <w:rPr>
                <w:sz w:val="21"/>
              </w:rPr>
            </w:pPr>
            <w:r>
              <w:rPr>
                <w:spacing w:val="-2"/>
                <w:sz w:val="21"/>
              </w:rPr>
              <w:t>氨氮</w:t>
            </w:r>
            <w:r>
              <w:rPr>
                <w:sz w:val="21"/>
              </w:rPr>
              <w:t>（</w:t>
            </w:r>
            <w:r>
              <w:rPr>
                <w:rFonts w:ascii="Times New Roman" w:eastAsia="Times New Roman"/>
                <w:sz w:val="21"/>
              </w:rPr>
              <w:t>mg/L</w:t>
            </w:r>
            <w:r>
              <w:rPr>
                <w:sz w:val="21"/>
              </w:rPr>
              <w:t>）</w:t>
            </w:r>
          </w:p>
        </w:tc>
        <w:tc>
          <w:tcPr>
            <w:tcW w:w="882" w:type="dxa"/>
          </w:tcPr>
          <w:p>
            <w:pPr>
              <w:pStyle w:val="14"/>
              <w:spacing w:before="16" w:line="235" w:lineRule="exact"/>
              <w:ind w:left="119" w:right="109"/>
              <w:rPr>
                <w:rFonts w:ascii="Times New Roman"/>
                <w:sz w:val="21"/>
              </w:rPr>
            </w:pPr>
            <w:bookmarkStart w:id="565" w:name="0.40"/>
            <w:bookmarkEnd w:id="565"/>
            <w:r>
              <w:rPr>
                <w:rFonts w:ascii="Times New Roman"/>
                <w:sz w:val="21"/>
              </w:rPr>
              <w:t>0.40</w:t>
            </w:r>
          </w:p>
        </w:tc>
        <w:tc>
          <w:tcPr>
            <w:tcW w:w="882" w:type="dxa"/>
          </w:tcPr>
          <w:p>
            <w:pPr>
              <w:pStyle w:val="14"/>
              <w:spacing w:before="16" w:line="235" w:lineRule="exact"/>
              <w:ind w:left="118" w:right="110"/>
              <w:rPr>
                <w:rFonts w:ascii="Times New Roman"/>
                <w:sz w:val="21"/>
              </w:rPr>
            </w:pPr>
            <w:bookmarkStart w:id="566" w:name="0.40"/>
            <w:bookmarkEnd w:id="566"/>
            <w:r>
              <w:rPr>
                <w:rFonts w:ascii="Times New Roman"/>
                <w:sz w:val="21"/>
              </w:rPr>
              <w:t>0.40</w:t>
            </w:r>
          </w:p>
        </w:tc>
        <w:tc>
          <w:tcPr>
            <w:tcW w:w="882" w:type="dxa"/>
          </w:tcPr>
          <w:p>
            <w:pPr>
              <w:pStyle w:val="14"/>
              <w:spacing w:before="16" w:line="235" w:lineRule="exact"/>
              <w:ind w:left="119" w:right="109"/>
              <w:rPr>
                <w:rFonts w:ascii="Times New Roman"/>
                <w:sz w:val="21"/>
              </w:rPr>
            </w:pPr>
            <w:bookmarkStart w:id="567" w:name="0.40"/>
            <w:bookmarkEnd w:id="567"/>
            <w:r>
              <w:rPr>
                <w:rFonts w:ascii="Times New Roman"/>
                <w:sz w:val="21"/>
              </w:rPr>
              <w:t>0.40</w:t>
            </w:r>
          </w:p>
        </w:tc>
        <w:tc>
          <w:tcPr>
            <w:tcW w:w="882" w:type="dxa"/>
          </w:tcPr>
          <w:p>
            <w:pPr>
              <w:pStyle w:val="14"/>
              <w:spacing w:before="16" w:line="235" w:lineRule="exact"/>
              <w:ind w:left="118" w:right="110"/>
              <w:rPr>
                <w:rFonts w:ascii="Times New Roman"/>
                <w:sz w:val="21"/>
              </w:rPr>
            </w:pPr>
            <w:bookmarkStart w:id="568" w:name="0.40"/>
            <w:bookmarkEnd w:id="568"/>
            <w:r>
              <w:rPr>
                <w:rFonts w:ascii="Times New Roman"/>
                <w:sz w:val="21"/>
              </w:rPr>
              <w:t>0.40</w:t>
            </w:r>
          </w:p>
        </w:tc>
        <w:tc>
          <w:tcPr>
            <w:tcW w:w="882" w:type="dxa"/>
          </w:tcPr>
          <w:p>
            <w:pPr>
              <w:pStyle w:val="14"/>
              <w:spacing w:before="16" w:line="235" w:lineRule="exact"/>
              <w:ind w:left="119" w:right="109"/>
              <w:rPr>
                <w:rFonts w:ascii="Times New Roman"/>
                <w:sz w:val="21"/>
              </w:rPr>
            </w:pPr>
            <w:bookmarkStart w:id="569" w:name="0.40"/>
            <w:bookmarkEnd w:id="569"/>
            <w:r>
              <w:rPr>
                <w:rFonts w:ascii="Times New Roman"/>
                <w:sz w:val="21"/>
              </w:rPr>
              <w:t>0.40</w:t>
            </w:r>
          </w:p>
        </w:tc>
        <w:tc>
          <w:tcPr>
            <w:tcW w:w="882" w:type="dxa"/>
          </w:tcPr>
          <w:p>
            <w:pPr>
              <w:pStyle w:val="14"/>
              <w:spacing w:before="16" w:line="235" w:lineRule="exact"/>
              <w:ind w:left="118" w:right="110"/>
              <w:rPr>
                <w:rFonts w:ascii="Times New Roman"/>
                <w:sz w:val="21"/>
              </w:rPr>
            </w:pPr>
            <w:bookmarkStart w:id="570" w:name="0.40"/>
            <w:bookmarkEnd w:id="570"/>
            <w:r>
              <w:rPr>
                <w:rFonts w:ascii="Times New Roman"/>
                <w:sz w:val="21"/>
              </w:rPr>
              <w:t>0.40</w:t>
            </w:r>
          </w:p>
        </w:tc>
        <w:tc>
          <w:tcPr>
            <w:tcW w:w="882" w:type="dxa"/>
          </w:tcPr>
          <w:p>
            <w:pPr>
              <w:pStyle w:val="14"/>
              <w:spacing w:before="16" w:line="235" w:lineRule="exact"/>
              <w:ind w:left="119" w:right="109"/>
              <w:rPr>
                <w:rFonts w:ascii="Times New Roman"/>
                <w:sz w:val="21"/>
              </w:rPr>
            </w:pPr>
            <w:bookmarkStart w:id="571" w:name="0.40"/>
            <w:bookmarkEnd w:id="571"/>
            <w:r>
              <w:rPr>
                <w:rFonts w:ascii="Times New Roman"/>
                <w:sz w:val="21"/>
              </w:rPr>
              <w:t>0.40</w:t>
            </w:r>
          </w:p>
        </w:tc>
        <w:tc>
          <w:tcPr>
            <w:tcW w:w="882" w:type="dxa"/>
          </w:tcPr>
          <w:p>
            <w:pPr>
              <w:pStyle w:val="14"/>
              <w:spacing w:before="16" w:line="235" w:lineRule="exact"/>
              <w:ind w:left="118" w:right="110"/>
              <w:rPr>
                <w:rFonts w:ascii="Times New Roman"/>
                <w:sz w:val="21"/>
              </w:rPr>
            </w:pPr>
            <w:bookmarkStart w:id="572" w:name="0.40"/>
            <w:bookmarkEnd w:id="572"/>
            <w:r>
              <w:rPr>
                <w:rFonts w:ascii="Times New Roman"/>
                <w:sz w:val="21"/>
              </w:rPr>
              <w:t>0.40</w:t>
            </w:r>
          </w:p>
        </w:tc>
        <w:tc>
          <w:tcPr>
            <w:tcW w:w="888" w:type="dxa"/>
          </w:tcPr>
          <w:p>
            <w:pPr>
              <w:pStyle w:val="14"/>
              <w:spacing w:before="16" w:line="235" w:lineRule="exact"/>
              <w:ind w:left="122" w:right="113"/>
              <w:rPr>
                <w:rFonts w:ascii="Times New Roman"/>
                <w:sz w:val="21"/>
              </w:rPr>
            </w:pPr>
            <w:bookmarkStart w:id="573" w:name="0.40"/>
            <w:bookmarkEnd w:id="573"/>
            <w:r>
              <w:rPr>
                <w:rFonts w:ascii="Times New Roman"/>
                <w:sz w:val="21"/>
              </w:rPr>
              <w:t>0.40</w:t>
            </w:r>
          </w:p>
        </w:tc>
      </w:tr>
    </w:tbl>
    <w:p>
      <w:pPr>
        <w:pStyle w:val="6"/>
        <w:spacing w:before="5"/>
        <w:rPr>
          <w:b/>
          <w:sz w:val="32"/>
        </w:rPr>
      </w:pPr>
    </w:p>
    <w:p>
      <w:pPr>
        <w:pStyle w:val="6"/>
        <w:spacing w:line="364" w:lineRule="auto"/>
        <w:ind w:left="215" w:right="573" w:firstLine="480"/>
        <w:jc w:val="both"/>
      </w:pPr>
      <w:r>
        <w:t>本次地表水环境质量监测中，水样采集方法、采样频率、分析方法等均符合《地表</w:t>
      </w:r>
      <w:r>
        <w:rPr>
          <w:spacing w:val="-3"/>
        </w:rPr>
        <w:t>水和污水监测技术规范》</w:t>
      </w:r>
      <w:r>
        <w:t>（</w:t>
      </w:r>
      <w:r>
        <w:rPr>
          <w:rFonts w:ascii="Times New Roman" w:eastAsia="Times New Roman"/>
        </w:rPr>
        <w:t>HJ/T91-2002</w:t>
      </w:r>
      <w:r>
        <w:t>）</w:t>
      </w:r>
      <w:r>
        <w:rPr>
          <w:spacing w:val="-5"/>
        </w:rPr>
        <w:t>规范要求，监测结果具有代表性，可作为本次</w:t>
      </w:r>
      <w:r>
        <w:t>地表水环境质量现状评价的基础数据。</w:t>
      </w:r>
    </w:p>
    <w:p>
      <w:pPr>
        <w:pStyle w:val="4"/>
        <w:numPr>
          <w:ilvl w:val="2"/>
          <w:numId w:val="61"/>
        </w:numPr>
        <w:tabs>
          <w:tab w:val="left" w:pos="917"/>
        </w:tabs>
        <w:spacing w:before="1" w:after="0" w:line="240" w:lineRule="auto"/>
        <w:ind w:left="916" w:right="0" w:hanging="702"/>
        <w:jc w:val="left"/>
      </w:pPr>
      <w:bookmarkStart w:id="574" w:name="7.3.2 地表水环境质量现状评价"/>
      <w:bookmarkEnd w:id="574"/>
      <w:bookmarkStart w:id="575" w:name="7.3.2 地表水环境质量现状评价"/>
      <w:bookmarkEnd w:id="575"/>
      <w:r>
        <w:t>地表水环境质量现状评价</w:t>
      </w:r>
    </w:p>
    <w:p>
      <w:pPr>
        <w:pStyle w:val="5"/>
        <w:numPr>
          <w:ilvl w:val="3"/>
          <w:numId w:val="61"/>
        </w:numPr>
        <w:tabs>
          <w:tab w:val="left" w:pos="996"/>
        </w:tabs>
        <w:spacing w:before="185" w:after="0" w:line="240" w:lineRule="auto"/>
        <w:ind w:left="996" w:right="0" w:hanging="781"/>
        <w:jc w:val="left"/>
      </w:pPr>
      <w:r>
        <w:t>评价范围</w:t>
      </w:r>
    </w:p>
    <w:p>
      <w:pPr>
        <w:pStyle w:val="6"/>
        <w:spacing w:before="158"/>
        <w:ind w:left="696"/>
      </w:pPr>
      <w:r>
        <w:t>同现状监测范围。</w:t>
      </w:r>
    </w:p>
    <w:p>
      <w:pPr>
        <w:pStyle w:val="5"/>
        <w:numPr>
          <w:ilvl w:val="3"/>
          <w:numId w:val="61"/>
        </w:numPr>
        <w:tabs>
          <w:tab w:val="left" w:pos="996"/>
        </w:tabs>
        <w:spacing w:before="161" w:after="0" w:line="240" w:lineRule="auto"/>
        <w:ind w:left="996" w:right="0" w:hanging="781"/>
        <w:jc w:val="left"/>
      </w:pPr>
      <w:r>
        <w:t>评价参数的选择</w:t>
      </w:r>
    </w:p>
    <w:p>
      <w:pPr>
        <w:pStyle w:val="6"/>
        <w:spacing w:before="158" w:line="364" w:lineRule="auto"/>
        <w:ind w:left="215" w:right="580" w:firstLine="480"/>
      </w:pPr>
      <w:r>
        <w:t>根据地表水的水质特点及其功能，结合对水监测结果的分析和新项目的排污情况， 为较全面了解地表水水质现状，对评价区域的河段进行现状评价。</w:t>
      </w:r>
    </w:p>
    <w:p>
      <w:pPr>
        <w:spacing w:after="0" w:line="364" w:lineRule="auto"/>
        <w:sectPr>
          <w:pgSz w:w="11910" w:h="16840"/>
          <w:pgMar w:top="1580" w:right="780" w:bottom="1320" w:left="1200" w:header="0" w:footer="1058" w:gutter="0"/>
        </w:sectPr>
      </w:pPr>
    </w:p>
    <w:p>
      <w:pPr>
        <w:pStyle w:val="5"/>
        <w:numPr>
          <w:ilvl w:val="3"/>
          <w:numId w:val="61"/>
        </w:numPr>
        <w:tabs>
          <w:tab w:val="left" w:pos="996"/>
        </w:tabs>
        <w:spacing w:before="66" w:after="0" w:line="240" w:lineRule="auto"/>
        <w:ind w:left="996" w:right="0" w:hanging="781"/>
        <w:jc w:val="left"/>
      </w:pPr>
      <w:r>
        <w:t>评价标准</w:t>
      </w:r>
    </w:p>
    <w:p>
      <w:pPr>
        <w:pStyle w:val="6"/>
        <w:spacing w:before="158" w:line="364" w:lineRule="auto"/>
        <w:ind w:left="215" w:right="578" w:firstLine="480"/>
      </w:pPr>
      <w:r>
        <w:t>评价区地表水执行《地表水环境质量标准》（</w:t>
      </w:r>
      <w:r>
        <w:rPr>
          <w:rFonts w:ascii="Times New Roman" w:hAnsi="Times New Roman" w:eastAsia="Times New Roman"/>
        </w:rPr>
        <w:t>GB3838-2002</w:t>
      </w:r>
      <w:r>
        <w:t xml:space="preserve">）中Ⅲ类标准。具体标准限值见表 </w:t>
      </w:r>
      <w:r>
        <w:rPr>
          <w:rFonts w:ascii="Times New Roman" w:hAnsi="Times New Roman" w:eastAsia="Times New Roman"/>
        </w:rPr>
        <w:t>7.3-3</w:t>
      </w:r>
      <w:r>
        <w:t>。</w:t>
      </w:r>
    </w:p>
    <w:p>
      <w:pPr>
        <w:pStyle w:val="5"/>
        <w:tabs>
          <w:tab w:val="left" w:pos="1286"/>
        </w:tabs>
        <w:spacing w:after="3" w:line="307" w:lineRule="exact"/>
        <w:ind w:left="125"/>
        <w:jc w:val="center"/>
      </w:pPr>
      <w:r>
        <w:t>表</w:t>
      </w:r>
      <w:r>
        <w:rPr>
          <w:spacing w:val="-61"/>
        </w:rPr>
        <w:t xml:space="preserve"> </w:t>
      </w:r>
      <w:r>
        <w:rPr>
          <w:rFonts w:ascii="Times New Roman" w:eastAsia="Times New Roman"/>
        </w:rPr>
        <w:t>7.3-3</w:t>
      </w:r>
      <w:r>
        <w:rPr>
          <w:rFonts w:ascii="Times New Roman" w:eastAsia="Times New Roman"/>
        </w:rPr>
        <w:tab/>
      </w:r>
      <w:r>
        <w:t>评价标准</w:t>
      </w:r>
      <w:r>
        <w:rPr>
          <w:spacing w:val="-2"/>
        </w:rPr>
        <w:t xml:space="preserve"> </w:t>
      </w:r>
      <w:r>
        <w:t>（</w:t>
      </w:r>
      <w:r>
        <w:rPr>
          <w:rFonts w:ascii="Times New Roman" w:eastAsia="Times New Roman"/>
        </w:rPr>
        <w:t>mg/L</w:t>
      </w:r>
      <w:r>
        <w:t>）</w:t>
      </w: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67"/>
        <w:gridCol w:w="2337"/>
        <w:gridCol w:w="2320"/>
        <w:gridCol w:w="23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367" w:type="dxa"/>
          </w:tcPr>
          <w:p>
            <w:pPr>
              <w:pStyle w:val="14"/>
              <w:spacing w:line="252" w:lineRule="exact"/>
              <w:ind w:left="508" w:right="501"/>
              <w:rPr>
                <w:sz w:val="21"/>
              </w:rPr>
            </w:pPr>
            <w:r>
              <w:rPr>
                <w:sz w:val="21"/>
              </w:rPr>
              <w:t>项目</w:t>
            </w:r>
          </w:p>
        </w:tc>
        <w:tc>
          <w:tcPr>
            <w:tcW w:w="2337" w:type="dxa"/>
          </w:tcPr>
          <w:p>
            <w:pPr>
              <w:pStyle w:val="14"/>
              <w:spacing w:line="252" w:lineRule="exact"/>
              <w:ind w:left="623" w:right="614"/>
              <w:rPr>
                <w:sz w:val="21"/>
              </w:rPr>
            </w:pPr>
            <w:r>
              <w:rPr>
                <w:sz w:val="21"/>
              </w:rPr>
              <w:t>Ⅲ类标准值</w:t>
            </w:r>
          </w:p>
        </w:tc>
        <w:tc>
          <w:tcPr>
            <w:tcW w:w="2320" w:type="dxa"/>
          </w:tcPr>
          <w:p>
            <w:pPr>
              <w:pStyle w:val="14"/>
              <w:spacing w:line="252" w:lineRule="exact"/>
              <w:ind w:left="611" w:right="605"/>
              <w:rPr>
                <w:sz w:val="21"/>
              </w:rPr>
            </w:pPr>
            <w:r>
              <w:rPr>
                <w:sz w:val="21"/>
              </w:rPr>
              <w:t>项目</w:t>
            </w:r>
          </w:p>
        </w:tc>
        <w:tc>
          <w:tcPr>
            <w:tcW w:w="2320" w:type="dxa"/>
          </w:tcPr>
          <w:p>
            <w:pPr>
              <w:pStyle w:val="14"/>
              <w:spacing w:line="252" w:lineRule="exact"/>
              <w:ind w:left="615" w:right="605"/>
              <w:rPr>
                <w:sz w:val="21"/>
              </w:rPr>
            </w:pPr>
            <w:r>
              <w:rPr>
                <w:sz w:val="21"/>
              </w:rPr>
              <w:t>Ⅲ类标准值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2367" w:type="dxa"/>
          </w:tcPr>
          <w:p>
            <w:pPr>
              <w:pStyle w:val="14"/>
              <w:spacing w:before="18"/>
              <w:ind w:left="508" w:right="501"/>
              <w:rPr>
                <w:sz w:val="21"/>
              </w:rPr>
            </w:pPr>
            <w:r>
              <w:rPr>
                <w:rFonts w:ascii="Times New Roman" w:eastAsia="Times New Roman"/>
                <w:sz w:val="21"/>
              </w:rPr>
              <w:t>pH</w:t>
            </w:r>
            <w:r>
              <w:rPr>
                <w:sz w:val="21"/>
              </w:rPr>
              <w:t>（无量纲）</w:t>
            </w:r>
          </w:p>
        </w:tc>
        <w:tc>
          <w:tcPr>
            <w:tcW w:w="2337" w:type="dxa"/>
          </w:tcPr>
          <w:p>
            <w:pPr>
              <w:pStyle w:val="14"/>
              <w:spacing w:before="32"/>
              <w:ind w:left="622" w:right="614"/>
              <w:rPr>
                <w:rFonts w:ascii="Times New Roman"/>
                <w:sz w:val="21"/>
              </w:rPr>
            </w:pPr>
            <w:r>
              <w:rPr>
                <w:rFonts w:ascii="Times New Roman"/>
                <w:sz w:val="21"/>
              </w:rPr>
              <w:t>6~9</w:t>
            </w:r>
          </w:p>
        </w:tc>
        <w:tc>
          <w:tcPr>
            <w:tcW w:w="2320" w:type="dxa"/>
          </w:tcPr>
          <w:p>
            <w:pPr>
              <w:pStyle w:val="14"/>
              <w:spacing w:before="18"/>
              <w:ind w:left="611" w:right="605"/>
              <w:rPr>
                <w:sz w:val="21"/>
              </w:rPr>
            </w:pPr>
            <w:r>
              <w:rPr>
                <w:sz w:val="21"/>
              </w:rPr>
              <w:t>总铁</w:t>
            </w:r>
          </w:p>
        </w:tc>
        <w:tc>
          <w:tcPr>
            <w:tcW w:w="2320" w:type="dxa"/>
          </w:tcPr>
          <w:p>
            <w:pPr>
              <w:pStyle w:val="14"/>
              <w:spacing w:before="32"/>
              <w:ind w:left="615" w:right="604"/>
              <w:rPr>
                <w:rFonts w:ascii="Times New Roman"/>
                <w:sz w:val="21"/>
              </w:rPr>
            </w:pPr>
            <w:r>
              <w:rPr>
                <w:rFonts w:ascii="Times New Roman"/>
                <w:sz w:val="21"/>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2367" w:type="dxa"/>
          </w:tcPr>
          <w:p>
            <w:pPr>
              <w:pStyle w:val="14"/>
              <w:spacing w:before="31"/>
              <w:ind w:left="507" w:right="501"/>
              <w:rPr>
                <w:rFonts w:ascii="Times New Roman"/>
                <w:sz w:val="21"/>
              </w:rPr>
            </w:pPr>
            <w:r>
              <w:rPr>
                <w:rFonts w:ascii="Times New Roman"/>
                <w:sz w:val="21"/>
              </w:rPr>
              <w:t>COD</w:t>
            </w:r>
          </w:p>
        </w:tc>
        <w:tc>
          <w:tcPr>
            <w:tcW w:w="2337" w:type="dxa"/>
          </w:tcPr>
          <w:p>
            <w:pPr>
              <w:pStyle w:val="14"/>
              <w:spacing w:before="31"/>
              <w:ind w:left="623" w:right="613"/>
              <w:rPr>
                <w:rFonts w:ascii="Times New Roman"/>
                <w:sz w:val="21"/>
              </w:rPr>
            </w:pPr>
            <w:r>
              <w:rPr>
                <w:rFonts w:ascii="Times New Roman"/>
                <w:sz w:val="21"/>
              </w:rPr>
              <w:t>20</w:t>
            </w:r>
          </w:p>
        </w:tc>
        <w:tc>
          <w:tcPr>
            <w:tcW w:w="2320" w:type="dxa"/>
          </w:tcPr>
          <w:p>
            <w:pPr>
              <w:pStyle w:val="14"/>
              <w:spacing w:before="18"/>
              <w:ind w:left="611" w:right="605"/>
              <w:rPr>
                <w:sz w:val="21"/>
              </w:rPr>
            </w:pPr>
            <w:r>
              <w:rPr>
                <w:sz w:val="21"/>
              </w:rPr>
              <w:t>总锰</w:t>
            </w:r>
          </w:p>
        </w:tc>
        <w:tc>
          <w:tcPr>
            <w:tcW w:w="2320" w:type="dxa"/>
          </w:tcPr>
          <w:p>
            <w:pPr>
              <w:pStyle w:val="14"/>
              <w:spacing w:before="31"/>
              <w:ind w:left="615" w:right="604"/>
              <w:rPr>
                <w:rFonts w:ascii="Times New Roman"/>
                <w:sz w:val="21"/>
              </w:rPr>
            </w:pPr>
            <w:r>
              <w:rPr>
                <w:rFonts w:ascii="Times New Roman"/>
                <w:sz w:val="21"/>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2367" w:type="dxa"/>
          </w:tcPr>
          <w:p>
            <w:pPr>
              <w:pStyle w:val="14"/>
              <w:spacing w:before="28" w:line="259" w:lineRule="exact"/>
              <w:ind w:left="508" w:right="498"/>
              <w:rPr>
                <w:rFonts w:ascii="Times New Roman"/>
                <w:sz w:val="21"/>
              </w:rPr>
            </w:pPr>
            <w:r>
              <w:rPr>
                <w:rFonts w:ascii="Times New Roman"/>
                <w:position w:val="2"/>
                <w:sz w:val="21"/>
              </w:rPr>
              <w:t>BOD</w:t>
            </w:r>
            <w:r>
              <w:rPr>
                <w:rFonts w:ascii="Times New Roman"/>
                <w:position w:val="2"/>
                <w:sz w:val="21"/>
                <w:vertAlign w:val="subscript"/>
              </w:rPr>
              <w:t>5</w:t>
            </w:r>
          </w:p>
        </w:tc>
        <w:tc>
          <w:tcPr>
            <w:tcW w:w="2337" w:type="dxa"/>
          </w:tcPr>
          <w:p>
            <w:pPr>
              <w:pStyle w:val="14"/>
              <w:spacing w:before="31"/>
              <w:ind w:left="10"/>
              <w:rPr>
                <w:rFonts w:ascii="Times New Roman"/>
                <w:sz w:val="21"/>
              </w:rPr>
            </w:pPr>
            <w:r>
              <w:rPr>
                <w:rFonts w:ascii="Times New Roman"/>
                <w:w w:val="99"/>
                <w:sz w:val="21"/>
              </w:rPr>
              <w:t>4</w:t>
            </w:r>
          </w:p>
        </w:tc>
        <w:tc>
          <w:tcPr>
            <w:tcW w:w="2320" w:type="dxa"/>
          </w:tcPr>
          <w:p>
            <w:pPr>
              <w:pStyle w:val="14"/>
              <w:spacing w:before="17"/>
              <w:ind w:left="611" w:right="605"/>
              <w:rPr>
                <w:sz w:val="21"/>
              </w:rPr>
            </w:pPr>
            <w:r>
              <w:rPr>
                <w:sz w:val="21"/>
              </w:rPr>
              <w:t>总镉</w:t>
            </w:r>
          </w:p>
        </w:tc>
        <w:tc>
          <w:tcPr>
            <w:tcW w:w="2320" w:type="dxa"/>
          </w:tcPr>
          <w:p>
            <w:pPr>
              <w:pStyle w:val="14"/>
              <w:spacing w:before="31"/>
              <w:ind w:left="615" w:right="604"/>
              <w:rPr>
                <w:rFonts w:ascii="Times New Roman"/>
                <w:sz w:val="21"/>
              </w:rPr>
            </w:pPr>
            <w:r>
              <w:rPr>
                <w:rFonts w:ascii="Times New Roman"/>
                <w:sz w:val="21"/>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2367" w:type="dxa"/>
          </w:tcPr>
          <w:p>
            <w:pPr>
              <w:pStyle w:val="14"/>
              <w:spacing w:before="17"/>
              <w:ind w:left="508" w:right="501"/>
              <w:rPr>
                <w:sz w:val="21"/>
              </w:rPr>
            </w:pPr>
            <w:r>
              <w:rPr>
                <w:sz w:val="21"/>
              </w:rPr>
              <w:t>氨氮</w:t>
            </w:r>
          </w:p>
        </w:tc>
        <w:tc>
          <w:tcPr>
            <w:tcW w:w="2337" w:type="dxa"/>
          </w:tcPr>
          <w:p>
            <w:pPr>
              <w:pStyle w:val="14"/>
              <w:spacing w:before="31"/>
              <w:ind w:left="623" w:right="613"/>
              <w:rPr>
                <w:rFonts w:ascii="Times New Roman"/>
                <w:sz w:val="21"/>
              </w:rPr>
            </w:pPr>
            <w:r>
              <w:rPr>
                <w:rFonts w:ascii="Times New Roman"/>
                <w:sz w:val="21"/>
              </w:rPr>
              <w:t>1.0</w:t>
            </w:r>
          </w:p>
        </w:tc>
        <w:tc>
          <w:tcPr>
            <w:tcW w:w="2320" w:type="dxa"/>
          </w:tcPr>
          <w:p>
            <w:pPr>
              <w:pStyle w:val="14"/>
              <w:spacing w:before="17"/>
              <w:ind w:left="611" w:right="605"/>
              <w:rPr>
                <w:sz w:val="21"/>
              </w:rPr>
            </w:pPr>
            <w:r>
              <w:rPr>
                <w:sz w:val="21"/>
              </w:rPr>
              <w:t>总铅</w:t>
            </w:r>
          </w:p>
        </w:tc>
        <w:tc>
          <w:tcPr>
            <w:tcW w:w="2320" w:type="dxa"/>
          </w:tcPr>
          <w:p>
            <w:pPr>
              <w:pStyle w:val="14"/>
              <w:spacing w:before="31"/>
              <w:ind w:left="615" w:right="604"/>
              <w:rPr>
                <w:rFonts w:ascii="Times New Roman"/>
                <w:sz w:val="21"/>
              </w:rPr>
            </w:pPr>
            <w:r>
              <w:rPr>
                <w:rFonts w:ascii="Times New Roman"/>
                <w:sz w:val="21"/>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2367" w:type="dxa"/>
          </w:tcPr>
          <w:p>
            <w:pPr>
              <w:pStyle w:val="14"/>
              <w:spacing w:before="17"/>
              <w:ind w:left="508" w:right="501"/>
              <w:rPr>
                <w:sz w:val="21"/>
              </w:rPr>
            </w:pPr>
            <w:r>
              <w:rPr>
                <w:sz w:val="21"/>
              </w:rPr>
              <w:t>六价铬</w:t>
            </w:r>
          </w:p>
        </w:tc>
        <w:tc>
          <w:tcPr>
            <w:tcW w:w="2337" w:type="dxa"/>
          </w:tcPr>
          <w:p>
            <w:pPr>
              <w:pStyle w:val="14"/>
              <w:spacing w:before="31"/>
              <w:ind w:left="623" w:right="613"/>
              <w:rPr>
                <w:rFonts w:ascii="Times New Roman"/>
                <w:sz w:val="21"/>
              </w:rPr>
            </w:pPr>
            <w:r>
              <w:rPr>
                <w:rFonts w:ascii="Times New Roman"/>
                <w:sz w:val="21"/>
              </w:rPr>
              <w:t>0.05</w:t>
            </w:r>
          </w:p>
        </w:tc>
        <w:tc>
          <w:tcPr>
            <w:tcW w:w="2320" w:type="dxa"/>
          </w:tcPr>
          <w:p>
            <w:pPr>
              <w:pStyle w:val="14"/>
              <w:spacing w:before="17"/>
              <w:ind w:left="611" w:right="605"/>
              <w:rPr>
                <w:sz w:val="21"/>
              </w:rPr>
            </w:pPr>
            <w:r>
              <w:rPr>
                <w:sz w:val="21"/>
              </w:rPr>
              <w:t>总锌</w:t>
            </w:r>
          </w:p>
        </w:tc>
        <w:tc>
          <w:tcPr>
            <w:tcW w:w="2320" w:type="dxa"/>
          </w:tcPr>
          <w:p>
            <w:pPr>
              <w:pStyle w:val="14"/>
              <w:spacing w:before="31"/>
              <w:ind w:left="615" w:right="604"/>
              <w:rPr>
                <w:rFonts w:ascii="Times New Roman"/>
                <w:sz w:val="21"/>
              </w:rPr>
            </w:pPr>
            <w:r>
              <w:rPr>
                <w:rFonts w:ascii="Times New Roman"/>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2367" w:type="dxa"/>
          </w:tcPr>
          <w:p>
            <w:pPr>
              <w:pStyle w:val="14"/>
              <w:spacing w:before="17"/>
              <w:ind w:left="508" w:right="501"/>
              <w:rPr>
                <w:sz w:val="21"/>
              </w:rPr>
            </w:pPr>
            <w:r>
              <w:rPr>
                <w:sz w:val="21"/>
              </w:rPr>
              <w:t>石油类</w:t>
            </w:r>
          </w:p>
        </w:tc>
        <w:tc>
          <w:tcPr>
            <w:tcW w:w="2337" w:type="dxa"/>
          </w:tcPr>
          <w:p>
            <w:pPr>
              <w:pStyle w:val="14"/>
              <w:spacing w:before="31"/>
              <w:ind w:left="623" w:right="613"/>
              <w:rPr>
                <w:rFonts w:ascii="Times New Roman"/>
                <w:sz w:val="21"/>
              </w:rPr>
            </w:pPr>
            <w:r>
              <w:rPr>
                <w:rFonts w:ascii="Times New Roman"/>
                <w:sz w:val="21"/>
              </w:rPr>
              <w:t>0.05</w:t>
            </w:r>
          </w:p>
        </w:tc>
        <w:tc>
          <w:tcPr>
            <w:tcW w:w="2320" w:type="dxa"/>
          </w:tcPr>
          <w:p>
            <w:pPr>
              <w:pStyle w:val="14"/>
              <w:spacing w:before="17"/>
              <w:ind w:left="611" w:right="605"/>
              <w:rPr>
                <w:sz w:val="21"/>
              </w:rPr>
            </w:pPr>
            <w:r>
              <w:rPr>
                <w:sz w:val="21"/>
              </w:rPr>
              <w:t>溶解氧</w:t>
            </w:r>
          </w:p>
        </w:tc>
        <w:tc>
          <w:tcPr>
            <w:tcW w:w="2320" w:type="dxa"/>
          </w:tcPr>
          <w:p>
            <w:pPr>
              <w:pStyle w:val="14"/>
              <w:spacing w:before="17"/>
              <w:ind w:left="613" w:right="605"/>
              <w:rPr>
                <w:rFonts w:ascii="Times New Roman" w:hAnsi="Times New Roman"/>
                <w:sz w:val="21"/>
              </w:rPr>
            </w:pPr>
            <w:r>
              <w:rPr>
                <w:sz w:val="21"/>
              </w:rPr>
              <w:t>≥</w:t>
            </w:r>
            <w:r>
              <w:rPr>
                <w:rFonts w:ascii="Times New Roman" w:hAnsi="Times New Roman"/>
                <w:sz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2367" w:type="dxa"/>
          </w:tcPr>
          <w:p>
            <w:pPr>
              <w:pStyle w:val="14"/>
              <w:spacing w:before="19" w:line="268" w:lineRule="exact"/>
              <w:ind w:left="508" w:right="501"/>
              <w:rPr>
                <w:sz w:val="21"/>
              </w:rPr>
            </w:pPr>
            <w:r>
              <w:rPr>
                <w:sz w:val="21"/>
              </w:rPr>
              <w:t>氟化物</w:t>
            </w:r>
          </w:p>
        </w:tc>
        <w:tc>
          <w:tcPr>
            <w:tcW w:w="2337" w:type="dxa"/>
          </w:tcPr>
          <w:p>
            <w:pPr>
              <w:pStyle w:val="14"/>
              <w:spacing w:before="33"/>
              <w:ind w:left="623" w:right="613"/>
              <w:rPr>
                <w:rFonts w:ascii="Times New Roman"/>
                <w:sz w:val="21"/>
              </w:rPr>
            </w:pPr>
            <w:r>
              <w:rPr>
                <w:rFonts w:ascii="Times New Roman"/>
                <w:sz w:val="21"/>
              </w:rPr>
              <w:t>1.0</w:t>
            </w:r>
          </w:p>
        </w:tc>
        <w:tc>
          <w:tcPr>
            <w:tcW w:w="2320" w:type="dxa"/>
          </w:tcPr>
          <w:p>
            <w:pPr>
              <w:pStyle w:val="14"/>
              <w:jc w:val="left"/>
              <w:rPr>
                <w:rFonts w:ascii="Times New Roman"/>
                <w:sz w:val="22"/>
              </w:rPr>
            </w:pPr>
          </w:p>
        </w:tc>
        <w:tc>
          <w:tcPr>
            <w:tcW w:w="2320" w:type="dxa"/>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2367" w:type="dxa"/>
          </w:tcPr>
          <w:p>
            <w:pPr>
              <w:pStyle w:val="14"/>
              <w:spacing w:before="19" w:line="268" w:lineRule="exact"/>
              <w:ind w:left="508" w:right="501"/>
              <w:rPr>
                <w:sz w:val="21"/>
              </w:rPr>
            </w:pPr>
            <w:r>
              <w:rPr>
                <w:sz w:val="21"/>
              </w:rPr>
              <w:t>总汞</w:t>
            </w:r>
          </w:p>
        </w:tc>
        <w:tc>
          <w:tcPr>
            <w:tcW w:w="2337" w:type="dxa"/>
          </w:tcPr>
          <w:p>
            <w:pPr>
              <w:pStyle w:val="14"/>
              <w:spacing w:before="33"/>
              <w:ind w:left="622" w:right="614"/>
              <w:rPr>
                <w:rFonts w:ascii="Times New Roman"/>
                <w:sz w:val="21"/>
              </w:rPr>
            </w:pPr>
            <w:r>
              <w:rPr>
                <w:rFonts w:ascii="Times New Roman"/>
                <w:sz w:val="21"/>
              </w:rPr>
              <w:t>0.0001</w:t>
            </w:r>
          </w:p>
        </w:tc>
        <w:tc>
          <w:tcPr>
            <w:tcW w:w="2320" w:type="dxa"/>
          </w:tcPr>
          <w:p>
            <w:pPr>
              <w:pStyle w:val="14"/>
              <w:jc w:val="left"/>
              <w:rPr>
                <w:rFonts w:ascii="Times New Roman"/>
                <w:sz w:val="22"/>
              </w:rPr>
            </w:pPr>
          </w:p>
        </w:tc>
        <w:tc>
          <w:tcPr>
            <w:tcW w:w="2320" w:type="dxa"/>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2367" w:type="dxa"/>
          </w:tcPr>
          <w:p>
            <w:pPr>
              <w:pStyle w:val="14"/>
              <w:spacing w:before="19" w:line="268" w:lineRule="exact"/>
              <w:ind w:left="508" w:right="501"/>
              <w:rPr>
                <w:sz w:val="21"/>
              </w:rPr>
            </w:pPr>
            <w:r>
              <w:rPr>
                <w:sz w:val="21"/>
              </w:rPr>
              <w:t>总砷</w:t>
            </w:r>
          </w:p>
        </w:tc>
        <w:tc>
          <w:tcPr>
            <w:tcW w:w="2337" w:type="dxa"/>
          </w:tcPr>
          <w:p>
            <w:pPr>
              <w:pStyle w:val="14"/>
              <w:spacing w:before="32"/>
              <w:ind w:left="623" w:right="613"/>
              <w:rPr>
                <w:rFonts w:ascii="Times New Roman"/>
                <w:sz w:val="21"/>
              </w:rPr>
            </w:pPr>
            <w:r>
              <w:rPr>
                <w:rFonts w:ascii="Times New Roman"/>
                <w:sz w:val="21"/>
              </w:rPr>
              <w:t>0.05</w:t>
            </w:r>
          </w:p>
        </w:tc>
        <w:tc>
          <w:tcPr>
            <w:tcW w:w="2320" w:type="dxa"/>
          </w:tcPr>
          <w:p>
            <w:pPr>
              <w:pStyle w:val="14"/>
              <w:jc w:val="left"/>
              <w:rPr>
                <w:rFonts w:ascii="Times New Roman"/>
                <w:sz w:val="22"/>
              </w:rPr>
            </w:pPr>
          </w:p>
        </w:tc>
        <w:tc>
          <w:tcPr>
            <w:tcW w:w="2320" w:type="dxa"/>
          </w:tcPr>
          <w:p>
            <w:pPr>
              <w:pStyle w:val="14"/>
              <w:jc w:val="left"/>
              <w:rPr>
                <w:rFonts w:ascii="Times New Roman"/>
                <w:sz w:val="22"/>
              </w:rPr>
            </w:pPr>
          </w:p>
        </w:tc>
      </w:tr>
    </w:tbl>
    <w:p>
      <w:pPr>
        <w:spacing w:after="0"/>
        <w:jc w:val="left"/>
        <w:rPr>
          <w:rFonts w:ascii="Times New Roman"/>
          <w:sz w:val="22"/>
        </w:rPr>
        <w:sectPr>
          <w:pgSz w:w="11910" w:h="16840"/>
          <w:pgMar w:top="1520" w:right="780" w:bottom="1320" w:left="1200" w:header="0" w:footer="1058" w:gutter="0"/>
        </w:sectPr>
      </w:pPr>
    </w:p>
    <w:p>
      <w:pPr>
        <w:pStyle w:val="13"/>
        <w:numPr>
          <w:ilvl w:val="3"/>
          <w:numId w:val="61"/>
        </w:numPr>
        <w:tabs>
          <w:tab w:val="left" w:pos="996"/>
        </w:tabs>
        <w:spacing w:before="3" w:after="0" w:line="240" w:lineRule="auto"/>
        <w:ind w:left="996" w:right="0" w:hanging="781"/>
        <w:jc w:val="left"/>
        <w:rPr>
          <w:b/>
          <w:sz w:val="24"/>
        </w:rPr>
      </w:pPr>
      <w:r>
        <w:rPr>
          <w:b/>
          <w:sz w:val="24"/>
        </w:rPr>
        <w:t>评价方法</w:t>
      </w:r>
    </w:p>
    <w:p>
      <w:pPr>
        <w:pStyle w:val="6"/>
        <w:spacing w:before="158"/>
        <w:ind w:left="696"/>
      </w:pPr>
      <w:r>
        <w:t>采用单项污染指数法。模式如下：</w:t>
      </w:r>
    </w:p>
    <w:p>
      <w:pPr>
        <w:pStyle w:val="6"/>
      </w:pPr>
    </w:p>
    <w:p>
      <w:pPr>
        <w:pStyle w:val="6"/>
        <w:spacing w:before="9"/>
        <w:rPr>
          <w:sz w:val="20"/>
        </w:rPr>
      </w:pPr>
    </w:p>
    <w:p>
      <w:pPr>
        <w:pStyle w:val="6"/>
        <w:spacing w:before="1"/>
        <w:ind w:left="696"/>
      </w:pPr>
      <w:r>
        <w:rPr>
          <w:rFonts w:ascii="Times New Roman" w:eastAsia="Times New Roman"/>
        </w:rPr>
        <w:t xml:space="preserve">pH </w:t>
      </w:r>
      <w:r>
        <w:t>的标准指数为：</w:t>
      </w:r>
    </w:p>
    <w:p>
      <w:pPr>
        <w:pStyle w:val="6"/>
        <w:rPr>
          <w:sz w:val="26"/>
        </w:rPr>
      </w:pPr>
      <w:r>
        <w:br w:type="column"/>
      </w:r>
    </w:p>
    <w:p>
      <w:pPr>
        <w:pStyle w:val="6"/>
        <w:rPr>
          <w:sz w:val="26"/>
        </w:rPr>
      </w:pPr>
    </w:p>
    <w:p>
      <w:pPr>
        <w:pStyle w:val="6"/>
        <w:spacing w:before="7"/>
        <w:rPr>
          <w:sz w:val="20"/>
        </w:rPr>
      </w:pPr>
    </w:p>
    <w:p>
      <w:pPr>
        <w:spacing w:before="1"/>
        <w:ind w:left="216" w:right="0" w:firstLine="0"/>
        <w:jc w:val="left"/>
        <w:rPr>
          <w:rFonts w:ascii="Times New Roman"/>
          <w:sz w:val="15"/>
        </w:rPr>
      </w:pPr>
      <w:r>
        <w:rPr>
          <w:rFonts w:ascii="Times New Roman"/>
          <w:position w:val="2"/>
          <w:sz w:val="24"/>
        </w:rPr>
        <w:t>P</w:t>
      </w:r>
      <w:r>
        <w:rPr>
          <w:rFonts w:ascii="Times New Roman"/>
          <w:sz w:val="15"/>
        </w:rPr>
        <w:t>i,j</w:t>
      </w:r>
      <w:r>
        <w:rPr>
          <w:rFonts w:ascii="Times New Roman"/>
          <w:position w:val="2"/>
          <w:sz w:val="24"/>
        </w:rPr>
        <w:t>=c</w:t>
      </w:r>
      <w:r>
        <w:rPr>
          <w:rFonts w:ascii="Times New Roman"/>
          <w:sz w:val="15"/>
        </w:rPr>
        <w:t>i,j</w:t>
      </w:r>
      <w:r>
        <w:rPr>
          <w:rFonts w:ascii="Times New Roman"/>
          <w:position w:val="2"/>
          <w:sz w:val="24"/>
        </w:rPr>
        <w:t>/c</w:t>
      </w:r>
      <w:r>
        <w:rPr>
          <w:rFonts w:ascii="Times New Roman"/>
          <w:sz w:val="15"/>
        </w:rPr>
        <w:t>oi</w:t>
      </w:r>
    </w:p>
    <w:p>
      <w:pPr>
        <w:spacing w:after="0"/>
        <w:jc w:val="left"/>
        <w:rPr>
          <w:rFonts w:ascii="Times New Roman"/>
          <w:sz w:val="15"/>
        </w:rPr>
        <w:sectPr>
          <w:type w:val="continuous"/>
          <w:pgSz w:w="11910" w:h="16840"/>
          <w:pgMar w:top="1580" w:right="780" w:bottom="280" w:left="1200" w:header="720" w:footer="720" w:gutter="0"/>
          <w:cols w:equalWidth="0" w:num="2">
            <w:col w:w="4297" w:space="52"/>
            <w:col w:w="5581"/>
          </w:cols>
        </w:sectPr>
      </w:pPr>
    </w:p>
    <w:p>
      <w:pPr>
        <w:pStyle w:val="6"/>
        <w:spacing w:before="157" w:line="360" w:lineRule="auto"/>
        <w:ind w:left="2973" w:right="3148" w:firstLine="38"/>
        <w:rPr>
          <w:rFonts w:ascii="Times New Roman" w:hAnsi="Times New Roman" w:eastAsia="Times New Roman"/>
        </w:rPr>
      </w:pPr>
      <w:r>
        <w:rPr>
          <w:rFonts w:ascii="Times New Roman" w:hAnsi="Times New Roman" w:eastAsia="Times New Roman"/>
          <w:position w:val="2"/>
        </w:rPr>
        <w:t>P</w:t>
      </w:r>
      <w:r>
        <w:rPr>
          <w:rFonts w:ascii="Times New Roman" w:hAnsi="Times New Roman" w:eastAsia="Times New Roman"/>
          <w:position w:val="2"/>
          <w:vertAlign w:val="subscript"/>
        </w:rPr>
        <w:t>pH,j</w:t>
      </w:r>
      <w:r>
        <w:rPr>
          <w:rFonts w:ascii="Times New Roman" w:hAnsi="Times New Roman" w:eastAsia="Times New Roman"/>
          <w:position w:val="2"/>
          <w:vertAlign w:val="baseline"/>
        </w:rPr>
        <w:t>=(7.0-pH</w:t>
      </w:r>
      <w:r>
        <w:rPr>
          <w:rFonts w:ascii="Times New Roman" w:hAnsi="Times New Roman" w:eastAsia="Times New Roman"/>
          <w:position w:val="2"/>
          <w:vertAlign w:val="subscript"/>
        </w:rPr>
        <w:t>j</w:t>
      </w:r>
      <w:r>
        <w:rPr>
          <w:rFonts w:ascii="Times New Roman" w:hAnsi="Times New Roman" w:eastAsia="Times New Roman"/>
          <w:position w:val="2"/>
          <w:vertAlign w:val="baseline"/>
        </w:rPr>
        <w:t>)/(7.0-PH</w:t>
      </w:r>
      <w:r>
        <w:rPr>
          <w:rFonts w:ascii="Times New Roman" w:hAnsi="Times New Roman" w:eastAsia="Times New Roman"/>
          <w:position w:val="2"/>
          <w:vertAlign w:val="subscript"/>
        </w:rPr>
        <w:t>sd)</w:t>
      </w:r>
      <w:r>
        <w:rPr>
          <w:position w:val="2"/>
          <w:vertAlign w:val="baseline"/>
        </w:rPr>
        <w:t>，</w:t>
      </w:r>
      <w:r>
        <w:rPr>
          <w:rFonts w:ascii="Times New Roman" w:hAnsi="Times New Roman" w:eastAsia="Times New Roman"/>
          <w:position w:val="2"/>
          <w:vertAlign w:val="baseline"/>
        </w:rPr>
        <w:t>pH</w:t>
      </w:r>
      <w:r>
        <w:rPr>
          <w:rFonts w:ascii="Times New Roman" w:hAnsi="Times New Roman" w:eastAsia="Times New Roman"/>
          <w:position w:val="2"/>
          <w:vertAlign w:val="subscript"/>
        </w:rPr>
        <w:t>j</w:t>
      </w:r>
      <w:r>
        <w:rPr>
          <w:rFonts w:ascii="Times New Roman" w:hAnsi="Times New Roman" w:eastAsia="Times New Roman"/>
          <w:position w:val="2"/>
          <w:vertAlign w:val="baseline"/>
        </w:rPr>
        <w:t xml:space="preserve"> ≤7.0</w:t>
      </w:r>
      <w:r>
        <w:rPr>
          <w:position w:val="2"/>
          <w:vertAlign w:val="baseline"/>
        </w:rPr>
        <w:t xml:space="preserve">； </w:t>
      </w:r>
      <w:r>
        <w:rPr>
          <w:rFonts w:ascii="Times New Roman" w:hAnsi="Times New Roman" w:eastAsia="Times New Roman"/>
          <w:position w:val="2"/>
          <w:vertAlign w:val="baseline"/>
        </w:rPr>
        <w:t>P</w:t>
      </w:r>
      <w:r>
        <w:rPr>
          <w:rFonts w:ascii="Times New Roman" w:hAnsi="Times New Roman" w:eastAsia="Times New Roman"/>
          <w:position w:val="2"/>
          <w:vertAlign w:val="subscript"/>
        </w:rPr>
        <w:t>pH,j</w:t>
      </w:r>
      <w:r>
        <w:rPr>
          <w:rFonts w:ascii="Times New Roman" w:hAnsi="Times New Roman" w:eastAsia="Times New Roman"/>
          <w:position w:val="2"/>
          <w:vertAlign w:val="baseline"/>
        </w:rPr>
        <w:t>=( pH</w:t>
      </w:r>
      <w:r>
        <w:rPr>
          <w:rFonts w:ascii="Times New Roman" w:hAnsi="Times New Roman" w:eastAsia="Times New Roman"/>
          <w:position w:val="2"/>
          <w:vertAlign w:val="subscript"/>
        </w:rPr>
        <w:t>j</w:t>
      </w:r>
      <w:r>
        <w:rPr>
          <w:rFonts w:ascii="Times New Roman" w:hAnsi="Times New Roman" w:eastAsia="Times New Roman"/>
          <w:position w:val="2"/>
          <w:vertAlign w:val="baseline"/>
        </w:rPr>
        <w:t>-7.0)/( PH</w:t>
      </w:r>
      <w:r>
        <w:rPr>
          <w:rFonts w:ascii="Times New Roman" w:hAnsi="Times New Roman" w:eastAsia="Times New Roman"/>
          <w:position w:val="2"/>
          <w:vertAlign w:val="subscript"/>
        </w:rPr>
        <w:t>su</w:t>
      </w:r>
      <w:r>
        <w:rPr>
          <w:rFonts w:ascii="Times New Roman" w:hAnsi="Times New Roman" w:eastAsia="Times New Roman"/>
          <w:position w:val="2"/>
          <w:vertAlign w:val="baseline"/>
        </w:rPr>
        <w:t>-7.0</w:t>
      </w:r>
      <w:r>
        <w:rPr>
          <w:rFonts w:ascii="Times New Roman" w:hAnsi="Times New Roman" w:eastAsia="Times New Roman"/>
          <w:position w:val="2"/>
          <w:vertAlign w:val="subscript"/>
        </w:rPr>
        <w:t>)</w:t>
      </w:r>
      <w:r>
        <w:rPr>
          <w:position w:val="2"/>
          <w:vertAlign w:val="baseline"/>
        </w:rPr>
        <w:t>，</w:t>
      </w:r>
      <w:r>
        <w:rPr>
          <w:rFonts w:ascii="Times New Roman" w:hAnsi="Times New Roman" w:eastAsia="Times New Roman"/>
          <w:position w:val="2"/>
          <w:vertAlign w:val="baseline"/>
        </w:rPr>
        <w:t>pH</w:t>
      </w:r>
      <w:r>
        <w:rPr>
          <w:rFonts w:ascii="Times New Roman" w:hAnsi="Times New Roman" w:eastAsia="Times New Roman"/>
          <w:position w:val="2"/>
          <w:vertAlign w:val="subscript"/>
        </w:rPr>
        <w:t>j</w:t>
      </w:r>
      <w:r>
        <w:rPr>
          <w:rFonts w:ascii="Times New Roman" w:hAnsi="Times New Roman" w:eastAsia="Times New Roman"/>
          <w:position w:val="2"/>
          <w:vertAlign w:val="baseline"/>
        </w:rPr>
        <w:t xml:space="preserve"> ≥7.0</w:t>
      </w:r>
    </w:p>
    <w:p>
      <w:pPr>
        <w:pStyle w:val="6"/>
        <w:spacing w:before="2"/>
        <w:ind w:left="696"/>
        <w:jc w:val="both"/>
      </w:pPr>
      <w:r>
        <w:rPr>
          <w:position w:val="2"/>
        </w:rPr>
        <w:t>式中：</w:t>
      </w:r>
      <w:r>
        <w:rPr>
          <w:rFonts w:ascii="Times New Roman" w:eastAsia="Times New Roman"/>
          <w:position w:val="2"/>
        </w:rPr>
        <w:t>P</w:t>
      </w:r>
      <w:r>
        <w:rPr>
          <w:rFonts w:ascii="Times New Roman" w:eastAsia="Times New Roman"/>
          <w:position w:val="2"/>
          <w:vertAlign w:val="subscript"/>
        </w:rPr>
        <w:t>i,j</w:t>
      </w:r>
      <w:r>
        <w:rPr>
          <w:rFonts w:ascii="Times New Roman" w:eastAsia="Times New Roman"/>
          <w:position w:val="2"/>
          <w:vertAlign w:val="baseline"/>
        </w:rPr>
        <w:t>--</w:t>
      </w:r>
      <w:r>
        <w:rPr>
          <w:position w:val="2"/>
          <w:vertAlign w:val="baseline"/>
        </w:rPr>
        <w:t xml:space="preserve">单项水质参数 </w:t>
      </w:r>
      <w:r>
        <w:rPr>
          <w:rFonts w:ascii="Times New Roman" w:eastAsia="Times New Roman"/>
          <w:position w:val="2"/>
          <w:vertAlign w:val="baseline"/>
        </w:rPr>
        <w:t xml:space="preserve">i </w:t>
      </w:r>
      <w:r>
        <w:rPr>
          <w:position w:val="2"/>
          <w:vertAlign w:val="baseline"/>
        </w:rPr>
        <w:t xml:space="preserve">在第 </w:t>
      </w:r>
      <w:r>
        <w:rPr>
          <w:rFonts w:ascii="Times New Roman" w:eastAsia="Times New Roman"/>
          <w:position w:val="2"/>
          <w:vertAlign w:val="baseline"/>
        </w:rPr>
        <w:t xml:space="preserve">j </w:t>
      </w:r>
      <w:r>
        <w:rPr>
          <w:position w:val="2"/>
          <w:vertAlign w:val="baseline"/>
        </w:rPr>
        <w:t>点的标准指数；</w:t>
      </w:r>
    </w:p>
    <w:p>
      <w:pPr>
        <w:pStyle w:val="6"/>
        <w:spacing w:before="154" w:line="360" w:lineRule="auto"/>
        <w:ind w:left="1377" w:right="3153"/>
        <w:jc w:val="both"/>
      </w:pPr>
      <w:r>
        <w:rPr>
          <w:rFonts w:ascii="Times New Roman" w:hAnsi="Times New Roman" w:eastAsia="Times New Roman"/>
          <w:position w:val="2"/>
        </w:rPr>
        <w:t>c</w:t>
      </w:r>
      <w:r>
        <w:rPr>
          <w:rFonts w:ascii="Times New Roman" w:hAnsi="Times New Roman" w:eastAsia="Times New Roman"/>
          <w:position w:val="2"/>
          <w:vertAlign w:val="subscript"/>
        </w:rPr>
        <w:t>i,j</w:t>
      </w:r>
      <w:r>
        <w:rPr>
          <w:rFonts w:ascii="Times New Roman" w:hAnsi="Times New Roman" w:eastAsia="Times New Roman"/>
          <w:position w:val="2"/>
          <w:vertAlign w:val="baseline"/>
        </w:rPr>
        <w:t>--</w:t>
      </w:r>
      <w:r>
        <w:rPr>
          <w:spacing w:val="-9"/>
          <w:position w:val="2"/>
          <w:vertAlign w:val="baseline"/>
        </w:rPr>
        <w:t xml:space="preserve">单项水质参数 </w:t>
      </w:r>
      <w:r>
        <w:rPr>
          <w:rFonts w:ascii="Times New Roman" w:hAnsi="Times New Roman" w:eastAsia="Times New Roman"/>
          <w:position w:val="2"/>
          <w:vertAlign w:val="baseline"/>
        </w:rPr>
        <w:t>i</w:t>
      </w:r>
      <w:r>
        <w:rPr>
          <w:rFonts w:ascii="Times New Roman" w:hAnsi="Times New Roman" w:eastAsia="Times New Roman"/>
          <w:spacing w:val="-2"/>
          <w:position w:val="2"/>
          <w:vertAlign w:val="baseline"/>
        </w:rPr>
        <w:t xml:space="preserve"> </w:t>
      </w:r>
      <w:r>
        <w:rPr>
          <w:spacing w:val="-20"/>
          <w:position w:val="2"/>
          <w:vertAlign w:val="baseline"/>
        </w:rPr>
        <w:t xml:space="preserve">在第 </w:t>
      </w:r>
      <w:r>
        <w:rPr>
          <w:rFonts w:ascii="Times New Roman" w:hAnsi="Times New Roman" w:eastAsia="Times New Roman"/>
          <w:position w:val="2"/>
          <w:vertAlign w:val="baseline"/>
        </w:rPr>
        <w:t xml:space="preserve">j </w:t>
      </w:r>
      <w:r>
        <w:rPr>
          <w:position w:val="2"/>
          <w:vertAlign w:val="baseline"/>
        </w:rPr>
        <w:t>点的实测浓度（</w:t>
      </w:r>
      <w:r>
        <w:rPr>
          <w:rFonts w:ascii="Times New Roman" w:hAnsi="Times New Roman" w:eastAsia="Times New Roman"/>
          <w:position w:val="2"/>
          <w:vertAlign w:val="baseline"/>
        </w:rPr>
        <w:t>mg/L</w:t>
      </w:r>
      <w:r>
        <w:rPr>
          <w:position w:val="2"/>
          <w:vertAlign w:val="baseline"/>
        </w:rPr>
        <w:t xml:space="preserve">）； </w:t>
      </w:r>
      <w:r>
        <w:rPr>
          <w:rFonts w:ascii="Times New Roman" w:hAnsi="Times New Roman" w:eastAsia="Times New Roman"/>
          <w:position w:val="2"/>
          <w:vertAlign w:val="baseline"/>
        </w:rPr>
        <w:t>c</w:t>
      </w:r>
      <w:r>
        <w:rPr>
          <w:rFonts w:ascii="Times New Roman" w:hAnsi="Times New Roman" w:eastAsia="Times New Roman"/>
          <w:position w:val="2"/>
          <w:vertAlign w:val="subscript"/>
        </w:rPr>
        <w:t>Oi</w:t>
      </w:r>
      <w:r>
        <w:rPr>
          <w:rFonts w:ascii="Times New Roman" w:hAnsi="Times New Roman" w:eastAsia="Times New Roman"/>
          <w:position w:val="2"/>
          <w:vertAlign w:val="baseline"/>
        </w:rPr>
        <w:t>--</w:t>
      </w:r>
      <w:r>
        <w:rPr>
          <w:spacing w:val="-9"/>
          <w:position w:val="2"/>
          <w:vertAlign w:val="baseline"/>
        </w:rPr>
        <w:t xml:space="preserve">单项水质参数 </w:t>
      </w:r>
      <w:r>
        <w:rPr>
          <w:rFonts w:ascii="Times New Roman" w:hAnsi="Times New Roman" w:eastAsia="Times New Roman"/>
          <w:position w:val="2"/>
          <w:vertAlign w:val="baseline"/>
        </w:rPr>
        <w:t>i</w:t>
      </w:r>
      <w:r>
        <w:rPr>
          <w:rFonts w:ascii="Times New Roman" w:hAnsi="Times New Roman" w:eastAsia="Times New Roman"/>
          <w:spacing w:val="2"/>
          <w:position w:val="2"/>
          <w:vertAlign w:val="baseline"/>
        </w:rPr>
        <w:t xml:space="preserve"> </w:t>
      </w:r>
      <w:r>
        <w:rPr>
          <w:spacing w:val="-20"/>
          <w:position w:val="2"/>
          <w:vertAlign w:val="baseline"/>
        </w:rPr>
        <w:t xml:space="preserve">在第 </w:t>
      </w:r>
      <w:r>
        <w:rPr>
          <w:rFonts w:ascii="Times New Roman" w:hAnsi="Times New Roman" w:eastAsia="Times New Roman"/>
          <w:position w:val="2"/>
          <w:vertAlign w:val="baseline"/>
        </w:rPr>
        <w:t>j</w:t>
      </w:r>
      <w:r>
        <w:rPr>
          <w:rFonts w:ascii="Times New Roman" w:hAnsi="Times New Roman" w:eastAsia="Times New Roman"/>
          <w:spacing w:val="2"/>
          <w:position w:val="2"/>
          <w:vertAlign w:val="baseline"/>
        </w:rPr>
        <w:t xml:space="preserve"> </w:t>
      </w:r>
      <w:r>
        <w:rPr>
          <w:position w:val="2"/>
          <w:vertAlign w:val="baseline"/>
        </w:rPr>
        <w:t>点的评价标准</w:t>
      </w:r>
      <w:r>
        <w:rPr>
          <w:spacing w:val="-4"/>
          <w:position w:val="2"/>
          <w:vertAlign w:val="baseline"/>
        </w:rPr>
        <w:t>（</w:t>
      </w:r>
      <w:r>
        <w:rPr>
          <w:rFonts w:ascii="Times New Roman" w:hAnsi="Times New Roman" w:eastAsia="Times New Roman"/>
          <w:spacing w:val="-4"/>
          <w:position w:val="2"/>
          <w:vertAlign w:val="baseline"/>
        </w:rPr>
        <w:t>mg/L</w:t>
      </w:r>
      <w:r>
        <w:rPr>
          <w:spacing w:val="-4"/>
          <w:position w:val="2"/>
          <w:vertAlign w:val="baseline"/>
        </w:rPr>
        <w:t xml:space="preserve">）； </w:t>
      </w:r>
      <w:r>
        <w:rPr>
          <w:rFonts w:ascii="Times New Roman" w:hAnsi="Times New Roman" w:eastAsia="Times New Roman"/>
          <w:position w:val="2"/>
          <w:vertAlign w:val="baseline"/>
        </w:rPr>
        <w:t>PH</w:t>
      </w:r>
      <w:r>
        <w:rPr>
          <w:rFonts w:ascii="Times New Roman" w:hAnsi="Times New Roman" w:eastAsia="Times New Roman"/>
          <w:position w:val="2"/>
          <w:vertAlign w:val="subscript"/>
        </w:rPr>
        <w:t>sd</w:t>
      </w:r>
      <w:r>
        <w:rPr>
          <w:rFonts w:ascii="Times New Roman" w:hAnsi="Times New Roman" w:eastAsia="Times New Roman"/>
          <w:position w:val="2"/>
          <w:vertAlign w:val="baseline"/>
        </w:rPr>
        <w:t>—pH</w:t>
      </w:r>
      <w:r>
        <w:rPr>
          <w:rFonts w:ascii="Times New Roman" w:hAnsi="Times New Roman" w:eastAsia="Times New Roman"/>
          <w:spacing w:val="-1"/>
          <w:position w:val="2"/>
          <w:vertAlign w:val="baseline"/>
        </w:rPr>
        <w:t xml:space="preserve"> </w:t>
      </w:r>
      <w:r>
        <w:rPr>
          <w:position w:val="2"/>
          <w:vertAlign w:val="baseline"/>
        </w:rPr>
        <w:t>值标准规定的下限值；</w:t>
      </w:r>
    </w:p>
    <w:p>
      <w:pPr>
        <w:pStyle w:val="6"/>
        <w:spacing w:before="4"/>
        <w:ind w:left="1403"/>
        <w:jc w:val="both"/>
      </w:pPr>
      <w:r>
        <w:rPr>
          <w:rFonts w:ascii="Times New Roman" w:eastAsia="Times New Roman"/>
          <w:position w:val="2"/>
        </w:rPr>
        <w:t>PH</w:t>
      </w:r>
      <w:r>
        <w:rPr>
          <w:rFonts w:ascii="Times New Roman" w:eastAsia="Times New Roman"/>
          <w:position w:val="2"/>
          <w:vertAlign w:val="subscript"/>
        </w:rPr>
        <w:t>su</w:t>
      </w:r>
      <w:r>
        <w:rPr>
          <w:rFonts w:ascii="Times New Roman" w:eastAsia="Times New Roman"/>
          <w:position w:val="2"/>
          <w:vertAlign w:val="baseline"/>
        </w:rPr>
        <w:t xml:space="preserve"> --pH</w:t>
      </w:r>
      <w:r>
        <w:rPr>
          <w:rFonts w:ascii="Times New Roman" w:eastAsia="Times New Roman"/>
          <w:spacing w:val="-1"/>
          <w:position w:val="2"/>
          <w:vertAlign w:val="baseline"/>
        </w:rPr>
        <w:t xml:space="preserve"> </w:t>
      </w:r>
      <w:r>
        <w:rPr>
          <w:position w:val="2"/>
          <w:vertAlign w:val="baseline"/>
        </w:rPr>
        <w:t>值标准规定的上限值；</w:t>
      </w:r>
    </w:p>
    <w:p>
      <w:pPr>
        <w:pStyle w:val="6"/>
        <w:spacing w:before="157" w:line="364" w:lineRule="auto"/>
        <w:ind w:left="215" w:right="578" w:firstLine="480"/>
      </w:pPr>
      <w:r>
        <w:t>水质参数的标准指数</w:t>
      </w:r>
      <w:r>
        <w:rPr>
          <w:rFonts w:ascii="Times New Roman" w:eastAsia="Times New Roman"/>
        </w:rPr>
        <w:t>&gt;1</w:t>
      </w:r>
      <w:r>
        <w:t>，表明该水质参数超过了规定的水质标准，已经不能满足使用要求。</w:t>
      </w:r>
    </w:p>
    <w:p>
      <w:pPr>
        <w:pStyle w:val="5"/>
        <w:numPr>
          <w:ilvl w:val="3"/>
          <w:numId w:val="61"/>
        </w:numPr>
        <w:tabs>
          <w:tab w:val="left" w:pos="996"/>
        </w:tabs>
        <w:spacing w:before="0" w:after="0" w:line="306" w:lineRule="exact"/>
        <w:ind w:left="996" w:right="0" w:hanging="781"/>
        <w:jc w:val="left"/>
      </w:pPr>
      <w:r>
        <w:t>评价结果及分析</w:t>
      </w:r>
    </w:p>
    <w:p>
      <w:pPr>
        <w:pStyle w:val="6"/>
        <w:spacing w:before="161"/>
        <w:ind w:left="696"/>
        <w:jc w:val="both"/>
      </w:pPr>
      <w:r>
        <w:t xml:space="preserve">地表水环境质量现状评价结果见表 </w:t>
      </w:r>
      <w:r>
        <w:rPr>
          <w:rFonts w:ascii="Times New Roman" w:eastAsia="Times New Roman"/>
        </w:rPr>
        <w:t>7.3-4</w:t>
      </w:r>
      <w:r>
        <w:t>。</w:t>
      </w:r>
    </w:p>
    <w:p>
      <w:pPr>
        <w:pStyle w:val="5"/>
        <w:spacing w:before="158" w:after="4"/>
        <w:ind w:left="3062"/>
      </w:pPr>
      <w:r>
        <w:t xml:space="preserve">表 </w:t>
      </w:r>
      <w:r>
        <w:rPr>
          <w:rFonts w:ascii="Times New Roman" w:eastAsia="Times New Roman"/>
        </w:rPr>
        <w:t xml:space="preserve">7.3-4  </w:t>
      </w:r>
      <w:r>
        <w:t>地表水环境质量现状评价结果</w:t>
      </w: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75"/>
        <w:gridCol w:w="1294"/>
        <w:gridCol w:w="1294"/>
        <w:gridCol w:w="1294"/>
        <w:gridCol w:w="1294"/>
        <w:gridCol w:w="1294"/>
        <w:gridCol w:w="12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2" w:hRule="atLeast"/>
        </w:trPr>
        <w:tc>
          <w:tcPr>
            <w:tcW w:w="1575" w:type="dxa"/>
            <w:vMerge w:val="restart"/>
          </w:tcPr>
          <w:p>
            <w:pPr>
              <w:pStyle w:val="14"/>
              <w:spacing w:before="179"/>
              <w:ind w:left="365"/>
              <w:jc w:val="left"/>
              <w:rPr>
                <w:sz w:val="21"/>
              </w:rPr>
            </w:pPr>
            <w:r>
              <w:rPr>
                <w:sz w:val="21"/>
              </w:rPr>
              <w:t>评价参数</w:t>
            </w:r>
          </w:p>
        </w:tc>
        <w:tc>
          <w:tcPr>
            <w:tcW w:w="7769" w:type="dxa"/>
            <w:gridSpan w:val="6"/>
          </w:tcPr>
          <w:p>
            <w:pPr>
              <w:pStyle w:val="14"/>
              <w:spacing w:before="18"/>
              <w:ind w:left="3259" w:right="2831"/>
              <w:rPr>
                <w:sz w:val="21"/>
              </w:rPr>
            </w:pPr>
            <w:r>
              <w:rPr>
                <w:sz w:val="21"/>
              </w:rPr>
              <w:t xml:space="preserve">上游 </w:t>
            </w:r>
            <w:r>
              <w:rPr>
                <w:rFonts w:ascii="Times New Roman" w:eastAsia="Times New Roman"/>
                <w:sz w:val="21"/>
              </w:rPr>
              <w:t xml:space="preserve">500 </w:t>
            </w:r>
            <w:r>
              <w:rPr>
                <w:sz w:val="21"/>
              </w:rPr>
              <w:t>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vMerge w:val="continue"/>
            <w:tcBorders>
              <w:top w:val="nil"/>
            </w:tcBorders>
          </w:tcPr>
          <w:p>
            <w:pPr>
              <w:rPr>
                <w:sz w:val="2"/>
                <w:szCs w:val="2"/>
              </w:rPr>
            </w:pPr>
          </w:p>
        </w:tc>
        <w:tc>
          <w:tcPr>
            <w:tcW w:w="1294" w:type="dxa"/>
          </w:tcPr>
          <w:p>
            <w:pPr>
              <w:pStyle w:val="14"/>
              <w:spacing w:before="18"/>
              <w:ind w:left="310" w:right="302"/>
              <w:rPr>
                <w:sz w:val="21"/>
              </w:rPr>
            </w:pPr>
            <w:r>
              <w:rPr>
                <w:sz w:val="21"/>
              </w:rPr>
              <w:t>实测值</w:t>
            </w:r>
          </w:p>
        </w:tc>
        <w:tc>
          <w:tcPr>
            <w:tcW w:w="1294" w:type="dxa"/>
          </w:tcPr>
          <w:p>
            <w:pPr>
              <w:pStyle w:val="14"/>
              <w:spacing w:before="33"/>
              <w:ind w:left="310" w:right="298"/>
              <w:rPr>
                <w:rFonts w:ascii="Times New Roman" w:eastAsia="Times New Roman"/>
                <w:sz w:val="13"/>
              </w:rPr>
            </w:pPr>
            <w:r>
              <w:rPr>
                <w:rFonts w:ascii="Times New Roman" w:eastAsia="Times New Roman"/>
                <w:spacing w:val="-2"/>
                <w:w w:val="99"/>
                <w:position w:val="3"/>
                <w:sz w:val="21"/>
              </w:rPr>
              <w:t>P</w:t>
            </w:r>
            <w:r>
              <w:rPr>
                <w:rFonts w:ascii="Times New Roman" w:eastAsia="Times New Roman"/>
                <w:w w:val="105"/>
                <w:position w:val="1"/>
                <w:sz w:val="13"/>
              </w:rPr>
              <w:t>i</w:t>
            </w:r>
            <w:r>
              <w:rPr>
                <w:spacing w:val="-1"/>
                <w:w w:val="106"/>
                <w:sz w:val="10"/>
              </w:rPr>
              <w:t>，</w:t>
            </w:r>
            <w:r>
              <w:rPr>
                <w:rFonts w:ascii="Times New Roman" w:eastAsia="Times New Roman"/>
                <w:w w:val="105"/>
                <w:position w:val="1"/>
                <w:sz w:val="13"/>
              </w:rPr>
              <w:t>j</w:t>
            </w:r>
          </w:p>
        </w:tc>
        <w:tc>
          <w:tcPr>
            <w:tcW w:w="1294" w:type="dxa"/>
          </w:tcPr>
          <w:p>
            <w:pPr>
              <w:pStyle w:val="14"/>
              <w:spacing w:before="18"/>
              <w:ind w:left="308" w:right="302"/>
              <w:rPr>
                <w:sz w:val="21"/>
              </w:rPr>
            </w:pPr>
            <w:r>
              <w:rPr>
                <w:sz w:val="21"/>
              </w:rPr>
              <w:t>实测值</w:t>
            </w:r>
          </w:p>
        </w:tc>
        <w:tc>
          <w:tcPr>
            <w:tcW w:w="1294" w:type="dxa"/>
          </w:tcPr>
          <w:p>
            <w:pPr>
              <w:pStyle w:val="14"/>
              <w:spacing w:before="33"/>
              <w:ind w:left="498"/>
              <w:jc w:val="left"/>
              <w:rPr>
                <w:rFonts w:ascii="Times New Roman" w:eastAsia="Times New Roman"/>
                <w:sz w:val="13"/>
              </w:rPr>
            </w:pPr>
            <w:r>
              <w:rPr>
                <w:rFonts w:ascii="Times New Roman" w:eastAsia="Times New Roman"/>
                <w:spacing w:val="-2"/>
                <w:w w:val="99"/>
                <w:position w:val="3"/>
                <w:sz w:val="21"/>
              </w:rPr>
              <w:t>P</w:t>
            </w:r>
            <w:r>
              <w:rPr>
                <w:rFonts w:ascii="Times New Roman" w:eastAsia="Times New Roman"/>
                <w:w w:val="105"/>
                <w:position w:val="1"/>
                <w:sz w:val="13"/>
              </w:rPr>
              <w:t>i</w:t>
            </w:r>
            <w:r>
              <w:rPr>
                <w:spacing w:val="-1"/>
                <w:w w:val="106"/>
                <w:sz w:val="10"/>
              </w:rPr>
              <w:t>，</w:t>
            </w:r>
            <w:r>
              <w:rPr>
                <w:rFonts w:ascii="Times New Roman" w:eastAsia="Times New Roman"/>
                <w:w w:val="105"/>
                <w:position w:val="1"/>
                <w:sz w:val="13"/>
              </w:rPr>
              <w:t>j</w:t>
            </w:r>
          </w:p>
        </w:tc>
        <w:tc>
          <w:tcPr>
            <w:tcW w:w="1294" w:type="dxa"/>
          </w:tcPr>
          <w:p>
            <w:pPr>
              <w:pStyle w:val="14"/>
              <w:spacing w:before="18"/>
              <w:ind w:left="310" w:right="300"/>
              <w:rPr>
                <w:sz w:val="21"/>
              </w:rPr>
            </w:pPr>
            <w:r>
              <w:rPr>
                <w:sz w:val="21"/>
              </w:rPr>
              <w:t>实测值</w:t>
            </w:r>
          </w:p>
        </w:tc>
        <w:tc>
          <w:tcPr>
            <w:tcW w:w="1299" w:type="dxa"/>
          </w:tcPr>
          <w:p>
            <w:pPr>
              <w:pStyle w:val="14"/>
              <w:spacing w:before="33"/>
              <w:ind w:left="314" w:right="301"/>
              <w:rPr>
                <w:rFonts w:ascii="Times New Roman" w:eastAsia="Times New Roman"/>
                <w:sz w:val="13"/>
              </w:rPr>
            </w:pPr>
            <w:r>
              <w:rPr>
                <w:rFonts w:ascii="Times New Roman" w:eastAsia="Times New Roman"/>
                <w:spacing w:val="-2"/>
                <w:w w:val="99"/>
                <w:position w:val="3"/>
                <w:sz w:val="21"/>
              </w:rPr>
              <w:t>P</w:t>
            </w:r>
            <w:r>
              <w:rPr>
                <w:rFonts w:ascii="Times New Roman" w:eastAsia="Times New Roman"/>
                <w:w w:val="105"/>
                <w:position w:val="1"/>
                <w:sz w:val="13"/>
              </w:rPr>
              <w:t>i</w:t>
            </w:r>
            <w:r>
              <w:rPr>
                <w:spacing w:val="-1"/>
                <w:w w:val="106"/>
                <w:sz w:val="10"/>
              </w:rPr>
              <w:t>，</w:t>
            </w:r>
            <w:r>
              <w:rPr>
                <w:rFonts w:ascii="Times New Roman" w:eastAsia="Times New Roman"/>
                <w:w w:val="105"/>
                <w:position w:val="1"/>
                <w:sz w:val="13"/>
              </w:rPr>
              <w:t>j</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20"/>
              <w:ind w:left="105" w:right="98"/>
              <w:rPr>
                <w:sz w:val="21"/>
              </w:rPr>
            </w:pPr>
            <w:r>
              <w:rPr>
                <w:rFonts w:ascii="Times New Roman" w:eastAsia="Times New Roman"/>
                <w:sz w:val="21"/>
              </w:rPr>
              <w:t>pH</w:t>
            </w:r>
            <w:r>
              <w:rPr>
                <w:sz w:val="21"/>
              </w:rPr>
              <w:t>（无量纲）</w:t>
            </w:r>
          </w:p>
        </w:tc>
        <w:tc>
          <w:tcPr>
            <w:tcW w:w="1294" w:type="dxa"/>
          </w:tcPr>
          <w:p>
            <w:pPr>
              <w:pStyle w:val="14"/>
              <w:spacing w:before="36"/>
              <w:ind w:left="310" w:right="301"/>
              <w:rPr>
                <w:rFonts w:ascii="Times New Roman"/>
                <w:sz w:val="21"/>
              </w:rPr>
            </w:pPr>
            <w:bookmarkStart w:id="576" w:name="7.32"/>
            <w:bookmarkEnd w:id="576"/>
            <w:r>
              <w:rPr>
                <w:rFonts w:ascii="Times New Roman"/>
                <w:sz w:val="21"/>
              </w:rPr>
              <w:t>7.32</w:t>
            </w:r>
          </w:p>
        </w:tc>
        <w:tc>
          <w:tcPr>
            <w:tcW w:w="1294" w:type="dxa"/>
          </w:tcPr>
          <w:p>
            <w:pPr>
              <w:pStyle w:val="14"/>
              <w:spacing w:before="36"/>
              <w:ind w:left="310" w:right="299"/>
              <w:rPr>
                <w:rFonts w:ascii="Times New Roman"/>
                <w:sz w:val="21"/>
              </w:rPr>
            </w:pPr>
            <w:bookmarkStart w:id="577" w:name="0.16"/>
            <w:bookmarkEnd w:id="577"/>
            <w:r>
              <w:rPr>
                <w:rFonts w:ascii="Times New Roman"/>
                <w:sz w:val="21"/>
              </w:rPr>
              <w:t>0.16</w:t>
            </w:r>
          </w:p>
        </w:tc>
        <w:tc>
          <w:tcPr>
            <w:tcW w:w="1294" w:type="dxa"/>
          </w:tcPr>
          <w:p>
            <w:pPr>
              <w:pStyle w:val="14"/>
              <w:spacing w:before="36"/>
              <w:ind w:left="310" w:right="300"/>
              <w:rPr>
                <w:rFonts w:ascii="Times New Roman"/>
                <w:sz w:val="21"/>
              </w:rPr>
            </w:pPr>
            <w:bookmarkStart w:id="578" w:name="7.34"/>
            <w:bookmarkEnd w:id="578"/>
            <w:r>
              <w:rPr>
                <w:rFonts w:ascii="Times New Roman"/>
                <w:sz w:val="21"/>
              </w:rPr>
              <w:t>7.34</w:t>
            </w:r>
          </w:p>
        </w:tc>
        <w:tc>
          <w:tcPr>
            <w:tcW w:w="1294" w:type="dxa"/>
          </w:tcPr>
          <w:p>
            <w:pPr>
              <w:pStyle w:val="14"/>
              <w:spacing w:before="34"/>
              <w:ind w:left="462"/>
              <w:jc w:val="left"/>
              <w:rPr>
                <w:rFonts w:ascii="Times New Roman"/>
                <w:sz w:val="21"/>
              </w:rPr>
            </w:pPr>
            <w:r>
              <w:rPr>
                <w:rFonts w:ascii="Times New Roman"/>
                <w:sz w:val="21"/>
              </w:rPr>
              <w:t>0.17</w:t>
            </w:r>
          </w:p>
        </w:tc>
        <w:tc>
          <w:tcPr>
            <w:tcW w:w="1294" w:type="dxa"/>
          </w:tcPr>
          <w:p>
            <w:pPr>
              <w:pStyle w:val="14"/>
              <w:spacing w:before="36"/>
              <w:ind w:left="310" w:right="302"/>
              <w:rPr>
                <w:rFonts w:ascii="Times New Roman"/>
                <w:sz w:val="21"/>
              </w:rPr>
            </w:pPr>
            <w:bookmarkStart w:id="579" w:name="7.35"/>
            <w:bookmarkEnd w:id="579"/>
            <w:r>
              <w:rPr>
                <w:rFonts w:ascii="Times New Roman"/>
                <w:sz w:val="21"/>
              </w:rPr>
              <w:t>7.35</w:t>
            </w:r>
          </w:p>
        </w:tc>
        <w:tc>
          <w:tcPr>
            <w:tcW w:w="1299" w:type="dxa"/>
          </w:tcPr>
          <w:p>
            <w:pPr>
              <w:pStyle w:val="14"/>
              <w:spacing w:before="34"/>
              <w:ind w:left="314" w:right="302"/>
              <w:rPr>
                <w:rFonts w:ascii="Times New Roman"/>
                <w:sz w:val="21"/>
              </w:rPr>
            </w:pPr>
            <w:r>
              <w:rPr>
                <w:rFonts w:ascii="Times New Roman"/>
                <w:sz w:val="21"/>
              </w:rPr>
              <w:t>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575" w:type="dxa"/>
          </w:tcPr>
          <w:p>
            <w:pPr>
              <w:pStyle w:val="14"/>
              <w:spacing w:before="20"/>
              <w:ind w:left="107" w:right="98"/>
              <w:rPr>
                <w:sz w:val="21"/>
              </w:rPr>
            </w:pPr>
            <w:r>
              <w:rPr>
                <w:rFonts w:ascii="Times New Roman" w:eastAsia="Times New Roman"/>
                <w:sz w:val="21"/>
              </w:rPr>
              <w:t>COD</w:t>
            </w:r>
            <w:r>
              <w:rPr>
                <w:sz w:val="21"/>
              </w:rPr>
              <w:t>（</w:t>
            </w:r>
            <w:r>
              <w:rPr>
                <w:rFonts w:ascii="Times New Roman" w:eastAsia="Times New Roman"/>
                <w:sz w:val="21"/>
              </w:rPr>
              <w:t>mg/L</w:t>
            </w:r>
            <w:r>
              <w:rPr>
                <w:sz w:val="21"/>
              </w:rPr>
              <w:t>）</w:t>
            </w:r>
          </w:p>
        </w:tc>
        <w:tc>
          <w:tcPr>
            <w:tcW w:w="1294" w:type="dxa"/>
          </w:tcPr>
          <w:p>
            <w:pPr>
              <w:pStyle w:val="14"/>
              <w:spacing w:before="36"/>
              <w:ind w:left="309" w:right="302"/>
              <w:rPr>
                <w:rFonts w:ascii="Times New Roman"/>
                <w:sz w:val="21"/>
              </w:rPr>
            </w:pPr>
            <w:bookmarkStart w:id="580" w:name="46"/>
            <w:bookmarkEnd w:id="580"/>
            <w:r>
              <w:rPr>
                <w:rFonts w:ascii="Times New Roman"/>
                <w:sz w:val="21"/>
              </w:rPr>
              <w:t>46</w:t>
            </w:r>
          </w:p>
        </w:tc>
        <w:tc>
          <w:tcPr>
            <w:tcW w:w="1294" w:type="dxa"/>
          </w:tcPr>
          <w:p>
            <w:pPr>
              <w:pStyle w:val="14"/>
              <w:spacing w:before="36"/>
              <w:ind w:left="310" w:right="299"/>
              <w:rPr>
                <w:rFonts w:ascii="Times New Roman"/>
                <w:sz w:val="21"/>
              </w:rPr>
            </w:pPr>
            <w:bookmarkStart w:id="581" w:name="2.09"/>
            <w:bookmarkEnd w:id="581"/>
            <w:r>
              <w:rPr>
                <w:rFonts w:ascii="Times New Roman"/>
                <w:sz w:val="21"/>
              </w:rPr>
              <w:t>2.09</w:t>
            </w:r>
          </w:p>
        </w:tc>
        <w:tc>
          <w:tcPr>
            <w:tcW w:w="1294" w:type="dxa"/>
          </w:tcPr>
          <w:p>
            <w:pPr>
              <w:pStyle w:val="14"/>
              <w:spacing w:before="36"/>
              <w:ind w:left="310" w:right="300"/>
              <w:rPr>
                <w:rFonts w:ascii="Times New Roman"/>
                <w:sz w:val="21"/>
              </w:rPr>
            </w:pPr>
            <w:bookmarkStart w:id="582" w:name="48"/>
            <w:bookmarkEnd w:id="582"/>
            <w:r>
              <w:rPr>
                <w:rFonts w:ascii="Times New Roman"/>
                <w:sz w:val="21"/>
              </w:rPr>
              <w:t>48</w:t>
            </w:r>
          </w:p>
        </w:tc>
        <w:tc>
          <w:tcPr>
            <w:tcW w:w="1294" w:type="dxa"/>
          </w:tcPr>
          <w:p>
            <w:pPr>
              <w:pStyle w:val="14"/>
              <w:spacing w:before="33"/>
              <w:ind w:left="462"/>
              <w:jc w:val="left"/>
              <w:rPr>
                <w:rFonts w:ascii="Times New Roman"/>
                <w:sz w:val="21"/>
              </w:rPr>
            </w:pPr>
            <w:r>
              <w:rPr>
                <w:rFonts w:ascii="Times New Roman"/>
                <w:sz w:val="21"/>
              </w:rPr>
              <w:t>2.40</w:t>
            </w:r>
          </w:p>
        </w:tc>
        <w:tc>
          <w:tcPr>
            <w:tcW w:w="1294" w:type="dxa"/>
          </w:tcPr>
          <w:p>
            <w:pPr>
              <w:pStyle w:val="14"/>
              <w:spacing w:before="36"/>
              <w:ind w:left="310" w:right="302"/>
              <w:rPr>
                <w:rFonts w:ascii="Times New Roman"/>
                <w:sz w:val="21"/>
              </w:rPr>
            </w:pPr>
            <w:bookmarkStart w:id="583" w:name="45"/>
            <w:bookmarkEnd w:id="583"/>
            <w:r>
              <w:rPr>
                <w:rFonts w:ascii="Times New Roman"/>
                <w:sz w:val="21"/>
              </w:rPr>
              <w:t>45</w:t>
            </w:r>
          </w:p>
        </w:tc>
        <w:tc>
          <w:tcPr>
            <w:tcW w:w="1299" w:type="dxa"/>
          </w:tcPr>
          <w:p>
            <w:pPr>
              <w:pStyle w:val="14"/>
              <w:spacing w:before="33"/>
              <w:ind w:left="314" w:right="302"/>
              <w:rPr>
                <w:rFonts w:ascii="Times New Roman"/>
                <w:sz w:val="21"/>
              </w:rPr>
            </w:pPr>
            <w:r>
              <w:rPr>
                <w:rFonts w:ascii="Times New Roman"/>
                <w:sz w:val="21"/>
              </w:rPr>
              <w:t>2.25</w:t>
            </w:r>
          </w:p>
        </w:tc>
      </w:tr>
    </w:tbl>
    <w:p>
      <w:pPr>
        <w:spacing w:after="0"/>
        <w:rPr>
          <w:rFonts w:ascii="Times New Roman"/>
          <w:sz w:val="21"/>
        </w:rPr>
        <w:sectPr>
          <w:type w:val="continuous"/>
          <w:pgSz w:w="11910" w:h="16840"/>
          <w:pgMar w:top="1580" w:right="780" w:bottom="280" w:left="1200" w:header="720" w:footer="720" w:gutter="0"/>
        </w:sectPr>
      </w:pP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75"/>
        <w:gridCol w:w="1294"/>
        <w:gridCol w:w="1294"/>
        <w:gridCol w:w="1294"/>
        <w:gridCol w:w="1294"/>
        <w:gridCol w:w="1294"/>
        <w:gridCol w:w="12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575" w:type="dxa"/>
          </w:tcPr>
          <w:p>
            <w:pPr>
              <w:pStyle w:val="14"/>
              <w:spacing w:before="20"/>
              <w:ind w:left="106" w:right="-15"/>
              <w:jc w:val="left"/>
              <w:rPr>
                <w:sz w:val="21"/>
              </w:rPr>
            </w:pPr>
            <w:r>
              <w:rPr>
                <w:spacing w:val="-13"/>
                <w:sz w:val="21"/>
              </w:rPr>
              <w:t>石油类</w:t>
            </w:r>
            <w:r>
              <w:rPr>
                <w:sz w:val="21"/>
              </w:rPr>
              <w:t>（</w:t>
            </w:r>
            <w:r>
              <w:rPr>
                <w:rFonts w:ascii="Times New Roman" w:eastAsia="Times New Roman"/>
                <w:sz w:val="21"/>
              </w:rPr>
              <w:t>mg/L</w:t>
            </w:r>
            <w:r>
              <w:rPr>
                <w:sz w:val="21"/>
              </w:rPr>
              <w:t>）</w:t>
            </w:r>
          </w:p>
        </w:tc>
        <w:tc>
          <w:tcPr>
            <w:tcW w:w="1294" w:type="dxa"/>
          </w:tcPr>
          <w:p>
            <w:pPr>
              <w:pStyle w:val="14"/>
              <w:spacing w:before="38"/>
              <w:ind w:left="310" w:right="299"/>
              <w:rPr>
                <w:rFonts w:ascii="Times New Roman"/>
                <w:sz w:val="21"/>
              </w:rPr>
            </w:pPr>
            <w:bookmarkStart w:id="584" w:name="0.01L"/>
            <w:bookmarkEnd w:id="584"/>
            <w:r>
              <w:rPr>
                <w:rFonts w:ascii="Times New Roman"/>
                <w:sz w:val="21"/>
              </w:rPr>
              <w:t>0.01L</w:t>
            </w:r>
          </w:p>
        </w:tc>
        <w:tc>
          <w:tcPr>
            <w:tcW w:w="1294" w:type="dxa"/>
          </w:tcPr>
          <w:p>
            <w:pPr>
              <w:pStyle w:val="14"/>
              <w:spacing w:before="20"/>
              <w:ind w:left="309" w:right="302"/>
              <w:rPr>
                <w:sz w:val="21"/>
              </w:rPr>
            </w:pPr>
            <w:r>
              <w:rPr>
                <w:sz w:val="21"/>
              </w:rPr>
              <w:t>未检出</w:t>
            </w:r>
          </w:p>
        </w:tc>
        <w:tc>
          <w:tcPr>
            <w:tcW w:w="1294" w:type="dxa"/>
          </w:tcPr>
          <w:p>
            <w:pPr>
              <w:pStyle w:val="14"/>
              <w:spacing w:before="38"/>
              <w:ind w:left="310" w:right="301"/>
              <w:rPr>
                <w:rFonts w:ascii="Times New Roman"/>
                <w:sz w:val="21"/>
              </w:rPr>
            </w:pPr>
            <w:bookmarkStart w:id="585" w:name="0.01L"/>
            <w:bookmarkEnd w:id="585"/>
            <w:r>
              <w:rPr>
                <w:rFonts w:ascii="Times New Roman"/>
                <w:sz w:val="21"/>
              </w:rPr>
              <w:t>0.01L</w:t>
            </w:r>
          </w:p>
        </w:tc>
        <w:tc>
          <w:tcPr>
            <w:tcW w:w="1294" w:type="dxa"/>
          </w:tcPr>
          <w:p>
            <w:pPr>
              <w:pStyle w:val="14"/>
              <w:spacing w:before="20"/>
              <w:ind w:left="308" w:right="302"/>
              <w:rPr>
                <w:sz w:val="21"/>
              </w:rPr>
            </w:pPr>
            <w:r>
              <w:rPr>
                <w:sz w:val="21"/>
              </w:rPr>
              <w:t>未检出</w:t>
            </w:r>
          </w:p>
        </w:tc>
        <w:tc>
          <w:tcPr>
            <w:tcW w:w="1294" w:type="dxa"/>
          </w:tcPr>
          <w:p>
            <w:pPr>
              <w:pStyle w:val="14"/>
              <w:spacing w:before="38"/>
              <w:ind w:left="310" w:right="300"/>
              <w:rPr>
                <w:rFonts w:ascii="Times New Roman"/>
                <w:sz w:val="21"/>
              </w:rPr>
            </w:pPr>
            <w:bookmarkStart w:id="586" w:name="0.01L"/>
            <w:bookmarkEnd w:id="586"/>
            <w:r>
              <w:rPr>
                <w:rFonts w:ascii="Times New Roman"/>
                <w:sz w:val="21"/>
              </w:rPr>
              <w:t>0.01L</w:t>
            </w:r>
          </w:p>
        </w:tc>
        <w:tc>
          <w:tcPr>
            <w:tcW w:w="1299" w:type="dxa"/>
          </w:tcPr>
          <w:p>
            <w:pPr>
              <w:pStyle w:val="14"/>
              <w:spacing w:before="20"/>
              <w:ind w:left="314" w:right="305"/>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19"/>
              <w:ind w:left="140"/>
              <w:jc w:val="left"/>
              <w:rPr>
                <w:sz w:val="21"/>
              </w:rPr>
            </w:pPr>
            <w:r>
              <w:rPr>
                <w:sz w:val="21"/>
              </w:rPr>
              <w:t>总铁（</w:t>
            </w:r>
            <w:r>
              <w:rPr>
                <w:rFonts w:ascii="Times New Roman" w:eastAsia="Times New Roman"/>
                <w:sz w:val="21"/>
              </w:rPr>
              <w:t>mg/L</w:t>
            </w:r>
            <w:r>
              <w:rPr>
                <w:sz w:val="21"/>
              </w:rPr>
              <w:t>）</w:t>
            </w:r>
          </w:p>
        </w:tc>
        <w:tc>
          <w:tcPr>
            <w:tcW w:w="1294" w:type="dxa"/>
          </w:tcPr>
          <w:p>
            <w:pPr>
              <w:pStyle w:val="14"/>
              <w:spacing w:before="38"/>
              <w:ind w:left="310" w:right="301"/>
              <w:rPr>
                <w:rFonts w:ascii="Times New Roman"/>
                <w:sz w:val="21"/>
              </w:rPr>
            </w:pPr>
            <w:bookmarkStart w:id="587" w:name="0.39"/>
            <w:bookmarkEnd w:id="587"/>
            <w:r>
              <w:rPr>
                <w:rFonts w:ascii="Times New Roman"/>
                <w:sz w:val="21"/>
              </w:rPr>
              <w:t>0.39</w:t>
            </w:r>
          </w:p>
        </w:tc>
        <w:tc>
          <w:tcPr>
            <w:tcW w:w="1294" w:type="dxa"/>
          </w:tcPr>
          <w:p>
            <w:pPr>
              <w:pStyle w:val="14"/>
              <w:spacing w:before="36"/>
              <w:ind w:left="310" w:right="299"/>
              <w:rPr>
                <w:rFonts w:ascii="Times New Roman"/>
                <w:sz w:val="21"/>
              </w:rPr>
            </w:pPr>
            <w:r>
              <w:rPr>
                <w:rFonts w:ascii="Times New Roman"/>
                <w:sz w:val="21"/>
              </w:rPr>
              <w:t>1.30</w:t>
            </w:r>
          </w:p>
        </w:tc>
        <w:tc>
          <w:tcPr>
            <w:tcW w:w="1294" w:type="dxa"/>
          </w:tcPr>
          <w:p>
            <w:pPr>
              <w:pStyle w:val="14"/>
              <w:spacing w:before="38"/>
              <w:ind w:left="310" w:right="300"/>
              <w:rPr>
                <w:rFonts w:ascii="Times New Roman"/>
                <w:sz w:val="21"/>
              </w:rPr>
            </w:pPr>
            <w:bookmarkStart w:id="588" w:name="0.39"/>
            <w:bookmarkEnd w:id="588"/>
            <w:r>
              <w:rPr>
                <w:rFonts w:ascii="Times New Roman"/>
                <w:sz w:val="21"/>
              </w:rPr>
              <w:t>0.39</w:t>
            </w:r>
          </w:p>
        </w:tc>
        <w:tc>
          <w:tcPr>
            <w:tcW w:w="1294" w:type="dxa"/>
          </w:tcPr>
          <w:p>
            <w:pPr>
              <w:pStyle w:val="14"/>
              <w:spacing w:before="36"/>
              <w:ind w:left="310" w:right="301"/>
              <w:rPr>
                <w:rFonts w:ascii="Times New Roman"/>
                <w:sz w:val="21"/>
              </w:rPr>
            </w:pPr>
            <w:r>
              <w:rPr>
                <w:rFonts w:ascii="Times New Roman"/>
                <w:sz w:val="21"/>
              </w:rPr>
              <w:t>1.30</w:t>
            </w:r>
          </w:p>
        </w:tc>
        <w:tc>
          <w:tcPr>
            <w:tcW w:w="1294" w:type="dxa"/>
          </w:tcPr>
          <w:p>
            <w:pPr>
              <w:pStyle w:val="14"/>
              <w:spacing w:before="38"/>
              <w:ind w:left="310" w:right="302"/>
              <w:rPr>
                <w:rFonts w:ascii="Times New Roman"/>
                <w:sz w:val="21"/>
              </w:rPr>
            </w:pPr>
            <w:bookmarkStart w:id="589" w:name="0.40"/>
            <w:bookmarkEnd w:id="589"/>
            <w:r>
              <w:rPr>
                <w:rFonts w:ascii="Times New Roman"/>
                <w:sz w:val="21"/>
              </w:rPr>
              <w:t>0.40</w:t>
            </w:r>
          </w:p>
        </w:tc>
        <w:tc>
          <w:tcPr>
            <w:tcW w:w="1299" w:type="dxa"/>
          </w:tcPr>
          <w:p>
            <w:pPr>
              <w:pStyle w:val="14"/>
              <w:spacing w:before="36"/>
              <w:ind w:left="314" w:right="302"/>
              <w:rPr>
                <w:rFonts w:ascii="Times New Roman"/>
                <w:sz w:val="21"/>
              </w:rPr>
            </w:pPr>
            <w:r>
              <w:rPr>
                <w:rFonts w:ascii="Times New Roman"/>
                <w:sz w:val="21"/>
              </w:rPr>
              <w:t>1.33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19"/>
              <w:ind w:left="140"/>
              <w:jc w:val="left"/>
              <w:rPr>
                <w:sz w:val="21"/>
              </w:rPr>
            </w:pPr>
            <w:r>
              <w:rPr>
                <w:sz w:val="21"/>
              </w:rPr>
              <w:t>总锰（</w:t>
            </w:r>
            <w:r>
              <w:rPr>
                <w:rFonts w:ascii="Times New Roman" w:eastAsia="Times New Roman"/>
                <w:sz w:val="21"/>
              </w:rPr>
              <w:t>mg/L</w:t>
            </w:r>
            <w:r>
              <w:rPr>
                <w:sz w:val="21"/>
              </w:rPr>
              <w:t>）</w:t>
            </w:r>
          </w:p>
        </w:tc>
        <w:tc>
          <w:tcPr>
            <w:tcW w:w="1294" w:type="dxa"/>
          </w:tcPr>
          <w:p>
            <w:pPr>
              <w:pStyle w:val="14"/>
              <w:spacing w:before="38"/>
              <w:ind w:left="310" w:right="301"/>
              <w:rPr>
                <w:rFonts w:ascii="Times New Roman"/>
                <w:sz w:val="21"/>
              </w:rPr>
            </w:pPr>
            <w:bookmarkStart w:id="590" w:name="0.01"/>
            <w:bookmarkEnd w:id="590"/>
            <w:r>
              <w:rPr>
                <w:rFonts w:ascii="Times New Roman"/>
                <w:sz w:val="21"/>
              </w:rPr>
              <w:t>0.01</w:t>
            </w:r>
          </w:p>
        </w:tc>
        <w:tc>
          <w:tcPr>
            <w:tcW w:w="1294" w:type="dxa"/>
          </w:tcPr>
          <w:p>
            <w:pPr>
              <w:pStyle w:val="14"/>
              <w:spacing w:before="35"/>
              <w:ind w:left="310" w:right="299"/>
              <w:rPr>
                <w:rFonts w:ascii="Times New Roman"/>
                <w:sz w:val="21"/>
              </w:rPr>
            </w:pPr>
            <w:r>
              <w:rPr>
                <w:rFonts w:ascii="Times New Roman"/>
                <w:sz w:val="21"/>
              </w:rPr>
              <w:t>0.10</w:t>
            </w:r>
          </w:p>
        </w:tc>
        <w:tc>
          <w:tcPr>
            <w:tcW w:w="1294" w:type="dxa"/>
          </w:tcPr>
          <w:p>
            <w:pPr>
              <w:pStyle w:val="14"/>
              <w:spacing w:before="38"/>
              <w:ind w:left="310" w:right="300"/>
              <w:rPr>
                <w:rFonts w:ascii="Times New Roman"/>
                <w:sz w:val="21"/>
              </w:rPr>
            </w:pPr>
            <w:bookmarkStart w:id="591" w:name="0.01"/>
            <w:bookmarkEnd w:id="591"/>
            <w:r>
              <w:rPr>
                <w:rFonts w:ascii="Times New Roman"/>
                <w:sz w:val="21"/>
              </w:rPr>
              <w:t>0.01</w:t>
            </w:r>
          </w:p>
        </w:tc>
        <w:tc>
          <w:tcPr>
            <w:tcW w:w="1294" w:type="dxa"/>
          </w:tcPr>
          <w:p>
            <w:pPr>
              <w:pStyle w:val="14"/>
              <w:spacing w:before="35"/>
              <w:ind w:left="310" w:right="301"/>
              <w:rPr>
                <w:rFonts w:ascii="Times New Roman"/>
                <w:sz w:val="21"/>
              </w:rPr>
            </w:pPr>
            <w:r>
              <w:rPr>
                <w:rFonts w:ascii="Times New Roman"/>
                <w:sz w:val="21"/>
              </w:rPr>
              <w:t>0.10</w:t>
            </w:r>
          </w:p>
        </w:tc>
        <w:tc>
          <w:tcPr>
            <w:tcW w:w="1294" w:type="dxa"/>
          </w:tcPr>
          <w:p>
            <w:pPr>
              <w:pStyle w:val="14"/>
              <w:spacing w:before="38"/>
              <w:ind w:left="310" w:right="302"/>
              <w:rPr>
                <w:rFonts w:ascii="Times New Roman"/>
                <w:sz w:val="21"/>
              </w:rPr>
            </w:pPr>
            <w:bookmarkStart w:id="592" w:name="0.01"/>
            <w:bookmarkEnd w:id="592"/>
            <w:r>
              <w:rPr>
                <w:rFonts w:ascii="Times New Roman"/>
                <w:sz w:val="21"/>
              </w:rPr>
              <w:t>0.01</w:t>
            </w:r>
          </w:p>
        </w:tc>
        <w:tc>
          <w:tcPr>
            <w:tcW w:w="1299" w:type="dxa"/>
          </w:tcPr>
          <w:p>
            <w:pPr>
              <w:pStyle w:val="14"/>
              <w:spacing w:before="35"/>
              <w:ind w:left="314" w:right="302"/>
              <w:rPr>
                <w:rFonts w:ascii="Times New Roman"/>
                <w:sz w:val="21"/>
              </w:rPr>
            </w:pPr>
            <w:r>
              <w:rPr>
                <w:rFonts w:ascii="Times New Roman"/>
                <w:sz w:val="21"/>
              </w:rPr>
              <w: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21"/>
              <w:ind w:left="166"/>
              <w:jc w:val="left"/>
              <w:rPr>
                <w:sz w:val="21"/>
              </w:rPr>
            </w:pPr>
            <w:r>
              <w:rPr>
                <w:sz w:val="21"/>
              </w:rPr>
              <w:t>总汞（</w:t>
            </w:r>
            <w:r>
              <w:rPr>
                <w:rFonts w:ascii="Times New Roman" w:hAnsi="Times New Roman" w:eastAsia="Times New Roman"/>
                <w:sz w:val="21"/>
              </w:rPr>
              <w:t>μg/L</w:t>
            </w:r>
            <w:r>
              <w:rPr>
                <w:sz w:val="21"/>
              </w:rPr>
              <w:t>）</w:t>
            </w:r>
          </w:p>
        </w:tc>
        <w:tc>
          <w:tcPr>
            <w:tcW w:w="1294" w:type="dxa"/>
          </w:tcPr>
          <w:p>
            <w:pPr>
              <w:pStyle w:val="14"/>
              <w:spacing w:before="37"/>
              <w:ind w:left="310" w:right="299"/>
              <w:rPr>
                <w:rFonts w:ascii="Times New Roman"/>
                <w:sz w:val="21"/>
              </w:rPr>
            </w:pPr>
            <w:bookmarkStart w:id="593" w:name="0.04L"/>
            <w:bookmarkEnd w:id="593"/>
            <w:r>
              <w:rPr>
                <w:rFonts w:ascii="Times New Roman"/>
                <w:sz w:val="21"/>
              </w:rPr>
              <w:t>0.04L</w:t>
            </w:r>
          </w:p>
        </w:tc>
        <w:tc>
          <w:tcPr>
            <w:tcW w:w="1294" w:type="dxa"/>
          </w:tcPr>
          <w:p>
            <w:pPr>
              <w:pStyle w:val="14"/>
              <w:spacing w:before="21"/>
              <w:ind w:left="309" w:right="302"/>
              <w:rPr>
                <w:sz w:val="21"/>
              </w:rPr>
            </w:pPr>
            <w:r>
              <w:rPr>
                <w:sz w:val="21"/>
              </w:rPr>
              <w:t>未检出</w:t>
            </w:r>
          </w:p>
        </w:tc>
        <w:tc>
          <w:tcPr>
            <w:tcW w:w="1294" w:type="dxa"/>
          </w:tcPr>
          <w:p>
            <w:pPr>
              <w:pStyle w:val="14"/>
              <w:spacing w:before="37"/>
              <w:ind w:left="310" w:right="301"/>
              <w:rPr>
                <w:rFonts w:ascii="Times New Roman"/>
                <w:sz w:val="21"/>
              </w:rPr>
            </w:pPr>
            <w:bookmarkStart w:id="594" w:name="0.04L"/>
            <w:bookmarkEnd w:id="594"/>
            <w:r>
              <w:rPr>
                <w:rFonts w:ascii="Times New Roman"/>
                <w:sz w:val="21"/>
              </w:rPr>
              <w:t>0.04L</w:t>
            </w:r>
          </w:p>
        </w:tc>
        <w:tc>
          <w:tcPr>
            <w:tcW w:w="1294" w:type="dxa"/>
          </w:tcPr>
          <w:p>
            <w:pPr>
              <w:pStyle w:val="14"/>
              <w:spacing w:before="21"/>
              <w:ind w:left="308" w:right="302"/>
              <w:rPr>
                <w:sz w:val="21"/>
              </w:rPr>
            </w:pPr>
            <w:r>
              <w:rPr>
                <w:sz w:val="21"/>
              </w:rPr>
              <w:t>未检出</w:t>
            </w:r>
          </w:p>
        </w:tc>
        <w:tc>
          <w:tcPr>
            <w:tcW w:w="1294" w:type="dxa"/>
          </w:tcPr>
          <w:p>
            <w:pPr>
              <w:pStyle w:val="14"/>
              <w:spacing w:before="37"/>
              <w:ind w:left="310" w:right="300"/>
              <w:rPr>
                <w:rFonts w:ascii="Times New Roman"/>
                <w:sz w:val="21"/>
              </w:rPr>
            </w:pPr>
            <w:bookmarkStart w:id="595" w:name="0.04L"/>
            <w:bookmarkEnd w:id="595"/>
            <w:r>
              <w:rPr>
                <w:rFonts w:ascii="Times New Roman"/>
                <w:sz w:val="21"/>
              </w:rPr>
              <w:t>0.04L</w:t>
            </w:r>
          </w:p>
        </w:tc>
        <w:tc>
          <w:tcPr>
            <w:tcW w:w="1299" w:type="dxa"/>
          </w:tcPr>
          <w:p>
            <w:pPr>
              <w:pStyle w:val="14"/>
              <w:spacing w:before="21"/>
              <w:ind w:left="314" w:right="305"/>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21"/>
              <w:ind w:left="166"/>
              <w:jc w:val="left"/>
              <w:rPr>
                <w:sz w:val="21"/>
              </w:rPr>
            </w:pPr>
            <w:r>
              <w:rPr>
                <w:sz w:val="21"/>
              </w:rPr>
              <w:t>总镉（</w:t>
            </w:r>
            <w:r>
              <w:rPr>
                <w:rFonts w:ascii="Times New Roman" w:hAnsi="Times New Roman" w:eastAsia="Times New Roman"/>
                <w:sz w:val="21"/>
              </w:rPr>
              <w:t>μg/L</w:t>
            </w:r>
            <w:r>
              <w:rPr>
                <w:sz w:val="21"/>
              </w:rPr>
              <w:t>）</w:t>
            </w:r>
          </w:p>
        </w:tc>
        <w:tc>
          <w:tcPr>
            <w:tcW w:w="1294" w:type="dxa"/>
          </w:tcPr>
          <w:p>
            <w:pPr>
              <w:pStyle w:val="14"/>
              <w:spacing w:before="37"/>
              <w:ind w:left="310" w:right="299"/>
              <w:rPr>
                <w:rFonts w:ascii="Times New Roman"/>
                <w:sz w:val="21"/>
              </w:rPr>
            </w:pPr>
            <w:bookmarkStart w:id="596" w:name="0.1L"/>
            <w:bookmarkEnd w:id="596"/>
            <w:r>
              <w:rPr>
                <w:rFonts w:ascii="Times New Roman"/>
                <w:sz w:val="21"/>
              </w:rPr>
              <w:t>0.1L</w:t>
            </w:r>
          </w:p>
        </w:tc>
        <w:tc>
          <w:tcPr>
            <w:tcW w:w="1294" w:type="dxa"/>
          </w:tcPr>
          <w:p>
            <w:pPr>
              <w:pStyle w:val="14"/>
              <w:spacing w:before="21"/>
              <w:ind w:left="309" w:right="302"/>
              <w:rPr>
                <w:sz w:val="21"/>
              </w:rPr>
            </w:pPr>
            <w:r>
              <w:rPr>
                <w:sz w:val="21"/>
              </w:rPr>
              <w:t>未检出</w:t>
            </w:r>
          </w:p>
        </w:tc>
        <w:tc>
          <w:tcPr>
            <w:tcW w:w="1294" w:type="dxa"/>
          </w:tcPr>
          <w:p>
            <w:pPr>
              <w:pStyle w:val="14"/>
              <w:spacing w:before="37"/>
              <w:ind w:left="310" w:right="301"/>
              <w:rPr>
                <w:rFonts w:ascii="Times New Roman"/>
                <w:sz w:val="21"/>
              </w:rPr>
            </w:pPr>
            <w:bookmarkStart w:id="597" w:name="0.1L"/>
            <w:bookmarkEnd w:id="597"/>
            <w:r>
              <w:rPr>
                <w:rFonts w:ascii="Times New Roman"/>
                <w:sz w:val="21"/>
              </w:rPr>
              <w:t>0.1L</w:t>
            </w:r>
          </w:p>
        </w:tc>
        <w:tc>
          <w:tcPr>
            <w:tcW w:w="1294" w:type="dxa"/>
          </w:tcPr>
          <w:p>
            <w:pPr>
              <w:pStyle w:val="14"/>
              <w:spacing w:before="21"/>
              <w:ind w:left="308" w:right="302"/>
              <w:rPr>
                <w:sz w:val="21"/>
              </w:rPr>
            </w:pPr>
            <w:r>
              <w:rPr>
                <w:sz w:val="21"/>
              </w:rPr>
              <w:t>未检出</w:t>
            </w:r>
          </w:p>
        </w:tc>
        <w:tc>
          <w:tcPr>
            <w:tcW w:w="1294" w:type="dxa"/>
          </w:tcPr>
          <w:p>
            <w:pPr>
              <w:pStyle w:val="14"/>
              <w:spacing w:before="37"/>
              <w:ind w:left="310" w:right="298"/>
              <w:rPr>
                <w:rFonts w:ascii="Times New Roman"/>
                <w:sz w:val="21"/>
              </w:rPr>
            </w:pPr>
            <w:bookmarkStart w:id="598" w:name="0.1L"/>
            <w:bookmarkEnd w:id="598"/>
            <w:r>
              <w:rPr>
                <w:rFonts w:ascii="Times New Roman"/>
                <w:sz w:val="21"/>
              </w:rPr>
              <w:t>0.1L</w:t>
            </w:r>
          </w:p>
        </w:tc>
        <w:tc>
          <w:tcPr>
            <w:tcW w:w="1299" w:type="dxa"/>
          </w:tcPr>
          <w:p>
            <w:pPr>
              <w:pStyle w:val="14"/>
              <w:spacing w:before="21"/>
              <w:ind w:left="314" w:right="305"/>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575" w:type="dxa"/>
          </w:tcPr>
          <w:p>
            <w:pPr>
              <w:pStyle w:val="14"/>
              <w:spacing w:before="20"/>
              <w:ind w:left="140"/>
              <w:jc w:val="left"/>
              <w:rPr>
                <w:sz w:val="21"/>
              </w:rPr>
            </w:pPr>
            <w:r>
              <w:rPr>
                <w:sz w:val="21"/>
              </w:rPr>
              <w:t>总铬（</w:t>
            </w:r>
            <w:r>
              <w:rPr>
                <w:rFonts w:ascii="Times New Roman" w:eastAsia="Times New Roman"/>
                <w:sz w:val="21"/>
              </w:rPr>
              <w:t>mg/L</w:t>
            </w:r>
            <w:r>
              <w:rPr>
                <w:sz w:val="21"/>
              </w:rPr>
              <w:t>）</w:t>
            </w:r>
          </w:p>
        </w:tc>
        <w:tc>
          <w:tcPr>
            <w:tcW w:w="1294" w:type="dxa"/>
          </w:tcPr>
          <w:p>
            <w:pPr>
              <w:pStyle w:val="14"/>
              <w:spacing w:before="39"/>
              <w:ind w:left="310" w:right="299"/>
              <w:rPr>
                <w:rFonts w:ascii="Times New Roman"/>
                <w:sz w:val="21"/>
              </w:rPr>
            </w:pPr>
            <w:bookmarkStart w:id="599" w:name="0.03L"/>
            <w:bookmarkEnd w:id="599"/>
            <w:r>
              <w:rPr>
                <w:rFonts w:ascii="Times New Roman"/>
                <w:sz w:val="21"/>
              </w:rPr>
              <w:t>0.03L</w:t>
            </w:r>
          </w:p>
        </w:tc>
        <w:tc>
          <w:tcPr>
            <w:tcW w:w="1294" w:type="dxa"/>
          </w:tcPr>
          <w:p>
            <w:pPr>
              <w:pStyle w:val="14"/>
              <w:spacing w:before="20"/>
              <w:ind w:left="309" w:right="302"/>
              <w:rPr>
                <w:sz w:val="21"/>
              </w:rPr>
            </w:pPr>
            <w:r>
              <w:rPr>
                <w:sz w:val="21"/>
              </w:rPr>
              <w:t>未检出</w:t>
            </w:r>
          </w:p>
        </w:tc>
        <w:tc>
          <w:tcPr>
            <w:tcW w:w="1294" w:type="dxa"/>
          </w:tcPr>
          <w:p>
            <w:pPr>
              <w:pStyle w:val="14"/>
              <w:spacing w:before="39"/>
              <w:ind w:left="310" w:right="301"/>
              <w:rPr>
                <w:rFonts w:ascii="Times New Roman"/>
                <w:sz w:val="21"/>
              </w:rPr>
            </w:pPr>
            <w:bookmarkStart w:id="600" w:name="0.03L"/>
            <w:bookmarkEnd w:id="600"/>
            <w:r>
              <w:rPr>
                <w:rFonts w:ascii="Times New Roman"/>
                <w:sz w:val="21"/>
              </w:rPr>
              <w:t>0.03L</w:t>
            </w:r>
          </w:p>
        </w:tc>
        <w:tc>
          <w:tcPr>
            <w:tcW w:w="1294" w:type="dxa"/>
          </w:tcPr>
          <w:p>
            <w:pPr>
              <w:pStyle w:val="14"/>
              <w:spacing w:before="20"/>
              <w:ind w:left="308" w:right="302"/>
              <w:rPr>
                <w:sz w:val="21"/>
              </w:rPr>
            </w:pPr>
            <w:r>
              <w:rPr>
                <w:sz w:val="21"/>
              </w:rPr>
              <w:t>未检出</w:t>
            </w:r>
          </w:p>
        </w:tc>
        <w:tc>
          <w:tcPr>
            <w:tcW w:w="1294" w:type="dxa"/>
          </w:tcPr>
          <w:p>
            <w:pPr>
              <w:pStyle w:val="14"/>
              <w:spacing w:before="39"/>
              <w:ind w:left="310" w:right="300"/>
              <w:rPr>
                <w:rFonts w:ascii="Times New Roman"/>
                <w:sz w:val="21"/>
              </w:rPr>
            </w:pPr>
            <w:bookmarkStart w:id="601" w:name="0.03L"/>
            <w:bookmarkEnd w:id="601"/>
            <w:r>
              <w:rPr>
                <w:rFonts w:ascii="Times New Roman"/>
                <w:sz w:val="21"/>
              </w:rPr>
              <w:t>0.03L</w:t>
            </w:r>
          </w:p>
        </w:tc>
        <w:tc>
          <w:tcPr>
            <w:tcW w:w="1299" w:type="dxa"/>
          </w:tcPr>
          <w:p>
            <w:pPr>
              <w:pStyle w:val="14"/>
              <w:spacing w:before="20"/>
              <w:ind w:left="314" w:right="305"/>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20"/>
              <w:ind w:left="166"/>
              <w:jc w:val="left"/>
              <w:rPr>
                <w:sz w:val="21"/>
              </w:rPr>
            </w:pPr>
            <w:r>
              <w:rPr>
                <w:sz w:val="21"/>
              </w:rPr>
              <w:t>总铅（</w:t>
            </w:r>
            <w:r>
              <w:rPr>
                <w:rFonts w:ascii="Times New Roman" w:hAnsi="Times New Roman" w:eastAsia="Times New Roman"/>
                <w:sz w:val="21"/>
              </w:rPr>
              <w:t>μg/L</w:t>
            </w:r>
            <w:r>
              <w:rPr>
                <w:sz w:val="21"/>
              </w:rPr>
              <w:t>）</w:t>
            </w:r>
          </w:p>
        </w:tc>
        <w:tc>
          <w:tcPr>
            <w:tcW w:w="1294" w:type="dxa"/>
          </w:tcPr>
          <w:p>
            <w:pPr>
              <w:pStyle w:val="14"/>
              <w:spacing w:before="38"/>
              <w:ind w:left="310" w:right="299"/>
              <w:rPr>
                <w:rFonts w:ascii="Times New Roman"/>
                <w:sz w:val="21"/>
              </w:rPr>
            </w:pPr>
            <w:bookmarkStart w:id="602" w:name="10L"/>
            <w:bookmarkEnd w:id="602"/>
            <w:r>
              <w:rPr>
                <w:rFonts w:ascii="Times New Roman"/>
                <w:sz w:val="21"/>
              </w:rPr>
              <w:t>10L</w:t>
            </w:r>
          </w:p>
        </w:tc>
        <w:tc>
          <w:tcPr>
            <w:tcW w:w="1294" w:type="dxa"/>
          </w:tcPr>
          <w:p>
            <w:pPr>
              <w:pStyle w:val="14"/>
              <w:spacing w:before="20"/>
              <w:ind w:left="309" w:right="302"/>
              <w:rPr>
                <w:sz w:val="21"/>
              </w:rPr>
            </w:pPr>
            <w:r>
              <w:rPr>
                <w:sz w:val="21"/>
              </w:rPr>
              <w:t>未检出</w:t>
            </w:r>
          </w:p>
        </w:tc>
        <w:tc>
          <w:tcPr>
            <w:tcW w:w="1294" w:type="dxa"/>
          </w:tcPr>
          <w:p>
            <w:pPr>
              <w:pStyle w:val="14"/>
              <w:spacing w:before="38"/>
              <w:ind w:left="310" w:right="301"/>
              <w:rPr>
                <w:rFonts w:ascii="Times New Roman"/>
                <w:sz w:val="21"/>
              </w:rPr>
            </w:pPr>
            <w:bookmarkStart w:id="603" w:name="10L"/>
            <w:bookmarkEnd w:id="603"/>
            <w:r>
              <w:rPr>
                <w:rFonts w:ascii="Times New Roman"/>
                <w:sz w:val="21"/>
              </w:rPr>
              <w:t>10L</w:t>
            </w:r>
          </w:p>
        </w:tc>
        <w:tc>
          <w:tcPr>
            <w:tcW w:w="1294" w:type="dxa"/>
          </w:tcPr>
          <w:p>
            <w:pPr>
              <w:pStyle w:val="14"/>
              <w:spacing w:before="20"/>
              <w:ind w:left="308" w:right="302"/>
              <w:rPr>
                <w:sz w:val="21"/>
              </w:rPr>
            </w:pPr>
            <w:r>
              <w:rPr>
                <w:sz w:val="21"/>
              </w:rPr>
              <w:t>未检出</w:t>
            </w:r>
          </w:p>
        </w:tc>
        <w:tc>
          <w:tcPr>
            <w:tcW w:w="1294" w:type="dxa"/>
          </w:tcPr>
          <w:p>
            <w:pPr>
              <w:pStyle w:val="14"/>
              <w:spacing w:before="38"/>
              <w:ind w:left="310" w:right="302"/>
              <w:rPr>
                <w:rFonts w:ascii="Times New Roman"/>
                <w:sz w:val="21"/>
              </w:rPr>
            </w:pPr>
            <w:bookmarkStart w:id="604" w:name="10L"/>
            <w:bookmarkEnd w:id="604"/>
            <w:r>
              <w:rPr>
                <w:rFonts w:ascii="Times New Roman"/>
                <w:sz w:val="21"/>
              </w:rPr>
              <w:t>10L</w:t>
            </w:r>
          </w:p>
        </w:tc>
        <w:tc>
          <w:tcPr>
            <w:tcW w:w="1299" w:type="dxa"/>
          </w:tcPr>
          <w:p>
            <w:pPr>
              <w:pStyle w:val="14"/>
              <w:spacing w:before="20"/>
              <w:ind w:left="314" w:right="305"/>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19"/>
              <w:ind w:left="166"/>
              <w:jc w:val="left"/>
              <w:rPr>
                <w:sz w:val="21"/>
              </w:rPr>
            </w:pPr>
            <w:r>
              <w:rPr>
                <w:sz w:val="21"/>
              </w:rPr>
              <w:t>总砷（</w:t>
            </w:r>
            <w:r>
              <w:rPr>
                <w:rFonts w:ascii="Times New Roman" w:hAnsi="Times New Roman" w:eastAsia="Times New Roman"/>
                <w:sz w:val="21"/>
              </w:rPr>
              <w:t>μg/L</w:t>
            </w:r>
            <w:r>
              <w:rPr>
                <w:sz w:val="21"/>
              </w:rPr>
              <w:t>）</w:t>
            </w:r>
          </w:p>
        </w:tc>
        <w:tc>
          <w:tcPr>
            <w:tcW w:w="1294" w:type="dxa"/>
          </w:tcPr>
          <w:p>
            <w:pPr>
              <w:pStyle w:val="14"/>
              <w:spacing w:before="38"/>
              <w:ind w:left="310" w:right="299"/>
              <w:rPr>
                <w:rFonts w:ascii="Times New Roman"/>
                <w:sz w:val="21"/>
              </w:rPr>
            </w:pPr>
            <w:bookmarkStart w:id="605" w:name="0.3L"/>
            <w:bookmarkEnd w:id="605"/>
            <w:r>
              <w:rPr>
                <w:rFonts w:ascii="Times New Roman"/>
                <w:sz w:val="21"/>
              </w:rPr>
              <w:t>0.3L</w:t>
            </w:r>
          </w:p>
        </w:tc>
        <w:tc>
          <w:tcPr>
            <w:tcW w:w="1294" w:type="dxa"/>
          </w:tcPr>
          <w:p>
            <w:pPr>
              <w:pStyle w:val="14"/>
              <w:spacing w:before="24" w:line="268" w:lineRule="exact"/>
              <w:ind w:left="309" w:right="302"/>
              <w:rPr>
                <w:sz w:val="21"/>
              </w:rPr>
            </w:pPr>
            <w:bookmarkStart w:id="606" w:name="未检出"/>
            <w:bookmarkEnd w:id="606"/>
            <w:r>
              <w:rPr>
                <w:sz w:val="21"/>
              </w:rPr>
              <w:t>未检出</w:t>
            </w:r>
          </w:p>
        </w:tc>
        <w:tc>
          <w:tcPr>
            <w:tcW w:w="1294" w:type="dxa"/>
          </w:tcPr>
          <w:p>
            <w:pPr>
              <w:pStyle w:val="14"/>
              <w:spacing w:before="38"/>
              <w:ind w:left="310" w:right="301"/>
              <w:rPr>
                <w:rFonts w:ascii="Times New Roman"/>
                <w:sz w:val="21"/>
              </w:rPr>
            </w:pPr>
            <w:bookmarkStart w:id="607" w:name="0.3L"/>
            <w:bookmarkEnd w:id="607"/>
            <w:r>
              <w:rPr>
                <w:rFonts w:ascii="Times New Roman"/>
                <w:sz w:val="21"/>
              </w:rPr>
              <w:t>0.3L</w:t>
            </w:r>
          </w:p>
        </w:tc>
        <w:tc>
          <w:tcPr>
            <w:tcW w:w="1294" w:type="dxa"/>
          </w:tcPr>
          <w:p>
            <w:pPr>
              <w:pStyle w:val="14"/>
              <w:spacing w:before="19"/>
              <w:ind w:left="308" w:right="302"/>
              <w:rPr>
                <w:sz w:val="21"/>
              </w:rPr>
            </w:pPr>
            <w:r>
              <w:rPr>
                <w:sz w:val="21"/>
              </w:rPr>
              <w:t>未检出</w:t>
            </w:r>
          </w:p>
        </w:tc>
        <w:tc>
          <w:tcPr>
            <w:tcW w:w="1294" w:type="dxa"/>
          </w:tcPr>
          <w:p>
            <w:pPr>
              <w:pStyle w:val="14"/>
              <w:spacing w:before="38"/>
              <w:ind w:left="310" w:right="298"/>
              <w:rPr>
                <w:rFonts w:ascii="Times New Roman"/>
                <w:sz w:val="21"/>
              </w:rPr>
            </w:pPr>
            <w:bookmarkStart w:id="608" w:name="0.3L"/>
            <w:bookmarkEnd w:id="608"/>
            <w:r>
              <w:rPr>
                <w:rFonts w:ascii="Times New Roman"/>
                <w:sz w:val="21"/>
              </w:rPr>
              <w:t>0.3L</w:t>
            </w:r>
          </w:p>
        </w:tc>
        <w:tc>
          <w:tcPr>
            <w:tcW w:w="1299" w:type="dxa"/>
          </w:tcPr>
          <w:p>
            <w:pPr>
              <w:pStyle w:val="14"/>
              <w:spacing w:before="19"/>
              <w:ind w:left="314" w:right="305"/>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19"/>
              <w:ind w:left="140"/>
              <w:jc w:val="left"/>
              <w:rPr>
                <w:sz w:val="21"/>
              </w:rPr>
            </w:pPr>
            <w:r>
              <w:rPr>
                <w:sz w:val="21"/>
              </w:rPr>
              <w:t>总锌（</w:t>
            </w:r>
            <w:r>
              <w:rPr>
                <w:rFonts w:ascii="Times New Roman" w:eastAsia="Times New Roman"/>
                <w:sz w:val="21"/>
              </w:rPr>
              <w:t>mg/L</w:t>
            </w:r>
            <w:r>
              <w:rPr>
                <w:sz w:val="21"/>
              </w:rPr>
              <w:t>）</w:t>
            </w:r>
          </w:p>
        </w:tc>
        <w:tc>
          <w:tcPr>
            <w:tcW w:w="1294" w:type="dxa"/>
          </w:tcPr>
          <w:p>
            <w:pPr>
              <w:pStyle w:val="14"/>
              <w:spacing w:before="38"/>
              <w:ind w:left="310" w:right="299"/>
              <w:rPr>
                <w:rFonts w:ascii="Times New Roman"/>
                <w:sz w:val="21"/>
              </w:rPr>
            </w:pPr>
            <w:bookmarkStart w:id="609" w:name="0.05L"/>
            <w:bookmarkEnd w:id="609"/>
            <w:r>
              <w:rPr>
                <w:rFonts w:ascii="Times New Roman"/>
                <w:sz w:val="21"/>
              </w:rPr>
              <w:t>0.05L</w:t>
            </w:r>
          </w:p>
        </w:tc>
        <w:tc>
          <w:tcPr>
            <w:tcW w:w="1294" w:type="dxa"/>
          </w:tcPr>
          <w:p>
            <w:pPr>
              <w:pStyle w:val="14"/>
              <w:spacing w:before="24" w:line="268" w:lineRule="exact"/>
              <w:ind w:left="309" w:right="302"/>
              <w:rPr>
                <w:sz w:val="21"/>
              </w:rPr>
            </w:pPr>
            <w:bookmarkStart w:id="610" w:name="未检出"/>
            <w:bookmarkEnd w:id="610"/>
            <w:r>
              <w:rPr>
                <w:sz w:val="21"/>
              </w:rPr>
              <w:t>未检出</w:t>
            </w:r>
          </w:p>
        </w:tc>
        <w:tc>
          <w:tcPr>
            <w:tcW w:w="1294" w:type="dxa"/>
          </w:tcPr>
          <w:p>
            <w:pPr>
              <w:pStyle w:val="14"/>
              <w:spacing w:before="38"/>
              <w:ind w:left="310" w:right="300"/>
              <w:rPr>
                <w:rFonts w:ascii="Times New Roman"/>
                <w:sz w:val="21"/>
              </w:rPr>
            </w:pPr>
            <w:bookmarkStart w:id="611" w:name="0.05"/>
            <w:bookmarkEnd w:id="611"/>
            <w:r>
              <w:rPr>
                <w:rFonts w:ascii="Times New Roman"/>
                <w:sz w:val="21"/>
              </w:rPr>
              <w:t>0.05</w:t>
            </w:r>
          </w:p>
        </w:tc>
        <w:tc>
          <w:tcPr>
            <w:tcW w:w="1294" w:type="dxa"/>
          </w:tcPr>
          <w:p>
            <w:pPr>
              <w:pStyle w:val="14"/>
              <w:spacing w:before="35"/>
              <w:ind w:left="310" w:right="301"/>
              <w:rPr>
                <w:rFonts w:ascii="Times New Roman"/>
                <w:sz w:val="21"/>
              </w:rPr>
            </w:pPr>
            <w:r>
              <w:rPr>
                <w:rFonts w:ascii="Times New Roman"/>
                <w:sz w:val="21"/>
              </w:rPr>
              <w:t>0.05</w:t>
            </w:r>
          </w:p>
        </w:tc>
        <w:tc>
          <w:tcPr>
            <w:tcW w:w="1294" w:type="dxa"/>
          </w:tcPr>
          <w:p>
            <w:pPr>
              <w:pStyle w:val="14"/>
              <w:spacing w:before="38"/>
              <w:ind w:left="310" w:right="302"/>
              <w:rPr>
                <w:rFonts w:ascii="Times New Roman"/>
                <w:sz w:val="21"/>
              </w:rPr>
            </w:pPr>
            <w:bookmarkStart w:id="612" w:name="0.05"/>
            <w:bookmarkEnd w:id="612"/>
            <w:r>
              <w:rPr>
                <w:rFonts w:ascii="Times New Roman"/>
                <w:sz w:val="21"/>
              </w:rPr>
              <w:t>0.05</w:t>
            </w:r>
          </w:p>
        </w:tc>
        <w:tc>
          <w:tcPr>
            <w:tcW w:w="1299" w:type="dxa"/>
          </w:tcPr>
          <w:p>
            <w:pPr>
              <w:pStyle w:val="14"/>
              <w:spacing w:before="35"/>
              <w:ind w:left="314" w:right="302"/>
              <w:rPr>
                <w:rFonts w:ascii="Times New Roman"/>
                <w:sz w:val="21"/>
              </w:rPr>
            </w:pPr>
            <w:r>
              <w:rPr>
                <w:rFonts w:ascii="Times New Roman"/>
                <w:sz w:val="21"/>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21"/>
              <w:ind w:left="106" w:right="-15"/>
              <w:jc w:val="left"/>
              <w:rPr>
                <w:sz w:val="21"/>
              </w:rPr>
            </w:pPr>
            <w:r>
              <w:rPr>
                <w:spacing w:val="-13"/>
                <w:sz w:val="21"/>
              </w:rPr>
              <w:t>六价铬</w:t>
            </w:r>
            <w:r>
              <w:rPr>
                <w:sz w:val="21"/>
              </w:rPr>
              <w:t>（</w:t>
            </w:r>
            <w:r>
              <w:rPr>
                <w:rFonts w:ascii="Times New Roman" w:eastAsia="Times New Roman"/>
                <w:sz w:val="21"/>
              </w:rPr>
              <w:t>mg/L</w:t>
            </w:r>
            <w:r>
              <w:rPr>
                <w:sz w:val="21"/>
              </w:rPr>
              <w:t>）</w:t>
            </w:r>
          </w:p>
        </w:tc>
        <w:tc>
          <w:tcPr>
            <w:tcW w:w="1294" w:type="dxa"/>
          </w:tcPr>
          <w:p>
            <w:pPr>
              <w:pStyle w:val="14"/>
              <w:spacing w:before="37"/>
              <w:ind w:left="310" w:right="302"/>
              <w:rPr>
                <w:rFonts w:ascii="Times New Roman"/>
                <w:sz w:val="21"/>
              </w:rPr>
            </w:pPr>
            <w:bookmarkStart w:id="613" w:name="0.004L"/>
            <w:bookmarkEnd w:id="613"/>
            <w:r>
              <w:rPr>
                <w:rFonts w:ascii="Times New Roman"/>
                <w:sz w:val="21"/>
              </w:rPr>
              <w:t>0.004L</w:t>
            </w:r>
          </w:p>
        </w:tc>
        <w:tc>
          <w:tcPr>
            <w:tcW w:w="1294" w:type="dxa"/>
          </w:tcPr>
          <w:p>
            <w:pPr>
              <w:pStyle w:val="14"/>
              <w:spacing w:before="23" w:line="268" w:lineRule="exact"/>
              <w:ind w:left="309" w:right="302"/>
              <w:rPr>
                <w:sz w:val="21"/>
              </w:rPr>
            </w:pPr>
            <w:bookmarkStart w:id="614" w:name="未检出"/>
            <w:bookmarkEnd w:id="614"/>
            <w:r>
              <w:rPr>
                <w:sz w:val="21"/>
              </w:rPr>
              <w:t>未检出</w:t>
            </w:r>
          </w:p>
        </w:tc>
        <w:tc>
          <w:tcPr>
            <w:tcW w:w="1294" w:type="dxa"/>
          </w:tcPr>
          <w:p>
            <w:pPr>
              <w:pStyle w:val="14"/>
              <w:spacing w:before="37"/>
              <w:ind w:left="310" w:right="298"/>
              <w:rPr>
                <w:rFonts w:ascii="Times New Roman"/>
                <w:sz w:val="21"/>
              </w:rPr>
            </w:pPr>
            <w:bookmarkStart w:id="615" w:name="0.004L"/>
            <w:bookmarkEnd w:id="615"/>
            <w:r>
              <w:rPr>
                <w:rFonts w:ascii="Times New Roman"/>
                <w:sz w:val="21"/>
              </w:rPr>
              <w:t>0.004L</w:t>
            </w:r>
          </w:p>
        </w:tc>
        <w:tc>
          <w:tcPr>
            <w:tcW w:w="1294" w:type="dxa"/>
          </w:tcPr>
          <w:p>
            <w:pPr>
              <w:pStyle w:val="14"/>
              <w:spacing w:before="21"/>
              <w:ind w:left="308" w:right="302"/>
              <w:rPr>
                <w:sz w:val="21"/>
              </w:rPr>
            </w:pPr>
            <w:r>
              <w:rPr>
                <w:sz w:val="21"/>
              </w:rPr>
              <w:t>未检出</w:t>
            </w:r>
          </w:p>
        </w:tc>
        <w:tc>
          <w:tcPr>
            <w:tcW w:w="1294" w:type="dxa"/>
          </w:tcPr>
          <w:p>
            <w:pPr>
              <w:pStyle w:val="14"/>
              <w:spacing w:before="37"/>
              <w:ind w:left="310" w:right="300"/>
              <w:rPr>
                <w:rFonts w:ascii="Times New Roman"/>
                <w:sz w:val="21"/>
              </w:rPr>
            </w:pPr>
            <w:bookmarkStart w:id="616" w:name="0.004L"/>
            <w:bookmarkEnd w:id="616"/>
            <w:r>
              <w:rPr>
                <w:rFonts w:ascii="Times New Roman"/>
                <w:sz w:val="21"/>
              </w:rPr>
              <w:t>0.004L</w:t>
            </w:r>
          </w:p>
        </w:tc>
        <w:tc>
          <w:tcPr>
            <w:tcW w:w="1299" w:type="dxa"/>
          </w:tcPr>
          <w:p>
            <w:pPr>
              <w:pStyle w:val="14"/>
              <w:spacing w:before="21"/>
              <w:ind w:left="314" w:right="305"/>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575" w:type="dxa"/>
          </w:tcPr>
          <w:p>
            <w:pPr>
              <w:pStyle w:val="14"/>
              <w:spacing w:before="20"/>
              <w:ind w:left="106" w:right="-15"/>
              <w:jc w:val="left"/>
              <w:rPr>
                <w:sz w:val="21"/>
              </w:rPr>
            </w:pPr>
            <w:r>
              <w:rPr>
                <w:spacing w:val="-13"/>
                <w:sz w:val="21"/>
              </w:rPr>
              <w:t>氟化物</w:t>
            </w:r>
            <w:r>
              <w:rPr>
                <w:sz w:val="21"/>
              </w:rPr>
              <w:t>（</w:t>
            </w:r>
            <w:r>
              <w:rPr>
                <w:rFonts w:ascii="Times New Roman" w:eastAsia="Times New Roman"/>
                <w:sz w:val="21"/>
              </w:rPr>
              <w:t>mg/L</w:t>
            </w:r>
            <w:r>
              <w:rPr>
                <w:sz w:val="21"/>
              </w:rPr>
              <w:t>）</w:t>
            </w:r>
          </w:p>
        </w:tc>
        <w:tc>
          <w:tcPr>
            <w:tcW w:w="1294" w:type="dxa"/>
          </w:tcPr>
          <w:p>
            <w:pPr>
              <w:pStyle w:val="14"/>
              <w:spacing w:before="37"/>
              <w:ind w:left="310" w:right="299"/>
              <w:rPr>
                <w:rFonts w:ascii="Times New Roman"/>
                <w:sz w:val="21"/>
              </w:rPr>
            </w:pPr>
            <w:bookmarkStart w:id="617" w:name="0.05L"/>
            <w:bookmarkEnd w:id="617"/>
            <w:r>
              <w:rPr>
                <w:rFonts w:ascii="Times New Roman"/>
                <w:sz w:val="21"/>
              </w:rPr>
              <w:t>0.05L</w:t>
            </w:r>
          </w:p>
        </w:tc>
        <w:tc>
          <w:tcPr>
            <w:tcW w:w="1294" w:type="dxa"/>
          </w:tcPr>
          <w:p>
            <w:pPr>
              <w:pStyle w:val="14"/>
              <w:spacing w:before="23" w:line="269" w:lineRule="exact"/>
              <w:ind w:left="309" w:right="302"/>
              <w:rPr>
                <w:sz w:val="21"/>
              </w:rPr>
            </w:pPr>
            <w:bookmarkStart w:id="618" w:name="未检出"/>
            <w:bookmarkEnd w:id="618"/>
            <w:r>
              <w:rPr>
                <w:sz w:val="21"/>
              </w:rPr>
              <w:t>未检出</w:t>
            </w:r>
          </w:p>
        </w:tc>
        <w:tc>
          <w:tcPr>
            <w:tcW w:w="1294" w:type="dxa"/>
          </w:tcPr>
          <w:p>
            <w:pPr>
              <w:pStyle w:val="14"/>
              <w:spacing w:before="37"/>
              <w:ind w:left="310" w:right="301"/>
              <w:rPr>
                <w:rFonts w:ascii="Times New Roman"/>
                <w:sz w:val="21"/>
              </w:rPr>
            </w:pPr>
            <w:bookmarkStart w:id="619" w:name="0.05L"/>
            <w:bookmarkEnd w:id="619"/>
            <w:r>
              <w:rPr>
                <w:rFonts w:ascii="Times New Roman"/>
                <w:sz w:val="21"/>
              </w:rPr>
              <w:t>0.05L</w:t>
            </w:r>
          </w:p>
        </w:tc>
        <w:tc>
          <w:tcPr>
            <w:tcW w:w="1294" w:type="dxa"/>
          </w:tcPr>
          <w:p>
            <w:pPr>
              <w:pStyle w:val="14"/>
              <w:spacing w:before="20"/>
              <w:ind w:left="308" w:right="302"/>
              <w:rPr>
                <w:sz w:val="21"/>
              </w:rPr>
            </w:pPr>
            <w:r>
              <w:rPr>
                <w:sz w:val="21"/>
              </w:rPr>
              <w:t>未检出</w:t>
            </w:r>
          </w:p>
        </w:tc>
        <w:tc>
          <w:tcPr>
            <w:tcW w:w="1294" w:type="dxa"/>
          </w:tcPr>
          <w:p>
            <w:pPr>
              <w:pStyle w:val="14"/>
              <w:spacing w:before="37"/>
              <w:ind w:left="310" w:right="300"/>
              <w:rPr>
                <w:rFonts w:ascii="Times New Roman"/>
                <w:sz w:val="21"/>
              </w:rPr>
            </w:pPr>
            <w:bookmarkStart w:id="620" w:name="0.05L"/>
            <w:bookmarkEnd w:id="620"/>
            <w:r>
              <w:rPr>
                <w:rFonts w:ascii="Times New Roman"/>
                <w:sz w:val="21"/>
              </w:rPr>
              <w:t>0.05L</w:t>
            </w:r>
          </w:p>
        </w:tc>
        <w:tc>
          <w:tcPr>
            <w:tcW w:w="1299" w:type="dxa"/>
          </w:tcPr>
          <w:p>
            <w:pPr>
              <w:pStyle w:val="14"/>
              <w:spacing w:before="20"/>
              <w:ind w:left="314" w:right="305"/>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17" w:line="275" w:lineRule="exact"/>
              <w:ind w:left="109"/>
              <w:jc w:val="left"/>
              <w:rPr>
                <w:sz w:val="21"/>
              </w:rPr>
            </w:pPr>
            <w:r>
              <w:rPr>
                <w:rFonts w:ascii="Times New Roman" w:eastAsia="Times New Roman"/>
                <w:position w:val="2"/>
                <w:sz w:val="21"/>
              </w:rPr>
              <w:t>BOD</w:t>
            </w:r>
            <w:r>
              <w:rPr>
                <w:rFonts w:ascii="Times New Roman" w:eastAsia="Times New Roman"/>
                <w:position w:val="2"/>
                <w:sz w:val="21"/>
                <w:vertAlign w:val="subscript"/>
              </w:rPr>
              <w:t>5</w:t>
            </w:r>
            <w:r>
              <w:rPr>
                <w:position w:val="2"/>
                <w:sz w:val="21"/>
                <w:vertAlign w:val="baseline"/>
              </w:rPr>
              <w:t>（</w:t>
            </w:r>
            <w:r>
              <w:rPr>
                <w:rFonts w:ascii="Times New Roman" w:eastAsia="Times New Roman"/>
                <w:position w:val="2"/>
                <w:sz w:val="21"/>
                <w:vertAlign w:val="baseline"/>
              </w:rPr>
              <w:t>mg/L</w:t>
            </w:r>
            <w:r>
              <w:rPr>
                <w:position w:val="2"/>
                <w:sz w:val="21"/>
                <w:vertAlign w:val="baseline"/>
              </w:rPr>
              <w:t>）</w:t>
            </w:r>
          </w:p>
        </w:tc>
        <w:tc>
          <w:tcPr>
            <w:tcW w:w="1294" w:type="dxa"/>
          </w:tcPr>
          <w:p>
            <w:pPr>
              <w:pStyle w:val="14"/>
              <w:spacing w:before="39"/>
              <w:ind w:left="310" w:right="301"/>
              <w:rPr>
                <w:rFonts w:ascii="Times New Roman"/>
                <w:sz w:val="21"/>
              </w:rPr>
            </w:pPr>
            <w:bookmarkStart w:id="621" w:name="15.3"/>
            <w:bookmarkEnd w:id="621"/>
            <w:r>
              <w:rPr>
                <w:rFonts w:ascii="Times New Roman"/>
                <w:sz w:val="21"/>
              </w:rPr>
              <w:t>15.3</w:t>
            </w:r>
          </w:p>
        </w:tc>
        <w:tc>
          <w:tcPr>
            <w:tcW w:w="1294" w:type="dxa"/>
          </w:tcPr>
          <w:p>
            <w:pPr>
              <w:pStyle w:val="14"/>
              <w:spacing w:before="39"/>
              <w:ind w:left="310" w:right="299"/>
              <w:rPr>
                <w:rFonts w:ascii="Times New Roman"/>
                <w:sz w:val="21"/>
              </w:rPr>
            </w:pPr>
            <w:bookmarkStart w:id="622" w:name="3.83"/>
            <w:bookmarkEnd w:id="622"/>
            <w:r>
              <w:rPr>
                <w:rFonts w:ascii="Times New Roman"/>
                <w:sz w:val="21"/>
              </w:rPr>
              <w:t>3.83</w:t>
            </w:r>
          </w:p>
        </w:tc>
        <w:tc>
          <w:tcPr>
            <w:tcW w:w="1294" w:type="dxa"/>
          </w:tcPr>
          <w:p>
            <w:pPr>
              <w:pStyle w:val="14"/>
              <w:spacing w:before="39"/>
              <w:ind w:left="310" w:right="300"/>
              <w:rPr>
                <w:rFonts w:ascii="Times New Roman"/>
                <w:sz w:val="21"/>
              </w:rPr>
            </w:pPr>
            <w:bookmarkStart w:id="623" w:name="16.2"/>
            <w:bookmarkEnd w:id="623"/>
            <w:r>
              <w:rPr>
                <w:rFonts w:ascii="Times New Roman"/>
                <w:sz w:val="21"/>
              </w:rPr>
              <w:t>16.2</w:t>
            </w:r>
          </w:p>
        </w:tc>
        <w:tc>
          <w:tcPr>
            <w:tcW w:w="1294" w:type="dxa"/>
          </w:tcPr>
          <w:p>
            <w:pPr>
              <w:pStyle w:val="14"/>
              <w:spacing w:before="34"/>
              <w:ind w:left="310" w:right="301"/>
              <w:rPr>
                <w:rFonts w:ascii="Times New Roman"/>
                <w:sz w:val="21"/>
              </w:rPr>
            </w:pPr>
            <w:r>
              <w:rPr>
                <w:rFonts w:ascii="Times New Roman"/>
                <w:sz w:val="21"/>
              </w:rPr>
              <w:t>4.05</w:t>
            </w:r>
          </w:p>
        </w:tc>
        <w:tc>
          <w:tcPr>
            <w:tcW w:w="1294" w:type="dxa"/>
          </w:tcPr>
          <w:p>
            <w:pPr>
              <w:pStyle w:val="14"/>
              <w:spacing w:before="39"/>
              <w:ind w:left="310" w:right="302"/>
              <w:rPr>
                <w:rFonts w:ascii="Times New Roman"/>
                <w:sz w:val="21"/>
              </w:rPr>
            </w:pPr>
            <w:bookmarkStart w:id="624" w:name="15.7"/>
            <w:bookmarkEnd w:id="624"/>
            <w:r>
              <w:rPr>
                <w:rFonts w:ascii="Times New Roman"/>
                <w:sz w:val="21"/>
              </w:rPr>
              <w:t>15.7</w:t>
            </w:r>
          </w:p>
        </w:tc>
        <w:tc>
          <w:tcPr>
            <w:tcW w:w="1299" w:type="dxa"/>
          </w:tcPr>
          <w:p>
            <w:pPr>
              <w:pStyle w:val="14"/>
              <w:spacing w:before="34"/>
              <w:ind w:left="314" w:right="302"/>
              <w:rPr>
                <w:rFonts w:ascii="Times New Roman"/>
                <w:sz w:val="21"/>
              </w:rPr>
            </w:pPr>
            <w:r>
              <w:rPr>
                <w:rFonts w:ascii="Times New Roman"/>
                <w:sz w:val="21"/>
              </w:rPr>
              <w:t>3.93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575" w:type="dxa"/>
          </w:tcPr>
          <w:p>
            <w:pPr>
              <w:pStyle w:val="14"/>
              <w:spacing w:before="20"/>
              <w:ind w:left="140"/>
              <w:jc w:val="left"/>
              <w:rPr>
                <w:sz w:val="21"/>
              </w:rPr>
            </w:pPr>
            <w:r>
              <w:rPr>
                <w:sz w:val="21"/>
              </w:rPr>
              <w:t>氨氮（</w:t>
            </w:r>
            <w:r>
              <w:rPr>
                <w:rFonts w:ascii="Times New Roman" w:eastAsia="Times New Roman"/>
                <w:sz w:val="21"/>
              </w:rPr>
              <w:t>mg/L</w:t>
            </w:r>
            <w:r>
              <w:rPr>
                <w:sz w:val="21"/>
              </w:rPr>
              <w:t>）</w:t>
            </w:r>
          </w:p>
        </w:tc>
        <w:tc>
          <w:tcPr>
            <w:tcW w:w="1294" w:type="dxa"/>
          </w:tcPr>
          <w:p>
            <w:pPr>
              <w:pStyle w:val="14"/>
              <w:spacing w:before="38"/>
              <w:ind w:left="310" w:right="301"/>
              <w:rPr>
                <w:rFonts w:ascii="Times New Roman"/>
                <w:sz w:val="21"/>
              </w:rPr>
            </w:pPr>
            <w:bookmarkStart w:id="625" w:name="0.40"/>
            <w:bookmarkEnd w:id="625"/>
            <w:r>
              <w:rPr>
                <w:rFonts w:ascii="Times New Roman"/>
                <w:sz w:val="21"/>
              </w:rPr>
              <w:t>0.40</w:t>
            </w:r>
          </w:p>
        </w:tc>
        <w:tc>
          <w:tcPr>
            <w:tcW w:w="1294" w:type="dxa"/>
          </w:tcPr>
          <w:p>
            <w:pPr>
              <w:pStyle w:val="14"/>
              <w:spacing w:before="38"/>
              <w:ind w:left="310" w:right="299"/>
              <w:rPr>
                <w:rFonts w:ascii="Times New Roman"/>
                <w:sz w:val="21"/>
              </w:rPr>
            </w:pPr>
            <w:bookmarkStart w:id="626" w:name="0.40"/>
            <w:bookmarkEnd w:id="626"/>
            <w:r>
              <w:rPr>
                <w:rFonts w:ascii="Times New Roman"/>
                <w:sz w:val="21"/>
              </w:rPr>
              <w:t>0.40</w:t>
            </w:r>
          </w:p>
        </w:tc>
        <w:tc>
          <w:tcPr>
            <w:tcW w:w="1294" w:type="dxa"/>
          </w:tcPr>
          <w:p>
            <w:pPr>
              <w:pStyle w:val="14"/>
              <w:spacing w:before="38"/>
              <w:ind w:left="310" w:right="300"/>
              <w:rPr>
                <w:rFonts w:ascii="Times New Roman"/>
                <w:sz w:val="21"/>
              </w:rPr>
            </w:pPr>
            <w:bookmarkStart w:id="627" w:name="0.40"/>
            <w:bookmarkEnd w:id="627"/>
            <w:r>
              <w:rPr>
                <w:rFonts w:ascii="Times New Roman"/>
                <w:sz w:val="21"/>
              </w:rPr>
              <w:t>0.40</w:t>
            </w:r>
          </w:p>
        </w:tc>
        <w:tc>
          <w:tcPr>
            <w:tcW w:w="1294" w:type="dxa"/>
          </w:tcPr>
          <w:p>
            <w:pPr>
              <w:pStyle w:val="14"/>
              <w:spacing w:before="34"/>
              <w:ind w:left="310" w:right="301"/>
              <w:rPr>
                <w:rFonts w:ascii="Times New Roman"/>
                <w:sz w:val="21"/>
              </w:rPr>
            </w:pPr>
            <w:r>
              <w:rPr>
                <w:rFonts w:ascii="Times New Roman"/>
                <w:sz w:val="21"/>
              </w:rPr>
              <w:t>0.40</w:t>
            </w:r>
          </w:p>
        </w:tc>
        <w:tc>
          <w:tcPr>
            <w:tcW w:w="1294" w:type="dxa"/>
          </w:tcPr>
          <w:p>
            <w:pPr>
              <w:pStyle w:val="14"/>
              <w:spacing w:before="38"/>
              <w:ind w:left="310" w:right="302"/>
              <w:rPr>
                <w:rFonts w:ascii="Times New Roman"/>
                <w:sz w:val="21"/>
              </w:rPr>
            </w:pPr>
            <w:bookmarkStart w:id="628" w:name="0.40"/>
            <w:bookmarkEnd w:id="628"/>
            <w:r>
              <w:rPr>
                <w:rFonts w:ascii="Times New Roman"/>
                <w:sz w:val="21"/>
              </w:rPr>
              <w:t>0.40</w:t>
            </w:r>
          </w:p>
        </w:tc>
        <w:tc>
          <w:tcPr>
            <w:tcW w:w="1299" w:type="dxa"/>
          </w:tcPr>
          <w:p>
            <w:pPr>
              <w:pStyle w:val="14"/>
              <w:spacing w:before="34"/>
              <w:ind w:left="314" w:right="302"/>
              <w:rPr>
                <w:rFonts w:ascii="Times New Roman"/>
                <w:sz w:val="21"/>
              </w:rPr>
            </w:pPr>
            <w:r>
              <w:rPr>
                <w:rFonts w:ascii="Times New Roman"/>
                <w:sz w:val="21"/>
              </w:rPr>
              <w:t>0.40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vMerge w:val="restart"/>
          </w:tcPr>
          <w:p>
            <w:pPr>
              <w:pStyle w:val="14"/>
              <w:spacing w:before="1"/>
              <w:jc w:val="left"/>
              <w:rPr>
                <w:b/>
                <w:sz w:val="14"/>
              </w:rPr>
            </w:pPr>
          </w:p>
          <w:p>
            <w:pPr>
              <w:pStyle w:val="14"/>
              <w:ind w:left="365"/>
              <w:jc w:val="left"/>
              <w:rPr>
                <w:sz w:val="21"/>
              </w:rPr>
            </w:pPr>
            <w:r>
              <w:rPr>
                <w:sz w:val="21"/>
              </w:rPr>
              <w:t>评价参数</w:t>
            </w:r>
          </w:p>
        </w:tc>
        <w:tc>
          <w:tcPr>
            <w:tcW w:w="7769" w:type="dxa"/>
            <w:gridSpan w:val="6"/>
          </w:tcPr>
          <w:p>
            <w:pPr>
              <w:pStyle w:val="14"/>
              <w:spacing w:before="22"/>
              <w:ind w:left="3102" w:right="3094"/>
              <w:rPr>
                <w:sz w:val="21"/>
              </w:rPr>
            </w:pPr>
            <w:r>
              <w:rPr>
                <w:sz w:val="21"/>
              </w:rPr>
              <w:t xml:space="preserve">下游 </w:t>
            </w:r>
            <w:r>
              <w:rPr>
                <w:rFonts w:ascii="Times New Roman" w:eastAsia="Times New Roman"/>
                <w:sz w:val="21"/>
              </w:rPr>
              <w:t xml:space="preserve">1000 </w:t>
            </w:r>
            <w:r>
              <w:rPr>
                <w:sz w:val="21"/>
              </w:rPr>
              <w:t>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vMerge w:val="continue"/>
            <w:tcBorders>
              <w:top w:val="nil"/>
            </w:tcBorders>
          </w:tcPr>
          <w:p>
            <w:pPr>
              <w:rPr>
                <w:sz w:val="2"/>
                <w:szCs w:val="2"/>
              </w:rPr>
            </w:pPr>
          </w:p>
        </w:tc>
        <w:tc>
          <w:tcPr>
            <w:tcW w:w="1294" w:type="dxa"/>
          </w:tcPr>
          <w:p>
            <w:pPr>
              <w:pStyle w:val="14"/>
              <w:spacing w:before="19"/>
              <w:ind w:left="310" w:right="302"/>
              <w:rPr>
                <w:sz w:val="21"/>
              </w:rPr>
            </w:pPr>
            <w:r>
              <w:rPr>
                <w:sz w:val="21"/>
              </w:rPr>
              <w:t>实测值</w:t>
            </w:r>
          </w:p>
        </w:tc>
        <w:tc>
          <w:tcPr>
            <w:tcW w:w="1294" w:type="dxa"/>
          </w:tcPr>
          <w:p>
            <w:pPr>
              <w:pStyle w:val="14"/>
              <w:spacing w:before="34"/>
              <w:ind w:left="310" w:right="298"/>
              <w:rPr>
                <w:rFonts w:ascii="Times New Roman" w:eastAsia="Times New Roman"/>
                <w:sz w:val="13"/>
              </w:rPr>
            </w:pPr>
            <w:r>
              <w:rPr>
                <w:rFonts w:ascii="Times New Roman" w:eastAsia="Times New Roman"/>
                <w:spacing w:val="-2"/>
                <w:w w:val="99"/>
                <w:position w:val="3"/>
                <w:sz w:val="21"/>
              </w:rPr>
              <w:t>P</w:t>
            </w:r>
            <w:r>
              <w:rPr>
                <w:rFonts w:ascii="Times New Roman" w:eastAsia="Times New Roman"/>
                <w:w w:val="105"/>
                <w:position w:val="1"/>
                <w:sz w:val="13"/>
              </w:rPr>
              <w:t>i</w:t>
            </w:r>
            <w:r>
              <w:rPr>
                <w:spacing w:val="-1"/>
                <w:w w:val="106"/>
                <w:sz w:val="10"/>
              </w:rPr>
              <w:t>，</w:t>
            </w:r>
            <w:r>
              <w:rPr>
                <w:rFonts w:ascii="Times New Roman" w:eastAsia="Times New Roman"/>
                <w:w w:val="105"/>
                <w:position w:val="1"/>
                <w:sz w:val="13"/>
              </w:rPr>
              <w:t>j</w:t>
            </w:r>
          </w:p>
        </w:tc>
        <w:tc>
          <w:tcPr>
            <w:tcW w:w="1294" w:type="dxa"/>
          </w:tcPr>
          <w:p>
            <w:pPr>
              <w:pStyle w:val="14"/>
              <w:spacing w:before="19"/>
              <w:ind w:left="308" w:right="302"/>
              <w:rPr>
                <w:sz w:val="21"/>
              </w:rPr>
            </w:pPr>
            <w:r>
              <w:rPr>
                <w:sz w:val="21"/>
              </w:rPr>
              <w:t>实测值</w:t>
            </w:r>
          </w:p>
        </w:tc>
        <w:tc>
          <w:tcPr>
            <w:tcW w:w="1294" w:type="dxa"/>
          </w:tcPr>
          <w:p>
            <w:pPr>
              <w:pStyle w:val="14"/>
              <w:spacing w:before="34"/>
              <w:ind w:left="310" w:right="300"/>
              <w:rPr>
                <w:rFonts w:ascii="Times New Roman" w:eastAsia="Times New Roman"/>
                <w:sz w:val="13"/>
              </w:rPr>
            </w:pPr>
            <w:r>
              <w:rPr>
                <w:rFonts w:ascii="Times New Roman" w:eastAsia="Times New Roman"/>
                <w:spacing w:val="-2"/>
                <w:w w:val="99"/>
                <w:position w:val="3"/>
                <w:sz w:val="21"/>
              </w:rPr>
              <w:t>P</w:t>
            </w:r>
            <w:r>
              <w:rPr>
                <w:rFonts w:ascii="Times New Roman" w:eastAsia="Times New Roman"/>
                <w:w w:val="105"/>
                <w:position w:val="1"/>
                <w:sz w:val="13"/>
              </w:rPr>
              <w:t>i</w:t>
            </w:r>
            <w:r>
              <w:rPr>
                <w:spacing w:val="-1"/>
                <w:w w:val="106"/>
                <w:sz w:val="10"/>
              </w:rPr>
              <w:t>，</w:t>
            </w:r>
            <w:r>
              <w:rPr>
                <w:rFonts w:ascii="Times New Roman" w:eastAsia="Times New Roman"/>
                <w:w w:val="105"/>
                <w:position w:val="1"/>
                <w:sz w:val="13"/>
              </w:rPr>
              <w:t>j</w:t>
            </w:r>
          </w:p>
        </w:tc>
        <w:tc>
          <w:tcPr>
            <w:tcW w:w="1294" w:type="dxa"/>
          </w:tcPr>
          <w:p>
            <w:pPr>
              <w:pStyle w:val="14"/>
              <w:spacing w:before="19"/>
              <w:ind w:left="310" w:right="300"/>
              <w:rPr>
                <w:sz w:val="21"/>
              </w:rPr>
            </w:pPr>
            <w:r>
              <w:rPr>
                <w:sz w:val="21"/>
              </w:rPr>
              <w:t>实测值</w:t>
            </w:r>
          </w:p>
        </w:tc>
        <w:tc>
          <w:tcPr>
            <w:tcW w:w="1299" w:type="dxa"/>
          </w:tcPr>
          <w:p>
            <w:pPr>
              <w:pStyle w:val="14"/>
              <w:spacing w:before="34"/>
              <w:ind w:left="314" w:right="301"/>
              <w:rPr>
                <w:rFonts w:ascii="Times New Roman" w:eastAsia="Times New Roman"/>
                <w:sz w:val="13"/>
              </w:rPr>
            </w:pPr>
            <w:r>
              <w:rPr>
                <w:rFonts w:ascii="Times New Roman" w:eastAsia="Times New Roman"/>
                <w:spacing w:val="-2"/>
                <w:w w:val="99"/>
                <w:position w:val="3"/>
                <w:sz w:val="21"/>
              </w:rPr>
              <w:t>P</w:t>
            </w:r>
            <w:r>
              <w:rPr>
                <w:rFonts w:ascii="Times New Roman" w:eastAsia="Times New Roman"/>
                <w:w w:val="105"/>
                <w:position w:val="1"/>
                <w:sz w:val="13"/>
              </w:rPr>
              <w:t>i</w:t>
            </w:r>
            <w:r>
              <w:rPr>
                <w:spacing w:val="-1"/>
                <w:w w:val="106"/>
                <w:sz w:val="10"/>
              </w:rPr>
              <w:t>，</w:t>
            </w:r>
            <w:r>
              <w:rPr>
                <w:rFonts w:ascii="Times New Roman" w:eastAsia="Times New Roman"/>
                <w:w w:val="105"/>
                <w:position w:val="1"/>
                <w:sz w:val="13"/>
              </w:rPr>
              <w:t>j</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575" w:type="dxa"/>
          </w:tcPr>
          <w:p>
            <w:pPr>
              <w:pStyle w:val="14"/>
              <w:spacing w:before="21"/>
              <w:ind w:left="133"/>
              <w:jc w:val="left"/>
              <w:rPr>
                <w:sz w:val="21"/>
              </w:rPr>
            </w:pPr>
            <w:r>
              <w:rPr>
                <w:rFonts w:ascii="Times New Roman" w:eastAsia="Times New Roman"/>
                <w:sz w:val="21"/>
              </w:rPr>
              <w:t>pH</w:t>
            </w:r>
            <w:r>
              <w:rPr>
                <w:sz w:val="21"/>
              </w:rPr>
              <w:t>（无量纲）</w:t>
            </w:r>
          </w:p>
        </w:tc>
        <w:tc>
          <w:tcPr>
            <w:tcW w:w="1294" w:type="dxa"/>
          </w:tcPr>
          <w:p>
            <w:pPr>
              <w:pStyle w:val="14"/>
              <w:spacing w:before="37"/>
              <w:ind w:left="310" w:right="301"/>
              <w:rPr>
                <w:rFonts w:ascii="Times New Roman"/>
                <w:sz w:val="21"/>
              </w:rPr>
            </w:pPr>
            <w:bookmarkStart w:id="629" w:name="7.35"/>
            <w:bookmarkEnd w:id="629"/>
            <w:r>
              <w:rPr>
                <w:rFonts w:ascii="Times New Roman"/>
                <w:sz w:val="21"/>
              </w:rPr>
              <w:t>7.35</w:t>
            </w:r>
          </w:p>
        </w:tc>
        <w:tc>
          <w:tcPr>
            <w:tcW w:w="1294" w:type="dxa"/>
          </w:tcPr>
          <w:p>
            <w:pPr>
              <w:pStyle w:val="14"/>
              <w:spacing w:before="35"/>
              <w:ind w:left="310" w:right="299"/>
              <w:rPr>
                <w:rFonts w:ascii="Times New Roman"/>
                <w:sz w:val="21"/>
              </w:rPr>
            </w:pPr>
            <w:r>
              <w:rPr>
                <w:rFonts w:ascii="Times New Roman"/>
                <w:sz w:val="21"/>
              </w:rPr>
              <w:t>0.18</w:t>
            </w:r>
          </w:p>
        </w:tc>
        <w:tc>
          <w:tcPr>
            <w:tcW w:w="1294" w:type="dxa"/>
          </w:tcPr>
          <w:p>
            <w:pPr>
              <w:pStyle w:val="14"/>
              <w:spacing w:before="37"/>
              <w:ind w:left="310" w:right="300"/>
              <w:rPr>
                <w:rFonts w:ascii="Times New Roman"/>
                <w:sz w:val="21"/>
              </w:rPr>
            </w:pPr>
            <w:bookmarkStart w:id="630" w:name="7.32"/>
            <w:bookmarkEnd w:id="630"/>
            <w:r>
              <w:rPr>
                <w:rFonts w:ascii="Times New Roman"/>
                <w:sz w:val="21"/>
              </w:rPr>
              <w:t>7.32</w:t>
            </w:r>
          </w:p>
        </w:tc>
        <w:tc>
          <w:tcPr>
            <w:tcW w:w="1294" w:type="dxa"/>
          </w:tcPr>
          <w:p>
            <w:pPr>
              <w:pStyle w:val="14"/>
              <w:spacing w:before="35"/>
              <w:ind w:left="310" w:right="301"/>
              <w:rPr>
                <w:rFonts w:ascii="Times New Roman"/>
                <w:sz w:val="21"/>
              </w:rPr>
            </w:pPr>
            <w:r>
              <w:rPr>
                <w:rFonts w:ascii="Times New Roman"/>
                <w:sz w:val="21"/>
              </w:rPr>
              <w:t>0.16</w:t>
            </w:r>
          </w:p>
        </w:tc>
        <w:tc>
          <w:tcPr>
            <w:tcW w:w="1294" w:type="dxa"/>
          </w:tcPr>
          <w:p>
            <w:pPr>
              <w:pStyle w:val="14"/>
              <w:spacing w:before="37"/>
              <w:ind w:left="310" w:right="302"/>
              <w:rPr>
                <w:rFonts w:ascii="Times New Roman"/>
                <w:sz w:val="21"/>
              </w:rPr>
            </w:pPr>
            <w:bookmarkStart w:id="631" w:name="7.29"/>
            <w:bookmarkEnd w:id="631"/>
            <w:r>
              <w:rPr>
                <w:rFonts w:ascii="Times New Roman"/>
                <w:sz w:val="21"/>
              </w:rPr>
              <w:t>7.29</w:t>
            </w:r>
          </w:p>
        </w:tc>
        <w:tc>
          <w:tcPr>
            <w:tcW w:w="1299" w:type="dxa"/>
          </w:tcPr>
          <w:p>
            <w:pPr>
              <w:pStyle w:val="14"/>
              <w:spacing w:before="35"/>
              <w:ind w:left="314" w:right="302"/>
              <w:rPr>
                <w:rFonts w:ascii="Times New Roman"/>
                <w:sz w:val="21"/>
              </w:rPr>
            </w:pPr>
            <w:r>
              <w:rPr>
                <w:rFonts w:ascii="Times New Roman"/>
                <w:sz w:val="21"/>
              </w:rPr>
              <w:t>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20"/>
              <w:ind w:left="128"/>
              <w:jc w:val="left"/>
              <w:rPr>
                <w:sz w:val="21"/>
              </w:rPr>
            </w:pPr>
            <w:r>
              <w:rPr>
                <w:rFonts w:ascii="Times New Roman" w:eastAsia="Times New Roman"/>
                <w:sz w:val="21"/>
              </w:rPr>
              <w:t>COD</w:t>
            </w:r>
            <w:r>
              <w:rPr>
                <w:sz w:val="21"/>
              </w:rPr>
              <w:t>（</w:t>
            </w:r>
            <w:r>
              <w:rPr>
                <w:rFonts w:ascii="Times New Roman" w:eastAsia="Times New Roman"/>
                <w:sz w:val="21"/>
              </w:rPr>
              <w:t>mg/L</w:t>
            </w:r>
            <w:r>
              <w:rPr>
                <w:sz w:val="21"/>
              </w:rPr>
              <w:t>）</w:t>
            </w:r>
          </w:p>
        </w:tc>
        <w:tc>
          <w:tcPr>
            <w:tcW w:w="1294" w:type="dxa"/>
          </w:tcPr>
          <w:p>
            <w:pPr>
              <w:pStyle w:val="14"/>
              <w:spacing w:before="37"/>
              <w:ind w:left="309" w:right="302"/>
              <w:rPr>
                <w:rFonts w:ascii="Times New Roman"/>
                <w:sz w:val="21"/>
              </w:rPr>
            </w:pPr>
            <w:bookmarkStart w:id="632" w:name="47"/>
            <w:bookmarkEnd w:id="632"/>
            <w:r>
              <w:rPr>
                <w:rFonts w:ascii="Times New Roman"/>
                <w:sz w:val="21"/>
              </w:rPr>
              <w:t>47</w:t>
            </w:r>
          </w:p>
        </w:tc>
        <w:tc>
          <w:tcPr>
            <w:tcW w:w="1294" w:type="dxa"/>
          </w:tcPr>
          <w:p>
            <w:pPr>
              <w:pStyle w:val="14"/>
              <w:spacing w:before="34"/>
              <w:ind w:left="310" w:right="299"/>
              <w:rPr>
                <w:rFonts w:ascii="Times New Roman"/>
                <w:sz w:val="21"/>
              </w:rPr>
            </w:pPr>
            <w:r>
              <w:rPr>
                <w:rFonts w:ascii="Times New Roman"/>
                <w:sz w:val="21"/>
              </w:rPr>
              <w:t>2.35</w:t>
            </w:r>
          </w:p>
        </w:tc>
        <w:tc>
          <w:tcPr>
            <w:tcW w:w="1294" w:type="dxa"/>
          </w:tcPr>
          <w:p>
            <w:pPr>
              <w:pStyle w:val="14"/>
              <w:spacing w:before="37"/>
              <w:ind w:left="310" w:right="300"/>
              <w:rPr>
                <w:rFonts w:ascii="Times New Roman"/>
                <w:sz w:val="21"/>
              </w:rPr>
            </w:pPr>
            <w:bookmarkStart w:id="633" w:name="48"/>
            <w:bookmarkEnd w:id="633"/>
            <w:r>
              <w:rPr>
                <w:rFonts w:ascii="Times New Roman"/>
                <w:sz w:val="21"/>
              </w:rPr>
              <w:t>48</w:t>
            </w:r>
          </w:p>
        </w:tc>
        <w:tc>
          <w:tcPr>
            <w:tcW w:w="1294" w:type="dxa"/>
          </w:tcPr>
          <w:p>
            <w:pPr>
              <w:pStyle w:val="14"/>
              <w:spacing w:before="34"/>
              <w:ind w:left="310" w:right="301"/>
              <w:rPr>
                <w:rFonts w:ascii="Times New Roman"/>
                <w:sz w:val="21"/>
              </w:rPr>
            </w:pPr>
            <w:r>
              <w:rPr>
                <w:rFonts w:ascii="Times New Roman"/>
                <w:sz w:val="21"/>
              </w:rPr>
              <w:t>2.40</w:t>
            </w:r>
          </w:p>
        </w:tc>
        <w:tc>
          <w:tcPr>
            <w:tcW w:w="1294" w:type="dxa"/>
          </w:tcPr>
          <w:p>
            <w:pPr>
              <w:pStyle w:val="14"/>
              <w:spacing w:before="37"/>
              <w:ind w:left="310" w:right="302"/>
              <w:rPr>
                <w:rFonts w:ascii="Times New Roman"/>
                <w:sz w:val="21"/>
              </w:rPr>
            </w:pPr>
            <w:bookmarkStart w:id="634" w:name="42"/>
            <w:bookmarkEnd w:id="634"/>
            <w:r>
              <w:rPr>
                <w:rFonts w:ascii="Times New Roman"/>
                <w:sz w:val="21"/>
              </w:rPr>
              <w:t>42</w:t>
            </w:r>
          </w:p>
        </w:tc>
        <w:tc>
          <w:tcPr>
            <w:tcW w:w="1299" w:type="dxa"/>
          </w:tcPr>
          <w:p>
            <w:pPr>
              <w:pStyle w:val="14"/>
              <w:spacing w:before="34"/>
              <w:ind w:left="314" w:right="302"/>
              <w:rPr>
                <w:rFonts w:ascii="Times New Roman"/>
                <w:sz w:val="21"/>
              </w:rPr>
            </w:pPr>
            <w:r>
              <w:rPr>
                <w:rFonts w:ascii="Times New Roman"/>
                <w:sz w:val="21"/>
              </w:rPr>
              <w:t>2.10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575" w:type="dxa"/>
          </w:tcPr>
          <w:p>
            <w:pPr>
              <w:pStyle w:val="14"/>
              <w:spacing w:before="20"/>
              <w:ind w:left="106" w:right="-15"/>
              <w:jc w:val="left"/>
              <w:rPr>
                <w:sz w:val="21"/>
              </w:rPr>
            </w:pPr>
            <w:r>
              <w:rPr>
                <w:spacing w:val="-13"/>
                <w:sz w:val="21"/>
              </w:rPr>
              <w:t>石油类</w:t>
            </w:r>
            <w:r>
              <w:rPr>
                <w:sz w:val="21"/>
              </w:rPr>
              <w:t>（</w:t>
            </w:r>
            <w:r>
              <w:rPr>
                <w:rFonts w:ascii="Times New Roman" w:eastAsia="Times New Roman"/>
                <w:sz w:val="21"/>
              </w:rPr>
              <w:t>mg/L</w:t>
            </w:r>
            <w:r>
              <w:rPr>
                <w:sz w:val="21"/>
              </w:rPr>
              <w:t>）</w:t>
            </w:r>
          </w:p>
        </w:tc>
        <w:tc>
          <w:tcPr>
            <w:tcW w:w="1294" w:type="dxa"/>
          </w:tcPr>
          <w:p>
            <w:pPr>
              <w:pStyle w:val="14"/>
              <w:spacing w:before="39"/>
              <w:ind w:left="310" w:right="299"/>
              <w:rPr>
                <w:rFonts w:ascii="Times New Roman"/>
                <w:sz w:val="21"/>
              </w:rPr>
            </w:pPr>
            <w:bookmarkStart w:id="635" w:name="0.01L"/>
            <w:bookmarkEnd w:id="635"/>
            <w:r>
              <w:rPr>
                <w:rFonts w:ascii="Times New Roman"/>
                <w:sz w:val="21"/>
              </w:rPr>
              <w:t>0.01L</w:t>
            </w:r>
          </w:p>
        </w:tc>
        <w:tc>
          <w:tcPr>
            <w:tcW w:w="1294" w:type="dxa"/>
          </w:tcPr>
          <w:p>
            <w:pPr>
              <w:pStyle w:val="14"/>
              <w:spacing w:before="20"/>
              <w:ind w:left="309" w:right="302"/>
              <w:rPr>
                <w:sz w:val="21"/>
              </w:rPr>
            </w:pPr>
            <w:r>
              <w:rPr>
                <w:sz w:val="21"/>
              </w:rPr>
              <w:t>未检出</w:t>
            </w:r>
          </w:p>
        </w:tc>
        <w:tc>
          <w:tcPr>
            <w:tcW w:w="1294" w:type="dxa"/>
          </w:tcPr>
          <w:p>
            <w:pPr>
              <w:pStyle w:val="14"/>
              <w:spacing w:before="39"/>
              <w:ind w:left="310" w:right="301"/>
              <w:rPr>
                <w:rFonts w:ascii="Times New Roman"/>
                <w:sz w:val="21"/>
              </w:rPr>
            </w:pPr>
            <w:bookmarkStart w:id="636" w:name="0.01L"/>
            <w:bookmarkEnd w:id="636"/>
            <w:r>
              <w:rPr>
                <w:rFonts w:ascii="Times New Roman"/>
                <w:sz w:val="21"/>
              </w:rPr>
              <w:t>0.01L</w:t>
            </w:r>
          </w:p>
        </w:tc>
        <w:tc>
          <w:tcPr>
            <w:tcW w:w="1294" w:type="dxa"/>
          </w:tcPr>
          <w:p>
            <w:pPr>
              <w:pStyle w:val="14"/>
              <w:spacing w:before="20"/>
              <w:ind w:left="308" w:right="302"/>
              <w:rPr>
                <w:sz w:val="21"/>
              </w:rPr>
            </w:pPr>
            <w:r>
              <w:rPr>
                <w:sz w:val="21"/>
              </w:rPr>
              <w:t>未检出</w:t>
            </w:r>
          </w:p>
        </w:tc>
        <w:tc>
          <w:tcPr>
            <w:tcW w:w="1294" w:type="dxa"/>
          </w:tcPr>
          <w:p>
            <w:pPr>
              <w:pStyle w:val="14"/>
              <w:spacing w:before="39"/>
              <w:ind w:left="310" w:right="300"/>
              <w:rPr>
                <w:rFonts w:ascii="Times New Roman"/>
                <w:sz w:val="21"/>
              </w:rPr>
            </w:pPr>
            <w:bookmarkStart w:id="637" w:name="0.01L"/>
            <w:bookmarkEnd w:id="637"/>
            <w:r>
              <w:rPr>
                <w:rFonts w:ascii="Times New Roman"/>
                <w:sz w:val="21"/>
              </w:rPr>
              <w:t>0.01L</w:t>
            </w:r>
          </w:p>
        </w:tc>
        <w:tc>
          <w:tcPr>
            <w:tcW w:w="1299" w:type="dxa"/>
          </w:tcPr>
          <w:p>
            <w:pPr>
              <w:pStyle w:val="14"/>
              <w:spacing w:before="20"/>
              <w:ind w:left="314" w:right="305"/>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20"/>
              <w:ind w:left="140"/>
              <w:jc w:val="left"/>
              <w:rPr>
                <w:sz w:val="21"/>
              </w:rPr>
            </w:pPr>
            <w:r>
              <w:rPr>
                <w:sz w:val="21"/>
              </w:rPr>
              <w:t>总铁（</w:t>
            </w:r>
            <w:r>
              <w:rPr>
                <w:rFonts w:ascii="Times New Roman" w:eastAsia="Times New Roman"/>
                <w:sz w:val="21"/>
              </w:rPr>
              <w:t>mg/L</w:t>
            </w:r>
            <w:r>
              <w:rPr>
                <w:sz w:val="21"/>
              </w:rPr>
              <w:t>）</w:t>
            </w:r>
          </w:p>
        </w:tc>
        <w:tc>
          <w:tcPr>
            <w:tcW w:w="1294" w:type="dxa"/>
          </w:tcPr>
          <w:p>
            <w:pPr>
              <w:pStyle w:val="14"/>
              <w:spacing w:before="38"/>
              <w:ind w:left="310" w:right="301"/>
              <w:rPr>
                <w:rFonts w:ascii="Times New Roman"/>
                <w:sz w:val="21"/>
              </w:rPr>
            </w:pPr>
            <w:bookmarkStart w:id="638" w:name="0.41"/>
            <w:bookmarkEnd w:id="638"/>
            <w:r>
              <w:rPr>
                <w:rFonts w:ascii="Times New Roman"/>
                <w:sz w:val="21"/>
              </w:rPr>
              <w:t>0.41</w:t>
            </w:r>
          </w:p>
        </w:tc>
        <w:tc>
          <w:tcPr>
            <w:tcW w:w="1294" w:type="dxa"/>
          </w:tcPr>
          <w:p>
            <w:pPr>
              <w:pStyle w:val="14"/>
              <w:spacing w:before="34"/>
              <w:ind w:left="310" w:right="299"/>
              <w:rPr>
                <w:rFonts w:ascii="Times New Roman"/>
                <w:sz w:val="21"/>
              </w:rPr>
            </w:pPr>
            <w:r>
              <w:rPr>
                <w:rFonts w:ascii="Times New Roman"/>
                <w:sz w:val="21"/>
              </w:rPr>
              <w:t>1.37</w:t>
            </w:r>
          </w:p>
        </w:tc>
        <w:tc>
          <w:tcPr>
            <w:tcW w:w="1294" w:type="dxa"/>
          </w:tcPr>
          <w:p>
            <w:pPr>
              <w:pStyle w:val="14"/>
              <w:spacing w:before="38"/>
              <w:ind w:left="310" w:right="300"/>
              <w:rPr>
                <w:rFonts w:ascii="Times New Roman"/>
                <w:sz w:val="21"/>
              </w:rPr>
            </w:pPr>
            <w:bookmarkStart w:id="639" w:name="0.40"/>
            <w:bookmarkEnd w:id="639"/>
            <w:r>
              <w:rPr>
                <w:rFonts w:ascii="Times New Roman"/>
                <w:sz w:val="21"/>
              </w:rPr>
              <w:t>0.40</w:t>
            </w:r>
          </w:p>
        </w:tc>
        <w:tc>
          <w:tcPr>
            <w:tcW w:w="1294" w:type="dxa"/>
          </w:tcPr>
          <w:p>
            <w:pPr>
              <w:pStyle w:val="14"/>
              <w:spacing w:before="34"/>
              <w:ind w:left="310" w:right="301"/>
              <w:rPr>
                <w:rFonts w:ascii="Times New Roman"/>
                <w:sz w:val="21"/>
              </w:rPr>
            </w:pPr>
            <w:r>
              <w:rPr>
                <w:rFonts w:ascii="Times New Roman"/>
                <w:sz w:val="21"/>
              </w:rPr>
              <w:t>1.33</w:t>
            </w:r>
          </w:p>
        </w:tc>
        <w:tc>
          <w:tcPr>
            <w:tcW w:w="1294" w:type="dxa"/>
          </w:tcPr>
          <w:p>
            <w:pPr>
              <w:pStyle w:val="14"/>
              <w:spacing w:before="38"/>
              <w:ind w:left="310" w:right="302"/>
              <w:rPr>
                <w:rFonts w:ascii="Times New Roman"/>
                <w:sz w:val="21"/>
              </w:rPr>
            </w:pPr>
            <w:bookmarkStart w:id="640" w:name="0.39"/>
            <w:bookmarkEnd w:id="640"/>
            <w:r>
              <w:rPr>
                <w:rFonts w:ascii="Times New Roman"/>
                <w:sz w:val="21"/>
              </w:rPr>
              <w:t>0.39</w:t>
            </w:r>
          </w:p>
        </w:tc>
        <w:tc>
          <w:tcPr>
            <w:tcW w:w="1299" w:type="dxa"/>
          </w:tcPr>
          <w:p>
            <w:pPr>
              <w:pStyle w:val="14"/>
              <w:spacing w:before="34"/>
              <w:ind w:left="314" w:right="302"/>
              <w:rPr>
                <w:rFonts w:ascii="Times New Roman"/>
                <w:sz w:val="21"/>
              </w:rPr>
            </w:pPr>
            <w:r>
              <w:rPr>
                <w:rFonts w:ascii="Times New Roman"/>
                <w:sz w:val="21"/>
              </w:rPr>
              <w:t>1.30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575" w:type="dxa"/>
          </w:tcPr>
          <w:p>
            <w:pPr>
              <w:pStyle w:val="14"/>
              <w:spacing w:before="19"/>
              <w:ind w:left="140"/>
              <w:jc w:val="left"/>
              <w:rPr>
                <w:sz w:val="21"/>
              </w:rPr>
            </w:pPr>
            <w:r>
              <w:rPr>
                <w:sz w:val="21"/>
              </w:rPr>
              <w:t>总锰（</w:t>
            </w:r>
            <w:r>
              <w:rPr>
                <w:rFonts w:ascii="Times New Roman" w:eastAsia="Times New Roman"/>
                <w:sz w:val="21"/>
              </w:rPr>
              <w:t>mg/L</w:t>
            </w:r>
            <w:r>
              <w:rPr>
                <w:sz w:val="21"/>
              </w:rPr>
              <w:t>）</w:t>
            </w:r>
          </w:p>
        </w:tc>
        <w:tc>
          <w:tcPr>
            <w:tcW w:w="1294" w:type="dxa"/>
          </w:tcPr>
          <w:p>
            <w:pPr>
              <w:pStyle w:val="14"/>
              <w:spacing w:before="38"/>
              <w:ind w:left="310" w:right="301"/>
              <w:rPr>
                <w:rFonts w:ascii="Times New Roman"/>
                <w:sz w:val="21"/>
              </w:rPr>
            </w:pPr>
            <w:bookmarkStart w:id="641" w:name="0.01"/>
            <w:bookmarkEnd w:id="641"/>
            <w:r>
              <w:rPr>
                <w:rFonts w:ascii="Times New Roman"/>
                <w:sz w:val="21"/>
              </w:rPr>
              <w:t>0.01</w:t>
            </w:r>
          </w:p>
        </w:tc>
        <w:tc>
          <w:tcPr>
            <w:tcW w:w="1294" w:type="dxa"/>
          </w:tcPr>
          <w:p>
            <w:pPr>
              <w:pStyle w:val="14"/>
              <w:spacing w:before="36"/>
              <w:ind w:left="310" w:right="299"/>
              <w:rPr>
                <w:rFonts w:ascii="Times New Roman"/>
                <w:sz w:val="21"/>
              </w:rPr>
            </w:pPr>
            <w:r>
              <w:rPr>
                <w:rFonts w:ascii="Times New Roman"/>
                <w:sz w:val="21"/>
              </w:rPr>
              <w:t>0.10</w:t>
            </w:r>
          </w:p>
        </w:tc>
        <w:tc>
          <w:tcPr>
            <w:tcW w:w="1294" w:type="dxa"/>
          </w:tcPr>
          <w:p>
            <w:pPr>
              <w:pStyle w:val="14"/>
              <w:spacing w:before="38"/>
              <w:ind w:left="310" w:right="300"/>
              <w:rPr>
                <w:rFonts w:ascii="Times New Roman"/>
                <w:sz w:val="21"/>
              </w:rPr>
            </w:pPr>
            <w:bookmarkStart w:id="642" w:name="0.01"/>
            <w:bookmarkEnd w:id="642"/>
            <w:r>
              <w:rPr>
                <w:rFonts w:ascii="Times New Roman"/>
                <w:sz w:val="21"/>
              </w:rPr>
              <w:t>0.01</w:t>
            </w:r>
          </w:p>
        </w:tc>
        <w:tc>
          <w:tcPr>
            <w:tcW w:w="1294" w:type="dxa"/>
          </w:tcPr>
          <w:p>
            <w:pPr>
              <w:pStyle w:val="14"/>
              <w:spacing w:before="36"/>
              <w:ind w:left="310" w:right="301"/>
              <w:rPr>
                <w:rFonts w:ascii="Times New Roman"/>
                <w:sz w:val="21"/>
              </w:rPr>
            </w:pPr>
            <w:r>
              <w:rPr>
                <w:rFonts w:ascii="Times New Roman"/>
                <w:sz w:val="21"/>
              </w:rPr>
              <w:t>0.10</w:t>
            </w:r>
          </w:p>
        </w:tc>
        <w:tc>
          <w:tcPr>
            <w:tcW w:w="1294" w:type="dxa"/>
          </w:tcPr>
          <w:p>
            <w:pPr>
              <w:pStyle w:val="14"/>
              <w:spacing w:before="38"/>
              <w:ind w:left="310" w:right="302"/>
              <w:rPr>
                <w:rFonts w:ascii="Times New Roman"/>
                <w:sz w:val="21"/>
              </w:rPr>
            </w:pPr>
            <w:bookmarkStart w:id="643" w:name="0.01"/>
            <w:bookmarkEnd w:id="643"/>
            <w:r>
              <w:rPr>
                <w:rFonts w:ascii="Times New Roman"/>
                <w:sz w:val="21"/>
              </w:rPr>
              <w:t>0.01</w:t>
            </w:r>
          </w:p>
        </w:tc>
        <w:tc>
          <w:tcPr>
            <w:tcW w:w="1299" w:type="dxa"/>
          </w:tcPr>
          <w:p>
            <w:pPr>
              <w:pStyle w:val="14"/>
              <w:spacing w:before="36"/>
              <w:ind w:left="314" w:right="302"/>
              <w:rPr>
                <w:rFonts w:ascii="Times New Roman"/>
                <w:sz w:val="21"/>
              </w:rPr>
            </w:pPr>
            <w:r>
              <w:rPr>
                <w:rFonts w:ascii="Times New Roman"/>
                <w:sz w:val="21"/>
              </w:rPr>
              <w: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19"/>
              <w:ind w:left="166"/>
              <w:jc w:val="left"/>
              <w:rPr>
                <w:sz w:val="21"/>
              </w:rPr>
            </w:pPr>
            <w:r>
              <w:rPr>
                <w:sz w:val="21"/>
              </w:rPr>
              <w:t>总汞（</w:t>
            </w:r>
            <w:r>
              <w:rPr>
                <w:rFonts w:ascii="Times New Roman" w:hAnsi="Times New Roman" w:eastAsia="Times New Roman"/>
                <w:sz w:val="21"/>
              </w:rPr>
              <w:t>μg/L</w:t>
            </w:r>
            <w:r>
              <w:rPr>
                <w:sz w:val="21"/>
              </w:rPr>
              <w:t>）</w:t>
            </w:r>
          </w:p>
        </w:tc>
        <w:tc>
          <w:tcPr>
            <w:tcW w:w="1294" w:type="dxa"/>
          </w:tcPr>
          <w:p>
            <w:pPr>
              <w:pStyle w:val="14"/>
              <w:spacing w:before="38"/>
              <w:ind w:left="310" w:right="299"/>
              <w:rPr>
                <w:rFonts w:ascii="Times New Roman"/>
                <w:sz w:val="21"/>
              </w:rPr>
            </w:pPr>
            <w:bookmarkStart w:id="644" w:name="0.04L"/>
            <w:bookmarkEnd w:id="644"/>
            <w:r>
              <w:rPr>
                <w:rFonts w:ascii="Times New Roman"/>
                <w:sz w:val="21"/>
              </w:rPr>
              <w:t>0.04L</w:t>
            </w:r>
          </w:p>
        </w:tc>
        <w:tc>
          <w:tcPr>
            <w:tcW w:w="1294" w:type="dxa"/>
          </w:tcPr>
          <w:p>
            <w:pPr>
              <w:pStyle w:val="14"/>
              <w:spacing w:before="19"/>
              <w:ind w:left="309" w:right="302"/>
              <w:rPr>
                <w:sz w:val="21"/>
              </w:rPr>
            </w:pPr>
            <w:r>
              <w:rPr>
                <w:sz w:val="21"/>
              </w:rPr>
              <w:t>未检出</w:t>
            </w:r>
          </w:p>
        </w:tc>
        <w:tc>
          <w:tcPr>
            <w:tcW w:w="1294" w:type="dxa"/>
          </w:tcPr>
          <w:p>
            <w:pPr>
              <w:pStyle w:val="14"/>
              <w:spacing w:before="38"/>
              <w:ind w:left="310" w:right="301"/>
              <w:rPr>
                <w:rFonts w:ascii="Times New Roman"/>
                <w:sz w:val="21"/>
              </w:rPr>
            </w:pPr>
            <w:bookmarkStart w:id="645" w:name="0.04L"/>
            <w:bookmarkEnd w:id="645"/>
            <w:r>
              <w:rPr>
                <w:rFonts w:ascii="Times New Roman"/>
                <w:sz w:val="21"/>
              </w:rPr>
              <w:t>0.04L</w:t>
            </w:r>
          </w:p>
        </w:tc>
        <w:tc>
          <w:tcPr>
            <w:tcW w:w="1294" w:type="dxa"/>
          </w:tcPr>
          <w:p>
            <w:pPr>
              <w:pStyle w:val="14"/>
              <w:spacing w:before="19"/>
              <w:ind w:left="308" w:right="302"/>
              <w:rPr>
                <w:sz w:val="21"/>
              </w:rPr>
            </w:pPr>
            <w:r>
              <w:rPr>
                <w:sz w:val="21"/>
              </w:rPr>
              <w:t>未检出</w:t>
            </w:r>
          </w:p>
        </w:tc>
        <w:tc>
          <w:tcPr>
            <w:tcW w:w="1294" w:type="dxa"/>
          </w:tcPr>
          <w:p>
            <w:pPr>
              <w:pStyle w:val="14"/>
              <w:spacing w:before="38"/>
              <w:ind w:left="310" w:right="300"/>
              <w:rPr>
                <w:rFonts w:ascii="Times New Roman"/>
                <w:sz w:val="21"/>
              </w:rPr>
            </w:pPr>
            <w:bookmarkStart w:id="646" w:name="0.04L"/>
            <w:bookmarkEnd w:id="646"/>
            <w:r>
              <w:rPr>
                <w:rFonts w:ascii="Times New Roman"/>
                <w:sz w:val="21"/>
              </w:rPr>
              <w:t>0.04L</w:t>
            </w:r>
          </w:p>
        </w:tc>
        <w:tc>
          <w:tcPr>
            <w:tcW w:w="1299" w:type="dxa"/>
          </w:tcPr>
          <w:p>
            <w:pPr>
              <w:pStyle w:val="14"/>
              <w:spacing w:before="19"/>
              <w:ind w:left="314" w:right="305"/>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21"/>
              <w:ind w:left="166"/>
              <w:jc w:val="left"/>
              <w:rPr>
                <w:sz w:val="21"/>
              </w:rPr>
            </w:pPr>
            <w:r>
              <w:rPr>
                <w:sz w:val="21"/>
              </w:rPr>
              <w:t>总镉（</w:t>
            </w:r>
            <w:r>
              <w:rPr>
                <w:rFonts w:ascii="Times New Roman" w:hAnsi="Times New Roman" w:eastAsia="Times New Roman"/>
                <w:sz w:val="21"/>
              </w:rPr>
              <w:t>μg/L</w:t>
            </w:r>
            <w:r>
              <w:rPr>
                <w:sz w:val="21"/>
              </w:rPr>
              <w:t>）</w:t>
            </w:r>
          </w:p>
        </w:tc>
        <w:tc>
          <w:tcPr>
            <w:tcW w:w="1294" w:type="dxa"/>
          </w:tcPr>
          <w:p>
            <w:pPr>
              <w:pStyle w:val="14"/>
              <w:spacing w:before="37"/>
              <w:ind w:left="310" w:right="299"/>
              <w:rPr>
                <w:rFonts w:ascii="Times New Roman"/>
                <w:sz w:val="21"/>
              </w:rPr>
            </w:pPr>
            <w:bookmarkStart w:id="647" w:name="0.1L"/>
            <w:bookmarkEnd w:id="647"/>
            <w:r>
              <w:rPr>
                <w:rFonts w:ascii="Times New Roman"/>
                <w:sz w:val="21"/>
              </w:rPr>
              <w:t>0.1L</w:t>
            </w:r>
          </w:p>
        </w:tc>
        <w:tc>
          <w:tcPr>
            <w:tcW w:w="1294" w:type="dxa"/>
          </w:tcPr>
          <w:p>
            <w:pPr>
              <w:pStyle w:val="14"/>
              <w:spacing w:before="21"/>
              <w:ind w:left="309" w:right="302"/>
              <w:rPr>
                <w:sz w:val="21"/>
              </w:rPr>
            </w:pPr>
            <w:r>
              <w:rPr>
                <w:sz w:val="21"/>
              </w:rPr>
              <w:t>未检出</w:t>
            </w:r>
          </w:p>
        </w:tc>
        <w:tc>
          <w:tcPr>
            <w:tcW w:w="1294" w:type="dxa"/>
          </w:tcPr>
          <w:p>
            <w:pPr>
              <w:pStyle w:val="14"/>
              <w:spacing w:before="37"/>
              <w:ind w:left="310" w:right="301"/>
              <w:rPr>
                <w:rFonts w:ascii="Times New Roman"/>
                <w:sz w:val="21"/>
              </w:rPr>
            </w:pPr>
            <w:bookmarkStart w:id="648" w:name="0.1L"/>
            <w:bookmarkEnd w:id="648"/>
            <w:r>
              <w:rPr>
                <w:rFonts w:ascii="Times New Roman"/>
                <w:sz w:val="21"/>
              </w:rPr>
              <w:t>0.1L</w:t>
            </w:r>
          </w:p>
        </w:tc>
        <w:tc>
          <w:tcPr>
            <w:tcW w:w="1294" w:type="dxa"/>
          </w:tcPr>
          <w:p>
            <w:pPr>
              <w:pStyle w:val="14"/>
              <w:spacing w:before="21"/>
              <w:ind w:left="308" w:right="302"/>
              <w:rPr>
                <w:sz w:val="21"/>
              </w:rPr>
            </w:pPr>
            <w:r>
              <w:rPr>
                <w:sz w:val="21"/>
              </w:rPr>
              <w:t>未检出</w:t>
            </w:r>
          </w:p>
        </w:tc>
        <w:tc>
          <w:tcPr>
            <w:tcW w:w="1294" w:type="dxa"/>
          </w:tcPr>
          <w:p>
            <w:pPr>
              <w:pStyle w:val="14"/>
              <w:spacing w:before="37"/>
              <w:ind w:left="310" w:right="298"/>
              <w:rPr>
                <w:rFonts w:ascii="Times New Roman"/>
                <w:sz w:val="21"/>
              </w:rPr>
            </w:pPr>
            <w:bookmarkStart w:id="649" w:name="0.1L"/>
            <w:bookmarkEnd w:id="649"/>
            <w:r>
              <w:rPr>
                <w:rFonts w:ascii="Times New Roman"/>
                <w:sz w:val="21"/>
              </w:rPr>
              <w:t>0.1L</w:t>
            </w:r>
          </w:p>
        </w:tc>
        <w:tc>
          <w:tcPr>
            <w:tcW w:w="1299" w:type="dxa"/>
          </w:tcPr>
          <w:p>
            <w:pPr>
              <w:pStyle w:val="14"/>
              <w:spacing w:before="21"/>
              <w:ind w:left="314" w:right="305"/>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575" w:type="dxa"/>
          </w:tcPr>
          <w:p>
            <w:pPr>
              <w:pStyle w:val="14"/>
              <w:spacing w:before="20"/>
              <w:ind w:left="140"/>
              <w:jc w:val="left"/>
              <w:rPr>
                <w:sz w:val="21"/>
              </w:rPr>
            </w:pPr>
            <w:r>
              <w:rPr>
                <w:sz w:val="21"/>
              </w:rPr>
              <w:t>总铬（</w:t>
            </w:r>
            <w:r>
              <w:rPr>
                <w:rFonts w:ascii="Times New Roman" w:eastAsia="Times New Roman"/>
                <w:sz w:val="21"/>
              </w:rPr>
              <w:t>mg/L</w:t>
            </w:r>
            <w:r>
              <w:rPr>
                <w:sz w:val="21"/>
              </w:rPr>
              <w:t>）</w:t>
            </w:r>
          </w:p>
        </w:tc>
        <w:tc>
          <w:tcPr>
            <w:tcW w:w="1294" w:type="dxa"/>
          </w:tcPr>
          <w:p>
            <w:pPr>
              <w:pStyle w:val="14"/>
              <w:spacing w:before="37"/>
              <w:ind w:left="310" w:right="299"/>
              <w:rPr>
                <w:rFonts w:ascii="Times New Roman"/>
                <w:sz w:val="21"/>
              </w:rPr>
            </w:pPr>
            <w:bookmarkStart w:id="650" w:name="0.03L"/>
            <w:bookmarkEnd w:id="650"/>
            <w:r>
              <w:rPr>
                <w:rFonts w:ascii="Times New Roman"/>
                <w:sz w:val="21"/>
              </w:rPr>
              <w:t>0.03L</w:t>
            </w:r>
          </w:p>
        </w:tc>
        <w:tc>
          <w:tcPr>
            <w:tcW w:w="1294" w:type="dxa"/>
          </w:tcPr>
          <w:p>
            <w:pPr>
              <w:pStyle w:val="14"/>
              <w:spacing w:before="20"/>
              <w:ind w:left="309" w:right="302"/>
              <w:rPr>
                <w:sz w:val="21"/>
              </w:rPr>
            </w:pPr>
            <w:r>
              <w:rPr>
                <w:sz w:val="21"/>
              </w:rPr>
              <w:t>未检出</w:t>
            </w:r>
          </w:p>
        </w:tc>
        <w:tc>
          <w:tcPr>
            <w:tcW w:w="1294" w:type="dxa"/>
          </w:tcPr>
          <w:p>
            <w:pPr>
              <w:pStyle w:val="14"/>
              <w:spacing w:before="37"/>
              <w:ind w:left="310" w:right="301"/>
              <w:rPr>
                <w:rFonts w:ascii="Times New Roman"/>
                <w:sz w:val="21"/>
              </w:rPr>
            </w:pPr>
            <w:bookmarkStart w:id="651" w:name="0.03L"/>
            <w:bookmarkEnd w:id="651"/>
            <w:r>
              <w:rPr>
                <w:rFonts w:ascii="Times New Roman"/>
                <w:sz w:val="21"/>
              </w:rPr>
              <w:t>0.03L</w:t>
            </w:r>
          </w:p>
        </w:tc>
        <w:tc>
          <w:tcPr>
            <w:tcW w:w="1294" w:type="dxa"/>
          </w:tcPr>
          <w:p>
            <w:pPr>
              <w:pStyle w:val="14"/>
              <w:spacing w:before="20"/>
              <w:ind w:left="308" w:right="302"/>
              <w:rPr>
                <w:sz w:val="21"/>
              </w:rPr>
            </w:pPr>
            <w:r>
              <w:rPr>
                <w:sz w:val="21"/>
              </w:rPr>
              <w:t>未检出</w:t>
            </w:r>
          </w:p>
        </w:tc>
        <w:tc>
          <w:tcPr>
            <w:tcW w:w="1294" w:type="dxa"/>
          </w:tcPr>
          <w:p>
            <w:pPr>
              <w:pStyle w:val="14"/>
              <w:spacing w:before="37"/>
              <w:ind w:left="310" w:right="300"/>
              <w:rPr>
                <w:rFonts w:ascii="Times New Roman"/>
                <w:sz w:val="21"/>
              </w:rPr>
            </w:pPr>
            <w:bookmarkStart w:id="652" w:name="0.03L"/>
            <w:bookmarkEnd w:id="652"/>
            <w:r>
              <w:rPr>
                <w:rFonts w:ascii="Times New Roman"/>
                <w:sz w:val="21"/>
              </w:rPr>
              <w:t>0.03L</w:t>
            </w:r>
          </w:p>
        </w:tc>
        <w:tc>
          <w:tcPr>
            <w:tcW w:w="1299" w:type="dxa"/>
          </w:tcPr>
          <w:p>
            <w:pPr>
              <w:pStyle w:val="14"/>
              <w:spacing w:before="20"/>
              <w:ind w:left="314" w:right="305"/>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20"/>
              <w:ind w:left="166"/>
              <w:jc w:val="left"/>
              <w:rPr>
                <w:sz w:val="21"/>
              </w:rPr>
            </w:pPr>
            <w:r>
              <w:rPr>
                <w:sz w:val="21"/>
              </w:rPr>
              <w:t>总铅（</w:t>
            </w:r>
            <w:r>
              <w:rPr>
                <w:rFonts w:ascii="Times New Roman" w:hAnsi="Times New Roman" w:eastAsia="Times New Roman"/>
                <w:sz w:val="21"/>
              </w:rPr>
              <w:t>μg/L</w:t>
            </w:r>
            <w:r>
              <w:rPr>
                <w:sz w:val="21"/>
              </w:rPr>
              <w:t>）</w:t>
            </w:r>
          </w:p>
        </w:tc>
        <w:tc>
          <w:tcPr>
            <w:tcW w:w="1294" w:type="dxa"/>
          </w:tcPr>
          <w:p>
            <w:pPr>
              <w:pStyle w:val="14"/>
              <w:spacing w:before="39"/>
              <w:ind w:left="310" w:right="299"/>
              <w:rPr>
                <w:rFonts w:ascii="Times New Roman"/>
                <w:sz w:val="21"/>
              </w:rPr>
            </w:pPr>
            <w:bookmarkStart w:id="653" w:name="10L"/>
            <w:bookmarkEnd w:id="653"/>
            <w:r>
              <w:rPr>
                <w:rFonts w:ascii="Times New Roman"/>
                <w:sz w:val="21"/>
              </w:rPr>
              <w:t>10L</w:t>
            </w:r>
          </w:p>
        </w:tc>
        <w:tc>
          <w:tcPr>
            <w:tcW w:w="1294" w:type="dxa"/>
          </w:tcPr>
          <w:p>
            <w:pPr>
              <w:pStyle w:val="14"/>
              <w:spacing w:before="20"/>
              <w:ind w:left="309" w:right="302"/>
              <w:rPr>
                <w:sz w:val="21"/>
              </w:rPr>
            </w:pPr>
            <w:r>
              <w:rPr>
                <w:sz w:val="21"/>
              </w:rPr>
              <w:t>未检出</w:t>
            </w:r>
          </w:p>
        </w:tc>
        <w:tc>
          <w:tcPr>
            <w:tcW w:w="1294" w:type="dxa"/>
          </w:tcPr>
          <w:p>
            <w:pPr>
              <w:pStyle w:val="14"/>
              <w:spacing w:before="39"/>
              <w:ind w:left="310" w:right="301"/>
              <w:rPr>
                <w:rFonts w:ascii="Times New Roman"/>
                <w:sz w:val="21"/>
              </w:rPr>
            </w:pPr>
            <w:bookmarkStart w:id="654" w:name="10L"/>
            <w:bookmarkEnd w:id="654"/>
            <w:r>
              <w:rPr>
                <w:rFonts w:ascii="Times New Roman"/>
                <w:sz w:val="21"/>
              </w:rPr>
              <w:t>10L</w:t>
            </w:r>
          </w:p>
        </w:tc>
        <w:tc>
          <w:tcPr>
            <w:tcW w:w="1294" w:type="dxa"/>
          </w:tcPr>
          <w:p>
            <w:pPr>
              <w:pStyle w:val="14"/>
              <w:spacing w:before="20"/>
              <w:ind w:left="308" w:right="302"/>
              <w:rPr>
                <w:sz w:val="21"/>
              </w:rPr>
            </w:pPr>
            <w:r>
              <w:rPr>
                <w:sz w:val="21"/>
              </w:rPr>
              <w:t>未检出</w:t>
            </w:r>
          </w:p>
        </w:tc>
        <w:tc>
          <w:tcPr>
            <w:tcW w:w="1294" w:type="dxa"/>
          </w:tcPr>
          <w:p>
            <w:pPr>
              <w:pStyle w:val="14"/>
              <w:spacing w:before="39"/>
              <w:ind w:left="310" w:right="302"/>
              <w:rPr>
                <w:rFonts w:ascii="Times New Roman"/>
                <w:sz w:val="21"/>
              </w:rPr>
            </w:pPr>
            <w:bookmarkStart w:id="655" w:name="10L"/>
            <w:bookmarkEnd w:id="655"/>
            <w:r>
              <w:rPr>
                <w:rFonts w:ascii="Times New Roman"/>
                <w:sz w:val="21"/>
              </w:rPr>
              <w:t>10L</w:t>
            </w:r>
          </w:p>
        </w:tc>
        <w:tc>
          <w:tcPr>
            <w:tcW w:w="1299" w:type="dxa"/>
          </w:tcPr>
          <w:p>
            <w:pPr>
              <w:pStyle w:val="14"/>
              <w:spacing w:before="20"/>
              <w:ind w:left="314" w:right="305"/>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575" w:type="dxa"/>
          </w:tcPr>
          <w:p>
            <w:pPr>
              <w:pStyle w:val="14"/>
              <w:spacing w:before="20"/>
              <w:ind w:left="166"/>
              <w:jc w:val="left"/>
              <w:rPr>
                <w:sz w:val="21"/>
              </w:rPr>
            </w:pPr>
            <w:r>
              <w:rPr>
                <w:sz w:val="21"/>
              </w:rPr>
              <w:t>总砷（</w:t>
            </w:r>
            <w:r>
              <w:rPr>
                <w:rFonts w:ascii="Times New Roman" w:hAnsi="Times New Roman" w:eastAsia="Times New Roman"/>
                <w:sz w:val="21"/>
              </w:rPr>
              <w:t>μg/L</w:t>
            </w:r>
            <w:r>
              <w:rPr>
                <w:sz w:val="21"/>
              </w:rPr>
              <w:t>）</w:t>
            </w:r>
          </w:p>
        </w:tc>
        <w:tc>
          <w:tcPr>
            <w:tcW w:w="1294" w:type="dxa"/>
          </w:tcPr>
          <w:p>
            <w:pPr>
              <w:pStyle w:val="14"/>
              <w:spacing w:before="38"/>
              <w:ind w:left="310" w:right="299"/>
              <w:rPr>
                <w:rFonts w:ascii="Times New Roman"/>
                <w:sz w:val="21"/>
              </w:rPr>
            </w:pPr>
            <w:bookmarkStart w:id="656" w:name="0.3L"/>
            <w:bookmarkEnd w:id="656"/>
            <w:r>
              <w:rPr>
                <w:rFonts w:ascii="Times New Roman"/>
                <w:sz w:val="21"/>
              </w:rPr>
              <w:t>0.3L</w:t>
            </w:r>
          </w:p>
        </w:tc>
        <w:tc>
          <w:tcPr>
            <w:tcW w:w="1294" w:type="dxa"/>
          </w:tcPr>
          <w:p>
            <w:pPr>
              <w:pStyle w:val="14"/>
              <w:spacing w:before="20"/>
              <w:ind w:left="309" w:right="302"/>
              <w:rPr>
                <w:sz w:val="21"/>
              </w:rPr>
            </w:pPr>
            <w:r>
              <w:rPr>
                <w:sz w:val="21"/>
              </w:rPr>
              <w:t>未检出</w:t>
            </w:r>
          </w:p>
        </w:tc>
        <w:tc>
          <w:tcPr>
            <w:tcW w:w="1294" w:type="dxa"/>
          </w:tcPr>
          <w:p>
            <w:pPr>
              <w:pStyle w:val="14"/>
              <w:spacing w:before="38"/>
              <w:ind w:left="310" w:right="301"/>
              <w:rPr>
                <w:rFonts w:ascii="Times New Roman"/>
                <w:sz w:val="21"/>
              </w:rPr>
            </w:pPr>
            <w:bookmarkStart w:id="657" w:name="0.3L"/>
            <w:bookmarkEnd w:id="657"/>
            <w:r>
              <w:rPr>
                <w:rFonts w:ascii="Times New Roman"/>
                <w:sz w:val="21"/>
              </w:rPr>
              <w:t>0.3L</w:t>
            </w:r>
          </w:p>
        </w:tc>
        <w:tc>
          <w:tcPr>
            <w:tcW w:w="1294" w:type="dxa"/>
          </w:tcPr>
          <w:p>
            <w:pPr>
              <w:pStyle w:val="14"/>
              <w:spacing w:before="20"/>
              <w:ind w:left="308" w:right="302"/>
              <w:rPr>
                <w:sz w:val="21"/>
              </w:rPr>
            </w:pPr>
            <w:r>
              <w:rPr>
                <w:sz w:val="21"/>
              </w:rPr>
              <w:t>未检出</w:t>
            </w:r>
          </w:p>
        </w:tc>
        <w:tc>
          <w:tcPr>
            <w:tcW w:w="1294" w:type="dxa"/>
          </w:tcPr>
          <w:p>
            <w:pPr>
              <w:pStyle w:val="14"/>
              <w:spacing w:before="38"/>
              <w:ind w:left="310" w:right="298"/>
              <w:rPr>
                <w:rFonts w:ascii="Times New Roman"/>
                <w:sz w:val="21"/>
              </w:rPr>
            </w:pPr>
            <w:bookmarkStart w:id="658" w:name="0.3L"/>
            <w:bookmarkEnd w:id="658"/>
            <w:r>
              <w:rPr>
                <w:rFonts w:ascii="Times New Roman"/>
                <w:sz w:val="21"/>
              </w:rPr>
              <w:t>0.3L</w:t>
            </w:r>
          </w:p>
        </w:tc>
        <w:tc>
          <w:tcPr>
            <w:tcW w:w="1299" w:type="dxa"/>
          </w:tcPr>
          <w:p>
            <w:pPr>
              <w:pStyle w:val="14"/>
              <w:spacing w:before="20"/>
              <w:ind w:left="314" w:right="305"/>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19"/>
              <w:ind w:left="140"/>
              <w:jc w:val="left"/>
              <w:rPr>
                <w:sz w:val="21"/>
              </w:rPr>
            </w:pPr>
            <w:r>
              <w:rPr>
                <w:sz w:val="21"/>
              </w:rPr>
              <w:t>总锌（</w:t>
            </w:r>
            <w:r>
              <w:rPr>
                <w:rFonts w:ascii="Times New Roman" w:eastAsia="Times New Roman"/>
                <w:sz w:val="21"/>
              </w:rPr>
              <w:t>mg/L</w:t>
            </w:r>
            <w:r>
              <w:rPr>
                <w:sz w:val="21"/>
              </w:rPr>
              <w:t>）</w:t>
            </w:r>
          </w:p>
        </w:tc>
        <w:tc>
          <w:tcPr>
            <w:tcW w:w="1294" w:type="dxa"/>
          </w:tcPr>
          <w:p>
            <w:pPr>
              <w:pStyle w:val="14"/>
              <w:spacing w:before="38"/>
              <w:ind w:left="310" w:right="301"/>
              <w:rPr>
                <w:rFonts w:ascii="Times New Roman"/>
                <w:sz w:val="21"/>
              </w:rPr>
            </w:pPr>
            <w:bookmarkStart w:id="659" w:name="0.05"/>
            <w:bookmarkEnd w:id="659"/>
            <w:r>
              <w:rPr>
                <w:rFonts w:ascii="Times New Roman"/>
                <w:sz w:val="21"/>
              </w:rPr>
              <w:t>0.05</w:t>
            </w:r>
          </w:p>
        </w:tc>
        <w:tc>
          <w:tcPr>
            <w:tcW w:w="1294" w:type="dxa"/>
          </w:tcPr>
          <w:p>
            <w:pPr>
              <w:pStyle w:val="14"/>
              <w:spacing w:before="36"/>
              <w:ind w:left="310" w:right="299"/>
              <w:rPr>
                <w:rFonts w:ascii="Times New Roman"/>
                <w:sz w:val="21"/>
              </w:rPr>
            </w:pPr>
            <w:r>
              <w:rPr>
                <w:rFonts w:ascii="Times New Roman"/>
                <w:sz w:val="21"/>
              </w:rPr>
              <w:t>0.05</w:t>
            </w:r>
          </w:p>
        </w:tc>
        <w:tc>
          <w:tcPr>
            <w:tcW w:w="1294" w:type="dxa"/>
          </w:tcPr>
          <w:p>
            <w:pPr>
              <w:pStyle w:val="14"/>
              <w:spacing w:before="38"/>
              <w:ind w:left="310" w:right="300"/>
              <w:rPr>
                <w:rFonts w:ascii="Times New Roman"/>
                <w:sz w:val="21"/>
              </w:rPr>
            </w:pPr>
            <w:bookmarkStart w:id="660" w:name="0.05"/>
            <w:bookmarkEnd w:id="660"/>
            <w:r>
              <w:rPr>
                <w:rFonts w:ascii="Times New Roman"/>
                <w:sz w:val="21"/>
              </w:rPr>
              <w:t>0.05</w:t>
            </w:r>
          </w:p>
        </w:tc>
        <w:tc>
          <w:tcPr>
            <w:tcW w:w="1294" w:type="dxa"/>
          </w:tcPr>
          <w:p>
            <w:pPr>
              <w:pStyle w:val="14"/>
              <w:spacing w:before="36"/>
              <w:ind w:left="310" w:right="301"/>
              <w:rPr>
                <w:rFonts w:ascii="Times New Roman"/>
                <w:sz w:val="21"/>
              </w:rPr>
            </w:pPr>
            <w:r>
              <w:rPr>
                <w:rFonts w:ascii="Times New Roman"/>
                <w:sz w:val="21"/>
              </w:rPr>
              <w:t>0.05</w:t>
            </w:r>
          </w:p>
        </w:tc>
        <w:tc>
          <w:tcPr>
            <w:tcW w:w="1294" w:type="dxa"/>
          </w:tcPr>
          <w:p>
            <w:pPr>
              <w:pStyle w:val="14"/>
              <w:spacing w:before="38"/>
              <w:ind w:left="310" w:right="302"/>
              <w:rPr>
                <w:rFonts w:ascii="Times New Roman"/>
                <w:sz w:val="21"/>
              </w:rPr>
            </w:pPr>
            <w:bookmarkStart w:id="661" w:name="0.05"/>
            <w:bookmarkEnd w:id="661"/>
            <w:r>
              <w:rPr>
                <w:rFonts w:ascii="Times New Roman"/>
                <w:sz w:val="21"/>
              </w:rPr>
              <w:t>0.05</w:t>
            </w:r>
          </w:p>
        </w:tc>
        <w:tc>
          <w:tcPr>
            <w:tcW w:w="1299" w:type="dxa"/>
          </w:tcPr>
          <w:p>
            <w:pPr>
              <w:pStyle w:val="14"/>
              <w:spacing w:before="36"/>
              <w:ind w:left="314" w:right="302"/>
              <w:rPr>
                <w:rFonts w:ascii="Times New Roman"/>
                <w:sz w:val="21"/>
              </w:rPr>
            </w:pPr>
            <w:r>
              <w:rPr>
                <w:rFonts w:ascii="Times New Roman"/>
                <w:sz w:val="21"/>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575" w:type="dxa"/>
          </w:tcPr>
          <w:p>
            <w:pPr>
              <w:pStyle w:val="14"/>
              <w:spacing w:before="19"/>
              <w:ind w:left="106" w:right="-15"/>
              <w:jc w:val="left"/>
              <w:rPr>
                <w:sz w:val="21"/>
              </w:rPr>
            </w:pPr>
            <w:r>
              <w:rPr>
                <w:spacing w:val="-13"/>
                <w:sz w:val="21"/>
              </w:rPr>
              <w:t>六价铬</w:t>
            </w:r>
            <w:r>
              <w:rPr>
                <w:sz w:val="21"/>
              </w:rPr>
              <w:t>（</w:t>
            </w:r>
            <w:r>
              <w:rPr>
                <w:rFonts w:ascii="Times New Roman" w:eastAsia="Times New Roman"/>
                <w:sz w:val="21"/>
              </w:rPr>
              <w:t>mg/L</w:t>
            </w:r>
            <w:r>
              <w:rPr>
                <w:sz w:val="21"/>
              </w:rPr>
              <w:t>）</w:t>
            </w:r>
          </w:p>
        </w:tc>
        <w:tc>
          <w:tcPr>
            <w:tcW w:w="1294" w:type="dxa"/>
          </w:tcPr>
          <w:p>
            <w:pPr>
              <w:pStyle w:val="14"/>
              <w:spacing w:before="38"/>
              <w:ind w:left="310" w:right="302"/>
              <w:rPr>
                <w:rFonts w:ascii="Times New Roman"/>
                <w:sz w:val="21"/>
              </w:rPr>
            </w:pPr>
            <w:bookmarkStart w:id="662" w:name="0.004L"/>
            <w:bookmarkEnd w:id="662"/>
            <w:r>
              <w:rPr>
                <w:rFonts w:ascii="Times New Roman"/>
                <w:sz w:val="21"/>
              </w:rPr>
              <w:t>0.004L</w:t>
            </w:r>
          </w:p>
        </w:tc>
        <w:tc>
          <w:tcPr>
            <w:tcW w:w="1294" w:type="dxa"/>
          </w:tcPr>
          <w:p>
            <w:pPr>
              <w:pStyle w:val="14"/>
              <w:spacing w:before="19"/>
              <w:ind w:left="309" w:right="302"/>
              <w:rPr>
                <w:sz w:val="21"/>
              </w:rPr>
            </w:pPr>
            <w:r>
              <w:rPr>
                <w:sz w:val="21"/>
              </w:rPr>
              <w:t>未检出</w:t>
            </w:r>
          </w:p>
        </w:tc>
        <w:tc>
          <w:tcPr>
            <w:tcW w:w="1294" w:type="dxa"/>
          </w:tcPr>
          <w:p>
            <w:pPr>
              <w:pStyle w:val="14"/>
              <w:spacing w:before="38"/>
              <w:ind w:left="310" w:right="298"/>
              <w:rPr>
                <w:rFonts w:ascii="Times New Roman"/>
                <w:sz w:val="21"/>
              </w:rPr>
            </w:pPr>
            <w:bookmarkStart w:id="663" w:name="0.004L"/>
            <w:bookmarkEnd w:id="663"/>
            <w:r>
              <w:rPr>
                <w:rFonts w:ascii="Times New Roman"/>
                <w:sz w:val="21"/>
              </w:rPr>
              <w:t>0.004L</w:t>
            </w:r>
          </w:p>
        </w:tc>
        <w:tc>
          <w:tcPr>
            <w:tcW w:w="1294" w:type="dxa"/>
          </w:tcPr>
          <w:p>
            <w:pPr>
              <w:pStyle w:val="14"/>
              <w:spacing w:before="19"/>
              <w:ind w:left="308" w:right="302"/>
              <w:rPr>
                <w:sz w:val="21"/>
              </w:rPr>
            </w:pPr>
            <w:r>
              <w:rPr>
                <w:sz w:val="21"/>
              </w:rPr>
              <w:t>未检出</w:t>
            </w:r>
          </w:p>
        </w:tc>
        <w:tc>
          <w:tcPr>
            <w:tcW w:w="1294" w:type="dxa"/>
          </w:tcPr>
          <w:p>
            <w:pPr>
              <w:pStyle w:val="14"/>
              <w:spacing w:before="38"/>
              <w:ind w:left="310" w:right="300"/>
              <w:rPr>
                <w:rFonts w:ascii="Times New Roman"/>
                <w:sz w:val="21"/>
              </w:rPr>
            </w:pPr>
            <w:bookmarkStart w:id="664" w:name="0.004L"/>
            <w:bookmarkEnd w:id="664"/>
            <w:r>
              <w:rPr>
                <w:rFonts w:ascii="Times New Roman"/>
                <w:sz w:val="21"/>
              </w:rPr>
              <w:t>0.004L</w:t>
            </w:r>
          </w:p>
        </w:tc>
        <w:tc>
          <w:tcPr>
            <w:tcW w:w="1299" w:type="dxa"/>
          </w:tcPr>
          <w:p>
            <w:pPr>
              <w:pStyle w:val="14"/>
              <w:spacing w:before="19"/>
              <w:ind w:left="314" w:right="305"/>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21"/>
              <w:ind w:left="106" w:right="-15"/>
              <w:jc w:val="left"/>
              <w:rPr>
                <w:sz w:val="21"/>
              </w:rPr>
            </w:pPr>
            <w:r>
              <w:rPr>
                <w:spacing w:val="-13"/>
                <w:sz w:val="21"/>
              </w:rPr>
              <w:t>氟化物</w:t>
            </w:r>
            <w:r>
              <w:rPr>
                <w:sz w:val="21"/>
              </w:rPr>
              <w:t>（</w:t>
            </w:r>
            <w:r>
              <w:rPr>
                <w:rFonts w:ascii="Times New Roman" w:eastAsia="Times New Roman"/>
                <w:sz w:val="21"/>
              </w:rPr>
              <w:t>mg/L</w:t>
            </w:r>
            <w:r>
              <w:rPr>
                <w:sz w:val="21"/>
              </w:rPr>
              <w:t>）</w:t>
            </w:r>
          </w:p>
        </w:tc>
        <w:tc>
          <w:tcPr>
            <w:tcW w:w="1294" w:type="dxa"/>
          </w:tcPr>
          <w:p>
            <w:pPr>
              <w:pStyle w:val="14"/>
              <w:spacing w:before="37"/>
              <w:ind w:left="310" w:right="299"/>
              <w:rPr>
                <w:rFonts w:ascii="Times New Roman"/>
                <w:sz w:val="21"/>
              </w:rPr>
            </w:pPr>
            <w:bookmarkStart w:id="665" w:name="0.05L"/>
            <w:bookmarkEnd w:id="665"/>
            <w:r>
              <w:rPr>
                <w:rFonts w:ascii="Times New Roman"/>
                <w:sz w:val="21"/>
              </w:rPr>
              <w:t>0.05L</w:t>
            </w:r>
          </w:p>
        </w:tc>
        <w:tc>
          <w:tcPr>
            <w:tcW w:w="1294" w:type="dxa"/>
          </w:tcPr>
          <w:p>
            <w:pPr>
              <w:pStyle w:val="14"/>
              <w:spacing w:before="21"/>
              <w:ind w:left="309" w:right="302"/>
              <w:rPr>
                <w:sz w:val="21"/>
              </w:rPr>
            </w:pPr>
            <w:r>
              <w:rPr>
                <w:sz w:val="21"/>
              </w:rPr>
              <w:t>未检出</w:t>
            </w:r>
          </w:p>
        </w:tc>
        <w:tc>
          <w:tcPr>
            <w:tcW w:w="1294" w:type="dxa"/>
          </w:tcPr>
          <w:p>
            <w:pPr>
              <w:pStyle w:val="14"/>
              <w:spacing w:before="37"/>
              <w:ind w:left="310" w:right="301"/>
              <w:rPr>
                <w:rFonts w:ascii="Times New Roman"/>
                <w:sz w:val="21"/>
              </w:rPr>
            </w:pPr>
            <w:bookmarkStart w:id="666" w:name="0.05L"/>
            <w:bookmarkEnd w:id="666"/>
            <w:r>
              <w:rPr>
                <w:rFonts w:ascii="Times New Roman"/>
                <w:sz w:val="21"/>
              </w:rPr>
              <w:t>0.05L</w:t>
            </w:r>
          </w:p>
        </w:tc>
        <w:tc>
          <w:tcPr>
            <w:tcW w:w="1294" w:type="dxa"/>
          </w:tcPr>
          <w:p>
            <w:pPr>
              <w:pStyle w:val="14"/>
              <w:spacing w:before="21"/>
              <w:ind w:left="308" w:right="302"/>
              <w:rPr>
                <w:sz w:val="21"/>
              </w:rPr>
            </w:pPr>
            <w:r>
              <w:rPr>
                <w:sz w:val="21"/>
              </w:rPr>
              <w:t>未检出</w:t>
            </w:r>
          </w:p>
        </w:tc>
        <w:tc>
          <w:tcPr>
            <w:tcW w:w="1294" w:type="dxa"/>
          </w:tcPr>
          <w:p>
            <w:pPr>
              <w:pStyle w:val="14"/>
              <w:spacing w:before="37"/>
              <w:ind w:left="310" w:right="300"/>
              <w:rPr>
                <w:rFonts w:ascii="Times New Roman"/>
                <w:sz w:val="21"/>
              </w:rPr>
            </w:pPr>
            <w:bookmarkStart w:id="667" w:name="0.05L"/>
            <w:bookmarkEnd w:id="667"/>
            <w:r>
              <w:rPr>
                <w:rFonts w:ascii="Times New Roman"/>
                <w:sz w:val="21"/>
              </w:rPr>
              <w:t>0.05L</w:t>
            </w:r>
          </w:p>
        </w:tc>
        <w:tc>
          <w:tcPr>
            <w:tcW w:w="1299" w:type="dxa"/>
          </w:tcPr>
          <w:p>
            <w:pPr>
              <w:pStyle w:val="14"/>
              <w:spacing w:before="21"/>
              <w:ind w:left="314" w:right="305"/>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17" w:line="274" w:lineRule="exact"/>
              <w:ind w:left="109"/>
              <w:jc w:val="left"/>
              <w:rPr>
                <w:sz w:val="21"/>
              </w:rPr>
            </w:pPr>
            <w:r>
              <w:rPr>
                <w:rFonts w:ascii="Times New Roman" w:eastAsia="Times New Roman"/>
                <w:position w:val="2"/>
                <w:sz w:val="21"/>
              </w:rPr>
              <w:t>BOD</w:t>
            </w:r>
            <w:r>
              <w:rPr>
                <w:rFonts w:ascii="Times New Roman" w:eastAsia="Times New Roman"/>
                <w:position w:val="2"/>
                <w:sz w:val="21"/>
                <w:vertAlign w:val="subscript"/>
              </w:rPr>
              <w:t>5</w:t>
            </w:r>
            <w:r>
              <w:rPr>
                <w:position w:val="2"/>
                <w:sz w:val="21"/>
                <w:vertAlign w:val="baseline"/>
              </w:rPr>
              <w:t>（</w:t>
            </w:r>
            <w:r>
              <w:rPr>
                <w:rFonts w:ascii="Times New Roman" w:eastAsia="Times New Roman"/>
                <w:position w:val="2"/>
                <w:sz w:val="21"/>
                <w:vertAlign w:val="baseline"/>
              </w:rPr>
              <w:t>mg/L</w:t>
            </w:r>
            <w:r>
              <w:rPr>
                <w:position w:val="2"/>
                <w:sz w:val="21"/>
                <w:vertAlign w:val="baseline"/>
              </w:rPr>
              <w:t>）</w:t>
            </w:r>
          </w:p>
        </w:tc>
        <w:tc>
          <w:tcPr>
            <w:tcW w:w="1294" w:type="dxa"/>
          </w:tcPr>
          <w:p>
            <w:pPr>
              <w:pStyle w:val="14"/>
              <w:spacing w:before="37"/>
              <w:ind w:left="310" w:right="301"/>
              <w:rPr>
                <w:rFonts w:ascii="Times New Roman"/>
                <w:sz w:val="21"/>
              </w:rPr>
            </w:pPr>
            <w:bookmarkStart w:id="668" w:name="16.2"/>
            <w:bookmarkEnd w:id="668"/>
            <w:r>
              <w:rPr>
                <w:rFonts w:ascii="Times New Roman"/>
                <w:sz w:val="21"/>
              </w:rPr>
              <w:t>16.2</w:t>
            </w:r>
          </w:p>
        </w:tc>
        <w:tc>
          <w:tcPr>
            <w:tcW w:w="1294" w:type="dxa"/>
          </w:tcPr>
          <w:p>
            <w:pPr>
              <w:pStyle w:val="14"/>
              <w:spacing w:before="34"/>
              <w:ind w:left="310" w:right="299"/>
              <w:rPr>
                <w:rFonts w:ascii="Times New Roman"/>
                <w:sz w:val="21"/>
              </w:rPr>
            </w:pPr>
            <w:r>
              <w:rPr>
                <w:rFonts w:ascii="Times New Roman"/>
                <w:sz w:val="21"/>
              </w:rPr>
              <w:t>4.05</w:t>
            </w:r>
          </w:p>
        </w:tc>
        <w:tc>
          <w:tcPr>
            <w:tcW w:w="1294" w:type="dxa"/>
          </w:tcPr>
          <w:p>
            <w:pPr>
              <w:pStyle w:val="14"/>
              <w:spacing w:before="37"/>
              <w:ind w:left="310" w:right="300"/>
              <w:rPr>
                <w:rFonts w:ascii="Times New Roman"/>
                <w:sz w:val="21"/>
              </w:rPr>
            </w:pPr>
            <w:bookmarkStart w:id="669" w:name="16.6"/>
            <w:bookmarkEnd w:id="669"/>
            <w:r>
              <w:rPr>
                <w:rFonts w:ascii="Times New Roman"/>
                <w:sz w:val="21"/>
              </w:rPr>
              <w:t>16.6</w:t>
            </w:r>
          </w:p>
        </w:tc>
        <w:tc>
          <w:tcPr>
            <w:tcW w:w="1294" w:type="dxa"/>
          </w:tcPr>
          <w:p>
            <w:pPr>
              <w:pStyle w:val="14"/>
              <w:spacing w:before="34"/>
              <w:ind w:left="310" w:right="301"/>
              <w:rPr>
                <w:rFonts w:ascii="Times New Roman"/>
                <w:sz w:val="21"/>
              </w:rPr>
            </w:pPr>
            <w:r>
              <w:rPr>
                <w:rFonts w:ascii="Times New Roman"/>
                <w:sz w:val="21"/>
              </w:rPr>
              <w:t>4.15</w:t>
            </w:r>
          </w:p>
        </w:tc>
        <w:tc>
          <w:tcPr>
            <w:tcW w:w="1294" w:type="dxa"/>
          </w:tcPr>
          <w:p>
            <w:pPr>
              <w:pStyle w:val="14"/>
              <w:spacing w:before="37"/>
              <w:ind w:left="310" w:right="302"/>
              <w:rPr>
                <w:rFonts w:ascii="Times New Roman"/>
                <w:sz w:val="21"/>
              </w:rPr>
            </w:pPr>
            <w:bookmarkStart w:id="670" w:name="14.1"/>
            <w:bookmarkEnd w:id="670"/>
            <w:r>
              <w:rPr>
                <w:rFonts w:ascii="Times New Roman"/>
                <w:sz w:val="21"/>
              </w:rPr>
              <w:t>14.1</w:t>
            </w:r>
          </w:p>
        </w:tc>
        <w:tc>
          <w:tcPr>
            <w:tcW w:w="1299" w:type="dxa"/>
          </w:tcPr>
          <w:p>
            <w:pPr>
              <w:pStyle w:val="14"/>
              <w:spacing w:before="34"/>
              <w:ind w:left="314" w:right="302"/>
              <w:rPr>
                <w:rFonts w:ascii="Times New Roman"/>
                <w:sz w:val="21"/>
              </w:rPr>
            </w:pPr>
            <w:r>
              <w:rPr>
                <w:rFonts w:ascii="Times New Roman"/>
                <w:sz w:val="21"/>
              </w:rPr>
              <w:t>3.53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20"/>
              <w:ind w:left="140"/>
              <w:jc w:val="left"/>
              <w:rPr>
                <w:sz w:val="21"/>
              </w:rPr>
            </w:pPr>
            <w:r>
              <w:rPr>
                <w:sz w:val="21"/>
              </w:rPr>
              <w:t>氨氮（</w:t>
            </w:r>
            <w:r>
              <w:rPr>
                <w:rFonts w:ascii="Times New Roman" w:eastAsia="Times New Roman"/>
                <w:sz w:val="21"/>
              </w:rPr>
              <w:t>mg/L</w:t>
            </w:r>
            <w:r>
              <w:rPr>
                <w:sz w:val="21"/>
              </w:rPr>
              <w:t>）</w:t>
            </w:r>
          </w:p>
        </w:tc>
        <w:tc>
          <w:tcPr>
            <w:tcW w:w="1294" w:type="dxa"/>
          </w:tcPr>
          <w:p>
            <w:pPr>
              <w:pStyle w:val="14"/>
              <w:spacing w:before="39"/>
              <w:ind w:left="310" w:right="301"/>
              <w:rPr>
                <w:rFonts w:ascii="Times New Roman"/>
                <w:sz w:val="21"/>
              </w:rPr>
            </w:pPr>
            <w:bookmarkStart w:id="671" w:name="0.40"/>
            <w:bookmarkEnd w:id="671"/>
            <w:r>
              <w:rPr>
                <w:rFonts w:ascii="Times New Roman"/>
                <w:sz w:val="21"/>
              </w:rPr>
              <w:t>0.40</w:t>
            </w:r>
          </w:p>
        </w:tc>
        <w:tc>
          <w:tcPr>
            <w:tcW w:w="1294" w:type="dxa"/>
          </w:tcPr>
          <w:p>
            <w:pPr>
              <w:pStyle w:val="14"/>
              <w:spacing w:before="34"/>
              <w:ind w:left="310" w:right="299"/>
              <w:rPr>
                <w:rFonts w:ascii="Times New Roman"/>
                <w:sz w:val="21"/>
              </w:rPr>
            </w:pPr>
            <w:r>
              <w:rPr>
                <w:rFonts w:ascii="Times New Roman"/>
                <w:sz w:val="21"/>
              </w:rPr>
              <w:t>0.40</w:t>
            </w:r>
          </w:p>
        </w:tc>
        <w:tc>
          <w:tcPr>
            <w:tcW w:w="1294" w:type="dxa"/>
          </w:tcPr>
          <w:p>
            <w:pPr>
              <w:pStyle w:val="14"/>
              <w:spacing w:before="39"/>
              <w:ind w:left="310" w:right="300"/>
              <w:rPr>
                <w:rFonts w:ascii="Times New Roman"/>
                <w:sz w:val="21"/>
              </w:rPr>
            </w:pPr>
            <w:bookmarkStart w:id="672" w:name="0.40"/>
            <w:bookmarkEnd w:id="672"/>
            <w:r>
              <w:rPr>
                <w:rFonts w:ascii="Times New Roman"/>
                <w:sz w:val="21"/>
              </w:rPr>
              <w:t>0.40</w:t>
            </w:r>
          </w:p>
        </w:tc>
        <w:tc>
          <w:tcPr>
            <w:tcW w:w="1294" w:type="dxa"/>
          </w:tcPr>
          <w:p>
            <w:pPr>
              <w:pStyle w:val="14"/>
              <w:spacing w:before="34"/>
              <w:ind w:left="310" w:right="301"/>
              <w:rPr>
                <w:rFonts w:ascii="Times New Roman"/>
                <w:sz w:val="21"/>
              </w:rPr>
            </w:pPr>
            <w:r>
              <w:rPr>
                <w:rFonts w:ascii="Times New Roman"/>
                <w:sz w:val="21"/>
              </w:rPr>
              <w:t>0.40</w:t>
            </w:r>
          </w:p>
        </w:tc>
        <w:tc>
          <w:tcPr>
            <w:tcW w:w="1294" w:type="dxa"/>
          </w:tcPr>
          <w:p>
            <w:pPr>
              <w:pStyle w:val="14"/>
              <w:spacing w:before="39"/>
              <w:ind w:left="310" w:right="302"/>
              <w:rPr>
                <w:rFonts w:ascii="Times New Roman"/>
                <w:sz w:val="21"/>
              </w:rPr>
            </w:pPr>
            <w:bookmarkStart w:id="673" w:name="0.40"/>
            <w:bookmarkEnd w:id="673"/>
            <w:r>
              <w:rPr>
                <w:rFonts w:ascii="Times New Roman"/>
                <w:sz w:val="21"/>
              </w:rPr>
              <w:t>0.40</w:t>
            </w:r>
          </w:p>
        </w:tc>
        <w:tc>
          <w:tcPr>
            <w:tcW w:w="1299" w:type="dxa"/>
          </w:tcPr>
          <w:p>
            <w:pPr>
              <w:pStyle w:val="14"/>
              <w:spacing w:before="34"/>
              <w:ind w:left="314" w:right="302"/>
              <w:rPr>
                <w:rFonts w:ascii="Times New Roman"/>
                <w:sz w:val="21"/>
              </w:rPr>
            </w:pPr>
            <w:r>
              <w:rPr>
                <w:rFonts w:ascii="Times New Roman"/>
                <w:sz w:val="21"/>
              </w:rPr>
              <w:t>0.40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vMerge w:val="restart"/>
          </w:tcPr>
          <w:p>
            <w:pPr>
              <w:pStyle w:val="14"/>
              <w:spacing w:before="1"/>
              <w:jc w:val="left"/>
              <w:rPr>
                <w:b/>
                <w:sz w:val="14"/>
              </w:rPr>
            </w:pPr>
          </w:p>
          <w:p>
            <w:pPr>
              <w:pStyle w:val="14"/>
              <w:ind w:left="365"/>
              <w:jc w:val="left"/>
              <w:rPr>
                <w:sz w:val="21"/>
              </w:rPr>
            </w:pPr>
            <w:r>
              <w:rPr>
                <w:sz w:val="21"/>
              </w:rPr>
              <w:t>评价参数</w:t>
            </w:r>
          </w:p>
        </w:tc>
        <w:tc>
          <w:tcPr>
            <w:tcW w:w="7769" w:type="dxa"/>
            <w:gridSpan w:val="6"/>
          </w:tcPr>
          <w:p>
            <w:pPr>
              <w:pStyle w:val="14"/>
              <w:spacing w:before="20"/>
              <w:ind w:left="3102" w:right="3094"/>
              <w:rPr>
                <w:sz w:val="21"/>
              </w:rPr>
            </w:pPr>
            <w:r>
              <w:rPr>
                <w:sz w:val="21"/>
              </w:rPr>
              <w:t xml:space="preserve">下游 </w:t>
            </w:r>
            <w:r>
              <w:rPr>
                <w:rFonts w:ascii="Times New Roman" w:eastAsia="Times New Roman"/>
                <w:sz w:val="21"/>
              </w:rPr>
              <w:t xml:space="preserve">5000 </w:t>
            </w:r>
            <w:r>
              <w:rPr>
                <w:sz w:val="21"/>
              </w:rPr>
              <w:t>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575" w:type="dxa"/>
            <w:vMerge w:val="continue"/>
            <w:tcBorders>
              <w:top w:val="nil"/>
            </w:tcBorders>
          </w:tcPr>
          <w:p>
            <w:pPr>
              <w:rPr>
                <w:sz w:val="2"/>
                <w:szCs w:val="2"/>
              </w:rPr>
            </w:pPr>
          </w:p>
        </w:tc>
        <w:tc>
          <w:tcPr>
            <w:tcW w:w="1294" w:type="dxa"/>
          </w:tcPr>
          <w:p>
            <w:pPr>
              <w:pStyle w:val="14"/>
              <w:spacing w:before="19"/>
              <w:ind w:left="310" w:right="302"/>
              <w:rPr>
                <w:sz w:val="21"/>
              </w:rPr>
            </w:pPr>
            <w:r>
              <w:rPr>
                <w:sz w:val="21"/>
              </w:rPr>
              <w:t>实测值</w:t>
            </w:r>
          </w:p>
        </w:tc>
        <w:tc>
          <w:tcPr>
            <w:tcW w:w="1294" w:type="dxa"/>
          </w:tcPr>
          <w:p>
            <w:pPr>
              <w:pStyle w:val="14"/>
              <w:spacing w:before="34"/>
              <w:ind w:left="310" w:right="298"/>
              <w:rPr>
                <w:rFonts w:ascii="Times New Roman" w:eastAsia="Times New Roman"/>
                <w:sz w:val="13"/>
              </w:rPr>
            </w:pPr>
            <w:r>
              <w:rPr>
                <w:rFonts w:ascii="Times New Roman" w:eastAsia="Times New Roman"/>
                <w:spacing w:val="-2"/>
                <w:w w:val="99"/>
                <w:position w:val="3"/>
                <w:sz w:val="21"/>
              </w:rPr>
              <w:t>P</w:t>
            </w:r>
            <w:r>
              <w:rPr>
                <w:rFonts w:ascii="Times New Roman" w:eastAsia="Times New Roman"/>
                <w:w w:val="105"/>
                <w:position w:val="1"/>
                <w:sz w:val="13"/>
              </w:rPr>
              <w:t>i</w:t>
            </w:r>
            <w:r>
              <w:rPr>
                <w:spacing w:val="-1"/>
                <w:w w:val="106"/>
                <w:sz w:val="10"/>
              </w:rPr>
              <w:t>，</w:t>
            </w:r>
            <w:r>
              <w:rPr>
                <w:rFonts w:ascii="Times New Roman" w:eastAsia="Times New Roman"/>
                <w:w w:val="105"/>
                <w:position w:val="1"/>
                <w:sz w:val="13"/>
              </w:rPr>
              <w:t>j</w:t>
            </w:r>
          </w:p>
        </w:tc>
        <w:tc>
          <w:tcPr>
            <w:tcW w:w="1294" w:type="dxa"/>
          </w:tcPr>
          <w:p>
            <w:pPr>
              <w:pStyle w:val="14"/>
              <w:spacing w:before="19"/>
              <w:ind w:left="308" w:right="302"/>
              <w:rPr>
                <w:sz w:val="21"/>
              </w:rPr>
            </w:pPr>
            <w:r>
              <w:rPr>
                <w:sz w:val="21"/>
              </w:rPr>
              <w:t>实测值</w:t>
            </w:r>
          </w:p>
        </w:tc>
        <w:tc>
          <w:tcPr>
            <w:tcW w:w="1294" w:type="dxa"/>
          </w:tcPr>
          <w:p>
            <w:pPr>
              <w:pStyle w:val="14"/>
              <w:spacing w:before="34"/>
              <w:ind w:left="310" w:right="300"/>
              <w:rPr>
                <w:rFonts w:ascii="Times New Roman" w:eastAsia="Times New Roman"/>
                <w:sz w:val="13"/>
              </w:rPr>
            </w:pPr>
            <w:r>
              <w:rPr>
                <w:rFonts w:ascii="Times New Roman" w:eastAsia="Times New Roman"/>
                <w:spacing w:val="-2"/>
                <w:w w:val="99"/>
                <w:position w:val="3"/>
                <w:sz w:val="21"/>
              </w:rPr>
              <w:t>P</w:t>
            </w:r>
            <w:r>
              <w:rPr>
                <w:rFonts w:ascii="Times New Roman" w:eastAsia="Times New Roman"/>
                <w:w w:val="105"/>
                <w:position w:val="1"/>
                <w:sz w:val="13"/>
              </w:rPr>
              <w:t>i</w:t>
            </w:r>
            <w:r>
              <w:rPr>
                <w:spacing w:val="-1"/>
                <w:w w:val="106"/>
                <w:sz w:val="10"/>
              </w:rPr>
              <w:t>，</w:t>
            </w:r>
            <w:r>
              <w:rPr>
                <w:rFonts w:ascii="Times New Roman" w:eastAsia="Times New Roman"/>
                <w:w w:val="105"/>
                <w:position w:val="1"/>
                <w:sz w:val="13"/>
              </w:rPr>
              <w:t>j</w:t>
            </w:r>
          </w:p>
        </w:tc>
        <w:tc>
          <w:tcPr>
            <w:tcW w:w="1294" w:type="dxa"/>
          </w:tcPr>
          <w:p>
            <w:pPr>
              <w:pStyle w:val="14"/>
              <w:spacing w:before="19"/>
              <w:ind w:left="310" w:right="300"/>
              <w:rPr>
                <w:sz w:val="21"/>
              </w:rPr>
            </w:pPr>
            <w:r>
              <w:rPr>
                <w:sz w:val="21"/>
              </w:rPr>
              <w:t>实测值</w:t>
            </w:r>
          </w:p>
        </w:tc>
        <w:tc>
          <w:tcPr>
            <w:tcW w:w="1299" w:type="dxa"/>
          </w:tcPr>
          <w:p>
            <w:pPr>
              <w:pStyle w:val="14"/>
              <w:spacing w:before="34"/>
              <w:ind w:left="314" w:right="301"/>
              <w:rPr>
                <w:rFonts w:ascii="Times New Roman" w:eastAsia="Times New Roman"/>
                <w:sz w:val="13"/>
              </w:rPr>
            </w:pPr>
            <w:r>
              <w:rPr>
                <w:rFonts w:ascii="Times New Roman" w:eastAsia="Times New Roman"/>
                <w:spacing w:val="-2"/>
                <w:w w:val="99"/>
                <w:position w:val="3"/>
                <w:sz w:val="21"/>
              </w:rPr>
              <w:t>P</w:t>
            </w:r>
            <w:r>
              <w:rPr>
                <w:rFonts w:ascii="Times New Roman" w:eastAsia="Times New Roman"/>
                <w:w w:val="105"/>
                <w:position w:val="1"/>
                <w:sz w:val="13"/>
              </w:rPr>
              <w:t>i</w:t>
            </w:r>
            <w:r>
              <w:rPr>
                <w:spacing w:val="-1"/>
                <w:w w:val="106"/>
                <w:sz w:val="10"/>
              </w:rPr>
              <w:t>，</w:t>
            </w:r>
            <w:r>
              <w:rPr>
                <w:rFonts w:ascii="Times New Roman" w:eastAsia="Times New Roman"/>
                <w:w w:val="105"/>
                <w:position w:val="1"/>
                <w:sz w:val="13"/>
              </w:rPr>
              <w:t>j</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19"/>
              <w:ind w:left="133"/>
              <w:jc w:val="left"/>
              <w:rPr>
                <w:sz w:val="21"/>
              </w:rPr>
            </w:pPr>
            <w:r>
              <w:rPr>
                <w:rFonts w:ascii="Times New Roman" w:eastAsia="Times New Roman"/>
                <w:sz w:val="21"/>
              </w:rPr>
              <w:t>pH</w:t>
            </w:r>
            <w:r>
              <w:rPr>
                <w:sz w:val="21"/>
              </w:rPr>
              <w:t>（无量纲）</w:t>
            </w:r>
          </w:p>
        </w:tc>
        <w:tc>
          <w:tcPr>
            <w:tcW w:w="1294" w:type="dxa"/>
          </w:tcPr>
          <w:p>
            <w:pPr>
              <w:pStyle w:val="14"/>
              <w:spacing w:before="38"/>
              <w:ind w:left="310" w:right="301"/>
              <w:rPr>
                <w:rFonts w:ascii="Times New Roman"/>
                <w:sz w:val="21"/>
              </w:rPr>
            </w:pPr>
            <w:bookmarkStart w:id="674" w:name="7.37"/>
            <w:bookmarkEnd w:id="674"/>
            <w:r>
              <w:rPr>
                <w:rFonts w:ascii="Times New Roman"/>
                <w:sz w:val="21"/>
              </w:rPr>
              <w:t>7.37</w:t>
            </w:r>
          </w:p>
        </w:tc>
        <w:tc>
          <w:tcPr>
            <w:tcW w:w="1294" w:type="dxa"/>
          </w:tcPr>
          <w:p>
            <w:pPr>
              <w:pStyle w:val="14"/>
              <w:spacing w:before="35"/>
              <w:ind w:left="310" w:right="299"/>
              <w:rPr>
                <w:rFonts w:ascii="Times New Roman"/>
                <w:sz w:val="21"/>
              </w:rPr>
            </w:pPr>
            <w:r>
              <w:rPr>
                <w:rFonts w:ascii="Times New Roman"/>
                <w:sz w:val="21"/>
              </w:rPr>
              <w:t>0.19</w:t>
            </w:r>
          </w:p>
        </w:tc>
        <w:tc>
          <w:tcPr>
            <w:tcW w:w="1294" w:type="dxa"/>
          </w:tcPr>
          <w:p>
            <w:pPr>
              <w:pStyle w:val="14"/>
              <w:spacing w:before="38"/>
              <w:ind w:left="310" w:right="300"/>
              <w:rPr>
                <w:rFonts w:ascii="Times New Roman"/>
                <w:sz w:val="21"/>
              </w:rPr>
            </w:pPr>
            <w:bookmarkStart w:id="675" w:name="7.35"/>
            <w:bookmarkEnd w:id="675"/>
            <w:r>
              <w:rPr>
                <w:rFonts w:ascii="Times New Roman"/>
                <w:sz w:val="21"/>
              </w:rPr>
              <w:t>7.35</w:t>
            </w:r>
          </w:p>
        </w:tc>
        <w:tc>
          <w:tcPr>
            <w:tcW w:w="1294" w:type="dxa"/>
          </w:tcPr>
          <w:p>
            <w:pPr>
              <w:pStyle w:val="14"/>
              <w:spacing w:before="35"/>
              <w:ind w:left="310" w:right="301"/>
              <w:rPr>
                <w:rFonts w:ascii="Times New Roman"/>
                <w:sz w:val="21"/>
              </w:rPr>
            </w:pPr>
            <w:r>
              <w:rPr>
                <w:rFonts w:ascii="Times New Roman"/>
                <w:sz w:val="21"/>
              </w:rPr>
              <w:t>0.18</w:t>
            </w:r>
          </w:p>
        </w:tc>
        <w:tc>
          <w:tcPr>
            <w:tcW w:w="1294" w:type="dxa"/>
          </w:tcPr>
          <w:p>
            <w:pPr>
              <w:pStyle w:val="14"/>
              <w:spacing w:before="38"/>
              <w:ind w:left="310" w:right="302"/>
              <w:rPr>
                <w:rFonts w:ascii="Times New Roman"/>
                <w:sz w:val="21"/>
              </w:rPr>
            </w:pPr>
            <w:bookmarkStart w:id="676" w:name="7.22"/>
            <w:bookmarkEnd w:id="676"/>
            <w:r>
              <w:rPr>
                <w:rFonts w:ascii="Times New Roman"/>
                <w:sz w:val="21"/>
              </w:rPr>
              <w:t>7.22</w:t>
            </w:r>
          </w:p>
        </w:tc>
        <w:tc>
          <w:tcPr>
            <w:tcW w:w="1299" w:type="dxa"/>
          </w:tcPr>
          <w:p>
            <w:pPr>
              <w:pStyle w:val="14"/>
              <w:spacing w:before="35"/>
              <w:ind w:left="314" w:right="302"/>
              <w:rPr>
                <w:rFonts w:ascii="Times New Roman"/>
                <w:sz w:val="21"/>
              </w:rPr>
            </w:pPr>
            <w:r>
              <w:rPr>
                <w:rFonts w:ascii="Times New Roman"/>
                <w:sz w:val="21"/>
              </w:rPr>
              <w:t>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21"/>
              <w:ind w:left="128"/>
              <w:jc w:val="left"/>
              <w:rPr>
                <w:sz w:val="21"/>
              </w:rPr>
            </w:pPr>
            <w:r>
              <w:rPr>
                <w:rFonts w:ascii="Times New Roman" w:eastAsia="Times New Roman"/>
                <w:sz w:val="21"/>
              </w:rPr>
              <w:t>COD</w:t>
            </w:r>
            <w:r>
              <w:rPr>
                <w:sz w:val="21"/>
              </w:rPr>
              <w:t>（</w:t>
            </w:r>
            <w:r>
              <w:rPr>
                <w:rFonts w:ascii="Times New Roman" w:eastAsia="Times New Roman"/>
                <w:sz w:val="21"/>
              </w:rPr>
              <w:t>mg/L</w:t>
            </w:r>
            <w:r>
              <w:rPr>
                <w:sz w:val="21"/>
              </w:rPr>
              <w:t>）</w:t>
            </w:r>
          </w:p>
        </w:tc>
        <w:tc>
          <w:tcPr>
            <w:tcW w:w="1294" w:type="dxa"/>
          </w:tcPr>
          <w:p>
            <w:pPr>
              <w:pStyle w:val="14"/>
              <w:spacing w:before="37"/>
              <w:ind w:left="309" w:right="302"/>
              <w:rPr>
                <w:rFonts w:ascii="Times New Roman"/>
                <w:sz w:val="21"/>
              </w:rPr>
            </w:pPr>
            <w:bookmarkStart w:id="677" w:name="42"/>
            <w:bookmarkEnd w:id="677"/>
            <w:r>
              <w:rPr>
                <w:rFonts w:ascii="Times New Roman"/>
                <w:sz w:val="21"/>
              </w:rPr>
              <w:t>42</w:t>
            </w:r>
          </w:p>
        </w:tc>
        <w:tc>
          <w:tcPr>
            <w:tcW w:w="1294" w:type="dxa"/>
          </w:tcPr>
          <w:p>
            <w:pPr>
              <w:pStyle w:val="14"/>
              <w:spacing w:before="35"/>
              <w:ind w:left="310" w:right="299"/>
              <w:rPr>
                <w:rFonts w:ascii="Times New Roman"/>
                <w:sz w:val="21"/>
              </w:rPr>
            </w:pPr>
            <w:r>
              <w:rPr>
                <w:rFonts w:ascii="Times New Roman"/>
                <w:sz w:val="21"/>
              </w:rPr>
              <w:t>2.10</w:t>
            </w:r>
          </w:p>
        </w:tc>
        <w:tc>
          <w:tcPr>
            <w:tcW w:w="1294" w:type="dxa"/>
          </w:tcPr>
          <w:p>
            <w:pPr>
              <w:pStyle w:val="14"/>
              <w:spacing w:before="37"/>
              <w:ind w:left="310" w:right="300"/>
              <w:rPr>
                <w:rFonts w:ascii="Times New Roman"/>
                <w:sz w:val="21"/>
              </w:rPr>
            </w:pPr>
            <w:bookmarkStart w:id="678" w:name="44"/>
            <w:bookmarkEnd w:id="678"/>
            <w:r>
              <w:rPr>
                <w:rFonts w:ascii="Times New Roman"/>
                <w:sz w:val="21"/>
              </w:rPr>
              <w:t>44</w:t>
            </w:r>
          </w:p>
        </w:tc>
        <w:tc>
          <w:tcPr>
            <w:tcW w:w="1294" w:type="dxa"/>
          </w:tcPr>
          <w:p>
            <w:pPr>
              <w:pStyle w:val="14"/>
              <w:spacing w:before="35"/>
              <w:ind w:left="310" w:right="301"/>
              <w:rPr>
                <w:rFonts w:ascii="Times New Roman"/>
                <w:sz w:val="21"/>
              </w:rPr>
            </w:pPr>
            <w:r>
              <w:rPr>
                <w:rFonts w:ascii="Times New Roman"/>
                <w:sz w:val="21"/>
              </w:rPr>
              <w:t>2.20</w:t>
            </w:r>
          </w:p>
        </w:tc>
        <w:tc>
          <w:tcPr>
            <w:tcW w:w="1294" w:type="dxa"/>
          </w:tcPr>
          <w:p>
            <w:pPr>
              <w:pStyle w:val="14"/>
              <w:spacing w:before="37"/>
              <w:ind w:left="310" w:right="302"/>
              <w:rPr>
                <w:rFonts w:ascii="Times New Roman"/>
                <w:sz w:val="21"/>
              </w:rPr>
            </w:pPr>
            <w:bookmarkStart w:id="679" w:name="48"/>
            <w:bookmarkEnd w:id="679"/>
            <w:r>
              <w:rPr>
                <w:rFonts w:ascii="Times New Roman"/>
                <w:sz w:val="21"/>
              </w:rPr>
              <w:t>48</w:t>
            </w:r>
          </w:p>
        </w:tc>
        <w:tc>
          <w:tcPr>
            <w:tcW w:w="1299" w:type="dxa"/>
          </w:tcPr>
          <w:p>
            <w:pPr>
              <w:pStyle w:val="14"/>
              <w:spacing w:before="35"/>
              <w:ind w:left="314" w:right="302"/>
              <w:rPr>
                <w:rFonts w:ascii="Times New Roman"/>
                <w:sz w:val="21"/>
              </w:rPr>
            </w:pPr>
            <w:r>
              <w:rPr>
                <w:rFonts w:ascii="Times New Roman"/>
                <w:sz w:val="21"/>
              </w:rPr>
              <w:t>2.40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21"/>
              <w:ind w:left="106" w:right="-15"/>
              <w:jc w:val="left"/>
              <w:rPr>
                <w:sz w:val="21"/>
              </w:rPr>
            </w:pPr>
            <w:r>
              <w:rPr>
                <w:spacing w:val="-13"/>
                <w:sz w:val="21"/>
              </w:rPr>
              <w:t>石油类</w:t>
            </w:r>
            <w:r>
              <w:rPr>
                <w:sz w:val="21"/>
              </w:rPr>
              <w:t>（</w:t>
            </w:r>
            <w:r>
              <w:rPr>
                <w:rFonts w:ascii="Times New Roman" w:eastAsia="Times New Roman"/>
                <w:sz w:val="21"/>
              </w:rPr>
              <w:t>mg/L</w:t>
            </w:r>
            <w:r>
              <w:rPr>
                <w:sz w:val="21"/>
              </w:rPr>
              <w:t>）</w:t>
            </w:r>
          </w:p>
        </w:tc>
        <w:tc>
          <w:tcPr>
            <w:tcW w:w="1294" w:type="dxa"/>
          </w:tcPr>
          <w:p>
            <w:pPr>
              <w:pStyle w:val="14"/>
              <w:spacing w:before="37"/>
              <w:ind w:left="310" w:right="299"/>
              <w:rPr>
                <w:rFonts w:ascii="Times New Roman"/>
                <w:sz w:val="21"/>
              </w:rPr>
            </w:pPr>
            <w:bookmarkStart w:id="680" w:name="0.01L"/>
            <w:bookmarkEnd w:id="680"/>
            <w:r>
              <w:rPr>
                <w:rFonts w:ascii="Times New Roman"/>
                <w:sz w:val="21"/>
              </w:rPr>
              <w:t>0.01L</w:t>
            </w:r>
          </w:p>
        </w:tc>
        <w:tc>
          <w:tcPr>
            <w:tcW w:w="1294" w:type="dxa"/>
          </w:tcPr>
          <w:p>
            <w:pPr>
              <w:pStyle w:val="14"/>
              <w:spacing w:before="21"/>
              <w:ind w:left="309" w:right="302"/>
              <w:rPr>
                <w:sz w:val="21"/>
              </w:rPr>
            </w:pPr>
            <w:r>
              <w:rPr>
                <w:sz w:val="21"/>
              </w:rPr>
              <w:t>未检出</w:t>
            </w:r>
          </w:p>
        </w:tc>
        <w:tc>
          <w:tcPr>
            <w:tcW w:w="1294" w:type="dxa"/>
          </w:tcPr>
          <w:p>
            <w:pPr>
              <w:pStyle w:val="14"/>
              <w:spacing w:before="37"/>
              <w:ind w:left="310" w:right="301"/>
              <w:rPr>
                <w:rFonts w:ascii="Times New Roman"/>
                <w:sz w:val="21"/>
              </w:rPr>
            </w:pPr>
            <w:bookmarkStart w:id="681" w:name="0.01L"/>
            <w:bookmarkEnd w:id="681"/>
            <w:r>
              <w:rPr>
                <w:rFonts w:ascii="Times New Roman"/>
                <w:sz w:val="21"/>
              </w:rPr>
              <w:t>0.01L</w:t>
            </w:r>
          </w:p>
        </w:tc>
        <w:tc>
          <w:tcPr>
            <w:tcW w:w="1294" w:type="dxa"/>
          </w:tcPr>
          <w:p>
            <w:pPr>
              <w:pStyle w:val="14"/>
              <w:spacing w:before="21"/>
              <w:ind w:left="308" w:right="302"/>
              <w:rPr>
                <w:sz w:val="21"/>
              </w:rPr>
            </w:pPr>
            <w:r>
              <w:rPr>
                <w:sz w:val="21"/>
              </w:rPr>
              <w:t>未检出</w:t>
            </w:r>
          </w:p>
        </w:tc>
        <w:tc>
          <w:tcPr>
            <w:tcW w:w="1294" w:type="dxa"/>
          </w:tcPr>
          <w:p>
            <w:pPr>
              <w:pStyle w:val="14"/>
              <w:spacing w:before="37"/>
              <w:ind w:left="310" w:right="300"/>
              <w:rPr>
                <w:rFonts w:ascii="Times New Roman"/>
                <w:sz w:val="21"/>
              </w:rPr>
            </w:pPr>
            <w:bookmarkStart w:id="682" w:name="0.01L"/>
            <w:bookmarkEnd w:id="682"/>
            <w:r>
              <w:rPr>
                <w:rFonts w:ascii="Times New Roman"/>
                <w:sz w:val="21"/>
              </w:rPr>
              <w:t>0.01L</w:t>
            </w:r>
          </w:p>
        </w:tc>
        <w:tc>
          <w:tcPr>
            <w:tcW w:w="1299" w:type="dxa"/>
          </w:tcPr>
          <w:p>
            <w:pPr>
              <w:pStyle w:val="14"/>
              <w:spacing w:before="21"/>
              <w:ind w:left="314" w:right="305"/>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20"/>
              <w:ind w:left="140"/>
              <w:jc w:val="left"/>
              <w:rPr>
                <w:sz w:val="21"/>
              </w:rPr>
            </w:pPr>
            <w:r>
              <w:rPr>
                <w:sz w:val="21"/>
              </w:rPr>
              <w:t>总铁（</w:t>
            </w:r>
            <w:r>
              <w:rPr>
                <w:rFonts w:ascii="Times New Roman" w:eastAsia="Times New Roman"/>
                <w:sz w:val="21"/>
              </w:rPr>
              <w:t>mg/L</w:t>
            </w:r>
            <w:r>
              <w:rPr>
                <w:sz w:val="21"/>
              </w:rPr>
              <w:t>）</w:t>
            </w:r>
          </w:p>
        </w:tc>
        <w:tc>
          <w:tcPr>
            <w:tcW w:w="1294" w:type="dxa"/>
          </w:tcPr>
          <w:p>
            <w:pPr>
              <w:pStyle w:val="14"/>
              <w:spacing w:before="39"/>
              <w:ind w:left="310" w:right="301"/>
              <w:rPr>
                <w:rFonts w:ascii="Times New Roman"/>
                <w:sz w:val="21"/>
              </w:rPr>
            </w:pPr>
            <w:bookmarkStart w:id="683" w:name="0.40"/>
            <w:bookmarkEnd w:id="683"/>
            <w:r>
              <w:rPr>
                <w:rFonts w:ascii="Times New Roman"/>
                <w:sz w:val="21"/>
              </w:rPr>
              <w:t>0.40</w:t>
            </w:r>
          </w:p>
        </w:tc>
        <w:tc>
          <w:tcPr>
            <w:tcW w:w="1294" w:type="dxa"/>
          </w:tcPr>
          <w:p>
            <w:pPr>
              <w:pStyle w:val="14"/>
              <w:spacing w:before="34"/>
              <w:ind w:left="310" w:right="299"/>
              <w:rPr>
                <w:rFonts w:ascii="Times New Roman"/>
                <w:sz w:val="21"/>
              </w:rPr>
            </w:pPr>
            <w:r>
              <w:rPr>
                <w:rFonts w:ascii="Times New Roman"/>
                <w:sz w:val="21"/>
              </w:rPr>
              <w:t>1.33</w:t>
            </w:r>
          </w:p>
        </w:tc>
        <w:tc>
          <w:tcPr>
            <w:tcW w:w="1294" w:type="dxa"/>
          </w:tcPr>
          <w:p>
            <w:pPr>
              <w:pStyle w:val="14"/>
              <w:spacing w:before="39"/>
              <w:ind w:left="310" w:right="300"/>
              <w:rPr>
                <w:rFonts w:ascii="Times New Roman"/>
                <w:sz w:val="21"/>
              </w:rPr>
            </w:pPr>
            <w:bookmarkStart w:id="684" w:name="0.39"/>
            <w:bookmarkEnd w:id="684"/>
            <w:r>
              <w:rPr>
                <w:rFonts w:ascii="Times New Roman"/>
                <w:sz w:val="21"/>
              </w:rPr>
              <w:t>0.39</w:t>
            </w:r>
          </w:p>
        </w:tc>
        <w:tc>
          <w:tcPr>
            <w:tcW w:w="1294" w:type="dxa"/>
          </w:tcPr>
          <w:p>
            <w:pPr>
              <w:pStyle w:val="14"/>
              <w:spacing w:before="34"/>
              <w:ind w:left="310" w:right="301"/>
              <w:rPr>
                <w:rFonts w:ascii="Times New Roman"/>
                <w:sz w:val="21"/>
              </w:rPr>
            </w:pPr>
            <w:r>
              <w:rPr>
                <w:rFonts w:ascii="Times New Roman"/>
                <w:sz w:val="21"/>
              </w:rPr>
              <w:t>1.30</w:t>
            </w:r>
          </w:p>
        </w:tc>
        <w:tc>
          <w:tcPr>
            <w:tcW w:w="1294" w:type="dxa"/>
          </w:tcPr>
          <w:p>
            <w:pPr>
              <w:pStyle w:val="14"/>
              <w:spacing w:before="39"/>
              <w:ind w:left="310" w:right="302"/>
              <w:rPr>
                <w:rFonts w:ascii="Times New Roman"/>
                <w:sz w:val="21"/>
              </w:rPr>
            </w:pPr>
            <w:bookmarkStart w:id="685" w:name="0.42"/>
            <w:bookmarkEnd w:id="685"/>
            <w:r>
              <w:rPr>
                <w:rFonts w:ascii="Times New Roman"/>
                <w:sz w:val="21"/>
              </w:rPr>
              <w:t>0.42</w:t>
            </w:r>
          </w:p>
        </w:tc>
        <w:tc>
          <w:tcPr>
            <w:tcW w:w="1299" w:type="dxa"/>
          </w:tcPr>
          <w:p>
            <w:pPr>
              <w:pStyle w:val="14"/>
              <w:spacing w:before="34"/>
              <w:ind w:left="314" w:right="302"/>
              <w:rPr>
                <w:rFonts w:ascii="Times New Roman"/>
                <w:sz w:val="21"/>
              </w:rPr>
            </w:pPr>
            <w:r>
              <w:rPr>
                <w:rFonts w:ascii="Times New Roman"/>
                <w:sz w:val="21"/>
              </w:rPr>
              <w:t>1.40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575" w:type="dxa"/>
          </w:tcPr>
          <w:p>
            <w:pPr>
              <w:pStyle w:val="14"/>
              <w:spacing w:before="20"/>
              <w:ind w:left="140"/>
              <w:jc w:val="left"/>
              <w:rPr>
                <w:sz w:val="21"/>
              </w:rPr>
            </w:pPr>
            <w:r>
              <w:rPr>
                <w:sz w:val="21"/>
              </w:rPr>
              <w:t>总锰（</w:t>
            </w:r>
            <w:r>
              <w:rPr>
                <w:rFonts w:ascii="Times New Roman" w:eastAsia="Times New Roman"/>
                <w:sz w:val="21"/>
              </w:rPr>
              <w:t>mg/L</w:t>
            </w:r>
            <w:r>
              <w:rPr>
                <w:sz w:val="21"/>
              </w:rPr>
              <w:t>）</w:t>
            </w:r>
          </w:p>
        </w:tc>
        <w:tc>
          <w:tcPr>
            <w:tcW w:w="1294" w:type="dxa"/>
          </w:tcPr>
          <w:p>
            <w:pPr>
              <w:pStyle w:val="14"/>
              <w:spacing w:before="38"/>
              <w:ind w:left="310" w:right="301"/>
              <w:rPr>
                <w:rFonts w:ascii="Times New Roman"/>
                <w:sz w:val="21"/>
              </w:rPr>
            </w:pPr>
            <w:bookmarkStart w:id="686" w:name="0.01"/>
            <w:bookmarkEnd w:id="686"/>
            <w:r>
              <w:rPr>
                <w:rFonts w:ascii="Times New Roman"/>
                <w:sz w:val="21"/>
              </w:rPr>
              <w:t>0.01</w:t>
            </w:r>
          </w:p>
        </w:tc>
        <w:tc>
          <w:tcPr>
            <w:tcW w:w="1294" w:type="dxa"/>
          </w:tcPr>
          <w:p>
            <w:pPr>
              <w:pStyle w:val="14"/>
              <w:spacing w:before="34"/>
              <w:ind w:left="310" w:right="299"/>
              <w:rPr>
                <w:rFonts w:ascii="Times New Roman"/>
                <w:sz w:val="21"/>
              </w:rPr>
            </w:pPr>
            <w:r>
              <w:rPr>
                <w:rFonts w:ascii="Times New Roman"/>
                <w:sz w:val="21"/>
              </w:rPr>
              <w:t>0.10</w:t>
            </w:r>
          </w:p>
        </w:tc>
        <w:tc>
          <w:tcPr>
            <w:tcW w:w="1294" w:type="dxa"/>
          </w:tcPr>
          <w:p>
            <w:pPr>
              <w:pStyle w:val="14"/>
              <w:spacing w:before="38"/>
              <w:ind w:left="310" w:right="300"/>
              <w:rPr>
                <w:rFonts w:ascii="Times New Roman"/>
                <w:sz w:val="21"/>
              </w:rPr>
            </w:pPr>
            <w:bookmarkStart w:id="687" w:name="0.01"/>
            <w:bookmarkEnd w:id="687"/>
            <w:r>
              <w:rPr>
                <w:rFonts w:ascii="Times New Roman"/>
                <w:sz w:val="21"/>
              </w:rPr>
              <w:t>0.01</w:t>
            </w:r>
          </w:p>
        </w:tc>
        <w:tc>
          <w:tcPr>
            <w:tcW w:w="1294" w:type="dxa"/>
          </w:tcPr>
          <w:p>
            <w:pPr>
              <w:pStyle w:val="14"/>
              <w:spacing w:before="34"/>
              <w:ind w:left="310" w:right="301"/>
              <w:rPr>
                <w:rFonts w:ascii="Times New Roman"/>
                <w:sz w:val="21"/>
              </w:rPr>
            </w:pPr>
            <w:r>
              <w:rPr>
                <w:rFonts w:ascii="Times New Roman"/>
                <w:sz w:val="21"/>
              </w:rPr>
              <w:t>0.10</w:t>
            </w:r>
          </w:p>
        </w:tc>
        <w:tc>
          <w:tcPr>
            <w:tcW w:w="1294" w:type="dxa"/>
          </w:tcPr>
          <w:p>
            <w:pPr>
              <w:pStyle w:val="14"/>
              <w:spacing w:before="38"/>
              <w:ind w:left="310" w:right="302"/>
              <w:rPr>
                <w:rFonts w:ascii="Times New Roman"/>
                <w:sz w:val="21"/>
              </w:rPr>
            </w:pPr>
            <w:bookmarkStart w:id="688" w:name="0.01"/>
            <w:bookmarkEnd w:id="688"/>
            <w:r>
              <w:rPr>
                <w:rFonts w:ascii="Times New Roman"/>
                <w:sz w:val="21"/>
              </w:rPr>
              <w:t>0.01</w:t>
            </w:r>
          </w:p>
        </w:tc>
        <w:tc>
          <w:tcPr>
            <w:tcW w:w="1299" w:type="dxa"/>
          </w:tcPr>
          <w:p>
            <w:pPr>
              <w:pStyle w:val="14"/>
              <w:spacing w:before="34"/>
              <w:ind w:left="314" w:right="302"/>
              <w:rPr>
                <w:rFonts w:ascii="Times New Roman"/>
                <w:sz w:val="21"/>
              </w:rPr>
            </w:pPr>
            <w:r>
              <w:rPr>
                <w:rFonts w:ascii="Times New Roman"/>
                <w:sz w:val="21"/>
              </w:rPr>
              <w: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19"/>
              <w:ind w:left="166"/>
              <w:jc w:val="left"/>
              <w:rPr>
                <w:sz w:val="21"/>
              </w:rPr>
            </w:pPr>
            <w:r>
              <w:rPr>
                <w:sz w:val="21"/>
              </w:rPr>
              <w:t>总汞（</w:t>
            </w:r>
            <w:r>
              <w:rPr>
                <w:rFonts w:ascii="Times New Roman" w:hAnsi="Times New Roman" w:eastAsia="Times New Roman"/>
                <w:sz w:val="21"/>
              </w:rPr>
              <w:t>μg/L</w:t>
            </w:r>
            <w:r>
              <w:rPr>
                <w:sz w:val="21"/>
              </w:rPr>
              <w:t>）</w:t>
            </w:r>
          </w:p>
        </w:tc>
        <w:tc>
          <w:tcPr>
            <w:tcW w:w="1294" w:type="dxa"/>
          </w:tcPr>
          <w:p>
            <w:pPr>
              <w:pStyle w:val="14"/>
              <w:spacing w:before="38"/>
              <w:ind w:left="310" w:right="301"/>
              <w:rPr>
                <w:rFonts w:ascii="Times New Roman"/>
                <w:sz w:val="21"/>
              </w:rPr>
            </w:pPr>
            <w:bookmarkStart w:id="689" w:name="0.04"/>
            <w:bookmarkEnd w:id="689"/>
            <w:r>
              <w:rPr>
                <w:rFonts w:ascii="Times New Roman"/>
                <w:sz w:val="21"/>
              </w:rPr>
              <w:t>0.04</w:t>
            </w:r>
          </w:p>
        </w:tc>
        <w:tc>
          <w:tcPr>
            <w:tcW w:w="1294" w:type="dxa"/>
          </w:tcPr>
          <w:p>
            <w:pPr>
              <w:pStyle w:val="14"/>
              <w:spacing w:before="19"/>
              <w:ind w:left="309" w:right="302"/>
              <w:rPr>
                <w:sz w:val="21"/>
              </w:rPr>
            </w:pPr>
            <w:r>
              <w:rPr>
                <w:sz w:val="21"/>
              </w:rPr>
              <w:t>未检出</w:t>
            </w:r>
          </w:p>
        </w:tc>
        <w:tc>
          <w:tcPr>
            <w:tcW w:w="1294" w:type="dxa"/>
          </w:tcPr>
          <w:p>
            <w:pPr>
              <w:pStyle w:val="14"/>
              <w:spacing w:before="38"/>
              <w:ind w:left="310" w:right="300"/>
              <w:rPr>
                <w:rFonts w:ascii="Times New Roman"/>
                <w:sz w:val="21"/>
              </w:rPr>
            </w:pPr>
            <w:bookmarkStart w:id="690" w:name="0.04"/>
            <w:bookmarkEnd w:id="690"/>
            <w:r>
              <w:rPr>
                <w:rFonts w:ascii="Times New Roman"/>
                <w:sz w:val="21"/>
              </w:rPr>
              <w:t>0.04</w:t>
            </w:r>
          </w:p>
        </w:tc>
        <w:tc>
          <w:tcPr>
            <w:tcW w:w="1294" w:type="dxa"/>
          </w:tcPr>
          <w:p>
            <w:pPr>
              <w:pStyle w:val="14"/>
              <w:spacing w:before="19"/>
              <w:ind w:left="308" w:right="302"/>
              <w:rPr>
                <w:sz w:val="21"/>
              </w:rPr>
            </w:pPr>
            <w:r>
              <w:rPr>
                <w:sz w:val="21"/>
              </w:rPr>
              <w:t>未检出</w:t>
            </w:r>
          </w:p>
        </w:tc>
        <w:tc>
          <w:tcPr>
            <w:tcW w:w="1294" w:type="dxa"/>
          </w:tcPr>
          <w:p>
            <w:pPr>
              <w:pStyle w:val="14"/>
              <w:spacing w:before="38"/>
              <w:ind w:left="310" w:right="302"/>
              <w:rPr>
                <w:rFonts w:ascii="Times New Roman"/>
                <w:sz w:val="21"/>
              </w:rPr>
            </w:pPr>
            <w:bookmarkStart w:id="691" w:name="0.04"/>
            <w:bookmarkEnd w:id="691"/>
            <w:r>
              <w:rPr>
                <w:rFonts w:ascii="Times New Roman"/>
                <w:sz w:val="21"/>
              </w:rPr>
              <w:t>0.04</w:t>
            </w:r>
          </w:p>
        </w:tc>
        <w:tc>
          <w:tcPr>
            <w:tcW w:w="1299" w:type="dxa"/>
          </w:tcPr>
          <w:p>
            <w:pPr>
              <w:pStyle w:val="14"/>
              <w:spacing w:before="19"/>
              <w:ind w:left="314" w:right="305"/>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19"/>
              <w:ind w:left="166"/>
              <w:jc w:val="left"/>
              <w:rPr>
                <w:sz w:val="21"/>
              </w:rPr>
            </w:pPr>
            <w:r>
              <w:rPr>
                <w:sz w:val="21"/>
              </w:rPr>
              <w:t>总镉（</w:t>
            </w:r>
            <w:r>
              <w:rPr>
                <w:rFonts w:ascii="Times New Roman" w:hAnsi="Times New Roman" w:eastAsia="Times New Roman"/>
                <w:sz w:val="21"/>
              </w:rPr>
              <w:t>μg/L</w:t>
            </w:r>
            <w:r>
              <w:rPr>
                <w:sz w:val="21"/>
              </w:rPr>
              <w:t>）</w:t>
            </w:r>
          </w:p>
        </w:tc>
        <w:tc>
          <w:tcPr>
            <w:tcW w:w="1294" w:type="dxa"/>
          </w:tcPr>
          <w:p>
            <w:pPr>
              <w:pStyle w:val="14"/>
              <w:spacing w:before="38"/>
              <w:ind w:left="310" w:right="299"/>
              <w:rPr>
                <w:rFonts w:ascii="Times New Roman"/>
                <w:sz w:val="21"/>
              </w:rPr>
            </w:pPr>
            <w:bookmarkStart w:id="692" w:name="0.1L"/>
            <w:bookmarkEnd w:id="692"/>
            <w:r>
              <w:rPr>
                <w:rFonts w:ascii="Times New Roman"/>
                <w:sz w:val="21"/>
              </w:rPr>
              <w:t>0.1L</w:t>
            </w:r>
          </w:p>
        </w:tc>
        <w:tc>
          <w:tcPr>
            <w:tcW w:w="1294" w:type="dxa"/>
          </w:tcPr>
          <w:p>
            <w:pPr>
              <w:pStyle w:val="14"/>
              <w:spacing w:before="19"/>
              <w:ind w:left="309" w:right="302"/>
              <w:rPr>
                <w:sz w:val="21"/>
              </w:rPr>
            </w:pPr>
            <w:r>
              <w:rPr>
                <w:sz w:val="21"/>
              </w:rPr>
              <w:t>未检出</w:t>
            </w:r>
          </w:p>
        </w:tc>
        <w:tc>
          <w:tcPr>
            <w:tcW w:w="1294" w:type="dxa"/>
          </w:tcPr>
          <w:p>
            <w:pPr>
              <w:pStyle w:val="14"/>
              <w:spacing w:before="38"/>
              <w:ind w:left="310" w:right="301"/>
              <w:rPr>
                <w:rFonts w:ascii="Times New Roman"/>
                <w:sz w:val="21"/>
              </w:rPr>
            </w:pPr>
            <w:bookmarkStart w:id="693" w:name="0.1L"/>
            <w:bookmarkEnd w:id="693"/>
            <w:r>
              <w:rPr>
                <w:rFonts w:ascii="Times New Roman"/>
                <w:sz w:val="21"/>
              </w:rPr>
              <w:t>0.1L</w:t>
            </w:r>
          </w:p>
        </w:tc>
        <w:tc>
          <w:tcPr>
            <w:tcW w:w="1294" w:type="dxa"/>
          </w:tcPr>
          <w:p>
            <w:pPr>
              <w:pStyle w:val="14"/>
              <w:spacing w:before="19"/>
              <w:ind w:left="308" w:right="302"/>
              <w:rPr>
                <w:sz w:val="21"/>
              </w:rPr>
            </w:pPr>
            <w:r>
              <w:rPr>
                <w:sz w:val="21"/>
              </w:rPr>
              <w:t>未检出</w:t>
            </w:r>
          </w:p>
        </w:tc>
        <w:tc>
          <w:tcPr>
            <w:tcW w:w="1294" w:type="dxa"/>
          </w:tcPr>
          <w:p>
            <w:pPr>
              <w:pStyle w:val="14"/>
              <w:spacing w:before="38"/>
              <w:ind w:left="310" w:right="298"/>
              <w:rPr>
                <w:rFonts w:ascii="Times New Roman"/>
                <w:sz w:val="21"/>
              </w:rPr>
            </w:pPr>
            <w:bookmarkStart w:id="694" w:name="0.1L"/>
            <w:bookmarkEnd w:id="694"/>
            <w:r>
              <w:rPr>
                <w:rFonts w:ascii="Times New Roman"/>
                <w:sz w:val="21"/>
              </w:rPr>
              <w:t>0.1L</w:t>
            </w:r>
          </w:p>
        </w:tc>
        <w:tc>
          <w:tcPr>
            <w:tcW w:w="1299" w:type="dxa"/>
          </w:tcPr>
          <w:p>
            <w:pPr>
              <w:pStyle w:val="14"/>
              <w:spacing w:before="19"/>
              <w:ind w:left="314" w:right="305"/>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21"/>
              <w:ind w:left="140"/>
              <w:jc w:val="left"/>
              <w:rPr>
                <w:sz w:val="21"/>
              </w:rPr>
            </w:pPr>
            <w:r>
              <w:rPr>
                <w:sz w:val="21"/>
              </w:rPr>
              <w:t>总铬（</w:t>
            </w:r>
            <w:r>
              <w:rPr>
                <w:rFonts w:ascii="Times New Roman" w:eastAsia="Times New Roman"/>
                <w:sz w:val="21"/>
              </w:rPr>
              <w:t>mg/L</w:t>
            </w:r>
            <w:r>
              <w:rPr>
                <w:sz w:val="21"/>
              </w:rPr>
              <w:t>）</w:t>
            </w:r>
          </w:p>
        </w:tc>
        <w:tc>
          <w:tcPr>
            <w:tcW w:w="1294" w:type="dxa"/>
          </w:tcPr>
          <w:p>
            <w:pPr>
              <w:pStyle w:val="14"/>
              <w:spacing w:before="37"/>
              <w:ind w:left="310" w:right="299"/>
              <w:rPr>
                <w:rFonts w:ascii="Times New Roman"/>
                <w:sz w:val="21"/>
              </w:rPr>
            </w:pPr>
            <w:bookmarkStart w:id="695" w:name="0.03L"/>
            <w:bookmarkEnd w:id="695"/>
            <w:r>
              <w:rPr>
                <w:rFonts w:ascii="Times New Roman"/>
                <w:sz w:val="21"/>
              </w:rPr>
              <w:t>0.03L</w:t>
            </w:r>
          </w:p>
        </w:tc>
        <w:tc>
          <w:tcPr>
            <w:tcW w:w="1294" w:type="dxa"/>
          </w:tcPr>
          <w:p>
            <w:pPr>
              <w:pStyle w:val="14"/>
              <w:spacing w:before="21"/>
              <w:ind w:left="309" w:right="302"/>
              <w:rPr>
                <w:sz w:val="21"/>
              </w:rPr>
            </w:pPr>
            <w:r>
              <w:rPr>
                <w:sz w:val="21"/>
              </w:rPr>
              <w:t>未检出</w:t>
            </w:r>
          </w:p>
        </w:tc>
        <w:tc>
          <w:tcPr>
            <w:tcW w:w="1294" w:type="dxa"/>
          </w:tcPr>
          <w:p>
            <w:pPr>
              <w:pStyle w:val="14"/>
              <w:spacing w:before="37"/>
              <w:ind w:left="310" w:right="301"/>
              <w:rPr>
                <w:rFonts w:ascii="Times New Roman"/>
                <w:sz w:val="21"/>
              </w:rPr>
            </w:pPr>
            <w:bookmarkStart w:id="696" w:name="0.03L"/>
            <w:bookmarkEnd w:id="696"/>
            <w:r>
              <w:rPr>
                <w:rFonts w:ascii="Times New Roman"/>
                <w:sz w:val="21"/>
              </w:rPr>
              <w:t>0.03L</w:t>
            </w:r>
          </w:p>
        </w:tc>
        <w:tc>
          <w:tcPr>
            <w:tcW w:w="1294" w:type="dxa"/>
          </w:tcPr>
          <w:p>
            <w:pPr>
              <w:pStyle w:val="14"/>
              <w:spacing w:before="21"/>
              <w:ind w:left="308" w:right="302"/>
              <w:rPr>
                <w:sz w:val="21"/>
              </w:rPr>
            </w:pPr>
            <w:r>
              <w:rPr>
                <w:sz w:val="21"/>
              </w:rPr>
              <w:t>未检出</w:t>
            </w:r>
          </w:p>
        </w:tc>
        <w:tc>
          <w:tcPr>
            <w:tcW w:w="1294" w:type="dxa"/>
          </w:tcPr>
          <w:p>
            <w:pPr>
              <w:pStyle w:val="14"/>
              <w:spacing w:before="37"/>
              <w:ind w:left="310" w:right="300"/>
              <w:rPr>
                <w:rFonts w:ascii="Times New Roman"/>
                <w:sz w:val="21"/>
              </w:rPr>
            </w:pPr>
            <w:bookmarkStart w:id="697" w:name="0.03L"/>
            <w:bookmarkEnd w:id="697"/>
            <w:r>
              <w:rPr>
                <w:rFonts w:ascii="Times New Roman"/>
                <w:sz w:val="21"/>
              </w:rPr>
              <w:t>0.03L</w:t>
            </w:r>
          </w:p>
        </w:tc>
        <w:tc>
          <w:tcPr>
            <w:tcW w:w="1299" w:type="dxa"/>
          </w:tcPr>
          <w:p>
            <w:pPr>
              <w:pStyle w:val="14"/>
              <w:spacing w:before="21"/>
              <w:ind w:left="314" w:right="305"/>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21"/>
              <w:ind w:left="166"/>
              <w:jc w:val="left"/>
              <w:rPr>
                <w:sz w:val="21"/>
              </w:rPr>
            </w:pPr>
            <w:r>
              <w:rPr>
                <w:sz w:val="21"/>
              </w:rPr>
              <w:t>总铅（</w:t>
            </w:r>
            <w:r>
              <w:rPr>
                <w:rFonts w:ascii="Times New Roman" w:hAnsi="Times New Roman" w:eastAsia="Times New Roman"/>
                <w:sz w:val="21"/>
              </w:rPr>
              <w:t>μg/L</w:t>
            </w:r>
            <w:r>
              <w:rPr>
                <w:sz w:val="21"/>
              </w:rPr>
              <w:t>）</w:t>
            </w:r>
          </w:p>
        </w:tc>
        <w:tc>
          <w:tcPr>
            <w:tcW w:w="1294" w:type="dxa"/>
          </w:tcPr>
          <w:p>
            <w:pPr>
              <w:pStyle w:val="14"/>
              <w:spacing w:before="37"/>
              <w:ind w:left="310" w:right="299"/>
              <w:rPr>
                <w:rFonts w:ascii="Times New Roman"/>
                <w:sz w:val="21"/>
              </w:rPr>
            </w:pPr>
            <w:bookmarkStart w:id="698" w:name="10L"/>
            <w:bookmarkEnd w:id="698"/>
            <w:r>
              <w:rPr>
                <w:rFonts w:ascii="Times New Roman"/>
                <w:sz w:val="21"/>
              </w:rPr>
              <w:t>10L</w:t>
            </w:r>
          </w:p>
        </w:tc>
        <w:tc>
          <w:tcPr>
            <w:tcW w:w="1294" w:type="dxa"/>
          </w:tcPr>
          <w:p>
            <w:pPr>
              <w:pStyle w:val="14"/>
              <w:spacing w:before="21"/>
              <w:ind w:left="309" w:right="302"/>
              <w:rPr>
                <w:sz w:val="21"/>
              </w:rPr>
            </w:pPr>
            <w:r>
              <w:rPr>
                <w:sz w:val="21"/>
              </w:rPr>
              <w:t>未检出</w:t>
            </w:r>
          </w:p>
        </w:tc>
        <w:tc>
          <w:tcPr>
            <w:tcW w:w="1294" w:type="dxa"/>
          </w:tcPr>
          <w:p>
            <w:pPr>
              <w:pStyle w:val="14"/>
              <w:spacing w:before="37"/>
              <w:ind w:left="310" w:right="301"/>
              <w:rPr>
                <w:rFonts w:ascii="Times New Roman"/>
                <w:sz w:val="21"/>
              </w:rPr>
            </w:pPr>
            <w:bookmarkStart w:id="699" w:name="10L"/>
            <w:bookmarkEnd w:id="699"/>
            <w:r>
              <w:rPr>
                <w:rFonts w:ascii="Times New Roman"/>
                <w:sz w:val="21"/>
              </w:rPr>
              <w:t>10L</w:t>
            </w:r>
          </w:p>
        </w:tc>
        <w:tc>
          <w:tcPr>
            <w:tcW w:w="1294" w:type="dxa"/>
          </w:tcPr>
          <w:p>
            <w:pPr>
              <w:pStyle w:val="14"/>
              <w:spacing w:before="21"/>
              <w:ind w:left="308" w:right="302"/>
              <w:rPr>
                <w:sz w:val="21"/>
              </w:rPr>
            </w:pPr>
            <w:r>
              <w:rPr>
                <w:sz w:val="21"/>
              </w:rPr>
              <w:t>未检出</w:t>
            </w:r>
          </w:p>
        </w:tc>
        <w:tc>
          <w:tcPr>
            <w:tcW w:w="1294" w:type="dxa"/>
          </w:tcPr>
          <w:p>
            <w:pPr>
              <w:pStyle w:val="14"/>
              <w:spacing w:before="37"/>
              <w:ind w:left="310" w:right="302"/>
              <w:rPr>
                <w:rFonts w:ascii="Times New Roman"/>
                <w:sz w:val="21"/>
              </w:rPr>
            </w:pPr>
            <w:bookmarkStart w:id="700" w:name="10L"/>
            <w:bookmarkEnd w:id="700"/>
            <w:r>
              <w:rPr>
                <w:rFonts w:ascii="Times New Roman"/>
                <w:sz w:val="21"/>
              </w:rPr>
              <w:t>10L</w:t>
            </w:r>
          </w:p>
        </w:tc>
        <w:tc>
          <w:tcPr>
            <w:tcW w:w="1299" w:type="dxa"/>
          </w:tcPr>
          <w:p>
            <w:pPr>
              <w:pStyle w:val="14"/>
              <w:spacing w:before="21"/>
              <w:ind w:left="314" w:right="305"/>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575" w:type="dxa"/>
          </w:tcPr>
          <w:p>
            <w:pPr>
              <w:pStyle w:val="14"/>
              <w:spacing w:before="20"/>
              <w:ind w:left="166"/>
              <w:jc w:val="left"/>
              <w:rPr>
                <w:sz w:val="21"/>
              </w:rPr>
            </w:pPr>
            <w:r>
              <w:rPr>
                <w:sz w:val="21"/>
              </w:rPr>
              <w:t>总砷（</w:t>
            </w:r>
            <w:r>
              <w:rPr>
                <w:rFonts w:ascii="Times New Roman" w:hAnsi="Times New Roman" w:eastAsia="Times New Roman"/>
                <w:sz w:val="21"/>
              </w:rPr>
              <w:t>μg/L</w:t>
            </w:r>
            <w:r>
              <w:rPr>
                <w:sz w:val="21"/>
              </w:rPr>
              <w:t>）</w:t>
            </w:r>
          </w:p>
        </w:tc>
        <w:tc>
          <w:tcPr>
            <w:tcW w:w="1294" w:type="dxa"/>
          </w:tcPr>
          <w:p>
            <w:pPr>
              <w:pStyle w:val="14"/>
              <w:spacing w:before="39"/>
              <w:ind w:left="310" w:right="299"/>
              <w:rPr>
                <w:rFonts w:ascii="Times New Roman"/>
                <w:sz w:val="21"/>
              </w:rPr>
            </w:pPr>
            <w:bookmarkStart w:id="701" w:name="0.3L"/>
            <w:bookmarkEnd w:id="701"/>
            <w:r>
              <w:rPr>
                <w:rFonts w:ascii="Times New Roman"/>
                <w:sz w:val="21"/>
              </w:rPr>
              <w:t>0.3L</w:t>
            </w:r>
          </w:p>
        </w:tc>
        <w:tc>
          <w:tcPr>
            <w:tcW w:w="1294" w:type="dxa"/>
          </w:tcPr>
          <w:p>
            <w:pPr>
              <w:pStyle w:val="14"/>
              <w:spacing w:before="20"/>
              <w:ind w:left="309" w:right="302"/>
              <w:rPr>
                <w:sz w:val="21"/>
              </w:rPr>
            </w:pPr>
            <w:r>
              <w:rPr>
                <w:sz w:val="21"/>
              </w:rPr>
              <w:t>未检出</w:t>
            </w:r>
          </w:p>
        </w:tc>
        <w:tc>
          <w:tcPr>
            <w:tcW w:w="1294" w:type="dxa"/>
          </w:tcPr>
          <w:p>
            <w:pPr>
              <w:pStyle w:val="14"/>
              <w:spacing w:before="39"/>
              <w:ind w:left="310" w:right="301"/>
              <w:rPr>
                <w:rFonts w:ascii="Times New Roman"/>
                <w:sz w:val="21"/>
              </w:rPr>
            </w:pPr>
            <w:bookmarkStart w:id="702" w:name="0.3L"/>
            <w:bookmarkEnd w:id="702"/>
            <w:r>
              <w:rPr>
                <w:rFonts w:ascii="Times New Roman"/>
                <w:sz w:val="21"/>
              </w:rPr>
              <w:t>0.3L</w:t>
            </w:r>
          </w:p>
        </w:tc>
        <w:tc>
          <w:tcPr>
            <w:tcW w:w="1294" w:type="dxa"/>
          </w:tcPr>
          <w:p>
            <w:pPr>
              <w:pStyle w:val="14"/>
              <w:spacing w:before="20"/>
              <w:ind w:left="308" w:right="302"/>
              <w:rPr>
                <w:sz w:val="21"/>
              </w:rPr>
            </w:pPr>
            <w:r>
              <w:rPr>
                <w:sz w:val="21"/>
              </w:rPr>
              <w:t>未检出</w:t>
            </w:r>
          </w:p>
        </w:tc>
        <w:tc>
          <w:tcPr>
            <w:tcW w:w="1294" w:type="dxa"/>
          </w:tcPr>
          <w:p>
            <w:pPr>
              <w:pStyle w:val="14"/>
              <w:spacing w:before="39"/>
              <w:ind w:left="310" w:right="298"/>
              <w:rPr>
                <w:rFonts w:ascii="Times New Roman"/>
                <w:sz w:val="21"/>
              </w:rPr>
            </w:pPr>
            <w:bookmarkStart w:id="703" w:name="0.3L"/>
            <w:bookmarkEnd w:id="703"/>
            <w:r>
              <w:rPr>
                <w:rFonts w:ascii="Times New Roman"/>
                <w:sz w:val="21"/>
              </w:rPr>
              <w:t>0.3L</w:t>
            </w:r>
          </w:p>
        </w:tc>
        <w:tc>
          <w:tcPr>
            <w:tcW w:w="1299" w:type="dxa"/>
          </w:tcPr>
          <w:p>
            <w:pPr>
              <w:pStyle w:val="14"/>
              <w:spacing w:before="20"/>
              <w:ind w:left="314" w:right="305"/>
              <w:rPr>
                <w:sz w:val="21"/>
              </w:rPr>
            </w:pPr>
            <w:r>
              <w:rPr>
                <w:sz w:val="21"/>
              </w:rPr>
              <w:t>未检出</w:t>
            </w:r>
          </w:p>
        </w:tc>
      </w:tr>
    </w:tbl>
    <w:p>
      <w:pPr>
        <w:spacing w:after="0"/>
        <w:rPr>
          <w:sz w:val="21"/>
        </w:rPr>
        <w:sectPr>
          <w:pgSz w:w="11910" w:h="16840"/>
          <w:pgMar w:top="1580" w:right="780" w:bottom="1240" w:left="1200" w:header="0" w:footer="1058" w:gutter="0"/>
        </w:sectPr>
      </w:pP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75"/>
        <w:gridCol w:w="1294"/>
        <w:gridCol w:w="1294"/>
        <w:gridCol w:w="1294"/>
        <w:gridCol w:w="1294"/>
        <w:gridCol w:w="1294"/>
        <w:gridCol w:w="12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575" w:type="dxa"/>
          </w:tcPr>
          <w:p>
            <w:pPr>
              <w:pStyle w:val="14"/>
              <w:spacing w:before="20"/>
              <w:ind w:left="140"/>
              <w:jc w:val="left"/>
              <w:rPr>
                <w:sz w:val="21"/>
              </w:rPr>
            </w:pPr>
            <w:r>
              <w:rPr>
                <w:sz w:val="21"/>
              </w:rPr>
              <w:t>总锌（</w:t>
            </w:r>
            <w:r>
              <w:rPr>
                <w:rFonts w:ascii="Times New Roman" w:eastAsia="Times New Roman"/>
                <w:sz w:val="21"/>
              </w:rPr>
              <w:t>mg/L</w:t>
            </w:r>
            <w:r>
              <w:rPr>
                <w:sz w:val="21"/>
              </w:rPr>
              <w:t>）</w:t>
            </w:r>
          </w:p>
        </w:tc>
        <w:tc>
          <w:tcPr>
            <w:tcW w:w="1294" w:type="dxa"/>
          </w:tcPr>
          <w:p>
            <w:pPr>
              <w:pStyle w:val="14"/>
              <w:spacing w:before="38"/>
              <w:ind w:left="310" w:right="301"/>
              <w:rPr>
                <w:rFonts w:ascii="Times New Roman"/>
                <w:sz w:val="21"/>
              </w:rPr>
            </w:pPr>
            <w:bookmarkStart w:id="704" w:name="0.05"/>
            <w:bookmarkEnd w:id="704"/>
            <w:r>
              <w:rPr>
                <w:rFonts w:ascii="Times New Roman"/>
                <w:sz w:val="21"/>
              </w:rPr>
              <w:t>0.05</w:t>
            </w:r>
          </w:p>
        </w:tc>
        <w:tc>
          <w:tcPr>
            <w:tcW w:w="1294" w:type="dxa"/>
          </w:tcPr>
          <w:p>
            <w:pPr>
              <w:pStyle w:val="14"/>
              <w:spacing w:before="34"/>
              <w:ind w:left="310" w:right="299"/>
              <w:rPr>
                <w:rFonts w:ascii="Times New Roman"/>
                <w:sz w:val="21"/>
              </w:rPr>
            </w:pPr>
            <w:r>
              <w:rPr>
                <w:rFonts w:ascii="Times New Roman"/>
                <w:sz w:val="21"/>
              </w:rPr>
              <w:t>0.05</w:t>
            </w:r>
          </w:p>
        </w:tc>
        <w:tc>
          <w:tcPr>
            <w:tcW w:w="1294" w:type="dxa"/>
          </w:tcPr>
          <w:p>
            <w:pPr>
              <w:pStyle w:val="14"/>
              <w:spacing w:before="38"/>
              <w:ind w:left="310" w:right="300"/>
              <w:rPr>
                <w:rFonts w:ascii="Times New Roman"/>
                <w:sz w:val="21"/>
              </w:rPr>
            </w:pPr>
            <w:bookmarkStart w:id="705" w:name="0.05"/>
            <w:bookmarkEnd w:id="705"/>
            <w:r>
              <w:rPr>
                <w:rFonts w:ascii="Times New Roman"/>
                <w:sz w:val="21"/>
              </w:rPr>
              <w:t>0.05</w:t>
            </w:r>
          </w:p>
        </w:tc>
        <w:tc>
          <w:tcPr>
            <w:tcW w:w="1294" w:type="dxa"/>
          </w:tcPr>
          <w:p>
            <w:pPr>
              <w:pStyle w:val="14"/>
              <w:spacing w:before="34"/>
              <w:ind w:left="310" w:right="301"/>
              <w:rPr>
                <w:rFonts w:ascii="Times New Roman"/>
                <w:sz w:val="21"/>
              </w:rPr>
            </w:pPr>
            <w:r>
              <w:rPr>
                <w:rFonts w:ascii="Times New Roman"/>
                <w:sz w:val="21"/>
              </w:rPr>
              <w:t>0.05</w:t>
            </w:r>
          </w:p>
        </w:tc>
        <w:tc>
          <w:tcPr>
            <w:tcW w:w="1294" w:type="dxa"/>
          </w:tcPr>
          <w:p>
            <w:pPr>
              <w:pStyle w:val="14"/>
              <w:spacing w:before="38"/>
              <w:ind w:left="310" w:right="302"/>
              <w:rPr>
                <w:rFonts w:ascii="Times New Roman"/>
                <w:sz w:val="21"/>
              </w:rPr>
            </w:pPr>
            <w:bookmarkStart w:id="706" w:name="0.05"/>
            <w:bookmarkEnd w:id="706"/>
            <w:r>
              <w:rPr>
                <w:rFonts w:ascii="Times New Roman"/>
                <w:sz w:val="21"/>
              </w:rPr>
              <w:t>0.05</w:t>
            </w:r>
          </w:p>
        </w:tc>
        <w:tc>
          <w:tcPr>
            <w:tcW w:w="1299" w:type="dxa"/>
          </w:tcPr>
          <w:p>
            <w:pPr>
              <w:pStyle w:val="14"/>
              <w:spacing w:before="34"/>
              <w:ind w:left="314" w:right="302"/>
              <w:rPr>
                <w:rFonts w:ascii="Times New Roman"/>
                <w:sz w:val="21"/>
              </w:rPr>
            </w:pPr>
            <w:r>
              <w:rPr>
                <w:rFonts w:ascii="Times New Roman"/>
                <w:sz w:val="21"/>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19"/>
              <w:ind w:left="106" w:right="-15"/>
              <w:jc w:val="left"/>
              <w:rPr>
                <w:sz w:val="21"/>
              </w:rPr>
            </w:pPr>
            <w:r>
              <w:rPr>
                <w:spacing w:val="-13"/>
                <w:sz w:val="21"/>
              </w:rPr>
              <w:t>六价铬</w:t>
            </w:r>
            <w:r>
              <w:rPr>
                <w:sz w:val="21"/>
              </w:rPr>
              <w:t>（</w:t>
            </w:r>
            <w:r>
              <w:rPr>
                <w:rFonts w:ascii="Times New Roman" w:eastAsia="Times New Roman"/>
                <w:sz w:val="21"/>
              </w:rPr>
              <w:t>mg/L</w:t>
            </w:r>
            <w:r>
              <w:rPr>
                <w:sz w:val="21"/>
              </w:rPr>
              <w:t>）</w:t>
            </w:r>
          </w:p>
        </w:tc>
        <w:tc>
          <w:tcPr>
            <w:tcW w:w="1294" w:type="dxa"/>
          </w:tcPr>
          <w:p>
            <w:pPr>
              <w:pStyle w:val="14"/>
              <w:spacing w:before="38"/>
              <w:ind w:right="335"/>
              <w:jc w:val="right"/>
              <w:rPr>
                <w:rFonts w:ascii="Times New Roman"/>
                <w:sz w:val="21"/>
              </w:rPr>
            </w:pPr>
            <w:bookmarkStart w:id="707" w:name="0.004L"/>
            <w:bookmarkEnd w:id="707"/>
            <w:r>
              <w:rPr>
                <w:rFonts w:ascii="Times New Roman"/>
                <w:w w:val="95"/>
                <w:sz w:val="21"/>
              </w:rPr>
              <w:t>0.004L</w:t>
            </w:r>
          </w:p>
        </w:tc>
        <w:tc>
          <w:tcPr>
            <w:tcW w:w="1294" w:type="dxa"/>
          </w:tcPr>
          <w:p>
            <w:pPr>
              <w:pStyle w:val="14"/>
              <w:spacing w:before="19"/>
              <w:ind w:left="309" w:right="302"/>
              <w:rPr>
                <w:sz w:val="21"/>
              </w:rPr>
            </w:pPr>
            <w:r>
              <w:rPr>
                <w:sz w:val="21"/>
              </w:rPr>
              <w:t>未检出</w:t>
            </w:r>
          </w:p>
        </w:tc>
        <w:tc>
          <w:tcPr>
            <w:tcW w:w="1294" w:type="dxa"/>
          </w:tcPr>
          <w:p>
            <w:pPr>
              <w:pStyle w:val="14"/>
              <w:spacing w:before="38"/>
              <w:ind w:left="310" w:right="298"/>
              <w:rPr>
                <w:rFonts w:ascii="Times New Roman"/>
                <w:sz w:val="21"/>
              </w:rPr>
            </w:pPr>
            <w:bookmarkStart w:id="708" w:name="0.004L"/>
            <w:bookmarkEnd w:id="708"/>
            <w:r>
              <w:rPr>
                <w:rFonts w:ascii="Times New Roman"/>
                <w:sz w:val="21"/>
              </w:rPr>
              <w:t>0.004L</w:t>
            </w:r>
          </w:p>
        </w:tc>
        <w:tc>
          <w:tcPr>
            <w:tcW w:w="1294" w:type="dxa"/>
          </w:tcPr>
          <w:p>
            <w:pPr>
              <w:pStyle w:val="14"/>
              <w:spacing w:before="19"/>
              <w:ind w:left="308" w:right="302"/>
              <w:rPr>
                <w:sz w:val="21"/>
              </w:rPr>
            </w:pPr>
            <w:r>
              <w:rPr>
                <w:sz w:val="21"/>
              </w:rPr>
              <w:t>未检出</w:t>
            </w:r>
          </w:p>
        </w:tc>
        <w:tc>
          <w:tcPr>
            <w:tcW w:w="1294" w:type="dxa"/>
          </w:tcPr>
          <w:p>
            <w:pPr>
              <w:pStyle w:val="14"/>
              <w:spacing w:before="38"/>
              <w:ind w:left="310" w:right="300"/>
              <w:rPr>
                <w:rFonts w:ascii="Times New Roman"/>
                <w:sz w:val="21"/>
              </w:rPr>
            </w:pPr>
            <w:bookmarkStart w:id="709" w:name="0.004L"/>
            <w:bookmarkEnd w:id="709"/>
            <w:r>
              <w:rPr>
                <w:rFonts w:ascii="Times New Roman"/>
                <w:sz w:val="21"/>
              </w:rPr>
              <w:t>0.004L</w:t>
            </w:r>
          </w:p>
        </w:tc>
        <w:tc>
          <w:tcPr>
            <w:tcW w:w="1299" w:type="dxa"/>
          </w:tcPr>
          <w:p>
            <w:pPr>
              <w:pStyle w:val="14"/>
              <w:spacing w:before="19"/>
              <w:ind w:left="314" w:right="305"/>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19"/>
              <w:ind w:left="106" w:right="-15"/>
              <w:jc w:val="left"/>
              <w:rPr>
                <w:sz w:val="21"/>
              </w:rPr>
            </w:pPr>
            <w:r>
              <w:rPr>
                <w:spacing w:val="-13"/>
                <w:sz w:val="21"/>
              </w:rPr>
              <w:t>氟化物</w:t>
            </w:r>
            <w:r>
              <w:rPr>
                <w:sz w:val="21"/>
              </w:rPr>
              <w:t>（</w:t>
            </w:r>
            <w:r>
              <w:rPr>
                <w:rFonts w:ascii="Times New Roman" w:eastAsia="Times New Roman"/>
                <w:sz w:val="21"/>
              </w:rPr>
              <w:t>mg/L</w:t>
            </w:r>
            <w:r>
              <w:rPr>
                <w:sz w:val="21"/>
              </w:rPr>
              <w:t>）</w:t>
            </w:r>
          </w:p>
        </w:tc>
        <w:tc>
          <w:tcPr>
            <w:tcW w:w="1294" w:type="dxa"/>
          </w:tcPr>
          <w:p>
            <w:pPr>
              <w:pStyle w:val="14"/>
              <w:spacing w:before="38"/>
              <w:ind w:right="385"/>
              <w:jc w:val="right"/>
              <w:rPr>
                <w:rFonts w:ascii="Times New Roman"/>
                <w:sz w:val="21"/>
              </w:rPr>
            </w:pPr>
            <w:bookmarkStart w:id="710" w:name="0.05L"/>
            <w:bookmarkEnd w:id="710"/>
            <w:r>
              <w:rPr>
                <w:rFonts w:ascii="Times New Roman"/>
                <w:sz w:val="21"/>
              </w:rPr>
              <w:t>0.05L</w:t>
            </w:r>
          </w:p>
        </w:tc>
        <w:tc>
          <w:tcPr>
            <w:tcW w:w="1294" w:type="dxa"/>
          </w:tcPr>
          <w:p>
            <w:pPr>
              <w:pStyle w:val="14"/>
              <w:spacing w:before="19"/>
              <w:ind w:left="309" w:right="302"/>
              <w:rPr>
                <w:sz w:val="21"/>
              </w:rPr>
            </w:pPr>
            <w:r>
              <w:rPr>
                <w:sz w:val="21"/>
              </w:rPr>
              <w:t>未检出</w:t>
            </w:r>
          </w:p>
        </w:tc>
        <w:tc>
          <w:tcPr>
            <w:tcW w:w="1294" w:type="dxa"/>
          </w:tcPr>
          <w:p>
            <w:pPr>
              <w:pStyle w:val="14"/>
              <w:spacing w:before="38"/>
              <w:ind w:left="310" w:right="301"/>
              <w:rPr>
                <w:rFonts w:ascii="Times New Roman"/>
                <w:sz w:val="21"/>
              </w:rPr>
            </w:pPr>
            <w:bookmarkStart w:id="711" w:name="0.05L"/>
            <w:bookmarkEnd w:id="711"/>
            <w:r>
              <w:rPr>
                <w:rFonts w:ascii="Times New Roman"/>
                <w:sz w:val="21"/>
              </w:rPr>
              <w:t>0.05L</w:t>
            </w:r>
          </w:p>
        </w:tc>
        <w:tc>
          <w:tcPr>
            <w:tcW w:w="1294" w:type="dxa"/>
          </w:tcPr>
          <w:p>
            <w:pPr>
              <w:pStyle w:val="14"/>
              <w:spacing w:before="19"/>
              <w:ind w:left="308" w:right="302"/>
              <w:rPr>
                <w:sz w:val="21"/>
              </w:rPr>
            </w:pPr>
            <w:r>
              <w:rPr>
                <w:sz w:val="21"/>
              </w:rPr>
              <w:t>未检出</w:t>
            </w:r>
          </w:p>
        </w:tc>
        <w:tc>
          <w:tcPr>
            <w:tcW w:w="1294" w:type="dxa"/>
          </w:tcPr>
          <w:p>
            <w:pPr>
              <w:pStyle w:val="14"/>
              <w:spacing w:before="38"/>
              <w:ind w:left="310" w:right="300"/>
              <w:rPr>
                <w:rFonts w:ascii="Times New Roman"/>
                <w:sz w:val="21"/>
              </w:rPr>
            </w:pPr>
            <w:bookmarkStart w:id="712" w:name="0.05L"/>
            <w:bookmarkEnd w:id="712"/>
            <w:r>
              <w:rPr>
                <w:rFonts w:ascii="Times New Roman"/>
                <w:sz w:val="21"/>
              </w:rPr>
              <w:t>0.05L</w:t>
            </w:r>
          </w:p>
        </w:tc>
        <w:tc>
          <w:tcPr>
            <w:tcW w:w="1299" w:type="dxa"/>
          </w:tcPr>
          <w:p>
            <w:pPr>
              <w:pStyle w:val="14"/>
              <w:spacing w:before="19"/>
              <w:ind w:left="314" w:right="305"/>
              <w:rPr>
                <w:sz w:val="21"/>
              </w:rPr>
            </w:pPr>
            <w:r>
              <w:rPr>
                <w:sz w:val="21"/>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18" w:line="274" w:lineRule="exact"/>
              <w:ind w:left="109"/>
              <w:jc w:val="left"/>
              <w:rPr>
                <w:sz w:val="21"/>
              </w:rPr>
            </w:pPr>
            <w:r>
              <w:rPr>
                <w:rFonts w:ascii="Times New Roman" w:eastAsia="Times New Roman"/>
                <w:position w:val="2"/>
                <w:sz w:val="21"/>
              </w:rPr>
              <w:t>BOD</w:t>
            </w:r>
            <w:r>
              <w:rPr>
                <w:rFonts w:ascii="Times New Roman" w:eastAsia="Times New Roman"/>
                <w:position w:val="2"/>
                <w:sz w:val="21"/>
                <w:vertAlign w:val="subscript"/>
              </w:rPr>
              <w:t>5</w:t>
            </w:r>
            <w:r>
              <w:rPr>
                <w:position w:val="2"/>
                <w:sz w:val="21"/>
                <w:vertAlign w:val="baseline"/>
              </w:rPr>
              <w:t>（</w:t>
            </w:r>
            <w:r>
              <w:rPr>
                <w:rFonts w:ascii="Times New Roman" w:eastAsia="Times New Roman"/>
                <w:position w:val="2"/>
                <w:sz w:val="21"/>
                <w:vertAlign w:val="baseline"/>
              </w:rPr>
              <w:t>mg/L</w:t>
            </w:r>
            <w:r>
              <w:rPr>
                <w:position w:val="2"/>
                <w:sz w:val="21"/>
                <w:vertAlign w:val="baseline"/>
              </w:rPr>
              <w:t>）</w:t>
            </w:r>
          </w:p>
        </w:tc>
        <w:tc>
          <w:tcPr>
            <w:tcW w:w="1294" w:type="dxa"/>
          </w:tcPr>
          <w:p>
            <w:pPr>
              <w:pStyle w:val="14"/>
              <w:spacing w:before="37"/>
              <w:ind w:left="310" w:right="301"/>
              <w:rPr>
                <w:rFonts w:ascii="Times New Roman"/>
                <w:sz w:val="21"/>
              </w:rPr>
            </w:pPr>
            <w:bookmarkStart w:id="713" w:name="14.0"/>
            <w:bookmarkEnd w:id="713"/>
            <w:r>
              <w:rPr>
                <w:rFonts w:ascii="Times New Roman"/>
                <w:sz w:val="21"/>
              </w:rPr>
              <w:t>14.0</w:t>
            </w:r>
          </w:p>
        </w:tc>
        <w:tc>
          <w:tcPr>
            <w:tcW w:w="1294" w:type="dxa"/>
          </w:tcPr>
          <w:p>
            <w:pPr>
              <w:pStyle w:val="14"/>
              <w:spacing w:before="35"/>
              <w:ind w:left="310" w:right="299"/>
              <w:rPr>
                <w:rFonts w:ascii="Times New Roman"/>
                <w:sz w:val="21"/>
              </w:rPr>
            </w:pPr>
            <w:r>
              <w:rPr>
                <w:rFonts w:ascii="Times New Roman"/>
                <w:sz w:val="21"/>
              </w:rPr>
              <w:t>3.50</w:t>
            </w:r>
          </w:p>
        </w:tc>
        <w:tc>
          <w:tcPr>
            <w:tcW w:w="1294" w:type="dxa"/>
          </w:tcPr>
          <w:p>
            <w:pPr>
              <w:pStyle w:val="14"/>
              <w:spacing w:before="37"/>
              <w:ind w:left="310" w:right="300"/>
              <w:rPr>
                <w:rFonts w:ascii="Times New Roman"/>
                <w:sz w:val="21"/>
              </w:rPr>
            </w:pPr>
            <w:bookmarkStart w:id="714" w:name="15.2"/>
            <w:bookmarkEnd w:id="714"/>
            <w:r>
              <w:rPr>
                <w:rFonts w:ascii="Times New Roman"/>
                <w:sz w:val="21"/>
              </w:rPr>
              <w:t>15.2</w:t>
            </w:r>
          </w:p>
        </w:tc>
        <w:tc>
          <w:tcPr>
            <w:tcW w:w="1294" w:type="dxa"/>
          </w:tcPr>
          <w:p>
            <w:pPr>
              <w:pStyle w:val="14"/>
              <w:spacing w:before="35"/>
              <w:ind w:left="310" w:right="301"/>
              <w:rPr>
                <w:rFonts w:ascii="Times New Roman"/>
                <w:sz w:val="21"/>
              </w:rPr>
            </w:pPr>
            <w:r>
              <w:rPr>
                <w:rFonts w:ascii="Times New Roman"/>
                <w:sz w:val="21"/>
              </w:rPr>
              <w:t>3.80</w:t>
            </w:r>
          </w:p>
        </w:tc>
        <w:tc>
          <w:tcPr>
            <w:tcW w:w="1294" w:type="dxa"/>
          </w:tcPr>
          <w:p>
            <w:pPr>
              <w:pStyle w:val="14"/>
              <w:spacing w:before="37"/>
              <w:ind w:left="310" w:right="302"/>
              <w:rPr>
                <w:rFonts w:ascii="Times New Roman"/>
                <w:sz w:val="21"/>
              </w:rPr>
            </w:pPr>
            <w:bookmarkStart w:id="715" w:name="15.9"/>
            <w:bookmarkEnd w:id="715"/>
            <w:r>
              <w:rPr>
                <w:rFonts w:ascii="Times New Roman"/>
                <w:sz w:val="21"/>
              </w:rPr>
              <w:t>15.9</w:t>
            </w:r>
          </w:p>
        </w:tc>
        <w:tc>
          <w:tcPr>
            <w:tcW w:w="1299" w:type="dxa"/>
          </w:tcPr>
          <w:p>
            <w:pPr>
              <w:pStyle w:val="14"/>
              <w:spacing w:before="35"/>
              <w:ind w:left="314" w:right="302"/>
              <w:rPr>
                <w:rFonts w:ascii="Times New Roman"/>
                <w:sz w:val="21"/>
              </w:rPr>
            </w:pPr>
            <w:r>
              <w:rPr>
                <w:rFonts w:ascii="Times New Roman"/>
                <w:sz w:val="21"/>
              </w:rPr>
              <w:t>3.98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75" w:type="dxa"/>
          </w:tcPr>
          <w:p>
            <w:pPr>
              <w:pStyle w:val="14"/>
              <w:spacing w:before="21"/>
              <w:ind w:left="140"/>
              <w:jc w:val="left"/>
              <w:rPr>
                <w:sz w:val="21"/>
              </w:rPr>
            </w:pPr>
            <w:r>
              <w:rPr>
                <w:sz w:val="21"/>
              </w:rPr>
              <w:t>氨氮（</w:t>
            </w:r>
            <w:r>
              <w:rPr>
                <w:rFonts w:ascii="Times New Roman" w:eastAsia="Times New Roman"/>
                <w:sz w:val="21"/>
              </w:rPr>
              <w:t>mg/L</w:t>
            </w:r>
            <w:r>
              <w:rPr>
                <w:sz w:val="21"/>
              </w:rPr>
              <w:t>）</w:t>
            </w:r>
          </w:p>
        </w:tc>
        <w:tc>
          <w:tcPr>
            <w:tcW w:w="1294" w:type="dxa"/>
          </w:tcPr>
          <w:p>
            <w:pPr>
              <w:pStyle w:val="14"/>
              <w:spacing w:before="37"/>
              <w:ind w:left="310" w:right="301"/>
              <w:rPr>
                <w:rFonts w:ascii="Times New Roman"/>
                <w:sz w:val="21"/>
              </w:rPr>
            </w:pPr>
            <w:bookmarkStart w:id="716" w:name="0.40"/>
            <w:bookmarkEnd w:id="716"/>
            <w:r>
              <w:rPr>
                <w:rFonts w:ascii="Times New Roman"/>
                <w:sz w:val="21"/>
              </w:rPr>
              <w:t>0.40</w:t>
            </w:r>
          </w:p>
        </w:tc>
        <w:tc>
          <w:tcPr>
            <w:tcW w:w="1294" w:type="dxa"/>
          </w:tcPr>
          <w:p>
            <w:pPr>
              <w:pStyle w:val="14"/>
              <w:spacing w:before="34"/>
              <w:ind w:left="310" w:right="299"/>
              <w:rPr>
                <w:rFonts w:ascii="Times New Roman"/>
                <w:sz w:val="21"/>
              </w:rPr>
            </w:pPr>
            <w:r>
              <w:rPr>
                <w:rFonts w:ascii="Times New Roman"/>
                <w:sz w:val="21"/>
              </w:rPr>
              <w:t>0.40</w:t>
            </w:r>
          </w:p>
        </w:tc>
        <w:tc>
          <w:tcPr>
            <w:tcW w:w="1294" w:type="dxa"/>
          </w:tcPr>
          <w:p>
            <w:pPr>
              <w:pStyle w:val="14"/>
              <w:spacing w:before="37"/>
              <w:ind w:left="310" w:right="300"/>
              <w:rPr>
                <w:rFonts w:ascii="Times New Roman"/>
                <w:sz w:val="21"/>
              </w:rPr>
            </w:pPr>
            <w:bookmarkStart w:id="717" w:name="0.40"/>
            <w:bookmarkEnd w:id="717"/>
            <w:r>
              <w:rPr>
                <w:rFonts w:ascii="Times New Roman"/>
                <w:sz w:val="21"/>
              </w:rPr>
              <w:t>0.40</w:t>
            </w:r>
          </w:p>
        </w:tc>
        <w:tc>
          <w:tcPr>
            <w:tcW w:w="1294" w:type="dxa"/>
          </w:tcPr>
          <w:p>
            <w:pPr>
              <w:pStyle w:val="14"/>
              <w:spacing w:before="34"/>
              <w:ind w:left="310" w:right="301"/>
              <w:rPr>
                <w:rFonts w:ascii="Times New Roman"/>
                <w:sz w:val="21"/>
              </w:rPr>
            </w:pPr>
            <w:r>
              <w:rPr>
                <w:rFonts w:ascii="Times New Roman"/>
                <w:sz w:val="21"/>
              </w:rPr>
              <w:t>0.40</w:t>
            </w:r>
          </w:p>
        </w:tc>
        <w:tc>
          <w:tcPr>
            <w:tcW w:w="1294" w:type="dxa"/>
          </w:tcPr>
          <w:p>
            <w:pPr>
              <w:pStyle w:val="14"/>
              <w:spacing w:before="37"/>
              <w:ind w:left="310" w:right="302"/>
              <w:rPr>
                <w:rFonts w:ascii="Times New Roman"/>
                <w:sz w:val="21"/>
              </w:rPr>
            </w:pPr>
            <w:bookmarkStart w:id="718" w:name="0.40"/>
            <w:bookmarkEnd w:id="718"/>
            <w:r>
              <w:rPr>
                <w:rFonts w:ascii="Times New Roman"/>
                <w:sz w:val="21"/>
              </w:rPr>
              <w:t>0.40</w:t>
            </w:r>
          </w:p>
        </w:tc>
        <w:tc>
          <w:tcPr>
            <w:tcW w:w="1299" w:type="dxa"/>
          </w:tcPr>
          <w:p>
            <w:pPr>
              <w:pStyle w:val="14"/>
              <w:spacing w:before="34"/>
              <w:ind w:left="314" w:right="302"/>
              <w:rPr>
                <w:rFonts w:ascii="Times New Roman"/>
                <w:sz w:val="21"/>
              </w:rPr>
            </w:pPr>
            <w:r>
              <w:rPr>
                <w:rFonts w:ascii="Times New Roman"/>
                <w:sz w:val="21"/>
              </w:rPr>
              <w:t>0.40</w:t>
            </w:r>
          </w:p>
        </w:tc>
      </w:tr>
    </w:tbl>
    <w:p>
      <w:pPr>
        <w:pStyle w:val="13"/>
        <w:numPr>
          <w:ilvl w:val="3"/>
          <w:numId w:val="61"/>
        </w:numPr>
        <w:tabs>
          <w:tab w:val="left" w:pos="996"/>
        </w:tabs>
        <w:spacing w:before="6" w:after="0" w:line="240" w:lineRule="auto"/>
        <w:ind w:left="996" w:right="0" w:hanging="781"/>
        <w:jc w:val="left"/>
        <w:rPr>
          <w:b/>
          <w:sz w:val="24"/>
        </w:rPr>
      </w:pPr>
      <w:r>
        <w:rPr>
          <w:b/>
          <w:sz w:val="24"/>
        </w:rPr>
        <w:t>地表水环境质量现状评价结论</w:t>
      </w:r>
    </w:p>
    <w:p>
      <w:pPr>
        <w:pStyle w:val="6"/>
        <w:spacing w:before="155" w:line="364" w:lineRule="auto"/>
        <w:ind w:left="215" w:right="577" w:firstLine="480"/>
        <w:jc w:val="both"/>
      </w:pPr>
      <w:r>
        <w:rPr>
          <w:spacing w:val="-20"/>
          <w:position w:val="2"/>
        </w:rPr>
        <w:t xml:space="preserve">从表 </w:t>
      </w:r>
      <w:r>
        <w:rPr>
          <w:rFonts w:ascii="Times New Roman" w:hAnsi="Times New Roman" w:eastAsia="Times New Roman"/>
          <w:position w:val="2"/>
        </w:rPr>
        <w:t xml:space="preserve">7.3-4 </w:t>
      </w:r>
      <w:r>
        <w:rPr>
          <w:spacing w:val="-4"/>
          <w:position w:val="2"/>
        </w:rPr>
        <w:t>中水质结果可看出，纳污水体扁石河各项指标除铁、</w:t>
      </w:r>
      <w:r>
        <w:rPr>
          <w:rFonts w:ascii="Times New Roman" w:hAnsi="Times New Roman" w:eastAsia="Times New Roman"/>
          <w:position w:val="2"/>
        </w:rPr>
        <w:t>COD</w:t>
      </w:r>
      <w:r>
        <w:rPr>
          <w:spacing w:val="-22"/>
          <w:position w:val="2"/>
        </w:rPr>
        <w:t>、</w:t>
      </w:r>
      <w:r>
        <w:rPr>
          <w:rFonts w:ascii="Times New Roman" w:hAnsi="Times New Roman" w:eastAsia="Times New Roman"/>
          <w:position w:val="2"/>
        </w:rPr>
        <w:t>BOD</w:t>
      </w:r>
      <w:r>
        <w:rPr>
          <w:rFonts w:ascii="Times New Roman" w:hAnsi="Times New Roman" w:eastAsia="Times New Roman"/>
          <w:position w:val="2"/>
          <w:vertAlign w:val="subscript"/>
        </w:rPr>
        <w:t>5</w:t>
      </w:r>
      <w:r>
        <w:rPr>
          <w:rFonts w:ascii="Times New Roman" w:hAnsi="Times New Roman" w:eastAsia="Times New Roman"/>
          <w:position w:val="2"/>
          <w:vertAlign w:val="baseline"/>
        </w:rPr>
        <w:t xml:space="preserve"> </w:t>
      </w:r>
      <w:r>
        <w:rPr>
          <w:spacing w:val="-5"/>
          <w:position w:val="2"/>
          <w:vertAlign w:val="baseline"/>
        </w:rPr>
        <w:t>以外均</w:t>
      </w:r>
      <w:r>
        <w:rPr>
          <w:vertAlign w:val="baseline"/>
        </w:rPr>
        <w:t>满足《地表水环境质量标准》</w:t>
      </w:r>
      <w:r>
        <w:rPr>
          <w:rFonts w:ascii="Times New Roman" w:hAnsi="Times New Roman" w:eastAsia="Times New Roman"/>
          <w:vertAlign w:val="baseline"/>
        </w:rPr>
        <w:t xml:space="preserve">GB3838-2002 </w:t>
      </w:r>
      <w:r>
        <w:rPr>
          <w:vertAlign w:val="baseline"/>
        </w:rPr>
        <w:t>中的Ⅲ类水体水质标准。</w:t>
      </w:r>
    </w:p>
    <w:p>
      <w:pPr>
        <w:pStyle w:val="3"/>
        <w:numPr>
          <w:ilvl w:val="1"/>
          <w:numId w:val="61"/>
        </w:numPr>
        <w:tabs>
          <w:tab w:val="left" w:pos="668"/>
        </w:tabs>
        <w:spacing w:before="0" w:after="0" w:line="240" w:lineRule="auto"/>
        <w:ind w:left="667" w:right="0" w:hanging="453"/>
        <w:jc w:val="left"/>
        <w:rPr>
          <w:rFonts w:ascii="Times New Roman" w:eastAsia="Times New Roman"/>
        </w:rPr>
      </w:pPr>
      <w:bookmarkStart w:id="719" w:name="7.4建设期地表水环境影响分析与防治措施"/>
      <w:bookmarkEnd w:id="719"/>
      <w:bookmarkStart w:id="720" w:name="_bookmark40"/>
      <w:bookmarkEnd w:id="720"/>
      <w:bookmarkStart w:id="721" w:name="_bookmark40"/>
      <w:bookmarkEnd w:id="721"/>
      <w:r>
        <w:t>建设期地表水环境影响分析与防治措施</w:t>
      </w:r>
    </w:p>
    <w:p>
      <w:pPr>
        <w:pStyle w:val="6"/>
        <w:spacing w:before="199" w:line="364" w:lineRule="auto"/>
        <w:ind w:left="215" w:right="578" w:firstLine="480"/>
        <w:jc w:val="both"/>
      </w:pPr>
      <w:r>
        <w:t>建设期间由于矿区的污水处理系统尚未健全，难以集中处理并排放，这些污水如果不做处理直接排入地面水系扁石河，对扁石河水质会有一定的影响。所以建议对矿井工业场地施工过程中产生的污废水要按地方施工现场的环境保护要求进行集中管理和处理，避免任意排放。</w:t>
      </w:r>
    </w:p>
    <w:p>
      <w:pPr>
        <w:pStyle w:val="3"/>
        <w:numPr>
          <w:ilvl w:val="1"/>
          <w:numId w:val="61"/>
        </w:numPr>
        <w:tabs>
          <w:tab w:val="left" w:pos="668"/>
        </w:tabs>
        <w:spacing w:before="0" w:after="0" w:line="382" w:lineRule="exact"/>
        <w:ind w:left="667" w:right="0" w:hanging="453"/>
        <w:jc w:val="left"/>
        <w:rPr>
          <w:rFonts w:ascii="Times New Roman" w:eastAsia="Times New Roman"/>
        </w:rPr>
      </w:pPr>
      <w:bookmarkStart w:id="722" w:name="_bookmark41"/>
      <w:bookmarkEnd w:id="722"/>
      <w:bookmarkStart w:id="723" w:name="_bookmark41"/>
      <w:bookmarkEnd w:id="723"/>
      <w:bookmarkStart w:id="724" w:name="7.5运营期地表水环境影响预测与评价"/>
      <w:bookmarkEnd w:id="724"/>
      <w:r>
        <w:t>运营期地表水环境影响预测与评价</w:t>
      </w:r>
    </w:p>
    <w:p>
      <w:pPr>
        <w:pStyle w:val="4"/>
        <w:numPr>
          <w:ilvl w:val="2"/>
          <w:numId w:val="61"/>
        </w:numPr>
        <w:tabs>
          <w:tab w:val="left" w:pos="848"/>
        </w:tabs>
        <w:spacing w:before="200" w:after="0" w:line="240" w:lineRule="auto"/>
        <w:ind w:left="847" w:right="0" w:hanging="633"/>
        <w:jc w:val="left"/>
      </w:pPr>
      <w:bookmarkStart w:id="725" w:name="7.5.1水污染源"/>
      <w:bookmarkEnd w:id="725"/>
      <w:bookmarkStart w:id="726" w:name="7.5.1水污染源"/>
      <w:bookmarkEnd w:id="726"/>
      <w:r>
        <w:t>水污染源</w:t>
      </w:r>
    </w:p>
    <w:p>
      <w:pPr>
        <w:pStyle w:val="6"/>
        <w:spacing w:before="185"/>
        <w:ind w:left="696"/>
      </w:pPr>
      <w:r>
        <w:t>矿井生产期水污染源有矿井水、生活污水。</w:t>
      </w:r>
    </w:p>
    <w:p>
      <w:pPr>
        <w:pStyle w:val="6"/>
        <w:spacing w:before="158" w:line="364" w:lineRule="auto"/>
        <w:ind w:left="215" w:right="580" w:firstLine="480"/>
      </w:pPr>
      <w:r>
        <w:t xml:space="preserve">根据工程分析，本项目矿井涌水处理后部分回用，剩余部分外排至扁石河，生活污水处理后作为矿井工业场地绿化洒水用水。项目废水污染物产生和排放量见表 </w:t>
      </w:r>
      <w:r>
        <w:rPr>
          <w:rFonts w:ascii="Times New Roman" w:eastAsia="Times New Roman"/>
        </w:rPr>
        <w:t>7.5-1</w:t>
      </w:r>
      <w:r>
        <w:t>。</w:t>
      </w:r>
    </w:p>
    <w:p>
      <w:pPr>
        <w:pStyle w:val="5"/>
        <w:tabs>
          <w:tab w:val="left" w:pos="4101"/>
        </w:tabs>
        <w:spacing w:after="3" w:line="306" w:lineRule="exact"/>
        <w:ind w:left="3060"/>
      </w:pPr>
      <w:r>
        <mc:AlternateContent>
          <mc:Choice Requires="wps">
            <w:drawing>
              <wp:anchor distT="0" distB="0" distL="114300" distR="114300" simplePos="0" relativeHeight="214212608" behindDoc="1" locked="0" layoutInCell="1" allowOverlap="1">
                <wp:simplePos x="0" y="0"/>
                <wp:positionH relativeFrom="page">
                  <wp:posOffset>832485</wp:posOffset>
                </wp:positionH>
                <wp:positionV relativeFrom="paragraph">
                  <wp:posOffset>200660</wp:posOffset>
                </wp:positionV>
                <wp:extent cx="2421255" cy="348615"/>
                <wp:effectExtent l="635" t="4445" r="16510" b="8890"/>
                <wp:wrapNone/>
                <wp:docPr id="58" name="直线 141"/>
                <wp:cNvGraphicFramePr/>
                <a:graphic xmlns:a="http://schemas.openxmlformats.org/drawingml/2006/main">
                  <a:graphicData uri="http://schemas.microsoft.com/office/word/2010/wordprocessingShape">
                    <wps:wsp>
                      <wps:cNvSpPr/>
                      <wps:spPr>
                        <a:xfrm>
                          <a:off x="0" y="0"/>
                          <a:ext cx="2421255" cy="348615"/>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141" o:spid="_x0000_s1026" o:spt="20" style="position:absolute;left:0pt;margin-left:65.55pt;margin-top:15.8pt;height:27.45pt;width:190.65pt;mso-position-horizontal-relative:page;z-index:-289103872;mso-width-relative:page;mso-height-relative:page;" filled="f" stroked="t" coordsize="21600,21600" o:gfxdata="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olkPNYAAAAJAQAADwAAAAAAAAABACAAAAAi&#10;AAAAZHJzL2Rvd25yZXYueG1sUEsBAhQAFAAAAAgAh07iQLZxIA/TAQAAlQMAAA4AAAAAAAAAAQAg&#10;AAAAJQEAAGRycy9lMm9Eb2MueG1sUEsFBgAAAAAGAAYAWQEAAGoFAAAAAA==&#10;">
                <v:fill on="f" focussize="0,0"/>
                <v:stroke weight="0.5pt" color="#000000" joinstyle="round"/>
                <v:imagedata o:title=""/>
                <o:lock v:ext="edit" aspectratio="f"/>
              </v:line>
            </w:pict>
          </mc:Fallback>
        </mc:AlternateContent>
      </w:r>
      <w:r>
        <w:t>表</w:t>
      </w:r>
      <w:r>
        <w:rPr>
          <w:spacing w:val="-62"/>
        </w:rPr>
        <w:t xml:space="preserve"> </w:t>
      </w:r>
      <w:r>
        <w:rPr>
          <w:rFonts w:ascii="Times New Roman" w:eastAsia="Times New Roman"/>
        </w:rPr>
        <w:t>7.5-1</w:t>
      </w:r>
      <w:r>
        <w:rPr>
          <w:rFonts w:ascii="Times New Roman" w:eastAsia="Times New Roman"/>
        </w:rPr>
        <w:tab/>
      </w:r>
      <w:r>
        <w:t>项目主要水污染物源强</w:t>
      </w: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1499"/>
        <w:gridCol w:w="1462"/>
        <w:gridCol w:w="1305"/>
        <w:gridCol w:w="1056"/>
        <w:gridCol w:w="1055"/>
        <w:gridCol w:w="1056"/>
        <w:gridCol w:w="10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3818" w:type="dxa"/>
            <w:gridSpan w:val="3"/>
          </w:tcPr>
          <w:p>
            <w:pPr>
              <w:pStyle w:val="14"/>
              <w:ind w:left="3289"/>
              <w:jc w:val="left"/>
              <w:rPr>
                <w:sz w:val="21"/>
              </w:rPr>
            </w:pPr>
            <w:r>
              <w:rPr>
                <w:sz w:val="21"/>
              </w:rPr>
              <w:t>项目</w:t>
            </w:r>
          </w:p>
          <w:p>
            <w:pPr>
              <w:pStyle w:val="14"/>
              <w:spacing w:before="2" w:line="254" w:lineRule="exact"/>
              <w:ind w:left="106"/>
              <w:jc w:val="left"/>
              <w:rPr>
                <w:sz w:val="21"/>
              </w:rPr>
            </w:pPr>
            <w:r>
              <w:rPr>
                <w:sz w:val="21"/>
              </w:rPr>
              <w:t>名称</w:t>
            </w:r>
          </w:p>
        </w:tc>
        <w:tc>
          <w:tcPr>
            <w:tcW w:w="1305" w:type="dxa"/>
          </w:tcPr>
          <w:p>
            <w:pPr>
              <w:pStyle w:val="14"/>
              <w:spacing w:before="150"/>
              <w:ind w:right="420"/>
              <w:jc w:val="right"/>
              <w:rPr>
                <w:rFonts w:ascii="Times New Roman"/>
                <w:sz w:val="21"/>
              </w:rPr>
            </w:pPr>
            <w:r>
              <w:rPr>
                <w:rFonts w:ascii="Times New Roman"/>
                <w:w w:val="95"/>
                <w:sz w:val="21"/>
              </w:rPr>
              <w:t>COD</w:t>
            </w:r>
          </w:p>
        </w:tc>
        <w:tc>
          <w:tcPr>
            <w:tcW w:w="1056" w:type="dxa"/>
          </w:tcPr>
          <w:p>
            <w:pPr>
              <w:pStyle w:val="14"/>
              <w:spacing w:before="150"/>
              <w:ind w:left="126" w:right="117"/>
              <w:rPr>
                <w:rFonts w:ascii="Times New Roman"/>
                <w:sz w:val="21"/>
              </w:rPr>
            </w:pPr>
            <w:r>
              <w:rPr>
                <w:rFonts w:ascii="Times New Roman"/>
                <w:sz w:val="21"/>
              </w:rPr>
              <w:t>BOD</w:t>
            </w:r>
          </w:p>
        </w:tc>
        <w:tc>
          <w:tcPr>
            <w:tcW w:w="1055" w:type="dxa"/>
          </w:tcPr>
          <w:p>
            <w:pPr>
              <w:pStyle w:val="14"/>
              <w:spacing w:before="134"/>
              <w:ind w:left="190" w:right="185"/>
              <w:rPr>
                <w:sz w:val="21"/>
              </w:rPr>
            </w:pPr>
            <w:r>
              <w:rPr>
                <w:sz w:val="21"/>
              </w:rPr>
              <w:t>石油类</w:t>
            </w:r>
          </w:p>
        </w:tc>
        <w:tc>
          <w:tcPr>
            <w:tcW w:w="1056" w:type="dxa"/>
          </w:tcPr>
          <w:p>
            <w:pPr>
              <w:pStyle w:val="14"/>
              <w:spacing w:before="150"/>
              <w:ind w:right="401"/>
              <w:jc w:val="right"/>
              <w:rPr>
                <w:rFonts w:ascii="Times New Roman"/>
                <w:sz w:val="21"/>
              </w:rPr>
            </w:pPr>
            <w:r>
              <w:rPr>
                <w:rFonts w:ascii="Times New Roman"/>
                <w:w w:val="95"/>
                <w:sz w:val="21"/>
              </w:rPr>
              <w:t>SS</w:t>
            </w:r>
          </w:p>
        </w:tc>
        <w:tc>
          <w:tcPr>
            <w:tcW w:w="1054" w:type="dxa"/>
          </w:tcPr>
          <w:p>
            <w:pPr>
              <w:pStyle w:val="14"/>
              <w:spacing w:before="147"/>
              <w:ind w:left="209" w:right="201"/>
              <w:rPr>
                <w:rFonts w:ascii="Times New Roman"/>
                <w:sz w:val="21"/>
              </w:rPr>
            </w:pPr>
            <w:r>
              <w:rPr>
                <w:rFonts w:ascii="Times New Roman"/>
                <w:position w:val="2"/>
                <w:sz w:val="21"/>
              </w:rPr>
              <w:t>NH</w:t>
            </w:r>
            <w:r>
              <w:rPr>
                <w:rFonts w:ascii="Times New Roman"/>
                <w:position w:val="2"/>
                <w:sz w:val="21"/>
                <w:vertAlign w:val="subscript"/>
              </w:rPr>
              <w:t>3</w:t>
            </w:r>
            <w:r>
              <w:rPr>
                <w:rFonts w:ascii="Times New Roman"/>
                <w:position w:val="2"/>
                <w:sz w:val="21"/>
                <w:vertAlign w:val="baseline"/>
              </w:rPr>
              <w:t>-N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857" w:type="dxa"/>
            <w:vMerge w:val="restart"/>
          </w:tcPr>
          <w:p>
            <w:pPr>
              <w:pStyle w:val="14"/>
              <w:spacing w:before="7"/>
              <w:jc w:val="left"/>
              <w:rPr>
                <w:b/>
                <w:sz w:val="23"/>
              </w:rPr>
            </w:pPr>
          </w:p>
          <w:p>
            <w:pPr>
              <w:pStyle w:val="14"/>
              <w:ind w:left="111"/>
              <w:jc w:val="left"/>
              <w:rPr>
                <w:sz w:val="21"/>
              </w:rPr>
            </w:pPr>
            <w:r>
              <w:rPr>
                <w:sz w:val="21"/>
              </w:rPr>
              <w:t>矿井水</w:t>
            </w:r>
          </w:p>
        </w:tc>
        <w:tc>
          <w:tcPr>
            <w:tcW w:w="2961" w:type="dxa"/>
            <w:gridSpan w:val="2"/>
          </w:tcPr>
          <w:p>
            <w:pPr>
              <w:pStyle w:val="14"/>
              <w:spacing w:before="21"/>
              <w:ind w:left="336"/>
              <w:jc w:val="left"/>
              <w:rPr>
                <w:sz w:val="21"/>
              </w:rPr>
            </w:pPr>
            <w:r>
              <w:rPr>
                <w:sz w:val="21"/>
              </w:rPr>
              <w:t>废水产、排放量（</w:t>
            </w:r>
            <w:r>
              <w:rPr>
                <w:rFonts w:ascii="Times New Roman" w:eastAsia="Times New Roman"/>
                <w:sz w:val="21"/>
              </w:rPr>
              <w:t>m</w:t>
            </w:r>
            <w:r>
              <w:rPr>
                <w:rFonts w:ascii="Times New Roman" w:eastAsia="Times New Roman"/>
                <w:position w:val="7"/>
                <w:sz w:val="13"/>
              </w:rPr>
              <w:t>3</w:t>
            </w:r>
            <w:r>
              <w:rPr>
                <w:rFonts w:ascii="Times New Roman" w:eastAsia="Times New Roman"/>
                <w:sz w:val="21"/>
              </w:rPr>
              <w:t>/d</w:t>
            </w:r>
            <w:r>
              <w:rPr>
                <w:sz w:val="21"/>
              </w:rPr>
              <w:t>）</w:t>
            </w:r>
          </w:p>
        </w:tc>
        <w:tc>
          <w:tcPr>
            <w:tcW w:w="5526" w:type="dxa"/>
            <w:gridSpan w:val="5"/>
          </w:tcPr>
          <w:p>
            <w:pPr>
              <w:pStyle w:val="14"/>
              <w:spacing w:line="268" w:lineRule="exact"/>
              <w:ind w:left="1239"/>
              <w:jc w:val="left"/>
              <w:rPr>
                <w:rFonts w:ascii="Times New Roman" w:eastAsia="Times New Roman"/>
                <w:sz w:val="21"/>
              </w:rPr>
            </w:pPr>
            <w:r>
              <w:rPr>
                <w:sz w:val="21"/>
              </w:rPr>
              <w:t xml:space="preserve">产生 </w:t>
            </w:r>
            <w:r>
              <w:rPr>
                <w:rFonts w:ascii="Times New Roman" w:eastAsia="Times New Roman"/>
                <w:sz w:val="21"/>
              </w:rPr>
              <w:t>1824m</w:t>
            </w:r>
            <w:r>
              <w:rPr>
                <w:rFonts w:ascii="Times New Roman" w:eastAsia="Times New Roman"/>
                <w:position w:val="7"/>
                <w:sz w:val="13"/>
              </w:rPr>
              <w:t>3</w:t>
            </w:r>
            <w:r>
              <w:rPr>
                <w:rFonts w:ascii="Times New Roman" w:eastAsia="Times New Roman"/>
                <w:sz w:val="21"/>
              </w:rPr>
              <w:t>/d</w:t>
            </w:r>
            <w:r>
              <w:rPr>
                <w:sz w:val="21"/>
              </w:rPr>
              <w:t xml:space="preserve">、排放 </w:t>
            </w:r>
            <w:r>
              <w:rPr>
                <w:rFonts w:ascii="Times New Roman" w:eastAsia="Times New Roman"/>
                <w:sz w:val="21"/>
              </w:rPr>
              <w:t>1435.68m</w:t>
            </w:r>
            <w:r>
              <w:rPr>
                <w:rFonts w:ascii="Times New Roman" w:eastAsia="Times New Roman"/>
                <w:position w:val="7"/>
                <w:sz w:val="13"/>
              </w:rPr>
              <w:t>3</w:t>
            </w:r>
            <w:r>
              <w:rPr>
                <w:rFonts w:ascii="Times New Roman" w:eastAsia="Times New Roman"/>
                <w:sz w:val="21"/>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57" w:type="dxa"/>
            <w:vMerge w:val="continue"/>
            <w:tcBorders>
              <w:top w:val="nil"/>
            </w:tcBorders>
          </w:tcPr>
          <w:p>
            <w:pPr>
              <w:rPr>
                <w:sz w:val="2"/>
                <w:szCs w:val="2"/>
              </w:rPr>
            </w:pPr>
          </w:p>
        </w:tc>
        <w:tc>
          <w:tcPr>
            <w:tcW w:w="1499" w:type="dxa"/>
            <w:vMerge w:val="restart"/>
          </w:tcPr>
          <w:p>
            <w:pPr>
              <w:pStyle w:val="14"/>
              <w:spacing w:before="3" w:line="270" w:lineRule="atLeast"/>
              <w:ind w:left="207" w:right="110" w:hanging="89"/>
              <w:jc w:val="left"/>
              <w:rPr>
                <w:sz w:val="21"/>
              </w:rPr>
            </w:pPr>
            <w:r>
              <w:rPr>
                <w:sz w:val="21"/>
              </w:rPr>
              <w:t>主要污染物浓度（</w:t>
            </w:r>
            <w:r>
              <w:rPr>
                <w:rFonts w:ascii="Times New Roman" w:eastAsia="Times New Roman"/>
                <w:sz w:val="21"/>
              </w:rPr>
              <w:t>mg/L</w:t>
            </w:r>
            <w:r>
              <w:rPr>
                <w:sz w:val="21"/>
              </w:rPr>
              <w:t>）</w:t>
            </w:r>
          </w:p>
        </w:tc>
        <w:tc>
          <w:tcPr>
            <w:tcW w:w="1462" w:type="dxa"/>
          </w:tcPr>
          <w:p>
            <w:pPr>
              <w:pStyle w:val="14"/>
              <w:spacing w:line="252" w:lineRule="exact"/>
              <w:ind w:left="394" w:right="388"/>
              <w:rPr>
                <w:sz w:val="21"/>
              </w:rPr>
            </w:pPr>
            <w:r>
              <w:rPr>
                <w:sz w:val="21"/>
              </w:rPr>
              <w:t>处理前</w:t>
            </w:r>
          </w:p>
        </w:tc>
        <w:tc>
          <w:tcPr>
            <w:tcW w:w="1305" w:type="dxa"/>
          </w:tcPr>
          <w:p>
            <w:pPr>
              <w:pStyle w:val="14"/>
              <w:spacing w:before="13" w:line="239" w:lineRule="exact"/>
              <w:ind w:right="483"/>
              <w:jc w:val="right"/>
              <w:rPr>
                <w:rFonts w:ascii="Times New Roman"/>
                <w:sz w:val="21"/>
              </w:rPr>
            </w:pPr>
            <w:r>
              <w:rPr>
                <w:rFonts w:ascii="Times New Roman"/>
                <w:sz w:val="21"/>
              </w:rPr>
              <w:t>150</w:t>
            </w:r>
          </w:p>
        </w:tc>
        <w:tc>
          <w:tcPr>
            <w:tcW w:w="1056" w:type="dxa"/>
          </w:tcPr>
          <w:p>
            <w:pPr>
              <w:pStyle w:val="14"/>
              <w:spacing w:before="13" w:line="239" w:lineRule="exact"/>
              <w:ind w:left="7"/>
              <w:rPr>
                <w:rFonts w:ascii="Times New Roman"/>
                <w:sz w:val="21"/>
              </w:rPr>
            </w:pPr>
            <w:r>
              <w:rPr>
                <w:rFonts w:ascii="Times New Roman"/>
                <w:w w:val="99"/>
                <w:sz w:val="21"/>
              </w:rPr>
              <w:t>-</w:t>
            </w:r>
          </w:p>
        </w:tc>
        <w:tc>
          <w:tcPr>
            <w:tcW w:w="1055" w:type="dxa"/>
          </w:tcPr>
          <w:p>
            <w:pPr>
              <w:pStyle w:val="14"/>
              <w:spacing w:before="13" w:line="239" w:lineRule="exact"/>
              <w:ind w:left="9"/>
              <w:rPr>
                <w:rFonts w:ascii="Times New Roman"/>
                <w:sz w:val="21"/>
              </w:rPr>
            </w:pPr>
            <w:r>
              <w:rPr>
                <w:rFonts w:ascii="Times New Roman"/>
                <w:w w:val="99"/>
                <w:sz w:val="21"/>
              </w:rPr>
              <w:t>2</w:t>
            </w:r>
          </w:p>
        </w:tc>
        <w:tc>
          <w:tcPr>
            <w:tcW w:w="1056" w:type="dxa"/>
          </w:tcPr>
          <w:p>
            <w:pPr>
              <w:pStyle w:val="14"/>
              <w:spacing w:before="13" w:line="239" w:lineRule="exact"/>
              <w:ind w:right="360"/>
              <w:jc w:val="right"/>
              <w:rPr>
                <w:rFonts w:ascii="Times New Roman"/>
                <w:sz w:val="21"/>
              </w:rPr>
            </w:pPr>
            <w:r>
              <w:rPr>
                <w:rFonts w:ascii="Times New Roman"/>
                <w:sz w:val="21"/>
              </w:rPr>
              <w:t>400</w:t>
            </w:r>
          </w:p>
        </w:tc>
        <w:tc>
          <w:tcPr>
            <w:tcW w:w="1054" w:type="dxa"/>
          </w:tcPr>
          <w:p>
            <w:pPr>
              <w:pStyle w:val="14"/>
              <w:spacing w:before="13" w:line="239" w:lineRule="exact"/>
              <w:ind w:left="11"/>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57" w:type="dxa"/>
            <w:vMerge w:val="continue"/>
            <w:tcBorders>
              <w:top w:val="nil"/>
            </w:tcBorders>
          </w:tcPr>
          <w:p>
            <w:pPr>
              <w:rPr>
                <w:sz w:val="2"/>
                <w:szCs w:val="2"/>
              </w:rPr>
            </w:pPr>
          </w:p>
        </w:tc>
        <w:tc>
          <w:tcPr>
            <w:tcW w:w="1499" w:type="dxa"/>
            <w:vMerge w:val="continue"/>
            <w:tcBorders>
              <w:top w:val="nil"/>
            </w:tcBorders>
          </w:tcPr>
          <w:p>
            <w:pPr>
              <w:rPr>
                <w:sz w:val="2"/>
                <w:szCs w:val="2"/>
              </w:rPr>
            </w:pPr>
          </w:p>
        </w:tc>
        <w:tc>
          <w:tcPr>
            <w:tcW w:w="1462" w:type="dxa"/>
          </w:tcPr>
          <w:p>
            <w:pPr>
              <w:pStyle w:val="14"/>
              <w:spacing w:line="251" w:lineRule="exact"/>
              <w:ind w:left="394" w:right="388"/>
              <w:rPr>
                <w:sz w:val="21"/>
              </w:rPr>
            </w:pPr>
            <w:r>
              <w:rPr>
                <w:sz w:val="21"/>
              </w:rPr>
              <w:t>处理后</w:t>
            </w:r>
          </w:p>
        </w:tc>
        <w:tc>
          <w:tcPr>
            <w:tcW w:w="1305" w:type="dxa"/>
          </w:tcPr>
          <w:p>
            <w:pPr>
              <w:pStyle w:val="14"/>
              <w:spacing w:before="14" w:line="237" w:lineRule="exact"/>
              <w:ind w:right="536"/>
              <w:jc w:val="right"/>
              <w:rPr>
                <w:rFonts w:ascii="Times New Roman"/>
                <w:sz w:val="21"/>
              </w:rPr>
            </w:pPr>
            <w:r>
              <w:rPr>
                <w:rFonts w:ascii="Times New Roman"/>
                <w:sz w:val="21"/>
              </w:rPr>
              <w:t>15</w:t>
            </w:r>
          </w:p>
        </w:tc>
        <w:tc>
          <w:tcPr>
            <w:tcW w:w="1056" w:type="dxa"/>
          </w:tcPr>
          <w:p>
            <w:pPr>
              <w:pStyle w:val="14"/>
              <w:jc w:val="left"/>
              <w:rPr>
                <w:rFonts w:ascii="Times New Roman"/>
                <w:sz w:val="20"/>
              </w:rPr>
            </w:pPr>
          </w:p>
        </w:tc>
        <w:tc>
          <w:tcPr>
            <w:tcW w:w="1055" w:type="dxa"/>
          </w:tcPr>
          <w:p>
            <w:pPr>
              <w:pStyle w:val="14"/>
              <w:spacing w:before="14" w:line="237" w:lineRule="exact"/>
              <w:ind w:left="190" w:right="183"/>
              <w:rPr>
                <w:rFonts w:ascii="Times New Roman"/>
                <w:sz w:val="21"/>
              </w:rPr>
            </w:pPr>
            <w:r>
              <w:rPr>
                <w:rFonts w:ascii="Times New Roman"/>
                <w:sz w:val="21"/>
              </w:rPr>
              <w:t>0.02</w:t>
            </w:r>
          </w:p>
        </w:tc>
        <w:tc>
          <w:tcPr>
            <w:tcW w:w="1056" w:type="dxa"/>
          </w:tcPr>
          <w:p>
            <w:pPr>
              <w:pStyle w:val="14"/>
              <w:spacing w:before="14" w:line="237" w:lineRule="exact"/>
              <w:ind w:right="410"/>
              <w:jc w:val="right"/>
              <w:rPr>
                <w:rFonts w:ascii="Times New Roman"/>
                <w:sz w:val="21"/>
              </w:rPr>
            </w:pPr>
            <w:r>
              <w:rPr>
                <w:rFonts w:ascii="Times New Roman"/>
                <w:sz w:val="21"/>
              </w:rPr>
              <w:t>40</w:t>
            </w:r>
          </w:p>
        </w:tc>
        <w:tc>
          <w:tcPr>
            <w:tcW w:w="1054" w:type="dxa"/>
          </w:tcPr>
          <w:p>
            <w:pPr>
              <w:pStyle w:val="14"/>
              <w:spacing w:before="14" w:line="237" w:lineRule="exact"/>
              <w:ind w:left="11"/>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57" w:type="dxa"/>
            <w:vMerge w:val="restart"/>
          </w:tcPr>
          <w:p>
            <w:pPr>
              <w:pStyle w:val="14"/>
              <w:spacing w:before="148" w:line="242" w:lineRule="auto"/>
              <w:ind w:left="217" w:right="210"/>
              <w:jc w:val="left"/>
              <w:rPr>
                <w:sz w:val="21"/>
              </w:rPr>
            </w:pPr>
            <w:r>
              <w:rPr>
                <w:sz w:val="21"/>
              </w:rPr>
              <w:t>生活污水</w:t>
            </w:r>
          </w:p>
        </w:tc>
        <w:tc>
          <w:tcPr>
            <w:tcW w:w="2961" w:type="dxa"/>
            <w:gridSpan w:val="2"/>
          </w:tcPr>
          <w:p>
            <w:pPr>
              <w:pStyle w:val="14"/>
              <w:spacing w:before="1" w:line="251" w:lineRule="exact"/>
              <w:ind w:left="548"/>
              <w:jc w:val="left"/>
              <w:rPr>
                <w:sz w:val="21"/>
              </w:rPr>
            </w:pPr>
            <w:r>
              <w:rPr>
                <w:sz w:val="21"/>
              </w:rPr>
              <w:t>废水排放量（</w:t>
            </w:r>
            <w:r>
              <w:rPr>
                <w:rFonts w:ascii="Times New Roman" w:eastAsia="Times New Roman"/>
                <w:sz w:val="21"/>
              </w:rPr>
              <w:t>m</w:t>
            </w:r>
            <w:r>
              <w:rPr>
                <w:rFonts w:ascii="Times New Roman" w:eastAsia="Times New Roman"/>
                <w:position w:val="7"/>
                <w:sz w:val="13"/>
              </w:rPr>
              <w:t>3</w:t>
            </w:r>
            <w:r>
              <w:rPr>
                <w:rFonts w:ascii="Times New Roman" w:eastAsia="Times New Roman"/>
                <w:sz w:val="21"/>
              </w:rPr>
              <w:t>/d</w:t>
            </w:r>
            <w:r>
              <w:rPr>
                <w:sz w:val="21"/>
              </w:rPr>
              <w:t>）</w:t>
            </w:r>
          </w:p>
        </w:tc>
        <w:tc>
          <w:tcPr>
            <w:tcW w:w="5526" w:type="dxa"/>
            <w:gridSpan w:val="5"/>
          </w:tcPr>
          <w:p>
            <w:pPr>
              <w:pStyle w:val="14"/>
              <w:spacing w:before="1" w:line="251" w:lineRule="exact"/>
              <w:ind w:left="1501"/>
              <w:jc w:val="left"/>
              <w:rPr>
                <w:rFonts w:ascii="Times New Roman" w:eastAsia="Times New Roman"/>
                <w:sz w:val="21"/>
              </w:rPr>
            </w:pPr>
            <w:r>
              <w:rPr>
                <w:sz w:val="21"/>
              </w:rPr>
              <w:t xml:space="preserve">产生 </w:t>
            </w:r>
            <w:r>
              <w:rPr>
                <w:rFonts w:ascii="Times New Roman" w:eastAsia="Times New Roman"/>
                <w:sz w:val="21"/>
              </w:rPr>
              <w:t>86.92m</w:t>
            </w:r>
            <w:r>
              <w:rPr>
                <w:rFonts w:ascii="Times New Roman" w:eastAsia="Times New Roman"/>
                <w:position w:val="7"/>
                <w:sz w:val="13"/>
              </w:rPr>
              <w:t>3</w:t>
            </w:r>
            <w:r>
              <w:rPr>
                <w:rFonts w:ascii="Times New Roman" w:eastAsia="Times New Roman"/>
                <w:sz w:val="21"/>
              </w:rPr>
              <w:t>/d</w:t>
            </w:r>
            <w:r>
              <w:rPr>
                <w:sz w:val="21"/>
              </w:rPr>
              <w:t xml:space="preserve">，排放 </w:t>
            </w:r>
            <w:r>
              <w:rPr>
                <w:rFonts w:ascii="Times New Roman" w:eastAsia="Times New Roman"/>
                <w:sz w:val="21"/>
              </w:rPr>
              <w:t>0m</w:t>
            </w:r>
            <w:r>
              <w:rPr>
                <w:rFonts w:ascii="Times New Roman" w:eastAsia="Times New Roman"/>
                <w:position w:val="7"/>
                <w:sz w:val="13"/>
              </w:rPr>
              <w:t>3</w:t>
            </w:r>
            <w:r>
              <w:rPr>
                <w:rFonts w:ascii="Times New Roman" w:eastAsia="Times New Roman"/>
                <w:sz w:val="21"/>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57" w:type="dxa"/>
            <w:vMerge w:val="continue"/>
            <w:tcBorders>
              <w:top w:val="nil"/>
            </w:tcBorders>
          </w:tcPr>
          <w:p>
            <w:pPr>
              <w:rPr>
                <w:sz w:val="2"/>
                <w:szCs w:val="2"/>
              </w:rPr>
            </w:pPr>
          </w:p>
        </w:tc>
        <w:tc>
          <w:tcPr>
            <w:tcW w:w="1499" w:type="dxa"/>
            <w:vMerge w:val="restart"/>
          </w:tcPr>
          <w:p>
            <w:pPr>
              <w:pStyle w:val="14"/>
              <w:spacing w:before="3" w:line="270" w:lineRule="atLeast"/>
              <w:ind w:left="207" w:right="110" w:hanging="89"/>
              <w:jc w:val="left"/>
              <w:rPr>
                <w:sz w:val="21"/>
              </w:rPr>
            </w:pPr>
            <w:r>
              <w:rPr>
                <w:sz w:val="21"/>
              </w:rPr>
              <w:t>主要污染物浓度（</w:t>
            </w:r>
            <w:r>
              <w:rPr>
                <w:rFonts w:ascii="Times New Roman" w:eastAsia="Times New Roman"/>
                <w:sz w:val="21"/>
              </w:rPr>
              <w:t>mg/L</w:t>
            </w:r>
            <w:r>
              <w:rPr>
                <w:sz w:val="21"/>
              </w:rPr>
              <w:t>）</w:t>
            </w:r>
          </w:p>
        </w:tc>
        <w:tc>
          <w:tcPr>
            <w:tcW w:w="1462" w:type="dxa"/>
          </w:tcPr>
          <w:p>
            <w:pPr>
              <w:pStyle w:val="14"/>
              <w:spacing w:line="252" w:lineRule="exact"/>
              <w:ind w:left="394" w:right="388"/>
              <w:rPr>
                <w:sz w:val="21"/>
              </w:rPr>
            </w:pPr>
            <w:r>
              <w:rPr>
                <w:sz w:val="21"/>
              </w:rPr>
              <w:t>处理前</w:t>
            </w:r>
          </w:p>
        </w:tc>
        <w:tc>
          <w:tcPr>
            <w:tcW w:w="1305" w:type="dxa"/>
          </w:tcPr>
          <w:p>
            <w:pPr>
              <w:pStyle w:val="14"/>
              <w:spacing w:before="13" w:line="238" w:lineRule="exact"/>
              <w:ind w:right="483"/>
              <w:jc w:val="right"/>
              <w:rPr>
                <w:rFonts w:ascii="Times New Roman"/>
                <w:sz w:val="21"/>
              </w:rPr>
            </w:pPr>
            <w:r>
              <w:rPr>
                <w:rFonts w:ascii="Times New Roman"/>
                <w:sz w:val="21"/>
              </w:rPr>
              <w:t>300</w:t>
            </w:r>
          </w:p>
        </w:tc>
        <w:tc>
          <w:tcPr>
            <w:tcW w:w="1056" w:type="dxa"/>
          </w:tcPr>
          <w:p>
            <w:pPr>
              <w:pStyle w:val="14"/>
              <w:spacing w:before="13" w:line="238" w:lineRule="exact"/>
              <w:ind w:left="125" w:right="117"/>
              <w:rPr>
                <w:rFonts w:ascii="Times New Roman"/>
                <w:sz w:val="21"/>
              </w:rPr>
            </w:pPr>
            <w:r>
              <w:rPr>
                <w:rFonts w:ascii="Times New Roman"/>
                <w:sz w:val="21"/>
              </w:rPr>
              <w:t>200</w:t>
            </w:r>
          </w:p>
        </w:tc>
        <w:tc>
          <w:tcPr>
            <w:tcW w:w="1055" w:type="dxa"/>
          </w:tcPr>
          <w:p>
            <w:pPr>
              <w:pStyle w:val="14"/>
              <w:spacing w:before="13" w:line="238" w:lineRule="exact"/>
              <w:ind w:left="8"/>
              <w:rPr>
                <w:rFonts w:ascii="Times New Roman"/>
                <w:sz w:val="21"/>
              </w:rPr>
            </w:pPr>
            <w:r>
              <w:rPr>
                <w:rFonts w:ascii="Times New Roman"/>
                <w:w w:val="99"/>
                <w:sz w:val="21"/>
              </w:rPr>
              <w:t>-</w:t>
            </w:r>
          </w:p>
        </w:tc>
        <w:tc>
          <w:tcPr>
            <w:tcW w:w="1056" w:type="dxa"/>
          </w:tcPr>
          <w:p>
            <w:pPr>
              <w:pStyle w:val="14"/>
              <w:spacing w:before="13" w:line="238" w:lineRule="exact"/>
              <w:ind w:right="357"/>
              <w:jc w:val="right"/>
              <w:rPr>
                <w:rFonts w:ascii="Times New Roman"/>
                <w:sz w:val="21"/>
              </w:rPr>
            </w:pPr>
            <w:r>
              <w:rPr>
                <w:rFonts w:ascii="Times New Roman"/>
                <w:sz w:val="21"/>
              </w:rPr>
              <w:t>200</w:t>
            </w:r>
          </w:p>
        </w:tc>
        <w:tc>
          <w:tcPr>
            <w:tcW w:w="1054" w:type="dxa"/>
          </w:tcPr>
          <w:p>
            <w:pPr>
              <w:pStyle w:val="14"/>
              <w:spacing w:before="13" w:line="238" w:lineRule="exact"/>
              <w:ind w:left="208" w:right="201"/>
              <w:rPr>
                <w:rFonts w:ascii="Times New Roman"/>
                <w:sz w:val="21"/>
              </w:rPr>
            </w:pPr>
            <w:r>
              <w:rPr>
                <w:rFonts w:ascii="Times New Roman"/>
                <w:sz w:val="21"/>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57" w:type="dxa"/>
            <w:vMerge w:val="continue"/>
            <w:tcBorders>
              <w:top w:val="nil"/>
            </w:tcBorders>
          </w:tcPr>
          <w:p>
            <w:pPr>
              <w:rPr>
                <w:sz w:val="2"/>
                <w:szCs w:val="2"/>
              </w:rPr>
            </w:pPr>
          </w:p>
        </w:tc>
        <w:tc>
          <w:tcPr>
            <w:tcW w:w="1499" w:type="dxa"/>
            <w:vMerge w:val="continue"/>
            <w:tcBorders>
              <w:top w:val="nil"/>
            </w:tcBorders>
          </w:tcPr>
          <w:p>
            <w:pPr>
              <w:rPr>
                <w:sz w:val="2"/>
                <w:szCs w:val="2"/>
              </w:rPr>
            </w:pPr>
          </w:p>
        </w:tc>
        <w:tc>
          <w:tcPr>
            <w:tcW w:w="1462" w:type="dxa"/>
          </w:tcPr>
          <w:p>
            <w:pPr>
              <w:pStyle w:val="14"/>
              <w:spacing w:line="251" w:lineRule="exact"/>
              <w:ind w:left="394" w:right="388"/>
              <w:rPr>
                <w:sz w:val="21"/>
              </w:rPr>
            </w:pPr>
            <w:r>
              <w:rPr>
                <w:sz w:val="21"/>
              </w:rPr>
              <w:t>处理后</w:t>
            </w:r>
          </w:p>
        </w:tc>
        <w:tc>
          <w:tcPr>
            <w:tcW w:w="1305" w:type="dxa"/>
          </w:tcPr>
          <w:p>
            <w:pPr>
              <w:pStyle w:val="14"/>
              <w:spacing w:before="14" w:line="237" w:lineRule="exact"/>
              <w:ind w:right="536"/>
              <w:jc w:val="right"/>
              <w:rPr>
                <w:rFonts w:ascii="Times New Roman"/>
                <w:sz w:val="21"/>
              </w:rPr>
            </w:pPr>
            <w:r>
              <w:rPr>
                <w:rFonts w:ascii="Times New Roman"/>
                <w:sz w:val="21"/>
              </w:rPr>
              <w:t>30</w:t>
            </w:r>
          </w:p>
        </w:tc>
        <w:tc>
          <w:tcPr>
            <w:tcW w:w="1056" w:type="dxa"/>
          </w:tcPr>
          <w:p>
            <w:pPr>
              <w:pStyle w:val="14"/>
              <w:spacing w:before="14" w:line="237" w:lineRule="exact"/>
              <w:ind w:left="125" w:right="117"/>
              <w:rPr>
                <w:rFonts w:ascii="Times New Roman"/>
                <w:sz w:val="21"/>
              </w:rPr>
            </w:pPr>
            <w:r>
              <w:rPr>
                <w:rFonts w:ascii="Times New Roman"/>
                <w:sz w:val="21"/>
              </w:rPr>
              <w:t>10</w:t>
            </w:r>
          </w:p>
        </w:tc>
        <w:tc>
          <w:tcPr>
            <w:tcW w:w="1055" w:type="dxa"/>
          </w:tcPr>
          <w:p>
            <w:pPr>
              <w:pStyle w:val="14"/>
              <w:spacing w:before="14" w:line="237" w:lineRule="exact"/>
              <w:ind w:left="8"/>
              <w:rPr>
                <w:rFonts w:ascii="Times New Roman"/>
                <w:sz w:val="21"/>
              </w:rPr>
            </w:pPr>
            <w:r>
              <w:rPr>
                <w:rFonts w:ascii="Times New Roman"/>
                <w:w w:val="99"/>
                <w:sz w:val="21"/>
              </w:rPr>
              <w:t>-</w:t>
            </w:r>
          </w:p>
        </w:tc>
        <w:tc>
          <w:tcPr>
            <w:tcW w:w="1056" w:type="dxa"/>
          </w:tcPr>
          <w:p>
            <w:pPr>
              <w:pStyle w:val="14"/>
              <w:spacing w:before="14" w:line="237" w:lineRule="exact"/>
              <w:ind w:right="410"/>
              <w:jc w:val="right"/>
              <w:rPr>
                <w:rFonts w:ascii="Times New Roman"/>
                <w:sz w:val="21"/>
              </w:rPr>
            </w:pPr>
            <w:r>
              <w:rPr>
                <w:rFonts w:ascii="Times New Roman"/>
                <w:sz w:val="21"/>
              </w:rPr>
              <w:t>10</w:t>
            </w:r>
          </w:p>
        </w:tc>
        <w:tc>
          <w:tcPr>
            <w:tcW w:w="1054" w:type="dxa"/>
          </w:tcPr>
          <w:p>
            <w:pPr>
              <w:pStyle w:val="14"/>
              <w:spacing w:before="14" w:line="237" w:lineRule="exact"/>
              <w:ind w:left="7"/>
              <w:rPr>
                <w:rFonts w:ascii="Times New Roman"/>
                <w:sz w:val="21"/>
              </w:rPr>
            </w:pPr>
            <w:r>
              <w:rPr>
                <w:rFonts w:ascii="Times New Roman"/>
                <w:w w:val="99"/>
                <w:sz w:val="21"/>
              </w:rPr>
              <w:t>5</w:t>
            </w:r>
          </w:p>
        </w:tc>
      </w:tr>
    </w:tbl>
    <w:p>
      <w:pPr>
        <w:pStyle w:val="13"/>
        <w:numPr>
          <w:ilvl w:val="2"/>
          <w:numId w:val="61"/>
        </w:numPr>
        <w:tabs>
          <w:tab w:val="left" w:pos="848"/>
        </w:tabs>
        <w:spacing w:before="4" w:after="0" w:line="240" w:lineRule="auto"/>
        <w:ind w:left="847" w:right="0" w:hanging="633"/>
        <w:jc w:val="left"/>
        <w:rPr>
          <w:b/>
          <w:sz w:val="28"/>
        </w:rPr>
      </w:pPr>
      <w:bookmarkStart w:id="727" w:name="7.5.2地表水影响评价"/>
      <w:bookmarkEnd w:id="727"/>
      <w:bookmarkStart w:id="728" w:name="7.5.2地表水影响评价"/>
      <w:bookmarkEnd w:id="728"/>
      <w:r>
        <w:rPr>
          <w:b/>
          <w:sz w:val="28"/>
        </w:rPr>
        <w:t>地表水影响评价</w:t>
      </w:r>
    </w:p>
    <w:p>
      <w:pPr>
        <w:pStyle w:val="6"/>
        <w:spacing w:before="183"/>
        <w:ind w:left="696"/>
      </w:pPr>
      <w:r>
        <w:rPr>
          <w:rFonts w:ascii="Times New Roman" w:eastAsia="Times New Roman"/>
        </w:rPr>
        <w:t>1</w:t>
      </w:r>
      <w:r>
        <w:t>、预测参数</w:t>
      </w:r>
    </w:p>
    <w:p>
      <w:pPr>
        <w:pStyle w:val="6"/>
        <w:spacing w:before="160"/>
        <w:ind w:left="696"/>
      </w:pPr>
      <w:r>
        <w:t>本项目预测参数见下表。</w:t>
      </w:r>
    </w:p>
    <w:p>
      <w:pPr>
        <w:pStyle w:val="5"/>
        <w:spacing w:before="158" w:after="4"/>
        <w:ind w:right="360"/>
        <w:jc w:val="center"/>
      </w:pPr>
      <w:r>
        <w:t xml:space="preserve">表 </w:t>
      </w:r>
      <w:r>
        <w:rPr>
          <w:rFonts w:ascii="Times New Roman" w:eastAsia="Times New Roman"/>
        </w:rPr>
        <w:t xml:space="preserve">7.5-2  </w:t>
      </w:r>
      <w:r>
        <w:t>预测参数</w:t>
      </w: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8"/>
        <w:gridCol w:w="1080"/>
        <w:gridCol w:w="1280"/>
        <w:gridCol w:w="1215"/>
        <w:gridCol w:w="1611"/>
        <w:gridCol w:w="1611"/>
        <w:gridCol w:w="16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928" w:type="dxa"/>
            <w:vMerge w:val="restart"/>
          </w:tcPr>
          <w:p>
            <w:pPr>
              <w:pStyle w:val="14"/>
              <w:spacing w:before="8"/>
              <w:jc w:val="left"/>
              <w:rPr>
                <w:b/>
                <w:sz w:val="21"/>
              </w:rPr>
            </w:pPr>
          </w:p>
          <w:p>
            <w:pPr>
              <w:pStyle w:val="14"/>
              <w:spacing w:before="1" w:line="242" w:lineRule="auto"/>
              <w:ind w:left="358" w:right="139" w:hanging="212"/>
              <w:jc w:val="left"/>
              <w:rPr>
                <w:sz w:val="21"/>
              </w:rPr>
            </w:pPr>
            <w:r>
              <w:rPr>
                <w:sz w:val="21"/>
              </w:rPr>
              <w:t>预测因子</w:t>
            </w:r>
          </w:p>
        </w:tc>
        <w:tc>
          <w:tcPr>
            <w:tcW w:w="3575" w:type="dxa"/>
            <w:gridSpan w:val="3"/>
          </w:tcPr>
          <w:p>
            <w:pPr>
              <w:pStyle w:val="14"/>
              <w:spacing w:line="252" w:lineRule="exact"/>
              <w:ind w:left="1346" w:right="1339"/>
              <w:rPr>
                <w:sz w:val="21"/>
              </w:rPr>
            </w:pPr>
            <w:r>
              <w:rPr>
                <w:sz w:val="21"/>
              </w:rPr>
              <w:t>矿井涌水</w:t>
            </w:r>
          </w:p>
        </w:tc>
        <w:tc>
          <w:tcPr>
            <w:tcW w:w="4837" w:type="dxa"/>
            <w:gridSpan w:val="3"/>
          </w:tcPr>
          <w:p>
            <w:pPr>
              <w:pStyle w:val="14"/>
              <w:spacing w:line="252" w:lineRule="exact"/>
              <w:ind w:left="2082" w:right="2075"/>
              <w:rPr>
                <w:sz w:val="21"/>
              </w:rPr>
            </w:pPr>
            <w:r>
              <w:rPr>
                <w:sz w:val="21"/>
              </w:rPr>
              <w:t>扁石河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trPr>
        <w:tc>
          <w:tcPr>
            <w:tcW w:w="928" w:type="dxa"/>
            <w:vMerge w:val="continue"/>
            <w:tcBorders>
              <w:top w:val="nil"/>
            </w:tcBorders>
          </w:tcPr>
          <w:p>
            <w:pPr>
              <w:rPr>
                <w:sz w:val="2"/>
                <w:szCs w:val="2"/>
              </w:rPr>
            </w:pPr>
          </w:p>
        </w:tc>
        <w:tc>
          <w:tcPr>
            <w:tcW w:w="1080" w:type="dxa"/>
          </w:tcPr>
          <w:p>
            <w:pPr>
              <w:pStyle w:val="14"/>
              <w:spacing w:before="137"/>
              <w:ind w:left="225"/>
              <w:jc w:val="left"/>
              <w:rPr>
                <w:sz w:val="21"/>
              </w:rPr>
            </w:pPr>
            <w:r>
              <w:rPr>
                <w:sz w:val="21"/>
              </w:rPr>
              <w:t>排放量</w:t>
            </w:r>
          </w:p>
          <w:p>
            <w:pPr>
              <w:pStyle w:val="14"/>
              <w:spacing w:before="2"/>
              <w:ind w:left="143"/>
              <w:jc w:val="left"/>
              <w:rPr>
                <w:sz w:val="21"/>
              </w:rPr>
            </w:pPr>
            <w:r>
              <w:rPr>
                <w:sz w:val="21"/>
              </w:rPr>
              <w:t>（</w:t>
            </w:r>
            <w:r>
              <w:rPr>
                <w:rFonts w:ascii="Times New Roman" w:eastAsia="Times New Roman"/>
                <w:sz w:val="21"/>
              </w:rPr>
              <w:t>m</w:t>
            </w:r>
            <w:r>
              <w:rPr>
                <w:rFonts w:ascii="Times New Roman" w:eastAsia="Times New Roman"/>
                <w:position w:val="7"/>
                <w:sz w:val="13"/>
              </w:rPr>
              <w:t>3</w:t>
            </w:r>
            <w:r>
              <w:rPr>
                <w:rFonts w:ascii="Times New Roman" w:eastAsia="Times New Roman"/>
                <w:sz w:val="21"/>
              </w:rPr>
              <w:t>/s</w:t>
            </w:r>
            <w:r>
              <w:rPr>
                <w:sz w:val="21"/>
              </w:rPr>
              <w:t>）</w:t>
            </w:r>
          </w:p>
        </w:tc>
        <w:tc>
          <w:tcPr>
            <w:tcW w:w="1280" w:type="dxa"/>
          </w:tcPr>
          <w:p>
            <w:pPr>
              <w:pStyle w:val="14"/>
              <w:spacing w:before="1" w:line="242" w:lineRule="auto"/>
              <w:ind w:left="114" w:right="104"/>
              <w:rPr>
                <w:sz w:val="21"/>
              </w:rPr>
            </w:pPr>
            <w:r>
              <w:rPr>
                <w:sz w:val="21"/>
              </w:rPr>
              <w:t>初始排放浓度</w:t>
            </w:r>
          </w:p>
          <w:p>
            <w:pPr>
              <w:pStyle w:val="14"/>
              <w:spacing w:before="1" w:line="249" w:lineRule="exact"/>
              <w:ind w:left="112" w:right="104"/>
              <w:rPr>
                <w:sz w:val="21"/>
              </w:rPr>
            </w:pPr>
            <w:r>
              <w:rPr>
                <w:sz w:val="21"/>
              </w:rPr>
              <w:t>（</w:t>
            </w:r>
            <w:r>
              <w:rPr>
                <w:rFonts w:ascii="Times New Roman" w:eastAsia="Times New Roman"/>
                <w:sz w:val="21"/>
              </w:rPr>
              <w:t>mg/L</w:t>
            </w:r>
            <w:r>
              <w:rPr>
                <w:sz w:val="21"/>
              </w:rPr>
              <w:t>）</w:t>
            </w:r>
          </w:p>
        </w:tc>
        <w:tc>
          <w:tcPr>
            <w:tcW w:w="1215" w:type="dxa"/>
          </w:tcPr>
          <w:p>
            <w:pPr>
              <w:pStyle w:val="14"/>
              <w:spacing w:before="1" w:line="242" w:lineRule="auto"/>
              <w:ind w:left="185" w:right="179"/>
              <w:rPr>
                <w:sz w:val="21"/>
              </w:rPr>
            </w:pPr>
            <w:r>
              <w:rPr>
                <w:sz w:val="21"/>
              </w:rPr>
              <w:t>处理后排放浓度</w:t>
            </w:r>
          </w:p>
          <w:p>
            <w:pPr>
              <w:pStyle w:val="14"/>
              <w:spacing w:before="1" w:line="249" w:lineRule="exact"/>
              <w:ind w:left="148" w:right="141"/>
              <w:rPr>
                <w:sz w:val="21"/>
              </w:rPr>
            </w:pPr>
            <w:r>
              <w:rPr>
                <w:sz w:val="21"/>
              </w:rPr>
              <w:t>（</w:t>
            </w:r>
            <w:r>
              <w:rPr>
                <w:rFonts w:ascii="Times New Roman" w:eastAsia="Times New Roman"/>
                <w:sz w:val="21"/>
              </w:rPr>
              <w:t>mg/L</w:t>
            </w:r>
            <w:r>
              <w:rPr>
                <w:sz w:val="21"/>
              </w:rPr>
              <w:t>）</w:t>
            </w:r>
          </w:p>
        </w:tc>
        <w:tc>
          <w:tcPr>
            <w:tcW w:w="1611" w:type="dxa"/>
          </w:tcPr>
          <w:p>
            <w:pPr>
              <w:pStyle w:val="14"/>
              <w:spacing w:before="2"/>
              <w:jc w:val="left"/>
              <w:rPr>
                <w:b/>
                <w:sz w:val="21"/>
              </w:rPr>
            </w:pPr>
          </w:p>
          <w:p>
            <w:pPr>
              <w:pStyle w:val="14"/>
              <w:spacing w:before="1"/>
              <w:ind w:left="199"/>
              <w:jc w:val="left"/>
              <w:rPr>
                <w:sz w:val="21"/>
              </w:rPr>
            </w:pPr>
            <w:r>
              <w:rPr>
                <w:sz w:val="21"/>
              </w:rPr>
              <w:t>流量（</w:t>
            </w:r>
            <w:r>
              <w:rPr>
                <w:rFonts w:ascii="Times New Roman" w:eastAsia="Times New Roman"/>
                <w:sz w:val="21"/>
              </w:rPr>
              <w:t>m</w:t>
            </w:r>
            <w:r>
              <w:rPr>
                <w:rFonts w:ascii="Times New Roman" w:eastAsia="Times New Roman"/>
                <w:position w:val="7"/>
                <w:sz w:val="13"/>
              </w:rPr>
              <w:t>3</w:t>
            </w:r>
            <w:r>
              <w:rPr>
                <w:rFonts w:ascii="Times New Roman" w:eastAsia="Times New Roman"/>
                <w:sz w:val="21"/>
              </w:rPr>
              <w:t>/s</w:t>
            </w:r>
            <w:r>
              <w:rPr>
                <w:sz w:val="21"/>
              </w:rPr>
              <w:t>）</w:t>
            </w:r>
          </w:p>
        </w:tc>
        <w:tc>
          <w:tcPr>
            <w:tcW w:w="1611" w:type="dxa"/>
          </w:tcPr>
          <w:p>
            <w:pPr>
              <w:pStyle w:val="14"/>
              <w:spacing w:before="137" w:line="242" w:lineRule="auto"/>
              <w:ind w:left="595" w:right="586"/>
              <w:rPr>
                <w:sz w:val="21"/>
              </w:rPr>
            </w:pPr>
            <w:r>
              <w:rPr>
                <w:sz w:val="21"/>
              </w:rPr>
              <w:t>水面宽度</w:t>
            </w:r>
          </w:p>
        </w:tc>
        <w:tc>
          <w:tcPr>
            <w:tcW w:w="1615" w:type="dxa"/>
          </w:tcPr>
          <w:p>
            <w:pPr>
              <w:pStyle w:val="14"/>
              <w:spacing w:before="2"/>
              <w:jc w:val="left"/>
              <w:rPr>
                <w:b/>
                <w:sz w:val="21"/>
              </w:rPr>
            </w:pPr>
          </w:p>
          <w:p>
            <w:pPr>
              <w:pStyle w:val="14"/>
              <w:spacing w:before="1"/>
              <w:ind w:left="575" w:right="569"/>
              <w:rPr>
                <w:sz w:val="21"/>
              </w:rPr>
            </w:pPr>
            <w:r>
              <w:rPr>
                <w:sz w:val="21"/>
              </w:rPr>
              <w:t>水深</w:t>
            </w:r>
          </w:p>
        </w:tc>
      </w:tr>
    </w:tbl>
    <w:p>
      <w:pPr>
        <w:spacing w:after="0"/>
        <w:rPr>
          <w:sz w:val="21"/>
        </w:rPr>
        <w:sectPr>
          <w:footerReference r:id="rId24" w:type="default"/>
          <w:pgSz w:w="11910" w:h="16840"/>
          <w:pgMar w:top="1580" w:right="780" w:bottom="1240" w:left="1200" w:header="0" w:footer="1058" w:gutter="0"/>
          <w:pgNumType w:start="130"/>
        </w:sectPr>
      </w:pP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8"/>
        <w:gridCol w:w="1080"/>
        <w:gridCol w:w="1280"/>
        <w:gridCol w:w="1215"/>
        <w:gridCol w:w="1611"/>
        <w:gridCol w:w="1611"/>
        <w:gridCol w:w="16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928" w:type="dxa"/>
          </w:tcPr>
          <w:p>
            <w:pPr>
              <w:pStyle w:val="14"/>
              <w:spacing w:before="139"/>
              <w:ind w:left="243"/>
              <w:jc w:val="left"/>
              <w:rPr>
                <w:rFonts w:ascii="Times New Roman"/>
                <w:sz w:val="21"/>
              </w:rPr>
            </w:pPr>
            <w:r>
              <w:rPr>
                <w:rFonts w:ascii="Times New Roman"/>
                <w:sz w:val="21"/>
              </w:rPr>
              <w:t>COD</w:t>
            </w:r>
          </w:p>
        </w:tc>
        <w:tc>
          <w:tcPr>
            <w:tcW w:w="1080" w:type="dxa"/>
          </w:tcPr>
          <w:p>
            <w:pPr>
              <w:pStyle w:val="14"/>
              <w:spacing w:before="139"/>
              <w:ind w:left="251"/>
              <w:jc w:val="left"/>
              <w:rPr>
                <w:rFonts w:ascii="Times New Roman"/>
                <w:sz w:val="21"/>
              </w:rPr>
            </w:pPr>
            <w:r>
              <w:rPr>
                <w:rFonts w:ascii="Times New Roman"/>
                <w:sz w:val="21"/>
              </w:rPr>
              <w:t>0.0167</w:t>
            </w:r>
          </w:p>
        </w:tc>
        <w:tc>
          <w:tcPr>
            <w:tcW w:w="1280" w:type="dxa"/>
          </w:tcPr>
          <w:p>
            <w:pPr>
              <w:pStyle w:val="14"/>
              <w:spacing w:before="139"/>
              <w:ind w:left="113" w:right="104"/>
              <w:rPr>
                <w:rFonts w:ascii="Times New Roman"/>
                <w:sz w:val="21"/>
              </w:rPr>
            </w:pPr>
            <w:r>
              <w:rPr>
                <w:rFonts w:ascii="Times New Roman"/>
                <w:sz w:val="21"/>
              </w:rPr>
              <w:t>150</w:t>
            </w:r>
          </w:p>
        </w:tc>
        <w:tc>
          <w:tcPr>
            <w:tcW w:w="1215" w:type="dxa"/>
          </w:tcPr>
          <w:p>
            <w:pPr>
              <w:pStyle w:val="14"/>
              <w:spacing w:before="139"/>
              <w:ind w:left="185" w:right="175"/>
              <w:rPr>
                <w:rFonts w:ascii="Times New Roman"/>
                <w:sz w:val="21"/>
              </w:rPr>
            </w:pPr>
            <w:r>
              <w:rPr>
                <w:rFonts w:ascii="Times New Roman"/>
                <w:sz w:val="21"/>
              </w:rPr>
              <w:t>15</w:t>
            </w:r>
          </w:p>
        </w:tc>
        <w:tc>
          <w:tcPr>
            <w:tcW w:w="1611" w:type="dxa"/>
          </w:tcPr>
          <w:p>
            <w:pPr>
              <w:pStyle w:val="14"/>
              <w:spacing w:before="139"/>
              <w:ind w:left="7"/>
              <w:rPr>
                <w:rFonts w:ascii="Times New Roman"/>
                <w:sz w:val="21"/>
              </w:rPr>
            </w:pPr>
            <w:r>
              <w:rPr>
                <w:rFonts w:ascii="Times New Roman"/>
                <w:w w:val="99"/>
                <w:sz w:val="21"/>
              </w:rPr>
              <w:t>4</w:t>
            </w:r>
          </w:p>
        </w:tc>
        <w:tc>
          <w:tcPr>
            <w:tcW w:w="1611" w:type="dxa"/>
          </w:tcPr>
          <w:p>
            <w:pPr>
              <w:pStyle w:val="14"/>
              <w:spacing w:before="89"/>
              <w:ind w:left="595" w:right="585"/>
              <w:rPr>
                <w:rFonts w:ascii="Times New Roman"/>
                <w:sz w:val="21"/>
              </w:rPr>
            </w:pPr>
            <w:r>
              <w:rPr>
                <w:rFonts w:ascii="Times New Roman"/>
                <w:sz w:val="21"/>
              </w:rPr>
              <w:t>25</w:t>
            </w:r>
          </w:p>
        </w:tc>
        <w:tc>
          <w:tcPr>
            <w:tcW w:w="1615" w:type="dxa"/>
          </w:tcPr>
          <w:p>
            <w:pPr>
              <w:pStyle w:val="14"/>
              <w:spacing w:before="89"/>
              <w:ind w:left="575" w:right="565"/>
              <w:rPr>
                <w:rFonts w:ascii="Times New Roman"/>
                <w:sz w:val="21"/>
              </w:rPr>
            </w:pPr>
            <w:r>
              <w:rPr>
                <w:rFonts w:ascii="Times New Roman"/>
                <w:sz w:val="21"/>
              </w:rPr>
              <w:t>1.0</w:t>
            </w:r>
          </w:p>
        </w:tc>
      </w:tr>
    </w:tbl>
    <w:p>
      <w:pPr>
        <w:pStyle w:val="13"/>
        <w:numPr>
          <w:ilvl w:val="0"/>
          <w:numId w:val="63"/>
        </w:numPr>
        <w:tabs>
          <w:tab w:val="left" w:pos="1297"/>
        </w:tabs>
        <w:spacing w:before="6" w:after="0" w:line="240" w:lineRule="auto"/>
        <w:ind w:left="1297" w:right="0" w:hanging="601"/>
        <w:jc w:val="left"/>
        <w:rPr>
          <w:sz w:val="24"/>
        </w:rPr>
      </w:pPr>
      <w:r>
        <w:rPr>
          <w:sz w:val="24"/>
        </w:rPr>
        <w:t>预测评价方案</w:t>
      </w:r>
    </w:p>
    <w:p>
      <w:pPr>
        <w:pStyle w:val="6"/>
        <w:spacing w:before="158" w:line="364" w:lineRule="auto"/>
        <w:ind w:left="215" w:right="580" w:firstLine="480"/>
      </w:pPr>
      <w:r>
        <w:t>本项目运行期对地表水影响进行预测，评价按照矿井涌水处理站正常运行废水达标排放扁石河及事故状况下排水时分别进行预测与评价。</w:t>
      </w:r>
    </w:p>
    <w:p>
      <w:pPr>
        <w:pStyle w:val="6"/>
        <w:spacing w:before="1" w:line="364" w:lineRule="auto"/>
        <w:ind w:left="215" w:right="578" w:firstLine="480"/>
        <w:jc w:val="both"/>
      </w:pPr>
      <w:r>
        <w:t>由于扁石河河道水质现状监测结果已经是受面源排放影响后的叠加值，加之本项目最大排水量排水占扁石河地表径流流量较小，不会对地表径流造成明显水力冲击，且扁石河沿岸无新增其他面源，因此仅考虑本项目点源汇入影响，不再对原有污染源进行重复叠加预测计算。</w:t>
      </w:r>
    </w:p>
    <w:p>
      <w:pPr>
        <w:pStyle w:val="13"/>
        <w:numPr>
          <w:ilvl w:val="0"/>
          <w:numId w:val="63"/>
        </w:numPr>
        <w:tabs>
          <w:tab w:val="left" w:pos="1297"/>
        </w:tabs>
        <w:spacing w:before="0" w:after="0" w:line="305" w:lineRule="exact"/>
        <w:ind w:left="1297" w:right="0" w:hanging="601"/>
        <w:jc w:val="left"/>
        <w:rPr>
          <w:sz w:val="24"/>
        </w:rPr>
      </w:pPr>
      <w:r>
        <w:rPr>
          <w:sz w:val="24"/>
        </w:rPr>
        <w:t>预测模式</w:t>
      </w:r>
    </w:p>
    <w:p>
      <w:pPr>
        <w:pStyle w:val="6"/>
        <w:spacing w:before="158"/>
        <w:ind w:left="696"/>
      </w:pPr>
      <w:r>
        <w:t>预测模式采用完全混合模式，其公式如下：</w:t>
      </w:r>
    </w:p>
    <w:p>
      <w:pPr>
        <w:pStyle w:val="6"/>
        <w:spacing w:before="6"/>
        <w:rPr>
          <w:sz w:val="25"/>
        </w:rPr>
      </w:pPr>
      <w:r>
        <w:drawing>
          <wp:anchor distT="0" distB="0" distL="0" distR="0" simplePos="0" relativeHeight="1024" behindDoc="0" locked="0" layoutInCell="1" allowOverlap="1">
            <wp:simplePos x="0" y="0"/>
            <wp:positionH relativeFrom="page">
              <wp:posOffset>1938655</wp:posOffset>
            </wp:positionH>
            <wp:positionV relativeFrom="paragraph">
              <wp:posOffset>232410</wp:posOffset>
            </wp:positionV>
            <wp:extent cx="3651885" cy="331470"/>
            <wp:effectExtent l="0" t="0" r="0" b="0"/>
            <wp:wrapTopAndBottom/>
            <wp:docPr id="6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7.jpeg"/>
                    <pic:cNvPicPr>
                      <a:picLocks noChangeAspect="1"/>
                    </pic:cNvPicPr>
                  </pic:nvPicPr>
                  <pic:blipFill>
                    <a:blip r:embed="rId73" cstate="print"/>
                    <a:stretch>
                      <a:fillRect/>
                    </a:stretch>
                  </pic:blipFill>
                  <pic:spPr>
                    <a:xfrm>
                      <a:off x="0" y="0"/>
                      <a:ext cx="3652186" cy="331470"/>
                    </a:xfrm>
                    <a:prstGeom prst="rect">
                      <a:avLst/>
                    </a:prstGeom>
                  </pic:spPr>
                </pic:pic>
              </a:graphicData>
            </a:graphic>
          </wp:anchor>
        </w:drawing>
      </w:r>
    </w:p>
    <w:p>
      <w:pPr>
        <w:pStyle w:val="6"/>
        <w:spacing w:before="143" w:line="362" w:lineRule="auto"/>
        <w:ind w:left="696" w:right="5653"/>
      </w:pPr>
      <w:r>
        <w:t>式中：</w:t>
      </w:r>
      <w:r>
        <w:rPr>
          <w:rFonts w:ascii="Times New Roman" w:hAnsi="Times New Roman" w:eastAsia="Times New Roman"/>
        </w:rPr>
        <w:t>C——</w:t>
      </w:r>
      <w:r>
        <w:t>污染物浓度，</w:t>
      </w:r>
      <w:r>
        <w:rPr>
          <w:rFonts w:ascii="Times New Roman" w:hAnsi="Times New Roman" w:eastAsia="Times New Roman"/>
        </w:rPr>
        <w:t>mg/L</w:t>
      </w:r>
      <w:r>
        <w:t xml:space="preserve">； </w:t>
      </w:r>
      <w:r>
        <w:rPr>
          <w:rFonts w:ascii="Times New Roman" w:hAnsi="Times New Roman" w:eastAsia="Times New Roman"/>
          <w:position w:val="2"/>
        </w:rPr>
        <w:t>C</w:t>
      </w:r>
      <w:r>
        <w:rPr>
          <w:rFonts w:ascii="Times New Roman" w:hAnsi="Times New Roman" w:eastAsia="Times New Roman"/>
          <w:position w:val="2"/>
          <w:vertAlign w:val="subscript"/>
        </w:rPr>
        <w:t>p</w:t>
      </w:r>
      <w:r>
        <w:rPr>
          <w:rFonts w:ascii="Times New Roman" w:hAnsi="Times New Roman" w:eastAsia="Times New Roman"/>
          <w:position w:val="2"/>
          <w:vertAlign w:val="baseline"/>
        </w:rPr>
        <w:t>——</w:t>
      </w:r>
      <w:r>
        <w:rPr>
          <w:position w:val="2"/>
          <w:vertAlign w:val="baseline"/>
        </w:rPr>
        <w:t>污染物排放浓度，</w:t>
      </w:r>
      <w:r>
        <w:rPr>
          <w:rFonts w:ascii="Times New Roman" w:hAnsi="Times New Roman" w:eastAsia="Times New Roman"/>
          <w:position w:val="2"/>
          <w:vertAlign w:val="baseline"/>
        </w:rPr>
        <w:t>mg/L</w:t>
      </w:r>
      <w:r>
        <w:rPr>
          <w:position w:val="2"/>
          <w:vertAlign w:val="baseline"/>
        </w:rPr>
        <w:t xml:space="preserve">； </w:t>
      </w:r>
      <w:r>
        <w:rPr>
          <w:rFonts w:ascii="Times New Roman" w:hAnsi="Times New Roman" w:eastAsia="Times New Roman"/>
          <w:position w:val="2"/>
          <w:vertAlign w:val="baseline"/>
        </w:rPr>
        <w:t>Q</w:t>
      </w:r>
      <w:r>
        <w:rPr>
          <w:rFonts w:ascii="Times New Roman" w:hAnsi="Times New Roman" w:eastAsia="Times New Roman"/>
          <w:position w:val="2"/>
          <w:vertAlign w:val="subscript"/>
        </w:rPr>
        <w:t>p</w:t>
      </w:r>
      <w:r>
        <w:rPr>
          <w:rFonts w:ascii="Times New Roman" w:hAnsi="Times New Roman" w:eastAsia="Times New Roman"/>
          <w:position w:val="2"/>
          <w:vertAlign w:val="baseline"/>
        </w:rPr>
        <w:t>——</w:t>
      </w:r>
      <w:r>
        <w:rPr>
          <w:position w:val="2"/>
          <w:vertAlign w:val="baseline"/>
        </w:rPr>
        <w:t>污水排放量，</w:t>
      </w:r>
      <w:r>
        <w:rPr>
          <w:rFonts w:ascii="Times New Roman" w:hAnsi="Times New Roman" w:eastAsia="Times New Roman"/>
          <w:position w:val="2"/>
          <w:vertAlign w:val="baseline"/>
        </w:rPr>
        <w:t>m</w:t>
      </w:r>
      <w:r>
        <w:rPr>
          <w:rFonts w:ascii="Times New Roman" w:hAnsi="Times New Roman" w:eastAsia="Times New Roman"/>
          <w:position w:val="2"/>
          <w:vertAlign w:val="superscript"/>
        </w:rPr>
        <w:t>3</w:t>
      </w:r>
      <w:r>
        <w:rPr>
          <w:rFonts w:ascii="Times New Roman" w:hAnsi="Times New Roman" w:eastAsia="Times New Roman"/>
          <w:position w:val="2"/>
          <w:vertAlign w:val="baseline"/>
        </w:rPr>
        <w:t>/s</w:t>
      </w:r>
      <w:r>
        <w:rPr>
          <w:position w:val="2"/>
          <w:vertAlign w:val="baseline"/>
        </w:rPr>
        <w:t>；</w:t>
      </w:r>
    </w:p>
    <w:p>
      <w:pPr>
        <w:pStyle w:val="6"/>
        <w:spacing w:line="360" w:lineRule="auto"/>
        <w:ind w:left="696" w:right="5335"/>
      </w:pPr>
      <w:r>
        <w:rPr>
          <w:rFonts w:ascii="Times New Roman" w:hAnsi="Times New Roman" w:eastAsia="Times New Roman"/>
          <w:position w:val="2"/>
        </w:rPr>
        <w:t>C</w:t>
      </w:r>
      <w:r>
        <w:rPr>
          <w:rFonts w:ascii="Times New Roman" w:hAnsi="Times New Roman" w:eastAsia="Times New Roman"/>
          <w:position w:val="2"/>
          <w:vertAlign w:val="subscript"/>
        </w:rPr>
        <w:t>h</w:t>
      </w:r>
      <w:r>
        <w:rPr>
          <w:rFonts w:ascii="Times New Roman" w:hAnsi="Times New Roman" w:eastAsia="Times New Roman"/>
          <w:position w:val="2"/>
          <w:vertAlign w:val="baseline"/>
        </w:rPr>
        <w:t>——</w:t>
      </w:r>
      <w:r>
        <w:rPr>
          <w:position w:val="2"/>
          <w:vertAlign w:val="baseline"/>
        </w:rPr>
        <w:t>河流上游污染物浓度，</w:t>
      </w:r>
      <w:r>
        <w:rPr>
          <w:rFonts w:ascii="Times New Roman" w:hAnsi="Times New Roman" w:eastAsia="Times New Roman"/>
          <w:position w:val="2"/>
          <w:vertAlign w:val="baseline"/>
        </w:rPr>
        <w:t>mg/L</w:t>
      </w:r>
      <w:r>
        <w:rPr>
          <w:position w:val="2"/>
          <w:vertAlign w:val="baseline"/>
        </w:rPr>
        <w:t xml:space="preserve">； </w:t>
      </w:r>
      <w:r>
        <w:rPr>
          <w:rFonts w:ascii="Times New Roman" w:hAnsi="Times New Roman" w:eastAsia="Times New Roman"/>
          <w:position w:val="2"/>
          <w:vertAlign w:val="baseline"/>
        </w:rPr>
        <w:t>Q</w:t>
      </w:r>
      <w:r>
        <w:rPr>
          <w:rFonts w:ascii="Times New Roman" w:hAnsi="Times New Roman" w:eastAsia="Times New Roman"/>
          <w:position w:val="2"/>
          <w:vertAlign w:val="subscript"/>
        </w:rPr>
        <w:t>h</w:t>
      </w:r>
      <w:r>
        <w:rPr>
          <w:rFonts w:ascii="Times New Roman" w:hAnsi="Times New Roman" w:eastAsia="Times New Roman"/>
          <w:position w:val="2"/>
          <w:vertAlign w:val="baseline"/>
        </w:rPr>
        <w:t>——</w:t>
      </w:r>
      <w:r>
        <w:rPr>
          <w:position w:val="2"/>
          <w:vertAlign w:val="baseline"/>
        </w:rPr>
        <w:t>河流流量，</w:t>
      </w:r>
      <w:r>
        <w:rPr>
          <w:rFonts w:ascii="Times New Roman" w:hAnsi="Times New Roman" w:eastAsia="Times New Roman"/>
          <w:position w:val="2"/>
          <w:vertAlign w:val="baseline"/>
        </w:rPr>
        <w:t>m</w:t>
      </w:r>
      <w:r>
        <w:rPr>
          <w:rFonts w:ascii="Times New Roman" w:hAnsi="Times New Roman" w:eastAsia="Times New Roman"/>
          <w:position w:val="2"/>
          <w:vertAlign w:val="superscript"/>
        </w:rPr>
        <w:t>3</w:t>
      </w:r>
      <w:r>
        <w:rPr>
          <w:rFonts w:ascii="Times New Roman" w:hAnsi="Times New Roman" w:eastAsia="Times New Roman"/>
          <w:position w:val="2"/>
          <w:vertAlign w:val="baseline"/>
        </w:rPr>
        <w:t>/s</w:t>
      </w:r>
      <w:r>
        <w:rPr>
          <w:position w:val="2"/>
          <w:vertAlign w:val="baseline"/>
        </w:rPr>
        <w:t>；</w:t>
      </w:r>
    </w:p>
    <w:p>
      <w:pPr>
        <w:pStyle w:val="13"/>
        <w:numPr>
          <w:ilvl w:val="0"/>
          <w:numId w:val="63"/>
        </w:numPr>
        <w:tabs>
          <w:tab w:val="left" w:pos="1297"/>
        </w:tabs>
        <w:spacing w:before="2" w:after="0" w:line="240" w:lineRule="auto"/>
        <w:ind w:left="1297" w:right="0" w:hanging="601"/>
        <w:jc w:val="left"/>
        <w:rPr>
          <w:sz w:val="24"/>
        </w:rPr>
      </w:pPr>
      <w:r>
        <w:rPr>
          <w:sz w:val="24"/>
        </w:rPr>
        <w:t>预测评价因子</w:t>
      </w:r>
    </w:p>
    <w:p>
      <w:pPr>
        <w:pStyle w:val="6"/>
        <w:spacing w:before="161"/>
        <w:ind w:left="696"/>
      </w:pPr>
      <w:r>
        <w:t xml:space="preserve">本次地表水预测评价因子为 </w:t>
      </w:r>
      <w:r>
        <w:rPr>
          <w:rFonts w:ascii="Times New Roman" w:eastAsia="Times New Roman"/>
        </w:rPr>
        <w:t>COD</w:t>
      </w:r>
      <w:r>
        <w:t>。</w:t>
      </w:r>
    </w:p>
    <w:p>
      <w:pPr>
        <w:pStyle w:val="13"/>
        <w:numPr>
          <w:ilvl w:val="0"/>
          <w:numId w:val="63"/>
        </w:numPr>
        <w:tabs>
          <w:tab w:val="left" w:pos="1297"/>
        </w:tabs>
        <w:spacing w:before="158" w:after="0" w:line="240" w:lineRule="auto"/>
        <w:ind w:left="1297" w:right="0" w:hanging="601"/>
        <w:jc w:val="left"/>
        <w:rPr>
          <w:sz w:val="24"/>
        </w:rPr>
      </w:pPr>
      <w:r>
        <w:rPr>
          <w:sz w:val="24"/>
        </w:rPr>
        <w:t>预测结果</w:t>
      </w:r>
    </w:p>
    <w:p>
      <w:pPr>
        <w:pStyle w:val="6"/>
        <w:spacing w:before="158"/>
        <w:ind w:left="696"/>
      </w:pPr>
      <w:r>
        <w:t>经过预测计算，预测断面相关污染物预测值见下表。</w:t>
      </w:r>
    </w:p>
    <w:p>
      <w:pPr>
        <w:pStyle w:val="5"/>
        <w:spacing w:before="161" w:after="2"/>
        <w:ind w:right="352"/>
        <w:jc w:val="center"/>
      </w:pPr>
      <w:r>
        <mc:AlternateContent>
          <mc:Choice Requires="wps">
            <w:drawing>
              <wp:anchor distT="0" distB="0" distL="114300" distR="114300" simplePos="0" relativeHeight="214214656" behindDoc="1" locked="0" layoutInCell="1" allowOverlap="1">
                <wp:simplePos x="0" y="0"/>
                <wp:positionH relativeFrom="page">
                  <wp:posOffset>832485</wp:posOffset>
                </wp:positionH>
                <wp:positionV relativeFrom="paragraph">
                  <wp:posOffset>303530</wp:posOffset>
                </wp:positionV>
                <wp:extent cx="2310130" cy="387985"/>
                <wp:effectExtent l="635" t="4445" r="13335" b="7620"/>
                <wp:wrapNone/>
                <wp:docPr id="60" name="直线 142"/>
                <wp:cNvGraphicFramePr/>
                <a:graphic xmlns:a="http://schemas.openxmlformats.org/drawingml/2006/main">
                  <a:graphicData uri="http://schemas.microsoft.com/office/word/2010/wordprocessingShape">
                    <wps:wsp>
                      <wps:cNvSpPr/>
                      <wps:spPr>
                        <a:xfrm>
                          <a:off x="0" y="0"/>
                          <a:ext cx="2310130" cy="387985"/>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142" o:spid="_x0000_s1026" o:spt="20" style="position:absolute;left:0pt;margin-left:65.55pt;margin-top:23.9pt;height:30.55pt;width:181.9pt;mso-position-horizontal-relative:page;z-index:-289101824;mso-width-relative:page;mso-height-relative:page;" filled="f" stroked="t" coordsize="21600,21600" o:gfxdata="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fqLh81gAAAAoBAAAPAAAAAAAAAAEAIAAAACIA&#10;AABkcnMvZG93bnJldi54bWxQSwECFAAUAAAACACHTuJAUXIX59IBAACVAwAADgAAAAAAAAABACAA&#10;AAAlAQAAZHJzL2Uyb0RvYy54bWxQSwUGAAAAAAYABgBZAQAAaQUAAAAA&#10;">
                <v:fill on="f" focussize="0,0"/>
                <v:stroke weight="0.5pt" color="#000000" joinstyle="round"/>
                <v:imagedata o:title=""/>
                <o:lock v:ext="edit" aspectratio="f"/>
              </v:line>
            </w:pict>
          </mc:Fallback>
        </mc:AlternateContent>
      </w:r>
      <w:r>
        <w:t xml:space="preserve">表 </w:t>
      </w:r>
      <w:r>
        <w:rPr>
          <w:rFonts w:ascii="Times New Roman" w:eastAsia="Times New Roman"/>
        </w:rPr>
        <w:t xml:space="preserve">7.5-3  </w:t>
      </w:r>
      <w:r>
        <w:t>地表水预测结果一览表</w:t>
      </w: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1"/>
        <w:gridCol w:w="2712"/>
        <w:gridCol w:w="1824"/>
        <w:gridCol w:w="2150"/>
        <w:gridCol w:w="1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3643" w:type="dxa"/>
            <w:gridSpan w:val="2"/>
            <w:vMerge w:val="restart"/>
          </w:tcPr>
          <w:p>
            <w:pPr>
              <w:pStyle w:val="14"/>
              <w:spacing w:before="32"/>
              <w:ind w:left="3113"/>
              <w:jc w:val="left"/>
              <w:rPr>
                <w:sz w:val="21"/>
              </w:rPr>
            </w:pPr>
            <w:r>
              <w:rPr>
                <w:sz w:val="21"/>
              </w:rPr>
              <w:t>项目</w:t>
            </w:r>
          </w:p>
          <w:p>
            <w:pPr>
              <w:pStyle w:val="14"/>
              <w:spacing w:before="2"/>
              <w:ind w:left="106"/>
              <w:jc w:val="left"/>
              <w:rPr>
                <w:sz w:val="21"/>
              </w:rPr>
            </w:pPr>
            <w:r>
              <w:rPr>
                <w:sz w:val="21"/>
              </w:rPr>
              <w:t>名称</w:t>
            </w:r>
          </w:p>
        </w:tc>
        <w:tc>
          <w:tcPr>
            <w:tcW w:w="5701" w:type="dxa"/>
            <w:gridSpan w:val="3"/>
          </w:tcPr>
          <w:p>
            <w:pPr>
              <w:pStyle w:val="14"/>
              <w:spacing w:before="41"/>
              <w:ind w:left="2608" w:right="2599"/>
              <w:rPr>
                <w:rFonts w:ascii="Times New Roman"/>
                <w:sz w:val="21"/>
              </w:rPr>
            </w:pPr>
            <w:r>
              <w:rPr>
                <w:rFonts w:ascii="Times New Roman"/>
                <w:sz w:val="21"/>
              </w:rPr>
              <w:t>COD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3643" w:type="dxa"/>
            <w:gridSpan w:val="2"/>
            <w:vMerge w:val="continue"/>
            <w:tcBorders>
              <w:top w:val="nil"/>
            </w:tcBorders>
          </w:tcPr>
          <w:p>
            <w:pPr>
              <w:rPr>
                <w:sz w:val="2"/>
                <w:szCs w:val="2"/>
              </w:rPr>
            </w:pPr>
          </w:p>
        </w:tc>
        <w:tc>
          <w:tcPr>
            <w:tcW w:w="1824" w:type="dxa"/>
          </w:tcPr>
          <w:p>
            <w:pPr>
              <w:pStyle w:val="14"/>
              <w:spacing w:line="252" w:lineRule="exact"/>
              <w:ind w:left="132" w:right="11"/>
              <w:rPr>
                <w:sz w:val="21"/>
              </w:rPr>
            </w:pPr>
            <w:r>
              <w:rPr>
                <w:w w:val="95"/>
                <w:sz w:val="21"/>
              </w:rPr>
              <w:t>现状浓度（</w:t>
            </w:r>
            <w:r>
              <w:rPr>
                <w:rFonts w:ascii="Times New Roman" w:eastAsia="Times New Roman"/>
                <w:w w:val="95"/>
                <w:sz w:val="21"/>
              </w:rPr>
              <w:t>mg/L</w:t>
            </w:r>
            <w:r>
              <w:rPr>
                <w:w w:val="95"/>
                <w:sz w:val="21"/>
              </w:rPr>
              <w:t>）</w:t>
            </w:r>
          </w:p>
        </w:tc>
        <w:tc>
          <w:tcPr>
            <w:tcW w:w="2150" w:type="dxa"/>
          </w:tcPr>
          <w:p>
            <w:pPr>
              <w:pStyle w:val="14"/>
              <w:spacing w:line="252" w:lineRule="exact"/>
              <w:ind w:left="196" w:right="188"/>
              <w:rPr>
                <w:sz w:val="21"/>
              </w:rPr>
            </w:pPr>
            <w:r>
              <w:rPr>
                <w:sz w:val="21"/>
              </w:rPr>
              <w:t>预测浓度（</w:t>
            </w:r>
            <w:r>
              <w:rPr>
                <w:rFonts w:ascii="Times New Roman" w:eastAsia="Times New Roman"/>
                <w:sz w:val="21"/>
              </w:rPr>
              <w:t>mg/L</w:t>
            </w:r>
            <w:r>
              <w:rPr>
                <w:sz w:val="21"/>
              </w:rPr>
              <w:t>）</w:t>
            </w:r>
          </w:p>
        </w:tc>
        <w:tc>
          <w:tcPr>
            <w:tcW w:w="1727" w:type="dxa"/>
          </w:tcPr>
          <w:p>
            <w:pPr>
              <w:pStyle w:val="14"/>
              <w:spacing w:line="252" w:lineRule="exact"/>
              <w:ind w:left="107" w:right="-15"/>
              <w:jc w:val="left"/>
              <w:rPr>
                <w:sz w:val="21"/>
              </w:rPr>
            </w:pPr>
            <w:r>
              <w:rPr>
                <w:spacing w:val="-25"/>
                <w:sz w:val="21"/>
              </w:rPr>
              <w:t>变化情况</w:t>
            </w:r>
            <w:r>
              <w:rPr>
                <w:sz w:val="21"/>
              </w:rPr>
              <w:t>（</w:t>
            </w:r>
            <w:r>
              <w:rPr>
                <w:rFonts w:ascii="Times New Roman" w:eastAsia="Times New Roman"/>
                <w:sz w:val="21"/>
              </w:rPr>
              <w:t>mg/L</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931" w:type="dxa"/>
            <w:vMerge w:val="restart"/>
          </w:tcPr>
          <w:p>
            <w:pPr>
              <w:pStyle w:val="14"/>
              <w:spacing w:before="10" w:line="270" w:lineRule="atLeast"/>
              <w:ind w:left="149" w:right="140"/>
              <w:jc w:val="both"/>
              <w:rPr>
                <w:sz w:val="21"/>
              </w:rPr>
            </w:pPr>
            <w:r>
              <w:rPr>
                <w:sz w:val="21"/>
              </w:rPr>
              <w:t>正常废水达标排放</w:t>
            </w:r>
          </w:p>
        </w:tc>
        <w:tc>
          <w:tcPr>
            <w:tcW w:w="2712" w:type="dxa"/>
          </w:tcPr>
          <w:p>
            <w:pPr>
              <w:pStyle w:val="14"/>
              <w:spacing w:before="1" w:line="251" w:lineRule="exact"/>
              <w:ind w:right="317"/>
              <w:jc w:val="right"/>
              <w:rPr>
                <w:sz w:val="21"/>
              </w:rPr>
            </w:pPr>
            <w:r>
              <w:rPr>
                <w:sz w:val="21"/>
              </w:rPr>
              <w:t xml:space="preserve">上游 </w:t>
            </w:r>
            <w:r>
              <w:rPr>
                <w:rFonts w:ascii="Times New Roman" w:eastAsia="Times New Roman"/>
                <w:sz w:val="21"/>
              </w:rPr>
              <w:t xml:space="preserve">500m </w:t>
            </w:r>
            <w:r>
              <w:rPr>
                <w:sz w:val="21"/>
              </w:rPr>
              <w:t>断面预测值</w:t>
            </w:r>
          </w:p>
        </w:tc>
        <w:tc>
          <w:tcPr>
            <w:tcW w:w="1824" w:type="dxa"/>
          </w:tcPr>
          <w:p>
            <w:pPr>
              <w:pStyle w:val="14"/>
              <w:spacing w:before="15" w:line="237" w:lineRule="exact"/>
              <w:ind w:left="22" w:right="11"/>
              <w:rPr>
                <w:rFonts w:ascii="Times New Roman"/>
                <w:sz w:val="21"/>
              </w:rPr>
            </w:pPr>
            <w:r>
              <w:rPr>
                <w:rFonts w:ascii="Times New Roman"/>
                <w:sz w:val="21"/>
              </w:rPr>
              <w:t>46</w:t>
            </w:r>
          </w:p>
        </w:tc>
        <w:tc>
          <w:tcPr>
            <w:tcW w:w="2150" w:type="dxa"/>
          </w:tcPr>
          <w:p>
            <w:pPr>
              <w:pStyle w:val="14"/>
              <w:spacing w:before="15" w:line="237" w:lineRule="exact"/>
              <w:ind w:left="196" w:right="187"/>
              <w:rPr>
                <w:rFonts w:ascii="Times New Roman"/>
                <w:sz w:val="21"/>
              </w:rPr>
            </w:pPr>
            <w:r>
              <w:rPr>
                <w:rFonts w:ascii="Times New Roman"/>
                <w:sz w:val="21"/>
              </w:rPr>
              <w:t>45.8710</w:t>
            </w:r>
          </w:p>
        </w:tc>
        <w:tc>
          <w:tcPr>
            <w:tcW w:w="1727" w:type="dxa"/>
          </w:tcPr>
          <w:p>
            <w:pPr>
              <w:pStyle w:val="14"/>
              <w:spacing w:before="15" w:line="237" w:lineRule="exact"/>
              <w:ind w:left="539"/>
              <w:jc w:val="left"/>
              <w:rPr>
                <w:rFonts w:ascii="Times New Roman"/>
                <w:sz w:val="21"/>
              </w:rPr>
            </w:pPr>
            <w:r>
              <w:rPr>
                <w:rFonts w:ascii="Times New Roman"/>
                <w:sz w:val="21"/>
              </w:rPr>
              <w:t>-0.1290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931" w:type="dxa"/>
            <w:vMerge w:val="continue"/>
            <w:tcBorders>
              <w:top w:val="nil"/>
            </w:tcBorders>
          </w:tcPr>
          <w:p>
            <w:pPr>
              <w:rPr>
                <w:sz w:val="2"/>
                <w:szCs w:val="2"/>
              </w:rPr>
            </w:pPr>
          </w:p>
        </w:tc>
        <w:tc>
          <w:tcPr>
            <w:tcW w:w="2712" w:type="dxa"/>
          </w:tcPr>
          <w:p>
            <w:pPr>
              <w:pStyle w:val="14"/>
              <w:spacing w:before="1" w:line="250" w:lineRule="exact"/>
              <w:ind w:right="267"/>
              <w:jc w:val="right"/>
              <w:rPr>
                <w:sz w:val="21"/>
              </w:rPr>
            </w:pPr>
            <w:r>
              <w:rPr>
                <w:sz w:val="21"/>
              </w:rPr>
              <w:t xml:space="preserve">下游 </w:t>
            </w:r>
            <w:r>
              <w:rPr>
                <w:rFonts w:ascii="Times New Roman" w:eastAsia="Times New Roman"/>
                <w:sz w:val="21"/>
              </w:rPr>
              <w:t xml:space="preserve">1000m </w:t>
            </w:r>
            <w:r>
              <w:rPr>
                <w:sz w:val="21"/>
              </w:rPr>
              <w:t>断面预测值</w:t>
            </w:r>
          </w:p>
        </w:tc>
        <w:tc>
          <w:tcPr>
            <w:tcW w:w="1824" w:type="dxa"/>
          </w:tcPr>
          <w:p>
            <w:pPr>
              <w:pStyle w:val="14"/>
              <w:spacing w:before="13" w:line="239" w:lineRule="exact"/>
              <w:ind w:left="22" w:right="11"/>
              <w:rPr>
                <w:rFonts w:ascii="Times New Roman"/>
                <w:sz w:val="21"/>
              </w:rPr>
            </w:pPr>
            <w:r>
              <w:rPr>
                <w:rFonts w:ascii="Times New Roman"/>
                <w:sz w:val="21"/>
              </w:rPr>
              <w:t>46</w:t>
            </w:r>
          </w:p>
        </w:tc>
        <w:tc>
          <w:tcPr>
            <w:tcW w:w="2150" w:type="dxa"/>
          </w:tcPr>
          <w:p>
            <w:pPr>
              <w:pStyle w:val="14"/>
              <w:spacing w:before="13" w:line="239" w:lineRule="exact"/>
              <w:ind w:left="196" w:right="187"/>
              <w:rPr>
                <w:rFonts w:ascii="Times New Roman"/>
                <w:sz w:val="21"/>
              </w:rPr>
            </w:pPr>
            <w:r>
              <w:rPr>
                <w:rFonts w:ascii="Times New Roman"/>
                <w:sz w:val="21"/>
              </w:rPr>
              <w:t>45.8710</w:t>
            </w:r>
          </w:p>
        </w:tc>
        <w:tc>
          <w:tcPr>
            <w:tcW w:w="1727" w:type="dxa"/>
          </w:tcPr>
          <w:p>
            <w:pPr>
              <w:pStyle w:val="14"/>
              <w:spacing w:before="13" w:line="239" w:lineRule="exact"/>
              <w:ind w:left="539"/>
              <w:jc w:val="left"/>
              <w:rPr>
                <w:rFonts w:ascii="Times New Roman"/>
                <w:sz w:val="21"/>
              </w:rPr>
            </w:pPr>
            <w:r>
              <w:rPr>
                <w:rFonts w:ascii="Times New Roman"/>
                <w:sz w:val="21"/>
              </w:rPr>
              <w:t>-0.1290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931" w:type="dxa"/>
            <w:vMerge w:val="continue"/>
            <w:tcBorders>
              <w:top w:val="nil"/>
            </w:tcBorders>
          </w:tcPr>
          <w:p>
            <w:pPr>
              <w:rPr>
                <w:sz w:val="2"/>
                <w:szCs w:val="2"/>
              </w:rPr>
            </w:pPr>
          </w:p>
        </w:tc>
        <w:tc>
          <w:tcPr>
            <w:tcW w:w="2712" w:type="dxa"/>
          </w:tcPr>
          <w:p>
            <w:pPr>
              <w:pStyle w:val="14"/>
              <w:spacing w:before="3" w:line="249" w:lineRule="exact"/>
              <w:ind w:right="267"/>
              <w:jc w:val="right"/>
              <w:rPr>
                <w:sz w:val="21"/>
              </w:rPr>
            </w:pPr>
            <w:r>
              <w:rPr>
                <w:sz w:val="21"/>
              </w:rPr>
              <w:t xml:space="preserve">下游 </w:t>
            </w:r>
            <w:r>
              <w:rPr>
                <w:rFonts w:ascii="Times New Roman" w:eastAsia="Times New Roman"/>
                <w:sz w:val="21"/>
              </w:rPr>
              <w:t xml:space="preserve">5000m </w:t>
            </w:r>
            <w:r>
              <w:rPr>
                <w:sz w:val="21"/>
              </w:rPr>
              <w:t>断面预测值</w:t>
            </w:r>
          </w:p>
        </w:tc>
        <w:tc>
          <w:tcPr>
            <w:tcW w:w="1824" w:type="dxa"/>
          </w:tcPr>
          <w:p>
            <w:pPr>
              <w:pStyle w:val="14"/>
              <w:spacing w:before="14" w:line="237" w:lineRule="exact"/>
              <w:ind w:left="22" w:right="11"/>
              <w:rPr>
                <w:rFonts w:ascii="Times New Roman"/>
                <w:sz w:val="21"/>
              </w:rPr>
            </w:pPr>
            <w:r>
              <w:rPr>
                <w:rFonts w:ascii="Times New Roman"/>
                <w:sz w:val="21"/>
              </w:rPr>
              <w:t>45</w:t>
            </w:r>
          </w:p>
        </w:tc>
        <w:tc>
          <w:tcPr>
            <w:tcW w:w="2150" w:type="dxa"/>
          </w:tcPr>
          <w:p>
            <w:pPr>
              <w:pStyle w:val="14"/>
              <w:spacing w:before="14" w:line="237" w:lineRule="exact"/>
              <w:ind w:left="196" w:right="187"/>
              <w:rPr>
                <w:rFonts w:ascii="Times New Roman"/>
                <w:sz w:val="21"/>
              </w:rPr>
            </w:pPr>
            <w:r>
              <w:rPr>
                <w:rFonts w:ascii="Times New Roman"/>
                <w:sz w:val="21"/>
              </w:rPr>
              <w:t>44.8753</w:t>
            </w:r>
          </w:p>
        </w:tc>
        <w:tc>
          <w:tcPr>
            <w:tcW w:w="1727" w:type="dxa"/>
          </w:tcPr>
          <w:p>
            <w:pPr>
              <w:pStyle w:val="14"/>
              <w:spacing w:before="14" w:line="237" w:lineRule="exact"/>
              <w:ind w:left="539"/>
              <w:jc w:val="left"/>
              <w:rPr>
                <w:rFonts w:ascii="Times New Roman"/>
                <w:sz w:val="21"/>
              </w:rPr>
            </w:pPr>
            <w:r>
              <w:rPr>
                <w:rFonts w:ascii="Times New Roman"/>
                <w:sz w:val="21"/>
              </w:rPr>
              <w:t>-0.1247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31" w:type="dxa"/>
            <w:vMerge w:val="restart"/>
          </w:tcPr>
          <w:p>
            <w:pPr>
              <w:pStyle w:val="14"/>
              <w:spacing w:before="148" w:line="242" w:lineRule="auto"/>
              <w:ind w:left="255" w:right="140" w:hanging="106"/>
              <w:jc w:val="left"/>
              <w:rPr>
                <w:sz w:val="21"/>
              </w:rPr>
            </w:pPr>
            <w:r>
              <w:rPr>
                <w:sz w:val="21"/>
              </w:rPr>
              <w:t>非正常排放</w:t>
            </w:r>
          </w:p>
        </w:tc>
        <w:tc>
          <w:tcPr>
            <w:tcW w:w="2712" w:type="dxa"/>
          </w:tcPr>
          <w:p>
            <w:pPr>
              <w:pStyle w:val="14"/>
              <w:spacing w:before="1" w:line="251" w:lineRule="exact"/>
              <w:ind w:right="317"/>
              <w:jc w:val="right"/>
              <w:rPr>
                <w:sz w:val="21"/>
              </w:rPr>
            </w:pPr>
            <w:r>
              <w:rPr>
                <w:sz w:val="21"/>
              </w:rPr>
              <w:t xml:space="preserve">上游 </w:t>
            </w:r>
            <w:r>
              <w:rPr>
                <w:rFonts w:ascii="Times New Roman" w:eastAsia="Times New Roman"/>
                <w:sz w:val="21"/>
              </w:rPr>
              <w:t xml:space="preserve">500m </w:t>
            </w:r>
            <w:r>
              <w:rPr>
                <w:sz w:val="21"/>
              </w:rPr>
              <w:t>断面预测值</w:t>
            </w:r>
          </w:p>
        </w:tc>
        <w:tc>
          <w:tcPr>
            <w:tcW w:w="1824" w:type="dxa"/>
          </w:tcPr>
          <w:p>
            <w:pPr>
              <w:pStyle w:val="14"/>
              <w:spacing w:before="15" w:line="237" w:lineRule="exact"/>
              <w:ind w:left="22" w:right="11"/>
              <w:rPr>
                <w:rFonts w:ascii="Times New Roman"/>
                <w:sz w:val="21"/>
              </w:rPr>
            </w:pPr>
            <w:r>
              <w:rPr>
                <w:rFonts w:ascii="Times New Roman"/>
                <w:sz w:val="21"/>
              </w:rPr>
              <w:t>46</w:t>
            </w:r>
          </w:p>
        </w:tc>
        <w:tc>
          <w:tcPr>
            <w:tcW w:w="2150" w:type="dxa"/>
          </w:tcPr>
          <w:p>
            <w:pPr>
              <w:pStyle w:val="14"/>
              <w:spacing w:before="15" w:line="237" w:lineRule="exact"/>
              <w:ind w:left="196" w:right="187"/>
              <w:rPr>
                <w:rFonts w:ascii="Times New Roman"/>
                <w:sz w:val="21"/>
              </w:rPr>
            </w:pPr>
            <w:r>
              <w:rPr>
                <w:rFonts w:ascii="Times New Roman"/>
                <w:sz w:val="21"/>
              </w:rPr>
              <w:t>46.4324</w:t>
            </w:r>
          </w:p>
        </w:tc>
        <w:tc>
          <w:tcPr>
            <w:tcW w:w="1727" w:type="dxa"/>
          </w:tcPr>
          <w:p>
            <w:pPr>
              <w:pStyle w:val="14"/>
              <w:spacing w:before="15" w:line="237" w:lineRule="exact"/>
              <w:ind w:left="515"/>
              <w:jc w:val="left"/>
              <w:rPr>
                <w:rFonts w:ascii="Times New Roman"/>
                <w:sz w:val="21"/>
              </w:rPr>
            </w:pPr>
            <w:r>
              <w:rPr>
                <w:rFonts w:ascii="Times New Roman"/>
                <w:sz w:val="21"/>
              </w:rPr>
              <w:t>+0.4324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931" w:type="dxa"/>
            <w:vMerge w:val="continue"/>
            <w:tcBorders>
              <w:top w:val="nil"/>
            </w:tcBorders>
          </w:tcPr>
          <w:p>
            <w:pPr>
              <w:rPr>
                <w:sz w:val="2"/>
                <w:szCs w:val="2"/>
              </w:rPr>
            </w:pPr>
          </w:p>
        </w:tc>
        <w:tc>
          <w:tcPr>
            <w:tcW w:w="2712" w:type="dxa"/>
          </w:tcPr>
          <w:p>
            <w:pPr>
              <w:pStyle w:val="14"/>
              <w:spacing w:before="2" w:line="250" w:lineRule="exact"/>
              <w:ind w:right="267"/>
              <w:jc w:val="right"/>
              <w:rPr>
                <w:sz w:val="21"/>
              </w:rPr>
            </w:pPr>
            <w:r>
              <w:rPr>
                <w:sz w:val="21"/>
              </w:rPr>
              <w:t xml:space="preserve">下游 </w:t>
            </w:r>
            <w:r>
              <w:rPr>
                <w:rFonts w:ascii="Times New Roman" w:eastAsia="Times New Roman"/>
                <w:sz w:val="21"/>
              </w:rPr>
              <w:t xml:space="preserve">1000m </w:t>
            </w:r>
            <w:r>
              <w:rPr>
                <w:sz w:val="21"/>
              </w:rPr>
              <w:t>断面预测值</w:t>
            </w:r>
          </w:p>
        </w:tc>
        <w:tc>
          <w:tcPr>
            <w:tcW w:w="1824" w:type="dxa"/>
          </w:tcPr>
          <w:p>
            <w:pPr>
              <w:pStyle w:val="14"/>
              <w:spacing w:before="13" w:line="238" w:lineRule="exact"/>
              <w:ind w:left="22" w:right="11"/>
              <w:rPr>
                <w:rFonts w:ascii="Times New Roman"/>
                <w:sz w:val="21"/>
              </w:rPr>
            </w:pPr>
            <w:r>
              <w:rPr>
                <w:rFonts w:ascii="Times New Roman"/>
                <w:sz w:val="21"/>
              </w:rPr>
              <w:t>46</w:t>
            </w:r>
          </w:p>
        </w:tc>
        <w:tc>
          <w:tcPr>
            <w:tcW w:w="2150" w:type="dxa"/>
          </w:tcPr>
          <w:p>
            <w:pPr>
              <w:pStyle w:val="14"/>
              <w:spacing w:before="13" w:line="238" w:lineRule="exact"/>
              <w:ind w:left="196" w:right="187"/>
              <w:rPr>
                <w:rFonts w:ascii="Times New Roman"/>
                <w:sz w:val="21"/>
              </w:rPr>
            </w:pPr>
            <w:r>
              <w:rPr>
                <w:rFonts w:ascii="Times New Roman"/>
                <w:sz w:val="21"/>
              </w:rPr>
              <w:t>46.4324</w:t>
            </w:r>
          </w:p>
        </w:tc>
        <w:tc>
          <w:tcPr>
            <w:tcW w:w="1727" w:type="dxa"/>
          </w:tcPr>
          <w:p>
            <w:pPr>
              <w:pStyle w:val="14"/>
              <w:spacing w:before="13" w:line="238" w:lineRule="exact"/>
              <w:ind w:left="515"/>
              <w:jc w:val="left"/>
              <w:rPr>
                <w:rFonts w:ascii="Times New Roman"/>
                <w:sz w:val="21"/>
              </w:rPr>
            </w:pPr>
            <w:r>
              <w:rPr>
                <w:rFonts w:ascii="Times New Roman"/>
                <w:sz w:val="21"/>
              </w:rPr>
              <w:t>+0.4324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931" w:type="dxa"/>
            <w:vMerge w:val="continue"/>
            <w:tcBorders>
              <w:top w:val="nil"/>
            </w:tcBorders>
          </w:tcPr>
          <w:p>
            <w:pPr>
              <w:rPr>
                <w:sz w:val="2"/>
                <w:szCs w:val="2"/>
              </w:rPr>
            </w:pPr>
          </w:p>
        </w:tc>
        <w:tc>
          <w:tcPr>
            <w:tcW w:w="2712" w:type="dxa"/>
          </w:tcPr>
          <w:p>
            <w:pPr>
              <w:pStyle w:val="14"/>
              <w:spacing w:before="3" w:line="249" w:lineRule="exact"/>
              <w:ind w:right="267"/>
              <w:jc w:val="right"/>
              <w:rPr>
                <w:sz w:val="21"/>
              </w:rPr>
            </w:pPr>
            <w:r>
              <w:rPr>
                <w:sz w:val="21"/>
              </w:rPr>
              <w:t xml:space="preserve">下游 </w:t>
            </w:r>
            <w:r>
              <w:rPr>
                <w:rFonts w:ascii="Times New Roman" w:eastAsia="Times New Roman"/>
                <w:sz w:val="21"/>
              </w:rPr>
              <w:t xml:space="preserve">5000m </w:t>
            </w:r>
            <w:r>
              <w:rPr>
                <w:sz w:val="21"/>
              </w:rPr>
              <w:t>断面预测值</w:t>
            </w:r>
          </w:p>
        </w:tc>
        <w:tc>
          <w:tcPr>
            <w:tcW w:w="1824" w:type="dxa"/>
          </w:tcPr>
          <w:p>
            <w:pPr>
              <w:pStyle w:val="14"/>
              <w:spacing w:before="14" w:line="237" w:lineRule="exact"/>
              <w:ind w:left="22" w:right="11"/>
              <w:rPr>
                <w:rFonts w:ascii="Times New Roman"/>
                <w:sz w:val="21"/>
              </w:rPr>
            </w:pPr>
            <w:r>
              <w:rPr>
                <w:rFonts w:ascii="Times New Roman"/>
                <w:sz w:val="21"/>
              </w:rPr>
              <w:t>45</w:t>
            </w:r>
          </w:p>
        </w:tc>
        <w:tc>
          <w:tcPr>
            <w:tcW w:w="2150" w:type="dxa"/>
          </w:tcPr>
          <w:p>
            <w:pPr>
              <w:pStyle w:val="14"/>
              <w:spacing w:before="14" w:line="237" w:lineRule="exact"/>
              <w:ind w:left="196" w:right="187"/>
              <w:rPr>
                <w:rFonts w:ascii="Times New Roman"/>
                <w:sz w:val="21"/>
              </w:rPr>
            </w:pPr>
            <w:r>
              <w:rPr>
                <w:rFonts w:ascii="Times New Roman"/>
                <w:sz w:val="21"/>
              </w:rPr>
              <w:t>45.4366</w:t>
            </w:r>
          </w:p>
        </w:tc>
        <w:tc>
          <w:tcPr>
            <w:tcW w:w="1727" w:type="dxa"/>
          </w:tcPr>
          <w:p>
            <w:pPr>
              <w:pStyle w:val="14"/>
              <w:spacing w:before="14" w:line="237" w:lineRule="exact"/>
              <w:ind w:left="515"/>
              <w:jc w:val="left"/>
              <w:rPr>
                <w:rFonts w:ascii="Times New Roman"/>
                <w:sz w:val="21"/>
              </w:rPr>
            </w:pPr>
            <w:r>
              <w:rPr>
                <w:rFonts w:ascii="Times New Roman"/>
                <w:sz w:val="21"/>
              </w:rPr>
              <w:t>+0.4366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3643" w:type="dxa"/>
            <w:gridSpan w:val="2"/>
          </w:tcPr>
          <w:p>
            <w:pPr>
              <w:pStyle w:val="14"/>
              <w:spacing w:before="2" w:line="251" w:lineRule="exact"/>
              <w:ind w:left="454"/>
              <w:jc w:val="left"/>
              <w:rPr>
                <w:sz w:val="21"/>
              </w:rPr>
            </w:pPr>
            <w:r>
              <w:rPr>
                <w:sz w:val="21"/>
              </w:rPr>
              <w:t>《地表水环境质量标准》Ⅲ类</w:t>
            </w:r>
          </w:p>
        </w:tc>
        <w:tc>
          <w:tcPr>
            <w:tcW w:w="3974" w:type="dxa"/>
            <w:gridSpan w:val="2"/>
          </w:tcPr>
          <w:p>
            <w:pPr>
              <w:pStyle w:val="14"/>
              <w:spacing w:before="16" w:line="237" w:lineRule="exact"/>
              <w:ind w:left="1860" w:right="1853"/>
              <w:rPr>
                <w:rFonts w:ascii="Times New Roman"/>
                <w:sz w:val="21"/>
              </w:rPr>
            </w:pPr>
            <w:r>
              <w:rPr>
                <w:rFonts w:ascii="Times New Roman"/>
                <w:sz w:val="21"/>
              </w:rPr>
              <w:t>20</w:t>
            </w:r>
          </w:p>
        </w:tc>
        <w:tc>
          <w:tcPr>
            <w:tcW w:w="1727" w:type="dxa"/>
          </w:tcPr>
          <w:p>
            <w:pPr>
              <w:pStyle w:val="14"/>
              <w:spacing w:before="16" w:line="237" w:lineRule="exact"/>
              <w:ind w:left="10"/>
              <w:rPr>
                <w:rFonts w:ascii="Times New Roman"/>
                <w:sz w:val="21"/>
              </w:rPr>
            </w:pPr>
            <w:r>
              <w:rPr>
                <w:rFonts w:ascii="Times New Roman"/>
                <w:w w:val="99"/>
                <w:sz w:val="21"/>
              </w:rPr>
              <w:t>/</w:t>
            </w:r>
          </w:p>
        </w:tc>
      </w:tr>
    </w:tbl>
    <w:p>
      <w:pPr>
        <w:pStyle w:val="6"/>
        <w:spacing w:before="121"/>
        <w:ind w:left="696"/>
      </w:pPr>
      <w:r>
        <w:rPr>
          <w:rFonts w:ascii="Times New Roman" w:eastAsia="Times New Roman"/>
        </w:rPr>
        <w:t>2</w:t>
      </w:r>
      <w:r>
        <w:t>、地表水影响评价</w:t>
      </w:r>
    </w:p>
    <w:p>
      <w:pPr>
        <w:pStyle w:val="13"/>
        <w:numPr>
          <w:ilvl w:val="0"/>
          <w:numId w:val="64"/>
        </w:numPr>
        <w:tabs>
          <w:tab w:val="left" w:pos="1297"/>
        </w:tabs>
        <w:spacing w:before="160" w:after="0" w:line="240" w:lineRule="auto"/>
        <w:ind w:left="1297" w:right="0" w:hanging="601"/>
        <w:jc w:val="left"/>
        <w:rPr>
          <w:sz w:val="24"/>
        </w:rPr>
      </w:pPr>
      <w:r>
        <w:rPr>
          <w:sz w:val="24"/>
        </w:rPr>
        <w:t>正常排放对扁石河河流水质影响</w:t>
      </w:r>
    </w:p>
    <w:p>
      <w:pPr>
        <w:spacing w:after="0" w:line="240" w:lineRule="auto"/>
        <w:jc w:val="left"/>
        <w:rPr>
          <w:sz w:val="24"/>
        </w:rPr>
        <w:sectPr>
          <w:pgSz w:w="11910" w:h="16840"/>
          <w:pgMar w:top="1580" w:right="780" w:bottom="1320" w:left="1200" w:header="0" w:footer="1058" w:gutter="0"/>
        </w:sectPr>
      </w:pPr>
    </w:p>
    <w:p>
      <w:pPr>
        <w:pStyle w:val="6"/>
        <w:spacing w:before="66" w:line="362" w:lineRule="auto"/>
        <w:ind w:left="215" w:right="578" w:firstLine="480"/>
      </w:pPr>
      <w:r>
        <w:t xml:space="preserve">由预测结果可知，正常情况下，矿井水处理后排入扁石河后，各断面最大 </w:t>
      </w:r>
      <w:r>
        <w:rPr>
          <w:rFonts w:ascii="Times New Roman" w:eastAsia="Times New Roman"/>
        </w:rPr>
        <w:t xml:space="preserve">COD </w:t>
      </w:r>
      <w:r>
        <w:t>浓度没有增加，对下游地表水体影响较小。</w:t>
      </w:r>
    </w:p>
    <w:p>
      <w:pPr>
        <w:pStyle w:val="13"/>
        <w:numPr>
          <w:ilvl w:val="0"/>
          <w:numId w:val="64"/>
        </w:numPr>
        <w:tabs>
          <w:tab w:val="left" w:pos="1297"/>
        </w:tabs>
        <w:spacing w:before="5" w:after="0" w:line="240" w:lineRule="auto"/>
        <w:ind w:left="1297" w:right="0" w:hanging="601"/>
        <w:jc w:val="left"/>
        <w:rPr>
          <w:sz w:val="24"/>
        </w:rPr>
      </w:pPr>
      <w:r>
        <w:rPr>
          <w:sz w:val="24"/>
        </w:rPr>
        <w:t>非正常排放对扁石河河流水质影响</w:t>
      </w:r>
    </w:p>
    <w:p>
      <w:pPr>
        <w:pStyle w:val="6"/>
        <w:spacing w:before="158" w:line="364" w:lineRule="auto"/>
        <w:ind w:left="215" w:right="576" w:firstLine="480"/>
        <w:jc w:val="both"/>
      </w:pPr>
      <w:r>
        <w:t xml:space="preserve">由预测结果可知，在非正常情况下，矿井水未经处理直接排放，矿井水中 </w:t>
      </w:r>
      <w:r>
        <w:rPr>
          <w:rFonts w:ascii="Times New Roman" w:eastAsia="Times New Roman"/>
        </w:rPr>
        <w:t xml:space="preserve">COD </w:t>
      </w:r>
      <w:r>
        <w:t xml:space="preserve">超过《煤炭工业污染物排放标准》。事故状态下，矿井水排放会对地表水中 </w:t>
      </w:r>
      <w:r>
        <w:rPr>
          <w:rFonts w:ascii="Times New Roman" w:eastAsia="Times New Roman"/>
        </w:rPr>
        <w:t xml:space="preserve">COD </w:t>
      </w:r>
      <w:r>
        <w:t xml:space="preserve">浓度增加 </w:t>
      </w:r>
      <w:r>
        <w:rPr>
          <w:rFonts w:ascii="Times New Roman" w:eastAsia="Times New Roman"/>
          <w:sz w:val="21"/>
        </w:rPr>
        <w:t>0.4366</w:t>
      </w:r>
      <w:r>
        <w:rPr>
          <w:rFonts w:ascii="Times New Roman" w:eastAsia="Times New Roman"/>
        </w:rPr>
        <w:t>mg/L</w:t>
      </w:r>
      <w:r>
        <w:t>，增加了地表水的污染负荷。因此，要求建设单位加强管理，禁止矿井水的非正常排放。</w:t>
      </w:r>
    </w:p>
    <w:p>
      <w:pPr>
        <w:pStyle w:val="6"/>
        <w:spacing w:line="362" w:lineRule="auto"/>
        <w:ind w:left="215" w:right="580" w:firstLine="480"/>
      </w:pPr>
      <w:r>
        <w:t>为防止项目产生的污、废水非正常排放对地表水的影响，评价加强对项目污废水处理站的运行管理，确保污废水处理设施正常稳定运行，生活污水全部回用不外排。</w:t>
      </w:r>
    </w:p>
    <w:p>
      <w:pPr>
        <w:pStyle w:val="4"/>
        <w:numPr>
          <w:ilvl w:val="1"/>
          <w:numId w:val="61"/>
        </w:numPr>
        <w:tabs>
          <w:tab w:val="left" w:pos="636"/>
        </w:tabs>
        <w:spacing w:before="3" w:after="0" w:line="240" w:lineRule="auto"/>
        <w:ind w:left="636" w:right="0" w:hanging="421"/>
        <w:jc w:val="left"/>
        <w:rPr>
          <w:rFonts w:ascii="Times New Roman" w:eastAsia="Times New Roman"/>
        </w:rPr>
      </w:pPr>
      <w:bookmarkStart w:id="729" w:name="7.6水资源利用及水污染物防治措施可行性分析"/>
      <w:bookmarkEnd w:id="729"/>
      <w:bookmarkStart w:id="730" w:name="_bookmark42"/>
      <w:bookmarkEnd w:id="730"/>
      <w:bookmarkStart w:id="731" w:name="_bookmark42"/>
      <w:bookmarkEnd w:id="731"/>
      <w:r>
        <w:t>水资源利用及水污染物防治措施可行性分析</w:t>
      </w:r>
    </w:p>
    <w:p>
      <w:pPr>
        <w:pStyle w:val="13"/>
        <w:numPr>
          <w:ilvl w:val="2"/>
          <w:numId w:val="61"/>
        </w:numPr>
        <w:tabs>
          <w:tab w:val="left" w:pos="848"/>
        </w:tabs>
        <w:spacing w:before="186" w:after="0" w:line="240" w:lineRule="auto"/>
        <w:ind w:left="847" w:right="0" w:hanging="633"/>
        <w:jc w:val="left"/>
        <w:rPr>
          <w:b/>
          <w:sz w:val="28"/>
        </w:rPr>
      </w:pPr>
      <w:bookmarkStart w:id="732" w:name="7.6.1生活污水污染防治措施"/>
      <w:bookmarkEnd w:id="732"/>
      <w:bookmarkStart w:id="733" w:name="7.6.1生活污水污染防治措施"/>
      <w:bookmarkEnd w:id="733"/>
      <w:r>
        <w:rPr>
          <w:b/>
          <w:sz w:val="28"/>
        </w:rPr>
        <w:t>生活污水污染防治措施</w:t>
      </w:r>
    </w:p>
    <w:p>
      <w:pPr>
        <w:pStyle w:val="6"/>
        <w:spacing w:before="186" w:line="364" w:lineRule="auto"/>
        <w:ind w:left="215" w:right="580" w:firstLine="480"/>
      </w:pPr>
      <w:r>
        <w:t>矿井的污水来源为工业场地的生活污、废水，处理后的污、废水作为矿井工业场地绿化洒水用水。</w:t>
      </w:r>
    </w:p>
    <w:p>
      <w:pPr>
        <w:pStyle w:val="6"/>
        <w:spacing w:before="1" w:line="362" w:lineRule="auto"/>
        <w:ind w:left="696" w:right="796"/>
      </w:pPr>
      <w:r>
        <w:t>达到设计投产规模（</w:t>
      </w:r>
      <w:r>
        <w:rPr>
          <w:spacing w:val="-20"/>
        </w:rPr>
        <w:t xml:space="preserve">矿井 </w:t>
      </w:r>
      <w:r>
        <w:rPr>
          <w:rFonts w:ascii="Times New Roman" w:eastAsia="Times New Roman"/>
        </w:rPr>
        <w:t xml:space="preserve">30 </w:t>
      </w:r>
      <w:r>
        <w:rPr>
          <w:spacing w:val="-30"/>
        </w:rPr>
        <w:t xml:space="preserve">万 </w:t>
      </w:r>
      <w:r>
        <w:rPr>
          <w:rFonts w:ascii="Times New Roman" w:eastAsia="Times New Roman"/>
        </w:rPr>
        <w:t>t/a</w:t>
      </w:r>
      <w:r>
        <w:t>）</w:t>
      </w:r>
      <w:r>
        <w:rPr>
          <w:spacing w:val="-4"/>
        </w:rPr>
        <w:t xml:space="preserve">时，工业场地生活污、废水量为 </w:t>
      </w:r>
      <w:r>
        <w:rPr>
          <w:rFonts w:ascii="Times New Roman" w:eastAsia="Times New Roman"/>
        </w:rPr>
        <w:t>86.92m</w:t>
      </w:r>
      <w:r>
        <w:rPr>
          <w:rFonts w:ascii="Times New Roman" w:eastAsia="Times New Roman"/>
          <w:position w:val="8"/>
          <w:sz w:val="15"/>
        </w:rPr>
        <w:t>3</w:t>
      </w:r>
      <w:r>
        <w:rPr>
          <w:rFonts w:ascii="Times New Roman" w:eastAsia="Times New Roman"/>
        </w:rPr>
        <w:t>/d</w:t>
      </w:r>
      <w:r>
        <w:rPr>
          <w:spacing w:val="-15"/>
        </w:rPr>
        <w:t>。</w:t>
      </w:r>
      <w:r>
        <w:t>生活污水处理工艺流程图如下：</w:t>
      </w:r>
    </w:p>
    <w:p>
      <w:pPr>
        <w:spacing w:after="0" w:line="362" w:lineRule="auto"/>
        <w:sectPr>
          <w:pgSz w:w="11910" w:h="16840"/>
          <w:pgMar w:top="1520" w:right="780" w:bottom="1320" w:left="1200" w:header="0" w:footer="1058" w:gutter="0"/>
        </w:sectPr>
      </w:pPr>
    </w:p>
    <w:p>
      <w:pPr>
        <w:pStyle w:val="6"/>
        <w:rPr>
          <w:sz w:val="20"/>
        </w:rPr>
      </w:pPr>
      <w:r>
        <mc:AlternateContent>
          <mc:Choice Requires="wpg">
            <w:drawing>
              <wp:anchor distT="0" distB="0" distL="114300" distR="114300" simplePos="0" relativeHeight="214238208" behindDoc="1" locked="0" layoutInCell="1" allowOverlap="1">
                <wp:simplePos x="0" y="0"/>
                <wp:positionH relativeFrom="page">
                  <wp:posOffset>2957195</wp:posOffset>
                </wp:positionH>
                <wp:positionV relativeFrom="page">
                  <wp:posOffset>3106420</wp:posOffset>
                </wp:positionV>
                <wp:extent cx="1638300" cy="396240"/>
                <wp:effectExtent l="0" t="0" r="0" b="3810"/>
                <wp:wrapNone/>
                <wp:docPr id="68" name="组合 143"/>
                <wp:cNvGraphicFramePr/>
                <a:graphic xmlns:a="http://schemas.openxmlformats.org/drawingml/2006/main">
                  <a:graphicData uri="http://schemas.microsoft.com/office/word/2010/wordprocessingGroup">
                    <wpg:wgp>
                      <wpg:cNvGrpSpPr/>
                      <wpg:grpSpPr>
                        <a:xfrm>
                          <a:off x="0" y="0"/>
                          <a:ext cx="1638300" cy="396240"/>
                          <a:chOff x="4657" y="4892"/>
                          <a:chExt cx="2580" cy="624"/>
                        </a:xfrm>
                      </wpg:grpSpPr>
                      <wps:wsp>
                        <wps:cNvPr id="62" name="任意多边形 144"/>
                        <wps:cNvSpPr/>
                        <wps:spPr>
                          <a:xfrm>
                            <a:off x="4657" y="4892"/>
                            <a:ext cx="780" cy="624"/>
                          </a:xfrm>
                          <a:custGeom>
                            <a:avLst/>
                            <a:gdLst/>
                            <a:ahLst/>
                            <a:cxnLst/>
                            <a:pathLst>
                              <a:path w="780" h="624">
                                <a:moveTo>
                                  <a:pt x="780" y="504"/>
                                </a:moveTo>
                                <a:lnTo>
                                  <a:pt x="728" y="504"/>
                                </a:lnTo>
                                <a:lnTo>
                                  <a:pt x="728" y="0"/>
                                </a:lnTo>
                                <a:lnTo>
                                  <a:pt x="713" y="0"/>
                                </a:lnTo>
                                <a:lnTo>
                                  <a:pt x="713" y="308"/>
                                </a:lnTo>
                                <a:lnTo>
                                  <a:pt x="705" y="304"/>
                                </a:lnTo>
                                <a:lnTo>
                                  <a:pt x="600" y="252"/>
                                </a:lnTo>
                                <a:lnTo>
                                  <a:pt x="600" y="304"/>
                                </a:lnTo>
                                <a:lnTo>
                                  <a:pt x="0" y="304"/>
                                </a:lnTo>
                                <a:lnTo>
                                  <a:pt x="0" y="319"/>
                                </a:lnTo>
                                <a:lnTo>
                                  <a:pt x="600" y="319"/>
                                </a:lnTo>
                                <a:lnTo>
                                  <a:pt x="600" y="372"/>
                                </a:lnTo>
                                <a:lnTo>
                                  <a:pt x="705" y="319"/>
                                </a:lnTo>
                                <a:lnTo>
                                  <a:pt x="713" y="316"/>
                                </a:lnTo>
                                <a:lnTo>
                                  <a:pt x="713" y="504"/>
                                </a:lnTo>
                                <a:lnTo>
                                  <a:pt x="660" y="504"/>
                                </a:lnTo>
                                <a:lnTo>
                                  <a:pt x="720" y="624"/>
                                </a:lnTo>
                                <a:lnTo>
                                  <a:pt x="765" y="534"/>
                                </a:lnTo>
                                <a:lnTo>
                                  <a:pt x="780" y="504"/>
                                </a:lnTo>
                              </a:path>
                            </a:pathLst>
                          </a:custGeom>
                          <a:solidFill>
                            <a:srgbClr val="000000"/>
                          </a:solidFill>
                          <a:ln>
                            <a:noFill/>
                          </a:ln>
                        </wps:spPr>
                        <wps:bodyPr upright="1"/>
                      </wps:wsp>
                      <wps:wsp>
                        <wps:cNvPr id="64" name="直线 145"/>
                        <wps:cNvSpPr/>
                        <wps:spPr>
                          <a:xfrm>
                            <a:off x="5377" y="5048"/>
                            <a:ext cx="1800" cy="0"/>
                          </a:xfrm>
                          <a:prstGeom prst="line">
                            <a:avLst/>
                          </a:prstGeom>
                          <a:ln w="9525" cap="flat" cmpd="sng">
                            <a:solidFill>
                              <a:srgbClr val="000000"/>
                            </a:solidFill>
                            <a:prstDash val="solid"/>
                            <a:headEnd type="none" w="med" len="med"/>
                            <a:tailEnd type="none" w="med" len="med"/>
                          </a:ln>
                        </wps:spPr>
                        <wps:bodyPr upright="1"/>
                      </wps:wsp>
                      <wps:wsp>
                        <wps:cNvPr id="66" name="任意多边形 146"/>
                        <wps:cNvSpPr/>
                        <wps:spPr>
                          <a:xfrm>
                            <a:off x="7117" y="5048"/>
                            <a:ext cx="120" cy="468"/>
                          </a:xfrm>
                          <a:custGeom>
                            <a:avLst/>
                            <a:gdLst/>
                            <a:ahLst/>
                            <a:cxnLst/>
                            <a:pathLst>
                              <a:path w="120" h="468">
                                <a:moveTo>
                                  <a:pt x="68" y="378"/>
                                </a:moveTo>
                                <a:lnTo>
                                  <a:pt x="53" y="378"/>
                                </a:lnTo>
                                <a:lnTo>
                                  <a:pt x="53" y="0"/>
                                </a:lnTo>
                                <a:lnTo>
                                  <a:pt x="68" y="0"/>
                                </a:lnTo>
                                <a:lnTo>
                                  <a:pt x="68" y="378"/>
                                </a:lnTo>
                                <a:close/>
                                <a:moveTo>
                                  <a:pt x="60" y="468"/>
                                </a:moveTo>
                                <a:lnTo>
                                  <a:pt x="0" y="348"/>
                                </a:lnTo>
                                <a:lnTo>
                                  <a:pt x="53" y="348"/>
                                </a:lnTo>
                                <a:lnTo>
                                  <a:pt x="53" y="378"/>
                                </a:lnTo>
                                <a:lnTo>
                                  <a:pt x="105" y="378"/>
                                </a:lnTo>
                                <a:lnTo>
                                  <a:pt x="60" y="468"/>
                                </a:lnTo>
                                <a:close/>
                                <a:moveTo>
                                  <a:pt x="105" y="378"/>
                                </a:moveTo>
                                <a:lnTo>
                                  <a:pt x="68" y="378"/>
                                </a:lnTo>
                                <a:lnTo>
                                  <a:pt x="68" y="348"/>
                                </a:lnTo>
                                <a:lnTo>
                                  <a:pt x="120" y="348"/>
                                </a:lnTo>
                                <a:lnTo>
                                  <a:pt x="105" y="378"/>
                                </a:lnTo>
                                <a:close/>
                              </a:path>
                            </a:pathLst>
                          </a:custGeom>
                          <a:solidFill>
                            <a:srgbClr val="000000"/>
                          </a:solidFill>
                          <a:ln>
                            <a:noFill/>
                          </a:ln>
                        </wps:spPr>
                        <wps:bodyPr upright="1"/>
                      </wps:wsp>
                    </wpg:wgp>
                  </a:graphicData>
                </a:graphic>
              </wp:anchor>
            </w:drawing>
          </mc:Choice>
          <mc:Fallback>
            <w:pict>
              <v:group id="组合 143" o:spid="_x0000_s1026" o:spt="203" style="position:absolute;left:0pt;margin-left:232.85pt;margin-top:244.6pt;height:31.2pt;width:129pt;mso-position-horizontal-relative:page;mso-position-vertical-relative:page;z-index:-289078272;mso-width-relative:page;mso-height-relative:page;" coordorigin="4657,4892" coordsize="2580,624" o:gfxdata="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">
                <o:lock v:ext="edit" aspectratio="f"/>
                <v:shape id="任意多边形 144" o:spid="_x0000_s1026" o:spt="100" style="position:absolute;left:4657;top:4892;height:624;width:780;" fillcolor="#000000" filled="t" stroked="f" coordsize="780,624" o:gfxdata="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WMB/ugAAANsA&#10;AAAPAAAAAAAAAAEAIAAAACIAAABkcnMvZG93bnJldi54bWxQSwECFAAUAAAACACHTuJAMy8FnjsA&#10;AAA5AAAAEAAAAAAAAAABACAAAAAJAQAAZHJzL3NoYXBleG1sLnhtbFBLBQYAAAAABgAGAFsBAACz&#10;AwAAAAA=&#10;" path="m780,504l728,504,728,0,713,0,713,308,705,304,600,252,600,304,0,304,0,319,600,319,600,372,705,319,713,316,713,504,660,504,720,624,765,534,780,504e">
                  <v:fill on="t" focussize="0,0"/>
                  <v:stroke on="f"/>
                  <v:imagedata o:title=""/>
                  <o:lock v:ext="edit" aspectratio="f"/>
                </v:shape>
                <v:line id="直线 145" o:spid="_x0000_s1026" o:spt="20" style="position:absolute;left:5377;top:5048;height:0;width:1800;" filled="f" stroked="t" coordsize="21600,21600" o:gfxdata="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Bpda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任意多边形 146" o:spid="_x0000_s1026" o:spt="100" style="position:absolute;left:7117;top:5048;height:468;width:120;" fillcolor="#000000" filled="t" stroked="f" coordsize="120,468" o:gfxdata="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W9rQrsAAADb&#10;AAAADwAAAAAAAAABACAAAAAiAAAAZHJzL2Rvd25yZXYueG1sUEsBAhQAFAAAAAgAh07iQDMvBZ47&#10;AAAAOQAAABAAAAAAAAAAAQAgAAAACgEAAGRycy9zaGFwZXhtbC54bWxQSwUGAAAAAAYABgBbAQAA&#10;tAMAAAAA&#10;" path="m68,378l53,378,53,0,68,0,68,378xm60,468l0,348,53,348,53,378,105,378,60,468xm105,378l68,378,68,348,120,348,105,378xe">
                  <v:fill on="t" focussize="0,0"/>
                  <v:stroke on="f"/>
                  <v:imagedata o:title=""/>
                  <o:lock v:ext="edit" aspectratio="f"/>
                </v:shape>
              </v:group>
            </w:pict>
          </mc:Fallback>
        </mc:AlternateContent>
      </w:r>
      <w:r>
        <mc:AlternateContent>
          <mc:Choice Requires="wps">
            <w:drawing>
              <wp:anchor distT="0" distB="0" distL="114300" distR="114300" simplePos="0" relativeHeight="214240256" behindDoc="1" locked="0" layoutInCell="1" allowOverlap="1">
                <wp:simplePos x="0" y="0"/>
                <wp:positionH relativeFrom="page">
                  <wp:posOffset>3376295</wp:posOffset>
                </wp:positionH>
                <wp:positionV relativeFrom="page">
                  <wp:posOffset>3799840</wp:posOffset>
                </wp:positionV>
                <wp:extent cx="76200" cy="396240"/>
                <wp:effectExtent l="0" t="0" r="0" b="3810"/>
                <wp:wrapNone/>
                <wp:docPr id="72" name="任意多边形 147"/>
                <wp:cNvGraphicFramePr/>
                <a:graphic xmlns:a="http://schemas.openxmlformats.org/drawingml/2006/main">
                  <a:graphicData uri="http://schemas.microsoft.com/office/word/2010/wordprocessingShape">
                    <wps:wsp>
                      <wps:cNvSpPr/>
                      <wps:spPr>
                        <a:xfrm>
                          <a:off x="0" y="0"/>
                          <a:ext cx="76200" cy="396240"/>
                        </a:xfrm>
                        <a:custGeom>
                          <a:avLst/>
                          <a:gdLst/>
                          <a:ahLst/>
                          <a:cxnLst/>
                          <a:pathLst>
                            <a:path w="120" h="624">
                              <a:moveTo>
                                <a:pt x="68" y="534"/>
                              </a:moveTo>
                              <a:lnTo>
                                <a:pt x="53" y="534"/>
                              </a:lnTo>
                              <a:lnTo>
                                <a:pt x="53" y="0"/>
                              </a:lnTo>
                              <a:lnTo>
                                <a:pt x="68" y="0"/>
                              </a:lnTo>
                              <a:lnTo>
                                <a:pt x="68" y="534"/>
                              </a:lnTo>
                              <a:close/>
                              <a:moveTo>
                                <a:pt x="60" y="624"/>
                              </a:moveTo>
                              <a:lnTo>
                                <a:pt x="0" y="504"/>
                              </a:lnTo>
                              <a:lnTo>
                                <a:pt x="53" y="504"/>
                              </a:lnTo>
                              <a:lnTo>
                                <a:pt x="53" y="534"/>
                              </a:lnTo>
                              <a:lnTo>
                                <a:pt x="105" y="534"/>
                              </a:lnTo>
                              <a:lnTo>
                                <a:pt x="60" y="624"/>
                              </a:lnTo>
                              <a:close/>
                              <a:moveTo>
                                <a:pt x="105" y="534"/>
                              </a:moveTo>
                              <a:lnTo>
                                <a:pt x="68" y="534"/>
                              </a:lnTo>
                              <a:lnTo>
                                <a:pt x="68" y="504"/>
                              </a:lnTo>
                              <a:lnTo>
                                <a:pt x="120" y="504"/>
                              </a:lnTo>
                              <a:lnTo>
                                <a:pt x="105" y="534"/>
                              </a:lnTo>
                              <a:close/>
                            </a:path>
                          </a:pathLst>
                        </a:custGeom>
                        <a:solidFill>
                          <a:srgbClr val="000000"/>
                        </a:solidFill>
                        <a:ln>
                          <a:noFill/>
                        </a:ln>
                      </wps:spPr>
                      <wps:bodyPr upright="1"/>
                    </wps:wsp>
                  </a:graphicData>
                </a:graphic>
              </wp:anchor>
            </w:drawing>
          </mc:Choice>
          <mc:Fallback>
            <w:pict>
              <v:shape id="任意多边形 147" o:spid="_x0000_s1026" o:spt="100" style="position:absolute;left:0pt;margin-left:265.85pt;margin-top:299.2pt;height:31.2pt;width:6pt;mso-position-horizontal-relative:page;mso-position-vertical-relative:page;z-index:-289076224;mso-width-relative:page;mso-height-relative:page;" fillcolor="#000000" filled="t" stroked="f" coordsize="120,624" o:gfxdata="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pScynZAAAACwEAAA8AAAAAAAAA&#10;AQAgAAAAIgAAAGRycy9kb3ducmV2LnhtbFBLAQIUABQAAAAIAIdO4kBXxMBGSQIAAP8FAAAOAAAA&#10;AAAAAAEAIAAAACgBAABkcnMvZTJvRG9jLnhtbFBLBQYAAAAABgAGAFkBAADjBQAAAAA=&#10;" path="m68,534l53,534,53,0,68,0,68,534xm60,624l0,504,53,504,53,534,105,534,60,624xm105,534l68,534,68,504,120,504,105,534xe">
                <v:fill on="t" focussize="0,0"/>
                <v:stroke on="f"/>
                <v:imagedata o:title=""/>
                <o:lock v:ext="edit" aspectratio="f"/>
              </v:shape>
            </w:pict>
          </mc:Fallback>
        </mc:AlternateContent>
      </w:r>
      <w:r>
        <mc:AlternateContent>
          <mc:Choice Requires="wps">
            <w:drawing>
              <wp:anchor distT="0" distB="0" distL="114300" distR="114300" simplePos="0" relativeHeight="214241280" behindDoc="1" locked="0" layoutInCell="1" allowOverlap="1">
                <wp:simplePos x="0" y="0"/>
                <wp:positionH relativeFrom="page">
                  <wp:posOffset>3376295</wp:posOffset>
                </wp:positionH>
                <wp:positionV relativeFrom="page">
                  <wp:posOffset>4394200</wp:posOffset>
                </wp:positionV>
                <wp:extent cx="76200" cy="396240"/>
                <wp:effectExtent l="0" t="0" r="0" b="3810"/>
                <wp:wrapNone/>
                <wp:docPr id="74" name="任意多边形 148"/>
                <wp:cNvGraphicFramePr/>
                <a:graphic xmlns:a="http://schemas.openxmlformats.org/drawingml/2006/main">
                  <a:graphicData uri="http://schemas.microsoft.com/office/word/2010/wordprocessingShape">
                    <wps:wsp>
                      <wps:cNvSpPr/>
                      <wps:spPr>
                        <a:xfrm>
                          <a:off x="0" y="0"/>
                          <a:ext cx="76200" cy="396240"/>
                        </a:xfrm>
                        <a:custGeom>
                          <a:avLst/>
                          <a:gdLst/>
                          <a:ahLst/>
                          <a:cxnLst/>
                          <a:pathLst>
                            <a:path w="120" h="624">
                              <a:moveTo>
                                <a:pt x="68" y="534"/>
                              </a:moveTo>
                              <a:lnTo>
                                <a:pt x="53" y="534"/>
                              </a:lnTo>
                              <a:lnTo>
                                <a:pt x="53" y="0"/>
                              </a:lnTo>
                              <a:lnTo>
                                <a:pt x="68" y="0"/>
                              </a:lnTo>
                              <a:lnTo>
                                <a:pt x="68" y="534"/>
                              </a:lnTo>
                              <a:close/>
                              <a:moveTo>
                                <a:pt x="60" y="624"/>
                              </a:moveTo>
                              <a:lnTo>
                                <a:pt x="0" y="504"/>
                              </a:lnTo>
                              <a:lnTo>
                                <a:pt x="53" y="504"/>
                              </a:lnTo>
                              <a:lnTo>
                                <a:pt x="53" y="534"/>
                              </a:lnTo>
                              <a:lnTo>
                                <a:pt x="105" y="534"/>
                              </a:lnTo>
                              <a:lnTo>
                                <a:pt x="60" y="624"/>
                              </a:lnTo>
                              <a:close/>
                              <a:moveTo>
                                <a:pt x="105" y="534"/>
                              </a:moveTo>
                              <a:lnTo>
                                <a:pt x="68" y="534"/>
                              </a:lnTo>
                              <a:lnTo>
                                <a:pt x="68" y="504"/>
                              </a:lnTo>
                              <a:lnTo>
                                <a:pt x="120" y="504"/>
                              </a:lnTo>
                              <a:lnTo>
                                <a:pt x="105" y="534"/>
                              </a:lnTo>
                              <a:close/>
                            </a:path>
                          </a:pathLst>
                        </a:custGeom>
                        <a:solidFill>
                          <a:srgbClr val="000000"/>
                        </a:solidFill>
                        <a:ln>
                          <a:noFill/>
                        </a:ln>
                      </wps:spPr>
                      <wps:bodyPr upright="1"/>
                    </wps:wsp>
                  </a:graphicData>
                </a:graphic>
              </wp:anchor>
            </w:drawing>
          </mc:Choice>
          <mc:Fallback>
            <w:pict>
              <v:shape id="任意多边形 148" o:spid="_x0000_s1026" o:spt="100" style="position:absolute;left:0pt;margin-left:265.85pt;margin-top:346pt;height:31.2pt;width:6pt;mso-position-horizontal-relative:page;mso-position-vertical-relative:page;z-index:-289075200;mso-width-relative:page;mso-height-relative:page;" fillcolor="#000000" filled="t" stroked="f" coordsize="120,624" o:gfxdata="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jro/Y2gAAAAsBAAAPAAAAAAAA&#10;AAEAIAAAACIAAABkcnMvZG93bnJldi54bWxQSwECFAAUAAAACACHTuJAkeybE0kCAAD/BQAADgAA&#10;AAAAAAABACAAAAApAQAAZHJzL2Uyb0RvYy54bWxQSwUGAAAAAAYABgBZAQAA5AUAAAAA&#10;" path="m68,534l53,534,53,0,68,0,68,534xm60,624l0,504,53,504,53,534,105,534,60,624xm105,534l68,534,68,504,120,504,105,534xe">
                <v:fill on="t" focussize="0,0"/>
                <v:stroke on="f"/>
                <v:imagedata o:title=""/>
                <o:lock v:ext="edit" aspectratio="f"/>
              </v:shape>
            </w:pict>
          </mc:Fallback>
        </mc:AlternateContent>
      </w:r>
      <w:r>
        <w:drawing>
          <wp:anchor distT="0" distB="0" distL="0" distR="0" simplePos="0" relativeHeight="214245376" behindDoc="1" locked="0" layoutInCell="1" allowOverlap="1">
            <wp:simplePos x="0" y="0"/>
            <wp:positionH relativeFrom="page">
              <wp:posOffset>4519295</wp:posOffset>
            </wp:positionH>
            <wp:positionV relativeFrom="page">
              <wp:posOffset>3700780</wp:posOffset>
            </wp:positionV>
            <wp:extent cx="76835" cy="200025"/>
            <wp:effectExtent l="0" t="0" r="0" b="0"/>
            <wp:wrapNone/>
            <wp:docPr id="7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8.png"/>
                    <pic:cNvPicPr>
                      <a:picLocks noChangeAspect="1"/>
                    </pic:cNvPicPr>
                  </pic:nvPicPr>
                  <pic:blipFill>
                    <a:blip r:embed="rId74" cstate="print"/>
                    <a:stretch>
                      <a:fillRect/>
                    </a:stretch>
                  </pic:blipFill>
                  <pic:spPr>
                    <a:xfrm>
                      <a:off x="0" y="0"/>
                      <a:ext cx="76932" cy="200025"/>
                    </a:xfrm>
                    <a:prstGeom prst="rect">
                      <a:avLst/>
                    </a:prstGeom>
                  </pic:spPr>
                </pic:pic>
              </a:graphicData>
            </a:graphic>
          </wp:anchor>
        </w:drawing>
      </w:r>
      <w:r>
        <w:drawing>
          <wp:anchor distT="0" distB="0" distL="0" distR="0" simplePos="0" relativeHeight="214246400" behindDoc="1" locked="0" layoutInCell="1" allowOverlap="1">
            <wp:simplePos x="0" y="0"/>
            <wp:positionH relativeFrom="page">
              <wp:posOffset>4519295</wp:posOffset>
            </wp:positionH>
            <wp:positionV relativeFrom="page">
              <wp:posOffset>3997960</wp:posOffset>
            </wp:positionV>
            <wp:extent cx="76835" cy="200025"/>
            <wp:effectExtent l="0" t="0" r="0" b="0"/>
            <wp:wrapNone/>
            <wp:docPr id="7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8.png"/>
                    <pic:cNvPicPr>
                      <a:picLocks noChangeAspect="1"/>
                    </pic:cNvPicPr>
                  </pic:nvPicPr>
                  <pic:blipFill>
                    <a:blip r:embed="rId74" cstate="print"/>
                    <a:stretch>
                      <a:fillRect/>
                    </a:stretch>
                  </pic:blipFill>
                  <pic:spPr>
                    <a:xfrm>
                      <a:off x="0" y="0"/>
                      <a:ext cx="76932" cy="200025"/>
                    </a:xfrm>
                    <a:prstGeom prst="rect">
                      <a:avLst/>
                    </a:prstGeom>
                  </pic:spPr>
                </pic:pic>
              </a:graphicData>
            </a:graphic>
          </wp:anchor>
        </w:drawing>
      </w:r>
      <w:r>
        <mc:AlternateContent>
          <mc:Choice Requires="wpg">
            <w:drawing>
              <wp:anchor distT="0" distB="0" distL="114300" distR="114300" simplePos="0" relativeHeight="214247424" behindDoc="1" locked="0" layoutInCell="1" allowOverlap="1">
                <wp:simplePos x="0" y="0"/>
                <wp:positionH relativeFrom="page">
                  <wp:posOffset>4519295</wp:posOffset>
                </wp:positionH>
                <wp:positionV relativeFrom="page">
                  <wp:posOffset>4295140</wp:posOffset>
                </wp:positionV>
                <wp:extent cx="266700" cy="495300"/>
                <wp:effectExtent l="0" t="0" r="0" b="0"/>
                <wp:wrapNone/>
                <wp:docPr id="82" name="组合 149"/>
                <wp:cNvGraphicFramePr/>
                <a:graphic xmlns:a="http://schemas.openxmlformats.org/drawingml/2006/main">
                  <a:graphicData uri="http://schemas.microsoft.com/office/word/2010/wordprocessingGroup">
                    <wpg:wgp>
                      <wpg:cNvGrpSpPr/>
                      <wpg:grpSpPr>
                        <a:xfrm>
                          <a:off x="0" y="0"/>
                          <a:ext cx="266700" cy="495300"/>
                          <a:chOff x="7117" y="6764"/>
                          <a:chExt cx="420" cy="780"/>
                        </a:xfrm>
                      </wpg:grpSpPr>
                      <wps:wsp>
                        <wps:cNvPr id="80" name="任意多边形 150"/>
                        <wps:cNvSpPr/>
                        <wps:spPr>
                          <a:xfrm>
                            <a:off x="7117" y="6764"/>
                            <a:ext cx="120" cy="780"/>
                          </a:xfrm>
                          <a:custGeom>
                            <a:avLst/>
                            <a:gdLst/>
                            <a:ahLst/>
                            <a:cxnLst/>
                            <a:pathLst>
                              <a:path w="120" h="780">
                                <a:moveTo>
                                  <a:pt x="68" y="690"/>
                                </a:moveTo>
                                <a:lnTo>
                                  <a:pt x="53" y="690"/>
                                </a:lnTo>
                                <a:lnTo>
                                  <a:pt x="53" y="0"/>
                                </a:lnTo>
                                <a:lnTo>
                                  <a:pt x="68" y="0"/>
                                </a:lnTo>
                                <a:lnTo>
                                  <a:pt x="68" y="690"/>
                                </a:lnTo>
                                <a:close/>
                                <a:moveTo>
                                  <a:pt x="60" y="780"/>
                                </a:moveTo>
                                <a:lnTo>
                                  <a:pt x="0" y="660"/>
                                </a:lnTo>
                                <a:lnTo>
                                  <a:pt x="53" y="660"/>
                                </a:lnTo>
                                <a:lnTo>
                                  <a:pt x="53" y="690"/>
                                </a:lnTo>
                                <a:lnTo>
                                  <a:pt x="105" y="690"/>
                                </a:lnTo>
                                <a:lnTo>
                                  <a:pt x="60" y="780"/>
                                </a:lnTo>
                                <a:close/>
                                <a:moveTo>
                                  <a:pt x="105" y="690"/>
                                </a:moveTo>
                                <a:lnTo>
                                  <a:pt x="68" y="690"/>
                                </a:lnTo>
                                <a:lnTo>
                                  <a:pt x="68" y="660"/>
                                </a:lnTo>
                                <a:lnTo>
                                  <a:pt x="120" y="660"/>
                                </a:lnTo>
                                <a:lnTo>
                                  <a:pt x="105" y="690"/>
                                </a:lnTo>
                                <a:close/>
                              </a:path>
                            </a:pathLst>
                          </a:custGeom>
                          <a:solidFill>
                            <a:srgbClr val="000000"/>
                          </a:solidFill>
                          <a:ln>
                            <a:noFill/>
                          </a:ln>
                        </wps:spPr>
                        <wps:bodyPr upright="1"/>
                      </wps:wsp>
                      <pic:pic xmlns:pic="http://schemas.openxmlformats.org/drawingml/2006/picture">
                        <pic:nvPicPr>
                          <pic:cNvPr id="81" name="图片 151"/>
                          <pic:cNvPicPr>
                            <a:picLocks noChangeAspect="1"/>
                          </pic:cNvPicPr>
                        </pic:nvPicPr>
                        <pic:blipFill>
                          <a:blip r:embed="rId75"/>
                          <a:stretch>
                            <a:fillRect/>
                          </a:stretch>
                        </pic:blipFill>
                        <pic:spPr>
                          <a:xfrm>
                            <a:off x="7177" y="7172"/>
                            <a:ext cx="360" cy="120"/>
                          </a:xfrm>
                          <a:prstGeom prst="rect">
                            <a:avLst/>
                          </a:prstGeom>
                          <a:noFill/>
                          <a:ln>
                            <a:noFill/>
                          </a:ln>
                        </pic:spPr>
                      </pic:pic>
                    </wpg:wgp>
                  </a:graphicData>
                </a:graphic>
              </wp:anchor>
            </w:drawing>
          </mc:Choice>
          <mc:Fallback>
            <w:pict>
              <v:group id="组合 149" o:spid="_x0000_s1026" o:spt="203" style="position:absolute;left:0pt;margin-left:355.85pt;margin-top:338.2pt;height:39pt;width:21pt;mso-position-horizontal-relative:page;mso-position-vertical-relative:page;z-index:-289069056;mso-width-relative:page;mso-height-relative:page;" coordorigin="7117,6764" coordsize="420,780" o:gfxdata="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">
                <o:lock v:ext="edit" aspectratio="f"/>
                <v:shape id="任意多边形 150" o:spid="_x0000_s1026" o:spt="100" style="position:absolute;left:7117;top:6764;height:780;width:120;" fillcolor="#000000" filled="t" stroked="f" coordsize="120,780" o:gfxdata="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7GMuugAAANsA&#10;AAAPAAAAAAAAAAEAIAAAACIAAABkcnMvZG93bnJldi54bWxQSwECFAAUAAAACACHTuJAMy8FnjsA&#10;AAA5AAAAEAAAAAAAAAABACAAAAAJAQAAZHJzL3NoYXBleG1sLnhtbFBLBQYAAAAABgAGAFsBAACz&#10;AwAAAAA=&#10;" path="m68,690l53,690,53,0,68,0,68,690xm60,780l0,660,53,660,53,690,105,690,60,780xm105,690l68,690,68,660,120,660,105,690xe">
                  <v:fill on="t" focussize="0,0"/>
                  <v:stroke on="f"/>
                  <v:imagedata o:title=""/>
                  <o:lock v:ext="edit" aspectratio="f"/>
                </v:shape>
                <v:shape id="图片 151" o:spid="_x0000_s1026" o:spt="75" alt="" type="#_x0000_t75" style="position:absolute;left:7177;top:7172;height:120;width:360;" filled="f" o:preferrelative="t" stroked="f" coordsize="21600,21600" o:gfxdata="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SlKavQAA&#10;ANsAAAAPAAAAAAAAAAEAIAAAACIAAABkcnMvZG93bnJldi54bWxQSwECFAAUAAAACACHTuJAMy8F&#10;njsAAAA5AAAAEAAAAAAAAAABACAAAAAMAQAAZHJzL3NoYXBleG1sLnhtbFBLBQYAAAAABgAGAFsB&#10;AAC2AwAAAAA=&#10;">
                  <v:fill on="f" focussize="0,0"/>
                  <v:stroke on="f"/>
                  <v:imagedata r:id="rId75" o:title=""/>
                  <o:lock v:ext="edit" aspectratio="t"/>
                </v:shape>
              </v:group>
            </w:pict>
          </mc:Fallback>
        </mc:AlternateContent>
      </w:r>
      <w:r>
        <mc:AlternateContent>
          <mc:Choice Requires="wpg">
            <w:drawing>
              <wp:anchor distT="0" distB="0" distL="114300" distR="114300" simplePos="0" relativeHeight="214248448" behindDoc="1" locked="0" layoutInCell="1" allowOverlap="1">
                <wp:simplePos x="0" y="0"/>
                <wp:positionH relativeFrom="page">
                  <wp:posOffset>4176395</wp:posOffset>
                </wp:positionH>
                <wp:positionV relativeFrom="page">
                  <wp:posOffset>4988560</wp:posOffset>
                </wp:positionV>
                <wp:extent cx="762000" cy="495300"/>
                <wp:effectExtent l="0" t="0" r="0" b="0"/>
                <wp:wrapNone/>
                <wp:docPr id="86" name="组合 152"/>
                <wp:cNvGraphicFramePr/>
                <a:graphic xmlns:a="http://schemas.openxmlformats.org/drawingml/2006/main">
                  <a:graphicData uri="http://schemas.microsoft.com/office/word/2010/wordprocessingGroup">
                    <wpg:wgp>
                      <wpg:cNvGrpSpPr/>
                      <wpg:grpSpPr>
                        <a:xfrm>
                          <a:off x="0" y="0"/>
                          <a:ext cx="762000" cy="495300"/>
                          <a:chOff x="6577" y="7856"/>
                          <a:chExt cx="1200" cy="780"/>
                        </a:xfrm>
                      </wpg:grpSpPr>
                      <wps:wsp>
                        <wps:cNvPr id="83" name="任意多边形 153"/>
                        <wps:cNvSpPr/>
                        <wps:spPr>
                          <a:xfrm>
                            <a:off x="6637" y="7856"/>
                            <a:ext cx="1080" cy="468"/>
                          </a:xfrm>
                          <a:custGeom>
                            <a:avLst/>
                            <a:gdLst/>
                            <a:ahLst/>
                            <a:cxnLst/>
                            <a:pathLst>
                              <a:path w="1080" h="468">
                                <a:moveTo>
                                  <a:pt x="540" y="0"/>
                                </a:moveTo>
                                <a:lnTo>
                                  <a:pt x="540" y="468"/>
                                </a:lnTo>
                                <a:moveTo>
                                  <a:pt x="0" y="468"/>
                                </a:moveTo>
                                <a:lnTo>
                                  <a:pt x="1080" y="468"/>
                                </a:lnTo>
                              </a:path>
                            </a:pathLst>
                          </a:custGeom>
                          <a:noFill/>
                          <a:ln w="9525" cap="flat" cmpd="sng">
                            <a:solidFill>
                              <a:srgbClr val="000000"/>
                            </a:solidFill>
                            <a:prstDash val="solid"/>
                            <a:headEnd type="none" w="med" len="med"/>
                            <a:tailEnd type="none" w="med" len="med"/>
                          </a:ln>
                        </wps:spPr>
                        <wps:bodyPr upright="1"/>
                      </wps:wsp>
                      <pic:pic xmlns:pic="http://schemas.openxmlformats.org/drawingml/2006/picture">
                        <pic:nvPicPr>
                          <pic:cNvPr id="84" name="图片 154"/>
                          <pic:cNvPicPr>
                            <a:picLocks noChangeAspect="1"/>
                          </pic:cNvPicPr>
                        </pic:nvPicPr>
                        <pic:blipFill>
                          <a:blip r:embed="rId76"/>
                          <a:stretch>
                            <a:fillRect/>
                          </a:stretch>
                        </pic:blipFill>
                        <pic:spPr>
                          <a:xfrm>
                            <a:off x="6577" y="8324"/>
                            <a:ext cx="120" cy="312"/>
                          </a:xfrm>
                          <a:prstGeom prst="rect">
                            <a:avLst/>
                          </a:prstGeom>
                          <a:noFill/>
                          <a:ln>
                            <a:noFill/>
                          </a:ln>
                        </pic:spPr>
                      </pic:pic>
                      <pic:pic xmlns:pic="http://schemas.openxmlformats.org/drawingml/2006/picture">
                        <pic:nvPicPr>
                          <pic:cNvPr id="85" name="图片 155"/>
                          <pic:cNvPicPr>
                            <a:picLocks noChangeAspect="1"/>
                          </pic:cNvPicPr>
                        </pic:nvPicPr>
                        <pic:blipFill>
                          <a:blip r:embed="rId76"/>
                          <a:stretch>
                            <a:fillRect/>
                          </a:stretch>
                        </pic:blipFill>
                        <pic:spPr>
                          <a:xfrm>
                            <a:off x="7657" y="8324"/>
                            <a:ext cx="120" cy="312"/>
                          </a:xfrm>
                          <a:prstGeom prst="rect">
                            <a:avLst/>
                          </a:prstGeom>
                          <a:noFill/>
                          <a:ln>
                            <a:noFill/>
                          </a:ln>
                        </pic:spPr>
                      </pic:pic>
                    </wpg:wgp>
                  </a:graphicData>
                </a:graphic>
              </wp:anchor>
            </w:drawing>
          </mc:Choice>
          <mc:Fallback>
            <w:pict>
              <v:group id="组合 152" o:spid="_x0000_s1026" o:spt="203" style="position:absolute;left:0pt;margin-left:328.85pt;margin-top:392.8pt;height:39pt;width:60pt;mso-position-horizontal-relative:page;mso-position-vertical-relative:page;z-index:-289068032;mso-width-relative:page;mso-height-relative:page;" coordorigin="6577,7856" coordsize="1200,780" o:gfxdata="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">
                <o:lock v:ext="edit" aspectratio="f"/>
                <v:shape id="任意多边形 153" o:spid="_x0000_s1026" o:spt="100" style="position:absolute;left:6637;top:7856;height:468;width:1080;" filled="f" stroked="t" coordsize="1080,468" o:gfxdata="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q6hb4A&#10;AADbAAAADwAAAAAAAAABACAAAAAiAAAAZHJzL2Rvd25yZXYueG1sUEsBAhQAFAAAAAgAh07iQDMv&#10;BZ47AAAAOQAAABAAAAAAAAAAAQAgAAAADQEAAGRycy9zaGFwZXhtbC54bWxQSwUGAAAAAAYABgBb&#10;AQAAtwMAAAAA&#10;" path="m540,0l540,468m0,468l1080,468e">
                  <v:fill on="f" focussize="0,0"/>
                  <v:stroke color="#000000" joinstyle="round"/>
                  <v:imagedata o:title=""/>
                  <o:lock v:ext="edit" aspectratio="f"/>
                </v:shape>
                <v:shape id="图片 154" o:spid="_x0000_s1026" o:spt="75" alt="" type="#_x0000_t75" style="position:absolute;left:6577;top:8324;height:312;width:120;" filled="f" o:preferrelative="t" stroked="f" coordsize="21600,21600" o:gfxdata="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Y0xi8AAAA&#10;2wAAAA8AAAAAAAAAAQAgAAAAIgAAAGRycy9kb3ducmV2LnhtbFBLAQIUABQAAAAIAIdO4kAzLwWe&#10;OwAAADkAAAAQAAAAAAAAAAEAIAAAAAsBAABkcnMvc2hhcGV4bWwueG1sUEsFBgAAAAAGAAYAWwEA&#10;ALUDAAAAAA==&#10;">
                  <v:fill on="f" focussize="0,0"/>
                  <v:stroke on="f"/>
                  <v:imagedata r:id="rId76" o:title=""/>
                  <o:lock v:ext="edit" aspectratio="t"/>
                </v:shape>
                <v:shape id="图片 155" o:spid="_x0000_s1026" o:spt="75" alt="" type="#_x0000_t75" style="position:absolute;left:7657;top:8324;height:312;width:120;" filled="f" o:preferrelative="t" stroked="f" coordsize="21600,21600" o:gfxdata="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UdoO8AAAA&#10;2wAAAA8AAAAAAAAAAQAgAAAAIgAAAGRycy9kb3ducmV2LnhtbFBLAQIUABQAAAAIAIdO4kAzLwWe&#10;OwAAADkAAAAQAAAAAAAAAAEAIAAAAAsBAABkcnMvc2hhcGV4bWwueG1sUEsFBgAAAAAGAAYAWwEA&#10;ALUDAAAAAA==&#10;">
                  <v:fill on="f" focussize="0,0"/>
                  <v:stroke on="f"/>
                  <v:imagedata r:id="rId76" o:title=""/>
                  <o:lock v:ext="edit" aspectratio="t"/>
                </v:shape>
              </v:group>
            </w:pict>
          </mc:Fallback>
        </mc:AlternateContent>
      </w:r>
    </w:p>
    <w:p>
      <w:pPr>
        <w:pStyle w:val="6"/>
        <w:rPr>
          <w:sz w:val="20"/>
        </w:rPr>
      </w:pPr>
    </w:p>
    <w:p>
      <w:pPr>
        <w:pStyle w:val="6"/>
        <w:spacing w:before="8"/>
        <w:rPr>
          <w:sz w:val="29"/>
        </w:rPr>
      </w:pPr>
    </w:p>
    <w:p>
      <w:pPr>
        <w:pStyle w:val="6"/>
        <w:tabs>
          <w:tab w:val="left" w:pos="3952"/>
        </w:tabs>
        <w:spacing w:before="67"/>
        <w:ind w:left="2136"/>
      </w:pPr>
      <w:r>
        <mc:AlternateContent>
          <mc:Choice Requires="wps">
            <w:drawing>
              <wp:anchor distT="0" distB="0" distL="114300" distR="114300" simplePos="0" relativeHeight="214239232" behindDoc="1" locked="0" layoutInCell="1" allowOverlap="1">
                <wp:simplePos x="0" y="0"/>
                <wp:positionH relativeFrom="page">
                  <wp:posOffset>3376295</wp:posOffset>
                </wp:positionH>
                <wp:positionV relativeFrom="paragraph">
                  <wp:posOffset>930275</wp:posOffset>
                </wp:positionV>
                <wp:extent cx="76200" cy="393700"/>
                <wp:effectExtent l="0" t="0" r="0" b="6350"/>
                <wp:wrapNone/>
                <wp:docPr id="70" name="任意多边形 156"/>
                <wp:cNvGraphicFramePr/>
                <a:graphic xmlns:a="http://schemas.openxmlformats.org/drawingml/2006/main">
                  <a:graphicData uri="http://schemas.microsoft.com/office/word/2010/wordprocessingShape">
                    <wps:wsp>
                      <wps:cNvSpPr/>
                      <wps:spPr>
                        <a:xfrm>
                          <a:off x="0" y="0"/>
                          <a:ext cx="76200" cy="393700"/>
                        </a:xfrm>
                        <a:custGeom>
                          <a:avLst/>
                          <a:gdLst/>
                          <a:ahLst/>
                          <a:cxnLst/>
                          <a:pathLst>
                            <a:path w="120" h="620">
                              <a:moveTo>
                                <a:pt x="68" y="530"/>
                              </a:moveTo>
                              <a:lnTo>
                                <a:pt x="53" y="530"/>
                              </a:lnTo>
                              <a:lnTo>
                                <a:pt x="53" y="0"/>
                              </a:lnTo>
                              <a:lnTo>
                                <a:pt x="68" y="0"/>
                              </a:lnTo>
                              <a:lnTo>
                                <a:pt x="68" y="530"/>
                              </a:lnTo>
                              <a:close/>
                              <a:moveTo>
                                <a:pt x="60" y="620"/>
                              </a:moveTo>
                              <a:lnTo>
                                <a:pt x="0" y="500"/>
                              </a:lnTo>
                              <a:lnTo>
                                <a:pt x="53" y="500"/>
                              </a:lnTo>
                              <a:lnTo>
                                <a:pt x="53" y="530"/>
                              </a:lnTo>
                              <a:lnTo>
                                <a:pt x="105" y="530"/>
                              </a:lnTo>
                              <a:lnTo>
                                <a:pt x="60" y="620"/>
                              </a:lnTo>
                              <a:close/>
                              <a:moveTo>
                                <a:pt x="105" y="530"/>
                              </a:moveTo>
                              <a:lnTo>
                                <a:pt x="68" y="530"/>
                              </a:lnTo>
                              <a:lnTo>
                                <a:pt x="68" y="500"/>
                              </a:lnTo>
                              <a:lnTo>
                                <a:pt x="120" y="500"/>
                              </a:lnTo>
                              <a:lnTo>
                                <a:pt x="105" y="530"/>
                              </a:lnTo>
                              <a:close/>
                            </a:path>
                          </a:pathLst>
                        </a:custGeom>
                        <a:solidFill>
                          <a:srgbClr val="000000"/>
                        </a:solidFill>
                        <a:ln>
                          <a:noFill/>
                        </a:ln>
                      </wps:spPr>
                      <wps:bodyPr upright="1"/>
                    </wps:wsp>
                  </a:graphicData>
                </a:graphic>
              </wp:anchor>
            </w:drawing>
          </mc:Choice>
          <mc:Fallback>
            <w:pict>
              <v:shape id="任意多边形 156" o:spid="_x0000_s1026" o:spt="100" style="position:absolute;left:0pt;margin-left:265.85pt;margin-top:73.25pt;height:31pt;width:6pt;mso-position-horizontal-relative:page;z-index:-289077248;mso-width-relative:page;mso-height-relative:page;" fillcolor="#000000" filled="t" stroked="f" coordsize="120,620" o:gfxdata="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dJGoj9oAAAALAQAADwAA&#10;AAAAAAABACAAAAAiAAAAZHJzL2Rvd25yZXYueG1sUEsBAhQAFAAAAAgAh07iQPfvIANNAgAA/wUA&#10;AA4AAAAAAAAAAQAgAAAAKQEAAGRycy9lMm9Eb2MueG1sUEsFBgAAAAAGAAYAWQEAAOgFAAAAAA==&#10;" path="m68,530l53,530,53,0,68,0,68,530xm60,620l0,500,53,500,53,530,105,530,60,620xm105,530l68,530,68,500,120,500,105,530xe">
                <v:fill on="t" focussize="0,0"/>
                <v:stroke on="f"/>
                <v:imagedata o:title=""/>
                <o:lock v:ext="edit" aspectratio="f"/>
              </v:shape>
            </w:pict>
          </mc:Fallback>
        </mc:AlternateContent>
      </w:r>
      <w:r>
        <mc:AlternateContent>
          <mc:Choice Requires="wps">
            <w:drawing>
              <wp:anchor distT="0" distB="0" distL="114300" distR="114300" simplePos="0" relativeHeight="214244352" behindDoc="1" locked="0" layoutInCell="1" allowOverlap="1">
                <wp:simplePos x="0" y="0"/>
                <wp:positionH relativeFrom="page">
                  <wp:posOffset>2385695</wp:posOffset>
                </wp:positionH>
                <wp:positionV relativeFrom="paragraph">
                  <wp:posOffset>99695</wp:posOffset>
                </wp:positionV>
                <wp:extent cx="800100" cy="76200"/>
                <wp:effectExtent l="0" t="0" r="0" b="0"/>
                <wp:wrapNone/>
                <wp:docPr id="78" name="任意多边形 157"/>
                <wp:cNvGraphicFramePr/>
                <a:graphic xmlns:a="http://schemas.openxmlformats.org/drawingml/2006/main">
                  <a:graphicData uri="http://schemas.microsoft.com/office/word/2010/wordprocessingShape">
                    <wps:wsp>
                      <wps:cNvSpPr/>
                      <wps:spPr>
                        <a:xfrm>
                          <a:off x="0" y="0"/>
                          <a:ext cx="800100" cy="76200"/>
                        </a:xfrm>
                        <a:custGeom>
                          <a:avLst/>
                          <a:gdLst/>
                          <a:ahLst/>
                          <a:cxnLst/>
                          <a:pathLst>
                            <a:path w="1260" h="120">
                              <a:moveTo>
                                <a:pt x="1140" y="120"/>
                              </a:moveTo>
                              <a:lnTo>
                                <a:pt x="1140" y="0"/>
                              </a:lnTo>
                              <a:lnTo>
                                <a:pt x="1245" y="52"/>
                              </a:lnTo>
                              <a:lnTo>
                                <a:pt x="1170" y="52"/>
                              </a:lnTo>
                              <a:lnTo>
                                <a:pt x="1170" y="67"/>
                              </a:lnTo>
                              <a:lnTo>
                                <a:pt x="1245" y="67"/>
                              </a:lnTo>
                              <a:lnTo>
                                <a:pt x="1140" y="120"/>
                              </a:lnTo>
                              <a:close/>
                              <a:moveTo>
                                <a:pt x="1140" y="67"/>
                              </a:moveTo>
                              <a:lnTo>
                                <a:pt x="0" y="67"/>
                              </a:lnTo>
                              <a:lnTo>
                                <a:pt x="0" y="52"/>
                              </a:lnTo>
                              <a:lnTo>
                                <a:pt x="1140" y="52"/>
                              </a:lnTo>
                              <a:lnTo>
                                <a:pt x="1140" y="67"/>
                              </a:lnTo>
                              <a:close/>
                              <a:moveTo>
                                <a:pt x="1245" y="67"/>
                              </a:moveTo>
                              <a:lnTo>
                                <a:pt x="1170" y="67"/>
                              </a:lnTo>
                              <a:lnTo>
                                <a:pt x="1170" y="52"/>
                              </a:lnTo>
                              <a:lnTo>
                                <a:pt x="1245" y="52"/>
                              </a:lnTo>
                              <a:lnTo>
                                <a:pt x="1260" y="60"/>
                              </a:lnTo>
                              <a:lnTo>
                                <a:pt x="1245" y="67"/>
                              </a:lnTo>
                              <a:close/>
                            </a:path>
                          </a:pathLst>
                        </a:custGeom>
                        <a:solidFill>
                          <a:srgbClr val="000000"/>
                        </a:solidFill>
                        <a:ln>
                          <a:noFill/>
                        </a:ln>
                      </wps:spPr>
                      <wps:bodyPr upright="1"/>
                    </wps:wsp>
                  </a:graphicData>
                </a:graphic>
              </wp:anchor>
            </w:drawing>
          </mc:Choice>
          <mc:Fallback>
            <w:pict>
              <v:shape id="任意多边形 157" o:spid="_x0000_s1026" o:spt="100" style="position:absolute;left:0pt;margin-left:187.85pt;margin-top:7.85pt;height:6pt;width:63pt;mso-position-horizontal-relative:page;z-index:-289072128;mso-width-relative:page;mso-height-relative:page;" fillcolor="#000000" filled="t" stroked="f" coordsize="1260,120" o:gfxdata="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P/3ifdkAAAAJAQAADwAAAAAAAAABACAAAAAiAAAAZHJzL2Rvd25yZXYueG1sUEsBAhQAFAAAAAgA&#10;h07iQIuCZlNdAgAAXAYAAA4AAAAAAAAAAQAgAAAAKAEAAGRycy9lMm9Eb2MueG1sUEsFBgAAAAAG&#10;AAYAWQEAAPcFAAAAAA==&#10;" path="m1140,120l1140,0,1245,52,1170,52,1170,67,1245,67,1140,120xm1140,67l0,67,0,52,1140,52,1140,67xm1245,67l1170,67,1170,52,1245,52,1260,60,1245,67xe">
                <v:fill on="t" focussize="0,0"/>
                <v:stroke on="f"/>
                <v:imagedata o:title=""/>
                <o:lock v:ext="edit" aspectratio="f"/>
              </v:shape>
            </w:pict>
          </mc:Fallback>
        </mc:AlternateContent>
      </w:r>
      <w:r>
        <w:t>污水</w:t>
      </w:r>
      <w:r>
        <w:tab/>
      </w:r>
      <w:r>
        <w:t>格栅</w:t>
      </w:r>
    </w:p>
    <w:p>
      <w:pPr>
        <w:pStyle w:val="6"/>
        <w:ind w:left="1469"/>
        <w:rPr>
          <w:sz w:val="20"/>
        </w:rPr>
      </w:pPr>
      <w:r>
        <w:rPr>
          <w:sz w:val="20"/>
        </w:rPr>
        <mc:AlternateContent>
          <mc:Choice Requires="wpg">
            <w:drawing>
              <wp:inline distT="0" distB="0" distL="114300" distR="114300">
                <wp:extent cx="4124325" cy="5750560"/>
                <wp:effectExtent l="0" t="0" r="9525" b="2540"/>
                <wp:docPr id="226" name="组合 158"/>
                <wp:cNvGraphicFramePr/>
                <a:graphic xmlns:a="http://schemas.openxmlformats.org/drawingml/2006/main">
                  <a:graphicData uri="http://schemas.microsoft.com/office/word/2010/wordprocessingGroup">
                    <wpg:wgp>
                      <wpg:cNvGrpSpPr/>
                      <wpg:grpSpPr>
                        <a:xfrm>
                          <a:off x="0" y="0"/>
                          <a:ext cx="4124325" cy="5750560"/>
                          <a:chOff x="0" y="0"/>
                          <a:chExt cx="6495" cy="9056"/>
                        </a:xfrm>
                      </wpg:grpSpPr>
                      <wps:wsp>
                        <wps:cNvPr id="182" name="任意多边形 159"/>
                        <wps:cNvSpPr/>
                        <wps:spPr>
                          <a:xfrm>
                            <a:off x="2647" y="0"/>
                            <a:ext cx="120" cy="624"/>
                          </a:xfrm>
                          <a:custGeom>
                            <a:avLst/>
                            <a:gdLst/>
                            <a:ahLst/>
                            <a:cxnLst/>
                            <a:pathLst>
                              <a:path w="120" h="624">
                                <a:moveTo>
                                  <a:pt x="67" y="534"/>
                                </a:moveTo>
                                <a:lnTo>
                                  <a:pt x="52" y="534"/>
                                </a:lnTo>
                                <a:lnTo>
                                  <a:pt x="52" y="0"/>
                                </a:lnTo>
                                <a:lnTo>
                                  <a:pt x="67" y="0"/>
                                </a:lnTo>
                                <a:lnTo>
                                  <a:pt x="67" y="534"/>
                                </a:lnTo>
                                <a:close/>
                                <a:moveTo>
                                  <a:pt x="60" y="624"/>
                                </a:moveTo>
                                <a:lnTo>
                                  <a:pt x="0" y="504"/>
                                </a:lnTo>
                                <a:lnTo>
                                  <a:pt x="52" y="504"/>
                                </a:lnTo>
                                <a:lnTo>
                                  <a:pt x="52" y="534"/>
                                </a:lnTo>
                                <a:lnTo>
                                  <a:pt x="105" y="534"/>
                                </a:lnTo>
                                <a:lnTo>
                                  <a:pt x="60" y="624"/>
                                </a:lnTo>
                                <a:close/>
                                <a:moveTo>
                                  <a:pt x="105" y="534"/>
                                </a:moveTo>
                                <a:lnTo>
                                  <a:pt x="67" y="534"/>
                                </a:lnTo>
                                <a:lnTo>
                                  <a:pt x="67" y="504"/>
                                </a:lnTo>
                                <a:lnTo>
                                  <a:pt x="120" y="504"/>
                                </a:lnTo>
                                <a:lnTo>
                                  <a:pt x="105" y="534"/>
                                </a:lnTo>
                                <a:close/>
                              </a:path>
                            </a:pathLst>
                          </a:custGeom>
                          <a:solidFill>
                            <a:srgbClr val="000000"/>
                          </a:solidFill>
                          <a:ln>
                            <a:noFill/>
                          </a:ln>
                        </wps:spPr>
                        <wps:bodyPr upright="1"/>
                      </wps:wsp>
                      <wps:wsp>
                        <wps:cNvPr id="183" name="任意多边形 160"/>
                        <wps:cNvSpPr/>
                        <wps:spPr>
                          <a:xfrm>
                            <a:off x="2647" y="4992"/>
                            <a:ext cx="120" cy="624"/>
                          </a:xfrm>
                          <a:custGeom>
                            <a:avLst/>
                            <a:gdLst/>
                            <a:ahLst/>
                            <a:cxnLst/>
                            <a:pathLst>
                              <a:path w="120" h="624">
                                <a:moveTo>
                                  <a:pt x="67" y="534"/>
                                </a:moveTo>
                                <a:lnTo>
                                  <a:pt x="52" y="534"/>
                                </a:lnTo>
                                <a:lnTo>
                                  <a:pt x="52" y="0"/>
                                </a:lnTo>
                                <a:lnTo>
                                  <a:pt x="67" y="0"/>
                                </a:lnTo>
                                <a:lnTo>
                                  <a:pt x="67" y="534"/>
                                </a:lnTo>
                                <a:close/>
                                <a:moveTo>
                                  <a:pt x="60" y="624"/>
                                </a:moveTo>
                                <a:lnTo>
                                  <a:pt x="0" y="504"/>
                                </a:lnTo>
                                <a:lnTo>
                                  <a:pt x="52" y="504"/>
                                </a:lnTo>
                                <a:lnTo>
                                  <a:pt x="52" y="534"/>
                                </a:lnTo>
                                <a:lnTo>
                                  <a:pt x="105" y="534"/>
                                </a:lnTo>
                                <a:lnTo>
                                  <a:pt x="60" y="624"/>
                                </a:lnTo>
                                <a:close/>
                                <a:moveTo>
                                  <a:pt x="105" y="534"/>
                                </a:moveTo>
                                <a:lnTo>
                                  <a:pt x="67" y="534"/>
                                </a:lnTo>
                                <a:lnTo>
                                  <a:pt x="67" y="504"/>
                                </a:lnTo>
                                <a:lnTo>
                                  <a:pt x="120" y="504"/>
                                </a:lnTo>
                                <a:lnTo>
                                  <a:pt x="105" y="534"/>
                                </a:lnTo>
                                <a:close/>
                              </a:path>
                            </a:pathLst>
                          </a:custGeom>
                          <a:solidFill>
                            <a:srgbClr val="000000"/>
                          </a:solidFill>
                          <a:ln>
                            <a:noFill/>
                          </a:ln>
                        </wps:spPr>
                        <wps:bodyPr upright="1"/>
                      </wps:wsp>
                      <wps:wsp>
                        <wps:cNvPr id="184" name="直线 161"/>
                        <wps:cNvSpPr/>
                        <wps:spPr>
                          <a:xfrm>
                            <a:off x="1808" y="4992"/>
                            <a:ext cx="1800" cy="0"/>
                          </a:xfrm>
                          <a:prstGeom prst="line">
                            <a:avLst/>
                          </a:prstGeom>
                          <a:ln w="9525" cap="flat" cmpd="sng">
                            <a:solidFill>
                              <a:srgbClr val="000000"/>
                            </a:solidFill>
                            <a:prstDash val="solid"/>
                            <a:headEnd type="none" w="med" len="med"/>
                            <a:tailEnd type="none" w="med" len="med"/>
                          </a:ln>
                        </wps:spPr>
                        <wps:bodyPr upright="1"/>
                      </wps:wsp>
                      <pic:pic xmlns:pic="http://schemas.openxmlformats.org/drawingml/2006/picture">
                        <pic:nvPicPr>
                          <pic:cNvPr id="185" name="图片 162"/>
                          <pic:cNvPicPr>
                            <a:picLocks noChangeAspect="1"/>
                          </pic:cNvPicPr>
                        </pic:nvPicPr>
                        <pic:blipFill>
                          <a:blip r:embed="rId74"/>
                          <a:stretch>
                            <a:fillRect/>
                          </a:stretch>
                        </pic:blipFill>
                        <pic:spPr>
                          <a:xfrm>
                            <a:off x="3547" y="4992"/>
                            <a:ext cx="120" cy="312"/>
                          </a:xfrm>
                          <a:prstGeom prst="rect">
                            <a:avLst/>
                          </a:prstGeom>
                          <a:noFill/>
                          <a:ln>
                            <a:noFill/>
                          </a:ln>
                        </pic:spPr>
                      </pic:pic>
                      <wps:wsp>
                        <wps:cNvPr id="186" name="任意多边形 163"/>
                        <wps:cNvSpPr/>
                        <wps:spPr>
                          <a:xfrm>
                            <a:off x="3547" y="5460"/>
                            <a:ext cx="120" cy="780"/>
                          </a:xfrm>
                          <a:custGeom>
                            <a:avLst/>
                            <a:gdLst/>
                            <a:ahLst/>
                            <a:cxnLst/>
                            <a:pathLst>
                              <a:path w="120" h="780">
                                <a:moveTo>
                                  <a:pt x="67" y="690"/>
                                </a:moveTo>
                                <a:lnTo>
                                  <a:pt x="52" y="690"/>
                                </a:lnTo>
                                <a:lnTo>
                                  <a:pt x="52" y="0"/>
                                </a:lnTo>
                                <a:lnTo>
                                  <a:pt x="67" y="0"/>
                                </a:lnTo>
                                <a:lnTo>
                                  <a:pt x="67" y="690"/>
                                </a:lnTo>
                                <a:close/>
                                <a:moveTo>
                                  <a:pt x="60" y="780"/>
                                </a:moveTo>
                                <a:lnTo>
                                  <a:pt x="0" y="660"/>
                                </a:lnTo>
                                <a:lnTo>
                                  <a:pt x="52" y="660"/>
                                </a:lnTo>
                                <a:lnTo>
                                  <a:pt x="52" y="690"/>
                                </a:lnTo>
                                <a:lnTo>
                                  <a:pt x="105" y="690"/>
                                </a:lnTo>
                                <a:lnTo>
                                  <a:pt x="60" y="780"/>
                                </a:lnTo>
                                <a:close/>
                                <a:moveTo>
                                  <a:pt x="105" y="690"/>
                                </a:moveTo>
                                <a:lnTo>
                                  <a:pt x="67" y="690"/>
                                </a:lnTo>
                                <a:lnTo>
                                  <a:pt x="67" y="660"/>
                                </a:lnTo>
                                <a:lnTo>
                                  <a:pt x="120" y="660"/>
                                </a:lnTo>
                                <a:lnTo>
                                  <a:pt x="105" y="690"/>
                                </a:lnTo>
                                <a:close/>
                              </a:path>
                            </a:pathLst>
                          </a:custGeom>
                          <a:solidFill>
                            <a:srgbClr val="000000"/>
                          </a:solidFill>
                          <a:ln>
                            <a:noFill/>
                          </a:ln>
                        </wps:spPr>
                        <wps:bodyPr upright="1"/>
                      </wps:wsp>
                      <pic:pic xmlns:pic="http://schemas.openxmlformats.org/drawingml/2006/picture">
                        <pic:nvPicPr>
                          <pic:cNvPr id="187" name="图片 164"/>
                          <pic:cNvPicPr>
                            <a:picLocks noChangeAspect="1"/>
                          </pic:cNvPicPr>
                        </pic:nvPicPr>
                        <pic:blipFill>
                          <a:blip r:embed="rId77"/>
                          <a:stretch>
                            <a:fillRect/>
                          </a:stretch>
                        </pic:blipFill>
                        <pic:spPr>
                          <a:xfrm>
                            <a:off x="1747" y="4992"/>
                            <a:ext cx="120" cy="313"/>
                          </a:xfrm>
                          <a:prstGeom prst="rect">
                            <a:avLst/>
                          </a:prstGeom>
                          <a:noFill/>
                          <a:ln>
                            <a:noFill/>
                          </a:ln>
                        </pic:spPr>
                      </pic:pic>
                      <pic:pic xmlns:pic="http://schemas.openxmlformats.org/drawingml/2006/picture">
                        <pic:nvPicPr>
                          <pic:cNvPr id="188" name="图片 165"/>
                          <pic:cNvPicPr>
                            <a:picLocks noChangeAspect="1"/>
                          </pic:cNvPicPr>
                        </pic:nvPicPr>
                        <pic:blipFill>
                          <a:blip r:embed="rId74"/>
                          <a:stretch>
                            <a:fillRect/>
                          </a:stretch>
                        </pic:blipFill>
                        <pic:spPr>
                          <a:xfrm>
                            <a:off x="4987" y="5928"/>
                            <a:ext cx="120" cy="312"/>
                          </a:xfrm>
                          <a:prstGeom prst="rect">
                            <a:avLst/>
                          </a:prstGeom>
                          <a:noFill/>
                          <a:ln>
                            <a:noFill/>
                          </a:ln>
                        </pic:spPr>
                      </pic:pic>
                      <wps:wsp>
                        <wps:cNvPr id="189" name="直线 166"/>
                        <wps:cNvSpPr/>
                        <wps:spPr>
                          <a:xfrm>
                            <a:off x="3608" y="6240"/>
                            <a:ext cx="2880" cy="0"/>
                          </a:xfrm>
                          <a:prstGeom prst="line">
                            <a:avLst/>
                          </a:prstGeom>
                          <a:ln w="9525" cap="flat" cmpd="sng">
                            <a:solidFill>
                              <a:srgbClr val="000000"/>
                            </a:solidFill>
                            <a:prstDash val="solid"/>
                            <a:headEnd type="none" w="med" len="med"/>
                            <a:tailEnd type="none" w="med" len="med"/>
                          </a:ln>
                        </wps:spPr>
                        <wps:bodyPr upright="1"/>
                      </wps:wsp>
                      <wps:wsp>
                        <wps:cNvPr id="190" name="任意多边形 167"/>
                        <wps:cNvSpPr/>
                        <wps:spPr>
                          <a:xfrm>
                            <a:off x="2647" y="6084"/>
                            <a:ext cx="120" cy="624"/>
                          </a:xfrm>
                          <a:custGeom>
                            <a:avLst/>
                            <a:gdLst/>
                            <a:ahLst/>
                            <a:cxnLst/>
                            <a:pathLst>
                              <a:path w="120" h="624">
                                <a:moveTo>
                                  <a:pt x="67" y="534"/>
                                </a:moveTo>
                                <a:lnTo>
                                  <a:pt x="52" y="534"/>
                                </a:lnTo>
                                <a:lnTo>
                                  <a:pt x="52" y="0"/>
                                </a:lnTo>
                                <a:lnTo>
                                  <a:pt x="67" y="0"/>
                                </a:lnTo>
                                <a:lnTo>
                                  <a:pt x="67" y="534"/>
                                </a:lnTo>
                                <a:close/>
                                <a:moveTo>
                                  <a:pt x="60" y="624"/>
                                </a:moveTo>
                                <a:lnTo>
                                  <a:pt x="0" y="504"/>
                                </a:lnTo>
                                <a:lnTo>
                                  <a:pt x="52" y="504"/>
                                </a:lnTo>
                                <a:lnTo>
                                  <a:pt x="52" y="534"/>
                                </a:lnTo>
                                <a:lnTo>
                                  <a:pt x="105" y="534"/>
                                </a:lnTo>
                                <a:lnTo>
                                  <a:pt x="60" y="624"/>
                                </a:lnTo>
                                <a:close/>
                                <a:moveTo>
                                  <a:pt x="105" y="534"/>
                                </a:moveTo>
                                <a:lnTo>
                                  <a:pt x="67" y="534"/>
                                </a:lnTo>
                                <a:lnTo>
                                  <a:pt x="67" y="504"/>
                                </a:lnTo>
                                <a:lnTo>
                                  <a:pt x="120" y="504"/>
                                </a:lnTo>
                                <a:lnTo>
                                  <a:pt x="105" y="534"/>
                                </a:lnTo>
                                <a:close/>
                              </a:path>
                            </a:pathLst>
                          </a:custGeom>
                          <a:solidFill>
                            <a:srgbClr val="000000"/>
                          </a:solidFill>
                          <a:ln>
                            <a:noFill/>
                          </a:ln>
                        </wps:spPr>
                        <wps:bodyPr upright="1"/>
                      </wps:wsp>
                      <wps:wsp>
                        <wps:cNvPr id="191" name="直线 168"/>
                        <wps:cNvSpPr/>
                        <wps:spPr>
                          <a:xfrm>
                            <a:off x="1808" y="6240"/>
                            <a:ext cx="900" cy="0"/>
                          </a:xfrm>
                          <a:prstGeom prst="line">
                            <a:avLst/>
                          </a:prstGeom>
                          <a:ln w="9525" cap="flat" cmpd="sng">
                            <a:solidFill>
                              <a:srgbClr val="000000"/>
                            </a:solidFill>
                            <a:prstDash val="solid"/>
                            <a:headEnd type="none" w="med" len="med"/>
                            <a:tailEnd type="none" w="med" len="med"/>
                          </a:ln>
                        </wps:spPr>
                        <wps:bodyPr upright="1"/>
                      </wps:wsp>
                      <wps:wsp>
                        <wps:cNvPr id="192" name="任意多边形 169"/>
                        <wps:cNvSpPr/>
                        <wps:spPr>
                          <a:xfrm>
                            <a:off x="1747" y="6240"/>
                            <a:ext cx="120" cy="468"/>
                          </a:xfrm>
                          <a:custGeom>
                            <a:avLst/>
                            <a:gdLst/>
                            <a:ahLst/>
                            <a:cxnLst/>
                            <a:pathLst>
                              <a:path w="120" h="468">
                                <a:moveTo>
                                  <a:pt x="67" y="378"/>
                                </a:moveTo>
                                <a:lnTo>
                                  <a:pt x="52" y="378"/>
                                </a:lnTo>
                                <a:lnTo>
                                  <a:pt x="52" y="0"/>
                                </a:lnTo>
                                <a:lnTo>
                                  <a:pt x="67" y="0"/>
                                </a:lnTo>
                                <a:lnTo>
                                  <a:pt x="67" y="378"/>
                                </a:lnTo>
                                <a:close/>
                                <a:moveTo>
                                  <a:pt x="60" y="468"/>
                                </a:moveTo>
                                <a:lnTo>
                                  <a:pt x="0" y="348"/>
                                </a:lnTo>
                                <a:lnTo>
                                  <a:pt x="52" y="348"/>
                                </a:lnTo>
                                <a:lnTo>
                                  <a:pt x="52" y="378"/>
                                </a:lnTo>
                                <a:lnTo>
                                  <a:pt x="105" y="378"/>
                                </a:lnTo>
                                <a:lnTo>
                                  <a:pt x="60" y="468"/>
                                </a:lnTo>
                                <a:close/>
                                <a:moveTo>
                                  <a:pt x="105" y="378"/>
                                </a:moveTo>
                                <a:lnTo>
                                  <a:pt x="67" y="378"/>
                                </a:lnTo>
                                <a:lnTo>
                                  <a:pt x="67" y="348"/>
                                </a:lnTo>
                                <a:lnTo>
                                  <a:pt x="120" y="348"/>
                                </a:lnTo>
                                <a:lnTo>
                                  <a:pt x="105" y="378"/>
                                </a:lnTo>
                                <a:close/>
                              </a:path>
                            </a:pathLst>
                          </a:custGeom>
                          <a:solidFill>
                            <a:srgbClr val="000000"/>
                          </a:solidFill>
                          <a:ln>
                            <a:noFill/>
                          </a:ln>
                        </wps:spPr>
                        <wps:bodyPr upright="1"/>
                      </wps:wsp>
                      <wps:wsp>
                        <wps:cNvPr id="193" name="任意多边形 170"/>
                        <wps:cNvSpPr/>
                        <wps:spPr>
                          <a:xfrm>
                            <a:off x="2647" y="7020"/>
                            <a:ext cx="120" cy="624"/>
                          </a:xfrm>
                          <a:custGeom>
                            <a:avLst/>
                            <a:gdLst/>
                            <a:ahLst/>
                            <a:cxnLst/>
                            <a:pathLst>
                              <a:path w="120" h="624">
                                <a:moveTo>
                                  <a:pt x="67" y="534"/>
                                </a:moveTo>
                                <a:lnTo>
                                  <a:pt x="52" y="534"/>
                                </a:lnTo>
                                <a:lnTo>
                                  <a:pt x="52" y="0"/>
                                </a:lnTo>
                                <a:lnTo>
                                  <a:pt x="67" y="0"/>
                                </a:lnTo>
                                <a:lnTo>
                                  <a:pt x="67" y="534"/>
                                </a:lnTo>
                                <a:close/>
                                <a:moveTo>
                                  <a:pt x="60" y="624"/>
                                </a:moveTo>
                                <a:lnTo>
                                  <a:pt x="0" y="504"/>
                                </a:lnTo>
                                <a:lnTo>
                                  <a:pt x="52" y="504"/>
                                </a:lnTo>
                                <a:lnTo>
                                  <a:pt x="52" y="534"/>
                                </a:lnTo>
                                <a:lnTo>
                                  <a:pt x="105" y="534"/>
                                </a:lnTo>
                                <a:lnTo>
                                  <a:pt x="60" y="624"/>
                                </a:lnTo>
                                <a:close/>
                                <a:moveTo>
                                  <a:pt x="105" y="534"/>
                                </a:moveTo>
                                <a:lnTo>
                                  <a:pt x="67" y="534"/>
                                </a:lnTo>
                                <a:lnTo>
                                  <a:pt x="67" y="504"/>
                                </a:lnTo>
                                <a:lnTo>
                                  <a:pt x="120" y="504"/>
                                </a:lnTo>
                                <a:lnTo>
                                  <a:pt x="105" y="534"/>
                                </a:lnTo>
                                <a:close/>
                              </a:path>
                            </a:pathLst>
                          </a:custGeom>
                          <a:solidFill>
                            <a:srgbClr val="000000"/>
                          </a:solidFill>
                          <a:ln>
                            <a:noFill/>
                          </a:ln>
                        </wps:spPr>
                        <wps:bodyPr upright="1"/>
                      </wps:wsp>
                      <wps:wsp>
                        <wps:cNvPr id="194" name="任意多边形 171"/>
                        <wps:cNvSpPr/>
                        <wps:spPr>
                          <a:xfrm>
                            <a:off x="7" y="5244"/>
                            <a:ext cx="1260" cy="120"/>
                          </a:xfrm>
                          <a:custGeom>
                            <a:avLst/>
                            <a:gdLst/>
                            <a:ahLst/>
                            <a:cxnLst/>
                            <a:pathLst>
                              <a:path w="1260" h="120">
                                <a:moveTo>
                                  <a:pt x="1140" y="120"/>
                                </a:moveTo>
                                <a:lnTo>
                                  <a:pt x="1140" y="0"/>
                                </a:lnTo>
                                <a:lnTo>
                                  <a:pt x="1245" y="53"/>
                                </a:lnTo>
                                <a:lnTo>
                                  <a:pt x="1170" y="53"/>
                                </a:lnTo>
                                <a:lnTo>
                                  <a:pt x="1170" y="68"/>
                                </a:lnTo>
                                <a:lnTo>
                                  <a:pt x="1245" y="68"/>
                                </a:lnTo>
                                <a:lnTo>
                                  <a:pt x="1140" y="120"/>
                                </a:lnTo>
                                <a:close/>
                                <a:moveTo>
                                  <a:pt x="1140" y="68"/>
                                </a:moveTo>
                                <a:lnTo>
                                  <a:pt x="0" y="68"/>
                                </a:lnTo>
                                <a:lnTo>
                                  <a:pt x="0" y="53"/>
                                </a:lnTo>
                                <a:lnTo>
                                  <a:pt x="1140" y="53"/>
                                </a:lnTo>
                                <a:lnTo>
                                  <a:pt x="1140" y="68"/>
                                </a:lnTo>
                                <a:close/>
                                <a:moveTo>
                                  <a:pt x="1245" y="68"/>
                                </a:moveTo>
                                <a:lnTo>
                                  <a:pt x="1170" y="68"/>
                                </a:lnTo>
                                <a:lnTo>
                                  <a:pt x="1170" y="53"/>
                                </a:lnTo>
                                <a:lnTo>
                                  <a:pt x="1245" y="53"/>
                                </a:lnTo>
                                <a:lnTo>
                                  <a:pt x="1260" y="60"/>
                                </a:lnTo>
                                <a:lnTo>
                                  <a:pt x="1245" y="68"/>
                                </a:lnTo>
                                <a:close/>
                              </a:path>
                            </a:pathLst>
                          </a:custGeom>
                          <a:solidFill>
                            <a:srgbClr val="000000"/>
                          </a:solidFill>
                          <a:ln>
                            <a:noFill/>
                          </a:ln>
                        </wps:spPr>
                        <wps:bodyPr upright="1"/>
                      </wps:wsp>
                      <wps:wsp>
                        <wps:cNvPr id="195" name="直线 172"/>
                        <wps:cNvSpPr/>
                        <wps:spPr>
                          <a:xfrm>
                            <a:off x="8" y="5304"/>
                            <a:ext cx="0" cy="3432"/>
                          </a:xfrm>
                          <a:prstGeom prst="line">
                            <a:avLst/>
                          </a:prstGeom>
                          <a:ln w="9525" cap="flat" cmpd="sng">
                            <a:solidFill>
                              <a:srgbClr val="000000"/>
                            </a:solidFill>
                            <a:prstDash val="solid"/>
                            <a:headEnd type="none" w="med" len="med"/>
                            <a:tailEnd type="none" w="med" len="med"/>
                          </a:ln>
                        </wps:spPr>
                        <wps:bodyPr upright="1"/>
                      </wps:wsp>
                      <wps:wsp>
                        <wps:cNvPr id="196" name="直线 173"/>
                        <wps:cNvSpPr/>
                        <wps:spPr>
                          <a:xfrm>
                            <a:off x="548" y="7332"/>
                            <a:ext cx="3600" cy="0"/>
                          </a:xfrm>
                          <a:prstGeom prst="line">
                            <a:avLst/>
                          </a:prstGeom>
                          <a:ln w="9525" cap="flat" cmpd="sng">
                            <a:solidFill>
                              <a:srgbClr val="000000"/>
                            </a:solidFill>
                            <a:prstDash val="solid"/>
                            <a:headEnd type="none" w="med" len="med"/>
                            <a:tailEnd type="none" w="med" len="med"/>
                          </a:ln>
                        </wps:spPr>
                        <wps:bodyPr upright="1"/>
                      </wps:wsp>
                      <pic:pic xmlns:pic="http://schemas.openxmlformats.org/drawingml/2006/picture">
                        <pic:nvPicPr>
                          <pic:cNvPr id="197" name="图片 174"/>
                          <pic:cNvPicPr>
                            <a:picLocks noChangeAspect="1"/>
                          </pic:cNvPicPr>
                        </pic:nvPicPr>
                        <pic:blipFill>
                          <a:blip r:embed="rId77"/>
                          <a:stretch>
                            <a:fillRect/>
                          </a:stretch>
                        </pic:blipFill>
                        <pic:spPr>
                          <a:xfrm>
                            <a:off x="1567" y="7332"/>
                            <a:ext cx="120" cy="313"/>
                          </a:xfrm>
                          <a:prstGeom prst="rect">
                            <a:avLst/>
                          </a:prstGeom>
                          <a:noFill/>
                          <a:ln>
                            <a:noFill/>
                          </a:ln>
                        </pic:spPr>
                      </pic:pic>
                      <pic:pic xmlns:pic="http://schemas.openxmlformats.org/drawingml/2006/picture">
                        <pic:nvPicPr>
                          <pic:cNvPr id="198" name="图片 175"/>
                          <pic:cNvPicPr>
                            <a:picLocks noChangeAspect="1"/>
                          </pic:cNvPicPr>
                        </pic:nvPicPr>
                        <pic:blipFill>
                          <a:blip r:embed="rId77"/>
                          <a:stretch>
                            <a:fillRect/>
                          </a:stretch>
                        </pic:blipFill>
                        <pic:spPr>
                          <a:xfrm>
                            <a:off x="487" y="7332"/>
                            <a:ext cx="120" cy="313"/>
                          </a:xfrm>
                          <a:prstGeom prst="rect">
                            <a:avLst/>
                          </a:prstGeom>
                          <a:noFill/>
                          <a:ln>
                            <a:noFill/>
                          </a:ln>
                        </pic:spPr>
                      </pic:pic>
                      <wps:wsp>
                        <wps:cNvPr id="199" name="任意多边形 176"/>
                        <wps:cNvSpPr/>
                        <wps:spPr>
                          <a:xfrm>
                            <a:off x="1567" y="7956"/>
                            <a:ext cx="120" cy="780"/>
                          </a:xfrm>
                          <a:custGeom>
                            <a:avLst/>
                            <a:gdLst/>
                            <a:ahLst/>
                            <a:cxnLst/>
                            <a:pathLst>
                              <a:path w="120" h="780">
                                <a:moveTo>
                                  <a:pt x="52" y="120"/>
                                </a:moveTo>
                                <a:lnTo>
                                  <a:pt x="0" y="120"/>
                                </a:lnTo>
                                <a:lnTo>
                                  <a:pt x="60" y="0"/>
                                </a:lnTo>
                                <a:lnTo>
                                  <a:pt x="105" y="90"/>
                                </a:lnTo>
                                <a:lnTo>
                                  <a:pt x="52" y="90"/>
                                </a:lnTo>
                                <a:lnTo>
                                  <a:pt x="52" y="120"/>
                                </a:lnTo>
                                <a:close/>
                                <a:moveTo>
                                  <a:pt x="67" y="780"/>
                                </a:moveTo>
                                <a:lnTo>
                                  <a:pt x="52" y="780"/>
                                </a:lnTo>
                                <a:lnTo>
                                  <a:pt x="52" y="90"/>
                                </a:lnTo>
                                <a:lnTo>
                                  <a:pt x="67" y="90"/>
                                </a:lnTo>
                                <a:lnTo>
                                  <a:pt x="67" y="780"/>
                                </a:lnTo>
                                <a:close/>
                                <a:moveTo>
                                  <a:pt x="120" y="120"/>
                                </a:moveTo>
                                <a:lnTo>
                                  <a:pt x="67" y="120"/>
                                </a:lnTo>
                                <a:lnTo>
                                  <a:pt x="67" y="90"/>
                                </a:lnTo>
                                <a:lnTo>
                                  <a:pt x="105" y="90"/>
                                </a:lnTo>
                                <a:lnTo>
                                  <a:pt x="120" y="120"/>
                                </a:lnTo>
                                <a:close/>
                              </a:path>
                            </a:pathLst>
                          </a:custGeom>
                          <a:solidFill>
                            <a:srgbClr val="000000"/>
                          </a:solidFill>
                          <a:ln>
                            <a:noFill/>
                          </a:ln>
                        </wps:spPr>
                        <wps:bodyPr upright="1"/>
                      </wps:wsp>
                      <wps:wsp>
                        <wps:cNvPr id="200" name="直线 177"/>
                        <wps:cNvSpPr/>
                        <wps:spPr>
                          <a:xfrm>
                            <a:off x="8" y="8736"/>
                            <a:ext cx="1620" cy="0"/>
                          </a:xfrm>
                          <a:prstGeom prst="line">
                            <a:avLst/>
                          </a:prstGeom>
                          <a:ln w="9525" cap="flat" cmpd="sng">
                            <a:solidFill>
                              <a:srgbClr val="000000"/>
                            </a:solidFill>
                            <a:prstDash val="solid"/>
                            <a:headEnd type="none" w="med" len="med"/>
                            <a:tailEnd type="none" w="med" len="med"/>
                          </a:ln>
                        </wps:spPr>
                        <wps:bodyPr upright="1"/>
                      </wps:wsp>
                      <wps:wsp>
                        <wps:cNvPr id="201" name="任意多边形 178"/>
                        <wps:cNvSpPr/>
                        <wps:spPr>
                          <a:xfrm>
                            <a:off x="4087" y="7332"/>
                            <a:ext cx="120" cy="780"/>
                          </a:xfrm>
                          <a:custGeom>
                            <a:avLst/>
                            <a:gdLst/>
                            <a:ahLst/>
                            <a:cxnLst/>
                            <a:pathLst>
                              <a:path w="120" h="780">
                                <a:moveTo>
                                  <a:pt x="67" y="690"/>
                                </a:moveTo>
                                <a:lnTo>
                                  <a:pt x="52" y="690"/>
                                </a:lnTo>
                                <a:lnTo>
                                  <a:pt x="52" y="0"/>
                                </a:lnTo>
                                <a:lnTo>
                                  <a:pt x="67" y="0"/>
                                </a:lnTo>
                                <a:lnTo>
                                  <a:pt x="67" y="690"/>
                                </a:lnTo>
                                <a:close/>
                                <a:moveTo>
                                  <a:pt x="60" y="780"/>
                                </a:moveTo>
                                <a:lnTo>
                                  <a:pt x="0" y="660"/>
                                </a:lnTo>
                                <a:lnTo>
                                  <a:pt x="52" y="660"/>
                                </a:lnTo>
                                <a:lnTo>
                                  <a:pt x="52" y="690"/>
                                </a:lnTo>
                                <a:lnTo>
                                  <a:pt x="105" y="690"/>
                                </a:lnTo>
                                <a:lnTo>
                                  <a:pt x="60" y="780"/>
                                </a:lnTo>
                                <a:close/>
                                <a:moveTo>
                                  <a:pt x="105" y="690"/>
                                </a:moveTo>
                                <a:lnTo>
                                  <a:pt x="67" y="690"/>
                                </a:lnTo>
                                <a:lnTo>
                                  <a:pt x="67" y="660"/>
                                </a:lnTo>
                                <a:lnTo>
                                  <a:pt x="120" y="660"/>
                                </a:lnTo>
                                <a:lnTo>
                                  <a:pt x="105" y="690"/>
                                </a:lnTo>
                                <a:close/>
                              </a:path>
                            </a:pathLst>
                          </a:custGeom>
                          <a:solidFill>
                            <a:srgbClr val="000000"/>
                          </a:solidFill>
                          <a:ln>
                            <a:noFill/>
                          </a:ln>
                        </wps:spPr>
                        <wps:bodyPr upright="1"/>
                      </wps:wsp>
                      <wps:wsp>
                        <wps:cNvPr id="202" name="任意多边形 179"/>
                        <wps:cNvSpPr/>
                        <wps:spPr>
                          <a:xfrm>
                            <a:off x="4087" y="8424"/>
                            <a:ext cx="120" cy="624"/>
                          </a:xfrm>
                          <a:custGeom>
                            <a:avLst/>
                            <a:gdLst/>
                            <a:ahLst/>
                            <a:cxnLst/>
                            <a:pathLst>
                              <a:path w="120" h="624">
                                <a:moveTo>
                                  <a:pt x="67" y="534"/>
                                </a:moveTo>
                                <a:lnTo>
                                  <a:pt x="52" y="534"/>
                                </a:lnTo>
                                <a:lnTo>
                                  <a:pt x="52" y="0"/>
                                </a:lnTo>
                                <a:lnTo>
                                  <a:pt x="67" y="0"/>
                                </a:lnTo>
                                <a:lnTo>
                                  <a:pt x="67" y="534"/>
                                </a:lnTo>
                                <a:close/>
                                <a:moveTo>
                                  <a:pt x="60" y="624"/>
                                </a:moveTo>
                                <a:lnTo>
                                  <a:pt x="0" y="504"/>
                                </a:lnTo>
                                <a:lnTo>
                                  <a:pt x="52" y="504"/>
                                </a:lnTo>
                                <a:lnTo>
                                  <a:pt x="52" y="534"/>
                                </a:lnTo>
                                <a:lnTo>
                                  <a:pt x="105" y="534"/>
                                </a:lnTo>
                                <a:lnTo>
                                  <a:pt x="60" y="624"/>
                                </a:lnTo>
                                <a:close/>
                                <a:moveTo>
                                  <a:pt x="105" y="534"/>
                                </a:moveTo>
                                <a:lnTo>
                                  <a:pt x="67" y="534"/>
                                </a:lnTo>
                                <a:lnTo>
                                  <a:pt x="67" y="504"/>
                                </a:lnTo>
                                <a:lnTo>
                                  <a:pt x="120" y="504"/>
                                </a:lnTo>
                                <a:lnTo>
                                  <a:pt x="105" y="534"/>
                                </a:lnTo>
                                <a:close/>
                              </a:path>
                            </a:pathLst>
                          </a:custGeom>
                          <a:solidFill>
                            <a:srgbClr val="000000"/>
                          </a:solidFill>
                          <a:ln>
                            <a:noFill/>
                          </a:ln>
                        </wps:spPr>
                        <wps:bodyPr upright="1"/>
                      </wps:wsp>
                      <wps:wsp>
                        <wps:cNvPr id="203" name="直线 180"/>
                        <wps:cNvSpPr/>
                        <wps:spPr>
                          <a:xfrm>
                            <a:off x="4148" y="9048"/>
                            <a:ext cx="2340" cy="0"/>
                          </a:xfrm>
                          <a:prstGeom prst="line">
                            <a:avLst/>
                          </a:prstGeom>
                          <a:ln w="9525" cap="flat" cmpd="sng">
                            <a:solidFill>
                              <a:srgbClr val="000000"/>
                            </a:solidFill>
                            <a:prstDash val="solid"/>
                            <a:headEnd type="none" w="med" len="med"/>
                            <a:tailEnd type="none" w="med" len="med"/>
                          </a:ln>
                        </wps:spPr>
                        <wps:bodyPr upright="1"/>
                      </wps:wsp>
                      <wps:wsp>
                        <wps:cNvPr id="204" name="直线 181"/>
                        <wps:cNvSpPr/>
                        <wps:spPr>
                          <a:xfrm>
                            <a:off x="6488" y="312"/>
                            <a:ext cx="0" cy="8736"/>
                          </a:xfrm>
                          <a:prstGeom prst="line">
                            <a:avLst/>
                          </a:prstGeom>
                          <a:ln w="9525" cap="flat" cmpd="sng">
                            <a:solidFill>
                              <a:srgbClr val="000000"/>
                            </a:solidFill>
                            <a:prstDash val="solid"/>
                            <a:headEnd type="none" w="med" len="med"/>
                            <a:tailEnd type="none" w="med" len="med"/>
                          </a:ln>
                        </wps:spPr>
                        <wps:bodyPr upright="1"/>
                      </wps:wsp>
                      <wps:wsp>
                        <wps:cNvPr id="205" name="任意多边形 182"/>
                        <wps:cNvSpPr/>
                        <wps:spPr>
                          <a:xfrm>
                            <a:off x="7" y="6804"/>
                            <a:ext cx="1260" cy="120"/>
                          </a:xfrm>
                          <a:custGeom>
                            <a:avLst/>
                            <a:gdLst/>
                            <a:ahLst/>
                            <a:cxnLst/>
                            <a:pathLst>
                              <a:path w="1260" h="120">
                                <a:moveTo>
                                  <a:pt x="120" y="120"/>
                                </a:moveTo>
                                <a:lnTo>
                                  <a:pt x="0" y="60"/>
                                </a:lnTo>
                                <a:lnTo>
                                  <a:pt x="120" y="0"/>
                                </a:lnTo>
                                <a:lnTo>
                                  <a:pt x="120" y="53"/>
                                </a:lnTo>
                                <a:lnTo>
                                  <a:pt x="90" y="53"/>
                                </a:lnTo>
                                <a:lnTo>
                                  <a:pt x="90" y="68"/>
                                </a:lnTo>
                                <a:lnTo>
                                  <a:pt x="120" y="68"/>
                                </a:lnTo>
                                <a:lnTo>
                                  <a:pt x="120" y="120"/>
                                </a:lnTo>
                                <a:close/>
                                <a:moveTo>
                                  <a:pt x="120" y="68"/>
                                </a:moveTo>
                                <a:lnTo>
                                  <a:pt x="90" y="68"/>
                                </a:lnTo>
                                <a:lnTo>
                                  <a:pt x="90" y="53"/>
                                </a:lnTo>
                                <a:lnTo>
                                  <a:pt x="120" y="53"/>
                                </a:lnTo>
                                <a:lnTo>
                                  <a:pt x="120" y="68"/>
                                </a:lnTo>
                                <a:close/>
                                <a:moveTo>
                                  <a:pt x="1260" y="68"/>
                                </a:moveTo>
                                <a:lnTo>
                                  <a:pt x="120" y="68"/>
                                </a:lnTo>
                                <a:lnTo>
                                  <a:pt x="120" y="53"/>
                                </a:lnTo>
                                <a:lnTo>
                                  <a:pt x="1260" y="53"/>
                                </a:lnTo>
                                <a:lnTo>
                                  <a:pt x="1260" y="68"/>
                                </a:lnTo>
                                <a:close/>
                              </a:path>
                            </a:pathLst>
                          </a:custGeom>
                          <a:solidFill>
                            <a:srgbClr val="000000"/>
                          </a:solidFill>
                          <a:ln>
                            <a:noFill/>
                          </a:ln>
                        </wps:spPr>
                        <wps:bodyPr upright="1"/>
                      </wps:wsp>
                      <wps:wsp>
                        <wps:cNvPr id="206" name="任意多边形 183"/>
                        <wps:cNvSpPr/>
                        <wps:spPr>
                          <a:xfrm>
                            <a:off x="2707" y="252"/>
                            <a:ext cx="3780" cy="120"/>
                          </a:xfrm>
                          <a:custGeom>
                            <a:avLst/>
                            <a:gdLst/>
                            <a:ahLst/>
                            <a:cxnLst/>
                            <a:pathLst>
                              <a:path w="3780" h="120">
                                <a:moveTo>
                                  <a:pt x="120" y="120"/>
                                </a:moveTo>
                                <a:lnTo>
                                  <a:pt x="0" y="60"/>
                                </a:lnTo>
                                <a:lnTo>
                                  <a:pt x="120" y="0"/>
                                </a:lnTo>
                                <a:lnTo>
                                  <a:pt x="120" y="53"/>
                                </a:lnTo>
                                <a:lnTo>
                                  <a:pt x="90" y="53"/>
                                </a:lnTo>
                                <a:lnTo>
                                  <a:pt x="90" y="68"/>
                                </a:lnTo>
                                <a:lnTo>
                                  <a:pt x="120" y="68"/>
                                </a:lnTo>
                                <a:lnTo>
                                  <a:pt x="120" y="120"/>
                                </a:lnTo>
                                <a:close/>
                                <a:moveTo>
                                  <a:pt x="120" y="68"/>
                                </a:moveTo>
                                <a:lnTo>
                                  <a:pt x="90" y="68"/>
                                </a:lnTo>
                                <a:lnTo>
                                  <a:pt x="90" y="53"/>
                                </a:lnTo>
                                <a:lnTo>
                                  <a:pt x="120" y="53"/>
                                </a:lnTo>
                                <a:lnTo>
                                  <a:pt x="120" y="68"/>
                                </a:lnTo>
                                <a:close/>
                                <a:moveTo>
                                  <a:pt x="3780" y="68"/>
                                </a:moveTo>
                                <a:lnTo>
                                  <a:pt x="120" y="68"/>
                                </a:lnTo>
                                <a:lnTo>
                                  <a:pt x="120" y="53"/>
                                </a:lnTo>
                                <a:lnTo>
                                  <a:pt x="3780" y="53"/>
                                </a:lnTo>
                                <a:lnTo>
                                  <a:pt x="3780" y="68"/>
                                </a:lnTo>
                                <a:close/>
                              </a:path>
                            </a:pathLst>
                          </a:custGeom>
                          <a:solidFill>
                            <a:srgbClr val="000000"/>
                          </a:solidFill>
                          <a:ln>
                            <a:noFill/>
                          </a:ln>
                        </wps:spPr>
                        <wps:bodyPr upright="1"/>
                      </wps:wsp>
                      <wps:wsp>
                        <wps:cNvPr id="207" name="文本框 184"/>
                        <wps:cNvSpPr txBox="1"/>
                        <wps:spPr>
                          <a:xfrm>
                            <a:off x="2346" y="727"/>
                            <a:ext cx="740" cy="240"/>
                          </a:xfrm>
                          <a:prstGeom prst="rect">
                            <a:avLst/>
                          </a:prstGeom>
                          <a:noFill/>
                          <a:ln>
                            <a:noFill/>
                          </a:ln>
                        </wps:spPr>
                        <wps:txbx>
                          <w:txbxContent>
                            <w:p>
                              <w:pPr>
                                <w:spacing w:before="0" w:line="240" w:lineRule="exact"/>
                                <w:ind w:left="0" w:right="0" w:firstLine="0"/>
                                <w:jc w:val="left"/>
                                <w:rPr>
                                  <w:sz w:val="24"/>
                                </w:rPr>
                              </w:pPr>
                              <w:r>
                                <w:rPr>
                                  <w:sz w:val="24"/>
                                </w:rPr>
                                <w:t>调节池</w:t>
                              </w:r>
                            </w:p>
                          </w:txbxContent>
                        </wps:txbx>
                        <wps:bodyPr lIns="0" tIns="0" rIns="0" bIns="0" upright="1"/>
                      </wps:wsp>
                      <wps:wsp>
                        <wps:cNvPr id="208" name="文本框 185"/>
                        <wps:cNvSpPr txBox="1"/>
                        <wps:spPr>
                          <a:xfrm>
                            <a:off x="2346" y="1725"/>
                            <a:ext cx="740" cy="240"/>
                          </a:xfrm>
                          <a:prstGeom prst="rect">
                            <a:avLst/>
                          </a:prstGeom>
                          <a:noFill/>
                          <a:ln>
                            <a:noFill/>
                          </a:ln>
                        </wps:spPr>
                        <wps:txbx>
                          <w:txbxContent>
                            <w:p>
                              <w:pPr>
                                <w:spacing w:before="0" w:line="240" w:lineRule="exact"/>
                                <w:ind w:left="0" w:right="0" w:firstLine="0"/>
                                <w:jc w:val="left"/>
                                <w:rPr>
                                  <w:sz w:val="24"/>
                                </w:rPr>
                              </w:pPr>
                              <w:r>
                                <w:rPr>
                                  <w:sz w:val="24"/>
                                </w:rPr>
                                <w:t>提升泵</w:t>
                              </w:r>
                            </w:p>
                          </w:txbxContent>
                        </wps:txbx>
                        <wps:bodyPr lIns="0" tIns="0" rIns="0" bIns="0" upright="1"/>
                      </wps:wsp>
                      <wps:wsp>
                        <wps:cNvPr id="209" name="文本框 186"/>
                        <wps:cNvSpPr txBox="1"/>
                        <wps:spPr>
                          <a:xfrm>
                            <a:off x="1386" y="2227"/>
                            <a:ext cx="500" cy="240"/>
                          </a:xfrm>
                          <a:prstGeom prst="rect">
                            <a:avLst/>
                          </a:prstGeom>
                          <a:noFill/>
                          <a:ln>
                            <a:noFill/>
                          </a:ln>
                        </wps:spPr>
                        <wps:txbx>
                          <w:txbxContent>
                            <w:p>
                              <w:pPr>
                                <w:spacing w:before="0" w:line="240" w:lineRule="exact"/>
                                <w:ind w:left="0" w:right="0" w:firstLine="0"/>
                                <w:jc w:val="left"/>
                                <w:rPr>
                                  <w:sz w:val="24"/>
                                </w:rPr>
                              </w:pPr>
                              <w:r>
                                <w:rPr>
                                  <w:sz w:val="24"/>
                                </w:rPr>
                                <w:t>鼓风</w:t>
                              </w:r>
                            </w:p>
                          </w:txbxContent>
                        </wps:txbx>
                        <wps:bodyPr lIns="0" tIns="0" rIns="0" bIns="0" upright="1"/>
                      </wps:wsp>
                      <wps:wsp>
                        <wps:cNvPr id="210" name="文本框 187"/>
                        <wps:cNvSpPr txBox="1"/>
                        <wps:spPr>
                          <a:xfrm>
                            <a:off x="2346" y="2726"/>
                            <a:ext cx="740" cy="240"/>
                          </a:xfrm>
                          <a:prstGeom prst="rect">
                            <a:avLst/>
                          </a:prstGeom>
                          <a:noFill/>
                          <a:ln>
                            <a:noFill/>
                          </a:ln>
                        </wps:spPr>
                        <wps:txbx>
                          <w:txbxContent>
                            <w:p>
                              <w:pPr>
                                <w:spacing w:before="0" w:line="240" w:lineRule="exact"/>
                                <w:ind w:left="0" w:right="0" w:firstLine="0"/>
                                <w:jc w:val="left"/>
                                <w:rPr>
                                  <w:sz w:val="24"/>
                                </w:rPr>
                              </w:pPr>
                              <w:r>
                                <w:rPr>
                                  <w:sz w:val="24"/>
                                </w:rPr>
                                <w:t>缺氧段</w:t>
                              </w:r>
                            </w:p>
                          </w:txbxContent>
                        </wps:txbx>
                        <wps:bodyPr lIns="0" tIns="0" rIns="0" bIns="0" upright="1"/>
                      </wps:wsp>
                      <wps:wsp>
                        <wps:cNvPr id="211" name="文本框 188"/>
                        <wps:cNvSpPr txBox="1"/>
                        <wps:spPr>
                          <a:xfrm>
                            <a:off x="4266" y="2726"/>
                            <a:ext cx="740" cy="740"/>
                          </a:xfrm>
                          <a:prstGeom prst="rect">
                            <a:avLst/>
                          </a:prstGeom>
                          <a:noFill/>
                          <a:ln>
                            <a:noFill/>
                          </a:ln>
                        </wps:spPr>
                        <wps:txbx>
                          <w:txbxContent>
                            <w:p>
                              <w:pPr>
                                <w:spacing w:before="0" w:line="274" w:lineRule="exact"/>
                                <w:ind w:left="0" w:right="0" w:firstLine="0"/>
                                <w:jc w:val="left"/>
                                <w:rPr>
                                  <w:sz w:val="24"/>
                                </w:rPr>
                              </w:pPr>
                              <w:r>
                                <w:rPr>
                                  <w:sz w:val="24"/>
                                </w:rPr>
                                <w:t>排泥</w:t>
                              </w:r>
                            </w:p>
                            <w:p>
                              <w:pPr>
                                <w:spacing w:before="191" w:line="274" w:lineRule="exact"/>
                                <w:ind w:left="0" w:right="0" w:firstLine="0"/>
                                <w:jc w:val="left"/>
                                <w:rPr>
                                  <w:sz w:val="24"/>
                                </w:rPr>
                              </w:pPr>
                              <w:r>
                                <w:rPr>
                                  <w:sz w:val="24"/>
                                </w:rPr>
                                <w:t>污泥池</w:t>
                              </w:r>
                            </w:p>
                          </w:txbxContent>
                        </wps:txbx>
                        <wps:bodyPr lIns="0" tIns="0" rIns="0" bIns="0" upright="1"/>
                      </wps:wsp>
                      <wps:wsp>
                        <wps:cNvPr id="212" name="文本框 189"/>
                        <wps:cNvSpPr txBox="1"/>
                        <wps:spPr>
                          <a:xfrm>
                            <a:off x="2346" y="3727"/>
                            <a:ext cx="740" cy="240"/>
                          </a:xfrm>
                          <a:prstGeom prst="rect">
                            <a:avLst/>
                          </a:prstGeom>
                          <a:noFill/>
                          <a:ln>
                            <a:noFill/>
                          </a:ln>
                        </wps:spPr>
                        <wps:txbx>
                          <w:txbxContent>
                            <w:p>
                              <w:pPr>
                                <w:spacing w:before="0" w:line="240" w:lineRule="exact"/>
                                <w:ind w:left="0" w:right="0" w:firstLine="0"/>
                                <w:jc w:val="left"/>
                                <w:rPr>
                                  <w:sz w:val="24"/>
                                </w:rPr>
                              </w:pPr>
                              <w:r>
                                <w:rPr>
                                  <w:sz w:val="24"/>
                                </w:rPr>
                                <w:t>好氧段</w:t>
                              </w:r>
                            </w:p>
                          </w:txbxContent>
                        </wps:txbx>
                        <wps:bodyPr lIns="0" tIns="0" rIns="0" bIns="0" upright="1"/>
                      </wps:wsp>
                      <wps:wsp>
                        <wps:cNvPr id="213" name="文本框 190"/>
                        <wps:cNvSpPr txBox="1"/>
                        <wps:spPr>
                          <a:xfrm>
                            <a:off x="4386" y="3727"/>
                            <a:ext cx="740" cy="240"/>
                          </a:xfrm>
                          <a:prstGeom prst="rect">
                            <a:avLst/>
                          </a:prstGeom>
                          <a:noFill/>
                          <a:ln>
                            <a:noFill/>
                          </a:ln>
                        </wps:spPr>
                        <wps:txbx>
                          <w:txbxContent>
                            <w:p>
                              <w:pPr>
                                <w:spacing w:before="0" w:line="240" w:lineRule="exact"/>
                                <w:ind w:left="0" w:right="0" w:firstLine="0"/>
                                <w:jc w:val="left"/>
                                <w:rPr>
                                  <w:sz w:val="24"/>
                                </w:rPr>
                              </w:pPr>
                              <w:r>
                                <w:rPr>
                                  <w:sz w:val="24"/>
                                </w:rPr>
                                <w:t>污泥泵</w:t>
                              </w:r>
                            </w:p>
                          </w:txbxContent>
                        </wps:txbx>
                        <wps:bodyPr lIns="0" tIns="0" rIns="0" bIns="0" upright="1"/>
                      </wps:wsp>
                      <wps:wsp>
                        <wps:cNvPr id="214" name="文本框 191"/>
                        <wps:cNvSpPr txBox="1"/>
                        <wps:spPr>
                          <a:xfrm>
                            <a:off x="3546" y="4226"/>
                            <a:ext cx="740" cy="240"/>
                          </a:xfrm>
                          <a:prstGeom prst="rect">
                            <a:avLst/>
                          </a:prstGeom>
                          <a:noFill/>
                          <a:ln>
                            <a:noFill/>
                          </a:ln>
                        </wps:spPr>
                        <wps:txbx>
                          <w:txbxContent>
                            <w:p>
                              <w:pPr>
                                <w:spacing w:before="0" w:line="240" w:lineRule="exact"/>
                                <w:ind w:left="0" w:right="0" w:firstLine="0"/>
                                <w:jc w:val="left"/>
                                <w:rPr>
                                  <w:sz w:val="24"/>
                                </w:rPr>
                              </w:pPr>
                              <w:r>
                                <w:rPr>
                                  <w:sz w:val="24"/>
                                </w:rPr>
                                <w:t>空压机</w:t>
                              </w:r>
                            </w:p>
                          </w:txbxContent>
                        </wps:txbx>
                        <wps:bodyPr lIns="0" tIns="0" rIns="0" bIns="0" upright="1"/>
                      </wps:wsp>
                      <wps:wsp>
                        <wps:cNvPr id="215" name="文本框 192"/>
                        <wps:cNvSpPr txBox="1"/>
                        <wps:spPr>
                          <a:xfrm>
                            <a:off x="4986" y="4226"/>
                            <a:ext cx="500" cy="240"/>
                          </a:xfrm>
                          <a:prstGeom prst="rect">
                            <a:avLst/>
                          </a:prstGeom>
                          <a:noFill/>
                          <a:ln>
                            <a:noFill/>
                          </a:ln>
                        </wps:spPr>
                        <wps:txbx>
                          <w:txbxContent>
                            <w:p>
                              <w:pPr>
                                <w:spacing w:before="0" w:line="240" w:lineRule="exact"/>
                                <w:ind w:left="0" w:right="0" w:firstLine="0"/>
                                <w:jc w:val="left"/>
                                <w:rPr>
                                  <w:sz w:val="24"/>
                                </w:rPr>
                              </w:pPr>
                              <w:r>
                                <w:rPr>
                                  <w:sz w:val="24"/>
                                </w:rPr>
                                <w:t>加药</w:t>
                              </w:r>
                            </w:p>
                          </w:txbxContent>
                        </wps:txbx>
                        <wps:bodyPr lIns="0" tIns="0" rIns="0" bIns="0" upright="1"/>
                      </wps:wsp>
                      <wps:wsp>
                        <wps:cNvPr id="216" name="文本框 193"/>
                        <wps:cNvSpPr txBox="1"/>
                        <wps:spPr>
                          <a:xfrm>
                            <a:off x="2226" y="4725"/>
                            <a:ext cx="740" cy="240"/>
                          </a:xfrm>
                          <a:prstGeom prst="rect">
                            <a:avLst/>
                          </a:prstGeom>
                          <a:noFill/>
                          <a:ln>
                            <a:noFill/>
                          </a:ln>
                        </wps:spPr>
                        <wps:txbx>
                          <w:txbxContent>
                            <w:p>
                              <w:pPr>
                                <w:spacing w:before="0" w:line="240" w:lineRule="exact"/>
                                <w:ind w:left="0" w:right="0" w:firstLine="0"/>
                                <w:jc w:val="left"/>
                                <w:rPr>
                                  <w:sz w:val="24"/>
                                </w:rPr>
                              </w:pPr>
                              <w:r>
                                <w:rPr>
                                  <w:sz w:val="24"/>
                                </w:rPr>
                                <w:t>过滤段</w:t>
                              </w:r>
                            </w:p>
                          </w:txbxContent>
                        </wps:txbx>
                        <wps:bodyPr lIns="0" tIns="0" rIns="0" bIns="0" upright="1"/>
                      </wps:wsp>
                      <wps:wsp>
                        <wps:cNvPr id="217" name="文本框 194"/>
                        <wps:cNvSpPr txBox="1"/>
                        <wps:spPr>
                          <a:xfrm>
                            <a:off x="4146" y="4725"/>
                            <a:ext cx="1220" cy="240"/>
                          </a:xfrm>
                          <a:prstGeom prst="rect">
                            <a:avLst/>
                          </a:prstGeom>
                          <a:noFill/>
                          <a:ln>
                            <a:noFill/>
                          </a:ln>
                        </wps:spPr>
                        <wps:txbx>
                          <w:txbxContent>
                            <w:p>
                              <w:pPr>
                                <w:spacing w:before="0" w:line="240" w:lineRule="exact"/>
                                <w:ind w:left="0" w:right="0" w:firstLine="0"/>
                                <w:jc w:val="left"/>
                                <w:rPr>
                                  <w:sz w:val="24"/>
                                </w:rPr>
                              </w:pPr>
                              <w:r>
                                <w:rPr>
                                  <w:sz w:val="24"/>
                                </w:rPr>
                                <w:t>污泥脱水机</w:t>
                              </w:r>
                            </w:p>
                          </w:txbxContent>
                        </wps:txbx>
                        <wps:bodyPr lIns="0" tIns="0" rIns="0" bIns="0" upright="1"/>
                      </wps:wsp>
                      <wps:wsp>
                        <wps:cNvPr id="218" name="文本框 195"/>
                        <wps:cNvSpPr txBox="1"/>
                        <wps:spPr>
                          <a:xfrm>
                            <a:off x="1746" y="5227"/>
                            <a:ext cx="980" cy="240"/>
                          </a:xfrm>
                          <a:prstGeom prst="rect">
                            <a:avLst/>
                          </a:prstGeom>
                          <a:noFill/>
                          <a:ln>
                            <a:noFill/>
                          </a:ln>
                        </wps:spPr>
                        <wps:txbx>
                          <w:txbxContent>
                            <w:p>
                              <w:pPr>
                                <w:spacing w:before="0" w:line="240" w:lineRule="exact"/>
                                <w:ind w:left="0" w:right="0" w:firstLine="0"/>
                                <w:jc w:val="left"/>
                                <w:rPr>
                                  <w:sz w:val="24"/>
                                </w:rPr>
                              </w:pPr>
                              <w:r>
                                <w:rPr>
                                  <w:sz w:val="24"/>
                                </w:rPr>
                                <w:t>反洗进水</w:t>
                              </w:r>
                            </w:p>
                          </w:txbxContent>
                        </wps:txbx>
                        <wps:bodyPr lIns="0" tIns="0" rIns="0" bIns="0" upright="1"/>
                      </wps:wsp>
                      <wps:wsp>
                        <wps:cNvPr id="219" name="文本框 196"/>
                        <wps:cNvSpPr txBox="1"/>
                        <wps:spPr>
                          <a:xfrm>
                            <a:off x="3186" y="5227"/>
                            <a:ext cx="980" cy="240"/>
                          </a:xfrm>
                          <a:prstGeom prst="rect">
                            <a:avLst/>
                          </a:prstGeom>
                          <a:noFill/>
                          <a:ln>
                            <a:noFill/>
                          </a:ln>
                        </wps:spPr>
                        <wps:txbx>
                          <w:txbxContent>
                            <w:p>
                              <w:pPr>
                                <w:spacing w:before="0" w:line="240" w:lineRule="exact"/>
                                <w:ind w:left="0" w:right="0" w:firstLine="0"/>
                                <w:jc w:val="left"/>
                                <w:rPr>
                                  <w:sz w:val="24"/>
                                </w:rPr>
                              </w:pPr>
                              <w:r>
                                <w:rPr>
                                  <w:sz w:val="24"/>
                                </w:rPr>
                                <w:t>反洗排水</w:t>
                              </w:r>
                            </w:p>
                          </w:txbxContent>
                        </wps:txbx>
                        <wps:bodyPr lIns="0" tIns="0" rIns="0" bIns="0" upright="1"/>
                      </wps:wsp>
                      <wps:wsp>
                        <wps:cNvPr id="220" name="文本框 197"/>
                        <wps:cNvSpPr txBox="1"/>
                        <wps:spPr>
                          <a:xfrm>
                            <a:off x="1986" y="5726"/>
                            <a:ext cx="980" cy="240"/>
                          </a:xfrm>
                          <a:prstGeom prst="rect">
                            <a:avLst/>
                          </a:prstGeom>
                          <a:noFill/>
                          <a:ln>
                            <a:noFill/>
                          </a:ln>
                        </wps:spPr>
                        <wps:txbx>
                          <w:txbxContent>
                            <w:p>
                              <w:pPr>
                                <w:spacing w:before="0" w:line="240" w:lineRule="exact"/>
                                <w:ind w:left="0" w:right="0" w:firstLine="0"/>
                                <w:jc w:val="left"/>
                                <w:rPr>
                                  <w:sz w:val="24"/>
                                </w:rPr>
                              </w:pPr>
                              <w:r>
                                <w:rPr>
                                  <w:sz w:val="24"/>
                                </w:rPr>
                                <w:t>中间水池</w:t>
                              </w:r>
                            </w:p>
                          </w:txbxContent>
                        </wps:txbx>
                        <wps:bodyPr lIns="0" tIns="0" rIns="0" bIns="0" upright="1"/>
                      </wps:wsp>
                      <wps:wsp>
                        <wps:cNvPr id="221" name="文本框 198"/>
                        <wps:cNvSpPr txBox="1"/>
                        <wps:spPr>
                          <a:xfrm>
                            <a:off x="3666" y="5726"/>
                            <a:ext cx="1700" cy="240"/>
                          </a:xfrm>
                          <a:prstGeom prst="rect">
                            <a:avLst/>
                          </a:prstGeom>
                          <a:noFill/>
                          <a:ln>
                            <a:noFill/>
                          </a:ln>
                        </wps:spPr>
                        <wps:txbx>
                          <w:txbxContent>
                            <w:p>
                              <w:pPr>
                                <w:tabs>
                                  <w:tab w:val="left" w:pos="1199"/>
                                </w:tabs>
                                <w:spacing w:before="0" w:line="240" w:lineRule="exact"/>
                                <w:ind w:left="0" w:right="0" w:firstLine="0"/>
                                <w:jc w:val="left"/>
                                <w:rPr>
                                  <w:sz w:val="24"/>
                                </w:rPr>
                              </w:pPr>
                              <w:r>
                                <w:rPr>
                                  <w:sz w:val="24"/>
                                </w:rPr>
                                <w:t>泥饼外运</w:t>
                              </w:r>
                              <w:r>
                                <w:rPr>
                                  <w:sz w:val="24"/>
                                </w:rPr>
                                <w:tab/>
                              </w:r>
                              <w:r>
                                <w:rPr>
                                  <w:sz w:val="24"/>
                                </w:rPr>
                                <w:t>废水</w:t>
                              </w:r>
                            </w:p>
                          </w:txbxContent>
                        </wps:txbx>
                        <wps:bodyPr lIns="0" tIns="0" rIns="0" bIns="0" upright="1"/>
                      </wps:wsp>
                      <wps:wsp>
                        <wps:cNvPr id="222" name="文本框 199"/>
                        <wps:cNvSpPr txBox="1"/>
                        <wps:spPr>
                          <a:xfrm>
                            <a:off x="1386" y="6727"/>
                            <a:ext cx="2060" cy="240"/>
                          </a:xfrm>
                          <a:prstGeom prst="rect">
                            <a:avLst/>
                          </a:prstGeom>
                          <a:noFill/>
                          <a:ln>
                            <a:noFill/>
                          </a:ln>
                        </wps:spPr>
                        <wps:txbx>
                          <w:txbxContent>
                            <w:p>
                              <w:pPr>
                                <w:spacing w:before="0" w:line="240" w:lineRule="exact"/>
                                <w:ind w:left="0" w:right="0" w:firstLine="0"/>
                                <w:jc w:val="left"/>
                                <w:rPr>
                                  <w:sz w:val="24"/>
                                </w:rPr>
                              </w:pPr>
                              <w:r>
                                <w:rPr>
                                  <w:sz w:val="24"/>
                                </w:rPr>
                                <w:t>反洗水泵 中间水泵</w:t>
                              </w:r>
                            </w:p>
                          </w:txbxContent>
                        </wps:txbx>
                        <wps:bodyPr lIns="0" tIns="0" rIns="0" bIns="0" upright="1"/>
                      </wps:wsp>
                      <wps:wsp>
                        <wps:cNvPr id="223" name="文本框 200"/>
                        <wps:cNvSpPr txBox="1"/>
                        <wps:spPr>
                          <a:xfrm>
                            <a:off x="426" y="7725"/>
                            <a:ext cx="500" cy="240"/>
                          </a:xfrm>
                          <a:prstGeom prst="rect">
                            <a:avLst/>
                          </a:prstGeom>
                          <a:noFill/>
                          <a:ln>
                            <a:noFill/>
                          </a:ln>
                        </wps:spPr>
                        <wps:txbx>
                          <w:txbxContent>
                            <w:p>
                              <w:pPr>
                                <w:spacing w:before="0" w:line="240" w:lineRule="exact"/>
                                <w:ind w:left="0" w:right="0" w:firstLine="0"/>
                                <w:jc w:val="left"/>
                                <w:rPr>
                                  <w:sz w:val="24"/>
                                </w:rPr>
                              </w:pPr>
                              <w:r>
                                <w:rPr>
                                  <w:sz w:val="24"/>
                                </w:rPr>
                                <w:t>鼓风</w:t>
                              </w:r>
                            </w:p>
                          </w:txbxContent>
                        </wps:txbx>
                        <wps:bodyPr lIns="0" tIns="0" rIns="0" bIns="0" upright="1"/>
                      </wps:wsp>
                      <wps:wsp>
                        <wps:cNvPr id="224" name="文本框 201"/>
                        <wps:cNvSpPr txBox="1"/>
                        <wps:spPr>
                          <a:xfrm>
                            <a:off x="1506" y="7725"/>
                            <a:ext cx="3140" cy="742"/>
                          </a:xfrm>
                          <a:prstGeom prst="rect">
                            <a:avLst/>
                          </a:prstGeom>
                          <a:noFill/>
                          <a:ln>
                            <a:noFill/>
                          </a:ln>
                        </wps:spPr>
                        <wps:txbx>
                          <w:txbxContent>
                            <w:p>
                              <w:pPr>
                                <w:tabs>
                                  <w:tab w:val="left" w:pos="1199"/>
                                </w:tabs>
                                <w:spacing w:before="0" w:line="274" w:lineRule="exact"/>
                                <w:ind w:left="0" w:right="0" w:firstLine="0"/>
                                <w:jc w:val="left"/>
                                <w:rPr>
                                  <w:sz w:val="24"/>
                                </w:rPr>
                              </w:pPr>
                              <w:r>
                                <w:rPr>
                                  <w:sz w:val="24"/>
                                </w:rPr>
                                <w:t>反洗进水</w:t>
                              </w:r>
                              <w:r>
                                <w:rPr>
                                  <w:sz w:val="24"/>
                                </w:rPr>
                                <w:tab/>
                              </w:r>
                              <w:r>
                                <w:rPr>
                                  <w:sz w:val="24"/>
                                </w:rPr>
                                <w:t>生物活性炭塔</w:t>
                              </w:r>
                            </w:p>
                            <w:p>
                              <w:pPr>
                                <w:spacing w:before="194" w:line="274" w:lineRule="exact"/>
                                <w:ind w:left="0" w:right="18" w:firstLine="0"/>
                                <w:jc w:val="right"/>
                                <w:rPr>
                                  <w:sz w:val="24"/>
                                </w:rPr>
                              </w:pPr>
                              <w:r>
                                <w:rPr>
                                  <w:sz w:val="24"/>
                                </w:rPr>
                                <w:t>反洗排水</w:t>
                              </w:r>
                            </w:p>
                          </w:txbxContent>
                        </wps:txbx>
                        <wps:bodyPr lIns="0" tIns="0" rIns="0" bIns="0" upright="1"/>
                      </wps:wsp>
                      <wps:wsp>
                        <wps:cNvPr id="225" name="文本框 202"/>
                        <wps:cNvSpPr txBox="1"/>
                        <wps:spPr>
                          <a:xfrm>
                            <a:off x="2466" y="8726"/>
                            <a:ext cx="500" cy="240"/>
                          </a:xfrm>
                          <a:prstGeom prst="rect">
                            <a:avLst/>
                          </a:prstGeom>
                          <a:noFill/>
                          <a:ln>
                            <a:noFill/>
                          </a:ln>
                        </wps:spPr>
                        <wps:txbx>
                          <w:txbxContent>
                            <w:p>
                              <w:pPr>
                                <w:spacing w:before="0" w:line="240" w:lineRule="exact"/>
                                <w:ind w:left="0" w:right="0" w:firstLine="0"/>
                                <w:jc w:val="left"/>
                                <w:rPr>
                                  <w:sz w:val="24"/>
                                </w:rPr>
                              </w:pPr>
                              <w:r>
                                <w:rPr>
                                  <w:sz w:val="24"/>
                                </w:rPr>
                                <w:t>消毒</w:t>
                              </w:r>
                            </w:p>
                          </w:txbxContent>
                        </wps:txbx>
                        <wps:bodyPr lIns="0" tIns="0" rIns="0" bIns="0" upright="1"/>
                      </wps:wsp>
                    </wpg:wgp>
                  </a:graphicData>
                </a:graphic>
              </wp:inline>
            </w:drawing>
          </mc:Choice>
          <mc:Fallback>
            <w:pict>
              <v:group id="组合 158" o:spid="_x0000_s1026" o:spt="203" style="height:452.8pt;width:324.75pt;" coordsize="6495,9056" o:gfxdata="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LmzwAL8AAAClAQAAGQAAAGRycy9f&#10;cmVscy9lMm9Eb2MueG1sLnJlbHO9kMGKwjAQhu8L+w5h7tu0PSyymPYigldxH2BIpmmwmYQkir69&#10;gWVBQfDmcWb4v/9j1uPFL+JMKbvACrqmBUGsg3FsFfwetl8rELkgG1wCk4IrZRiHz4/1nhYsNZRn&#10;F7OoFM4K5lLij5RZz+QxNyES18sUksdSx2RlRH1ES7Jv22+Z7hkwPDDFzihIO9ODOFxjbX7NDtPk&#10;NG2CPnni8qRCOl+7KxCTpaLAk3H4t+ybyBbkc4fuPQ7dv4N8eO5wA1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">
                <o:lock v:ext="edit" aspectratio="f"/>
                <v:shape id="任意多边形 159" o:spid="_x0000_s1026" o:spt="100" style="position:absolute;left:2647;top:0;height:624;width:120;" fillcolor="#000000" filled="t" stroked="f" coordsize="120,624" o:gfxdata="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evWmi5AAAA3AAA&#10;AA8AAAAAAAAAAQAgAAAAIgAAAGRycy9kb3ducmV2LnhtbFBLAQIUABQAAAAIAIdO4kAzLwWeOwAA&#10;ADkAAAAQAAAAAAAAAAEAIAAAAAgBAABkcnMvc2hhcGV4bWwueG1sUEsFBgAAAAAGAAYAWwEAALID&#10;AAAAAA==&#10;" path="m67,534l52,534,52,0,67,0,67,534xm60,624l0,504,52,504,52,534,105,534,60,624xm105,534l67,534,67,504,120,504,105,534xe">
                  <v:fill on="t" focussize="0,0"/>
                  <v:stroke on="f"/>
                  <v:imagedata o:title=""/>
                  <o:lock v:ext="edit" aspectratio="f"/>
                </v:shape>
                <v:shape id="任意多边形 160" o:spid="_x0000_s1026" o:spt="100" style="position:absolute;left:2647;top:4992;height:624;width:120;" fillcolor="#000000" filled="t" stroked="f" coordsize="120,624" o:gfxdata="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4//zugAAANwA&#10;AAAPAAAAAAAAAAEAIAAAACIAAABkcnMvZG93bnJldi54bWxQSwECFAAUAAAACACHTuJAMy8FnjsA&#10;AAA5AAAAEAAAAAAAAAABACAAAAAJAQAAZHJzL3NoYXBleG1sLnhtbFBLBQYAAAAABgAGAFsBAACz&#10;AwAAAAA=&#10;" path="m67,534l52,534,52,0,67,0,67,534xm60,624l0,504,52,504,52,534,105,534,60,624xm105,534l67,534,67,504,120,504,105,534xe">
                  <v:fill on="t" focussize="0,0"/>
                  <v:stroke on="f"/>
                  <v:imagedata o:title=""/>
                  <o:lock v:ext="edit" aspectratio="f"/>
                </v:shape>
                <v:line id="直线 161" o:spid="_x0000_s1026" o:spt="20" style="position:absolute;left:1808;top:4992;height:0;width:1800;" filled="f" stroked="t" coordsize="21600,21600" o:gfxdata="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FZx+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图片 162" o:spid="_x0000_s1026" o:spt="75" alt="" type="#_x0000_t75" style="position:absolute;left:3547;top:4992;height:312;width:120;" filled="f" o:preferrelative="t" stroked="f" coordsize="21600,21600" o:gfxdata="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q3Ge8AAAA&#10;3AAAAA8AAAAAAAAAAQAgAAAAIgAAAGRycy9kb3ducmV2LnhtbFBLAQIUABQAAAAIAIdO4kAzLwWe&#10;OwAAADkAAAAQAAAAAAAAAAEAIAAAAAsBAABkcnMvc2hhcGV4bWwueG1sUEsFBgAAAAAGAAYAWwEA&#10;ALUDAAAAAA==&#10;">
                  <v:fill on="f" focussize="0,0"/>
                  <v:stroke on="f"/>
                  <v:imagedata r:id="rId74" o:title=""/>
                  <o:lock v:ext="edit" aspectratio="t"/>
                </v:shape>
                <v:shape id="任意多边形 163" o:spid="_x0000_s1026" o:spt="100" style="position:absolute;left:3547;top:5460;height:780;width:120;" fillcolor="#000000" filled="t" stroked="f" coordsize="120,780" o:gfxdata="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q838vQAA&#10;ANwAAAAPAAAAAAAAAAEAIAAAACIAAABkcnMvZG93bnJldi54bWxQSwECFAAUAAAACACHTuJAMy8F&#10;njsAAAA5AAAAEAAAAAAAAAABACAAAAAMAQAAZHJzL3NoYXBleG1sLnhtbFBLBQYAAAAABgAGAFsB&#10;AAC2AwAAAAA=&#10;" path="m67,690l52,690,52,0,67,0,67,690xm60,780l0,660,52,660,52,690,105,690,60,780xm105,690l67,690,67,660,120,660,105,690xe">
                  <v:fill on="t" focussize="0,0"/>
                  <v:stroke on="f"/>
                  <v:imagedata o:title=""/>
                  <o:lock v:ext="edit" aspectratio="f"/>
                </v:shape>
                <v:shape id="图片 164" o:spid="_x0000_s1026" o:spt="75" alt="" type="#_x0000_t75" style="position:absolute;left:1747;top:4992;height:313;width:120;" filled="f" o:preferrelative="t" stroked="f" coordsize="21600,21600" o:gfxdata="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V2mS8AAAA&#10;3AAAAA8AAAAAAAAAAQAgAAAAIgAAAGRycy9kb3ducmV2LnhtbFBLAQIUABQAAAAIAIdO4kAzLwWe&#10;OwAAADkAAAAQAAAAAAAAAAEAIAAAAAsBAABkcnMvc2hhcGV4bWwueG1sUEsFBgAAAAAGAAYAWwEA&#10;ALUDAAAAAA==&#10;">
                  <v:fill on="f" focussize="0,0"/>
                  <v:stroke on="f"/>
                  <v:imagedata r:id="rId77" o:title=""/>
                  <o:lock v:ext="edit" aspectratio="t"/>
                </v:shape>
                <v:shape id="图片 165" o:spid="_x0000_s1026" o:spt="75" alt="" type="#_x0000_t75" style="position:absolute;left:4987;top:5928;height:312;width:120;" filled="f" o:preferrelative="t" stroked="f" coordsize="21600,21600" o:gfxdata="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a3P5vQAA&#10;ANwAAAAPAAAAAAAAAAEAIAAAACIAAABkcnMvZG93bnJldi54bWxQSwECFAAUAAAACACHTuJAMy8F&#10;njsAAAA5AAAAEAAAAAAAAAABACAAAAAMAQAAZHJzL3NoYXBleG1sLnhtbFBLBQYAAAAABgAGAFsB&#10;AAC2AwAAAAA=&#10;">
                  <v:fill on="f" focussize="0,0"/>
                  <v:stroke on="f"/>
                  <v:imagedata r:id="rId74" o:title=""/>
                  <o:lock v:ext="edit" aspectratio="t"/>
                </v:shape>
                <v:line id="直线 166" o:spid="_x0000_s1026" o:spt="20" style="position:absolute;left:3608;top:6240;height:0;width:2880;" filled="f" stroked="t" coordsize="21600,21600" o:gfxdata="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FDPg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任意多边形 167" o:spid="_x0000_s1026" o:spt="100" style="position:absolute;left:2647;top:6084;height:624;width:120;" fillcolor="#000000" filled="t" stroked="f" coordsize="120,624" o:gfxdata="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6PdZvQAA&#10;ANwAAAAPAAAAAAAAAAEAIAAAACIAAABkcnMvZG93bnJldi54bWxQSwECFAAUAAAACACHTuJAMy8F&#10;njsAAAA5AAAAEAAAAAAAAAABACAAAAAMAQAAZHJzL3NoYXBleG1sLnhtbFBLBQYAAAAABgAGAFsB&#10;AAC2AwAAAAA=&#10;" path="m67,534l52,534,52,0,67,0,67,534xm60,624l0,504,52,504,52,534,105,534,60,624xm105,534l67,534,67,504,120,504,105,534xe">
                  <v:fill on="t" focussize="0,0"/>
                  <v:stroke on="f"/>
                  <v:imagedata o:title=""/>
                  <o:lock v:ext="edit" aspectratio="f"/>
                </v:shape>
                <v:line id="直线 168" o:spid="_x0000_s1026" o:spt="20" style="position:absolute;left:1808;top:6240;height:0;width:900;" filled="f" stroked="t" coordsize="21600,21600" o:gfxdata="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7upO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任意多边形 169" o:spid="_x0000_s1026" o:spt="100" style="position:absolute;left:1747;top:6240;height:468;width:120;" fillcolor="#000000" filled="t" stroked="f" coordsize="120,468" o:gfxdata="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tuTlK5AAAA3AAA&#10;AA8AAAAAAAAAAQAgAAAAIgAAAGRycy9kb3ducmV2LnhtbFBLAQIUABQAAAAIAIdO4kAzLwWeOwAA&#10;ADkAAAAQAAAAAAAAAAEAIAAAAAgBAABkcnMvc2hhcGV4bWwueG1sUEsFBgAAAAAGAAYAWwEAALID&#10;AAAAAA==&#10;" path="m67,378l52,378,52,0,67,0,67,378xm60,468l0,348,52,348,52,378,105,378,60,468xm105,378l67,378,67,348,120,348,105,378xe">
                  <v:fill on="t" focussize="0,0"/>
                  <v:stroke on="f"/>
                  <v:imagedata o:title=""/>
                  <o:lock v:ext="edit" aspectratio="f"/>
                </v:shape>
                <v:shape id="任意多边形 170" o:spid="_x0000_s1026" o:spt="100" style="position:absolute;left:2647;top:7020;height:624;width:120;" fillcolor="#000000" filled="t" stroked="f" coordsize="120,624" o:gfxdata="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OmkuugAAANwA&#10;AAAPAAAAAAAAAAEAIAAAACIAAABkcnMvZG93bnJldi54bWxQSwECFAAUAAAACACHTuJAMy8FnjsA&#10;AAA5AAAAEAAAAAAAAAABACAAAAAJAQAAZHJzL3NoYXBleG1sLnhtbFBLBQYAAAAABgAGAFsBAACz&#10;AwAAAAA=&#10;" path="m67,534l52,534,52,0,67,0,67,534xm60,624l0,504,52,504,52,534,105,534,60,624xm105,534l67,534,67,504,120,504,105,534xe">
                  <v:fill on="t" focussize="0,0"/>
                  <v:stroke on="f"/>
                  <v:imagedata o:title=""/>
                  <o:lock v:ext="edit" aspectratio="f"/>
                </v:shape>
                <v:shape id="任意多边形 171" o:spid="_x0000_s1026" o:spt="100" style="position:absolute;left:7;top:5244;height:120;width:1260;" fillcolor="#000000" filled="t" stroked="f" coordsize="1260,120" o:gfxdata="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5IbW8AAAA&#10;3AAAAA8AAAAAAAAAAQAgAAAAIgAAAGRycy9kb3ducmV2LnhtbFBLAQIUABQAAAAIAIdO4kAzLwWe&#10;OwAAADkAAAAQAAAAAAAAAAEAIAAAAAsBAABkcnMvc2hhcGV4bWwueG1sUEsFBgAAAAAGAAYAWwEA&#10;ALUDAAAAAA==&#10;" path="m1140,120l1140,0,1245,53,1170,53,1170,68,1245,68,1140,120xm1140,68l0,68,0,53,1140,53,1140,68xm1245,68l1170,68,1170,53,1245,53,1260,60,1245,68xe">
                  <v:fill on="t" focussize="0,0"/>
                  <v:stroke on="f"/>
                  <v:imagedata o:title=""/>
                  <o:lock v:ext="edit" aspectratio="f"/>
                </v:shape>
                <v:line id="直线 172" o:spid="_x0000_s1026" o:spt="20" style="position:absolute;left:8;top:5304;height:3432;width:0;" filled="f" stroked="t" coordsize="21600,21600" o:gfxdata="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gK84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73" o:spid="_x0000_s1026" o:spt="20" style="position:absolute;left:548;top:7332;height:0;width:3600;" filled="f" stroked="t" coordsize="21600,21600" o:gfxdata="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UjF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图片 174" o:spid="_x0000_s1026" o:spt="75" alt="" type="#_x0000_t75" style="position:absolute;left:1567;top:7332;height:313;width:120;" filled="f" o:preferrelative="t" stroked="f" coordsize="21600,21600" o:gfxdata="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jEy5vQAA&#10;ANwAAAAPAAAAAAAAAAEAIAAAACIAAABkcnMvZG93bnJldi54bWxQSwECFAAUAAAACACHTuJAMy8F&#10;njsAAAA5AAAAEAAAAAAAAAABACAAAAAMAQAAZHJzL3NoYXBleG1sLnhtbFBLBQYAAAAABgAGAFsB&#10;AAC2AwAAAAA=&#10;">
                  <v:fill on="f" focussize="0,0"/>
                  <v:stroke on="f"/>
                  <v:imagedata r:id="rId77" o:title=""/>
                  <o:lock v:ext="edit" aspectratio="t"/>
                </v:shape>
                <v:shape id="图片 175" o:spid="_x0000_s1026" o:spt="75" alt="" type="#_x0000_t75" style="position:absolute;left:487;top:7332;height:313;width:120;" filled="f" o:preferrelative="t" stroked="f" coordsize="21600,21600" o:gfxdata="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E9jL&#10;wAAAANwAAAAPAAAAAAAAAAEAIAAAACIAAABkcnMvZG93bnJldi54bWxQSwECFAAUAAAACACHTuJA&#10;My8FnjsAAAA5AAAAEAAAAAAAAAABACAAAAAPAQAAZHJzL3NoYXBleG1sLnhtbFBLBQYAAAAABgAG&#10;AFsBAAC5AwAAAAA=&#10;">
                  <v:fill on="f" focussize="0,0"/>
                  <v:stroke on="f"/>
                  <v:imagedata r:id="rId77" o:title=""/>
                  <o:lock v:ext="edit" aspectratio="t"/>
                </v:shape>
                <v:shape id="任意多边形 176" o:spid="_x0000_s1026" o:spt="100" style="position:absolute;left:1567;top:7956;height:780;width:120;" fillcolor="#000000" filled="t" stroked="f" coordsize="120,780" o:gfxdata="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7c9TvQAA&#10;ANwAAAAPAAAAAAAAAAEAIAAAACIAAABkcnMvZG93bnJldi54bWxQSwECFAAUAAAACACHTuJAMy8F&#10;njsAAAA5AAAAEAAAAAAAAAABACAAAAAMAQAAZHJzL3NoYXBleG1sLnhtbFBLBQYAAAAABgAGAFsB&#10;AAC2AwAAAAA=&#10;" path="m52,120l0,120,60,0,105,90,52,90,52,120xm67,780l52,780,52,90,67,90,67,780xm120,120l67,120,67,90,105,90,120,120xe">
                  <v:fill on="t" focussize="0,0"/>
                  <v:stroke on="f"/>
                  <v:imagedata o:title=""/>
                  <o:lock v:ext="edit" aspectratio="f"/>
                </v:shape>
                <v:line id="直线 177" o:spid="_x0000_s1026" o:spt="20" style="position:absolute;left:8;top:8736;height:0;width:1620;" filled="f" stroked="t" coordsize="21600,21600" o:gfxdata="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9j4W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任意多边形 178" o:spid="_x0000_s1026" o:spt="100" style="position:absolute;left:4087;top:7332;height:780;width:120;" fillcolor="#000000" filled="t" stroked="f" coordsize="120,780" o:gfxdata="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Q3rr4A&#10;AADcAAAADwAAAAAAAAABACAAAAAiAAAAZHJzL2Rvd25yZXYueG1sUEsBAhQAFAAAAAgAh07iQDMv&#10;BZ47AAAAOQAAABAAAAAAAAAAAQAgAAAADQEAAGRycy9zaGFwZXhtbC54bWxQSwUGAAAAAAYABgBb&#10;AQAAtwMAAAAA&#10;" path="m67,690l52,690,52,0,67,0,67,690xm60,780l0,660,52,660,52,690,105,690,60,780xm105,690l67,690,67,660,120,660,105,690xe">
                  <v:fill on="t" focussize="0,0"/>
                  <v:stroke on="f"/>
                  <v:imagedata o:title=""/>
                  <o:lock v:ext="edit" aspectratio="f"/>
                </v:shape>
                <v:shape id="任意多边形 179" o:spid="_x0000_s1026" o:spt="100" style="position:absolute;left:4087;top:8424;height:624;width:120;" fillcolor="#000000" filled="t" stroked="f" coordsize="120,624" o:gfxdata="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ZOE68AAAA&#10;3AAAAA8AAAAAAAAAAQAgAAAAIgAAAGRycy9kb3ducmV2LnhtbFBLAQIUABQAAAAIAIdO4kAzLwWe&#10;OwAAADkAAAAQAAAAAAAAAAEAIAAAAAsBAABkcnMvc2hhcGV4bWwueG1sUEsFBgAAAAAGAAYAWwEA&#10;ALUDAAAAAA==&#10;" path="m67,534l52,534,52,0,67,0,67,534xm60,624l0,504,52,504,52,534,105,534,60,624xm105,534l67,534,67,504,120,504,105,534xe">
                  <v:fill on="t" focussize="0,0"/>
                  <v:stroke on="f"/>
                  <v:imagedata o:title=""/>
                  <o:lock v:ext="edit" aspectratio="f"/>
                </v:shape>
                <v:line id="直线 180" o:spid="_x0000_s1026" o:spt="20" style="position:absolute;left:4148;top:9048;height:0;width:2340;" filled="f" stroked="t" coordsize="21600,21600" o:gfxdata="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CmYs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81" o:spid="_x0000_s1026" o:spt="20" style="position:absolute;left:6488;top:312;height:8736;width:0;" filled="f" stroked="t" coordsize="21600,21600" o:gfxdata="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4/5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任意多边形 182" o:spid="_x0000_s1026" o:spt="100" style="position:absolute;left:7;top:6804;height:120;width:1260;" fillcolor="#000000" filled="t" stroked="f" coordsize="1260,120" o:gfxdata="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Zpw1b4A&#10;AADcAAAADwAAAAAAAAABACAAAAAiAAAAZHJzL2Rvd25yZXYueG1sUEsBAhQAFAAAAAgAh07iQDMv&#10;BZ47AAAAOQAAABAAAAAAAAAAAQAgAAAADQEAAGRycy9zaGFwZXhtbC54bWxQSwUGAAAAAAYABgBb&#10;AQAAtwMAAAAA&#10;" path="m120,120l0,60,120,0,120,53,90,53,90,68,120,68,120,120xm120,68l90,68,90,53,120,53,120,68xm1260,68l120,68,120,53,1260,53,1260,68xe">
                  <v:fill on="t" focussize="0,0"/>
                  <v:stroke on="f"/>
                  <v:imagedata o:title=""/>
                  <o:lock v:ext="edit" aspectratio="f"/>
                </v:shape>
                <v:shape id="任意多边形 183" o:spid="_x0000_s1026" o:spt="100" style="position:absolute;left:2707;top:252;height:120;width:3780;" fillcolor="#000000" filled="t" stroked="f" coordsize="3780,120" o:gfxdata="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jhEC/&#10;AAAA3AAAAA8AAAAAAAAAAQAgAAAAIgAAAGRycy9kb3ducmV2LnhtbFBLAQIUABQAAAAIAIdO4kAz&#10;LwWeOwAAADkAAAAQAAAAAAAAAAEAIAAAAA4BAABkcnMvc2hhcGV4bWwueG1sUEsFBgAAAAAGAAYA&#10;WwEAALgDAAAAAA==&#10;" path="m120,120l0,60,120,0,120,53,90,53,90,68,120,68,120,120xm120,68l90,68,90,53,120,53,120,68xm3780,68l120,68,120,53,3780,53,3780,68xe">
                  <v:fill on="t" focussize="0,0"/>
                  <v:stroke on="f"/>
                  <v:imagedata o:title=""/>
                  <o:lock v:ext="edit" aspectratio="f"/>
                </v:shape>
                <v:shape id="文本框 184" o:spid="_x0000_s1026" o:spt="202" type="#_x0000_t202" style="position:absolute;left:2346;top:727;height:240;width:740;" filled="f" stroked="f" coordsize="21600,21600" o:gfxdata="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Mr2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40" w:lineRule="exact"/>
                          <w:ind w:left="0" w:right="0" w:firstLine="0"/>
                          <w:jc w:val="left"/>
                          <w:rPr>
                            <w:sz w:val="24"/>
                          </w:rPr>
                        </w:pPr>
                        <w:r>
                          <w:rPr>
                            <w:sz w:val="24"/>
                          </w:rPr>
                          <w:t>调节池</w:t>
                        </w:r>
                      </w:p>
                    </w:txbxContent>
                  </v:textbox>
                </v:shape>
                <v:shape id="文本框 185" o:spid="_x0000_s1026" o:spt="202" type="#_x0000_t202" style="position:absolute;left:2346;top:1725;height:240;width:740;" filled="f" stroked="f" coordsize="21600,21600" o:gfxdata="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TOx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40" w:lineRule="exact"/>
                          <w:ind w:left="0" w:right="0" w:firstLine="0"/>
                          <w:jc w:val="left"/>
                          <w:rPr>
                            <w:sz w:val="24"/>
                          </w:rPr>
                        </w:pPr>
                        <w:r>
                          <w:rPr>
                            <w:sz w:val="24"/>
                          </w:rPr>
                          <w:t>提升泵</w:t>
                        </w:r>
                      </w:p>
                    </w:txbxContent>
                  </v:textbox>
                </v:shape>
                <v:shape id="文本框 186" o:spid="_x0000_s1026" o:spt="202" type="#_x0000_t202" style="position:absolute;left:1386;top:2227;height:240;width:500;" filled="f" stroked="f" coordsize="21600,21600" o:gfxdata="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n56D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0" w:lineRule="exact"/>
                          <w:ind w:left="0" w:right="0" w:firstLine="0"/>
                          <w:jc w:val="left"/>
                          <w:rPr>
                            <w:sz w:val="24"/>
                          </w:rPr>
                        </w:pPr>
                        <w:r>
                          <w:rPr>
                            <w:sz w:val="24"/>
                          </w:rPr>
                          <w:t>鼓风</w:t>
                        </w:r>
                      </w:p>
                    </w:txbxContent>
                  </v:textbox>
                </v:shape>
                <v:shape id="文本框 187" o:spid="_x0000_s1026" o:spt="202" type="#_x0000_t202" style="position:absolute;left:2346;top:2726;height:240;width:740;" filled="f" stroked="f" coordsize="21600,21600" o:gfxdata="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8oc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40" w:lineRule="exact"/>
                          <w:ind w:left="0" w:right="0" w:firstLine="0"/>
                          <w:jc w:val="left"/>
                          <w:rPr>
                            <w:sz w:val="24"/>
                          </w:rPr>
                        </w:pPr>
                        <w:r>
                          <w:rPr>
                            <w:sz w:val="24"/>
                          </w:rPr>
                          <w:t>缺氧段</w:t>
                        </w:r>
                      </w:p>
                    </w:txbxContent>
                  </v:textbox>
                </v:shape>
                <v:shape id="文本框 188" o:spid="_x0000_s1026" o:spt="202" type="#_x0000_t202" style="position:absolute;left:4266;top:2726;height:740;width:740;" filled="f" stroked="f" coordsize="21600,21600" o:gfxdata="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wBF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74" w:lineRule="exact"/>
                          <w:ind w:left="0" w:right="0" w:firstLine="0"/>
                          <w:jc w:val="left"/>
                          <w:rPr>
                            <w:sz w:val="24"/>
                          </w:rPr>
                        </w:pPr>
                        <w:r>
                          <w:rPr>
                            <w:sz w:val="24"/>
                          </w:rPr>
                          <w:t>排泥</w:t>
                        </w:r>
                      </w:p>
                      <w:p>
                        <w:pPr>
                          <w:spacing w:before="191" w:line="274" w:lineRule="exact"/>
                          <w:ind w:left="0" w:right="0" w:firstLine="0"/>
                          <w:jc w:val="left"/>
                          <w:rPr>
                            <w:sz w:val="24"/>
                          </w:rPr>
                        </w:pPr>
                        <w:r>
                          <w:rPr>
                            <w:sz w:val="24"/>
                          </w:rPr>
                          <w:t>污泥池</w:t>
                        </w:r>
                      </w:p>
                    </w:txbxContent>
                  </v:textbox>
                </v:shape>
                <v:shape id="文本框 189" o:spid="_x0000_s1026" o:spt="202" type="#_x0000_t202" style="position:absolute;left:2346;top:3727;height:240;width:740;" filled="f" stroked="f" coordsize="21600,21600" o:gfxdata="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im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40" w:lineRule="exact"/>
                          <w:ind w:left="0" w:right="0" w:firstLine="0"/>
                          <w:jc w:val="left"/>
                          <w:rPr>
                            <w:sz w:val="24"/>
                          </w:rPr>
                        </w:pPr>
                        <w:r>
                          <w:rPr>
                            <w:sz w:val="24"/>
                          </w:rPr>
                          <w:t>好氧段</w:t>
                        </w:r>
                      </w:p>
                    </w:txbxContent>
                  </v:textbox>
                </v:shape>
                <v:shape id="文本框 190" o:spid="_x0000_s1026" o:spt="202" type="#_x0000_t202" style="position:absolute;left:4386;top:3727;height:240;width:740;" filled="f" stroked="f" coordsize="21600,21600" o:gfxdata="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4/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0" w:lineRule="exact"/>
                          <w:ind w:left="0" w:right="0" w:firstLine="0"/>
                          <w:jc w:val="left"/>
                          <w:rPr>
                            <w:sz w:val="24"/>
                          </w:rPr>
                        </w:pPr>
                        <w:r>
                          <w:rPr>
                            <w:sz w:val="24"/>
                          </w:rPr>
                          <w:t>污泥泵</w:t>
                        </w:r>
                      </w:p>
                    </w:txbxContent>
                  </v:textbox>
                </v:shape>
                <v:shape id="文本框 191" o:spid="_x0000_s1026" o:spt="202" type="#_x0000_t202" style="position:absolute;left:3546;top:4226;height:240;width:740;" filled="f" stroked="f" coordsize="21600,21600" o:gfxdata="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enw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0" w:lineRule="exact"/>
                          <w:ind w:left="0" w:right="0" w:firstLine="0"/>
                          <w:jc w:val="left"/>
                          <w:rPr>
                            <w:sz w:val="24"/>
                          </w:rPr>
                        </w:pPr>
                        <w:r>
                          <w:rPr>
                            <w:sz w:val="24"/>
                          </w:rPr>
                          <w:t>空压机</w:t>
                        </w:r>
                      </w:p>
                    </w:txbxContent>
                  </v:textbox>
                </v:shape>
                <v:shape id="文本框 192" o:spid="_x0000_s1026" o:spt="202" type="#_x0000_t202" style="position:absolute;left:4986;top:4226;height:240;width:500;" filled="f" stroked="f" coordsize="21600,21600" o:gfxdata="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QsCW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0" w:lineRule="exact"/>
                          <w:ind w:left="0" w:right="0" w:firstLine="0"/>
                          <w:jc w:val="left"/>
                          <w:rPr>
                            <w:sz w:val="24"/>
                          </w:rPr>
                        </w:pPr>
                        <w:r>
                          <w:rPr>
                            <w:sz w:val="24"/>
                          </w:rPr>
                          <w:t>加药</w:t>
                        </w:r>
                      </w:p>
                    </w:txbxContent>
                  </v:textbox>
                </v:shape>
                <v:shape id="文本框 193" o:spid="_x0000_s1026" o:spt="202" type="#_x0000_t202" style="position:absolute;left:2226;top:4725;height:240;width:740;" filled="f" stroked="f" coordsize="21600,21600" o:gfxdata="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mcL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0" w:lineRule="exact"/>
                          <w:ind w:left="0" w:right="0" w:firstLine="0"/>
                          <w:jc w:val="left"/>
                          <w:rPr>
                            <w:sz w:val="24"/>
                          </w:rPr>
                        </w:pPr>
                        <w:r>
                          <w:rPr>
                            <w:sz w:val="24"/>
                          </w:rPr>
                          <w:t>过滤段</w:t>
                        </w:r>
                      </w:p>
                    </w:txbxContent>
                  </v:textbox>
                </v:shape>
                <v:shape id="文本框 194" o:spid="_x0000_s1026" o:spt="202" type="#_x0000_t202" style="position:absolute;left:4146;top:4725;height:240;width:1220;" filled="f" stroked="f" coordsize="21600,21600" o:gfxdata="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VOb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40" w:lineRule="exact"/>
                          <w:ind w:left="0" w:right="0" w:firstLine="0"/>
                          <w:jc w:val="left"/>
                          <w:rPr>
                            <w:sz w:val="24"/>
                          </w:rPr>
                        </w:pPr>
                        <w:r>
                          <w:rPr>
                            <w:sz w:val="24"/>
                          </w:rPr>
                          <w:t>污泥脱水机</w:t>
                        </w:r>
                      </w:p>
                    </w:txbxContent>
                  </v:textbox>
                </v:shape>
                <v:shape id="文本框 195" o:spid="_x0000_s1026" o:spt="202" type="#_x0000_t202" style="position:absolute;left:1746;top:5227;height:240;width:980;" filled="f" stroked="f" coordsize="21600,21600" o:gfxdata="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Krc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40" w:lineRule="exact"/>
                          <w:ind w:left="0" w:right="0" w:firstLine="0"/>
                          <w:jc w:val="left"/>
                          <w:rPr>
                            <w:sz w:val="24"/>
                          </w:rPr>
                        </w:pPr>
                        <w:r>
                          <w:rPr>
                            <w:sz w:val="24"/>
                          </w:rPr>
                          <w:t>反洗进水</w:t>
                        </w:r>
                      </w:p>
                    </w:txbxContent>
                  </v:textbox>
                </v:shape>
                <v:shape id="文本框 196" o:spid="_x0000_s1026" o:spt="202" type="#_x0000_t202" style="position:absolute;left:3186;top:5227;height:240;width:980;" filled="f" stroked="f" coordsize="21600,21600" o:gfxdata="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EYIX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0" w:lineRule="exact"/>
                          <w:ind w:left="0" w:right="0" w:firstLine="0"/>
                          <w:jc w:val="left"/>
                          <w:rPr>
                            <w:sz w:val="24"/>
                          </w:rPr>
                        </w:pPr>
                        <w:r>
                          <w:rPr>
                            <w:sz w:val="24"/>
                          </w:rPr>
                          <w:t>反洗排水</w:t>
                        </w:r>
                      </w:p>
                    </w:txbxContent>
                  </v:textbox>
                </v:shape>
                <v:shape id="文本框 197" o:spid="_x0000_s1026" o:spt="202" type="#_x0000_t202" style="position:absolute;left:1986;top:5726;height:240;width:980;" filled="f" stroked="f" coordsize="21600,21600" o:gfxdata="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xBrf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40" w:lineRule="exact"/>
                          <w:ind w:left="0" w:right="0" w:firstLine="0"/>
                          <w:jc w:val="left"/>
                          <w:rPr>
                            <w:sz w:val="24"/>
                          </w:rPr>
                        </w:pPr>
                        <w:r>
                          <w:rPr>
                            <w:sz w:val="24"/>
                          </w:rPr>
                          <w:t>中间水池</w:t>
                        </w:r>
                      </w:p>
                    </w:txbxContent>
                  </v:textbox>
                </v:shape>
                <v:shape id="文本框 198" o:spid="_x0000_s1026" o:spt="202" type="#_x0000_t202" style="position:absolute;left:3666;top:5726;height:240;width:1700;" filled="f" stroked="f" coordsize="21600,21600" o:gfxdata="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czu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199"/>
                          </w:tabs>
                          <w:spacing w:before="0" w:line="240" w:lineRule="exact"/>
                          <w:ind w:left="0" w:right="0" w:firstLine="0"/>
                          <w:jc w:val="left"/>
                          <w:rPr>
                            <w:sz w:val="24"/>
                          </w:rPr>
                        </w:pPr>
                        <w:r>
                          <w:rPr>
                            <w:sz w:val="24"/>
                          </w:rPr>
                          <w:t>泥饼外运</w:t>
                        </w:r>
                        <w:r>
                          <w:rPr>
                            <w:sz w:val="24"/>
                          </w:rPr>
                          <w:tab/>
                        </w:r>
                        <w:r>
                          <w:rPr>
                            <w:sz w:val="24"/>
                          </w:rPr>
                          <w:t>废水</w:t>
                        </w:r>
                      </w:p>
                    </w:txbxContent>
                  </v:textbox>
                </v:shape>
                <v:shape id="文本框 199" o:spid="_x0000_s1026" o:spt="202" type="#_x0000_t202" style="position:absolute;left:1386;top:6727;height:240;width:2060;" filled="f" stroked="f" coordsize="21600,21600" o:gfxdata="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OUJ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40" w:lineRule="exact"/>
                          <w:ind w:left="0" w:right="0" w:firstLine="0"/>
                          <w:jc w:val="left"/>
                          <w:rPr>
                            <w:sz w:val="24"/>
                          </w:rPr>
                        </w:pPr>
                        <w:r>
                          <w:rPr>
                            <w:sz w:val="24"/>
                          </w:rPr>
                          <w:t>反洗水泵 中间水泵</w:t>
                        </w:r>
                      </w:p>
                    </w:txbxContent>
                  </v:textbox>
                </v:shape>
                <v:shape id="文本框 200" o:spid="_x0000_s1026" o:spt="202" type="#_x0000_t202" style="position:absolute;left:426;top:7725;height:240;width:500;" filled="f" stroked="f" coordsize="21600,21600" o:gfxdata="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C9Q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40" w:lineRule="exact"/>
                          <w:ind w:left="0" w:right="0" w:firstLine="0"/>
                          <w:jc w:val="left"/>
                          <w:rPr>
                            <w:sz w:val="24"/>
                          </w:rPr>
                        </w:pPr>
                        <w:r>
                          <w:rPr>
                            <w:sz w:val="24"/>
                          </w:rPr>
                          <w:t>鼓风</w:t>
                        </w:r>
                      </w:p>
                    </w:txbxContent>
                  </v:textbox>
                </v:shape>
                <v:shape id="文本框 201" o:spid="_x0000_s1026" o:spt="202" type="#_x0000_t202" style="position:absolute;left:1506;top:7725;height:742;width:3140;" filled="f" stroked="f" coordsize="21600,21600" o:gfxdata="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rbX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199"/>
                          </w:tabs>
                          <w:spacing w:before="0" w:line="274" w:lineRule="exact"/>
                          <w:ind w:left="0" w:right="0" w:firstLine="0"/>
                          <w:jc w:val="left"/>
                          <w:rPr>
                            <w:sz w:val="24"/>
                          </w:rPr>
                        </w:pPr>
                        <w:r>
                          <w:rPr>
                            <w:sz w:val="24"/>
                          </w:rPr>
                          <w:t>反洗进水</w:t>
                        </w:r>
                        <w:r>
                          <w:rPr>
                            <w:sz w:val="24"/>
                          </w:rPr>
                          <w:tab/>
                        </w:r>
                        <w:r>
                          <w:rPr>
                            <w:sz w:val="24"/>
                          </w:rPr>
                          <w:t>生物活性炭塔</w:t>
                        </w:r>
                      </w:p>
                      <w:p>
                        <w:pPr>
                          <w:spacing w:before="194" w:line="274" w:lineRule="exact"/>
                          <w:ind w:left="0" w:right="18" w:firstLine="0"/>
                          <w:jc w:val="right"/>
                          <w:rPr>
                            <w:sz w:val="24"/>
                          </w:rPr>
                        </w:pPr>
                        <w:r>
                          <w:rPr>
                            <w:sz w:val="24"/>
                          </w:rPr>
                          <w:t>反洗排水</w:t>
                        </w:r>
                      </w:p>
                    </w:txbxContent>
                  </v:textbox>
                </v:shape>
                <v:shape id="文本框 202" o:spid="_x0000_s1026" o:spt="202" type="#_x0000_t202" style="position:absolute;left:2466;top:8726;height:240;width:500;" filled="f" stroked="f" coordsize="21600,21600" o:gfxdata="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nyO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40" w:lineRule="exact"/>
                          <w:ind w:left="0" w:right="0" w:firstLine="0"/>
                          <w:jc w:val="left"/>
                          <w:rPr>
                            <w:sz w:val="24"/>
                          </w:rPr>
                        </w:pPr>
                        <w:r>
                          <w:rPr>
                            <w:sz w:val="24"/>
                          </w:rPr>
                          <w:t>消毒</w:t>
                        </w:r>
                      </w:p>
                    </w:txbxContent>
                  </v:textbox>
                </v:shape>
                <w10:wrap type="none"/>
                <w10:anchorlock/>
              </v:group>
            </w:pict>
          </mc:Fallback>
        </mc:AlternateContent>
      </w:r>
    </w:p>
    <w:p>
      <w:pPr>
        <w:pStyle w:val="6"/>
        <w:rPr>
          <w:sz w:val="20"/>
        </w:rPr>
      </w:pPr>
    </w:p>
    <w:p>
      <w:pPr>
        <w:pStyle w:val="6"/>
        <w:spacing w:before="8"/>
        <w:rPr>
          <w:sz w:val="22"/>
        </w:rPr>
      </w:pPr>
    </w:p>
    <w:p>
      <w:pPr>
        <w:pStyle w:val="6"/>
        <w:spacing w:before="67"/>
        <w:ind w:left="3816"/>
      </w:pPr>
      <w:r>
        <mc:AlternateContent>
          <mc:Choice Requires="wps">
            <w:drawing>
              <wp:anchor distT="0" distB="0" distL="114300" distR="114300" simplePos="0" relativeHeight="214242304" behindDoc="1" locked="0" layoutInCell="1" allowOverlap="1">
                <wp:simplePos x="0" y="0"/>
                <wp:positionH relativeFrom="page">
                  <wp:posOffset>3376295</wp:posOffset>
                </wp:positionH>
                <wp:positionV relativeFrom="paragraph">
                  <wp:posOffset>-961390</wp:posOffset>
                </wp:positionV>
                <wp:extent cx="76200" cy="396240"/>
                <wp:effectExtent l="0" t="0" r="0" b="3810"/>
                <wp:wrapNone/>
                <wp:docPr id="76" name="任意多边形 203"/>
                <wp:cNvGraphicFramePr/>
                <a:graphic xmlns:a="http://schemas.openxmlformats.org/drawingml/2006/main">
                  <a:graphicData uri="http://schemas.microsoft.com/office/word/2010/wordprocessingShape">
                    <wps:wsp>
                      <wps:cNvSpPr/>
                      <wps:spPr>
                        <a:xfrm>
                          <a:off x="0" y="0"/>
                          <a:ext cx="76200" cy="396240"/>
                        </a:xfrm>
                        <a:custGeom>
                          <a:avLst/>
                          <a:gdLst/>
                          <a:ahLst/>
                          <a:cxnLst/>
                          <a:pathLst>
                            <a:path w="120" h="624">
                              <a:moveTo>
                                <a:pt x="68" y="534"/>
                              </a:moveTo>
                              <a:lnTo>
                                <a:pt x="53" y="534"/>
                              </a:lnTo>
                              <a:lnTo>
                                <a:pt x="53" y="0"/>
                              </a:lnTo>
                              <a:lnTo>
                                <a:pt x="68" y="0"/>
                              </a:lnTo>
                              <a:lnTo>
                                <a:pt x="68" y="534"/>
                              </a:lnTo>
                              <a:close/>
                              <a:moveTo>
                                <a:pt x="60" y="624"/>
                              </a:moveTo>
                              <a:lnTo>
                                <a:pt x="0" y="504"/>
                              </a:lnTo>
                              <a:lnTo>
                                <a:pt x="53" y="504"/>
                              </a:lnTo>
                              <a:lnTo>
                                <a:pt x="53" y="534"/>
                              </a:lnTo>
                              <a:lnTo>
                                <a:pt x="105" y="534"/>
                              </a:lnTo>
                              <a:lnTo>
                                <a:pt x="60" y="624"/>
                              </a:lnTo>
                              <a:close/>
                              <a:moveTo>
                                <a:pt x="105" y="534"/>
                              </a:moveTo>
                              <a:lnTo>
                                <a:pt x="68" y="534"/>
                              </a:lnTo>
                              <a:lnTo>
                                <a:pt x="68" y="504"/>
                              </a:lnTo>
                              <a:lnTo>
                                <a:pt x="120" y="504"/>
                              </a:lnTo>
                              <a:lnTo>
                                <a:pt x="105" y="534"/>
                              </a:lnTo>
                              <a:close/>
                            </a:path>
                          </a:pathLst>
                        </a:custGeom>
                        <a:solidFill>
                          <a:srgbClr val="000000"/>
                        </a:solidFill>
                        <a:ln>
                          <a:noFill/>
                        </a:ln>
                      </wps:spPr>
                      <wps:bodyPr upright="1"/>
                    </wps:wsp>
                  </a:graphicData>
                </a:graphic>
              </wp:anchor>
            </w:drawing>
          </mc:Choice>
          <mc:Fallback>
            <w:pict>
              <v:shape id="任意多边形 203" o:spid="_x0000_s1026" o:spt="100" style="position:absolute;left:0pt;margin-left:265.85pt;margin-top:-75.7pt;height:31.2pt;width:6pt;mso-position-horizontal-relative:page;z-index:-289074176;mso-width-relative:page;mso-height-relative:page;" fillcolor="#000000" filled="t" stroked="f" coordsize="120,624" o:gfxdata="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Ap1VotoAAAAMAQAADwAAAAAA&#10;AAABACAAAAAiAAAAZHJzL2Rvd25yZXYueG1sUEsBAhQAFAAAAAgAh07iQPdk8vdKAgAA/wUAAA4A&#10;AAAAAAAAAQAgAAAAKQEAAGRycy9lMm9Eb2MueG1sUEsFBgAAAAAGAAYAWQEAAOUFAAAAAA==&#10;" path="m68,534l53,534,53,0,68,0,68,534xm60,624l0,504,53,504,53,534,105,534,60,624xm105,534l68,534,68,504,120,504,105,534xe">
                <v:fill on="t" focussize="0,0"/>
                <v:stroke on="f"/>
                <v:imagedata o:title=""/>
                <o:lock v:ext="edit" aspectratio="f"/>
              </v:shape>
            </w:pict>
          </mc:Fallback>
        </mc:AlternateContent>
      </w:r>
      <w:r>
        <mc:AlternateContent>
          <mc:Choice Requires="wps">
            <w:drawing>
              <wp:anchor distT="0" distB="0" distL="114300" distR="114300" simplePos="0" relativeHeight="251802624" behindDoc="0" locked="0" layoutInCell="1" allowOverlap="1">
                <wp:simplePos x="0" y="0"/>
                <wp:positionH relativeFrom="page">
                  <wp:posOffset>3376295</wp:posOffset>
                </wp:positionH>
                <wp:positionV relativeFrom="paragraph">
                  <wp:posOffset>-367030</wp:posOffset>
                </wp:positionV>
                <wp:extent cx="76200" cy="396240"/>
                <wp:effectExtent l="0" t="0" r="0" b="3810"/>
                <wp:wrapNone/>
                <wp:docPr id="258" name="任意多边形 204"/>
                <wp:cNvGraphicFramePr/>
                <a:graphic xmlns:a="http://schemas.openxmlformats.org/drawingml/2006/main">
                  <a:graphicData uri="http://schemas.microsoft.com/office/word/2010/wordprocessingShape">
                    <wps:wsp>
                      <wps:cNvSpPr/>
                      <wps:spPr>
                        <a:xfrm>
                          <a:off x="0" y="0"/>
                          <a:ext cx="76200" cy="396240"/>
                        </a:xfrm>
                        <a:custGeom>
                          <a:avLst/>
                          <a:gdLst/>
                          <a:ahLst/>
                          <a:cxnLst/>
                          <a:pathLst>
                            <a:path w="120" h="624">
                              <a:moveTo>
                                <a:pt x="68" y="534"/>
                              </a:moveTo>
                              <a:lnTo>
                                <a:pt x="53" y="534"/>
                              </a:lnTo>
                              <a:lnTo>
                                <a:pt x="53" y="0"/>
                              </a:lnTo>
                              <a:lnTo>
                                <a:pt x="68" y="0"/>
                              </a:lnTo>
                              <a:lnTo>
                                <a:pt x="68" y="534"/>
                              </a:lnTo>
                              <a:close/>
                              <a:moveTo>
                                <a:pt x="60" y="624"/>
                              </a:moveTo>
                              <a:lnTo>
                                <a:pt x="0" y="504"/>
                              </a:lnTo>
                              <a:lnTo>
                                <a:pt x="53" y="504"/>
                              </a:lnTo>
                              <a:lnTo>
                                <a:pt x="53" y="534"/>
                              </a:lnTo>
                              <a:lnTo>
                                <a:pt x="105" y="534"/>
                              </a:lnTo>
                              <a:lnTo>
                                <a:pt x="60" y="624"/>
                              </a:lnTo>
                              <a:close/>
                              <a:moveTo>
                                <a:pt x="105" y="534"/>
                              </a:moveTo>
                              <a:lnTo>
                                <a:pt x="68" y="534"/>
                              </a:lnTo>
                              <a:lnTo>
                                <a:pt x="68" y="504"/>
                              </a:lnTo>
                              <a:lnTo>
                                <a:pt x="120" y="504"/>
                              </a:lnTo>
                              <a:lnTo>
                                <a:pt x="105" y="534"/>
                              </a:lnTo>
                              <a:close/>
                            </a:path>
                          </a:pathLst>
                        </a:custGeom>
                        <a:solidFill>
                          <a:srgbClr val="000000"/>
                        </a:solidFill>
                        <a:ln>
                          <a:noFill/>
                        </a:ln>
                      </wps:spPr>
                      <wps:bodyPr upright="1"/>
                    </wps:wsp>
                  </a:graphicData>
                </a:graphic>
              </wp:anchor>
            </w:drawing>
          </mc:Choice>
          <mc:Fallback>
            <w:pict>
              <v:shape id="任意多边形 204" o:spid="_x0000_s1026" o:spt="100" style="position:absolute;left:0pt;margin-left:265.85pt;margin-top:-28.9pt;height:31.2pt;width:6pt;mso-position-horizontal-relative:page;z-index:251802624;mso-width-relative:page;mso-height-relative:page;" fillcolor="#000000" filled="t" stroked="f" coordsize="120,624" o:gfxdata="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NpzthtgAAAAJAQAADwAAAAAA&#10;AAABACAAAAAiAAAAZHJzL2Rvd25yZXYueG1sUEsBAhQAFAAAAAgAh07iQG4042hMAgAAAAYAAA4A&#10;AAAAAAAAAQAgAAAAJwEAAGRycy9lMm9Eb2MueG1sUEsFBgAAAAAGAAYAWQEAAOUFAAAAAA==&#10;" path="m68,534l53,534,53,0,68,0,68,534xm60,624l0,504,53,504,53,534,105,534,60,624xm105,534l68,534,68,504,120,504,105,534xe">
                <v:fill on="t" focussize="0,0"/>
                <v:stroke on="f"/>
                <v:imagedata o:title=""/>
                <o:lock v:ext="edit" aspectratio="f"/>
              </v:shape>
            </w:pict>
          </mc:Fallback>
        </mc:AlternateContent>
      </w:r>
      <w:r>
        <w:t>回用水池</w:t>
      </w:r>
    </w:p>
    <w:p>
      <w:pPr>
        <w:pStyle w:val="6"/>
        <w:ind w:left="4117"/>
        <w:rPr>
          <w:sz w:val="20"/>
        </w:rPr>
      </w:pPr>
      <w:r>
        <w:rPr>
          <w:sz w:val="20"/>
        </w:rPr>
        <mc:AlternateContent>
          <mc:Choice Requires="wpg">
            <w:drawing>
              <wp:inline distT="0" distB="0" distL="114300" distR="114300">
                <wp:extent cx="76200" cy="396240"/>
                <wp:effectExtent l="0" t="0" r="0" b="3810"/>
                <wp:docPr id="230" name="组合 205"/>
                <wp:cNvGraphicFramePr/>
                <a:graphic xmlns:a="http://schemas.openxmlformats.org/drawingml/2006/main">
                  <a:graphicData uri="http://schemas.microsoft.com/office/word/2010/wordprocessingGroup">
                    <wpg:wgp>
                      <wpg:cNvGrpSpPr/>
                      <wpg:grpSpPr>
                        <a:xfrm>
                          <a:off x="0" y="0"/>
                          <a:ext cx="76200" cy="396240"/>
                          <a:chOff x="0" y="0"/>
                          <a:chExt cx="120" cy="624"/>
                        </a:xfrm>
                      </wpg:grpSpPr>
                      <wps:wsp>
                        <wps:cNvPr id="229" name="任意多边形 206"/>
                        <wps:cNvSpPr/>
                        <wps:spPr>
                          <a:xfrm>
                            <a:off x="0" y="0"/>
                            <a:ext cx="120" cy="624"/>
                          </a:xfrm>
                          <a:custGeom>
                            <a:avLst/>
                            <a:gdLst/>
                            <a:ahLst/>
                            <a:cxnLst/>
                            <a:pathLst>
                              <a:path w="120" h="624">
                                <a:moveTo>
                                  <a:pt x="68" y="534"/>
                                </a:moveTo>
                                <a:lnTo>
                                  <a:pt x="53" y="534"/>
                                </a:lnTo>
                                <a:lnTo>
                                  <a:pt x="53" y="0"/>
                                </a:lnTo>
                                <a:lnTo>
                                  <a:pt x="68" y="0"/>
                                </a:lnTo>
                                <a:lnTo>
                                  <a:pt x="68" y="534"/>
                                </a:lnTo>
                                <a:close/>
                                <a:moveTo>
                                  <a:pt x="60" y="624"/>
                                </a:moveTo>
                                <a:lnTo>
                                  <a:pt x="0" y="504"/>
                                </a:lnTo>
                                <a:lnTo>
                                  <a:pt x="53" y="504"/>
                                </a:lnTo>
                                <a:lnTo>
                                  <a:pt x="53" y="534"/>
                                </a:lnTo>
                                <a:lnTo>
                                  <a:pt x="105" y="534"/>
                                </a:lnTo>
                                <a:lnTo>
                                  <a:pt x="60" y="624"/>
                                </a:lnTo>
                                <a:close/>
                                <a:moveTo>
                                  <a:pt x="105" y="534"/>
                                </a:moveTo>
                                <a:lnTo>
                                  <a:pt x="68" y="534"/>
                                </a:lnTo>
                                <a:lnTo>
                                  <a:pt x="68" y="504"/>
                                </a:lnTo>
                                <a:lnTo>
                                  <a:pt x="120" y="504"/>
                                </a:lnTo>
                                <a:lnTo>
                                  <a:pt x="105" y="534"/>
                                </a:lnTo>
                                <a:close/>
                              </a:path>
                            </a:pathLst>
                          </a:custGeom>
                          <a:solidFill>
                            <a:srgbClr val="000000"/>
                          </a:solidFill>
                          <a:ln>
                            <a:noFill/>
                          </a:ln>
                        </wps:spPr>
                        <wps:bodyPr upright="1"/>
                      </wps:wsp>
                    </wpg:wgp>
                  </a:graphicData>
                </a:graphic>
              </wp:inline>
            </w:drawing>
          </mc:Choice>
          <mc:Fallback>
            <w:pict>
              <v:group id="组合 205" o:spid="_x0000_s1026" o:spt="203" style="height:31.2pt;width:6pt;" coordsize="120,624" o:gfxdata="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RRygr0wAAAAMBAAAPAAAAAAAAAAEAIAAAACIAAABkcnMvZG93bnJldi54bWxQSwECFAAU&#10;AAAACACHTuJAh/dx+KECAAAlBwAADgAAAAAAAAABACAAAAAiAQAAZHJzL2Uyb0RvYy54bWxQSwUG&#10;AAAAAAYABgBZAQAANQYAAAAA&#10;">
                <o:lock v:ext="edit" aspectratio="f"/>
                <v:shape id="任意多边形 206" o:spid="_x0000_s1026" o:spt="100" style="position:absolute;left:0;top:0;height:624;width:120;" fillcolor="#000000" filled="t" stroked="f" coordsize="120,624" o:gfxdata="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I9l+8AAAA&#10;3AAAAA8AAAAAAAAAAQAgAAAAIgAAAGRycy9kb3ducmV2LnhtbFBLAQIUABQAAAAIAIdO4kAzLwWe&#10;OwAAADkAAAAQAAAAAAAAAAEAIAAAAAsBAABkcnMvc2hhcGV4bWwueG1sUEsFBgAAAAAGAAYAWwEA&#10;ALUDAAAAAA==&#10;" path="m68,534l53,534,53,0,68,0,68,534xm60,624l0,504,53,504,53,534,105,534,60,624xm105,534l68,534,68,504,120,504,105,534xe">
                  <v:fill on="t" focussize="0,0"/>
                  <v:stroke on="f"/>
                  <v:imagedata o:title=""/>
                  <o:lock v:ext="edit" aspectratio="f"/>
                </v:shape>
                <w10:wrap type="none"/>
                <w10:anchorlock/>
              </v:group>
            </w:pict>
          </mc:Fallback>
        </mc:AlternateContent>
      </w:r>
    </w:p>
    <w:p>
      <w:pPr>
        <w:pStyle w:val="6"/>
        <w:spacing w:before="36"/>
        <w:ind w:left="3696"/>
      </w:pPr>
      <w:r>
        <mc:AlternateContent>
          <mc:Choice Requires="wps">
            <w:drawing>
              <wp:anchor distT="0" distB="0" distL="0" distR="0" simplePos="0" relativeHeight="251796480" behindDoc="1" locked="0" layoutInCell="1" allowOverlap="1">
                <wp:simplePos x="0" y="0"/>
                <wp:positionH relativeFrom="page">
                  <wp:posOffset>3376295</wp:posOffset>
                </wp:positionH>
                <wp:positionV relativeFrom="paragraph">
                  <wp:posOffset>266065</wp:posOffset>
                </wp:positionV>
                <wp:extent cx="76200" cy="396240"/>
                <wp:effectExtent l="0" t="0" r="0" b="3810"/>
                <wp:wrapTopAndBottom/>
                <wp:docPr id="257" name="任意多边形 207"/>
                <wp:cNvGraphicFramePr/>
                <a:graphic xmlns:a="http://schemas.openxmlformats.org/drawingml/2006/main">
                  <a:graphicData uri="http://schemas.microsoft.com/office/word/2010/wordprocessingShape">
                    <wps:wsp>
                      <wps:cNvSpPr/>
                      <wps:spPr>
                        <a:xfrm>
                          <a:off x="0" y="0"/>
                          <a:ext cx="76200" cy="396240"/>
                        </a:xfrm>
                        <a:custGeom>
                          <a:avLst/>
                          <a:gdLst/>
                          <a:ahLst/>
                          <a:cxnLst/>
                          <a:pathLst>
                            <a:path w="120" h="624">
                              <a:moveTo>
                                <a:pt x="68" y="534"/>
                              </a:moveTo>
                              <a:lnTo>
                                <a:pt x="53" y="534"/>
                              </a:lnTo>
                              <a:lnTo>
                                <a:pt x="53" y="0"/>
                              </a:lnTo>
                              <a:lnTo>
                                <a:pt x="68" y="0"/>
                              </a:lnTo>
                              <a:lnTo>
                                <a:pt x="68" y="534"/>
                              </a:lnTo>
                              <a:close/>
                              <a:moveTo>
                                <a:pt x="60" y="624"/>
                              </a:moveTo>
                              <a:lnTo>
                                <a:pt x="0" y="504"/>
                              </a:lnTo>
                              <a:lnTo>
                                <a:pt x="53" y="504"/>
                              </a:lnTo>
                              <a:lnTo>
                                <a:pt x="53" y="534"/>
                              </a:lnTo>
                              <a:lnTo>
                                <a:pt x="105" y="534"/>
                              </a:lnTo>
                              <a:lnTo>
                                <a:pt x="60" y="624"/>
                              </a:lnTo>
                              <a:close/>
                              <a:moveTo>
                                <a:pt x="105" y="534"/>
                              </a:moveTo>
                              <a:lnTo>
                                <a:pt x="68" y="534"/>
                              </a:lnTo>
                              <a:lnTo>
                                <a:pt x="68" y="504"/>
                              </a:lnTo>
                              <a:lnTo>
                                <a:pt x="120" y="504"/>
                              </a:lnTo>
                              <a:lnTo>
                                <a:pt x="105" y="534"/>
                              </a:lnTo>
                              <a:close/>
                            </a:path>
                          </a:pathLst>
                        </a:custGeom>
                        <a:solidFill>
                          <a:srgbClr val="000000"/>
                        </a:solidFill>
                        <a:ln>
                          <a:noFill/>
                        </a:ln>
                      </wps:spPr>
                      <wps:bodyPr upright="1"/>
                    </wps:wsp>
                  </a:graphicData>
                </a:graphic>
              </wp:anchor>
            </w:drawing>
          </mc:Choice>
          <mc:Fallback>
            <w:pict>
              <v:shape id="任意多边形 207" o:spid="_x0000_s1026" o:spt="100" style="position:absolute;left:0pt;margin-left:265.85pt;margin-top:20.95pt;height:31.2pt;width:6pt;mso-position-horizontal-relative:page;mso-wrap-distance-bottom:0pt;mso-wrap-distance-top:0pt;z-index:-251520000;mso-width-relative:page;mso-height-relative:page;" fillcolor="#000000" filled="t" stroked="f" coordsize="120,624" o:gfxdata="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JArVi2AAAAAoBAAAPAAAAAAAA&#10;AAEAIAAAACIAAABkcnMvZG93bnJldi54bWxQSwECFAAUAAAACACHTuJAEvJ3NksCAAAABgAADgAA&#10;AAAAAAABACAAAAAnAQAAZHJzL2Uyb0RvYy54bWxQSwUGAAAAAAYABgBZAQAA5AUAAAAA&#10;" path="m68,534l53,534,53,0,68,0,68,534xm60,624l0,504,53,504,53,534,105,534,60,624xm105,534l68,534,68,504,120,504,105,534xe">
                <v:fill on="t" focussize="0,0"/>
                <v:stroke on="f"/>
                <v:imagedata o:title=""/>
                <o:lock v:ext="edit" aspectratio="f"/>
                <w10:wrap type="topAndBottom"/>
              </v:shape>
            </w:pict>
          </mc:Fallback>
        </mc:AlternateContent>
      </w:r>
      <w:r>
        <w:t>回用水泵</w:t>
      </w:r>
    </w:p>
    <w:p>
      <w:pPr>
        <w:pStyle w:val="6"/>
        <w:ind w:right="1573"/>
        <w:jc w:val="center"/>
      </w:pPr>
      <w:r>
        <w:t>道路及绿化洒水用水</w:t>
      </w:r>
    </w:p>
    <w:p>
      <w:pPr>
        <w:pStyle w:val="5"/>
        <w:tabs>
          <w:tab w:val="left" w:pos="1041"/>
        </w:tabs>
        <w:spacing w:before="33"/>
        <w:ind w:right="352"/>
        <w:jc w:val="center"/>
      </w:pPr>
      <w:r>
        <w:t>图</w:t>
      </w:r>
      <w:r>
        <w:rPr>
          <w:spacing w:val="-62"/>
        </w:rPr>
        <w:t xml:space="preserve"> </w:t>
      </w:r>
      <w:r>
        <w:rPr>
          <w:rFonts w:ascii="Times New Roman" w:eastAsia="Times New Roman"/>
        </w:rPr>
        <w:t>7.6-1</w:t>
      </w:r>
      <w:r>
        <w:rPr>
          <w:rFonts w:ascii="Times New Roman" w:eastAsia="Times New Roman"/>
        </w:rPr>
        <w:tab/>
      </w:r>
      <w:r>
        <w:t>生活污水处理工艺流程图</w:t>
      </w:r>
    </w:p>
    <w:p>
      <w:pPr>
        <w:spacing w:after="0"/>
        <w:jc w:val="center"/>
        <w:sectPr>
          <w:pgSz w:w="11910" w:h="16840"/>
          <w:pgMar w:top="1580" w:right="780" w:bottom="1320" w:left="1200" w:header="0" w:footer="1058" w:gutter="0"/>
        </w:sectPr>
      </w:pPr>
    </w:p>
    <w:p>
      <w:pPr>
        <w:pStyle w:val="6"/>
        <w:spacing w:before="66"/>
        <w:ind w:left="696"/>
      </w:pPr>
      <w:r>
        <w:t xml:space="preserve">采用这种工艺处理后的生活污水出水水质见表 </w:t>
      </w:r>
      <w:r>
        <w:rPr>
          <w:rFonts w:ascii="Times New Roman" w:eastAsia="Times New Roman"/>
        </w:rPr>
        <w:t>7.6-1</w:t>
      </w:r>
      <w:r>
        <w:t>。</w:t>
      </w:r>
    </w:p>
    <w:p>
      <w:pPr>
        <w:pStyle w:val="6"/>
        <w:spacing w:before="9"/>
        <w:rPr>
          <w:sz w:val="21"/>
        </w:rPr>
      </w:pPr>
    </w:p>
    <w:p>
      <w:pPr>
        <w:pStyle w:val="5"/>
        <w:tabs>
          <w:tab w:val="left" w:pos="4101"/>
        </w:tabs>
        <w:spacing w:after="3"/>
        <w:ind w:left="3060"/>
      </w:pPr>
      <w:r>
        <w:t>表</w:t>
      </w:r>
      <w:r>
        <w:rPr>
          <w:spacing w:val="-62"/>
        </w:rPr>
        <w:t xml:space="preserve"> </w:t>
      </w:r>
      <w:r>
        <w:rPr>
          <w:rFonts w:ascii="Times New Roman" w:eastAsia="Times New Roman"/>
        </w:rPr>
        <w:t>7.6-1</w:t>
      </w:r>
      <w:r>
        <w:rPr>
          <w:rFonts w:ascii="Times New Roman" w:eastAsia="Times New Roman"/>
        </w:rPr>
        <w:tab/>
      </w:r>
      <w:r>
        <w:t>生活污水处理效果预测</w:t>
      </w: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9"/>
        <w:gridCol w:w="1040"/>
        <w:gridCol w:w="1816"/>
        <w:gridCol w:w="1557"/>
        <w:gridCol w:w="1817"/>
        <w:gridCol w:w="18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7" w:hRule="atLeast"/>
        </w:trPr>
        <w:tc>
          <w:tcPr>
            <w:tcW w:w="1299" w:type="dxa"/>
          </w:tcPr>
          <w:p>
            <w:pPr>
              <w:pStyle w:val="14"/>
              <w:spacing w:before="6"/>
              <w:jc w:val="left"/>
              <w:rPr>
                <w:b/>
                <w:sz w:val="25"/>
              </w:rPr>
            </w:pPr>
          </w:p>
          <w:p>
            <w:pPr>
              <w:pStyle w:val="14"/>
              <w:ind w:left="229"/>
              <w:jc w:val="left"/>
              <w:rPr>
                <w:sz w:val="21"/>
              </w:rPr>
            </w:pPr>
            <w:r>
              <w:rPr>
                <w:w w:val="95"/>
                <w:sz w:val="21"/>
              </w:rPr>
              <w:t>处理规模</w:t>
            </w:r>
          </w:p>
          <w:p>
            <w:pPr>
              <w:pStyle w:val="14"/>
              <w:spacing w:before="2"/>
              <w:ind w:left="241"/>
              <w:jc w:val="left"/>
              <w:rPr>
                <w:sz w:val="21"/>
              </w:rPr>
            </w:pPr>
            <w:r>
              <w:rPr>
                <w:sz w:val="21"/>
              </w:rPr>
              <w:t>（</w:t>
            </w:r>
            <w:r>
              <w:rPr>
                <w:rFonts w:ascii="Times New Roman" w:eastAsia="Times New Roman"/>
                <w:sz w:val="21"/>
              </w:rPr>
              <w:t>m</w:t>
            </w:r>
            <w:r>
              <w:rPr>
                <w:rFonts w:ascii="Times New Roman" w:eastAsia="Times New Roman"/>
                <w:position w:val="7"/>
                <w:sz w:val="13"/>
              </w:rPr>
              <w:t>3</w:t>
            </w:r>
            <w:r>
              <w:rPr>
                <w:rFonts w:ascii="Times New Roman" w:eastAsia="Times New Roman"/>
                <w:sz w:val="21"/>
              </w:rPr>
              <w:t>/d</w:t>
            </w:r>
            <w:r>
              <w:rPr>
                <w:sz w:val="21"/>
              </w:rPr>
              <w:t>）</w:t>
            </w:r>
          </w:p>
        </w:tc>
        <w:tc>
          <w:tcPr>
            <w:tcW w:w="1040" w:type="dxa"/>
          </w:tcPr>
          <w:p>
            <w:pPr>
              <w:pStyle w:val="14"/>
              <w:jc w:val="left"/>
              <w:rPr>
                <w:b/>
                <w:sz w:val="20"/>
              </w:rPr>
            </w:pPr>
          </w:p>
          <w:p>
            <w:pPr>
              <w:pStyle w:val="14"/>
              <w:spacing w:before="2"/>
              <w:jc w:val="left"/>
              <w:rPr>
                <w:b/>
                <w:sz w:val="16"/>
              </w:rPr>
            </w:pPr>
          </w:p>
          <w:p>
            <w:pPr>
              <w:pStyle w:val="14"/>
              <w:ind w:left="184" w:right="176"/>
              <w:rPr>
                <w:sz w:val="21"/>
              </w:rPr>
            </w:pPr>
            <w:r>
              <w:rPr>
                <w:sz w:val="21"/>
              </w:rPr>
              <w:t>指标</w:t>
            </w:r>
          </w:p>
        </w:tc>
        <w:tc>
          <w:tcPr>
            <w:tcW w:w="1816" w:type="dxa"/>
          </w:tcPr>
          <w:p>
            <w:pPr>
              <w:pStyle w:val="14"/>
              <w:spacing w:before="6"/>
              <w:jc w:val="left"/>
              <w:rPr>
                <w:b/>
                <w:sz w:val="25"/>
              </w:rPr>
            </w:pPr>
          </w:p>
          <w:p>
            <w:pPr>
              <w:pStyle w:val="14"/>
              <w:ind w:left="257" w:right="249"/>
              <w:rPr>
                <w:sz w:val="21"/>
              </w:rPr>
            </w:pPr>
            <w:r>
              <w:rPr>
                <w:sz w:val="21"/>
              </w:rPr>
              <w:t>设计进水浓度</w:t>
            </w:r>
          </w:p>
          <w:p>
            <w:pPr>
              <w:pStyle w:val="14"/>
              <w:spacing w:before="2"/>
              <w:ind w:left="257" w:right="249"/>
              <w:rPr>
                <w:sz w:val="21"/>
              </w:rPr>
            </w:pPr>
            <w:r>
              <w:rPr>
                <w:sz w:val="21"/>
              </w:rPr>
              <w:t>（</w:t>
            </w:r>
            <w:r>
              <w:rPr>
                <w:rFonts w:ascii="Times New Roman" w:eastAsia="Times New Roman"/>
                <w:sz w:val="21"/>
              </w:rPr>
              <w:t>mg/L</w:t>
            </w:r>
            <w:r>
              <w:rPr>
                <w:sz w:val="21"/>
              </w:rPr>
              <w:t>）</w:t>
            </w:r>
          </w:p>
        </w:tc>
        <w:tc>
          <w:tcPr>
            <w:tcW w:w="1557" w:type="dxa"/>
          </w:tcPr>
          <w:p>
            <w:pPr>
              <w:pStyle w:val="14"/>
              <w:spacing w:before="6"/>
              <w:jc w:val="left"/>
              <w:rPr>
                <w:b/>
                <w:sz w:val="25"/>
              </w:rPr>
            </w:pPr>
          </w:p>
          <w:p>
            <w:pPr>
              <w:pStyle w:val="14"/>
              <w:spacing w:line="242" w:lineRule="auto"/>
              <w:ind w:left="463" w:right="243" w:hanging="212"/>
              <w:jc w:val="left"/>
              <w:rPr>
                <w:sz w:val="21"/>
              </w:rPr>
            </w:pPr>
            <w:r>
              <w:rPr>
                <w:sz w:val="21"/>
              </w:rPr>
              <w:t>预处理工段去除率</w:t>
            </w:r>
          </w:p>
        </w:tc>
        <w:tc>
          <w:tcPr>
            <w:tcW w:w="1817" w:type="dxa"/>
          </w:tcPr>
          <w:p>
            <w:pPr>
              <w:pStyle w:val="14"/>
              <w:spacing w:before="6"/>
              <w:jc w:val="left"/>
              <w:rPr>
                <w:b/>
                <w:sz w:val="25"/>
              </w:rPr>
            </w:pPr>
          </w:p>
          <w:p>
            <w:pPr>
              <w:pStyle w:val="14"/>
              <w:spacing w:line="242" w:lineRule="auto"/>
              <w:ind w:left="591" w:right="270" w:hanging="315"/>
              <w:jc w:val="left"/>
              <w:rPr>
                <w:sz w:val="21"/>
              </w:rPr>
            </w:pPr>
            <w:r>
              <w:rPr>
                <w:sz w:val="21"/>
              </w:rPr>
              <w:t>生化处理工段去除率</w:t>
            </w:r>
          </w:p>
        </w:tc>
        <w:tc>
          <w:tcPr>
            <w:tcW w:w="1815" w:type="dxa"/>
          </w:tcPr>
          <w:p>
            <w:pPr>
              <w:pStyle w:val="14"/>
              <w:spacing w:before="6"/>
              <w:jc w:val="left"/>
              <w:rPr>
                <w:b/>
                <w:sz w:val="25"/>
              </w:rPr>
            </w:pPr>
          </w:p>
          <w:p>
            <w:pPr>
              <w:pStyle w:val="14"/>
              <w:ind w:left="255" w:right="249"/>
              <w:rPr>
                <w:sz w:val="21"/>
              </w:rPr>
            </w:pPr>
            <w:r>
              <w:rPr>
                <w:sz w:val="21"/>
              </w:rPr>
              <w:t>设计出水浓度</w:t>
            </w:r>
          </w:p>
          <w:p>
            <w:pPr>
              <w:pStyle w:val="14"/>
              <w:spacing w:before="2"/>
              <w:ind w:left="255" w:right="249"/>
              <w:rPr>
                <w:sz w:val="21"/>
              </w:rPr>
            </w:pPr>
            <w:r>
              <w:rPr>
                <w:sz w:val="21"/>
              </w:rPr>
              <w:t>（</w:t>
            </w:r>
            <w:r>
              <w:rPr>
                <w:rFonts w:ascii="Times New Roman" w:eastAsia="Times New Roman"/>
                <w:sz w:val="21"/>
              </w:rPr>
              <w:t>mg/L</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1299" w:type="dxa"/>
            <w:vMerge w:val="restart"/>
          </w:tcPr>
          <w:p>
            <w:pPr>
              <w:pStyle w:val="14"/>
              <w:jc w:val="left"/>
              <w:rPr>
                <w:b/>
                <w:sz w:val="22"/>
              </w:rPr>
            </w:pPr>
          </w:p>
          <w:p>
            <w:pPr>
              <w:pStyle w:val="14"/>
              <w:jc w:val="left"/>
              <w:rPr>
                <w:b/>
                <w:sz w:val="22"/>
              </w:rPr>
            </w:pPr>
          </w:p>
          <w:p>
            <w:pPr>
              <w:pStyle w:val="14"/>
              <w:jc w:val="left"/>
              <w:rPr>
                <w:b/>
                <w:sz w:val="22"/>
              </w:rPr>
            </w:pPr>
          </w:p>
          <w:p>
            <w:pPr>
              <w:pStyle w:val="14"/>
              <w:spacing w:before="3"/>
              <w:jc w:val="left"/>
              <w:rPr>
                <w:b/>
                <w:sz w:val="20"/>
              </w:rPr>
            </w:pPr>
          </w:p>
          <w:p>
            <w:pPr>
              <w:pStyle w:val="14"/>
              <w:ind w:left="313" w:right="305"/>
              <w:rPr>
                <w:rFonts w:ascii="Times New Roman"/>
                <w:sz w:val="21"/>
              </w:rPr>
            </w:pPr>
            <w:r>
              <w:rPr>
                <w:rFonts w:ascii="Times New Roman"/>
                <w:sz w:val="21"/>
              </w:rPr>
              <w:t>360</w:t>
            </w:r>
          </w:p>
        </w:tc>
        <w:tc>
          <w:tcPr>
            <w:tcW w:w="1040" w:type="dxa"/>
          </w:tcPr>
          <w:p>
            <w:pPr>
              <w:pStyle w:val="14"/>
              <w:spacing w:before="119"/>
              <w:ind w:left="184" w:right="175"/>
              <w:rPr>
                <w:rFonts w:ascii="Times New Roman"/>
                <w:sz w:val="21"/>
              </w:rPr>
            </w:pPr>
            <w:r>
              <w:rPr>
                <w:rFonts w:ascii="Times New Roman"/>
                <w:sz w:val="21"/>
              </w:rPr>
              <w:t>SS</w:t>
            </w:r>
          </w:p>
        </w:tc>
        <w:tc>
          <w:tcPr>
            <w:tcW w:w="1816" w:type="dxa"/>
          </w:tcPr>
          <w:p>
            <w:pPr>
              <w:pStyle w:val="14"/>
              <w:spacing w:before="119"/>
              <w:ind w:right="739"/>
              <w:jc w:val="right"/>
              <w:rPr>
                <w:rFonts w:ascii="Times New Roman"/>
                <w:sz w:val="21"/>
              </w:rPr>
            </w:pPr>
            <w:r>
              <w:rPr>
                <w:rFonts w:ascii="Times New Roman"/>
                <w:sz w:val="21"/>
              </w:rPr>
              <w:t>200</w:t>
            </w:r>
          </w:p>
        </w:tc>
        <w:tc>
          <w:tcPr>
            <w:tcW w:w="1557" w:type="dxa"/>
          </w:tcPr>
          <w:p>
            <w:pPr>
              <w:pStyle w:val="14"/>
              <w:spacing w:line="241" w:lineRule="exact"/>
              <w:ind w:left="372" w:right="362"/>
              <w:rPr>
                <w:rFonts w:ascii="Times New Roman"/>
                <w:sz w:val="21"/>
              </w:rPr>
            </w:pPr>
            <w:r>
              <w:rPr>
                <w:rFonts w:ascii="Times New Roman"/>
                <w:sz w:val="21"/>
              </w:rPr>
              <w:t>75%</w:t>
            </w:r>
          </w:p>
          <w:p>
            <w:pPr>
              <w:pStyle w:val="14"/>
              <w:spacing w:before="1" w:line="221" w:lineRule="exact"/>
              <w:ind w:left="369" w:right="364"/>
              <w:rPr>
                <w:rFonts w:ascii="Times New Roman"/>
                <w:sz w:val="21"/>
              </w:rPr>
            </w:pPr>
            <w:r>
              <w:rPr>
                <w:rFonts w:ascii="Times New Roman"/>
                <w:sz w:val="21"/>
              </w:rPr>
              <w:t>50mg/L</w:t>
            </w:r>
          </w:p>
        </w:tc>
        <w:tc>
          <w:tcPr>
            <w:tcW w:w="1817" w:type="dxa"/>
          </w:tcPr>
          <w:p>
            <w:pPr>
              <w:pStyle w:val="14"/>
              <w:spacing w:line="241" w:lineRule="exact"/>
              <w:ind w:left="65" w:right="54"/>
              <w:rPr>
                <w:rFonts w:ascii="Times New Roman"/>
                <w:sz w:val="21"/>
              </w:rPr>
            </w:pPr>
            <w:r>
              <w:rPr>
                <w:rFonts w:ascii="Times New Roman"/>
                <w:sz w:val="21"/>
              </w:rPr>
              <w:t>80%</w:t>
            </w:r>
          </w:p>
          <w:p>
            <w:pPr>
              <w:pStyle w:val="14"/>
              <w:spacing w:before="1" w:line="221" w:lineRule="exact"/>
              <w:ind w:left="59" w:right="54"/>
              <w:rPr>
                <w:rFonts w:ascii="Times New Roman"/>
                <w:sz w:val="21"/>
              </w:rPr>
            </w:pPr>
            <w:r>
              <w:rPr>
                <w:rFonts w:ascii="Times New Roman"/>
                <w:sz w:val="21"/>
              </w:rPr>
              <w:t>10mg/L</w:t>
            </w:r>
          </w:p>
        </w:tc>
        <w:tc>
          <w:tcPr>
            <w:tcW w:w="1815" w:type="dxa"/>
          </w:tcPr>
          <w:p>
            <w:pPr>
              <w:pStyle w:val="14"/>
              <w:spacing w:before="119"/>
              <w:ind w:left="255" w:right="245"/>
              <w:rPr>
                <w:rFonts w:ascii="Times New Roman" w:hAnsi="Times New Roman"/>
                <w:sz w:val="21"/>
              </w:rPr>
            </w:pPr>
            <w:r>
              <w:rPr>
                <w:rFonts w:ascii="Times New Roman" w:hAnsi="Times New Roman"/>
                <w:sz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1299" w:type="dxa"/>
            <w:vMerge w:val="continue"/>
            <w:tcBorders>
              <w:top w:val="nil"/>
            </w:tcBorders>
          </w:tcPr>
          <w:p>
            <w:pPr>
              <w:rPr>
                <w:sz w:val="2"/>
                <w:szCs w:val="2"/>
              </w:rPr>
            </w:pPr>
          </w:p>
        </w:tc>
        <w:tc>
          <w:tcPr>
            <w:tcW w:w="1040" w:type="dxa"/>
          </w:tcPr>
          <w:p>
            <w:pPr>
              <w:pStyle w:val="14"/>
              <w:spacing w:before="120"/>
              <w:ind w:left="183" w:right="176"/>
              <w:rPr>
                <w:rFonts w:ascii="Times New Roman"/>
                <w:sz w:val="21"/>
              </w:rPr>
            </w:pPr>
            <w:r>
              <w:rPr>
                <w:rFonts w:ascii="Times New Roman"/>
                <w:sz w:val="21"/>
              </w:rPr>
              <w:t>COD</w:t>
            </w:r>
          </w:p>
        </w:tc>
        <w:tc>
          <w:tcPr>
            <w:tcW w:w="1816" w:type="dxa"/>
          </w:tcPr>
          <w:p>
            <w:pPr>
              <w:pStyle w:val="14"/>
              <w:spacing w:before="120"/>
              <w:ind w:right="739"/>
              <w:jc w:val="right"/>
              <w:rPr>
                <w:rFonts w:ascii="Times New Roman"/>
                <w:sz w:val="21"/>
              </w:rPr>
            </w:pPr>
            <w:r>
              <w:rPr>
                <w:rFonts w:ascii="Times New Roman"/>
                <w:sz w:val="21"/>
              </w:rPr>
              <w:t>300</w:t>
            </w:r>
          </w:p>
        </w:tc>
        <w:tc>
          <w:tcPr>
            <w:tcW w:w="1557" w:type="dxa"/>
          </w:tcPr>
          <w:p>
            <w:pPr>
              <w:pStyle w:val="14"/>
              <w:spacing w:line="241" w:lineRule="exact"/>
              <w:ind w:left="372" w:right="364"/>
              <w:rPr>
                <w:rFonts w:ascii="Times New Roman"/>
                <w:sz w:val="21"/>
              </w:rPr>
            </w:pPr>
            <w:r>
              <w:rPr>
                <w:rFonts w:ascii="Times New Roman"/>
                <w:sz w:val="21"/>
              </w:rPr>
              <w:t>10%</w:t>
            </w:r>
          </w:p>
          <w:p>
            <w:pPr>
              <w:pStyle w:val="14"/>
              <w:spacing w:line="222" w:lineRule="exact"/>
              <w:ind w:left="372" w:right="363"/>
              <w:rPr>
                <w:rFonts w:ascii="Times New Roman"/>
                <w:sz w:val="21"/>
              </w:rPr>
            </w:pPr>
            <w:r>
              <w:rPr>
                <w:rFonts w:ascii="Times New Roman"/>
                <w:sz w:val="21"/>
              </w:rPr>
              <w:t>270mg/L</w:t>
            </w:r>
          </w:p>
        </w:tc>
        <w:tc>
          <w:tcPr>
            <w:tcW w:w="1817" w:type="dxa"/>
          </w:tcPr>
          <w:p>
            <w:pPr>
              <w:pStyle w:val="14"/>
              <w:spacing w:line="241" w:lineRule="exact"/>
              <w:ind w:left="62" w:right="54"/>
              <w:rPr>
                <w:rFonts w:ascii="Times New Roman"/>
                <w:sz w:val="21"/>
              </w:rPr>
            </w:pPr>
            <w:r>
              <w:rPr>
                <w:rFonts w:ascii="Times New Roman"/>
                <w:sz w:val="21"/>
              </w:rPr>
              <w:t>90%</w:t>
            </w:r>
          </w:p>
          <w:p>
            <w:pPr>
              <w:pStyle w:val="14"/>
              <w:spacing w:line="222" w:lineRule="exact"/>
              <w:ind w:left="59" w:right="54"/>
              <w:rPr>
                <w:rFonts w:ascii="Times New Roman"/>
                <w:sz w:val="21"/>
              </w:rPr>
            </w:pPr>
            <w:r>
              <w:rPr>
                <w:rFonts w:ascii="Times New Roman"/>
                <w:sz w:val="21"/>
              </w:rPr>
              <w:t>30mg/L</w:t>
            </w:r>
          </w:p>
        </w:tc>
        <w:tc>
          <w:tcPr>
            <w:tcW w:w="1815" w:type="dxa"/>
          </w:tcPr>
          <w:p>
            <w:pPr>
              <w:pStyle w:val="14"/>
              <w:spacing w:before="120"/>
              <w:ind w:left="255" w:right="245"/>
              <w:rPr>
                <w:rFonts w:ascii="Times New Roman" w:hAnsi="Times New Roman"/>
                <w:sz w:val="21"/>
              </w:rPr>
            </w:pPr>
            <w:r>
              <w:rPr>
                <w:rFonts w:ascii="Times New Roman" w:hAnsi="Times New Roman"/>
                <w:sz w:val="21"/>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1299" w:type="dxa"/>
            <w:vMerge w:val="continue"/>
            <w:tcBorders>
              <w:top w:val="nil"/>
            </w:tcBorders>
          </w:tcPr>
          <w:p>
            <w:pPr>
              <w:rPr>
                <w:sz w:val="2"/>
                <w:szCs w:val="2"/>
              </w:rPr>
            </w:pPr>
          </w:p>
        </w:tc>
        <w:tc>
          <w:tcPr>
            <w:tcW w:w="1040" w:type="dxa"/>
          </w:tcPr>
          <w:p>
            <w:pPr>
              <w:pStyle w:val="14"/>
              <w:spacing w:before="116"/>
              <w:ind w:left="184" w:right="173"/>
              <w:rPr>
                <w:rFonts w:ascii="Times New Roman"/>
                <w:sz w:val="21"/>
              </w:rPr>
            </w:pPr>
            <w:r>
              <w:rPr>
                <w:rFonts w:ascii="Times New Roman"/>
                <w:position w:val="2"/>
                <w:sz w:val="21"/>
              </w:rPr>
              <w:t>BOD</w:t>
            </w:r>
            <w:r>
              <w:rPr>
                <w:rFonts w:ascii="Times New Roman"/>
                <w:position w:val="2"/>
                <w:sz w:val="21"/>
                <w:vertAlign w:val="subscript"/>
              </w:rPr>
              <w:t>5</w:t>
            </w:r>
          </w:p>
        </w:tc>
        <w:tc>
          <w:tcPr>
            <w:tcW w:w="1816" w:type="dxa"/>
          </w:tcPr>
          <w:p>
            <w:pPr>
              <w:pStyle w:val="14"/>
              <w:spacing w:before="119"/>
              <w:ind w:right="739"/>
              <w:jc w:val="right"/>
              <w:rPr>
                <w:rFonts w:ascii="Times New Roman"/>
                <w:sz w:val="21"/>
              </w:rPr>
            </w:pPr>
            <w:r>
              <w:rPr>
                <w:rFonts w:ascii="Times New Roman"/>
                <w:sz w:val="21"/>
              </w:rPr>
              <w:t>200</w:t>
            </w:r>
          </w:p>
        </w:tc>
        <w:tc>
          <w:tcPr>
            <w:tcW w:w="1557" w:type="dxa"/>
          </w:tcPr>
          <w:p>
            <w:pPr>
              <w:pStyle w:val="14"/>
              <w:spacing w:line="241" w:lineRule="exact"/>
              <w:ind w:left="372" w:right="364"/>
              <w:rPr>
                <w:rFonts w:ascii="Times New Roman"/>
                <w:sz w:val="21"/>
              </w:rPr>
            </w:pPr>
            <w:r>
              <w:rPr>
                <w:rFonts w:ascii="Times New Roman"/>
                <w:sz w:val="21"/>
              </w:rPr>
              <w:t>10%</w:t>
            </w:r>
          </w:p>
          <w:p>
            <w:pPr>
              <w:pStyle w:val="14"/>
              <w:spacing w:before="1" w:line="221" w:lineRule="exact"/>
              <w:ind w:left="371" w:right="364"/>
              <w:rPr>
                <w:rFonts w:ascii="Times New Roman"/>
                <w:sz w:val="21"/>
              </w:rPr>
            </w:pPr>
            <w:r>
              <w:rPr>
                <w:rFonts w:ascii="Times New Roman"/>
                <w:sz w:val="21"/>
              </w:rPr>
              <w:t>180mg/L</w:t>
            </w:r>
          </w:p>
        </w:tc>
        <w:tc>
          <w:tcPr>
            <w:tcW w:w="1817" w:type="dxa"/>
          </w:tcPr>
          <w:p>
            <w:pPr>
              <w:pStyle w:val="14"/>
              <w:spacing w:line="241" w:lineRule="exact"/>
              <w:ind w:left="62" w:right="54"/>
              <w:rPr>
                <w:rFonts w:ascii="Times New Roman"/>
                <w:sz w:val="21"/>
              </w:rPr>
            </w:pPr>
            <w:r>
              <w:rPr>
                <w:rFonts w:ascii="Times New Roman"/>
                <w:sz w:val="21"/>
              </w:rPr>
              <w:t>90%</w:t>
            </w:r>
          </w:p>
          <w:p>
            <w:pPr>
              <w:pStyle w:val="14"/>
              <w:spacing w:before="1" w:line="221" w:lineRule="exact"/>
              <w:ind w:left="59" w:right="54"/>
              <w:rPr>
                <w:rFonts w:ascii="Times New Roman"/>
                <w:sz w:val="21"/>
              </w:rPr>
            </w:pPr>
            <w:r>
              <w:rPr>
                <w:rFonts w:ascii="Times New Roman"/>
                <w:sz w:val="21"/>
              </w:rPr>
              <w:t>18mg/L</w:t>
            </w:r>
          </w:p>
        </w:tc>
        <w:tc>
          <w:tcPr>
            <w:tcW w:w="1815" w:type="dxa"/>
          </w:tcPr>
          <w:p>
            <w:pPr>
              <w:pStyle w:val="14"/>
              <w:spacing w:before="119"/>
              <w:ind w:left="255" w:right="245"/>
              <w:rPr>
                <w:rFonts w:ascii="Times New Roman" w:hAnsi="Times New Roman"/>
                <w:sz w:val="21"/>
              </w:rPr>
            </w:pPr>
            <w:r>
              <w:rPr>
                <w:rFonts w:ascii="Times New Roman" w:hAnsi="Times New Roman"/>
                <w:sz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1299" w:type="dxa"/>
            <w:vMerge w:val="continue"/>
            <w:tcBorders>
              <w:top w:val="nil"/>
            </w:tcBorders>
          </w:tcPr>
          <w:p>
            <w:pPr>
              <w:rPr>
                <w:sz w:val="2"/>
                <w:szCs w:val="2"/>
              </w:rPr>
            </w:pPr>
          </w:p>
        </w:tc>
        <w:tc>
          <w:tcPr>
            <w:tcW w:w="1040" w:type="dxa"/>
          </w:tcPr>
          <w:p>
            <w:pPr>
              <w:pStyle w:val="14"/>
              <w:spacing w:before="104"/>
              <w:ind w:left="184" w:right="176"/>
              <w:rPr>
                <w:sz w:val="21"/>
              </w:rPr>
            </w:pPr>
            <w:r>
              <w:rPr>
                <w:sz w:val="21"/>
              </w:rPr>
              <w:t>石油类</w:t>
            </w:r>
          </w:p>
        </w:tc>
        <w:tc>
          <w:tcPr>
            <w:tcW w:w="1816" w:type="dxa"/>
          </w:tcPr>
          <w:p>
            <w:pPr>
              <w:pStyle w:val="14"/>
              <w:spacing w:before="121"/>
              <w:ind w:right="790"/>
              <w:jc w:val="right"/>
              <w:rPr>
                <w:rFonts w:ascii="Times New Roman"/>
                <w:sz w:val="21"/>
              </w:rPr>
            </w:pPr>
            <w:r>
              <w:rPr>
                <w:rFonts w:ascii="Times New Roman"/>
                <w:sz w:val="21"/>
              </w:rPr>
              <w:t>20</w:t>
            </w:r>
          </w:p>
        </w:tc>
        <w:tc>
          <w:tcPr>
            <w:tcW w:w="1557" w:type="dxa"/>
          </w:tcPr>
          <w:p>
            <w:pPr>
              <w:pStyle w:val="14"/>
              <w:spacing w:before="1" w:line="241" w:lineRule="exact"/>
              <w:ind w:left="372" w:right="362"/>
              <w:rPr>
                <w:rFonts w:ascii="Times New Roman"/>
                <w:sz w:val="21"/>
              </w:rPr>
            </w:pPr>
            <w:r>
              <w:rPr>
                <w:rFonts w:ascii="Times New Roman"/>
                <w:sz w:val="21"/>
              </w:rPr>
              <w:t>90%</w:t>
            </w:r>
          </w:p>
          <w:p>
            <w:pPr>
              <w:pStyle w:val="14"/>
              <w:spacing w:line="221" w:lineRule="exact"/>
              <w:ind w:left="372" w:right="363"/>
              <w:rPr>
                <w:rFonts w:ascii="Times New Roman"/>
                <w:sz w:val="21"/>
              </w:rPr>
            </w:pPr>
            <w:r>
              <w:rPr>
                <w:rFonts w:ascii="Times New Roman"/>
                <w:sz w:val="21"/>
              </w:rPr>
              <w:t>2mg/L</w:t>
            </w:r>
          </w:p>
        </w:tc>
        <w:tc>
          <w:tcPr>
            <w:tcW w:w="1817" w:type="dxa"/>
          </w:tcPr>
          <w:p>
            <w:pPr>
              <w:pStyle w:val="14"/>
              <w:spacing w:before="1" w:line="241" w:lineRule="exact"/>
              <w:ind w:left="65" w:right="54"/>
              <w:rPr>
                <w:rFonts w:ascii="Times New Roman"/>
                <w:sz w:val="21"/>
              </w:rPr>
            </w:pPr>
            <w:r>
              <w:rPr>
                <w:rFonts w:ascii="Times New Roman"/>
                <w:sz w:val="21"/>
              </w:rPr>
              <w:t>0%</w:t>
            </w:r>
          </w:p>
          <w:p>
            <w:pPr>
              <w:pStyle w:val="14"/>
              <w:spacing w:line="221" w:lineRule="exact"/>
              <w:ind w:left="59" w:right="54"/>
              <w:rPr>
                <w:rFonts w:ascii="Times New Roman"/>
                <w:sz w:val="21"/>
              </w:rPr>
            </w:pPr>
            <w:r>
              <w:rPr>
                <w:rFonts w:ascii="Times New Roman"/>
                <w:sz w:val="21"/>
              </w:rPr>
              <w:t>2mg/L</w:t>
            </w:r>
          </w:p>
        </w:tc>
        <w:tc>
          <w:tcPr>
            <w:tcW w:w="1815" w:type="dxa"/>
          </w:tcPr>
          <w:p>
            <w:pPr>
              <w:pStyle w:val="14"/>
              <w:spacing w:before="121"/>
              <w:ind w:left="255" w:right="248"/>
              <w:rPr>
                <w:rFonts w:ascii="Times New Roman" w:hAnsi="Times New Roman"/>
                <w:sz w:val="21"/>
              </w:rPr>
            </w:pPr>
            <w:r>
              <w:rPr>
                <w:rFonts w:ascii="Times New Roman" w:hAnsi="Times New Roman"/>
                <w:sz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1299" w:type="dxa"/>
            <w:vMerge w:val="continue"/>
            <w:tcBorders>
              <w:top w:val="nil"/>
            </w:tcBorders>
          </w:tcPr>
          <w:p>
            <w:pPr>
              <w:rPr>
                <w:sz w:val="2"/>
                <w:szCs w:val="2"/>
              </w:rPr>
            </w:pPr>
          </w:p>
        </w:tc>
        <w:tc>
          <w:tcPr>
            <w:tcW w:w="1040" w:type="dxa"/>
          </w:tcPr>
          <w:p>
            <w:pPr>
              <w:pStyle w:val="14"/>
              <w:spacing w:before="103"/>
              <w:ind w:left="184" w:right="176"/>
              <w:rPr>
                <w:sz w:val="21"/>
              </w:rPr>
            </w:pPr>
            <w:r>
              <w:rPr>
                <w:sz w:val="21"/>
              </w:rPr>
              <w:t>氨氮</w:t>
            </w:r>
          </w:p>
        </w:tc>
        <w:tc>
          <w:tcPr>
            <w:tcW w:w="1816" w:type="dxa"/>
          </w:tcPr>
          <w:p>
            <w:pPr>
              <w:pStyle w:val="14"/>
              <w:spacing w:before="120"/>
              <w:ind w:right="790"/>
              <w:jc w:val="right"/>
              <w:rPr>
                <w:rFonts w:ascii="Times New Roman"/>
                <w:sz w:val="21"/>
              </w:rPr>
            </w:pPr>
            <w:r>
              <w:rPr>
                <w:rFonts w:ascii="Times New Roman"/>
                <w:sz w:val="21"/>
              </w:rPr>
              <w:t>25</w:t>
            </w:r>
          </w:p>
        </w:tc>
        <w:tc>
          <w:tcPr>
            <w:tcW w:w="1557" w:type="dxa"/>
          </w:tcPr>
          <w:p>
            <w:pPr>
              <w:pStyle w:val="14"/>
              <w:spacing w:line="241" w:lineRule="exact"/>
              <w:ind w:left="372" w:right="362"/>
              <w:rPr>
                <w:rFonts w:ascii="Times New Roman"/>
                <w:sz w:val="21"/>
              </w:rPr>
            </w:pPr>
            <w:r>
              <w:rPr>
                <w:rFonts w:ascii="Times New Roman"/>
                <w:sz w:val="21"/>
              </w:rPr>
              <w:t>0%</w:t>
            </w:r>
          </w:p>
          <w:p>
            <w:pPr>
              <w:pStyle w:val="14"/>
              <w:spacing w:line="222" w:lineRule="exact"/>
              <w:ind w:left="369" w:right="364"/>
              <w:rPr>
                <w:rFonts w:ascii="Times New Roman"/>
                <w:sz w:val="21"/>
              </w:rPr>
            </w:pPr>
            <w:r>
              <w:rPr>
                <w:rFonts w:ascii="Times New Roman"/>
                <w:sz w:val="21"/>
              </w:rPr>
              <w:t>25mg/L</w:t>
            </w:r>
          </w:p>
        </w:tc>
        <w:tc>
          <w:tcPr>
            <w:tcW w:w="1817" w:type="dxa"/>
          </w:tcPr>
          <w:p>
            <w:pPr>
              <w:pStyle w:val="14"/>
              <w:spacing w:line="241" w:lineRule="exact"/>
              <w:ind w:left="65" w:right="54"/>
              <w:rPr>
                <w:rFonts w:ascii="Times New Roman"/>
                <w:sz w:val="21"/>
              </w:rPr>
            </w:pPr>
            <w:r>
              <w:rPr>
                <w:rFonts w:ascii="Times New Roman"/>
                <w:sz w:val="21"/>
              </w:rPr>
              <w:t>80%</w:t>
            </w:r>
          </w:p>
          <w:p>
            <w:pPr>
              <w:pStyle w:val="14"/>
              <w:spacing w:line="222" w:lineRule="exact"/>
              <w:ind w:left="59" w:right="54"/>
              <w:rPr>
                <w:rFonts w:ascii="Times New Roman"/>
                <w:sz w:val="21"/>
              </w:rPr>
            </w:pPr>
            <w:r>
              <w:rPr>
                <w:rFonts w:ascii="Times New Roman"/>
                <w:sz w:val="21"/>
              </w:rPr>
              <w:t>5mg/L</w:t>
            </w:r>
          </w:p>
        </w:tc>
        <w:tc>
          <w:tcPr>
            <w:tcW w:w="1815" w:type="dxa"/>
          </w:tcPr>
          <w:p>
            <w:pPr>
              <w:pStyle w:val="14"/>
              <w:spacing w:before="120"/>
              <w:ind w:left="255" w:right="248"/>
              <w:rPr>
                <w:rFonts w:ascii="Times New Roman" w:hAnsi="Times New Roman"/>
                <w:sz w:val="21"/>
              </w:rPr>
            </w:pPr>
            <w:r>
              <w:rPr>
                <w:rFonts w:ascii="Times New Roman" w:hAnsi="Times New Roman"/>
                <w:sz w:val="21"/>
              </w:rPr>
              <w:t>≤6</w:t>
            </w:r>
          </w:p>
        </w:tc>
      </w:tr>
    </w:tbl>
    <w:p>
      <w:pPr>
        <w:pStyle w:val="13"/>
        <w:numPr>
          <w:ilvl w:val="2"/>
          <w:numId w:val="61"/>
        </w:numPr>
        <w:tabs>
          <w:tab w:val="left" w:pos="848"/>
        </w:tabs>
        <w:spacing w:before="1" w:after="0" w:line="240" w:lineRule="auto"/>
        <w:ind w:left="847" w:right="0" w:hanging="633"/>
        <w:jc w:val="left"/>
        <w:rPr>
          <w:b/>
          <w:sz w:val="28"/>
        </w:rPr>
      </w:pPr>
      <w:bookmarkStart w:id="734" w:name="7.6.2矿井水处理和利用方案"/>
      <w:bookmarkEnd w:id="734"/>
      <w:bookmarkStart w:id="735" w:name="7.6.2矿井水处理和利用方案"/>
      <w:bookmarkEnd w:id="735"/>
      <w:r>
        <w:rPr>
          <w:b/>
          <w:sz w:val="28"/>
        </w:rPr>
        <w:t>矿井水处理和利用方案</w:t>
      </w:r>
    </w:p>
    <w:p>
      <w:pPr>
        <w:pStyle w:val="6"/>
        <w:spacing w:before="186" w:line="364" w:lineRule="auto"/>
        <w:ind w:left="215" w:right="580" w:firstLine="480"/>
        <w:jc w:val="both"/>
      </w:pPr>
      <w:r>
        <w:t xml:space="preserve">根据《双鸭山大顺矿业有限公司改扩建可行性研究报告》，预计扩储后大顺煤矿正常涌水量为 </w:t>
      </w:r>
      <w:r>
        <w:rPr>
          <w:rFonts w:ascii="Times New Roman" w:eastAsia="Times New Roman"/>
        </w:rPr>
        <w:t>76m</w:t>
      </w:r>
      <w:r>
        <w:rPr>
          <w:rFonts w:ascii="Times New Roman" w:eastAsia="Times New Roman"/>
          <w:position w:val="8"/>
          <w:sz w:val="15"/>
        </w:rPr>
        <w:t>3</w:t>
      </w:r>
      <w:r>
        <w:rPr>
          <w:rFonts w:ascii="Times New Roman" w:eastAsia="Times New Roman"/>
        </w:rPr>
        <w:t>/h</w:t>
      </w:r>
      <w:r>
        <w:t xml:space="preserve">，最大涌水量为 </w:t>
      </w:r>
      <w:r>
        <w:rPr>
          <w:rFonts w:ascii="Times New Roman" w:eastAsia="Times New Roman"/>
        </w:rPr>
        <w:t>155m</w:t>
      </w:r>
      <w:r>
        <w:rPr>
          <w:rFonts w:ascii="Times New Roman" w:eastAsia="Times New Roman"/>
          <w:position w:val="8"/>
          <w:sz w:val="15"/>
        </w:rPr>
        <w:t>3</w:t>
      </w:r>
      <w:r>
        <w:rPr>
          <w:rFonts w:ascii="Times New Roman" w:eastAsia="Times New Roman"/>
        </w:rPr>
        <w:t>/h</w:t>
      </w:r>
      <w:r>
        <w:t>。</w:t>
      </w:r>
    </w:p>
    <w:p>
      <w:pPr>
        <w:pStyle w:val="6"/>
        <w:spacing w:line="306" w:lineRule="exact"/>
        <w:ind w:left="696"/>
      </w:pPr>
      <w:r>
        <w:t xml:space="preserve">矿井水中的主要污染因子是 </w:t>
      </w:r>
      <w:r>
        <w:rPr>
          <w:rFonts w:ascii="Times New Roman" w:eastAsia="Times New Roman"/>
        </w:rPr>
        <w:t xml:space="preserve">SS </w:t>
      </w:r>
      <w:r>
        <w:t xml:space="preserve">和 </w:t>
      </w:r>
      <w:r>
        <w:rPr>
          <w:rFonts w:ascii="Times New Roman" w:eastAsia="Times New Roman"/>
        </w:rPr>
        <w:t>COD</w:t>
      </w:r>
      <w:r>
        <w:t xml:space="preserve">，通常 </w:t>
      </w:r>
      <w:r>
        <w:rPr>
          <w:rFonts w:ascii="Times New Roman" w:eastAsia="Times New Roman"/>
        </w:rPr>
        <w:t xml:space="preserve">SS </w:t>
      </w:r>
      <w:r>
        <w:t xml:space="preserve">一般为 </w:t>
      </w:r>
      <w:r>
        <w:rPr>
          <w:rFonts w:ascii="Times New Roman" w:eastAsia="Times New Roman"/>
        </w:rPr>
        <w:t>350-1000mg/L</w:t>
      </w:r>
      <w:r>
        <w:t>，</w:t>
      </w:r>
      <w:r>
        <w:rPr>
          <w:rFonts w:ascii="Times New Roman" w:eastAsia="Times New Roman"/>
        </w:rPr>
        <w:t xml:space="preserve">COD </w:t>
      </w:r>
      <w:r>
        <w:t>为</w:t>
      </w:r>
    </w:p>
    <w:p>
      <w:pPr>
        <w:pStyle w:val="6"/>
        <w:spacing w:before="160"/>
        <w:ind w:left="215"/>
      </w:pPr>
      <w:r>
        <w:rPr>
          <w:rFonts w:ascii="Times New Roman" w:eastAsia="Times New Roman"/>
        </w:rPr>
        <w:t>100-200mg/L</w:t>
      </w:r>
      <w:r>
        <w:t>，为含悬浮物矿井水。</w:t>
      </w:r>
    </w:p>
    <w:p>
      <w:pPr>
        <w:pStyle w:val="6"/>
        <w:spacing w:before="161" w:line="362" w:lineRule="auto"/>
        <w:ind w:left="215" w:right="580" w:firstLine="480"/>
        <w:jc w:val="both"/>
      </w:pPr>
      <w:r>
        <w:t>从井下排放的矿井水运输至蓄凝池，通过水泵抽入预处理系统，经过预处理系统把相对洁净水经过精密过滤器再度净化，经高压泵加压打入反渗透处理系统，经反渗透处理后洁净水由增压泵输送至各用水点。</w:t>
      </w:r>
    </w:p>
    <w:p>
      <w:pPr>
        <w:pStyle w:val="6"/>
        <w:spacing w:before="6"/>
        <w:ind w:left="696"/>
      </w:pPr>
      <w:r>
        <w:t>工艺流程：矿井水</w:t>
      </w:r>
      <w:r>
        <w:rPr>
          <w:rFonts w:ascii="Times New Roman" w:hAnsi="Times New Roman" w:eastAsia="Times New Roman"/>
        </w:rPr>
        <w:t>→</w:t>
      </w:r>
      <w:r>
        <w:t>蓄凝池</w:t>
      </w:r>
      <w:r>
        <w:rPr>
          <w:rFonts w:ascii="Times New Roman" w:hAnsi="Times New Roman" w:eastAsia="Times New Roman"/>
        </w:rPr>
        <w:t>→</w:t>
      </w:r>
      <w:r>
        <w:t>水泵</w:t>
      </w:r>
      <w:r>
        <w:rPr>
          <w:rFonts w:ascii="Times New Roman" w:hAnsi="Times New Roman" w:eastAsia="Times New Roman"/>
        </w:rPr>
        <w:t>→</w:t>
      </w:r>
      <w:r>
        <w:t>多介质过滤器</w:t>
      </w:r>
      <w:r>
        <w:rPr>
          <w:rFonts w:ascii="Times New Roman" w:hAnsi="Times New Roman" w:eastAsia="Times New Roman"/>
        </w:rPr>
        <w:t>→</w:t>
      </w:r>
      <w:r>
        <w:t>过滤器</w:t>
      </w:r>
      <w:r>
        <w:rPr>
          <w:rFonts w:ascii="Times New Roman" w:hAnsi="Times New Roman" w:eastAsia="Times New Roman"/>
        </w:rPr>
        <w:t>→</w:t>
      </w:r>
      <w:r>
        <w:t>高压泵</w:t>
      </w:r>
      <w:r>
        <w:rPr>
          <w:rFonts w:ascii="Times New Roman" w:hAnsi="Times New Roman" w:eastAsia="Times New Roman"/>
        </w:rPr>
        <w:t>→</w:t>
      </w:r>
      <w:r>
        <w:t>反渗透系统</w:t>
      </w:r>
    </w:p>
    <w:p>
      <w:pPr>
        <w:pStyle w:val="6"/>
        <w:spacing w:before="160"/>
        <w:ind w:left="215"/>
      </w:pPr>
      <w:r>
        <w:rPr>
          <w:rFonts w:ascii="Times New Roman" w:hAnsi="Times New Roman" w:eastAsia="Times New Roman"/>
        </w:rPr>
        <w:t>→</w:t>
      </w:r>
      <w:r>
        <w:t>净水池</w:t>
      </w:r>
      <w:r>
        <w:rPr>
          <w:rFonts w:ascii="Times New Roman" w:hAnsi="Times New Roman" w:eastAsia="Times New Roman"/>
        </w:rPr>
        <w:t>→</w:t>
      </w:r>
      <w:r>
        <w:t>增压水泵</w:t>
      </w:r>
      <w:r>
        <w:rPr>
          <w:rFonts w:ascii="Times New Roman" w:hAnsi="Times New Roman" w:eastAsia="Times New Roman"/>
        </w:rPr>
        <w:t>→</w:t>
      </w:r>
      <w:r>
        <w:t>生活、生产、绿化用水。</w:t>
      </w:r>
    </w:p>
    <w:p>
      <w:pPr>
        <w:pStyle w:val="6"/>
        <w:spacing w:before="158" w:line="364" w:lineRule="auto"/>
        <w:ind w:left="215" w:right="580" w:firstLine="480"/>
      </w:pPr>
      <w:r>
        <w:t>采用循环供水系统，使废水在一定的生产过程中多次重复使，或者处理后再回用。既能减少废水排放量，减轻环境污染，又能减少新鲜水的补充量，节省水资源。</w:t>
      </w:r>
    </w:p>
    <w:p>
      <w:pPr>
        <w:pStyle w:val="6"/>
        <w:spacing w:line="364" w:lineRule="auto"/>
        <w:ind w:left="215" w:right="580" w:firstLine="480"/>
      </w:pPr>
      <w:r>
        <w:t>根据不同用水水质的要求可将处理后的用于矸石堆放场地和运输道路等洒水降尘用水和绿化用水。</w:t>
      </w:r>
    </w:p>
    <w:p>
      <w:pPr>
        <w:pStyle w:val="5"/>
        <w:tabs>
          <w:tab w:val="left" w:pos="4101"/>
        </w:tabs>
        <w:spacing w:before="118" w:after="3"/>
        <w:ind w:left="3060"/>
      </w:pPr>
      <w:r>
        <w:t>表</w:t>
      </w:r>
      <w:r>
        <w:rPr>
          <w:spacing w:val="-62"/>
        </w:rPr>
        <w:t xml:space="preserve"> </w:t>
      </w:r>
      <w:r>
        <w:rPr>
          <w:rFonts w:ascii="Times New Roman" w:eastAsia="Times New Roman"/>
        </w:rPr>
        <w:t>7.6-2</w:t>
      </w:r>
      <w:r>
        <w:rPr>
          <w:rFonts w:ascii="Times New Roman" w:eastAsia="Times New Roman"/>
        </w:rPr>
        <w:tab/>
      </w:r>
      <w:r>
        <w:t>矿井涌水处理效果预测</w:t>
      </w: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61"/>
        <w:gridCol w:w="787"/>
        <w:gridCol w:w="1761"/>
        <w:gridCol w:w="1511"/>
        <w:gridCol w:w="2263"/>
        <w:gridCol w:w="17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7" w:hRule="atLeast"/>
        </w:trPr>
        <w:tc>
          <w:tcPr>
            <w:tcW w:w="1261" w:type="dxa"/>
          </w:tcPr>
          <w:p>
            <w:pPr>
              <w:pStyle w:val="14"/>
              <w:spacing w:before="6"/>
              <w:jc w:val="left"/>
              <w:rPr>
                <w:b/>
                <w:sz w:val="25"/>
              </w:rPr>
            </w:pPr>
          </w:p>
          <w:p>
            <w:pPr>
              <w:pStyle w:val="14"/>
              <w:ind w:left="209"/>
              <w:jc w:val="left"/>
              <w:rPr>
                <w:sz w:val="21"/>
              </w:rPr>
            </w:pPr>
            <w:r>
              <w:rPr>
                <w:w w:val="95"/>
                <w:sz w:val="21"/>
              </w:rPr>
              <w:t>处理规模</w:t>
            </w:r>
          </w:p>
          <w:p>
            <w:pPr>
              <w:pStyle w:val="14"/>
              <w:spacing w:before="2"/>
              <w:ind w:left="221"/>
              <w:jc w:val="left"/>
              <w:rPr>
                <w:sz w:val="21"/>
              </w:rPr>
            </w:pPr>
            <w:r>
              <w:rPr>
                <w:sz w:val="21"/>
              </w:rPr>
              <w:t>（</w:t>
            </w:r>
            <w:r>
              <w:rPr>
                <w:rFonts w:ascii="Times New Roman" w:eastAsia="Times New Roman"/>
                <w:sz w:val="21"/>
              </w:rPr>
              <w:t>m</w:t>
            </w:r>
            <w:r>
              <w:rPr>
                <w:rFonts w:ascii="Times New Roman" w:eastAsia="Times New Roman"/>
                <w:position w:val="7"/>
                <w:sz w:val="13"/>
              </w:rPr>
              <w:t>3</w:t>
            </w:r>
            <w:r>
              <w:rPr>
                <w:rFonts w:ascii="Times New Roman" w:eastAsia="Times New Roman"/>
                <w:sz w:val="21"/>
              </w:rPr>
              <w:t>/d</w:t>
            </w:r>
            <w:r>
              <w:rPr>
                <w:sz w:val="21"/>
              </w:rPr>
              <w:t>）</w:t>
            </w:r>
          </w:p>
        </w:tc>
        <w:tc>
          <w:tcPr>
            <w:tcW w:w="787" w:type="dxa"/>
          </w:tcPr>
          <w:p>
            <w:pPr>
              <w:pStyle w:val="14"/>
              <w:jc w:val="left"/>
              <w:rPr>
                <w:b/>
                <w:sz w:val="20"/>
              </w:rPr>
            </w:pPr>
          </w:p>
          <w:p>
            <w:pPr>
              <w:pStyle w:val="14"/>
              <w:spacing w:before="2"/>
              <w:jc w:val="left"/>
              <w:rPr>
                <w:b/>
                <w:sz w:val="16"/>
              </w:rPr>
            </w:pPr>
          </w:p>
          <w:p>
            <w:pPr>
              <w:pStyle w:val="14"/>
              <w:ind w:left="149" w:right="144"/>
              <w:rPr>
                <w:sz w:val="21"/>
              </w:rPr>
            </w:pPr>
            <w:r>
              <w:rPr>
                <w:sz w:val="21"/>
              </w:rPr>
              <w:t>指标</w:t>
            </w:r>
          </w:p>
        </w:tc>
        <w:tc>
          <w:tcPr>
            <w:tcW w:w="1761" w:type="dxa"/>
          </w:tcPr>
          <w:p>
            <w:pPr>
              <w:pStyle w:val="14"/>
              <w:spacing w:before="6"/>
              <w:jc w:val="left"/>
              <w:rPr>
                <w:b/>
                <w:sz w:val="25"/>
              </w:rPr>
            </w:pPr>
          </w:p>
          <w:p>
            <w:pPr>
              <w:pStyle w:val="14"/>
              <w:ind w:left="223" w:right="217"/>
              <w:rPr>
                <w:sz w:val="21"/>
              </w:rPr>
            </w:pPr>
            <w:r>
              <w:rPr>
                <w:sz w:val="21"/>
              </w:rPr>
              <w:t>设计进水浓度</w:t>
            </w:r>
          </w:p>
          <w:p>
            <w:pPr>
              <w:pStyle w:val="14"/>
              <w:spacing w:before="2"/>
              <w:ind w:left="223" w:right="217"/>
              <w:rPr>
                <w:sz w:val="21"/>
              </w:rPr>
            </w:pPr>
            <w:r>
              <w:rPr>
                <w:sz w:val="21"/>
              </w:rPr>
              <w:t>（</w:t>
            </w:r>
            <w:r>
              <w:rPr>
                <w:rFonts w:ascii="Times New Roman" w:eastAsia="Times New Roman"/>
                <w:sz w:val="21"/>
              </w:rPr>
              <w:t>mg/L</w:t>
            </w:r>
            <w:r>
              <w:rPr>
                <w:sz w:val="21"/>
              </w:rPr>
              <w:t>）</w:t>
            </w:r>
          </w:p>
        </w:tc>
        <w:tc>
          <w:tcPr>
            <w:tcW w:w="1511" w:type="dxa"/>
          </w:tcPr>
          <w:p>
            <w:pPr>
              <w:pStyle w:val="14"/>
              <w:spacing w:before="6"/>
              <w:jc w:val="left"/>
              <w:rPr>
                <w:b/>
                <w:sz w:val="25"/>
              </w:rPr>
            </w:pPr>
          </w:p>
          <w:p>
            <w:pPr>
              <w:pStyle w:val="14"/>
              <w:spacing w:line="242" w:lineRule="auto"/>
              <w:ind w:left="440" w:right="221" w:hanging="212"/>
              <w:jc w:val="left"/>
              <w:rPr>
                <w:sz w:val="21"/>
              </w:rPr>
            </w:pPr>
            <w:r>
              <w:rPr>
                <w:sz w:val="21"/>
              </w:rPr>
              <w:t>预处理工段去除率</w:t>
            </w:r>
          </w:p>
        </w:tc>
        <w:tc>
          <w:tcPr>
            <w:tcW w:w="2263" w:type="dxa"/>
          </w:tcPr>
          <w:p>
            <w:pPr>
              <w:pStyle w:val="14"/>
              <w:spacing w:before="6"/>
              <w:jc w:val="left"/>
              <w:rPr>
                <w:b/>
                <w:sz w:val="25"/>
              </w:rPr>
            </w:pPr>
          </w:p>
          <w:p>
            <w:pPr>
              <w:pStyle w:val="14"/>
              <w:spacing w:line="242" w:lineRule="auto"/>
              <w:ind w:left="815" w:right="283" w:hanging="526"/>
              <w:jc w:val="left"/>
              <w:rPr>
                <w:sz w:val="21"/>
              </w:rPr>
            </w:pPr>
            <w:r>
              <w:rPr>
                <w:sz w:val="21"/>
              </w:rPr>
              <w:t>絮凝沉淀处理工段去除率</w:t>
            </w:r>
          </w:p>
        </w:tc>
        <w:tc>
          <w:tcPr>
            <w:tcW w:w="1761" w:type="dxa"/>
          </w:tcPr>
          <w:p>
            <w:pPr>
              <w:pStyle w:val="14"/>
              <w:spacing w:before="6"/>
              <w:jc w:val="left"/>
              <w:rPr>
                <w:b/>
                <w:sz w:val="25"/>
              </w:rPr>
            </w:pPr>
          </w:p>
          <w:p>
            <w:pPr>
              <w:pStyle w:val="14"/>
              <w:ind w:left="222" w:right="217"/>
              <w:rPr>
                <w:sz w:val="21"/>
              </w:rPr>
            </w:pPr>
            <w:r>
              <w:rPr>
                <w:sz w:val="21"/>
              </w:rPr>
              <w:t>设计出水浓度</w:t>
            </w:r>
          </w:p>
          <w:p>
            <w:pPr>
              <w:pStyle w:val="14"/>
              <w:spacing w:before="2"/>
              <w:ind w:left="224" w:right="217"/>
              <w:rPr>
                <w:sz w:val="21"/>
              </w:rPr>
            </w:pPr>
            <w:r>
              <w:rPr>
                <w:sz w:val="21"/>
              </w:rPr>
              <w:t>（</w:t>
            </w:r>
            <w:r>
              <w:rPr>
                <w:rFonts w:ascii="Times New Roman" w:eastAsia="Times New Roman"/>
                <w:sz w:val="21"/>
              </w:rPr>
              <w:t>mg/L</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1261" w:type="dxa"/>
            <w:vMerge w:val="restart"/>
          </w:tcPr>
          <w:p>
            <w:pPr>
              <w:pStyle w:val="14"/>
              <w:spacing w:before="2"/>
              <w:jc w:val="left"/>
              <w:rPr>
                <w:b/>
                <w:sz w:val="19"/>
              </w:rPr>
            </w:pPr>
          </w:p>
          <w:p>
            <w:pPr>
              <w:pStyle w:val="14"/>
              <w:spacing w:before="1"/>
              <w:ind w:left="418"/>
              <w:jc w:val="left"/>
              <w:rPr>
                <w:rFonts w:ascii="Times New Roman"/>
                <w:sz w:val="21"/>
              </w:rPr>
            </w:pPr>
            <w:r>
              <w:rPr>
                <w:rFonts w:ascii="Times New Roman"/>
                <w:sz w:val="21"/>
              </w:rPr>
              <w:t>3720</w:t>
            </w:r>
          </w:p>
        </w:tc>
        <w:tc>
          <w:tcPr>
            <w:tcW w:w="787" w:type="dxa"/>
          </w:tcPr>
          <w:p>
            <w:pPr>
              <w:pStyle w:val="14"/>
              <w:spacing w:before="119"/>
              <w:ind w:left="149" w:right="143"/>
              <w:rPr>
                <w:rFonts w:ascii="Times New Roman"/>
                <w:sz w:val="21"/>
              </w:rPr>
            </w:pPr>
            <w:r>
              <w:rPr>
                <w:rFonts w:ascii="Times New Roman"/>
                <w:sz w:val="21"/>
              </w:rPr>
              <w:t>SS</w:t>
            </w:r>
          </w:p>
        </w:tc>
        <w:tc>
          <w:tcPr>
            <w:tcW w:w="1761" w:type="dxa"/>
          </w:tcPr>
          <w:p>
            <w:pPr>
              <w:pStyle w:val="14"/>
              <w:spacing w:before="119"/>
              <w:ind w:left="227" w:right="217"/>
              <w:rPr>
                <w:rFonts w:ascii="Times New Roman"/>
                <w:sz w:val="21"/>
              </w:rPr>
            </w:pPr>
            <w:r>
              <w:rPr>
                <w:rFonts w:ascii="Times New Roman"/>
                <w:sz w:val="21"/>
              </w:rPr>
              <w:t>400</w:t>
            </w:r>
          </w:p>
        </w:tc>
        <w:tc>
          <w:tcPr>
            <w:tcW w:w="1511" w:type="dxa"/>
          </w:tcPr>
          <w:p>
            <w:pPr>
              <w:pStyle w:val="14"/>
              <w:spacing w:line="241" w:lineRule="exact"/>
              <w:ind w:left="349" w:right="340"/>
              <w:rPr>
                <w:rFonts w:ascii="Times New Roman"/>
                <w:sz w:val="21"/>
              </w:rPr>
            </w:pPr>
            <w:r>
              <w:rPr>
                <w:rFonts w:ascii="Times New Roman"/>
                <w:sz w:val="21"/>
              </w:rPr>
              <w:t>75%</w:t>
            </w:r>
          </w:p>
          <w:p>
            <w:pPr>
              <w:pStyle w:val="14"/>
              <w:spacing w:before="1" w:line="221" w:lineRule="exact"/>
              <w:ind w:left="349" w:right="341"/>
              <w:rPr>
                <w:rFonts w:ascii="Times New Roman"/>
                <w:sz w:val="21"/>
              </w:rPr>
            </w:pPr>
            <w:r>
              <w:rPr>
                <w:rFonts w:ascii="Times New Roman"/>
                <w:sz w:val="21"/>
              </w:rPr>
              <w:t>100mg/L</w:t>
            </w:r>
          </w:p>
        </w:tc>
        <w:tc>
          <w:tcPr>
            <w:tcW w:w="2263" w:type="dxa"/>
          </w:tcPr>
          <w:p>
            <w:pPr>
              <w:pStyle w:val="14"/>
              <w:spacing w:line="241" w:lineRule="exact"/>
              <w:ind w:left="777" w:right="769"/>
              <w:rPr>
                <w:rFonts w:ascii="Times New Roman"/>
                <w:sz w:val="21"/>
              </w:rPr>
            </w:pPr>
            <w:r>
              <w:rPr>
                <w:rFonts w:ascii="Times New Roman"/>
                <w:sz w:val="21"/>
              </w:rPr>
              <w:t>60%</w:t>
            </w:r>
          </w:p>
          <w:p>
            <w:pPr>
              <w:pStyle w:val="14"/>
              <w:spacing w:before="1" w:line="221" w:lineRule="exact"/>
              <w:ind w:left="777" w:right="770"/>
              <w:rPr>
                <w:rFonts w:ascii="Times New Roman"/>
                <w:sz w:val="21"/>
              </w:rPr>
            </w:pPr>
            <w:r>
              <w:rPr>
                <w:rFonts w:ascii="Times New Roman"/>
                <w:sz w:val="21"/>
              </w:rPr>
              <w:t>40mg/L</w:t>
            </w:r>
          </w:p>
        </w:tc>
        <w:tc>
          <w:tcPr>
            <w:tcW w:w="1761" w:type="dxa"/>
          </w:tcPr>
          <w:p>
            <w:pPr>
              <w:pStyle w:val="14"/>
              <w:spacing w:before="119"/>
              <w:ind w:left="226" w:right="217"/>
              <w:rPr>
                <w:rFonts w:ascii="Times New Roman" w:hAnsi="Times New Roman"/>
                <w:sz w:val="21"/>
              </w:rPr>
            </w:pPr>
            <w:r>
              <w:rPr>
                <w:rFonts w:ascii="Times New Roman" w:hAnsi="Times New Roman"/>
                <w:sz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1261" w:type="dxa"/>
            <w:vMerge w:val="continue"/>
            <w:tcBorders>
              <w:top w:val="nil"/>
            </w:tcBorders>
          </w:tcPr>
          <w:p>
            <w:pPr>
              <w:rPr>
                <w:sz w:val="2"/>
                <w:szCs w:val="2"/>
              </w:rPr>
            </w:pPr>
          </w:p>
        </w:tc>
        <w:tc>
          <w:tcPr>
            <w:tcW w:w="787" w:type="dxa"/>
          </w:tcPr>
          <w:p>
            <w:pPr>
              <w:pStyle w:val="14"/>
              <w:spacing w:line="229" w:lineRule="exact"/>
              <w:ind w:left="149" w:right="144"/>
              <w:rPr>
                <w:rFonts w:ascii="Times New Roman"/>
                <w:sz w:val="21"/>
              </w:rPr>
            </w:pPr>
            <w:r>
              <w:rPr>
                <w:rFonts w:ascii="Times New Roman"/>
                <w:sz w:val="21"/>
              </w:rPr>
              <w:t>COD</w:t>
            </w:r>
          </w:p>
        </w:tc>
        <w:tc>
          <w:tcPr>
            <w:tcW w:w="1761" w:type="dxa"/>
          </w:tcPr>
          <w:p>
            <w:pPr>
              <w:pStyle w:val="14"/>
              <w:spacing w:line="229" w:lineRule="exact"/>
              <w:ind w:left="227" w:right="217"/>
              <w:rPr>
                <w:rFonts w:ascii="Times New Roman"/>
                <w:sz w:val="21"/>
              </w:rPr>
            </w:pPr>
            <w:r>
              <w:rPr>
                <w:rFonts w:ascii="Times New Roman"/>
                <w:sz w:val="21"/>
              </w:rPr>
              <w:t>150</w:t>
            </w:r>
          </w:p>
        </w:tc>
        <w:tc>
          <w:tcPr>
            <w:tcW w:w="1511" w:type="dxa"/>
          </w:tcPr>
          <w:p>
            <w:pPr>
              <w:pStyle w:val="14"/>
              <w:spacing w:line="229" w:lineRule="exact"/>
              <w:ind w:left="349" w:right="340"/>
              <w:rPr>
                <w:rFonts w:ascii="Times New Roman"/>
                <w:sz w:val="21"/>
              </w:rPr>
            </w:pPr>
            <w:r>
              <w:rPr>
                <w:rFonts w:ascii="Times New Roman"/>
                <w:sz w:val="21"/>
              </w:rPr>
              <w:t>5%</w:t>
            </w:r>
          </w:p>
        </w:tc>
        <w:tc>
          <w:tcPr>
            <w:tcW w:w="2263" w:type="dxa"/>
          </w:tcPr>
          <w:p>
            <w:pPr>
              <w:pStyle w:val="14"/>
              <w:spacing w:line="229" w:lineRule="exact"/>
              <w:ind w:left="777" w:right="769"/>
              <w:rPr>
                <w:rFonts w:ascii="Times New Roman"/>
                <w:sz w:val="21"/>
              </w:rPr>
            </w:pPr>
            <w:r>
              <w:rPr>
                <w:rFonts w:ascii="Times New Roman"/>
                <w:sz w:val="21"/>
              </w:rPr>
              <w:t>90%</w:t>
            </w:r>
          </w:p>
        </w:tc>
        <w:tc>
          <w:tcPr>
            <w:tcW w:w="1761" w:type="dxa"/>
          </w:tcPr>
          <w:p>
            <w:pPr>
              <w:pStyle w:val="14"/>
              <w:spacing w:line="229" w:lineRule="exact"/>
              <w:ind w:left="226" w:right="217"/>
              <w:rPr>
                <w:rFonts w:ascii="Times New Roman" w:hAnsi="Times New Roman"/>
                <w:sz w:val="21"/>
              </w:rPr>
            </w:pPr>
            <w:r>
              <w:rPr>
                <w:rFonts w:ascii="Times New Roman" w:hAnsi="Times New Roman"/>
                <w:sz w:val="21"/>
              </w:rPr>
              <w:t>≤50</w:t>
            </w:r>
          </w:p>
        </w:tc>
      </w:tr>
    </w:tbl>
    <w:p>
      <w:pPr>
        <w:spacing w:after="0" w:line="229" w:lineRule="exact"/>
        <w:rPr>
          <w:rFonts w:ascii="Times New Roman" w:hAnsi="Times New Roman"/>
          <w:sz w:val="21"/>
        </w:rPr>
        <w:sectPr>
          <w:pgSz w:w="11910" w:h="16840"/>
          <w:pgMar w:top="1520" w:right="780" w:bottom="1320" w:left="1200" w:header="0" w:footer="1058" w:gutter="0"/>
        </w:sectPr>
      </w:pP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61"/>
        <w:gridCol w:w="787"/>
        <w:gridCol w:w="1761"/>
        <w:gridCol w:w="1511"/>
        <w:gridCol w:w="2263"/>
        <w:gridCol w:w="17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261" w:type="dxa"/>
          </w:tcPr>
          <w:p>
            <w:pPr>
              <w:pStyle w:val="14"/>
              <w:jc w:val="left"/>
              <w:rPr>
                <w:rFonts w:ascii="Times New Roman"/>
                <w:sz w:val="16"/>
              </w:rPr>
            </w:pPr>
          </w:p>
        </w:tc>
        <w:tc>
          <w:tcPr>
            <w:tcW w:w="787" w:type="dxa"/>
          </w:tcPr>
          <w:p>
            <w:pPr>
              <w:pStyle w:val="14"/>
              <w:jc w:val="left"/>
              <w:rPr>
                <w:rFonts w:ascii="Times New Roman"/>
                <w:sz w:val="16"/>
              </w:rPr>
            </w:pPr>
          </w:p>
        </w:tc>
        <w:tc>
          <w:tcPr>
            <w:tcW w:w="1761" w:type="dxa"/>
          </w:tcPr>
          <w:p>
            <w:pPr>
              <w:pStyle w:val="14"/>
              <w:jc w:val="left"/>
              <w:rPr>
                <w:rFonts w:ascii="Times New Roman"/>
                <w:sz w:val="16"/>
              </w:rPr>
            </w:pPr>
          </w:p>
        </w:tc>
        <w:tc>
          <w:tcPr>
            <w:tcW w:w="1511" w:type="dxa"/>
          </w:tcPr>
          <w:p>
            <w:pPr>
              <w:pStyle w:val="14"/>
              <w:spacing w:line="221" w:lineRule="exact"/>
              <w:ind w:left="370"/>
              <w:jc w:val="left"/>
              <w:rPr>
                <w:rFonts w:ascii="Times New Roman"/>
                <w:sz w:val="21"/>
              </w:rPr>
            </w:pPr>
            <w:r>
              <w:rPr>
                <w:rFonts w:ascii="Times New Roman"/>
                <w:sz w:val="21"/>
              </w:rPr>
              <w:t>143mg/L</w:t>
            </w:r>
          </w:p>
        </w:tc>
        <w:tc>
          <w:tcPr>
            <w:tcW w:w="2263" w:type="dxa"/>
          </w:tcPr>
          <w:p>
            <w:pPr>
              <w:pStyle w:val="14"/>
              <w:spacing w:line="221" w:lineRule="exact"/>
              <w:ind w:left="777" w:right="770"/>
              <w:rPr>
                <w:rFonts w:ascii="Times New Roman"/>
                <w:sz w:val="21"/>
              </w:rPr>
            </w:pPr>
            <w:r>
              <w:rPr>
                <w:rFonts w:ascii="Times New Roman"/>
                <w:sz w:val="21"/>
              </w:rPr>
              <w:t>15mg/L</w:t>
            </w:r>
          </w:p>
        </w:tc>
        <w:tc>
          <w:tcPr>
            <w:tcW w:w="1761" w:type="dxa"/>
          </w:tcPr>
          <w:p>
            <w:pPr>
              <w:pStyle w:val="14"/>
              <w:jc w:val="left"/>
              <w:rPr>
                <w:rFonts w:ascii="Times New Roman"/>
                <w:sz w:val="16"/>
              </w:rPr>
            </w:pPr>
          </w:p>
        </w:tc>
      </w:tr>
    </w:tbl>
    <w:p>
      <w:pPr>
        <w:pStyle w:val="6"/>
        <w:spacing w:before="7" w:line="362" w:lineRule="auto"/>
        <w:ind w:left="215" w:right="453" w:firstLine="480"/>
      </w:pPr>
      <w:r>
        <w:t>矿井涌水采用混凝、沉淀、消毒处理工艺后，矿井外排废水水质能满足《煤炭工业</w:t>
      </w:r>
      <w:r>
        <w:rPr>
          <w:spacing w:val="-3"/>
        </w:rPr>
        <w:t>污染物排放标准》</w:t>
      </w:r>
      <w:r>
        <w:t>（</w:t>
      </w:r>
      <w:r>
        <w:rPr>
          <w:rFonts w:ascii="Times New Roman" w:eastAsia="Times New Roman"/>
        </w:rPr>
        <w:t>GB20426-2006</w:t>
      </w:r>
      <w:r>
        <w:t>）</w:t>
      </w:r>
      <w:r>
        <w:rPr>
          <w:spacing w:val="-31"/>
        </w:rPr>
        <w:t xml:space="preserve">表 </w:t>
      </w:r>
      <w:r>
        <w:rPr>
          <w:rFonts w:ascii="Times New Roman" w:eastAsia="Times New Roman"/>
        </w:rPr>
        <w:t>1</w:t>
      </w:r>
      <w:r>
        <w:rPr>
          <w:spacing w:val="-10"/>
        </w:rPr>
        <w:t>、</w:t>
      </w:r>
      <w:r>
        <w:rPr>
          <w:rFonts w:ascii="Times New Roman" w:eastAsia="Times New Roman"/>
        </w:rPr>
        <w:t xml:space="preserve">2 </w:t>
      </w:r>
      <w:r>
        <w:rPr>
          <w:spacing w:val="-3"/>
        </w:rPr>
        <w:t>标准限值的要求及《地表水环境质量标准》</w:t>
      </w:r>
    </w:p>
    <w:p>
      <w:pPr>
        <w:pStyle w:val="6"/>
        <w:spacing w:before="5" w:line="362" w:lineRule="auto"/>
        <w:ind w:left="215" w:right="399"/>
      </w:pPr>
      <w:r>
        <w:t>（</w:t>
      </w:r>
      <w:r>
        <w:rPr>
          <w:rFonts w:ascii="Times New Roman" w:hAnsi="Times New Roman" w:eastAsia="Times New Roman"/>
        </w:rPr>
        <w:t>GB3838-2002</w:t>
      </w:r>
      <w:r>
        <w:t>）中Ⅲ类标准限值，处理后矿井涌水可作为扁石河补充用水资源化利用， 该处理工艺技术可行。</w:t>
      </w:r>
    </w:p>
    <w:p>
      <w:pPr>
        <w:spacing w:after="0" w:line="362" w:lineRule="auto"/>
        <w:sectPr>
          <w:pgSz w:w="11910" w:h="16840"/>
          <w:pgMar w:top="1580" w:right="780" w:bottom="1320" w:left="1200" w:header="0" w:footer="1058" w:gutter="0"/>
        </w:sectPr>
      </w:pPr>
    </w:p>
    <w:p>
      <w:pPr>
        <w:pStyle w:val="2"/>
        <w:numPr>
          <w:ilvl w:val="0"/>
          <w:numId w:val="62"/>
        </w:numPr>
        <w:tabs>
          <w:tab w:val="left" w:pos="3473"/>
        </w:tabs>
        <w:spacing w:before="46" w:after="0" w:line="240" w:lineRule="auto"/>
        <w:ind w:left="3472" w:right="360" w:hanging="3473"/>
        <w:jc w:val="left"/>
      </w:pPr>
      <w:bookmarkStart w:id="736" w:name="_bookmark43"/>
      <w:bookmarkEnd w:id="736"/>
      <w:bookmarkStart w:id="737" w:name="8.大气环境影响分析"/>
      <w:bookmarkEnd w:id="737"/>
      <w:bookmarkStart w:id="738" w:name="_bookmark43"/>
      <w:bookmarkEnd w:id="738"/>
      <w:r>
        <w:t>大气环境影响分析</w:t>
      </w:r>
    </w:p>
    <w:p>
      <w:pPr>
        <w:pStyle w:val="3"/>
        <w:numPr>
          <w:ilvl w:val="1"/>
          <w:numId w:val="65"/>
        </w:numPr>
        <w:tabs>
          <w:tab w:val="left" w:pos="668"/>
        </w:tabs>
        <w:spacing w:before="239" w:after="0" w:line="240" w:lineRule="auto"/>
        <w:ind w:left="667" w:right="0" w:hanging="453"/>
        <w:jc w:val="left"/>
        <w:rPr>
          <w:rFonts w:ascii="Times New Roman" w:eastAsia="Times New Roman"/>
        </w:rPr>
      </w:pPr>
      <w:bookmarkStart w:id="739" w:name="_bookmark44"/>
      <w:bookmarkEnd w:id="739"/>
      <w:bookmarkStart w:id="740" w:name="8.1评价工作等级及范围"/>
      <w:bookmarkEnd w:id="740"/>
      <w:bookmarkStart w:id="741" w:name="_bookmark44"/>
      <w:bookmarkEnd w:id="741"/>
      <w:r>
        <w:t>评价工作等级及范围</w:t>
      </w:r>
    </w:p>
    <w:p>
      <w:pPr>
        <w:pStyle w:val="6"/>
        <w:spacing w:before="197" w:line="364" w:lineRule="auto"/>
        <w:ind w:left="215" w:right="458" w:firstLine="480"/>
        <w:jc w:val="both"/>
      </w:pPr>
      <w:r>
        <w:rPr>
          <w:spacing w:val="-5"/>
        </w:rPr>
        <w:t>依据《环境影响评价技术导则 大气环境》</w:t>
      </w:r>
      <w:r>
        <w:rPr>
          <w:rFonts w:ascii="Times New Roman" w:hAnsi="Times New Roman" w:eastAsia="Times New Roman"/>
        </w:rPr>
        <w:t>(HJ2.2-2018)</w:t>
      </w:r>
      <w:r>
        <w:rPr>
          <w:spacing w:val="-9"/>
        </w:rPr>
        <w:t>中“</w:t>
      </w:r>
      <w:r>
        <w:rPr>
          <w:rFonts w:ascii="Times New Roman" w:hAnsi="Times New Roman" w:eastAsia="Times New Roman"/>
        </w:rPr>
        <w:t xml:space="preserve">5.3 </w:t>
      </w:r>
      <w:r>
        <w:rPr>
          <w:spacing w:val="-5"/>
        </w:rPr>
        <w:t>评价等级判定”，选</w:t>
      </w:r>
      <w:r>
        <w:rPr>
          <w:spacing w:val="-3"/>
        </w:rPr>
        <w:t xml:space="preserve">择正常排放的主要污染物及排放参数，采用附录 </w:t>
      </w:r>
      <w:r>
        <w:rPr>
          <w:rFonts w:ascii="Times New Roman" w:hAnsi="Times New Roman" w:eastAsia="Times New Roman"/>
        </w:rPr>
        <w:t xml:space="preserve">A </w:t>
      </w:r>
      <w:r>
        <w:rPr>
          <w:spacing w:val="-8"/>
        </w:rPr>
        <w:t xml:space="preserve">推荐模型中的 </w:t>
      </w:r>
      <w:r>
        <w:rPr>
          <w:rFonts w:ascii="Times New Roman" w:hAnsi="Times New Roman" w:eastAsia="Times New Roman"/>
        </w:rPr>
        <w:t xml:space="preserve">AERSCREEN </w:t>
      </w:r>
      <w:r>
        <w:rPr>
          <w:spacing w:val="1"/>
        </w:rPr>
        <w:t>模式分</w:t>
      </w:r>
      <w:r>
        <w:rPr>
          <w:spacing w:val="-13"/>
        </w:rPr>
        <w:t xml:space="preserve">别计算项目污染源的最大环境影响，然后按评价工作分级判据进行分级。详见 </w:t>
      </w:r>
      <w:r>
        <w:rPr>
          <w:rFonts w:ascii="Times New Roman" w:hAnsi="Times New Roman" w:eastAsia="Times New Roman"/>
        </w:rPr>
        <w:t xml:space="preserve">2.4.1 </w:t>
      </w:r>
      <w:r>
        <w:rPr>
          <w:spacing w:val="-5"/>
        </w:rPr>
        <w:t>章节。</w:t>
      </w:r>
    </w:p>
    <w:p>
      <w:pPr>
        <w:pStyle w:val="6"/>
        <w:spacing w:line="364" w:lineRule="auto"/>
        <w:ind w:left="215" w:right="576" w:firstLine="480"/>
        <w:jc w:val="both"/>
      </w:pPr>
      <w:r>
        <w:t>跟据《环境影响评价技术导则 大气环境》</w:t>
      </w:r>
      <w:r>
        <w:rPr>
          <w:rFonts w:ascii="Times New Roman" w:eastAsia="Times New Roman"/>
        </w:rPr>
        <w:t>(HJ2.2-2018)</w:t>
      </w:r>
      <w:r>
        <w:t xml:space="preserve">，二级评价大气环境影响评价范围：以项目厂址为中心区域，边长 </w:t>
      </w:r>
      <w:r>
        <w:rPr>
          <w:rFonts w:ascii="Times New Roman" w:eastAsia="Times New Roman"/>
        </w:rPr>
        <w:t xml:space="preserve">5km </w:t>
      </w:r>
      <w:r>
        <w:t>的矩形区域。</w:t>
      </w:r>
    </w:p>
    <w:p>
      <w:pPr>
        <w:pStyle w:val="3"/>
        <w:numPr>
          <w:ilvl w:val="1"/>
          <w:numId w:val="65"/>
        </w:numPr>
        <w:tabs>
          <w:tab w:val="left" w:pos="668"/>
        </w:tabs>
        <w:spacing w:before="0" w:after="0" w:line="240" w:lineRule="auto"/>
        <w:ind w:left="667" w:right="0" w:hanging="453"/>
        <w:jc w:val="left"/>
        <w:rPr>
          <w:rFonts w:ascii="Times New Roman" w:eastAsia="Times New Roman"/>
        </w:rPr>
      </w:pPr>
      <w:bookmarkStart w:id="742" w:name="8.2环境空气质量现状评价"/>
      <w:bookmarkEnd w:id="742"/>
      <w:bookmarkStart w:id="743" w:name="_bookmark45"/>
      <w:bookmarkEnd w:id="743"/>
      <w:bookmarkStart w:id="744" w:name="_bookmark45"/>
      <w:bookmarkEnd w:id="744"/>
      <w:r>
        <w:t>环境空气质量现状评价</w:t>
      </w:r>
    </w:p>
    <w:p>
      <w:pPr>
        <w:pStyle w:val="6"/>
        <w:spacing w:before="197" w:line="364" w:lineRule="auto"/>
        <w:ind w:left="215" w:right="578" w:firstLine="480"/>
        <w:jc w:val="both"/>
      </w:pPr>
      <w:r>
        <w:rPr>
          <w:spacing w:val="-2"/>
        </w:rPr>
        <w:t>环境空气质量常规污染物现状数据来源于双鸭山市人民政府网公示的《</w:t>
      </w:r>
      <w:r>
        <w:rPr>
          <w:rFonts w:ascii="Times New Roman" w:eastAsia="Times New Roman"/>
        </w:rPr>
        <w:t xml:space="preserve">2019 </w:t>
      </w:r>
      <w:r>
        <w:rPr>
          <w:spacing w:val="-6"/>
        </w:rPr>
        <w:t>年双鸭</w:t>
      </w:r>
      <w:r>
        <w:rPr>
          <w:spacing w:val="-1"/>
        </w:rPr>
        <w:t>山市环境空气质量状况》，环境空气质量特征污染物委托黑龙江康和检测有限公司提供</w:t>
      </w:r>
      <w:r>
        <w:t>的现状监测数据。</w:t>
      </w:r>
    </w:p>
    <w:p>
      <w:pPr>
        <w:pStyle w:val="6"/>
        <w:spacing w:line="364" w:lineRule="auto"/>
        <w:ind w:left="215" w:right="577" w:firstLine="480"/>
        <w:jc w:val="both"/>
      </w:pPr>
      <w:r>
        <w:rPr>
          <w:spacing w:val="-5"/>
        </w:rPr>
        <w:t>根据《环境影响评价技术导则 大气环境》</w:t>
      </w:r>
      <w:r>
        <w:t>（</w:t>
      </w:r>
      <w:r>
        <w:rPr>
          <w:rFonts w:ascii="Times New Roman" w:eastAsia="Times New Roman"/>
        </w:rPr>
        <w:t>HJ2.2-2018</w:t>
      </w:r>
      <w:r>
        <w:t>）</w:t>
      </w:r>
      <w:r>
        <w:rPr>
          <w:spacing w:val="-2"/>
        </w:rPr>
        <w:t>中环境空气二级评价等级</w:t>
      </w:r>
      <w:r>
        <w:rPr>
          <w:spacing w:val="-1"/>
        </w:rPr>
        <w:t>要求和本项目生产规模、建设性质，结合本项目厂址周围地形特点、排污特征和评价范</w:t>
      </w:r>
      <w:r>
        <w:t>围内环境空气保护目标分布的情况对环境空气质量现状进行调查，并进行了补充监测。</w:t>
      </w:r>
    </w:p>
    <w:p>
      <w:pPr>
        <w:pStyle w:val="4"/>
        <w:numPr>
          <w:ilvl w:val="2"/>
          <w:numId w:val="65"/>
        </w:numPr>
        <w:tabs>
          <w:tab w:val="left" w:pos="848"/>
        </w:tabs>
        <w:spacing w:before="0" w:after="0" w:line="240" w:lineRule="auto"/>
        <w:ind w:left="847" w:right="0" w:hanging="633"/>
        <w:jc w:val="both"/>
      </w:pPr>
      <w:bookmarkStart w:id="745" w:name="8.2.1区域环境空气质量现状调查"/>
      <w:bookmarkEnd w:id="745"/>
      <w:bookmarkStart w:id="746" w:name="8.2.1区域环境空气质量现状调查"/>
      <w:bookmarkEnd w:id="746"/>
      <w:r>
        <w:t>区域环境空气质量现状调查</w:t>
      </w:r>
    </w:p>
    <w:p>
      <w:pPr>
        <w:pStyle w:val="6"/>
        <w:spacing w:before="182" w:line="362" w:lineRule="auto"/>
        <w:ind w:left="215" w:right="571" w:firstLine="480"/>
        <w:jc w:val="both"/>
      </w:pPr>
      <w:r>
        <w:rPr>
          <w:spacing w:val="-2"/>
        </w:rPr>
        <w:t>根据双鸭山市人民政府网公示的《</w:t>
      </w:r>
      <w:r>
        <w:rPr>
          <w:rFonts w:ascii="Times New Roman" w:hAnsi="Times New Roman" w:eastAsia="Times New Roman"/>
        </w:rPr>
        <w:t xml:space="preserve">2019 </w:t>
      </w:r>
      <w:r>
        <w:rPr>
          <w:spacing w:val="-3"/>
        </w:rPr>
        <w:t>年双鸭山市环境空气质量状况》所示，</w:t>
      </w:r>
      <w:r>
        <w:rPr>
          <w:rFonts w:ascii="Times New Roman" w:hAnsi="Times New Roman" w:eastAsia="Times New Roman"/>
          <w:spacing w:val="-4"/>
        </w:rPr>
        <w:t xml:space="preserve">2019 </w:t>
      </w:r>
      <w:r>
        <w:rPr>
          <w:spacing w:val="-1"/>
          <w:position w:val="2"/>
        </w:rPr>
        <w:t>年双鸭山市环境空气质量现状为：</w:t>
      </w:r>
      <w:r>
        <w:rPr>
          <w:rFonts w:ascii="Times New Roman" w:hAnsi="Times New Roman" w:eastAsia="Times New Roman"/>
          <w:spacing w:val="-7"/>
          <w:position w:val="2"/>
        </w:rPr>
        <w:t>PM</w:t>
      </w:r>
      <w:r>
        <w:rPr>
          <w:rFonts w:ascii="Times New Roman" w:hAnsi="Times New Roman" w:eastAsia="Times New Roman"/>
          <w:spacing w:val="-7"/>
          <w:position w:val="2"/>
          <w:vertAlign w:val="subscript"/>
        </w:rPr>
        <w:t>2.5</w:t>
      </w:r>
      <w:r>
        <w:rPr>
          <w:rFonts w:ascii="Times New Roman" w:hAnsi="Times New Roman" w:eastAsia="Times New Roman"/>
          <w:spacing w:val="-7"/>
          <w:position w:val="2"/>
          <w:vertAlign w:val="baseline"/>
        </w:rPr>
        <w:t xml:space="preserve"> </w:t>
      </w:r>
      <w:r>
        <w:rPr>
          <w:spacing w:val="-6"/>
          <w:position w:val="2"/>
          <w:vertAlign w:val="baseline"/>
        </w:rPr>
        <w:t xml:space="preserve">全年平均浓度值为 </w:t>
      </w:r>
      <w:r>
        <w:rPr>
          <w:rFonts w:ascii="Times New Roman" w:hAnsi="Times New Roman" w:eastAsia="Times New Roman"/>
          <w:position w:val="2"/>
          <w:vertAlign w:val="baseline"/>
        </w:rPr>
        <w:t>29μg/m</w:t>
      </w:r>
      <w:r>
        <w:rPr>
          <w:rFonts w:ascii="Times New Roman" w:hAnsi="Times New Roman" w:eastAsia="Times New Roman"/>
          <w:position w:val="2"/>
          <w:vertAlign w:val="superscript"/>
        </w:rPr>
        <w:t>3</w:t>
      </w:r>
      <w:r>
        <w:rPr>
          <w:spacing w:val="-34"/>
          <w:position w:val="2"/>
          <w:vertAlign w:val="baseline"/>
        </w:rPr>
        <w:t>、</w:t>
      </w:r>
      <w:r>
        <w:rPr>
          <w:rFonts w:ascii="Times New Roman" w:hAnsi="Times New Roman" w:eastAsia="Times New Roman"/>
          <w:position w:val="2"/>
          <w:vertAlign w:val="baseline"/>
        </w:rPr>
        <w:t>PM</w:t>
      </w:r>
      <w:r>
        <w:rPr>
          <w:rFonts w:ascii="Times New Roman" w:hAnsi="Times New Roman" w:eastAsia="Times New Roman"/>
          <w:position w:val="2"/>
          <w:vertAlign w:val="subscript"/>
        </w:rPr>
        <w:t>10</w:t>
      </w:r>
      <w:r>
        <w:rPr>
          <w:rFonts w:ascii="Times New Roman" w:hAnsi="Times New Roman" w:eastAsia="Times New Roman"/>
          <w:position w:val="2"/>
          <w:vertAlign w:val="baseline"/>
        </w:rPr>
        <w:t xml:space="preserve"> </w:t>
      </w:r>
      <w:r>
        <w:rPr>
          <w:spacing w:val="-4"/>
          <w:position w:val="2"/>
          <w:vertAlign w:val="baseline"/>
        </w:rPr>
        <w:t>全年平均浓度</w:t>
      </w:r>
      <w:r>
        <w:rPr>
          <w:spacing w:val="-17"/>
          <w:position w:val="2"/>
          <w:vertAlign w:val="baseline"/>
        </w:rPr>
        <w:t xml:space="preserve">值为 </w:t>
      </w:r>
      <w:r>
        <w:rPr>
          <w:rFonts w:ascii="Times New Roman" w:hAnsi="Times New Roman" w:eastAsia="Times New Roman"/>
          <w:position w:val="2"/>
          <w:vertAlign w:val="baseline"/>
        </w:rPr>
        <w:t>50μg/m</w:t>
      </w:r>
      <w:r>
        <w:rPr>
          <w:rFonts w:ascii="Times New Roman" w:hAnsi="Times New Roman" w:eastAsia="Times New Roman"/>
          <w:position w:val="2"/>
          <w:vertAlign w:val="superscript"/>
        </w:rPr>
        <w:t>3</w:t>
      </w:r>
      <w:r>
        <w:rPr>
          <w:position w:val="2"/>
          <w:vertAlign w:val="baseline"/>
        </w:rPr>
        <w:t>、</w:t>
      </w:r>
      <w:r>
        <w:rPr>
          <w:rFonts w:ascii="Times New Roman" w:hAnsi="Times New Roman" w:eastAsia="Times New Roman"/>
          <w:position w:val="2"/>
          <w:vertAlign w:val="baseline"/>
        </w:rPr>
        <w:t>SO</w:t>
      </w:r>
      <w:r>
        <w:rPr>
          <w:rFonts w:ascii="Times New Roman" w:hAnsi="Times New Roman" w:eastAsia="Times New Roman"/>
          <w:position w:val="2"/>
          <w:vertAlign w:val="subscript"/>
        </w:rPr>
        <w:t>2</w:t>
      </w:r>
      <w:r>
        <w:rPr>
          <w:rFonts w:ascii="Times New Roman" w:hAnsi="Times New Roman" w:eastAsia="Times New Roman"/>
          <w:position w:val="2"/>
          <w:vertAlign w:val="baseline"/>
        </w:rPr>
        <w:t xml:space="preserve"> </w:t>
      </w:r>
      <w:r>
        <w:rPr>
          <w:spacing w:val="-6"/>
          <w:position w:val="2"/>
          <w:vertAlign w:val="baseline"/>
        </w:rPr>
        <w:t xml:space="preserve">全年平均浓度值为 </w:t>
      </w:r>
      <w:r>
        <w:rPr>
          <w:rFonts w:ascii="Times New Roman" w:hAnsi="Times New Roman" w:eastAsia="Times New Roman"/>
          <w:position w:val="2"/>
          <w:vertAlign w:val="baseline"/>
        </w:rPr>
        <w:t>8μg/m</w:t>
      </w:r>
      <w:r>
        <w:rPr>
          <w:rFonts w:ascii="Times New Roman" w:hAnsi="Times New Roman" w:eastAsia="Times New Roman"/>
          <w:position w:val="2"/>
          <w:vertAlign w:val="superscript"/>
        </w:rPr>
        <w:t>3</w:t>
      </w:r>
      <w:r>
        <w:rPr>
          <w:position w:val="2"/>
          <w:vertAlign w:val="baseline"/>
        </w:rPr>
        <w:t>、</w:t>
      </w:r>
      <w:r>
        <w:rPr>
          <w:rFonts w:ascii="Times New Roman" w:hAnsi="Times New Roman" w:eastAsia="Times New Roman"/>
          <w:position w:val="2"/>
          <w:vertAlign w:val="baseline"/>
        </w:rPr>
        <w:t>NO</w:t>
      </w:r>
      <w:r>
        <w:rPr>
          <w:rFonts w:ascii="Times New Roman" w:hAnsi="Times New Roman" w:eastAsia="Times New Roman"/>
          <w:position w:val="2"/>
          <w:vertAlign w:val="subscript"/>
        </w:rPr>
        <w:t>2</w:t>
      </w:r>
      <w:r>
        <w:rPr>
          <w:rFonts w:ascii="Times New Roman" w:hAnsi="Times New Roman" w:eastAsia="Times New Roman"/>
          <w:position w:val="2"/>
          <w:vertAlign w:val="baseline"/>
        </w:rPr>
        <w:t xml:space="preserve"> </w:t>
      </w:r>
      <w:r>
        <w:rPr>
          <w:spacing w:val="-6"/>
          <w:position w:val="2"/>
          <w:vertAlign w:val="baseline"/>
        </w:rPr>
        <w:t xml:space="preserve">全年平均浓度值为 </w:t>
      </w:r>
      <w:r>
        <w:rPr>
          <w:rFonts w:ascii="Times New Roman" w:hAnsi="Times New Roman" w:eastAsia="Times New Roman"/>
          <w:position w:val="2"/>
          <w:vertAlign w:val="baseline"/>
        </w:rPr>
        <w:t>15μg/m</w:t>
      </w:r>
      <w:r>
        <w:rPr>
          <w:rFonts w:ascii="Times New Roman" w:hAnsi="Times New Roman" w:eastAsia="Times New Roman"/>
          <w:position w:val="2"/>
          <w:vertAlign w:val="superscript"/>
        </w:rPr>
        <w:t>3</w:t>
      </w:r>
      <w:r>
        <w:rPr>
          <w:position w:val="2"/>
          <w:vertAlign w:val="baseline"/>
        </w:rPr>
        <w:t>、</w:t>
      </w:r>
      <w:r>
        <w:rPr>
          <w:rFonts w:ascii="Times New Roman" w:hAnsi="Times New Roman" w:eastAsia="Times New Roman"/>
          <w:position w:val="2"/>
          <w:vertAlign w:val="baseline"/>
        </w:rPr>
        <w:t xml:space="preserve">CO </w:t>
      </w:r>
      <w:r>
        <w:rPr>
          <w:spacing w:val="-14"/>
          <w:position w:val="2"/>
          <w:vertAlign w:val="baseline"/>
        </w:rPr>
        <w:t>全</w:t>
      </w:r>
      <w:r>
        <w:rPr>
          <w:spacing w:val="-8"/>
          <w:position w:val="2"/>
          <w:vertAlign w:val="baseline"/>
        </w:rPr>
        <w:t xml:space="preserve">年平均浓度值为 </w:t>
      </w:r>
      <w:r>
        <w:rPr>
          <w:rFonts w:ascii="Times New Roman" w:hAnsi="Times New Roman" w:eastAsia="Times New Roman"/>
          <w:position w:val="2"/>
          <w:vertAlign w:val="baseline"/>
        </w:rPr>
        <w:t>0.7mg/m</w:t>
      </w:r>
      <w:r>
        <w:rPr>
          <w:rFonts w:ascii="Times New Roman" w:hAnsi="Times New Roman" w:eastAsia="Times New Roman"/>
          <w:position w:val="2"/>
          <w:vertAlign w:val="superscript"/>
        </w:rPr>
        <w:t>3</w:t>
      </w:r>
      <w:r>
        <w:rPr>
          <w:spacing w:val="-9"/>
          <w:position w:val="2"/>
          <w:vertAlign w:val="baseline"/>
        </w:rPr>
        <w:t xml:space="preserve">，平均浓度第 </w:t>
      </w:r>
      <w:r>
        <w:rPr>
          <w:rFonts w:ascii="Times New Roman" w:hAnsi="Times New Roman" w:eastAsia="Times New Roman"/>
          <w:position w:val="2"/>
          <w:vertAlign w:val="baseline"/>
        </w:rPr>
        <w:t xml:space="preserve">95 </w:t>
      </w:r>
      <w:r>
        <w:rPr>
          <w:spacing w:val="-10"/>
          <w:position w:val="2"/>
          <w:vertAlign w:val="baseline"/>
        </w:rPr>
        <w:t xml:space="preserve">百分位数为 </w:t>
      </w:r>
      <w:r>
        <w:rPr>
          <w:rFonts w:ascii="Times New Roman" w:hAnsi="Times New Roman" w:eastAsia="Times New Roman"/>
          <w:position w:val="2"/>
          <w:vertAlign w:val="baseline"/>
        </w:rPr>
        <w:t>1.4mg/m</w:t>
      </w:r>
      <w:r>
        <w:rPr>
          <w:rFonts w:ascii="Times New Roman" w:hAnsi="Times New Roman" w:eastAsia="Times New Roman"/>
          <w:position w:val="2"/>
          <w:vertAlign w:val="superscript"/>
        </w:rPr>
        <w:t>3</w:t>
      </w:r>
      <w:r>
        <w:rPr>
          <w:spacing w:val="-10"/>
          <w:position w:val="2"/>
          <w:vertAlign w:val="baseline"/>
        </w:rPr>
        <w:t>、</w:t>
      </w:r>
      <w:r>
        <w:rPr>
          <w:rFonts w:ascii="Times New Roman" w:hAnsi="Times New Roman" w:eastAsia="Times New Roman"/>
          <w:position w:val="2"/>
          <w:vertAlign w:val="baseline"/>
        </w:rPr>
        <w:t>O</w:t>
      </w:r>
      <w:r>
        <w:rPr>
          <w:rFonts w:ascii="Times New Roman" w:hAnsi="Times New Roman" w:eastAsia="Times New Roman"/>
          <w:position w:val="2"/>
          <w:vertAlign w:val="subscript"/>
        </w:rPr>
        <w:t>3</w:t>
      </w:r>
      <w:r>
        <w:rPr>
          <w:rFonts w:ascii="Times New Roman" w:hAnsi="Times New Roman" w:eastAsia="Times New Roman"/>
          <w:position w:val="2"/>
          <w:vertAlign w:val="baseline"/>
        </w:rPr>
        <w:t xml:space="preserve">8h </w:t>
      </w:r>
      <w:r>
        <w:rPr>
          <w:spacing w:val="-3"/>
          <w:position w:val="2"/>
          <w:vertAlign w:val="baseline"/>
        </w:rPr>
        <w:t>全年平均浓度值</w:t>
      </w:r>
      <w:r>
        <w:rPr>
          <w:spacing w:val="-29"/>
          <w:vertAlign w:val="baseline"/>
        </w:rPr>
        <w:t xml:space="preserve">为 </w:t>
      </w:r>
      <w:r>
        <w:rPr>
          <w:rFonts w:ascii="Times New Roman" w:hAnsi="Times New Roman" w:eastAsia="Times New Roman"/>
          <w:vertAlign w:val="baseline"/>
        </w:rPr>
        <w:t>69μg/m</w:t>
      </w:r>
      <w:r>
        <w:rPr>
          <w:rFonts w:ascii="Times New Roman" w:hAnsi="Times New Roman" w:eastAsia="Times New Roman"/>
          <w:position w:val="8"/>
          <w:sz w:val="15"/>
          <w:vertAlign w:val="baseline"/>
        </w:rPr>
        <w:t>3</w:t>
      </w:r>
      <w:r>
        <w:rPr>
          <w:spacing w:val="-8"/>
          <w:vertAlign w:val="baseline"/>
        </w:rPr>
        <w:t xml:space="preserve">、平均浓度第 </w:t>
      </w:r>
      <w:r>
        <w:rPr>
          <w:rFonts w:ascii="Times New Roman" w:hAnsi="Times New Roman" w:eastAsia="Times New Roman"/>
          <w:vertAlign w:val="baseline"/>
        </w:rPr>
        <w:t xml:space="preserve">90 </w:t>
      </w:r>
      <w:r>
        <w:rPr>
          <w:spacing w:val="-10"/>
          <w:vertAlign w:val="baseline"/>
        </w:rPr>
        <w:t xml:space="preserve">百分位数为 </w:t>
      </w:r>
      <w:r>
        <w:rPr>
          <w:rFonts w:ascii="Times New Roman" w:hAnsi="Times New Roman" w:eastAsia="Times New Roman"/>
          <w:vertAlign w:val="baseline"/>
        </w:rPr>
        <w:t>102</w:t>
      </w:r>
      <w:r>
        <w:rPr>
          <w:vertAlign w:val="baseline"/>
        </w:rPr>
        <w:t>μ</w:t>
      </w:r>
      <w:r>
        <w:rPr>
          <w:rFonts w:ascii="Times New Roman" w:hAnsi="Times New Roman" w:eastAsia="Times New Roman"/>
          <w:vertAlign w:val="baseline"/>
        </w:rPr>
        <w:t>g/m3</w:t>
      </w:r>
      <w:r>
        <w:rPr>
          <w:vertAlign w:val="baseline"/>
        </w:rPr>
        <w:t>，总体评价达标，本项目区域空气质量现状评价见下表。</w:t>
      </w:r>
    </w:p>
    <w:p>
      <w:pPr>
        <w:spacing w:before="3" w:after="3"/>
        <w:ind w:left="106" w:right="41" w:firstLine="0"/>
        <w:jc w:val="center"/>
        <w:rPr>
          <w:b/>
          <w:sz w:val="21"/>
        </w:rPr>
      </w:pPr>
      <w:r>
        <w:rPr>
          <w:b/>
          <w:sz w:val="21"/>
        </w:rPr>
        <w:t xml:space="preserve">表 </w:t>
      </w:r>
      <w:r>
        <w:rPr>
          <w:rFonts w:ascii="Times New Roman" w:eastAsia="Times New Roman"/>
          <w:b/>
          <w:sz w:val="21"/>
        </w:rPr>
        <w:t xml:space="preserve">8.2-1  </w:t>
      </w:r>
      <w:r>
        <w:rPr>
          <w:b/>
          <w:sz w:val="21"/>
        </w:rPr>
        <w:t>区域空气质量现状评价表</w:t>
      </w: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8"/>
        <w:gridCol w:w="3015"/>
        <w:gridCol w:w="1399"/>
        <w:gridCol w:w="1621"/>
        <w:gridCol w:w="991"/>
        <w:gridCol w:w="8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968" w:type="dxa"/>
          </w:tcPr>
          <w:p>
            <w:pPr>
              <w:pStyle w:val="14"/>
              <w:spacing w:before="136"/>
              <w:ind w:left="148" w:right="139"/>
              <w:rPr>
                <w:sz w:val="21"/>
              </w:rPr>
            </w:pPr>
            <w:r>
              <w:rPr>
                <w:sz w:val="21"/>
              </w:rPr>
              <w:t>污染物</w:t>
            </w:r>
          </w:p>
        </w:tc>
        <w:tc>
          <w:tcPr>
            <w:tcW w:w="3015" w:type="dxa"/>
          </w:tcPr>
          <w:p>
            <w:pPr>
              <w:pStyle w:val="14"/>
              <w:spacing w:before="136"/>
              <w:ind w:left="37" w:right="30"/>
              <w:rPr>
                <w:sz w:val="21"/>
              </w:rPr>
            </w:pPr>
            <w:r>
              <w:rPr>
                <w:sz w:val="21"/>
              </w:rPr>
              <w:t>年评价指标</w:t>
            </w:r>
          </w:p>
        </w:tc>
        <w:tc>
          <w:tcPr>
            <w:tcW w:w="1399" w:type="dxa"/>
          </w:tcPr>
          <w:p>
            <w:pPr>
              <w:pStyle w:val="14"/>
              <w:spacing w:before="2"/>
              <w:ind w:left="249"/>
              <w:jc w:val="left"/>
              <w:rPr>
                <w:rFonts w:ascii="Times New Roman" w:eastAsia="Times New Roman"/>
                <w:sz w:val="21"/>
              </w:rPr>
            </w:pPr>
            <w:r>
              <w:rPr>
                <w:w w:val="95"/>
                <w:sz w:val="21"/>
              </w:rPr>
              <w:t>现状浓度</w:t>
            </w:r>
            <w:r>
              <w:rPr>
                <w:rFonts w:ascii="Times New Roman" w:eastAsia="Times New Roman"/>
                <w:w w:val="95"/>
                <w:sz w:val="21"/>
              </w:rPr>
              <w:t>/</w:t>
            </w:r>
          </w:p>
          <w:p>
            <w:pPr>
              <w:pStyle w:val="14"/>
              <w:spacing w:before="2" w:line="252" w:lineRule="exact"/>
              <w:ind w:left="234"/>
              <w:jc w:val="left"/>
              <w:rPr>
                <w:sz w:val="21"/>
              </w:rPr>
            </w:pPr>
            <w:r>
              <w:rPr>
                <w:sz w:val="21"/>
              </w:rPr>
              <w:t>（</w:t>
            </w:r>
            <w:r>
              <w:rPr>
                <w:rFonts w:ascii="Times New Roman" w:hAnsi="Times New Roman" w:eastAsia="Times New Roman"/>
                <w:sz w:val="21"/>
              </w:rPr>
              <w:t>μg/m</w:t>
            </w:r>
            <w:r>
              <w:rPr>
                <w:rFonts w:ascii="Times New Roman" w:hAnsi="Times New Roman" w:eastAsia="Times New Roman"/>
                <w:position w:val="7"/>
                <w:sz w:val="13"/>
              </w:rPr>
              <w:t>3</w:t>
            </w:r>
            <w:r>
              <w:rPr>
                <w:sz w:val="21"/>
              </w:rPr>
              <w:t>）</w:t>
            </w:r>
          </w:p>
        </w:tc>
        <w:tc>
          <w:tcPr>
            <w:tcW w:w="1621" w:type="dxa"/>
          </w:tcPr>
          <w:p>
            <w:pPr>
              <w:pStyle w:val="14"/>
              <w:spacing w:before="2"/>
              <w:ind w:left="326" w:right="317"/>
              <w:rPr>
                <w:rFonts w:ascii="Times New Roman" w:eastAsia="Times New Roman"/>
                <w:sz w:val="21"/>
              </w:rPr>
            </w:pPr>
            <w:r>
              <w:rPr>
                <w:sz w:val="21"/>
              </w:rPr>
              <w:t>标准值</w:t>
            </w:r>
            <w:r>
              <w:rPr>
                <w:rFonts w:ascii="Times New Roman" w:eastAsia="Times New Roman"/>
                <w:sz w:val="21"/>
              </w:rPr>
              <w:t>/</w:t>
            </w:r>
          </w:p>
          <w:p>
            <w:pPr>
              <w:pStyle w:val="14"/>
              <w:spacing w:before="2" w:line="252" w:lineRule="exact"/>
              <w:ind w:left="326" w:right="320"/>
              <w:rPr>
                <w:sz w:val="21"/>
              </w:rPr>
            </w:pPr>
            <w:r>
              <w:rPr>
                <w:sz w:val="21"/>
              </w:rPr>
              <w:t>（</w:t>
            </w:r>
            <w:r>
              <w:rPr>
                <w:rFonts w:ascii="Times New Roman" w:hAnsi="Times New Roman" w:eastAsia="Times New Roman"/>
                <w:sz w:val="21"/>
              </w:rPr>
              <w:t>μg/m</w:t>
            </w:r>
            <w:r>
              <w:rPr>
                <w:rFonts w:ascii="Times New Roman" w:hAnsi="Times New Roman" w:eastAsia="Times New Roman"/>
                <w:position w:val="7"/>
                <w:sz w:val="13"/>
              </w:rPr>
              <w:t>3</w:t>
            </w:r>
            <w:r>
              <w:rPr>
                <w:sz w:val="21"/>
              </w:rPr>
              <w:t>）</w:t>
            </w:r>
          </w:p>
        </w:tc>
        <w:tc>
          <w:tcPr>
            <w:tcW w:w="991" w:type="dxa"/>
          </w:tcPr>
          <w:p>
            <w:pPr>
              <w:pStyle w:val="14"/>
              <w:spacing w:before="16"/>
              <w:ind w:left="158" w:right="153"/>
              <w:rPr>
                <w:sz w:val="21"/>
              </w:rPr>
            </w:pPr>
            <w:r>
              <w:rPr>
                <w:sz w:val="21"/>
              </w:rPr>
              <w:t>占标率</w:t>
            </w:r>
          </w:p>
          <w:p>
            <w:pPr>
              <w:pStyle w:val="14"/>
              <w:spacing w:before="2" w:line="238" w:lineRule="exact"/>
              <w:ind w:left="158" w:right="151"/>
              <w:rPr>
                <w:rFonts w:ascii="Times New Roman"/>
                <w:sz w:val="21"/>
              </w:rPr>
            </w:pPr>
            <w:r>
              <w:rPr>
                <w:rFonts w:ascii="Times New Roman"/>
                <w:sz w:val="21"/>
              </w:rPr>
              <w:t>/%</w:t>
            </w:r>
          </w:p>
        </w:tc>
        <w:tc>
          <w:tcPr>
            <w:tcW w:w="861" w:type="dxa"/>
          </w:tcPr>
          <w:p>
            <w:pPr>
              <w:pStyle w:val="14"/>
              <w:spacing w:before="1" w:line="270" w:lineRule="atLeast"/>
              <w:ind w:left="325" w:right="105" w:hanging="212"/>
              <w:jc w:val="left"/>
              <w:rPr>
                <w:sz w:val="21"/>
              </w:rPr>
            </w:pPr>
            <w:r>
              <w:rPr>
                <w:sz w:val="21"/>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968" w:type="dxa"/>
          </w:tcPr>
          <w:p>
            <w:pPr>
              <w:pStyle w:val="14"/>
              <w:spacing w:before="12" w:line="240" w:lineRule="exact"/>
              <w:ind w:left="148" w:right="138"/>
              <w:rPr>
                <w:rFonts w:ascii="Times New Roman"/>
                <w:sz w:val="21"/>
              </w:rPr>
            </w:pPr>
            <w:r>
              <w:rPr>
                <w:rFonts w:ascii="Times New Roman"/>
                <w:position w:val="2"/>
                <w:sz w:val="21"/>
              </w:rPr>
              <w:t>SO</w:t>
            </w:r>
            <w:r>
              <w:rPr>
                <w:rFonts w:ascii="Times New Roman"/>
                <w:position w:val="2"/>
                <w:sz w:val="21"/>
                <w:vertAlign w:val="subscript"/>
              </w:rPr>
              <w:t>2</w:t>
            </w:r>
          </w:p>
        </w:tc>
        <w:tc>
          <w:tcPr>
            <w:tcW w:w="3015" w:type="dxa"/>
          </w:tcPr>
          <w:p>
            <w:pPr>
              <w:pStyle w:val="14"/>
              <w:spacing w:before="1" w:line="250" w:lineRule="exact"/>
              <w:ind w:left="37" w:right="32"/>
              <w:rPr>
                <w:sz w:val="21"/>
              </w:rPr>
            </w:pPr>
            <w:r>
              <w:rPr>
                <w:sz w:val="21"/>
              </w:rPr>
              <w:t>年平均质量浓度</w:t>
            </w:r>
          </w:p>
        </w:tc>
        <w:tc>
          <w:tcPr>
            <w:tcW w:w="1399" w:type="dxa"/>
          </w:tcPr>
          <w:p>
            <w:pPr>
              <w:pStyle w:val="14"/>
              <w:spacing w:before="15" w:line="236" w:lineRule="exact"/>
              <w:ind w:left="11"/>
              <w:rPr>
                <w:rFonts w:ascii="Times New Roman"/>
                <w:sz w:val="21"/>
              </w:rPr>
            </w:pPr>
            <w:r>
              <w:rPr>
                <w:rFonts w:ascii="Times New Roman"/>
                <w:w w:val="99"/>
                <w:sz w:val="21"/>
              </w:rPr>
              <w:t>8</w:t>
            </w:r>
          </w:p>
        </w:tc>
        <w:tc>
          <w:tcPr>
            <w:tcW w:w="1621" w:type="dxa"/>
          </w:tcPr>
          <w:p>
            <w:pPr>
              <w:pStyle w:val="14"/>
              <w:spacing w:before="15" w:line="236" w:lineRule="exact"/>
              <w:ind w:left="326" w:right="316"/>
              <w:rPr>
                <w:rFonts w:ascii="Times New Roman"/>
                <w:sz w:val="21"/>
              </w:rPr>
            </w:pPr>
            <w:r>
              <w:rPr>
                <w:rFonts w:ascii="Times New Roman"/>
                <w:sz w:val="21"/>
              </w:rPr>
              <w:t>60</w:t>
            </w:r>
          </w:p>
        </w:tc>
        <w:tc>
          <w:tcPr>
            <w:tcW w:w="991" w:type="dxa"/>
          </w:tcPr>
          <w:p>
            <w:pPr>
              <w:pStyle w:val="14"/>
              <w:spacing w:before="15" w:line="236" w:lineRule="exact"/>
              <w:ind w:left="158" w:right="149"/>
              <w:rPr>
                <w:rFonts w:ascii="Times New Roman"/>
                <w:sz w:val="21"/>
              </w:rPr>
            </w:pPr>
            <w:r>
              <w:rPr>
                <w:rFonts w:ascii="Times New Roman"/>
                <w:sz w:val="21"/>
              </w:rPr>
              <w:t>13.33</w:t>
            </w:r>
          </w:p>
        </w:tc>
        <w:tc>
          <w:tcPr>
            <w:tcW w:w="861" w:type="dxa"/>
          </w:tcPr>
          <w:p>
            <w:pPr>
              <w:pStyle w:val="14"/>
              <w:spacing w:before="1" w:line="250" w:lineRule="exact"/>
              <w:ind w:left="198" w:right="192"/>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968" w:type="dxa"/>
          </w:tcPr>
          <w:p>
            <w:pPr>
              <w:pStyle w:val="14"/>
              <w:spacing w:before="11" w:line="242" w:lineRule="exact"/>
              <w:ind w:left="148" w:right="138"/>
              <w:rPr>
                <w:rFonts w:ascii="Times New Roman"/>
                <w:sz w:val="21"/>
              </w:rPr>
            </w:pPr>
            <w:r>
              <w:rPr>
                <w:rFonts w:ascii="Times New Roman"/>
                <w:position w:val="2"/>
                <w:sz w:val="21"/>
              </w:rPr>
              <w:t>NO</w:t>
            </w:r>
            <w:r>
              <w:rPr>
                <w:rFonts w:ascii="Times New Roman"/>
                <w:position w:val="2"/>
                <w:sz w:val="21"/>
                <w:vertAlign w:val="subscript"/>
              </w:rPr>
              <w:t>2</w:t>
            </w:r>
          </w:p>
        </w:tc>
        <w:tc>
          <w:tcPr>
            <w:tcW w:w="3015" w:type="dxa"/>
          </w:tcPr>
          <w:p>
            <w:pPr>
              <w:pStyle w:val="14"/>
              <w:spacing w:line="253" w:lineRule="exact"/>
              <w:ind w:left="37" w:right="32"/>
              <w:rPr>
                <w:sz w:val="21"/>
              </w:rPr>
            </w:pPr>
            <w:r>
              <w:rPr>
                <w:sz w:val="21"/>
              </w:rPr>
              <w:t>年平均质量浓度</w:t>
            </w:r>
          </w:p>
        </w:tc>
        <w:tc>
          <w:tcPr>
            <w:tcW w:w="1399" w:type="dxa"/>
          </w:tcPr>
          <w:p>
            <w:pPr>
              <w:pStyle w:val="14"/>
              <w:spacing w:before="14" w:line="239" w:lineRule="exact"/>
              <w:ind w:left="466" w:right="460"/>
              <w:rPr>
                <w:rFonts w:ascii="Times New Roman"/>
                <w:sz w:val="21"/>
              </w:rPr>
            </w:pPr>
            <w:r>
              <w:rPr>
                <w:rFonts w:ascii="Times New Roman"/>
                <w:sz w:val="21"/>
              </w:rPr>
              <w:t>15</w:t>
            </w:r>
          </w:p>
        </w:tc>
        <w:tc>
          <w:tcPr>
            <w:tcW w:w="1621" w:type="dxa"/>
          </w:tcPr>
          <w:p>
            <w:pPr>
              <w:pStyle w:val="14"/>
              <w:spacing w:before="14" w:line="239" w:lineRule="exact"/>
              <w:ind w:left="326" w:right="316"/>
              <w:rPr>
                <w:rFonts w:ascii="Times New Roman"/>
                <w:sz w:val="21"/>
              </w:rPr>
            </w:pPr>
            <w:r>
              <w:rPr>
                <w:rFonts w:ascii="Times New Roman"/>
                <w:sz w:val="21"/>
              </w:rPr>
              <w:t>40</w:t>
            </w:r>
          </w:p>
        </w:tc>
        <w:tc>
          <w:tcPr>
            <w:tcW w:w="991" w:type="dxa"/>
          </w:tcPr>
          <w:p>
            <w:pPr>
              <w:pStyle w:val="14"/>
              <w:spacing w:before="14" w:line="239" w:lineRule="exact"/>
              <w:ind w:left="158" w:right="149"/>
              <w:rPr>
                <w:rFonts w:ascii="Times New Roman"/>
                <w:sz w:val="21"/>
              </w:rPr>
            </w:pPr>
            <w:r>
              <w:rPr>
                <w:rFonts w:ascii="Times New Roman"/>
                <w:sz w:val="21"/>
              </w:rPr>
              <w:t>37.5</w:t>
            </w:r>
          </w:p>
        </w:tc>
        <w:tc>
          <w:tcPr>
            <w:tcW w:w="861" w:type="dxa"/>
          </w:tcPr>
          <w:p>
            <w:pPr>
              <w:pStyle w:val="14"/>
              <w:spacing w:line="253" w:lineRule="exact"/>
              <w:ind w:left="198" w:right="192"/>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968" w:type="dxa"/>
          </w:tcPr>
          <w:p>
            <w:pPr>
              <w:pStyle w:val="14"/>
              <w:spacing w:before="11" w:line="241" w:lineRule="exact"/>
              <w:ind w:left="148" w:right="136"/>
              <w:rPr>
                <w:rFonts w:ascii="Times New Roman"/>
                <w:sz w:val="21"/>
              </w:rPr>
            </w:pPr>
            <w:r>
              <w:rPr>
                <w:rFonts w:ascii="Times New Roman"/>
                <w:position w:val="2"/>
                <w:sz w:val="21"/>
              </w:rPr>
              <w:t>PM</w:t>
            </w:r>
            <w:r>
              <w:rPr>
                <w:rFonts w:ascii="Times New Roman"/>
                <w:position w:val="2"/>
                <w:sz w:val="21"/>
                <w:vertAlign w:val="subscript"/>
              </w:rPr>
              <w:t>10</w:t>
            </w:r>
          </w:p>
        </w:tc>
        <w:tc>
          <w:tcPr>
            <w:tcW w:w="3015" w:type="dxa"/>
          </w:tcPr>
          <w:p>
            <w:pPr>
              <w:pStyle w:val="14"/>
              <w:spacing w:line="251" w:lineRule="exact"/>
              <w:ind w:left="37" w:right="32"/>
              <w:rPr>
                <w:sz w:val="21"/>
              </w:rPr>
            </w:pPr>
            <w:r>
              <w:rPr>
                <w:sz w:val="21"/>
              </w:rPr>
              <w:t>年平均质量浓度</w:t>
            </w:r>
          </w:p>
        </w:tc>
        <w:tc>
          <w:tcPr>
            <w:tcW w:w="1399" w:type="dxa"/>
          </w:tcPr>
          <w:p>
            <w:pPr>
              <w:pStyle w:val="14"/>
              <w:spacing w:before="14" w:line="237" w:lineRule="exact"/>
              <w:ind w:left="466" w:right="460"/>
              <w:rPr>
                <w:rFonts w:ascii="Times New Roman"/>
                <w:sz w:val="21"/>
              </w:rPr>
            </w:pPr>
            <w:r>
              <w:rPr>
                <w:rFonts w:ascii="Times New Roman"/>
                <w:sz w:val="21"/>
              </w:rPr>
              <w:t>50</w:t>
            </w:r>
          </w:p>
        </w:tc>
        <w:tc>
          <w:tcPr>
            <w:tcW w:w="1621" w:type="dxa"/>
          </w:tcPr>
          <w:p>
            <w:pPr>
              <w:pStyle w:val="14"/>
              <w:spacing w:before="14" w:line="237" w:lineRule="exact"/>
              <w:ind w:left="326" w:right="316"/>
              <w:rPr>
                <w:rFonts w:ascii="Times New Roman"/>
                <w:sz w:val="21"/>
              </w:rPr>
            </w:pPr>
            <w:r>
              <w:rPr>
                <w:rFonts w:ascii="Times New Roman"/>
                <w:sz w:val="21"/>
              </w:rPr>
              <w:t>70</w:t>
            </w:r>
          </w:p>
        </w:tc>
        <w:tc>
          <w:tcPr>
            <w:tcW w:w="991" w:type="dxa"/>
          </w:tcPr>
          <w:p>
            <w:pPr>
              <w:pStyle w:val="14"/>
              <w:spacing w:before="14" w:line="237" w:lineRule="exact"/>
              <w:ind w:left="158" w:right="149"/>
              <w:rPr>
                <w:rFonts w:ascii="Times New Roman"/>
                <w:sz w:val="21"/>
              </w:rPr>
            </w:pPr>
            <w:r>
              <w:rPr>
                <w:rFonts w:ascii="Times New Roman"/>
                <w:sz w:val="21"/>
              </w:rPr>
              <w:t>71.43</w:t>
            </w:r>
          </w:p>
        </w:tc>
        <w:tc>
          <w:tcPr>
            <w:tcW w:w="861" w:type="dxa"/>
          </w:tcPr>
          <w:p>
            <w:pPr>
              <w:pStyle w:val="14"/>
              <w:spacing w:line="251" w:lineRule="exact"/>
              <w:ind w:left="198" w:right="192"/>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968" w:type="dxa"/>
          </w:tcPr>
          <w:p>
            <w:pPr>
              <w:pStyle w:val="14"/>
              <w:spacing w:before="12" w:line="239" w:lineRule="exact"/>
              <w:ind w:left="148" w:right="136"/>
              <w:rPr>
                <w:rFonts w:ascii="Times New Roman"/>
                <w:sz w:val="13"/>
              </w:rPr>
            </w:pPr>
            <w:r>
              <w:rPr>
                <w:rFonts w:ascii="Times New Roman"/>
                <w:w w:val="105"/>
                <w:position w:val="2"/>
                <w:sz w:val="21"/>
              </w:rPr>
              <w:t>PM</w:t>
            </w:r>
            <w:r>
              <w:rPr>
                <w:rFonts w:ascii="Times New Roman"/>
                <w:w w:val="105"/>
                <w:sz w:val="13"/>
              </w:rPr>
              <w:t>2.5</w:t>
            </w:r>
          </w:p>
        </w:tc>
        <w:tc>
          <w:tcPr>
            <w:tcW w:w="3015" w:type="dxa"/>
          </w:tcPr>
          <w:p>
            <w:pPr>
              <w:pStyle w:val="14"/>
              <w:spacing w:before="1" w:line="250" w:lineRule="exact"/>
              <w:ind w:left="37" w:right="32"/>
              <w:rPr>
                <w:sz w:val="21"/>
              </w:rPr>
            </w:pPr>
            <w:r>
              <w:rPr>
                <w:sz w:val="21"/>
              </w:rPr>
              <w:t>年平均质量浓度</w:t>
            </w:r>
          </w:p>
        </w:tc>
        <w:tc>
          <w:tcPr>
            <w:tcW w:w="1399" w:type="dxa"/>
          </w:tcPr>
          <w:p>
            <w:pPr>
              <w:pStyle w:val="14"/>
              <w:spacing w:before="15" w:line="236" w:lineRule="exact"/>
              <w:ind w:left="466" w:right="460"/>
              <w:rPr>
                <w:rFonts w:ascii="Times New Roman"/>
                <w:sz w:val="21"/>
              </w:rPr>
            </w:pPr>
            <w:r>
              <w:rPr>
                <w:rFonts w:ascii="Times New Roman"/>
                <w:sz w:val="21"/>
              </w:rPr>
              <w:t>29</w:t>
            </w:r>
          </w:p>
        </w:tc>
        <w:tc>
          <w:tcPr>
            <w:tcW w:w="1621" w:type="dxa"/>
          </w:tcPr>
          <w:p>
            <w:pPr>
              <w:pStyle w:val="14"/>
              <w:spacing w:before="15" w:line="236" w:lineRule="exact"/>
              <w:ind w:left="326" w:right="316"/>
              <w:rPr>
                <w:rFonts w:ascii="Times New Roman"/>
                <w:sz w:val="21"/>
              </w:rPr>
            </w:pPr>
            <w:r>
              <w:rPr>
                <w:rFonts w:ascii="Times New Roman"/>
                <w:sz w:val="21"/>
              </w:rPr>
              <w:t>35</w:t>
            </w:r>
          </w:p>
        </w:tc>
        <w:tc>
          <w:tcPr>
            <w:tcW w:w="991" w:type="dxa"/>
          </w:tcPr>
          <w:p>
            <w:pPr>
              <w:pStyle w:val="14"/>
              <w:spacing w:before="15" w:line="236" w:lineRule="exact"/>
              <w:ind w:left="158" w:right="149"/>
              <w:rPr>
                <w:rFonts w:ascii="Times New Roman"/>
                <w:sz w:val="21"/>
              </w:rPr>
            </w:pPr>
            <w:r>
              <w:rPr>
                <w:rFonts w:ascii="Times New Roman"/>
                <w:sz w:val="21"/>
              </w:rPr>
              <w:t>82.86</w:t>
            </w:r>
          </w:p>
        </w:tc>
        <w:tc>
          <w:tcPr>
            <w:tcW w:w="861" w:type="dxa"/>
          </w:tcPr>
          <w:p>
            <w:pPr>
              <w:pStyle w:val="14"/>
              <w:spacing w:before="1" w:line="250" w:lineRule="exact"/>
              <w:ind w:left="198" w:right="192"/>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968" w:type="dxa"/>
          </w:tcPr>
          <w:p>
            <w:pPr>
              <w:pStyle w:val="14"/>
              <w:spacing w:before="14" w:line="238" w:lineRule="exact"/>
              <w:ind w:left="145" w:right="139"/>
              <w:rPr>
                <w:rFonts w:ascii="Times New Roman"/>
                <w:sz w:val="21"/>
              </w:rPr>
            </w:pPr>
            <w:r>
              <w:rPr>
                <w:rFonts w:ascii="Times New Roman"/>
                <w:sz w:val="21"/>
              </w:rPr>
              <w:t>CO</w:t>
            </w:r>
          </w:p>
        </w:tc>
        <w:tc>
          <w:tcPr>
            <w:tcW w:w="3015" w:type="dxa"/>
          </w:tcPr>
          <w:p>
            <w:pPr>
              <w:pStyle w:val="14"/>
              <w:spacing w:line="252" w:lineRule="exact"/>
              <w:ind w:left="37" w:right="30"/>
              <w:rPr>
                <w:sz w:val="21"/>
              </w:rPr>
            </w:pPr>
            <w:r>
              <w:rPr>
                <w:rFonts w:ascii="Times New Roman" w:eastAsia="Times New Roman"/>
                <w:sz w:val="21"/>
              </w:rPr>
              <w:t xml:space="preserve">24 </w:t>
            </w:r>
            <w:r>
              <w:rPr>
                <w:sz w:val="21"/>
              </w:rPr>
              <w:t xml:space="preserve">小时平均第 </w:t>
            </w:r>
            <w:r>
              <w:rPr>
                <w:rFonts w:ascii="Times New Roman" w:eastAsia="Times New Roman"/>
                <w:sz w:val="21"/>
              </w:rPr>
              <w:t xml:space="preserve">95 </w:t>
            </w:r>
            <w:r>
              <w:rPr>
                <w:sz w:val="21"/>
              </w:rPr>
              <w:t>百分位数</w:t>
            </w:r>
          </w:p>
        </w:tc>
        <w:tc>
          <w:tcPr>
            <w:tcW w:w="1399" w:type="dxa"/>
          </w:tcPr>
          <w:p>
            <w:pPr>
              <w:pStyle w:val="14"/>
              <w:spacing w:before="14" w:line="238" w:lineRule="exact"/>
              <w:ind w:left="468" w:right="460"/>
              <w:rPr>
                <w:rFonts w:ascii="Times New Roman"/>
                <w:sz w:val="21"/>
              </w:rPr>
            </w:pPr>
            <w:r>
              <w:rPr>
                <w:rFonts w:ascii="Times New Roman"/>
                <w:sz w:val="21"/>
              </w:rPr>
              <w:t>1400</w:t>
            </w:r>
          </w:p>
        </w:tc>
        <w:tc>
          <w:tcPr>
            <w:tcW w:w="1621" w:type="dxa"/>
          </w:tcPr>
          <w:p>
            <w:pPr>
              <w:pStyle w:val="14"/>
              <w:spacing w:before="14" w:line="238" w:lineRule="exact"/>
              <w:ind w:left="326" w:right="316"/>
              <w:rPr>
                <w:rFonts w:ascii="Times New Roman"/>
                <w:sz w:val="21"/>
              </w:rPr>
            </w:pPr>
            <w:r>
              <w:rPr>
                <w:rFonts w:ascii="Times New Roman"/>
                <w:sz w:val="21"/>
              </w:rPr>
              <w:t>4000</w:t>
            </w:r>
          </w:p>
        </w:tc>
        <w:tc>
          <w:tcPr>
            <w:tcW w:w="991" w:type="dxa"/>
          </w:tcPr>
          <w:p>
            <w:pPr>
              <w:pStyle w:val="14"/>
              <w:spacing w:before="14" w:line="238" w:lineRule="exact"/>
              <w:ind w:left="158" w:right="149"/>
              <w:rPr>
                <w:rFonts w:ascii="Times New Roman"/>
                <w:sz w:val="21"/>
              </w:rPr>
            </w:pPr>
            <w:r>
              <w:rPr>
                <w:rFonts w:ascii="Times New Roman"/>
                <w:sz w:val="21"/>
              </w:rPr>
              <w:t>35</w:t>
            </w:r>
          </w:p>
        </w:tc>
        <w:tc>
          <w:tcPr>
            <w:tcW w:w="861" w:type="dxa"/>
          </w:tcPr>
          <w:p>
            <w:pPr>
              <w:pStyle w:val="14"/>
              <w:spacing w:line="252" w:lineRule="exact"/>
              <w:ind w:left="198" w:right="192"/>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968" w:type="dxa"/>
          </w:tcPr>
          <w:p>
            <w:pPr>
              <w:pStyle w:val="14"/>
              <w:spacing w:before="146"/>
              <w:ind w:left="147" w:right="139"/>
              <w:rPr>
                <w:rFonts w:ascii="Times New Roman"/>
                <w:sz w:val="21"/>
              </w:rPr>
            </w:pPr>
            <w:r>
              <w:rPr>
                <w:rFonts w:ascii="Times New Roman"/>
                <w:position w:val="2"/>
                <w:sz w:val="21"/>
              </w:rPr>
              <w:t>O</w:t>
            </w:r>
            <w:r>
              <w:rPr>
                <w:rFonts w:ascii="Times New Roman"/>
                <w:position w:val="2"/>
                <w:sz w:val="21"/>
                <w:vertAlign w:val="subscript"/>
              </w:rPr>
              <w:t>3</w:t>
            </w:r>
          </w:p>
        </w:tc>
        <w:tc>
          <w:tcPr>
            <w:tcW w:w="3015" w:type="dxa"/>
          </w:tcPr>
          <w:p>
            <w:pPr>
              <w:pStyle w:val="14"/>
              <w:ind w:left="37" w:right="40"/>
              <w:rPr>
                <w:rFonts w:ascii="Times New Roman" w:eastAsia="Times New Roman"/>
                <w:sz w:val="21"/>
              </w:rPr>
            </w:pPr>
            <w:r>
              <w:rPr>
                <w:sz w:val="21"/>
              </w:rPr>
              <w:t xml:space="preserve">最大 </w:t>
            </w:r>
            <w:r>
              <w:rPr>
                <w:rFonts w:ascii="Times New Roman" w:eastAsia="Times New Roman"/>
                <w:sz w:val="21"/>
              </w:rPr>
              <w:t xml:space="preserve">8 </w:t>
            </w:r>
            <w:r>
              <w:rPr>
                <w:sz w:val="21"/>
              </w:rPr>
              <w:t xml:space="preserve">小时滑动平均值的第 </w:t>
            </w:r>
            <w:r>
              <w:rPr>
                <w:rFonts w:ascii="Times New Roman" w:eastAsia="Times New Roman"/>
                <w:sz w:val="21"/>
              </w:rPr>
              <w:t>90</w:t>
            </w:r>
          </w:p>
          <w:p>
            <w:pPr>
              <w:pStyle w:val="14"/>
              <w:spacing w:before="3" w:line="253" w:lineRule="exact"/>
              <w:ind w:left="37" w:right="30"/>
              <w:rPr>
                <w:sz w:val="21"/>
              </w:rPr>
            </w:pPr>
            <w:r>
              <w:rPr>
                <w:sz w:val="21"/>
              </w:rPr>
              <w:t>百分位数</w:t>
            </w:r>
          </w:p>
        </w:tc>
        <w:tc>
          <w:tcPr>
            <w:tcW w:w="1399" w:type="dxa"/>
          </w:tcPr>
          <w:p>
            <w:pPr>
              <w:pStyle w:val="14"/>
              <w:spacing w:before="149"/>
              <w:ind w:left="468" w:right="457"/>
              <w:rPr>
                <w:rFonts w:ascii="Times New Roman"/>
                <w:sz w:val="21"/>
              </w:rPr>
            </w:pPr>
            <w:r>
              <w:rPr>
                <w:rFonts w:ascii="Times New Roman"/>
                <w:sz w:val="21"/>
              </w:rPr>
              <w:t>102</w:t>
            </w:r>
          </w:p>
        </w:tc>
        <w:tc>
          <w:tcPr>
            <w:tcW w:w="1621" w:type="dxa"/>
          </w:tcPr>
          <w:p>
            <w:pPr>
              <w:pStyle w:val="14"/>
              <w:spacing w:before="149"/>
              <w:ind w:left="326" w:right="316"/>
              <w:rPr>
                <w:rFonts w:ascii="Times New Roman"/>
                <w:sz w:val="21"/>
              </w:rPr>
            </w:pPr>
            <w:r>
              <w:rPr>
                <w:rFonts w:ascii="Times New Roman"/>
                <w:sz w:val="21"/>
              </w:rPr>
              <w:t>160</w:t>
            </w:r>
          </w:p>
        </w:tc>
        <w:tc>
          <w:tcPr>
            <w:tcW w:w="991" w:type="dxa"/>
          </w:tcPr>
          <w:p>
            <w:pPr>
              <w:pStyle w:val="14"/>
              <w:spacing w:before="149"/>
              <w:ind w:left="158" w:right="149"/>
              <w:rPr>
                <w:rFonts w:ascii="Times New Roman"/>
                <w:sz w:val="21"/>
              </w:rPr>
            </w:pPr>
            <w:r>
              <w:rPr>
                <w:rFonts w:ascii="Times New Roman"/>
                <w:sz w:val="21"/>
              </w:rPr>
              <w:t>63.75</w:t>
            </w:r>
          </w:p>
        </w:tc>
        <w:tc>
          <w:tcPr>
            <w:tcW w:w="861" w:type="dxa"/>
          </w:tcPr>
          <w:p>
            <w:pPr>
              <w:pStyle w:val="14"/>
              <w:spacing w:before="135"/>
              <w:ind w:left="198" w:right="192"/>
              <w:rPr>
                <w:sz w:val="21"/>
              </w:rPr>
            </w:pPr>
            <w:r>
              <w:rPr>
                <w:sz w:val="21"/>
              </w:rPr>
              <w:t>达标</w:t>
            </w:r>
          </w:p>
        </w:tc>
      </w:tr>
    </w:tbl>
    <w:p>
      <w:pPr>
        <w:pStyle w:val="6"/>
        <w:spacing w:before="1"/>
        <w:ind w:left="127" w:right="9"/>
        <w:jc w:val="center"/>
      </w:pPr>
      <w:r>
        <w:t>根据《</w:t>
      </w:r>
      <w:r>
        <w:rPr>
          <w:rFonts w:ascii="Calibri" w:eastAsia="Calibri"/>
        </w:rPr>
        <w:t xml:space="preserve">2019 </w:t>
      </w:r>
      <w:r>
        <w:t>年双鸭山市环境空气质量状况》中相关数据，双鸭山市区域基本污染物</w:t>
      </w:r>
    </w:p>
    <w:p>
      <w:pPr>
        <w:spacing w:after="0"/>
        <w:jc w:val="center"/>
        <w:sectPr>
          <w:pgSz w:w="11910" w:h="16840"/>
          <w:pgMar w:top="1540" w:right="780" w:bottom="1320" w:left="1200" w:header="0" w:footer="1058" w:gutter="0"/>
        </w:sectPr>
      </w:pPr>
    </w:p>
    <w:p>
      <w:pPr>
        <w:pStyle w:val="6"/>
        <w:spacing w:before="46" w:line="362" w:lineRule="auto"/>
        <w:ind w:left="215" w:right="573"/>
      </w:pPr>
      <w:r>
        <w:t>均符合《环境空气质量标准》（</w:t>
      </w:r>
      <w:r>
        <w:rPr>
          <w:rFonts w:ascii="Calibri" w:eastAsia="Calibri"/>
        </w:rPr>
        <w:t>GB3095-2012</w:t>
      </w:r>
      <w:r>
        <w:t>）中二级标准要求，区域属于环境空气质量达标区。</w:t>
      </w:r>
    </w:p>
    <w:p>
      <w:pPr>
        <w:pStyle w:val="4"/>
        <w:numPr>
          <w:ilvl w:val="2"/>
          <w:numId w:val="65"/>
        </w:numPr>
        <w:tabs>
          <w:tab w:val="left" w:pos="848"/>
        </w:tabs>
        <w:spacing w:before="6" w:after="0" w:line="240" w:lineRule="auto"/>
        <w:ind w:left="847" w:right="0" w:hanging="633"/>
        <w:jc w:val="left"/>
      </w:pPr>
      <w:bookmarkStart w:id="747" w:name="8.2.2环境空气质量现状补充监测"/>
      <w:bookmarkEnd w:id="747"/>
      <w:bookmarkStart w:id="748" w:name="8.2.2环境空气质量现状补充监测"/>
      <w:bookmarkEnd w:id="748"/>
      <w:r>
        <w:t>环境空气质量现状补充监测</w:t>
      </w:r>
    </w:p>
    <w:p>
      <w:pPr>
        <w:pStyle w:val="6"/>
        <w:spacing w:before="185"/>
        <w:ind w:left="696"/>
      </w:pPr>
      <w:r>
        <w:rPr>
          <w:rFonts w:ascii="Times New Roman" w:eastAsia="Times New Roman"/>
        </w:rPr>
        <w:t>1</w:t>
      </w:r>
      <w:r>
        <w:t>、监测范围</w:t>
      </w:r>
    </w:p>
    <w:p>
      <w:pPr>
        <w:pStyle w:val="6"/>
        <w:spacing w:before="158"/>
        <w:ind w:left="696"/>
      </w:pPr>
      <w:r>
        <w:t xml:space="preserve">根据本项目地理位置及评价范围，即以工业广场场区为中心边长 </w:t>
      </w:r>
      <w:r>
        <w:rPr>
          <w:rFonts w:ascii="Times New Roman" w:eastAsia="Times New Roman"/>
        </w:rPr>
        <w:t xml:space="preserve">5km </w:t>
      </w:r>
      <w:r>
        <w:t>的矩形区域。</w:t>
      </w:r>
    </w:p>
    <w:p>
      <w:pPr>
        <w:pStyle w:val="6"/>
        <w:spacing w:before="160"/>
        <w:ind w:left="696"/>
      </w:pPr>
      <w:r>
        <w:rPr>
          <w:rFonts w:ascii="Times New Roman" w:eastAsia="Times New Roman"/>
        </w:rPr>
        <w:t>2</w:t>
      </w:r>
      <w:r>
        <w:t>、监测点位及监测因子</w:t>
      </w:r>
    </w:p>
    <w:p>
      <w:pPr>
        <w:pStyle w:val="6"/>
        <w:spacing w:before="159" w:line="364" w:lineRule="auto"/>
        <w:ind w:left="215" w:right="577" w:firstLine="480"/>
        <w:jc w:val="both"/>
      </w:pPr>
      <w:r>
        <w:rPr>
          <w:spacing w:val="-5"/>
        </w:rPr>
        <w:t>根据《环境影响评价技术导则 大气环境》</w:t>
      </w:r>
      <w:r>
        <w:t>（</w:t>
      </w:r>
      <w:r>
        <w:rPr>
          <w:rFonts w:ascii="Times New Roman" w:eastAsia="Times New Roman"/>
        </w:rPr>
        <w:t>HJ2.2-2018</w:t>
      </w:r>
      <w:r>
        <w:t>）</w:t>
      </w:r>
      <w:r>
        <w:rPr>
          <w:spacing w:val="-2"/>
        </w:rPr>
        <w:t>要求及本项目大气环境影</w:t>
      </w:r>
      <w:r>
        <w:rPr>
          <w:spacing w:val="-1"/>
        </w:rPr>
        <w:t>响评价等级，结合厂址结合本项目厂址周围地形特点、排污特征和评价范围，本次评价</w:t>
      </w:r>
      <w:r>
        <w:rPr>
          <w:spacing w:val="-15"/>
        </w:rPr>
        <w:t xml:space="preserve">共布设 </w:t>
      </w:r>
      <w:r>
        <w:rPr>
          <w:rFonts w:ascii="Times New Roman" w:eastAsia="Times New Roman"/>
        </w:rPr>
        <w:t xml:space="preserve">2 </w:t>
      </w:r>
      <w:r>
        <w:rPr>
          <w:spacing w:val="-10"/>
        </w:rPr>
        <w:t xml:space="preserve">个环境空气监测点，其他污染物补充监测点位基本信息表及监测因子见表 </w:t>
      </w:r>
      <w:r>
        <w:rPr>
          <w:rFonts w:ascii="Times New Roman" w:eastAsia="Times New Roman"/>
          <w:spacing w:val="-4"/>
        </w:rPr>
        <w:t xml:space="preserve">8.2-1 </w:t>
      </w:r>
      <w:r>
        <w:t>及附图。</w:t>
      </w:r>
    </w:p>
    <w:p>
      <w:pPr>
        <w:pStyle w:val="5"/>
        <w:tabs>
          <w:tab w:val="left" w:pos="1041"/>
        </w:tabs>
        <w:spacing w:line="305" w:lineRule="exact"/>
        <w:ind w:right="348"/>
        <w:jc w:val="center"/>
      </w:pPr>
      <w:r>
        <w:t>表</w:t>
      </w:r>
      <w:r>
        <w:rPr>
          <w:spacing w:val="-62"/>
        </w:rPr>
        <w:t xml:space="preserve"> </w:t>
      </w:r>
      <w:r>
        <w:rPr>
          <w:rFonts w:ascii="Times New Roman" w:eastAsia="Times New Roman"/>
        </w:rPr>
        <w:t>8.2-1</w:t>
      </w:r>
      <w:r>
        <w:rPr>
          <w:rFonts w:ascii="Times New Roman" w:eastAsia="Times New Roman"/>
        </w:rPr>
        <w:tab/>
      </w:r>
      <w:r>
        <w:t>其他污染物补充监测点位基本信息表</w:t>
      </w:r>
    </w:p>
    <w:p>
      <w:pPr>
        <w:pStyle w:val="6"/>
        <w:spacing w:before="4"/>
        <w:rPr>
          <w:b/>
          <w:sz w:val="12"/>
        </w:rPr>
      </w:pP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8"/>
        <w:gridCol w:w="2400"/>
        <w:gridCol w:w="1554"/>
        <w:gridCol w:w="1554"/>
        <w:gridCol w:w="1555"/>
        <w:gridCol w:w="15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728" w:type="dxa"/>
          </w:tcPr>
          <w:p>
            <w:pPr>
              <w:pStyle w:val="14"/>
              <w:spacing w:before="135"/>
              <w:ind w:left="133" w:right="124"/>
              <w:rPr>
                <w:sz w:val="21"/>
              </w:rPr>
            </w:pPr>
            <w:r>
              <w:rPr>
                <w:sz w:val="21"/>
              </w:rPr>
              <w:t>编号</w:t>
            </w:r>
          </w:p>
        </w:tc>
        <w:tc>
          <w:tcPr>
            <w:tcW w:w="2400" w:type="dxa"/>
          </w:tcPr>
          <w:p>
            <w:pPr>
              <w:pStyle w:val="14"/>
              <w:spacing w:before="135"/>
              <w:ind w:left="548" w:right="540"/>
              <w:rPr>
                <w:sz w:val="21"/>
              </w:rPr>
            </w:pPr>
            <w:r>
              <w:rPr>
                <w:sz w:val="21"/>
              </w:rPr>
              <w:t>监测点位</w:t>
            </w:r>
          </w:p>
        </w:tc>
        <w:tc>
          <w:tcPr>
            <w:tcW w:w="1554" w:type="dxa"/>
          </w:tcPr>
          <w:p>
            <w:pPr>
              <w:pStyle w:val="14"/>
              <w:ind w:left="355"/>
              <w:jc w:val="left"/>
              <w:rPr>
                <w:sz w:val="21"/>
              </w:rPr>
            </w:pPr>
            <w:r>
              <w:rPr>
                <w:sz w:val="21"/>
              </w:rPr>
              <w:t>监测因子</w:t>
            </w:r>
          </w:p>
        </w:tc>
        <w:tc>
          <w:tcPr>
            <w:tcW w:w="1554" w:type="dxa"/>
          </w:tcPr>
          <w:p>
            <w:pPr>
              <w:pStyle w:val="14"/>
              <w:ind w:left="356"/>
              <w:jc w:val="left"/>
              <w:rPr>
                <w:sz w:val="21"/>
              </w:rPr>
            </w:pPr>
            <w:r>
              <w:rPr>
                <w:sz w:val="21"/>
              </w:rPr>
              <w:t>检测时段</w:t>
            </w:r>
          </w:p>
        </w:tc>
        <w:tc>
          <w:tcPr>
            <w:tcW w:w="1555" w:type="dxa"/>
          </w:tcPr>
          <w:p>
            <w:pPr>
              <w:pStyle w:val="14"/>
              <w:spacing w:before="135"/>
              <w:ind w:left="125" w:right="119"/>
              <w:rPr>
                <w:sz w:val="21"/>
              </w:rPr>
            </w:pPr>
            <w:r>
              <w:rPr>
                <w:sz w:val="21"/>
              </w:rPr>
              <w:t>相对厂址方位</w:t>
            </w:r>
          </w:p>
        </w:tc>
        <w:tc>
          <w:tcPr>
            <w:tcW w:w="1553" w:type="dxa"/>
          </w:tcPr>
          <w:p>
            <w:pPr>
              <w:pStyle w:val="14"/>
              <w:ind w:left="217" w:right="235"/>
              <w:rPr>
                <w:sz w:val="21"/>
              </w:rPr>
            </w:pPr>
            <w:r>
              <w:rPr>
                <w:sz w:val="21"/>
              </w:rPr>
              <w:t>相对厂界距</w:t>
            </w:r>
          </w:p>
          <w:p>
            <w:pPr>
              <w:pStyle w:val="14"/>
              <w:spacing w:before="5" w:line="251" w:lineRule="exact"/>
              <w:ind w:left="217" w:right="221"/>
              <w:rPr>
                <w:rFonts w:ascii="Times New Roman" w:eastAsia="Times New Roman"/>
                <w:sz w:val="21"/>
              </w:rPr>
            </w:pPr>
            <w:r>
              <w:rPr>
                <w:sz w:val="21"/>
              </w:rPr>
              <w:t xml:space="preserve">离 </w:t>
            </w:r>
            <w:r>
              <w:rPr>
                <w:rFonts w:ascii="Times New Roman" w:eastAsia="Times New Roman"/>
                <w:sz w:val="21"/>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28" w:type="dxa"/>
          </w:tcPr>
          <w:p>
            <w:pPr>
              <w:pStyle w:val="14"/>
              <w:spacing w:before="76"/>
              <w:ind w:left="132" w:right="124"/>
              <w:rPr>
                <w:rFonts w:ascii="Times New Roman"/>
                <w:sz w:val="21"/>
              </w:rPr>
            </w:pPr>
            <w:r>
              <w:rPr>
                <w:rFonts w:ascii="Times New Roman"/>
                <w:sz w:val="21"/>
              </w:rPr>
              <w:t>1#</w:t>
            </w:r>
          </w:p>
        </w:tc>
        <w:tc>
          <w:tcPr>
            <w:tcW w:w="2400" w:type="dxa"/>
          </w:tcPr>
          <w:p>
            <w:pPr>
              <w:pStyle w:val="14"/>
              <w:spacing w:before="62"/>
              <w:ind w:left="548" w:right="542"/>
              <w:rPr>
                <w:sz w:val="21"/>
              </w:rPr>
            </w:pPr>
            <w:r>
              <w:rPr>
                <w:sz w:val="21"/>
              </w:rPr>
              <w:t>工业广场厂址</w:t>
            </w:r>
          </w:p>
        </w:tc>
        <w:tc>
          <w:tcPr>
            <w:tcW w:w="1554" w:type="dxa"/>
            <w:vMerge w:val="restart"/>
          </w:tcPr>
          <w:p>
            <w:pPr>
              <w:pStyle w:val="14"/>
              <w:spacing w:before="8"/>
              <w:jc w:val="left"/>
              <w:rPr>
                <w:b/>
                <w:sz w:val="20"/>
              </w:rPr>
            </w:pPr>
          </w:p>
          <w:p>
            <w:pPr>
              <w:pStyle w:val="14"/>
              <w:ind w:left="115" w:right="102"/>
              <w:rPr>
                <w:rFonts w:ascii="Times New Roman"/>
                <w:sz w:val="24"/>
              </w:rPr>
            </w:pPr>
            <w:r>
              <w:rPr>
                <w:rFonts w:ascii="Times New Roman"/>
                <w:sz w:val="24"/>
              </w:rPr>
              <w:t>TSP</w:t>
            </w:r>
          </w:p>
        </w:tc>
        <w:tc>
          <w:tcPr>
            <w:tcW w:w="1554" w:type="dxa"/>
            <w:vMerge w:val="restart"/>
          </w:tcPr>
          <w:p>
            <w:pPr>
              <w:pStyle w:val="14"/>
              <w:spacing w:before="146"/>
              <w:ind w:left="115" w:right="129"/>
              <w:rPr>
                <w:sz w:val="21"/>
              </w:rPr>
            </w:pPr>
            <w:r>
              <w:rPr>
                <w:rFonts w:ascii="Times New Roman" w:eastAsia="Times New Roman"/>
                <w:sz w:val="21"/>
              </w:rPr>
              <w:t xml:space="preserve">2020.04 .14 </w:t>
            </w:r>
            <w:r>
              <w:rPr>
                <w:sz w:val="21"/>
              </w:rPr>
              <w:t>～</w:t>
            </w:r>
          </w:p>
          <w:p>
            <w:pPr>
              <w:pStyle w:val="14"/>
              <w:spacing w:before="2"/>
              <w:ind w:left="115" w:right="121"/>
              <w:rPr>
                <w:rFonts w:ascii="Times New Roman"/>
                <w:sz w:val="21"/>
              </w:rPr>
            </w:pPr>
            <w:r>
              <w:rPr>
                <w:rFonts w:ascii="Times New Roman"/>
                <w:sz w:val="21"/>
              </w:rPr>
              <w:t>2020.04.20</w:t>
            </w:r>
          </w:p>
        </w:tc>
        <w:tc>
          <w:tcPr>
            <w:tcW w:w="1555" w:type="dxa"/>
          </w:tcPr>
          <w:p>
            <w:pPr>
              <w:pStyle w:val="14"/>
              <w:spacing w:before="62"/>
              <w:ind w:left="101" w:right="119"/>
              <w:rPr>
                <w:sz w:val="21"/>
              </w:rPr>
            </w:pPr>
            <w:r>
              <w:rPr>
                <w:sz w:val="21"/>
              </w:rPr>
              <w:t>厂区内</w:t>
            </w:r>
          </w:p>
        </w:tc>
        <w:tc>
          <w:tcPr>
            <w:tcW w:w="1553" w:type="dxa"/>
          </w:tcPr>
          <w:p>
            <w:pPr>
              <w:pStyle w:val="14"/>
              <w:spacing w:before="76"/>
              <w:ind w:right="1"/>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28" w:type="dxa"/>
          </w:tcPr>
          <w:p>
            <w:pPr>
              <w:pStyle w:val="14"/>
              <w:spacing w:before="77"/>
              <w:ind w:left="132" w:right="124"/>
              <w:rPr>
                <w:rFonts w:ascii="Times New Roman"/>
                <w:sz w:val="21"/>
              </w:rPr>
            </w:pPr>
            <w:r>
              <w:rPr>
                <w:rFonts w:ascii="Times New Roman"/>
                <w:sz w:val="21"/>
              </w:rPr>
              <w:t>2#</w:t>
            </w:r>
          </w:p>
        </w:tc>
        <w:tc>
          <w:tcPr>
            <w:tcW w:w="2400" w:type="dxa"/>
          </w:tcPr>
          <w:p>
            <w:pPr>
              <w:pStyle w:val="14"/>
              <w:spacing w:before="63"/>
              <w:ind w:left="548" w:right="541"/>
              <w:rPr>
                <w:rFonts w:ascii="Times New Roman" w:eastAsia="Times New Roman"/>
                <w:sz w:val="21"/>
              </w:rPr>
            </w:pPr>
            <w:r>
              <w:rPr>
                <w:sz w:val="21"/>
              </w:rPr>
              <w:t xml:space="preserve">下风向 </w:t>
            </w:r>
            <w:r>
              <w:rPr>
                <w:rFonts w:ascii="Times New Roman" w:eastAsia="Times New Roman"/>
                <w:sz w:val="21"/>
              </w:rPr>
              <w:t>500m</w:t>
            </w:r>
          </w:p>
        </w:tc>
        <w:tc>
          <w:tcPr>
            <w:tcW w:w="1554" w:type="dxa"/>
            <w:vMerge w:val="continue"/>
            <w:tcBorders>
              <w:top w:val="nil"/>
            </w:tcBorders>
          </w:tcPr>
          <w:p>
            <w:pPr>
              <w:rPr>
                <w:sz w:val="2"/>
                <w:szCs w:val="2"/>
              </w:rPr>
            </w:pPr>
          </w:p>
        </w:tc>
        <w:tc>
          <w:tcPr>
            <w:tcW w:w="1554" w:type="dxa"/>
            <w:vMerge w:val="continue"/>
            <w:tcBorders>
              <w:top w:val="nil"/>
            </w:tcBorders>
          </w:tcPr>
          <w:p>
            <w:pPr>
              <w:rPr>
                <w:sz w:val="2"/>
                <w:szCs w:val="2"/>
              </w:rPr>
            </w:pPr>
          </w:p>
        </w:tc>
        <w:tc>
          <w:tcPr>
            <w:tcW w:w="1555" w:type="dxa"/>
          </w:tcPr>
          <w:p>
            <w:pPr>
              <w:pStyle w:val="14"/>
              <w:spacing w:before="77"/>
              <w:ind w:left="125" w:right="119"/>
              <w:rPr>
                <w:rFonts w:ascii="Times New Roman"/>
                <w:sz w:val="21"/>
              </w:rPr>
            </w:pPr>
            <w:r>
              <w:rPr>
                <w:rFonts w:ascii="Times New Roman"/>
                <w:sz w:val="21"/>
              </w:rPr>
              <w:t>SW</w:t>
            </w:r>
          </w:p>
        </w:tc>
        <w:tc>
          <w:tcPr>
            <w:tcW w:w="1553" w:type="dxa"/>
          </w:tcPr>
          <w:p>
            <w:pPr>
              <w:pStyle w:val="14"/>
              <w:spacing w:before="77"/>
              <w:ind w:left="217" w:right="223"/>
              <w:rPr>
                <w:rFonts w:ascii="Times New Roman"/>
                <w:sz w:val="21"/>
              </w:rPr>
            </w:pPr>
            <w:r>
              <w:rPr>
                <w:rFonts w:ascii="Times New Roman"/>
                <w:sz w:val="21"/>
              </w:rPr>
              <w:t>500m</w:t>
            </w:r>
          </w:p>
        </w:tc>
      </w:tr>
    </w:tbl>
    <w:p>
      <w:pPr>
        <w:pStyle w:val="6"/>
        <w:spacing w:before="3"/>
        <w:ind w:left="696"/>
      </w:pPr>
      <w:r>
        <w:rPr>
          <w:rFonts w:ascii="Times New Roman" w:eastAsia="Times New Roman"/>
        </w:rPr>
        <w:t>3</w:t>
      </w:r>
      <w:r>
        <w:t>、监测采样时间、频率</w:t>
      </w:r>
    </w:p>
    <w:p>
      <w:pPr>
        <w:pStyle w:val="6"/>
        <w:spacing w:before="158" w:line="362" w:lineRule="auto"/>
        <w:ind w:left="696" w:right="4361"/>
      </w:pPr>
      <w:r>
        <w:t>监测时间：</w:t>
      </w:r>
      <w:r>
        <w:rPr>
          <w:rFonts w:ascii="Times New Roman" w:eastAsia="Times New Roman"/>
        </w:rPr>
        <w:t>2020.04.14</w:t>
      </w:r>
      <w:r>
        <w:t>～</w:t>
      </w:r>
      <w:r>
        <w:rPr>
          <w:rFonts w:ascii="Times New Roman" w:eastAsia="Times New Roman"/>
        </w:rPr>
        <w:t>2020.04.20</w:t>
      </w:r>
      <w:r>
        <w:t xml:space="preserve">，连续 </w:t>
      </w:r>
      <w:r>
        <w:rPr>
          <w:rFonts w:ascii="Times New Roman" w:eastAsia="Times New Roman"/>
        </w:rPr>
        <w:t xml:space="preserve">7 </w:t>
      </w:r>
      <w:r>
        <w:t>天频率：</w:t>
      </w:r>
      <w:r>
        <w:rPr>
          <w:rFonts w:ascii="Times New Roman" w:eastAsia="Times New Roman"/>
        </w:rPr>
        <w:t xml:space="preserve">TSP </w:t>
      </w:r>
      <w:r>
        <w:t xml:space="preserve">采样为每天 </w:t>
      </w:r>
      <w:r>
        <w:rPr>
          <w:rFonts w:ascii="Times New Roman" w:eastAsia="Times New Roman"/>
        </w:rPr>
        <w:t>24h</w:t>
      </w:r>
      <w:r>
        <w:t>。</w:t>
      </w:r>
    </w:p>
    <w:p>
      <w:pPr>
        <w:pStyle w:val="6"/>
        <w:spacing w:before="5"/>
        <w:ind w:left="696"/>
      </w:pPr>
      <w:r>
        <w:rPr>
          <w:rFonts w:ascii="Times New Roman" w:eastAsia="Times New Roman"/>
        </w:rPr>
        <w:t>4</w:t>
      </w:r>
      <w:r>
        <w:t>、监测分析方法</w:t>
      </w:r>
    </w:p>
    <w:p>
      <w:pPr>
        <w:spacing w:before="158" w:line="364" w:lineRule="auto"/>
        <w:ind w:left="2520" w:right="2428" w:hanging="1824"/>
        <w:jc w:val="left"/>
        <w:rPr>
          <w:b/>
          <w:sz w:val="24"/>
        </w:rPr>
      </w:pPr>
      <w:r>
        <w:rPr>
          <w:spacing w:val="-3"/>
          <w:sz w:val="24"/>
        </w:rPr>
        <w:t xml:space="preserve">监测分析方法及使用仪器采样及监测分析方法，具体见表 </w:t>
      </w:r>
      <w:r>
        <w:rPr>
          <w:rFonts w:ascii="Times New Roman" w:eastAsia="Times New Roman"/>
          <w:sz w:val="24"/>
        </w:rPr>
        <w:t>8.2-2</w:t>
      </w:r>
      <w:r>
        <w:rPr>
          <w:spacing w:val="-17"/>
          <w:sz w:val="24"/>
        </w:rPr>
        <w:t>。</w:t>
      </w:r>
      <w:r>
        <w:rPr>
          <w:b/>
          <w:spacing w:val="-31"/>
          <w:sz w:val="24"/>
        </w:rPr>
        <w:t xml:space="preserve">表 </w:t>
      </w:r>
      <w:r>
        <w:rPr>
          <w:rFonts w:ascii="Times New Roman" w:eastAsia="Times New Roman"/>
          <w:b/>
          <w:sz w:val="24"/>
        </w:rPr>
        <w:t>8.2-2</w:t>
      </w:r>
      <w:r>
        <w:rPr>
          <w:rFonts w:ascii="Times New Roman" w:eastAsia="Times New Roman"/>
          <w:b/>
          <w:spacing w:val="59"/>
          <w:sz w:val="24"/>
        </w:rPr>
        <w:t xml:space="preserve"> </w:t>
      </w:r>
      <w:r>
        <w:rPr>
          <w:b/>
          <w:sz w:val="24"/>
        </w:rPr>
        <w:t>监测分析方法及最低检出限一览表</w:t>
      </w:r>
    </w:p>
    <w:tbl>
      <w:tblPr>
        <w:tblStyle w:val="10"/>
        <w:tblW w:w="0" w:type="auto"/>
        <w:tblInd w:w="1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61"/>
        <w:gridCol w:w="2468"/>
        <w:gridCol w:w="36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3061" w:type="dxa"/>
          </w:tcPr>
          <w:p>
            <w:pPr>
              <w:pStyle w:val="14"/>
              <w:spacing w:before="6" w:line="259" w:lineRule="exact"/>
              <w:ind w:left="1299" w:right="1292"/>
              <w:rPr>
                <w:sz w:val="21"/>
              </w:rPr>
            </w:pPr>
            <w:r>
              <w:rPr>
                <w:sz w:val="21"/>
              </w:rPr>
              <w:t>类别</w:t>
            </w:r>
          </w:p>
        </w:tc>
        <w:tc>
          <w:tcPr>
            <w:tcW w:w="2468" w:type="dxa"/>
          </w:tcPr>
          <w:p>
            <w:pPr>
              <w:pStyle w:val="14"/>
              <w:spacing w:before="6" w:line="259" w:lineRule="exact"/>
              <w:ind w:left="1003" w:right="995"/>
              <w:rPr>
                <w:sz w:val="21"/>
              </w:rPr>
            </w:pPr>
            <w:r>
              <w:rPr>
                <w:sz w:val="21"/>
              </w:rPr>
              <w:t>项目</w:t>
            </w:r>
          </w:p>
        </w:tc>
        <w:tc>
          <w:tcPr>
            <w:tcW w:w="3655" w:type="dxa"/>
          </w:tcPr>
          <w:p>
            <w:pPr>
              <w:pStyle w:val="14"/>
              <w:spacing w:before="6" w:line="259" w:lineRule="exact"/>
              <w:ind w:left="8" w:right="1"/>
              <w:rPr>
                <w:sz w:val="21"/>
              </w:rPr>
            </w:pPr>
            <w:r>
              <w:rPr>
                <w:sz w:val="21"/>
              </w:rPr>
              <w:t>方法名称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7" w:hRule="atLeast"/>
        </w:trPr>
        <w:tc>
          <w:tcPr>
            <w:tcW w:w="3061" w:type="dxa"/>
          </w:tcPr>
          <w:p>
            <w:pPr>
              <w:pStyle w:val="14"/>
              <w:spacing w:before="100" w:line="244" w:lineRule="auto"/>
              <w:ind w:left="1320" w:right="1310"/>
              <w:rPr>
                <w:sz w:val="21"/>
              </w:rPr>
            </w:pPr>
            <w:r>
              <w:rPr>
                <w:sz w:val="21"/>
              </w:rPr>
              <w:t>环境空气</w:t>
            </w:r>
          </w:p>
        </w:tc>
        <w:tc>
          <w:tcPr>
            <w:tcW w:w="2468" w:type="dxa"/>
          </w:tcPr>
          <w:p>
            <w:pPr>
              <w:pStyle w:val="14"/>
              <w:spacing w:before="4"/>
              <w:jc w:val="left"/>
              <w:rPr>
                <w:b/>
                <w:sz w:val="18"/>
              </w:rPr>
            </w:pPr>
          </w:p>
          <w:p>
            <w:pPr>
              <w:pStyle w:val="14"/>
              <w:ind w:left="1003" w:right="994"/>
              <w:rPr>
                <w:rFonts w:ascii="Times New Roman"/>
                <w:sz w:val="24"/>
              </w:rPr>
            </w:pPr>
            <w:r>
              <w:rPr>
                <w:rFonts w:ascii="Times New Roman"/>
                <w:sz w:val="24"/>
              </w:rPr>
              <w:t>TSP</w:t>
            </w:r>
          </w:p>
        </w:tc>
        <w:tc>
          <w:tcPr>
            <w:tcW w:w="3655" w:type="dxa"/>
          </w:tcPr>
          <w:p>
            <w:pPr>
              <w:pStyle w:val="14"/>
              <w:spacing w:before="100"/>
              <w:ind w:left="8" w:right="27"/>
              <w:rPr>
                <w:sz w:val="21"/>
              </w:rPr>
            </w:pPr>
            <w:r>
              <w:rPr>
                <w:sz w:val="21"/>
              </w:rPr>
              <w:t>环境空气 总悬浮颗粒物的测定 重量法</w:t>
            </w:r>
          </w:p>
          <w:p>
            <w:pPr>
              <w:pStyle w:val="14"/>
              <w:spacing w:before="4"/>
              <w:ind w:left="39" w:right="27"/>
              <w:rPr>
                <w:sz w:val="21"/>
              </w:rPr>
            </w:pPr>
            <w:r>
              <w:rPr>
                <w:rFonts w:ascii="Times New Roman" w:eastAsia="Times New Roman"/>
                <w:sz w:val="21"/>
              </w:rPr>
              <w:t xml:space="preserve">GB/T 15432-1995 </w:t>
            </w:r>
            <w:r>
              <w:rPr>
                <w:sz w:val="21"/>
              </w:rPr>
              <w:t>及其修改单</w:t>
            </w:r>
          </w:p>
        </w:tc>
      </w:tr>
    </w:tbl>
    <w:p>
      <w:pPr>
        <w:pStyle w:val="6"/>
        <w:spacing w:before="1"/>
        <w:ind w:left="696"/>
      </w:pPr>
      <w:r>
        <w:rPr>
          <w:rFonts w:ascii="Times New Roman" w:eastAsia="Times New Roman"/>
        </w:rPr>
        <w:t>5</w:t>
      </w:r>
      <w:r>
        <w:t>、环境空气监测结果</w:t>
      </w:r>
    </w:p>
    <w:p>
      <w:pPr>
        <w:pStyle w:val="6"/>
        <w:spacing w:before="158"/>
        <w:ind w:left="696"/>
      </w:pPr>
      <w:r>
        <w:t xml:space="preserve">环境空气监测结果见表 </w:t>
      </w:r>
      <w:r>
        <w:rPr>
          <w:rFonts w:ascii="Times New Roman" w:eastAsia="Times New Roman"/>
        </w:rPr>
        <w:t>8.2-3</w:t>
      </w:r>
      <w:r>
        <w:t>。</w:t>
      </w:r>
    </w:p>
    <w:p>
      <w:pPr>
        <w:pStyle w:val="5"/>
        <w:tabs>
          <w:tab w:val="left" w:pos="3823"/>
          <w:tab w:val="left" w:pos="6950"/>
        </w:tabs>
        <w:spacing w:before="160"/>
        <w:ind w:left="2784"/>
        <w:rPr>
          <w:rFonts w:ascii="Times New Roman" w:eastAsia="Times New Roman"/>
          <w:sz w:val="11"/>
        </w:rPr>
      </w:pPr>
      <w:r>
        <w:rPr>
          <w:w w:val="99"/>
        </w:rPr>
        <w:t>表</w:t>
      </w:r>
      <w:r>
        <w:rPr>
          <w:spacing w:val="-61"/>
        </w:rPr>
        <w:t xml:space="preserve"> </w:t>
      </w:r>
      <w:r>
        <w:rPr>
          <w:rFonts w:ascii="Times New Roman" w:eastAsia="Times New Roman"/>
        </w:rPr>
        <w:t>8.2</w:t>
      </w:r>
      <w:r>
        <w:rPr>
          <w:rFonts w:ascii="Times New Roman" w:eastAsia="Times New Roman"/>
          <w:spacing w:val="-1"/>
        </w:rPr>
        <w:t>-</w:t>
      </w:r>
      <w:r>
        <w:rPr>
          <w:rFonts w:ascii="Times New Roman" w:eastAsia="Times New Roman"/>
        </w:rPr>
        <w:t>3</w:t>
      </w:r>
      <w:r>
        <w:rPr>
          <w:rFonts w:ascii="Times New Roman" w:eastAsia="Times New Roman"/>
        </w:rPr>
        <w:tab/>
      </w:r>
      <w:r>
        <w:rPr>
          <w:w w:val="99"/>
        </w:rPr>
        <w:t>环</w:t>
      </w:r>
      <w:r>
        <w:rPr>
          <w:spacing w:val="2"/>
          <w:w w:val="99"/>
        </w:rPr>
        <w:t>境</w:t>
      </w:r>
      <w:r>
        <w:rPr>
          <w:w w:val="99"/>
        </w:rPr>
        <w:t>空</w:t>
      </w:r>
      <w:r>
        <w:rPr>
          <w:spacing w:val="2"/>
          <w:w w:val="99"/>
        </w:rPr>
        <w:t>气</w:t>
      </w:r>
      <w:r>
        <w:rPr>
          <w:w w:val="99"/>
        </w:rPr>
        <w:t>监测</w:t>
      </w:r>
      <w:r>
        <w:rPr>
          <w:spacing w:val="2"/>
          <w:w w:val="99"/>
        </w:rPr>
        <w:t>结</w:t>
      </w:r>
      <w:r>
        <w:rPr>
          <w:w w:val="99"/>
        </w:rPr>
        <w:t>果</w:t>
      </w:r>
      <w:r>
        <w:tab/>
      </w:r>
      <w:r>
        <w:rPr>
          <w:w w:val="66"/>
          <w:vertAlign w:val="subscript"/>
        </w:rPr>
        <w:t>单</w:t>
      </w:r>
      <w:r>
        <w:rPr>
          <w:spacing w:val="2"/>
          <w:w w:val="66"/>
          <w:vertAlign w:val="subscript"/>
        </w:rPr>
        <w:t>位</w:t>
      </w:r>
      <w:r>
        <w:rPr>
          <w:w w:val="66"/>
          <w:vertAlign w:val="subscript"/>
        </w:rPr>
        <w:t>：</w:t>
      </w:r>
      <w:r>
        <w:rPr>
          <w:rFonts w:ascii="Times New Roman" w:eastAsia="Times New Roman"/>
          <w:spacing w:val="-4"/>
          <w:sz w:val="18"/>
          <w:vertAlign w:val="baseline"/>
        </w:rPr>
        <w:t>m</w:t>
      </w:r>
      <w:r>
        <w:rPr>
          <w:rFonts w:ascii="Times New Roman" w:eastAsia="Times New Roman"/>
          <w:spacing w:val="1"/>
          <w:sz w:val="18"/>
          <w:vertAlign w:val="baseline"/>
        </w:rPr>
        <w:t>g</w:t>
      </w:r>
      <w:r>
        <w:rPr>
          <w:rFonts w:ascii="Times New Roman" w:eastAsia="Times New Roman"/>
          <w:sz w:val="18"/>
          <w:vertAlign w:val="baseline"/>
        </w:rPr>
        <w:t>/</w:t>
      </w:r>
      <w:r>
        <w:rPr>
          <w:rFonts w:ascii="Times New Roman" w:eastAsia="Times New Roman"/>
          <w:spacing w:val="1"/>
          <w:sz w:val="18"/>
          <w:vertAlign w:val="baseline"/>
        </w:rPr>
        <w:t>m</w:t>
      </w:r>
      <w:r>
        <w:rPr>
          <w:rFonts w:ascii="Times New Roman" w:eastAsia="Times New Roman"/>
          <w:w w:val="104"/>
          <w:position w:val="6"/>
          <w:sz w:val="11"/>
          <w:vertAlign w:val="baseline"/>
        </w:rPr>
        <w:t>3</w:t>
      </w:r>
    </w:p>
    <w:p>
      <w:pPr>
        <w:pStyle w:val="6"/>
        <w:spacing w:before="8"/>
        <w:rPr>
          <w:rFonts w:ascii="Times New Roman"/>
          <w:b/>
          <w:sz w:val="13"/>
        </w:rPr>
      </w:pP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24"/>
        <w:gridCol w:w="2315"/>
        <w:gridCol w:w="1509"/>
        <w:gridCol w:w="1725"/>
        <w:gridCol w:w="16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124" w:type="dxa"/>
          </w:tcPr>
          <w:p>
            <w:pPr>
              <w:pStyle w:val="14"/>
              <w:spacing w:before="1" w:line="251" w:lineRule="exact"/>
              <w:ind w:left="641"/>
              <w:jc w:val="left"/>
              <w:rPr>
                <w:b/>
                <w:sz w:val="21"/>
              </w:rPr>
            </w:pPr>
            <w:r>
              <w:rPr>
                <w:b/>
                <w:sz w:val="21"/>
              </w:rPr>
              <w:t>采样地点</w:t>
            </w:r>
          </w:p>
        </w:tc>
        <w:tc>
          <w:tcPr>
            <w:tcW w:w="2315" w:type="dxa"/>
          </w:tcPr>
          <w:p>
            <w:pPr>
              <w:pStyle w:val="14"/>
              <w:spacing w:before="1" w:line="251" w:lineRule="exact"/>
              <w:ind w:left="217" w:right="209"/>
              <w:rPr>
                <w:b/>
                <w:sz w:val="21"/>
              </w:rPr>
            </w:pPr>
            <w:r>
              <w:rPr>
                <w:b/>
                <w:sz w:val="21"/>
              </w:rPr>
              <w:t>采样日期</w:t>
            </w:r>
          </w:p>
        </w:tc>
        <w:tc>
          <w:tcPr>
            <w:tcW w:w="1509" w:type="dxa"/>
          </w:tcPr>
          <w:p>
            <w:pPr>
              <w:pStyle w:val="14"/>
              <w:spacing w:before="1" w:line="251" w:lineRule="exact"/>
              <w:ind w:left="312" w:right="302"/>
              <w:rPr>
                <w:b/>
                <w:sz w:val="21"/>
              </w:rPr>
            </w:pPr>
            <w:r>
              <w:rPr>
                <w:b/>
                <w:sz w:val="21"/>
              </w:rPr>
              <w:t>检测项目</w:t>
            </w:r>
          </w:p>
        </w:tc>
        <w:tc>
          <w:tcPr>
            <w:tcW w:w="1725" w:type="dxa"/>
          </w:tcPr>
          <w:p>
            <w:pPr>
              <w:pStyle w:val="14"/>
              <w:spacing w:before="1" w:line="251" w:lineRule="exact"/>
              <w:ind w:left="547"/>
              <w:jc w:val="left"/>
              <w:rPr>
                <w:b/>
                <w:sz w:val="21"/>
              </w:rPr>
            </w:pPr>
            <w:r>
              <w:rPr>
                <w:b/>
                <w:sz w:val="21"/>
              </w:rPr>
              <w:t>监测时间</w:t>
            </w:r>
          </w:p>
        </w:tc>
        <w:tc>
          <w:tcPr>
            <w:tcW w:w="1671" w:type="dxa"/>
          </w:tcPr>
          <w:p>
            <w:pPr>
              <w:pStyle w:val="14"/>
              <w:spacing w:before="1" w:line="251" w:lineRule="exact"/>
              <w:ind w:left="519"/>
              <w:jc w:val="left"/>
              <w:rPr>
                <w:b/>
                <w:sz w:val="21"/>
              </w:rPr>
            </w:pPr>
            <w:r>
              <w:rPr>
                <w:b/>
                <w:sz w:val="21"/>
              </w:rPr>
              <w:t>检测结果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124" w:type="dxa"/>
            <w:vMerge w:val="restart"/>
          </w:tcPr>
          <w:p>
            <w:pPr>
              <w:pStyle w:val="14"/>
              <w:jc w:val="left"/>
              <w:rPr>
                <w:rFonts w:ascii="Times New Roman"/>
                <w:b/>
                <w:sz w:val="22"/>
              </w:rPr>
            </w:pPr>
          </w:p>
          <w:p>
            <w:pPr>
              <w:pStyle w:val="14"/>
              <w:spacing w:before="3"/>
              <w:jc w:val="left"/>
              <w:rPr>
                <w:rFonts w:ascii="Times New Roman"/>
                <w:b/>
                <w:sz w:val="28"/>
              </w:rPr>
            </w:pPr>
          </w:p>
          <w:p>
            <w:pPr>
              <w:pStyle w:val="14"/>
              <w:ind w:left="327"/>
              <w:jc w:val="left"/>
              <w:rPr>
                <w:sz w:val="21"/>
              </w:rPr>
            </w:pPr>
            <w:r>
              <w:rPr>
                <w:rFonts w:ascii="Times New Roman" w:eastAsia="Times New Roman"/>
                <w:sz w:val="21"/>
              </w:rPr>
              <w:t>1#</w:t>
            </w:r>
            <w:r>
              <w:rPr>
                <w:sz w:val="21"/>
              </w:rPr>
              <w:t>工业广场厂址</w:t>
            </w:r>
          </w:p>
        </w:tc>
        <w:tc>
          <w:tcPr>
            <w:tcW w:w="2315" w:type="dxa"/>
          </w:tcPr>
          <w:p>
            <w:pPr>
              <w:pStyle w:val="14"/>
              <w:spacing w:before="2" w:line="254" w:lineRule="exact"/>
              <w:ind w:left="217" w:right="209"/>
              <w:rPr>
                <w:sz w:val="21"/>
              </w:rPr>
            </w:pPr>
            <w:r>
              <w:rPr>
                <w:rFonts w:ascii="Times New Roman" w:eastAsia="Times New Roman"/>
                <w:sz w:val="21"/>
              </w:rPr>
              <w:t xml:space="preserve">2020 </w:t>
            </w:r>
            <w:r>
              <w:rPr>
                <w:sz w:val="21"/>
              </w:rPr>
              <w:t xml:space="preserve">年 </w:t>
            </w:r>
            <w:r>
              <w:rPr>
                <w:rFonts w:ascii="Times New Roman" w:eastAsia="Times New Roman"/>
                <w:sz w:val="21"/>
              </w:rPr>
              <w:t xml:space="preserve">04 </w:t>
            </w:r>
            <w:r>
              <w:rPr>
                <w:sz w:val="21"/>
              </w:rPr>
              <w:t xml:space="preserve">月 </w:t>
            </w:r>
            <w:r>
              <w:rPr>
                <w:rFonts w:ascii="Times New Roman" w:eastAsia="Times New Roman"/>
                <w:sz w:val="21"/>
              </w:rPr>
              <w:t xml:space="preserve">14 </w:t>
            </w:r>
            <w:r>
              <w:rPr>
                <w:sz w:val="21"/>
              </w:rPr>
              <w:t>日</w:t>
            </w:r>
          </w:p>
        </w:tc>
        <w:tc>
          <w:tcPr>
            <w:tcW w:w="1509" w:type="dxa"/>
          </w:tcPr>
          <w:p>
            <w:pPr>
              <w:pStyle w:val="14"/>
              <w:spacing w:line="256" w:lineRule="exact"/>
              <w:ind w:left="311" w:right="302"/>
              <w:rPr>
                <w:rFonts w:ascii="Times New Roman"/>
                <w:sz w:val="24"/>
              </w:rPr>
            </w:pPr>
            <w:r>
              <w:rPr>
                <w:rFonts w:ascii="Times New Roman"/>
                <w:sz w:val="24"/>
              </w:rPr>
              <w:t>TSP</w:t>
            </w:r>
          </w:p>
        </w:tc>
        <w:tc>
          <w:tcPr>
            <w:tcW w:w="1725" w:type="dxa"/>
          </w:tcPr>
          <w:p>
            <w:pPr>
              <w:pStyle w:val="14"/>
              <w:spacing w:before="16" w:line="240" w:lineRule="exact"/>
              <w:ind w:left="455" w:right="448"/>
              <w:rPr>
                <w:rFonts w:ascii="Times New Roman"/>
                <w:sz w:val="21"/>
              </w:rPr>
            </w:pPr>
            <w:r>
              <w:rPr>
                <w:rFonts w:ascii="Times New Roman"/>
                <w:sz w:val="21"/>
              </w:rPr>
              <w:t>24h</w:t>
            </w:r>
          </w:p>
        </w:tc>
        <w:tc>
          <w:tcPr>
            <w:tcW w:w="1671" w:type="dxa"/>
          </w:tcPr>
          <w:p>
            <w:pPr>
              <w:pStyle w:val="14"/>
              <w:spacing w:before="16" w:line="240" w:lineRule="exact"/>
              <w:ind w:left="579" w:right="569"/>
              <w:rPr>
                <w:rFonts w:ascii="Times New Roman"/>
                <w:sz w:val="21"/>
              </w:rPr>
            </w:pPr>
            <w:r>
              <w:rPr>
                <w:rFonts w:ascii="Times New Roman"/>
                <w:sz w:val="21"/>
              </w:rPr>
              <w:t>0.083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2124" w:type="dxa"/>
            <w:vMerge w:val="continue"/>
            <w:tcBorders>
              <w:top w:val="nil"/>
            </w:tcBorders>
          </w:tcPr>
          <w:p>
            <w:pPr>
              <w:rPr>
                <w:sz w:val="2"/>
                <w:szCs w:val="2"/>
              </w:rPr>
            </w:pPr>
          </w:p>
        </w:tc>
        <w:tc>
          <w:tcPr>
            <w:tcW w:w="2315" w:type="dxa"/>
          </w:tcPr>
          <w:p>
            <w:pPr>
              <w:pStyle w:val="14"/>
              <w:spacing w:before="1" w:line="254" w:lineRule="exact"/>
              <w:ind w:left="217" w:right="209"/>
              <w:rPr>
                <w:sz w:val="21"/>
              </w:rPr>
            </w:pPr>
            <w:r>
              <w:rPr>
                <w:rFonts w:ascii="Times New Roman" w:eastAsia="Times New Roman"/>
                <w:sz w:val="21"/>
              </w:rPr>
              <w:t xml:space="preserve">2020 </w:t>
            </w:r>
            <w:r>
              <w:rPr>
                <w:sz w:val="21"/>
              </w:rPr>
              <w:t xml:space="preserve">年 </w:t>
            </w:r>
            <w:r>
              <w:rPr>
                <w:rFonts w:ascii="Times New Roman" w:eastAsia="Times New Roman"/>
                <w:sz w:val="21"/>
              </w:rPr>
              <w:t xml:space="preserve">04 </w:t>
            </w:r>
            <w:r>
              <w:rPr>
                <w:sz w:val="21"/>
              </w:rPr>
              <w:t xml:space="preserve">月 </w:t>
            </w:r>
            <w:r>
              <w:rPr>
                <w:rFonts w:ascii="Times New Roman" w:eastAsia="Times New Roman"/>
                <w:sz w:val="21"/>
              </w:rPr>
              <w:t xml:space="preserve">15 </w:t>
            </w:r>
            <w:r>
              <w:rPr>
                <w:sz w:val="21"/>
              </w:rPr>
              <w:t>日</w:t>
            </w:r>
          </w:p>
        </w:tc>
        <w:tc>
          <w:tcPr>
            <w:tcW w:w="1509" w:type="dxa"/>
          </w:tcPr>
          <w:p>
            <w:pPr>
              <w:pStyle w:val="14"/>
              <w:spacing w:line="256" w:lineRule="exact"/>
              <w:ind w:left="311" w:right="302"/>
              <w:rPr>
                <w:rFonts w:ascii="Times New Roman"/>
                <w:sz w:val="24"/>
              </w:rPr>
            </w:pPr>
            <w:r>
              <w:rPr>
                <w:rFonts w:ascii="Times New Roman"/>
                <w:sz w:val="24"/>
              </w:rPr>
              <w:t>TSP</w:t>
            </w:r>
          </w:p>
        </w:tc>
        <w:tc>
          <w:tcPr>
            <w:tcW w:w="1725" w:type="dxa"/>
          </w:tcPr>
          <w:p>
            <w:pPr>
              <w:pStyle w:val="14"/>
              <w:spacing w:before="15" w:line="240" w:lineRule="exact"/>
              <w:ind w:left="455" w:right="448"/>
              <w:rPr>
                <w:rFonts w:ascii="Times New Roman"/>
                <w:sz w:val="21"/>
              </w:rPr>
            </w:pPr>
            <w:r>
              <w:rPr>
                <w:rFonts w:ascii="Times New Roman"/>
                <w:sz w:val="21"/>
              </w:rPr>
              <w:t>24h</w:t>
            </w:r>
          </w:p>
        </w:tc>
        <w:tc>
          <w:tcPr>
            <w:tcW w:w="1671" w:type="dxa"/>
          </w:tcPr>
          <w:p>
            <w:pPr>
              <w:pStyle w:val="14"/>
              <w:spacing w:before="15" w:line="240" w:lineRule="exact"/>
              <w:ind w:left="579" w:right="569"/>
              <w:rPr>
                <w:rFonts w:ascii="Times New Roman"/>
                <w:sz w:val="21"/>
              </w:rPr>
            </w:pPr>
            <w:r>
              <w:rPr>
                <w:rFonts w:ascii="Times New Roman"/>
                <w:sz w:val="21"/>
              </w:rPr>
              <w:t>0.083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2124" w:type="dxa"/>
            <w:vMerge w:val="continue"/>
            <w:tcBorders>
              <w:top w:val="nil"/>
            </w:tcBorders>
          </w:tcPr>
          <w:p>
            <w:pPr>
              <w:rPr>
                <w:sz w:val="2"/>
                <w:szCs w:val="2"/>
              </w:rPr>
            </w:pPr>
          </w:p>
        </w:tc>
        <w:tc>
          <w:tcPr>
            <w:tcW w:w="2315" w:type="dxa"/>
          </w:tcPr>
          <w:p>
            <w:pPr>
              <w:pStyle w:val="14"/>
              <w:spacing w:before="6" w:line="261" w:lineRule="exact"/>
              <w:ind w:left="217" w:right="209"/>
              <w:rPr>
                <w:sz w:val="21"/>
              </w:rPr>
            </w:pPr>
            <w:r>
              <w:rPr>
                <w:rFonts w:ascii="Times New Roman" w:eastAsia="Times New Roman"/>
                <w:sz w:val="21"/>
              </w:rPr>
              <w:t xml:space="preserve">2020 </w:t>
            </w:r>
            <w:r>
              <w:rPr>
                <w:sz w:val="21"/>
              </w:rPr>
              <w:t xml:space="preserve">年 </w:t>
            </w:r>
            <w:r>
              <w:rPr>
                <w:rFonts w:ascii="Times New Roman" w:eastAsia="Times New Roman"/>
                <w:sz w:val="21"/>
              </w:rPr>
              <w:t xml:space="preserve">04 </w:t>
            </w:r>
            <w:r>
              <w:rPr>
                <w:sz w:val="21"/>
              </w:rPr>
              <w:t xml:space="preserve">月 </w:t>
            </w:r>
            <w:r>
              <w:rPr>
                <w:rFonts w:ascii="Times New Roman" w:eastAsia="Times New Roman"/>
                <w:sz w:val="21"/>
              </w:rPr>
              <w:t xml:space="preserve">16 </w:t>
            </w:r>
            <w:r>
              <w:rPr>
                <w:sz w:val="21"/>
              </w:rPr>
              <w:t>日</w:t>
            </w:r>
          </w:p>
        </w:tc>
        <w:tc>
          <w:tcPr>
            <w:tcW w:w="1509" w:type="dxa"/>
          </w:tcPr>
          <w:p>
            <w:pPr>
              <w:pStyle w:val="14"/>
              <w:spacing w:before="4" w:line="263" w:lineRule="exact"/>
              <w:ind w:left="311" w:right="302"/>
              <w:rPr>
                <w:rFonts w:ascii="Times New Roman"/>
                <w:sz w:val="24"/>
              </w:rPr>
            </w:pPr>
            <w:r>
              <w:rPr>
                <w:rFonts w:ascii="Times New Roman"/>
                <w:sz w:val="24"/>
              </w:rPr>
              <w:t>TSP</w:t>
            </w:r>
          </w:p>
        </w:tc>
        <w:tc>
          <w:tcPr>
            <w:tcW w:w="1725" w:type="dxa"/>
          </w:tcPr>
          <w:p>
            <w:pPr>
              <w:pStyle w:val="14"/>
              <w:spacing w:before="20"/>
              <w:ind w:left="455" w:right="448"/>
              <w:rPr>
                <w:rFonts w:ascii="Times New Roman"/>
                <w:sz w:val="21"/>
              </w:rPr>
            </w:pPr>
            <w:r>
              <w:rPr>
                <w:rFonts w:ascii="Times New Roman"/>
                <w:sz w:val="21"/>
              </w:rPr>
              <w:t>24h</w:t>
            </w:r>
          </w:p>
        </w:tc>
        <w:tc>
          <w:tcPr>
            <w:tcW w:w="1671" w:type="dxa"/>
          </w:tcPr>
          <w:p>
            <w:pPr>
              <w:pStyle w:val="14"/>
              <w:spacing w:before="20"/>
              <w:ind w:left="579" w:right="569"/>
              <w:rPr>
                <w:rFonts w:ascii="Times New Roman"/>
                <w:sz w:val="21"/>
              </w:rPr>
            </w:pPr>
            <w:r>
              <w:rPr>
                <w:rFonts w:ascii="Times New Roman"/>
                <w:sz w:val="21"/>
              </w:rPr>
              <w:t>0.117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124" w:type="dxa"/>
            <w:vMerge w:val="continue"/>
            <w:tcBorders>
              <w:top w:val="nil"/>
            </w:tcBorders>
          </w:tcPr>
          <w:p>
            <w:pPr>
              <w:rPr>
                <w:sz w:val="2"/>
                <w:szCs w:val="2"/>
              </w:rPr>
            </w:pPr>
          </w:p>
        </w:tc>
        <w:tc>
          <w:tcPr>
            <w:tcW w:w="2315" w:type="dxa"/>
          </w:tcPr>
          <w:p>
            <w:pPr>
              <w:pStyle w:val="14"/>
              <w:spacing w:before="1" w:line="254" w:lineRule="exact"/>
              <w:ind w:left="217" w:right="209"/>
              <w:rPr>
                <w:sz w:val="21"/>
              </w:rPr>
            </w:pPr>
            <w:r>
              <w:rPr>
                <w:rFonts w:ascii="Times New Roman" w:eastAsia="Times New Roman"/>
                <w:sz w:val="21"/>
              </w:rPr>
              <w:t xml:space="preserve">2020 </w:t>
            </w:r>
            <w:r>
              <w:rPr>
                <w:sz w:val="21"/>
              </w:rPr>
              <w:t xml:space="preserve">年 </w:t>
            </w:r>
            <w:r>
              <w:rPr>
                <w:rFonts w:ascii="Times New Roman" w:eastAsia="Times New Roman"/>
                <w:sz w:val="21"/>
              </w:rPr>
              <w:t xml:space="preserve">04 </w:t>
            </w:r>
            <w:r>
              <w:rPr>
                <w:sz w:val="21"/>
              </w:rPr>
              <w:t xml:space="preserve">月 </w:t>
            </w:r>
            <w:r>
              <w:rPr>
                <w:rFonts w:ascii="Times New Roman" w:eastAsia="Times New Roman"/>
                <w:sz w:val="21"/>
              </w:rPr>
              <w:t xml:space="preserve">17 </w:t>
            </w:r>
            <w:r>
              <w:rPr>
                <w:sz w:val="21"/>
              </w:rPr>
              <w:t>日</w:t>
            </w:r>
          </w:p>
        </w:tc>
        <w:tc>
          <w:tcPr>
            <w:tcW w:w="1509" w:type="dxa"/>
          </w:tcPr>
          <w:p>
            <w:pPr>
              <w:pStyle w:val="14"/>
              <w:spacing w:line="256" w:lineRule="exact"/>
              <w:ind w:left="311" w:right="302"/>
              <w:rPr>
                <w:rFonts w:ascii="Times New Roman"/>
                <w:sz w:val="24"/>
              </w:rPr>
            </w:pPr>
            <w:r>
              <w:rPr>
                <w:rFonts w:ascii="Times New Roman"/>
                <w:sz w:val="24"/>
              </w:rPr>
              <w:t>TSP</w:t>
            </w:r>
          </w:p>
        </w:tc>
        <w:tc>
          <w:tcPr>
            <w:tcW w:w="1725" w:type="dxa"/>
          </w:tcPr>
          <w:p>
            <w:pPr>
              <w:pStyle w:val="14"/>
              <w:spacing w:before="15" w:line="240" w:lineRule="exact"/>
              <w:ind w:left="455" w:right="448"/>
              <w:rPr>
                <w:rFonts w:ascii="Times New Roman"/>
                <w:sz w:val="21"/>
              </w:rPr>
            </w:pPr>
            <w:r>
              <w:rPr>
                <w:rFonts w:ascii="Times New Roman"/>
                <w:sz w:val="21"/>
              </w:rPr>
              <w:t>24h</w:t>
            </w:r>
          </w:p>
        </w:tc>
        <w:tc>
          <w:tcPr>
            <w:tcW w:w="1671" w:type="dxa"/>
          </w:tcPr>
          <w:p>
            <w:pPr>
              <w:pStyle w:val="14"/>
              <w:spacing w:before="15" w:line="240" w:lineRule="exact"/>
              <w:ind w:left="579" w:right="569"/>
              <w:rPr>
                <w:rFonts w:ascii="Times New Roman"/>
                <w:sz w:val="21"/>
              </w:rPr>
            </w:pPr>
            <w:r>
              <w:rPr>
                <w:rFonts w:ascii="Times New Roman"/>
                <w:sz w:val="21"/>
              </w:rPr>
              <w:t>0.083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2124" w:type="dxa"/>
            <w:vMerge w:val="continue"/>
            <w:tcBorders>
              <w:top w:val="nil"/>
            </w:tcBorders>
          </w:tcPr>
          <w:p>
            <w:pPr>
              <w:rPr>
                <w:sz w:val="2"/>
                <w:szCs w:val="2"/>
              </w:rPr>
            </w:pPr>
          </w:p>
        </w:tc>
        <w:tc>
          <w:tcPr>
            <w:tcW w:w="2315" w:type="dxa"/>
          </w:tcPr>
          <w:p>
            <w:pPr>
              <w:pStyle w:val="14"/>
              <w:spacing w:before="1" w:line="253" w:lineRule="exact"/>
              <w:ind w:left="217" w:right="209"/>
              <w:rPr>
                <w:sz w:val="21"/>
              </w:rPr>
            </w:pPr>
            <w:r>
              <w:rPr>
                <w:rFonts w:ascii="Times New Roman" w:eastAsia="Times New Roman"/>
                <w:sz w:val="21"/>
              </w:rPr>
              <w:t xml:space="preserve">2020 </w:t>
            </w:r>
            <w:r>
              <w:rPr>
                <w:sz w:val="21"/>
              </w:rPr>
              <w:t xml:space="preserve">年 </w:t>
            </w:r>
            <w:r>
              <w:rPr>
                <w:rFonts w:ascii="Times New Roman" w:eastAsia="Times New Roman"/>
                <w:sz w:val="21"/>
              </w:rPr>
              <w:t xml:space="preserve">04 </w:t>
            </w:r>
            <w:r>
              <w:rPr>
                <w:sz w:val="21"/>
              </w:rPr>
              <w:t xml:space="preserve">月 </w:t>
            </w:r>
            <w:r>
              <w:rPr>
                <w:rFonts w:ascii="Times New Roman" w:eastAsia="Times New Roman"/>
                <w:sz w:val="21"/>
              </w:rPr>
              <w:t xml:space="preserve">18 </w:t>
            </w:r>
            <w:r>
              <w:rPr>
                <w:sz w:val="21"/>
              </w:rPr>
              <w:t>日</w:t>
            </w:r>
          </w:p>
        </w:tc>
        <w:tc>
          <w:tcPr>
            <w:tcW w:w="1509" w:type="dxa"/>
          </w:tcPr>
          <w:p>
            <w:pPr>
              <w:pStyle w:val="14"/>
              <w:spacing w:line="254" w:lineRule="exact"/>
              <w:ind w:left="311" w:right="302"/>
              <w:rPr>
                <w:rFonts w:ascii="Times New Roman"/>
                <w:sz w:val="24"/>
              </w:rPr>
            </w:pPr>
            <w:r>
              <w:rPr>
                <w:rFonts w:ascii="Times New Roman"/>
                <w:sz w:val="24"/>
              </w:rPr>
              <w:t>TSP</w:t>
            </w:r>
          </w:p>
        </w:tc>
        <w:tc>
          <w:tcPr>
            <w:tcW w:w="1725" w:type="dxa"/>
          </w:tcPr>
          <w:p>
            <w:pPr>
              <w:pStyle w:val="14"/>
              <w:spacing w:before="15" w:line="239" w:lineRule="exact"/>
              <w:ind w:left="455" w:right="448"/>
              <w:rPr>
                <w:rFonts w:ascii="Times New Roman"/>
                <w:sz w:val="21"/>
              </w:rPr>
            </w:pPr>
            <w:r>
              <w:rPr>
                <w:rFonts w:ascii="Times New Roman"/>
                <w:sz w:val="21"/>
              </w:rPr>
              <w:t>24h</w:t>
            </w:r>
          </w:p>
        </w:tc>
        <w:tc>
          <w:tcPr>
            <w:tcW w:w="1671" w:type="dxa"/>
          </w:tcPr>
          <w:p>
            <w:pPr>
              <w:pStyle w:val="14"/>
              <w:spacing w:before="15" w:line="239" w:lineRule="exact"/>
              <w:ind w:left="579" w:right="569"/>
              <w:rPr>
                <w:rFonts w:ascii="Times New Roman"/>
                <w:sz w:val="21"/>
              </w:rPr>
            </w:pPr>
            <w:r>
              <w:rPr>
                <w:rFonts w:ascii="Times New Roman"/>
                <w:sz w:val="21"/>
              </w:rPr>
              <w:t>0.117</w:t>
            </w:r>
          </w:p>
        </w:tc>
      </w:tr>
    </w:tbl>
    <w:p>
      <w:pPr>
        <w:spacing w:after="0" w:line="239" w:lineRule="exact"/>
        <w:rPr>
          <w:rFonts w:ascii="Times New Roman"/>
          <w:sz w:val="21"/>
        </w:rPr>
        <w:sectPr>
          <w:pgSz w:w="11910" w:h="16840"/>
          <w:pgMar w:top="1540" w:right="780" w:bottom="1320" w:left="1200" w:header="0" w:footer="1058" w:gutter="0"/>
        </w:sectPr>
      </w:pP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24"/>
        <w:gridCol w:w="2315"/>
        <w:gridCol w:w="1509"/>
        <w:gridCol w:w="1725"/>
        <w:gridCol w:w="16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124" w:type="dxa"/>
            <w:vMerge w:val="restart"/>
          </w:tcPr>
          <w:p>
            <w:pPr>
              <w:pStyle w:val="14"/>
              <w:jc w:val="left"/>
              <w:rPr>
                <w:rFonts w:ascii="Times New Roman"/>
                <w:sz w:val="22"/>
              </w:rPr>
            </w:pPr>
          </w:p>
        </w:tc>
        <w:tc>
          <w:tcPr>
            <w:tcW w:w="2315" w:type="dxa"/>
          </w:tcPr>
          <w:p>
            <w:pPr>
              <w:pStyle w:val="14"/>
              <w:spacing w:before="3" w:line="253" w:lineRule="exact"/>
              <w:ind w:left="217" w:right="209"/>
              <w:rPr>
                <w:sz w:val="21"/>
              </w:rPr>
            </w:pPr>
            <w:r>
              <w:rPr>
                <w:rFonts w:ascii="Times New Roman" w:eastAsia="Times New Roman"/>
                <w:sz w:val="21"/>
              </w:rPr>
              <w:t xml:space="preserve">2020 </w:t>
            </w:r>
            <w:r>
              <w:rPr>
                <w:sz w:val="21"/>
              </w:rPr>
              <w:t xml:space="preserve">年 </w:t>
            </w:r>
            <w:r>
              <w:rPr>
                <w:rFonts w:ascii="Times New Roman" w:eastAsia="Times New Roman"/>
                <w:sz w:val="21"/>
              </w:rPr>
              <w:t xml:space="preserve">04 </w:t>
            </w:r>
            <w:r>
              <w:rPr>
                <w:sz w:val="21"/>
              </w:rPr>
              <w:t xml:space="preserve">月 </w:t>
            </w:r>
            <w:r>
              <w:rPr>
                <w:rFonts w:ascii="Times New Roman" w:eastAsia="Times New Roman"/>
                <w:sz w:val="21"/>
              </w:rPr>
              <w:t xml:space="preserve">19 </w:t>
            </w:r>
            <w:r>
              <w:rPr>
                <w:sz w:val="21"/>
              </w:rPr>
              <w:t>日</w:t>
            </w:r>
          </w:p>
        </w:tc>
        <w:tc>
          <w:tcPr>
            <w:tcW w:w="1509" w:type="dxa"/>
          </w:tcPr>
          <w:p>
            <w:pPr>
              <w:pStyle w:val="14"/>
              <w:spacing w:before="1" w:line="255" w:lineRule="exact"/>
              <w:ind w:left="311" w:right="302"/>
              <w:rPr>
                <w:rFonts w:ascii="Times New Roman"/>
                <w:sz w:val="24"/>
              </w:rPr>
            </w:pPr>
            <w:r>
              <w:rPr>
                <w:rFonts w:ascii="Times New Roman"/>
                <w:sz w:val="24"/>
              </w:rPr>
              <w:t>TSP</w:t>
            </w:r>
          </w:p>
        </w:tc>
        <w:tc>
          <w:tcPr>
            <w:tcW w:w="1725" w:type="dxa"/>
          </w:tcPr>
          <w:p>
            <w:pPr>
              <w:pStyle w:val="14"/>
              <w:spacing w:before="17" w:line="239" w:lineRule="exact"/>
              <w:ind w:left="455" w:right="448"/>
              <w:rPr>
                <w:rFonts w:ascii="Times New Roman"/>
                <w:sz w:val="21"/>
              </w:rPr>
            </w:pPr>
            <w:r>
              <w:rPr>
                <w:rFonts w:ascii="Times New Roman"/>
                <w:sz w:val="21"/>
              </w:rPr>
              <w:t>24h</w:t>
            </w:r>
          </w:p>
        </w:tc>
        <w:tc>
          <w:tcPr>
            <w:tcW w:w="1671" w:type="dxa"/>
          </w:tcPr>
          <w:p>
            <w:pPr>
              <w:pStyle w:val="14"/>
              <w:spacing w:before="17" w:line="239" w:lineRule="exact"/>
              <w:ind w:right="586"/>
              <w:jc w:val="right"/>
              <w:rPr>
                <w:rFonts w:ascii="Times New Roman"/>
                <w:sz w:val="21"/>
              </w:rPr>
            </w:pPr>
            <w:r>
              <w:rPr>
                <w:rFonts w:ascii="Times New Roman"/>
                <w:sz w:val="21"/>
              </w:rPr>
              <w:t>0.100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124" w:type="dxa"/>
            <w:vMerge w:val="continue"/>
            <w:tcBorders>
              <w:top w:val="nil"/>
            </w:tcBorders>
          </w:tcPr>
          <w:p>
            <w:pPr>
              <w:rPr>
                <w:sz w:val="2"/>
                <w:szCs w:val="2"/>
              </w:rPr>
            </w:pPr>
          </w:p>
        </w:tc>
        <w:tc>
          <w:tcPr>
            <w:tcW w:w="2315" w:type="dxa"/>
          </w:tcPr>
          <w:p>
            <w:pPr>
              <w:pStyle w:val="14"/>
              <w:spacing w:line="256" w:lineRule="exact"/>
              <w:ind w:left="217" w:right="209"/>
              <w:rPr>
                <w:sz w:val="21"/>
              </w:rPr>
            </w:pPr>
            <w:r>
              <w:rPr>
                <w:rFonts w:ascii="Times New Roman" w:eastAsia="Times New Roman"/>
                <w:sz w:val="21"/>
              </w:rPr>
              <w:t xml:space="preserve">2020 </w:t>
            </w:r>
            <w:r>
              <w:rPr>
                <w:sz w:val="21"/>
              </w:rPr>
              <w:t xml:space="preserve">年 </w:t>
            </w:r>
            <w:r>
              <w:rPr>
                <w:rFonts w:ascii="Times New Roman" w:eastAsia="Times New Roman"/>
                <w:sz w:val="21"/>
              </w:rPr>
              <w:t xml:space="preserve">04 </w:t>
            </w:r>
            <w:r>
              <w:rPr>
                <w:sz w:val="21"/>
              </w:rPr>
              <w:t xml:space="preserve">月 </w:t>
            </w:r>
            <w:r>
              <w:rPr>
                <w:rFonts w:ascii="Times New Roman" w:eastAsia="Times New Roman"/>
                <w:sz w:val="21"/>
              </w:rPr>
              <w:t xml:space="preserve">20 </w:t>
            </w:r>
            <w:r>
              <w:rPr>
                <w:sz w:val="21"/>
              </w:rPr>
              <w:t>日</w:t>
            </w:r>
          </w:p>
        </w:tc>
        <w:tc>
          <w:tcPr>
            <w:tcW w:w="1509" w:type="dxa"/>
          </w:tcPr>
          <w:p>
            <w:pPr>
              <w:pStyle w:val="14"/>
              <w:spacing w:line="256" w:lineRule="exact"/>
              <w:ind w:left="311" w:right="302"/>
              <w:rPr>
                <w:rFonts w:ascii="Times New Roman"/>
                <w:sz w:val="24"/>
              </w:rPr>
            </w:pPr>
            <w:r>
              <w:rPr>
                <w:rFonts w:ascii="Times New Roman"/>
                <w:sz w:val="24"/>
              </w:rPr>
              <w:t>TSP</w:t>
            </w:r>
          </w:p>
        </w:tc>
        <w:tc>
          <w:tcPr>
            <w:tcW w:w="1725" w:type="dxa"/>
          </w:tcPr>
          <w:p>
            <w:pPr>
              <w:pStyle w:val="14"/>
              <w:spacing w:before="14"/>
              <w:ind w:left="455" w:right="448"/>
              <w:rPr>
                <w:rFonts w:ascii="Times New Roman"/>
                <w:sz w:val="21"/>
              </w:rPr>
            </w:pPr>
            <w:r>
              <w:rPr>
                <w:rFonts w:ascii="Times New Roman"/>
                <w:sz w:val="21"/>
              </w:rPr>
              <w:t>24h</w:t>
            </w:r>
          </w:p>
        </w:tc>
        <w:tc>
          <w:tcPr>
            <w:tcW w:w="1671" w:type="dxa"/>
          </w:tcPr>
          <w:p>
            <w:pPr>
              <w:pStyle w:val="14"/>
              <w:spacing w:before="14"/>
              <w:ind w:right="586"/>
              <w:jc w:val="right"/>
              <w:rPr>
                <w:rFonts w:ascii="Times New Roman"/>
                <w:sz w:val="21"/>
              </w:rPr>
            </w:pPr>
            <w:r>
              <w:rPr>
                <w:rFonts w:ascii="Times New Roman"/>
                <w:sz w:val="21"/>
              </w:rPr>
              <w:t>0.100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2124" w:type="dxa"/>
            <w:vMerge w:val="restart"/>
          </w:tcPr>
          <w:p>
            <w:pPr>
              <w:pStyle w:val="14"/>
              <w:jc w:val="left"/>
              <w:rPr>
                <w:rFonts w:ascii="Times New Roman"/>
                <w:b/>
                <w:sz w:val="22"/>
              </w:rPr>
            </w:pPr>
          </w:p>
          <w:p>
            <w:pPr>
              <w:pStyle w:val="14"/>
              <w:jc w:val="left"/>
              <w:rPr>
                <w:rFonts w:ascii="Times New Roman"/>
                <w:b/>
                <w:sz w:val="22"/>
              </w:rPr>
            </w:pPr>
          </w:p>
          <w:p>
            <w:pPr>
              <w:pStyle w:val="14"/>
              <w:spacing w:before="8"/>
              <w:jc w:val="left"/>
              <w:rPr>
                <w:rFonts w:ascii="Times New Roman"/>
                <w:b/>
                <w:sz w:val="30"/>
              </w:rPr>
            </w:pPr>
          </w:p>
          <w:p>
            <w:pPr>
              <w:pStyle w:val="14"/>
              <w:ind w:left="375"/>
              <w:jc w:val="left"/>
              <w:rPr>
                <w:rFonts w:ascii="Times New Roman" w:eastAsia="Times New Roman"/>
                <w:sz w:val="21"/>
              </w:rPr>
            </w:pPr>
            <w:r>
              <w:rPr>
                <w:rFonts w:ascii="Times New Roman" w:eastAsia="Times New Roman"/>
                <w:sz w:val="21"/>
              </w:rPr>
              <w:t>2#</w:t>
            </w:r>
            <w:r>
              <w:rPr>
                <w:sz w:val="21"/>
              </w:rPr>
              <w:t xml:space="preserve">下风向 </w:t>
            </w:r>
            <w:r>
              <w:rPr>
                <w:rFonts w:ascii="Times New Roman" w:eastAsia="Times New Roman"/>
                <w:sz w:val="21"/>
              </w:rPr>
              <w:t>500m</w:t>
            </w:r>
          </w:p>
        </w:tc>
        <w:tc>
          <w:tcPr>
            <w:tcW w:w="2315" w:type="dxa"/>
          </w:tcPr>
          <w:p>
            <w:pPr>
              <w:pStyle w:val="14"/>
              <w:spacing w:line="256" w:lineRule="exact"/>
              <w:ind w:left="217" w:right="209"/>
              <w:rPr>
                <w:sz w:val="21"/>
              </w:rPr>
            </w:pPr>
            <w:r>
              <w:rPr>
                <w:rFonts w:ascii="Times New Roman" w:eastAsia="Times New Roman"/>
                <w:sz w:val="21"/>
              </w:rPr>
              <w:t xml:space="preserve">2020 </w:t>
            </w:r>
            <w:r>
              <w:rPr>
                <w:sz w:val="21"/>
              </w:rPr>
              <w:t xml:space="preserve">年 </w:t>
            </w:r>
            <w:r>
              <w:rPr>
                <w:rFonts w:ascii="Times New Roman" w:eastAsia="Times New Roman"/>
                <w:sz w:val="21"/>
              </w:rPr>
              <w:t xml:space="preserve">04 </w:t>
            </w:r>
            <w:r>
              <w:rPr>
                <w:sz w:val="21"/>
              </w:rPr>
              <w:t xml:space="preserve">月 </w:t>
            </w:r>
            <w:r>
              <w:rPr>
                <w:rFonts w:ascii="Times New Roman" w:eastAsia="Times New Roman"/>
                <w:sz w:val="21"/>
              </w:rPr>
              <w:t xml:space="preserve">14 </w:t>
            </w:r>
            <w:r>
              <w:rPr>
                <w:sz w:val="21"/>
              </w:rPr>
              <w:t>日</w:t>
            </w:r>
          </w:p>
        </w:tc>
        <w:tc>
          <w:tcPr>
            <w:tcW w:w="1509" w:type="dxa"/>
          </w:tcPr>
          <w:p>
            <w:pPr>
              <w:pStyle w:val="14"/>
              <w:spacing w:line="256" w:lineRule="exact"/>
              <w:ind w:left="311" w:right="302"/>
              <w:rPr>
                <w:rFonts w:ascii="Times New Roman"/>
                <w:sz w:val="24"/>
              </w:rPr>
            </w:pPr>
            <w:r>
              <w:rPr>
                <w:rFonts w:ascii="Times New Roman"/>
                <w:sz w:val="24"/>
              </w:rPr>
              <w:t>TSP</w:t>
            </w:r>
          </w:p>
        </w:tc>
        <w:tc>
          <w:tcPr>
            <w:tcW w:w="1725" w:type="dxa"/>
          </w:tcPr>
          <w:p>
            <w:pPr>
              <w:pStyle w:val="14"/>
              <w:spacing w:before="14"/>
              <w:ind w:left="455" w:right="448"/>
              <w:rPr>
                <w:rFonts w:ascii="Times New Roman"/>
                <w:sz w:val="21"/>
              </w:rPr>
            </w:pPr>
            <w:r>
              <w:rPr>
                <w:rFonts w:ascii="Times New Roman"/>
                <w:sz w:val="21"/>
              </w:rPr>
              <w:t>24h</w:t>
            </w:r>
          </w:p>
        </w:tc>
        <w:tc>
          <w:tcPr>
            <w:tcW w:w="1671" w:type="dxa"/>
          </w:tcPr>
          <w:p>
            <w:pPr>
              <w:pStyle w:val="14"/>
              <w:spacing w:before="14"/>
              <w:ind w:right="586"/>
              <w:jc w:val="right"/>
              <w:rPr>
                <w:rFonts w:ascii="Times New Roman"/>
                <w:sz w:val="21"/>
              </w:rPr>
            </w:pPr>
            <w:r>
              <w:rPr>
                <w:rFonts w:ascii="Times New Roman"/>
                <w:sz w:val="21"/>
              </w:rPr>
              <w:t>0.100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124" w:type="dxa"/>
            <w:vMerge w:val="continue"/>
            <w:tcBorders>
              <w:top w:val="nil"/>
            </w:tcBorders>
          </w:tcPr>
          <w:p>
            <w:pPr>
              <w:rPr>
                <w:sz w:val="2"/>
                <w:szCs w:val="2"/>
              </w:rPr>
            </w:pPr>
          </w:p>
        </w:tc>
        <w:tc>
          <w:tcPr>
            <w:tcW w:w="2315" w:type="dxa"/>
          </w:tcPr>
          <w:p>
            <w:pPr>
              <w:pStyle w:val="14"/>
              <w:spacing w:before="2" w:line="254" w:lineRule="exact"/>
              <w:ind w:left="217" w:right="209"/>
              <w:rPr>
                <w:sz w:val="21"/>
              </w:rPr>
            </w:pPr>
            <w:r>
              <w:rPr>
                <w:rFonts w:ascii="Times New Roman" w:eastAsia="Times New Roman"/>
                <w:sz w:val="21"/>
              </w:rPr>
              <w:t xml:space="preserve">2020 </w:t>
            </w:r>
            <w:r>
              <w:rPr>
                <w:sz w:val="21"/>
              </w:rPr>
              <w:t xml:space="preserve">年 </w:t>
            </w:r>
            <w:r>
              <w:rPr>
                <w:rFonts w:ascii="Times New Roman" w:eastAsia="Times New Roman"/>
                <w:sz w:val="21"/>
              </w:rPr>
              <w:t xml:space="preserve">04 </w:t>
            </w:r>
            <w:r>
              <w:rPr>
                <w:sz w:val="21"/>
              </w:rPr>
              <w:t xml:space="preserve">月 </w:t>
            </w:r>
            <w:r>
              <w:rPr>
                <w:rFonts w:ascii="Times New Roman" w:eastAsia="Times New Roman"/>
                <w:sz w:val="21"/>
              </w:rPr>
              <w:t xml:space="preserve">15 </w:t>
            </w:r>
            <w:r>
              <w:rPr>
                <w:sz w:val="21"/>
              </w:rPr>
              <w:t>日</w:t>
            </w:r>
          </w:p>
        </w:tc>
        <w:tc>
          <w:tcPr>
            <w:tcW w:w="1509" w:type="dxa"/>
          </w:tcPr>
          <w:p>
            <w:pPr>
              <w:pStyle w:val="14"/>
              <w:spacing w:line="256" w:lineRule="exact"/>
              <w:ind w:left="311" w:right="302"/>
              <w:rPr>
                <w:rFonts w:ascii="Times New Roman"/>
                <w:sz w:val="24"/>
              </w:rPr>
            </w:pPr>
            <w:r>
              <w:rPr>
                <w:rFonts w:ascii="Times New Roman"/>
                <w:sz w:val="24"/>
              </w:rPr>
              <w:t>TSP</w:t>
            </w:r>
          </w:p>
        </w:tc>
        <w:tc>
          <w:tcPr>
            <w:tcW w:w="1725" w:type="dxa"/>
          </w:tcPr>
          <w:p>
            <w:pPr>
              <w:pStyle w:val="14"/>
              <w:spacing w:before="16" w:line="240" w:lineRule="exact"/>
              <w:ind w:left="455" w:right="448"/>
              <w:rPr>
                <w:rFonts w:ascii="Times New Roman"/>
                <w:sz w:val="21"/>
              </w:rPr>
            </w:pPr>
            <w:r>
              <w:rPr>
                <w:rFonts w:ascii="Times New Roman"/>
                <w:sz w:val="21"/>
              </w:rPr>
              <w:t>24h</w:t>
            </w:r>
          </w:p>
        </w:tc>
        <w:tc>
          <w:tcPr>
            <w:tcW w:w="1671" w:type="dxa"/>
          </w:tcPr>
          <w:p>
            <w:pPr>
              <w:pStyle w:val="14"/>
              <w:spacing w:before="16" w:line="240" w:lineRule="exact"/>
              <w:ind w:right="586"/>
              <w:jc w:val="right"/>
              <w:rPr>
                <w:rFonts w:ascii="Times New Roman"/>
                <w:sz w:val="21"/>
              </w:rPr>
            </w:pPr>
            <w:r>
              <w:rPr>
                <w:rFonts w:ascii="Times New Roman"/>
                <w:sz w:val="21"/>
              </w:rPr>
              <w:t>0.100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2124" w:type="dxa"/>
            <w:vMerge w:val="continue"/>
            <w:tcBorders>
              <w:top w:val="nil"/>
            </w:tcBorders>
          </w:tcPr>
          <w:p>
            <w:pPr>
              <w:rPr>
                <w:sz w:val="2"/>
                <w:szCs w:val="2"/>
              </w:rPr>
            </w:pPr>
          </w:p>
        </w:tc>
        <w:tc>
          <w:tcPr>
            <w:tcW w:w="2315" w:type="dxa"/>
          </w:tcPr>
          <w:p>
            <w:pPr>
              <w:pStyle w:val="14"/>
              <w:spacing w:before="1" w:line="254" w:lineRule="exact"/>
              <w:ind w:left="217" w:right="209"/>
              <w:rPr>
                <w:sz w:val="21"/>
              </w:rPr>
            </w:pPr>
            <w:r>
              <w:rPr>
                <w:rFonts w:ascii="Times New Roman" w:eastAsia="Times New Roman"/>
                <w:sz w:val="21"/>
              </w:rPr>
              <w:t xml:space="preserve">2020 </w:t>
            </w:r>
            <w:r>
              <w:rPr>
                <w:sz w:val="21"/>
              </w:rPr>
              <w:t xml:space="preserve">年 </w:t>
            </w:r>
            <w:r>
              <w:rPr>
                <w:rFonts w:ascii="Times New Roman" w:eastAsia="Times New Roman"/>
                <w:sz w:val="21"/>
              </w:rPr>
              <w:t xml:space="preserve">04 </w:t>
            </w:r>
            <w:r>
              <w:rPr>
                <w:sz w:val="21"/>
              </w:rPr>
              <w:t xml:space="preserve">月 </w:t>
            </w:r>
            <w:r>
              <w:rPr>
                <w:rFonts w:ascii="Times New Roman" w:eastAsia="Times New Roman"/>
                <w:sz w:val="21"/>
              </w:rPr>
              <w:t xml:space="preserve">16 </w:t>
            </w:r>
            <w:r>
              <w:rPr>
                <w:sz w:val="21"/>
              </w:rPr>
              <w:t>日</w:t>
            </w:r>
          </w:p>
        </w:tc>
        <w:tc>
          <w:tcPr>
            <w:tcW w:w="1509" w:type="dxa"/>
          </w:tcPr>
          <w:p>
            <w:pPr>
              <w:pStyle w:val="14"/>
              <w:spacing w:line="256" w:lineRule="exact"/>
              <w:ind w:left="311" w:right="302"/>
              <w:rPr>
                <w:rFonts w:ascii="Times New Roman"/>
                <w:sz w:val="24"/>
              </w:rPr>
            </w:pPr>
            <w:r>
              <w:rPr>
                <w:rFonts w:ascii="Times New Roman"/>
                <w:sz w:val="24"/>
              </w:rPr>
              <w:t>TSP</w:t>
            </w:r>
          </w:p>
        </w:tc>
        <w:tc>
          <w:tcPr>
            <w:tcW w:w="1725" w:type="dxa"/>
          </w:tcPr>
          <w:p>
            <w:pPr>
              <w:pStyle w:val="14"/>
              <w:spacing w:before="15" w:line="240" w:lineRule="exact"/>
              <w:ind w:left="455" w:right="448"/>
              <w:rPr>
                <w:rFonts w:ascii="Times New Roman"/>
                <w:sz w:val="21"/>
              </w:rPr>
            </w:pPr>
            <w:r>
              <w:rPr>
                <w:rFonts w:ascii="Times New Roman"/>
                <w:sz w:val="21"/>
              </w:rPr>
              <w:t>24h</w:t>
            </w:r>
          </w:p>
        </w:tc>
        <w:tc>
          <w:tcPr>
            <w:tcW w:w="1671" w:type="dxa"/>
          </w:tcPr>
          <w:p>
            <w:pPr>
              <w:pStyle w:val="14"/>
              <w:spacing w:before="15" w:line="240" w:lineRule="exact"/>
              <w:ind w:right="586"/>
              <w:jc w:val="right"/>
              <w:rPr>
                <w:rFonts w:ascii="Times New Roman"/>
                <w:sz w:val="21"/>
              </w:rPr>
            </w:pPr>
            <w:r>
              <w:rPr>
                <w:rFonts w:ascii="Times New Roman"/>
                <w:sz w:val="21"/>
              </w:rPr>
              <w:t>0.100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124" w:type="dxa"/>
            <w:vMerge w:val="continue"/>
            <w:tcBorders>
              <w:top w:val="nil"/>
            </w:tcBorders>
          </w:tcPr>
          <w:p>
            <w:pPr>
              <w:rPr>
                <w:sz w:val="2"/>
                <w:szCs w:val="2"/>
              </w:rPr>
            </w:pPr>
          </w:p>
        </w:tc>
        <w:tc>
          <w:tcPr>
            <w:tcW w:w="2315" w:type="dxa"/>
          </w:tcPr>
          <w:p>
            <w:pPr>
              <w:pStyle w:val="14"/>
              <w:spacing w:before="1" w:line="255" w:lineRule="exact"/>
              <w:ind w:left="217" w:right="209"/>
              <w:rPr>
                <w:sz w:val="21"/>
              </w:rPr>
            </w:pPr>
            <w:r>
              <w:rPr>
                <w:rFonts w:ascii="Times New Roman" w:eastAsia="Times New Roman"/>
                <w:sz w:val="21"/>
              </w:rPr>
              <w:t xml:space="preserve">2020 </w:t>
            </w:r>
            <w:r>
              <w:rPr>
                <w:sz w:val="21"/>
              </w:rPr>
              <w:t xml:space="preserve">年 </w:t>
            </w:r>
            <w:r>
              <w:rPr>
                <w:rFonts w:ascii="Times New Roman" w:eastAsia="Times New Roman"/>
                <w:sz w:val="21"/>
              </w:rPr>
              <w:t xml:space="preserve">04 </w:t>
            </w:r>
            <w:r>
              <w:rPr>
                <w:sz w:val="21"/>
              </w:rPr>
              <w:t xml:space="preserve">月 </w:t>
            </w:r>
            <w:r>
              <w:rPr>
                <w:rFonts w:ascii="Times New Roman" w:eastAsia="Times New Roman"/>
                <w:sz w:val="21"/>
              </w:rPr>
              <w:t xml:space="preserve">17 </w:t>
            </w:r>
            <w:r>
              <w:rPr>
                <w:sz w:val="21"/>
              </w:rPr>
              <w:t>日</w:t>
            </w:r>
          </w:p>
        </w:tc>
        <w:tc>
          <w:tcPr>
            <w:tcW w:w="1509" w:type="dxa"/>
          </w:tcPr>
          <w:p>
            <w:pPr>
              <w:pStyle w:val="14"/>
              <w:spacing w:line="256" w:lineRule="exact"/>
              <w:ind w:left="311" w:right="302"/>
              <w:rPr>
                <w:rFonts w:ascii="Times New Roman"/>
                <w:sz w:val="24"/>
              </w:rPr>
            </w:pPr>
            <w:r>
              <w:rPr>
                <w:rFonts w:ascii="Times New Roman"/>
                <w:sz w:val="24"/>
              </w:rPr>
              <w:t>TSP</w:t>
            </w:r>
          </w:p>
        </w:tc>
        <w:tc>
          <w:tcPr>
            <w:tcW w:w="1725" w:type="dxa"/>
          </w:tcPr>
          <w:p>
            <w:pPr>
              <w:pStyle w:val="14"/>
              <w:spacing w:before="15" w:line="241" w:lineRule="exact"/>
              <w:ind w:left="455" w:right="448"/>
              <w:rPr>
                <w:rFonts w:ascii="Times New Roman"/>
                <w:sz w:val="21"/>
              </w:rPr>
            </w:pPr>
            <w:r>
              <w:rPr>
                <w:rFonts w:ascii="Times New Roman"/>
                <w:sz w:val="21"/>
              </w:rPr>
              <w:t>24h</w:t>
            </w:r>
          </w:p>
        </w:tc>
        <w:tc>
          <w:tcPr>
            <w:tcW w:w="1671" w:type="dxa"/>
          </w:tcPr>
          <w:p>
            <w:pPr>
              <w:pStyle w:val="14"/>
              <w:spacing w:before="15" w:line="241" w:lineRule="exact"/>
              <w:ind w:right="586"/>
              <w:jc w:val="right"/>
              <w:rPr>
                <w:rFonts w:ascii="Times New Roman"/>
                <w:sz w:val="21"/>
              </w:rPr>
            </w:pPr>
            <w:r>
              <w:rPr>
                <w:rFonts w:ascii="Times New Roman"/>
                <w:sz w:val="21"/>
              </w:rPr>
              <w:t>0.117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124" w:type="dxa"/>
            <w:vMerge w:val="continue"/>
            <w:tcBorders>
              <w:top w:val="nil"/>
            </w:tcBorders>
          </w:tcPr>
          <w:p>
            <w:pPr>
              <w:rPr>
                <w:sz w:val="2"/>
                <w:szCs w:val="2"/>
              </w:rPr>
            </w:pPr>
          </w:p>
        </w:tc>
        <w:tc>
          <w:tcPr>
            <w:tcW w:w="2315" w:type="dxa"/>
          </w:tcPr>
          <w:p>
            <w:pPr>
              <w:pStyle w:val="14"/>
              <w:spacing w:before="1" w:line="255" w:lineRule="exact"/>
              <w:ind w:left="217" w:right="209"/>
              <w:rPr>
                <w:sz w:val="21"/>
              </w:rPr>
            </w:pPr>
            <w:r>
              <w:rPr>
                <w:rFonts w:ascii="Times New Roman" w:eastAsia="Times New Roman"/>
                <w:sz w:val="21"/>
              </w:rPr>
              <w:t xml:space="preserve">2020 </w:t>
            </w:r>
            <w:r>
              <w:rPr>
                <w:sz w:val="21"/>
              </w:rPr>
              <w:t xml:space="preserve">年 </w:t>
            </w:r>
            <w:r>
              <w:rPr>
                <w:rFonts w:ascii="Times New Roman" w:eastAsia="Times New Roman"/>
                <w:sz w:val="21"/>
              </w:rPr>
              <w:t xml:space="preserve">04 </w:t>
            </w:r>
            <w:r>
              <w:rPr>
                <w:sz w:val="21"/>
              </w:rPr>
              <w:t xml:space="preserve">月 </w:t>
            </w:r>
            <w:r>
              <w:rPr>
                <w:rFonts w:ascii="Times New Roman" w:eastAsia="Times New Roman"/>
                <w:sz w:val="21"/>
              </w:rPr>
              <w:t xml:space="preserve">18 </w:t>
            </w:r>
            <w:r>
              <w:rPr>
                <w:sz w:val="21"/>
              </w:rPr>
              <w:t>日</w:t>
            </w:r>
          </w:p>
        </w:tc>
        <w:tc>
          <w:tcPr>
            <w:tcW w:w="1509" w:type="dxa"/>
          </w:tcPr>
          <w:p>
            <w:pPr>
              <w:pStyle w:val="14"/>
              <w:spacing w:line="256" w:lineRule="exact"/>
              <w:ind w:left="311" w:right="302"/>
              <w:rPr>
                <w:rFonts w:ascii="Times New Roman"/>
                <w:sz w:val="24"/>
              </w:rPr>
            </w:pPr>
            <w:r>
              <w:rPr>
                <w:rFonts w:ascii="Times New Roman"/>
                <w:sz w:val="24"/>
              </w:rPr>
              <w:t>TSP</w:t>
            </w:r>
          </w:p>
        </w:tc>
        <w:tc>
          <w:tcPr>
            <w:tcW w:w="1725" w:type="dxa"/>
          </w:tcPr>
          <w:p>
            <w:pPr>
              <w:pStyle w:val="14"/>
              <w:spacing w:before="14" w:line="241" w:lineRule="exact"/>
              <w:ind w:left="455" w:right="448"/>
              <w:rPr>
                <w:rFonts w:ascii="Times New Roman"/>
                <w:sz w:val="21"/>
              </w:rPr>
            </w:pPr>
            <w:r>
              <w:rPr>
                <w:rFonts w:ascii="Times New Roman"/>
                <w:sz w:val="21"/>
              </w:rPr>
              <w:t>24h</w:t>
            </w:r>
          </w:p>
        </w:tc>
        <w:tc>
          <w:tcPr>
            <w:tcW w:w="1671" w:type="dxa"/>
          </w:tcPr>
          <w:p>
            <w:pPr>
              <w:pStyle w:val="14"/>
              <w:spacing w:before="14" w:line="241" w:lineRule="exact"/>
              <w:ind w:right="586"/>
              <w:jc w:val="right"/>
              <w:rPr>
                <w:rFonts w:ascii="Times New Roman"/>
                <w:sz w:val="21"/>
              </w:rPr>
            </w:pPr>
            <w:r>
              <w:rPr>
                <w:rFonts w:ascii="Times New Roman"/>
                <w:sz w:val="21"/>
              </w:rPr>
              <w:t>0.083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2124" w:type="dxa"/>
            <w:vMerge w:val="continue"/>
            <w:tcBorders>
              <w:top w:val="nil"/>
            </w:tcBorders>
          </w:tcPr>
          <w:p>
            <w:pPr>
              <w:rPr>
                <w:sz w:val="2"/>
                <w:szCs w:val="2"/>
              </w:rPr>
            </w:pPr>
          </w:p>
        </w:tc>
        <w:tc>
          <w:tcPr>
            <w:tcW w:w="2315" w:type="dxa"/>
          </w:tcPr>
          <w:p>
            <w:pPr>
              <w:pStyle w:val="14"/>
              <w:spacing w:line="256" w:lineRule="exact"/>
              <w:ind w:left="217" w:right="209"/>
              <w:rPr>
                <w:sz w:val="21"/>
              </w:rPr>
            </w:pPr>
            <w:r>
              <w:rPr>
                <w:rFonts w:ascii="Times New Roman" w:eastAsia="Times New Roman"/>
                <w:sz w:val="21"/>
              </w:rPr>
              <w:t xml:space="preserve">2020 </w:t>
            </w:r>
            <w:r>
              <w:rPr>
                <w:sz w:val="21"/>
              </w:rPr>
              <w:t xml:space="preserve">年 </w:t>
            </w:r>
            <w:r>
              <w:rPr>
                <w:rFonts w:ascii="Times New Roman" w:eastAsia="Times New Roman"/>
                <w:sz w:val="21"/>
              </w:rPr>
              <w:t xml:space="preserve">04 </w:t>
            </w:r>
            <w:r>
              <w:rPr>
                <w:sz w:val="21"/>
              </w:rPr>
              <w:t xml:space="preserve">月 </w:t>
            </w:r>
            <w:r>
              <w:rPr>
                <w:rFonts w:ascii="Times New Roman" w:eastAsia="Times New Roman"/>
                <w:sz w:val="21"/>
              </w:rPr>
              <w:t xml:space="preserve">19 </w:t>
            </w:r>
            <w:r>
              <w:rPr>
                <w:sz w:val="21"/>
              </w:rPr>
              <w:t>日</w:t>
            </w:r>
          </w:p>
        </w:tc>
        <w:tc>
          <w:tcPr>
            <w:tcW w:w="1509" w:type="dxa"/>
          </w:tcPr>
          <w:p>
            <w:pPr>
              <w:pStyle w:val="14"/>
              <w:spacing w:line="256" w:lineRule="exact"/>
              <w:ind w:left="311" w:right="302"/>
              <w:rPr>
                <w:rFonts w:ascii="Times New Roman"/>
                <w:sz w:val="24"/>
              </w:rPr>
            </w:pPr>
            <w:r>
              <w:rPr>
                <w:rFonts w:ascii="Times New Roman"/>
                <w:sz w:val="24"/>
              </w:rPr>
              <w:t>TSP</w:t>
            </w:r>
          </w:p>
        </w:tc>
        <w:tc>
          <w:tcPr>
            <w:tcW w:w="1725" w:type="dxa"/>
          </w:tcPr>
          <w:p>
            <w:pPr>
              <w:pStyle w:val="14"/>
              <w:spacing w:before="14"/>
              <w:ind w:left="455" w:right="448"/>
              <w:rPr>
                <w:rFonts w:ascii="Times New Roman"/>
                <w:sz w:val="21"/>
              </w:rPr>
            </w:pPr>
            <w:r>
              <w:rPr>
                <w:rFonts w:ascii="Times New Roman"/>
                <w:sz w:val="21"/>
              </w:rPr>
              <w:t>24h</w:t>
            </w:r>
          </w:p>
        </w:tc>
        <w:tc>
          <w:tcPr>
            <w:tcW w:w="1671" w:type="dxa"/>
          </w:tcPr>
          <w:p>
            <w:pPr>
              <w:pStyle w:val="14"/>
              <w:spacing w:before="14"/>
              <w:ind w:right="586"/>
              <w:jc w:val="right"/>
              <w:rPr>
                <w:rFonts w:ascii="Times New Roman"/>
                <w:sz w:val="21"/>
              </w:rPr>
            </w:pPr>
            <w:r>
              <w:rPr>
                <w:rFonts w:ascii="Times New Roman"/>
                <w:sz w:val="21"/>
              </w:rPr>
              <w:t>0.117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124" w:type="dxa"/>
            <w:vMerge w:val="continue"/>
            <w:tcBorders>
              <w:top w:val="nil"/>
            </w:tcBorders>
          </w:tcPr>
          <w:p>
            <w:pPr>
              <w:rPr>
                <w:sz w:val="2"/>
                <w:szCs w:val="2"/>
              </w:rPr>
            </w:pPr>
          </w:p>
        </w:tc>
        <w:tc>
          <w:tcPr>
            <w:tcW w:w="2315" w:type="dxa"/>
          </w:tcPr>
          <w:p>
            <w:pPr>
              <w:pStyle w:val="14"/>
              <w:spacing w:line="256" w:lineRule="exact"/>
              <w:ind w:left="217" w:right="209"/>
              <w:rPr>
                <w:sz w:val="21"/>
              </w:rPr>
            </w:pPr>
            <w:r>
              <w:rPr>
                <w:rFonts w:ascii="Times New Roman" w:eastAsia="Times New Roman"/>
                <w:sz w:val="21"/>
              </w:rPr>
              <w:t xml:space="preserve">2020 </w:t>
            </w:r>
            <w:r>
              <w:rPr>
                <w:sz w:val="21"/>
              </w:rPr>
              <w:t xml:space="preserve">年 </w:t>
            </w:r>
            <w:r>
              <w:rPr>
                <w:rFonts w:ascii="Times New Roman" w:eastAsia="Times New Roman"/>
                <w:sz w:val="21"/>
              </w:rPr>
              <w:t xml:space="preserve">04 </w:t>
            </w:r>
            <w:r>
              <w:rPr>
                <w:sz w:val="21"/>
              </w:rPr>
              <w:t xml:space="preserve">月 </w:t>
            </w:r>
            <w:r>
              <w:rPr>
                <w:rFonts w:ascii="Times New Roman" w:eastAsia="Times New Roman"/>
                <w:sz w:val="21"/>
              </w:rPr>
              <w:t xml:space="preserve">20 </w:t>
            </w:r>
            <w:r>
              <w:rPr>
                <w:sz w:val="21"/>
              </w:rPr>
              <w:t>日</w:t>
            </w:r>
          </w:p>
        </w:tc>
        <w:tc>
          <w:tcPr>
            <w:tcW w:w="1509" w:type="dxa"/>
          </w:tcPr>
          <w:p>
            <w:pPr>
              <w:pStyle w:val="14"/>
              <w:spacing w:line="256" w:lineRule="exact"/>
              <w:ind w:left="311" w:right="302"/>
              <w:rPr>
                <w:rFonts w:ascii="Times New Roman"/>
                <w:sz w:val="24"/>
              </w:rPr>
            </w:pPr>
            <w:r>
              <w:rPr>
                <w:rFonts w:ascii="Times New Roman"/>
                <w:sz w:val="24"/>
              </w:rPr>
              <w:t>TSP</w:t>
            </w:r>
          </w:p>
        </w:tc>
        <w:tc>
          <w:tcPr>
            <w:tcW w:w="1725" w:type="dxa"/>
          </w:tcPr>
          <w:p>
            <w:pPr>
              <w:pStyle w:val="14"/>
              <w:spacing w:before="14"/>
              <w:ind w:left="455" w:right="448"/>
              <w:rPr>
                <w:rFonts w:ascii="Times New Roman"/>
                <w:sz w:val="21"/>
              </w:rPr>
            </w:pPr>
            <w:r>
              <w:rPr>
                <w:rFonts w:ascii="Times New Roman"/>
                <w:sz w:val="21"/>
              </w:rPr>
              <w:t>24h</w:t>
            </w:r>
          </w:p>
        </w:tc>
        <w:tc>
          <w:tcPr>
            <w:tcW w:w="1671" w:type="dxa"/>
          </w:tcPr>
          <w:p>
            <w:pPr>
              <w:pStyle w:val="14"/>
              <w:spacing w:before="14"/>
              <w:ind w:right="586"/>
              <w:jc w:val="right"/>
              <w:rPr>
                <w:rFonts w:ascii="Times New Roman"/>
                <w:sz w:val="21"/>
              </w:rPr>
            </w:pPr>
            <w:r>
              <w:rPr>
                <w:rFonts w:ascii="Times New Roman"/>
                <w:sz w:val="21"/>
              </w:rPr>
              <w:t>0.100</w:t>
            </w:r>
          </w:p>
        </w:tc>
      </w:tr>
    </w:tbl>
    <w:p>
      <w:pPr>
        <w:pStyle w:val="13"/>
        <w:numPr>
          <w:ilvl w:val="2"/>
          <w:numId w:val="65"/>
        </w:numPr>
        <w:tabs>
          <w:tab w:val="left" w:pos="848"/>
        </w:tabs>
        <w:spacing w:before="5" w:after="0" w:line="240" w:lineRule="auto"/>
        <w:ind w:left="847" w:right="0" w:hanging="633"/>
        <w:jc w:val="left"/>
        <w:rPr>
          <w:b/>
          <w:sz w:val="28"/>
        </w:rPr>
      </w:pPr>
      <w:bookmarkStart w:id="749" w:name="8.2.3环境空气质量现状评价"/>
      <w:bookmarkEnd w:id="749"/>
      <w:bookmarkStart w:id="750" w:name="8.2.3环境空气质量现状评价"/>
      <w:bookmarkEnd w:id="750"/>
      <w:r>
        <w:rPr>
          <w:b/>
          <w:sz w:val="28"/>
        </w:rPr>
        <w:t>环境空气质量现状评价</w:t>
      </w:r>
    </w:p>
    <w:p>
      <w:pPr>
        <w:pStyle w:val="6"/>
        <w:spacing w:before="186"/>
        <w:ind w:left="696"/>
      </w:pPr>
      <w:r>
        <w:rPr>
          <w:rFonts w:ascii="Times New Roman" w:eastAsia="Times New Roman"/>
        </w:rPr>
        <w:t>1</w:t>
      </w:r>
      <w:r>
        <w:t>、评价参数</w:t>
      </w:r>
    </w:p>
    <w:p>
      <w:pPr>
        <w:pStyle w:val="6"/>
        <w:spacing w:before="160"/>
        <w:ind w:left="696"/>
      </w:pPr>
      <w:r>
        <w:t>评价参数同监测参数</w:t>
      </w:r>
    </w:p>
    <w:p>
      <w:pPr>
        <w:pStyle w:val="6"/>
        <w:spacing w:before="158"/>
        <w:ind w:left="696"/>
      </w:pPr>
      <w:r>
        <w:rPr>
          <w:rFonts w:ascii="Times New Roman" w:eastAsia="Times New Roman"/>
        </w:rPr>
        <w:t>2</w:t>
      </w:r>
      <w:r>
        <w:t>、评价标准</w:t>
      </w:r>
    </w:p>
    <w:p>
      <w:pPr>
        <w:pStyle w:val="6"/>
        <w:spacing w:before="161"/>
        <w:ind w:left="696"/>
      </w:pPr>
      <w:r>
        <w:rPr>
          <w:rFonts w:ascii="Times New Roman" w:eastAsia="Times New Roman"/>
        </w:rPr>
        <w:t xml:space="preserve">TSP </w:t>
      </w:r>
      <w:r>
        <w:t>执行《环境空气质量标准》（</w:t>
      </w:r>
      <w:r>
        <w:rPr>
          <w:rFonts w:ascii="Times New Roman" w:eastAsia="Times New Roman"/>
        </w:rPr>
        <w:t>GB3095-2012</w:t>
      </w:r>
      <w:r>
        <w:t xml:space="preserve">）表 </w:t>
      </w:r>
      <w:r>
        <w:rPr>
          <w:rFonts w:ascii="Times New Roman" w:eastAsia="Times New Roman"/>
        </w:rPr>
        <w:t xml:space="preserve">2 </w:t>
      </w:r>
      <w:r>
        <w:t>二级标准限值要求。</w:t>
      </w:r>
    </w:p>
    <w:p>
      <w:pPr>
        <w:pStyle w:val="6"/>
        <w:spacing w:before="158"/>
        <w:ind w:left="696"/>
      </w:pPr>
      <w:r>
        <w:rPr>
          <w:rFonts w:ascii="Times New Roman" w:eastAsia="Times New Roman"/>
        </w:rPr>
        <w:t>3</w:t>
      </w:r>
      <w:r>
        <w:t>、评价方法</w:t>
      </w:r>
    </w:p>
    <w:p>
      <w:pPr>
        <w:pStyle w:val="6"/>
        <w:spacing w:before="160"/>
        <w:ind w:left="696"/>
      </w:pPr>
      <w:r>
        <w:t>采用占标率的方法进行评价。占标率</w:t>
      </w:r>
      <w:r>
        <w:rPr>
          <w:rFonts w:ascii="Times New Roman" w:eastAsia="Times New Roman"/>
        </w:rPr>
        <w:t>&gt;100%</w:t>
      </w:r>
      <w:r>
        <w:t>，表明该参数超过了规定的标准。</w:t>
      </w:r>
    </w:p>
    <w:p>
      <w:pPr>
        <w:pStyle w:val="6"/>
        <w:spacing w:before="3"/>
        <w:rPr>
          <w:sz w:val="15"/>
        </w:rPr>
      </w:pPr>
    </w:p>
    <w:p>
      <w:pPr>
        <w:spacing w:after="0"/>
        <w:rPr>
          <w:sz w:val="15"/>
        </w:rPr>
        <w:sectPr>
          <w:pgSz w:w="11910" w:h="16840"/>
          <w:pgMar w:top="1580" w:right="780" w:bottom="1320" w:left="1200" w:header="0" w:footer="1058" w:gutter="0"/>
        </w:sectPr>
      </w:pPr>
    </w:p>
    <w:p>
      <w:pPr>
        <w:spacing w:before="124" w:line="127" w:lineRule="auto"/>
        <w:ind w:left="0" w:right="73" w:firstLine="0"/>
        <w:jc w:val="right"/>
        <w:rPr>
          <w:rFonts w:ascii="Times New Roman" w:hAnsi="Times New Roman"/>
          <w:i/>
          <w:sz w:val="23"/>
        </w:rPr>
      </w:pPr>
      <w:r>
        <mc:AlternateContent>
          <mc:Choice Requires="wps">
            <w:drawing>
              <wp:anchor distT="0" distB="0" distL="114300" distR="114300" simplePos="0" relativeHeight="214249472" behindDoc="1" locked="0" layoutInCell="1" allowOverlap="1">
                <wp:simplePos x="0" y="0"/>
                <wp:positionH relativeFrom="page">
                  <wp:posOffset>3604260</wp:posOffset>
                </wp:positionH>
                <wp:positionV relativeFrom="paragraph">
                  <wp:posOffset>172720</wp:posOffset>
                </wp:positionV>
                <wp:extent cx="197485" cy="0"/>
                <wp:effectExtent l="0" t="0" r="0" b="0"/>
                <wp:wrapNone/>
                <wp:docPr id="87" name="直线 208"/>
                <wp:cNvGraphicFramePr/>
                <a:graphic xmlns:a="http://schemas.openxmlformats.org/drawingml/2006/main">
                  <a:graphicData uri="http://schemas.microsoft.com/office/word/2010/wordprocessingShape">
                    <wps:wsp>
                      <wps:cNvSpPr/>
                      <wps:spPr>
                        <a:xfrm>
                          <a:off x="0" y="0"/>
                          <a:ext cx="197485" cy="0"/>
                        </a:xfrm>
                        <a:prstGeom prst="line">
                          <a:avLst/>
                        </a:prstGeom>
                        <a:ln w="7404" cap="flat" cmpd="sng">
                          <a:solidFill>
                            <a:srgbClr val="000000"/>
                          </a:solidFill>
                          <a:prstDash val="solid"/>
                          <a:headEnd type="none" w="med" len="med"/>
                          <a:tailEnd type="none" w="med" len="med"/>
                        </a:ln>
                      </wps:spPr>
                      <wps:bodyPr upright="1"/>
                    </wps:wsp>
                  </a:graphicData>
                </a:graphic>
              </wp:anchor>
            </w:drawing>
          </mc:Choice>
          <mc:Fallback>
            <w:pict>
              <v:line id="直线 208" o:spid="_x0000_s1026" o:spt="20" style="position:absolute;left:0pt;margin-left:283.8pt;margin-top:13.6pt;height:0pt;width:15.55pt;mso-position-horizontal-relative:page;z-index:-289067008;mso-width-relative:page;mso-height-relative:page;" filled="f" stroked="t" coordsize="21600,21600" o:gfxdata="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KQt3DYAAAACQEAAA8AAAAAAAAAAQAgAAAAIgAA&#10;AGRycy9kb3ducmV2LnhtbFBLAQIUABQAAAAIAIdO4kACRb9PzwEAAI8DAAAOAAAAAAAAAAEAIAAA&#10;ACcBAABkcnMvZTJvRG9jLnhtbFBLBQYAAAAABgAGAFkBAABoBQAAAAA=&#10;">
                <v:fill on="f" focussize="0,0"/>
                <v:stroke weight="0.582992125984252pt" color="#000000" joinstyle="round"/>
                <v:imagedata o:title=""/>
                <o:lock v:ext="edit" aspectratio="f"/>
              </v:line>
            </w:pict>
          </mc:Fallback>
        </mc:AlternateContent>
      </w:r>
      <w:r>
        <mc:AlternateContent>
          <mc:Choice Requires="wps">
            <w:drawing>
              <wp:anchor distT="0" distB="0" distL="114300" distR="114300" simplePos="0" relativeHeight="214250496" behindDoc="1" locked="0" layoutInCell="1" allowOverlap="1">
                <wp:simplePos x="0" y="0"/>
                <wp:positionH relativeFrom="page">
                  <wp:posOffset>3632200</wp:posOffset>
                </wp:positionH>
                <wp:positionV relativeFrom="paragraph">
                  <wp:posOffset>-14605</wp:posOffset>
                </wp:positionV>
                <wp:extent cx="122555" cy="187325"/>
                <wp:effectExtent l="0" t="0" r="0" b="0"/>
                <wp:wrapNone/>
                <wp:docPr id="88" name="文本框 209"/>
                <wp:cNvGraphicFramePr/>
                <a:graphic xmlns:a="http://schemas.openxmlformats.org/drawingml/2006/main">
                  <a:graphicData uri="http://schemas.microsoft.com/office/word/2010/wordprocessingShape">
                    <wps:wsp>
                      <wps:cNvSpPr txBox="1"/>
                      <wps:spPr>
                        <a:xfrm>
                          <a:off x="0" y="0"/>
                          <a:ext cx="122555" cy="187325"/>
                        </a:xfrm>
                        <a:prstGeom prst="rect">
                          <a:avLst/>
                        </a:prstGeom>
                        <a:noFill/>
                        <a:ln>
                          <a:noFill/>
                        </a:ln>
                      </wps:spPr>
                      <wps:txbx>
                        <w:txbxContent>
                          <w:p>
                            <w:pPr>
                              <w:spacing w:before="0" w:line="293" w:lineRule="exact"/>
                              <w:ind w:left="0" w:right="0" w:firstLine="0"/>
                              <w:jc w:val="left"/>
                              <w:rPr>
                                <w:rFonts w:ascii="Times New Roman"/>
                                <w:i/>
                                <w:sz w:val="13"/>
                              </w:rPr>
                            </w:pPr>
                            <w:r>
                              <w:rPr>
                                <w:rFonts w:ascii="Times New Roman"/>
                                <w:i/>
                                <w:sz w:val="23"/>
                              </w:rPr>
                              <w:t>C</w:t>
                            </w:r>
                            <w:r>
                              <w:rPr>
                                <w:rFonts w:ascii="Times New Roman"/>
                                <w:i/>
                                <w:position w:val="-5"/>
                                <w:sz w:val="13"/>
                              </w:rPr>
                              <w:t>i</w:t>
                            </w:r>
                          </w:p>
                        </w:txbxContent>
                      </wps:txbx>
                      <wps:bodyPr lIns="0" tIns="0" rIns="0" bIns="0" upright="1"/>
                    </wps:wsp>
                  </a:graphicData>
                </a:graphic>
              </wp:anchor>
            </w:drawing>
          </mc:Choice>
          <mc:Fallback>
            <w:pict>
              <v:shape id="文本框 209" o:spid="_x0000_s1026" o:spt="202" type="#_x0000_t202" style="position:absolute;left:0pt;margin-left:286pt;margin-top:-1.15pt;height:14.75pt;width:9.65pt;mso-position-horizontal-relative:page;z-index:-289065984;mso-width-relative:page;mso-height-relative:page;" filled="f" stroked="f" coordsize="21600,21600" o:gfxdata="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mFx81tkAAAAJAQAADwAAAAAA&#10;AAABACAAAAAiAAAAZHJzL2Rvd25yZXYueG1sUEsBAhQAFAAAAAgAh07iQNXsypigAQAAJgMAAA4A&#10;AAAAAAAAAQAgAAAAKAEAAGRycy9lMm9Eb2MueG1sUEsFBgAAAAAGAAYAWQEAADoFAAAAAA==&#10;">
                <v:fill on="f" focussize="0,0"/>
                <v:stroke on="f"/>
                <v:imagedata o:title=""/>
                <o:lock v:ext="edit" aspectratio="f"/>
                <v:textbox inset="0mm,0mm,0mm,0mm">
                  <w:txbxContent>
                    <w:p>
                      <w:pPr>
                        <w:spacing w:before="0" w:line="293" w:lineRule="exact"/>
                        <w:ind w:left="0" w:right="0" w:firstLine="0"/>
                        <w:jc w:val="left"/>
                        <w:rPr>
                          <w:rFonts w:ascii="Times New Roman"/>
                          <w:i/>
                          <w:sz w:val="13"/>
                        </w:rPr>
                      </w:pPr>
                      <w:r>
                        <w:rPr>
                          <w:rFonts w:ascii="Times New Roman"/>
                          <w:i/>
                          <w:sz w:val="23"/>
                        </w:rPr>
                        <w:t>C</w:t>
                      </w:r>
                      <w:r>
                        <w:rPr>
                          <w:rFonts w:ascii="Times New Roman"/>
                          <w:i/>
                          <w:position w:val="-5"/>
                          <w:sz w:val="13"/>
                        </w:rPr>
                        <w:t>i</w:t>
                      </w:r>
                    </w:p>
                  </w:txbxContent>
                </v:textbox>
              </v:shape>
            </w:pict>
          </mc:Fallback>
        </mc:AlternateContent>
      </w:r>
      <w:r>
        <w:rPr>
          <w:rFonts w:ascii="Times New Roman" w:hAnsi="Times New Roman"/>
          <w:i/>
          <w:sz w:val="23"/>
        </w:rPr>
        <w:t>P</w:t>
      </w:r>
      <w:r>
        <w:rPr>
          <w:rFonts w:ascii="Times New Roman" w:hAnsi="Times New Roman"/>
          <w:i/>
          <w:position w:val="-5"/>
          <w:sz w:val="13"/>
        </w:rPr>
        <w:t xml:space="preserve">i </w:t>
      </w:r>
      <w:r>
        <w:rPr>
          <w:rFonts w:ascii="Symbol" w:hAnsi="Symbol"/>
          <w:sz w:val="23"/>
        </w:rPr>
        <w:t></w:t>
      </w:r>
      <w:r>
        <w:rPr>
          <w:rFonts w:ascii="Times New Roman" w:hAnsi="Times New Roman"/>
          <w:sz w:val="23"/>
        </w:rPr>
        <w:t xml:space="preserve"> </w:t>
      </w:r>
      <w:r>
        <w:rPr>
          <w:rFonts w:ascii="Times New Roman" w:hAnsi="Times New Roman"/>
          <w:i/>
          <w:position w:val="-17"/>
          <w:sz w:val="23"/>
        </w:rPr>
        <w:t>C</w:t>
      </w:r>
    </w:p>
    <w:p>
      <w:pPr>
        <w:spacing w:before="100"/>
        <w:ind w:left="68" w:right="0" w:firstLine="0"/>
        <w:jc w:val="left"/>
        <w:rPr>
          <w:rFonts w:ascii="Times New Roman" w:hAnsi="Times New Roman"/>
          <w:sz w:val="23"/>
        </w:rPr>
      </w:pPr>
      <w:r>
        <w:br w:type="column"/>
      </w:r>
      <w:r>
        <w:rPr>
          <w:rFonts w:ascii="Symbol" w:hAnsi="Symbol"/>
          <w:sz w:val="23"/>
        </w:rPr>
        <w:t></w:t>
      </w:r>
      <w:r>
        <w:rPr>
          <w:rFonts w:ascii="Times New Roman" w:hAnsi="Times New Roman"/>
          <w:sz w:val="23"/>
        </w:rPr>
        <w:t>100%</w:t>
      </w:r>
    </w:p>
    <w:p>
      <w:pPr>
        <w:spacing w:after="0"/>
        <w:jc w:val="left"/>
        <w:rPr>
          <w:rFonts w:ascii="Times New Roman" w:hAnsi="Times New Roman"/>
          <w:sz w:val="23"/>
        </w:rPr>
        <w:sectPr>
          <w:type w:val="continuous"/>
          <w:pgSz w:w="11910" w:h="16840"/>
          <w:pgMar w:top="1580" w:right="780" w:bottom="280" w:left="1200" w:header="720" w:footer="720" w:gutter="0"/>
          <w:cols w:equalWidth="0" w:num="2">
            <w:col w:w="4713" w:space="40"/>
            <w:col w:w="5177"/>
          </w:cols>
        </w:sectPr>
      </w:pPr>
    </w:p>
    <w:p>
      <w:pPr>
        <w:spacing w:before="0" w:line="147" w:lineRule="exact"/>
        <w:ind w:left="0" w:right="533" w:firstLine="0"/>
        <w:jc w:val="center"/>
        <w:rPr>
          <w:rFonts w:ascii="Times New Roman"/>
          <w:i/>
          <w:sz w:val="13"/>
        </w:rPr>
      </w:pPr>
      <w:r>
        <w:rPr>
          <w:rFonts w:ascii="Times New Roman"/>
          <w:i/>
          <w:sz w:val="13"/>
        </w:rPr>
        <w:t>oi</w:t>
      </w:r>
    </w:p>
    <w:p>
      <w:pPr>
        <w:pStyle w:val="6"/>
        <w:spacing w:before="8"/>
        <w:rPr>
          <w:rFonts w:ascii="Times New Roman"/>
          <w:i/>
          <w:sz w:val="13"/>
        </w:rPr>
      </w:pPr>
    </w:p>
    <w:p>
      <w:pPr>
        <w:pStyle w:val="6"/>
        <w:ind w:left="696"/>
      </w:pPr>
      <w:r>
        <w:rPr>
          <w:position w:val="2"/>
        </w:rPr>
        <w:t>式中：</w:t>
      </w:r>
      <w:r>
        <w:rPr>
          <w:rFonts w:ascii="Times New Roman" w:hAnsi="Times New Roman" w:eastAsia="Times New Roman"/>
          <w:position w:val="2"/>
        </w:rPr>
        <w:t>P</w:t>
      </w:r>
      <w:r>
        <w:rPr>
          <w:rFonts w:ascii="Times New Roman" w:hAnsi="Times New Roman" w:eastAsia="Times New Roman"/>
          <w:position w:val="2"/>
          <w:vertAlign w:val="subscript"/>
        </w:rPr>
        <w:t>i</w:t>
      </w:r>
      <w:r>
        <w:rPr>
          <w:rFonts w:ascii="Times New Roman" w:hAnsi="Times New Roman" w:eastAsia="Times New Roman"/>
          <w:position w:val="2"/>
          <w:vertAlign w:val="baseline"/>
        </w:rPr>
        <w:t>—</w:t>
      </w:r>
      <w:r>
        <w:rPr>
          <w:position w:val="2"/>
          <w:vertAlign w:val="baseline"/>
        </w:rPr>
        <w:t>占标率</w:t>
      </w:r>
      <w:r>
        <w:rPr>
          <w:rFonts w:ascii="Times New Roman" w:hAnsi="Times New Roman" w:eastAsia="Times New Roman"/>
          <w:position w:val="2"/>
          <w:vertAlign w:val="baseline"/>
        </w:rPr>
        <w:t>%</w:t>
      </w:r>
      <w:r>
        <w:rPr>
          <w:position w:val="2"/>
          <w:vertAlign w:val="baseline"/>
        </w:rPr>
        <w:t>；</w:t>
      </w:r>
    </w:p>
    <w:p>
      <w:pPr>
        <w:pStyle w:val="6"/>
        <w:spacing w:before="153"/>
        <w:ind w:left="1416"/>
      </w:pPr>
      <w:r>
        <w:rPr>
          <w:rFonts w:ascii="Times New Roman" w:hAnsi="Times New Roman" w:eastAsia="Times New Roman"/>
          <w:position w:val="2"/>
        </w:rPr>
        <w:t>C</w:t>
      </w:r>
      <w:r>
        <w:rPr>
          <w:rFonts w:ascii="Times New Roman" w:hAnsi="Times New Roman" w:eastAsia="Times New Roman"/>
          <w:position w:val="2"/>
          <w:vertAlign w:val="subscript"/>
        </w:rPr>
        <w:t>i</w:t>
      </w:r>
      <w:r>
        <w:rPr>
          <w:rFonts w:ascii="Times New Roman" w:hAnsi="Times New Roman" w:eastAsia="Times New Roman"/>
          <w:position w:val="2"/>
          <w:vertAlign w:val="baseline"/>
        </w:rPr>
        <w:t xml:space="preserve">—i </w:t>
      </w:r>
      <w:r>
        <w:rPr>
          <w:position w:val="2"/>
          <w:vertAlign w:val="baseline"/>
        </w:rPr>
        <w:t>污染因子监测浓度（</w:t>
      </w:r>
      <w:r>
        <w:rPr>
          <w:rFonts w:ascii="Times New Roman" w:hAnsi="Times New Roman" w:eastAsia="Times New Roman"/>
          <w:position w:val="2"/>
          <w:vertAlign w:val="baseline"/>
        </w:rPr>
        <w:t>mg/m</w:t>
      </w:r>
      <w:r>
        <w:rPr>
          <w:rFonts w:ascii="Times New Roman" w:hAnsi="Times New Roman" w:eastAsia="Times New Roman"/>
          <w:position w:val="2"/>
          <w:vertAlign w:val="superscript"/>
        </w:rPr>
        <w:t>3</w:t>
      </w:r>
      <w:r>
        <w:rPr>
          <w:position w:val="2"/>
          <w:vertAlign w:val="baseline"/>
        </w:rPr>
        <w:t>）；</w:t>
      </w:r>
    </w:p>
    <w:p>
      <w:pPr>
        <w:pStyle w:val="6"/>
        <w:spacing w:before="157"/>
        <w:ind w:left="1416"/>
      </w:pPr>
      <w:r>
        <w:rPr>
          <w:rFonts w:ascii="Times New Roman" w:hAnsi="Times New Roman" w:eastAsia="Times New Roman"/>
          <w:position w:val="2"/>
        </w:rPr>
        <w:t>C</w:t>
      </w:r>
      <w:r>
        <w:rPr>
          <w:rFonts w:ascii="Times New Roman" w:hAnsi="Times New Roman" w:eastAsia="Times New Roman"/>
          <w:position w:val="2"/>
          <w:vertAlign w:val="subscript"/>
        </w:rPr>
        <w:t>0i</w:t>
      </w:r>
      <w:r>
        <w:rPr>
          <w:rFonts w:ascii="Times New Roman" w:hAnsi="Times New Roman" w:eastAsia="Times New Roman"/>
          <w:position w:val="2"/>
          <w:vertAlign w:val="baseline"/>
        </w:rPr>
        <w:t xml:space="preserve">—i </w:t>
      </w:r>
      <w:r>
        <w:rPr>
          <w:position w:val="2"/>
          <w:vertAlign w:val="baseline"/>
        </w:rPr>
        <w:t>污染因子标准浓度（</w:t>
      </w:r>
      <w:r>
        <w:rPr>
          <w:rFonts w:ascii="Times New Roman" w:hAnsi="Times New Roman" w:eastAsia="Times New Roman"/>
          <w:position w:val="2"/>
          <w:vertAlign w:val="baseline"/>
        </w:rPr>
        <w:t>mg/m</w:t>
      </w:r>
      <w:r>
        <w:rPr>
          <w:rFonts w:ascii="Times New Roman" w:hAnsi="Times New Roman" w:eastAsia="Times New Roman"/>
          <w:position w:val="2"/>
          <w:vertAlign w:val="superscript"/>
        </w:rPr>
        <w:t>3</w:t>
      </w:r>
      <w:r>
        <w:rPr>
          <w:position w:val="2"/>
          <w:vertAlign w:val="baseline"/>
        </w:rPr>
        <w:t>）。</w:t>
      </w:r>
    </w:p>
    <w:p>
      <w:pPr>
        <w:pStyle w:val="6"/>
        <w:spacing w:before="159"/>
        <w:ind w:left="696"/>
      </w:pPr>
      <w:r>
        <w:rPr>
          <w:rFonts w:ascii="Times New Roman" w:eastAsia="Times New Roman"/>
        </w:rPr>
        <w:t>4</w:t>
      </w:r>
      <w:r>
        <w:t>、现状评价结论</w:t>
      </w:r>
    </w:p>
    <w:p>
      <w:pPr>
        <w:pStyle w:val="13"/>
        <w:numPr>
          <w:ilvl w:val="3"/>
          <w:numId w:val="65"/>
        </w:numPr>
        <w:tabs>
          <w:tab w:val="left" w:pos="1297"/>
        </w:tabs>
        <w:spacing w:before="158" w:after="0" w:line="240" w:lineRule="auto"/>
        <w:ind w:left="1297" w:right="0" w:hanging="601"/>
        <w:jc w:val="left"/>
        <w:rPr>
          <w:sz w:val="24"/>
        </w:rPr>
      </w:pPr>
      <w:r>
        <w:rPr>
          <w:sz w:val="24"/>
        </w:rPr>
        <w:t>评价结果</w:t>
      </w:r>
    </w:p>
    <w:p>
      <w:pPr>
        <w:pStyle w:val="6"/>
        <w:spacing w:before="160"/>
        <w:ind w:left="696"/>
      </w:pPr>
      <w:r>
        <w:t xml:space="preserve">根据上述评价方法和评价标准计算得出的评价结果见表 </w:t>
      </w:r>
      <w:r>
        <w:rPr>
          <w:rFonts w:ascii="Times New Roman" w:eastAsia="Times New Roman"/>
        </w:rPr>
        <w:t>8.2-4</w:t>
      </w:r>
      <w:r>
        <w:t>。</w:t>
      </w:r>
    </w:p>
    <w:p>
      <w:pPr>
        <w:pStyle w:val="5"/>
        <w:spacing w:before="159"/>
        <w:ind w:right="352"/>
        <w:jc w:val="center"/>
      </w:pPr>
      <w:r>
        <w:t xml:space="preserve">表 </w:t>
      </w:r>
      <w:r>
        <w:rPr>
          <w:rFonts w:ascii="Times New Roman" w:eastAsia="Times New Roman"/>
        </w:rPr>
        <w:t xml:space="preserve">8.2-4  </w:t>
      </w:r>
      <w:r>
        <w:t>其他污染物环境质量现状表</w:t>
      </w:r>
    </w:p>
    <w:p>
      <w:pPr>
        <w:pStyle w:val="6"/>
        <w:spacing w:before="4"/>
        <w:rPr>
          <w:b/>
          <w:sz w:val="12"/>
        </w:rPr>
      </w:pPr>
    </w:p>
    <w:tbl>
      <w:tblPr>
        <w:tblStyle w:val="10"/>
        <w:tblW w:w="0" w:type="auto"/>
        <w:tblInd w:w="2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9"/>
        <w:gridCol w:w="1297"/>
        <w:gridCol w:w="842"/>
        <w:gridCol w:w="1217"/>
        <w:gridCol w:w="1581"/>
        <w:gridCol w:w="1389"/>
        <w:gridCol w:w="1070"/>
        <w:gridCol w:w="10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749" w:type="dxa"/>
          </w:tcPr>
          <w:p>
            <w:pPr>
              <w:pStyle w:val="14"/>
              <w:spacing w:before="68" w:line="242" w:lineRule="auto"/>
              <w:ind w:left="268" w:right="48" w:hanging="209"/>
              <w:jc w:val="left"/>
              <w:rPr>
                <w:sz w:val="21"/>
              </w:rPr>
            </w:pPr>
            <w:r>
              <w:rPr>
                <w:sz w:val="21"/>
              </w:rPr>
              <w:t>监测点位</w:t>
            </w:r>
          </w:p>
        </w:tc>
        <w:tc>
          <w:tcPr>
            <w:tcW w:w="1297" w:type="dxa"/>
          </w:tcPr>
          <w:p>
            <w:pPr>
              <w:pStyle w:val="14"/>
              <w:spacing w:before="10"/>
              <w:jc w:val="left"/>
              <w:rPr>
                <w:b/>
                <w:sz w:val="15"/>
              </w:rPr>
            </w:pPr>
          </w:p>
          <w:p>
            <w:pPr>
              <w:pStyle w:val="14"/>
              <w:ind w:left="312" w:right="305"/>
              <w:rPr>
                <w:sz w:val="21"/>
              </w:rPr>
            </w:pPr>
            <w:r>
              <w:rPr>
                <w:sz w:val="21"/>
              </w:rPr>
              <w:t>污染物</w:t>
            </w:r>
          </w:p>
        </w:tc>
        <w:tc>
          <w:tcPr>
            <w:tcW w:w="842" w:type="dxa"/>
          </w:tcPr>
          <w:p>
            <w:pPr>
              <w:pStyle w:val="14"/>
              <w:spacing w:before="68" w:line="242" w:lineRule="auto"/>
              <w:ind w:left="314" w:right="94" w:hanging="209"/>
              <w:jc w:val="left"/>
              <w:rPr>
                <w:sz w:val="21"/>
              </w:rPr>
            </w:pPr>
            <w:r>
              <w:rPr>
                <w:sz w:val="21"/>
              </w:rPr>
              <w:t>平均时间</w:t>
            </w:r>
          </w:p>
        </w:tc>
        <w:tc>
          <w:tcPr>
            <w:tcW w:w="1217" w:type="dxa"/>
          </w:tcPr>
          <w:p>
            <w:pPr>
              <w:pStyle w:val="14"/>
              <w:spacing w:before="68"/>
              <w:ind w:left="159"/>
              <w:jc w:val="left"/>
              <w:rPr>
                <w:rFonts w:ascii="Times New Roman" w:eastAsia="Times New Roman"/>
                <w:sz w:val="21"/>
              </w:rPr>
            </w:pPr>
            <w:r>
              <w:rPr>
                <w:w w:val="95"/>
                <w:sz w:val="21"/>
              </w:rPr>
              <w:t>评价标准</w:t>
            </w:r>
            <w:r>
              <w:rPr>
                <w:rFonts w:ascii="Times New Roman" w:eastAsia="Times New Roman"/>
                <w:w w:val="95"/>
                <w:sz w:val="21"/>
              </w:rPr>
              <w:t>/</w:t>
            </w:r>
          </w:p>
          <w:p>
            <w:pPr>
              <w:pStyle w:val="14"/>
              <w:spacing w:before="2"/>
              <w:ind w:left="118"/>
              <w:jc w:val="left"/>
              <w:rPr>
                <w:sz w:val="21"/>
              </w:rPr>
            </w:pPr>
            <w:r>
              <w:rPr>
                <w:sz w:val="21"/>
              </w:rPr>
              <w:t>（</w:t>
            </w:r>
            <w:r>
              <w:rPr>
                <w:rFonts w:ascii="Times New Roman" w:eastAsia="Times New Roman"/>
                <w:sz w:val="21"/>
              </w:rPr>
              <w:t>mg/m</w:t>
            </w:r>
            <w:r>
              <w:rPr>
                <w:rFonts w:ascii="Times New Roman" w:eastAsia="Times New Roman"/>
                <w:position w:val="7"/>
                <w:sz w:val="13"/>
              </w:rPr>
              <w:t>3</w:t>
            </w:r>
            <w:r>
              <w:rPr>
                <w:sz w:val="21"/>
              </w:rPr>
              <w:t>）</w:t>
            </w:r>
          </w:p>
        </w:tc>
        <w:tc>
          <w:tcPr>
            <w:tcW w:w="1581" w:type="dxa"/>
          </w:tcPr>
          <w:p>
            <w:pPr>
              <w:pStyle w:val="14"/>
              <w:spacing w:before="68"/>
              <w:ind w:left="109" w:right="102"/>
              <w:rPr>
                <w:rFonts w:ascii="Times New Roman" w:eastAsia="Times New Roman"/>
                <w:sz w:val="21"/>
              </w:rPr>
            </w:pPr>
            <w:r>
              <w:rPr>
                <w:sz w:val="21"/>
              </w:rPr>
              <w:t>监测浓度范围</w:t>
            </w:r>
            <w:r>
              <w:rPr>
                <w:rFonts w:ascii="Times New Roman" w:eastAsia="Times New Roman"/>
                <w:sz w:val="21"/>
              </w:rPr>
              <w:t>/</w:t>
            </w:r>
          </w:p>
          <w:p>
            <w:pPr>
              <w:pStyle w:val="14"/>
              <w:spacing w:before="2"/>
              <w:ind w:left="109" w:right="102"/>
              <w:rPr>
                <w:sz w:val="21"/>
              </w:rPr>
            </w:pPr>
            <w:r>
              <w:rPr>
                <w:sz w:val="21"/>
              </w:rPr>
              <w:t>（</w:t>
            </w:r>
            <w:r>
              <w:rPr>
                <w:rFonts w:ascii="Times New Roman" w:eastAsia="Times New Roman"/>
                <w:sz w:val="21"/>
              </w:rPr>
              <w:t>mg/m</w:t>
            </w:r>
            <w:r>
              <w:rPr>
                <w:rFonts w:ascii="Times New Roman" w:eastAsia="Times New Roman"/>
                <w:position w:val="7"/>
                <w:sz w:val="13"/>
              </w:rPr>
              <w:t>3</w:t>
            </w:r>
            <w:r>
              <w:rPr>
                <w:sz w:val="21"/>
              </w:rPr>
              <w:t>）</w:t>
            </w:r>
          </w:p>
        </w:tc>
        <w:tc>
          <w:tcPr>
            <w:tcW w:w="1389" w:type="dxa"/>
          </w:tcPr>
          <w:p>
            <w:pPr>
              <w:pStyle w:val="14"/>
              <w:spacing w:before="68" w:line="242" w:lineRule="auto"/>
              <w:ind w:left="471" w:right="55" w:hanging="408"/>
              <w:jc w:val="left"/>
              <w:rPr>
                <w:rFonts w:ascii="Times New Roman" w:eastAsia="Times New Roman"/>
                <w:sz w:val="21"/>
              </w:rPr>
            </w:pPr>
            <w:r>
              <w:rPr>
                <w:sz w:val="21"/>
              </w:rPr>
              <w:t>最大浓度占标率</w:t>
            </w:r>
            <w:r>
              <w:rPr>
                <w:rFonts w:ascii="Times New Roman" w:eastAsia="Times New Roman"/>
                <w:sz w:val="21"/>
              </w:rPr>
              <w:t>/%</w:t>
            </w:r>
          </w:p>
        </w:tc>
        <w:tc>
          <w:tcPr>
            <w:tcW w:w="1070" w:type="dxa"/>
          </w:tcPr>
          <w:p>
            <w:pPr>
              <w:pStyle w:val="14"/>
              <w:spacing w:before="10"/>
              <w:jc w:val="left"/>
              <w:rPr>
                <w:b/>
                <w:sz w:val="15"/>
              </w:rPr>
            </w:pPr>
          </w:p>
          <w:p>
            <w:pPr>
              <w:pStyle w:val="14"/>
              <w:ind w:left="82" w:right="74"/>
              <w:rPr>
                <w:rFonts w:ascii="Times New Roman" w:eastAsia="Times New Roman"/>
                <w:sz w:val="21"/>
              </w:rPr>
            </w:pPr>
            <w:r>
              <w:rPr>
                <w:sz w:val="21"/>
              </w:rPr>
              <w:t>超标率</w:t>
            </w:r>
            <w:r>
              <w:rPr>
                <w:rFonts w:ascii="Times New Roman" w:eastAsia="Times New Roman"/>
                <w:sz w:val="21"/>
              </w:rPr>
              <w:t>/%</w:t>
            </w:r>
          </w:p>
        </w:tc>
        <w:tc>
          <w:tcPr>
            <w:tcW w:w="1069" w:type="dxa"/>
          </w:tcPr>
          <w:p>
            <w:pPr>
              <w:pStyle w:val="14"/>
              <w:spacing w:before="10"/>
              <w:jc w:val="left"/>
              <w:rPr>
                <w:b/>
                <w:sz w:val="15"/>
              </w:rPr>
            </w:pPr>
          </w:p>
          <w:p>
            <w:pPr>
              <w:pStyle w:val="14"/>
              <w:ind w:left="91" w:right="87"/>
              <w:rPr>
                <w:sz w:val="21"/>
              </w:rPr>
            </w:pPr>
            <w:r>
              <w:rPr>
                <w:sz w:val="21"/>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749" w:type="dxa"/>
          </w:tcPr>
          <w:p>
            <w:pPr>
              <w:pStyle w:val="14"/>
              <w:spacing w:before="29" w:line="237" w:lineRule="exact"/>
              <w:ind w:left="248" w:right="241"/>
              <w:rPr>
                <w:rFonts w:ascii="Times New Roman"/>
                <w:sz w:val="21"/>
              </w:rPr>
            </w:pPr>
            <w:r>
              <w:rPr>
                <w:rFonts w:ascii="Times New Roman"/>
                <w:sz w:val="21"/>
              </w:rPr>
              <w:t>1#</w:t>
            </w:r>
          </w:p>
        </w:tc>
        <w:tc>
          <w:tcPr>
            <w:tcW w:w="1297" w:type="dxa"/>
          </w:tcPr>
          <w:p>
            <w:pPr>
              <w:pStyle w:val="14"/>
              <w:spacing w:before="29" w:line="237" w:lineRule="exact"/>
              <w:ind w:left="312" w:right="304"/>
              <w:rPr>
                <w:rFonts w:ascii="Times New Roman"/>
                <w:sz w:val="21"/>
              </w:rPr>
            </w:pPr>
            <w:r>
              <w:rPr>
                <w:rFonts w:ascii="Times New Roman"/>
                <w:sz w:val="21"/>
              </w:rPr>
              <w:t>TSP</w:t>
            </w:r>
          </w:p>
        </w:tc>
        <w:tc>
          <w:tcPr>
            <w:tcW w:w="842" w:type="dxa"/>
          </w:tcPr>
          <w:p>
            <w:pPr>
              <w:pStyle w:val="14"/>
              <w:spacing w:before="15" w:line="251" w:lineRule="exact"/>
              <w:ind w:left="106"/>
              <w:jc w:val="left"/>
              <w:rPr>
                <w:sz w:val="21"/>
              </w:rPr>
            </w:pPr>
            <w:r>
              <w:rPr>
                <w:sz w:val="21"/>
              </w:rPr>
              <w:t>日平均</w:t>
            </w:r>
          </w:p>
        </w:tc>
        <w:tc>
          <w:tcPr>
            <w:tcW w:w="1217" w:type="dxa"/>
          </w:tcPr>
          <w:p>
            <w:pPr>
              <w:pStyle w:val="14"/>
              <w:spacing w:before="29" w:line="237" w:lineRule="exact"/>
              <w:ind w:left="376" w:right="368"/>
              <w:rPr>
                <w:rFonts w:ascii="Times New Roman"/>
                <w:sz w:val="21"/>
              </w:rPr>
            </w:pPr>
            <w:r>
              <w:rPr>
                <w:rFonts w:ascii="Times New Roman"/>
                <w:sz w:val="21"/>
              </w:rPr>
              <w:t>0.3</w:t>
            </w:r>
          </w:p>
        </w:tc>
        <w:tc>
          <w:tcPr>
            <w:tcW w:w="1581" w:type="dxa"/>
          </w:tcPr>
          <w:p>
            <w:pPr>
              <w:pStyle w:val="14"/>
              <w:spacing w:before="29" w:line="237" w:lineRule="exact"/>
              <w:ind w:left="264"/>
              <w:jc w:val="left"/>
              <w:rPr>
                <w:rFonts w:ascii="Times New Roman"/>
                <w:sz w:val="21"/>
              </w:rPr>
            </w:pPr>
            <w:r>
              <w:rPr>
                <w:rFonts w:ascii="Times New Roman"/>
                <w:sz w:val="21"/>
              </w:rPr>
              <w:t>0.083~0.117</w:t>
            </w:r>
          </w:p>
        </w:tc>
        <w:tc>
          <w:tcPr>
            <w:tcW w:w="1389" w:type="dxa"/>
          </w:tcPr>
          <w:p>
            <w:pPr>
              <w:pStyle w:val="14"/>
              <w:spacing w:before="29" w:line="237" w:lineRule="exact"/>
              <w:ind w:left="490" w:right="481"/>
              <w:rPr>
                <w:rFonts w:ascii="Times New Roman"/>
                <w:sz w:val="21"/>
              </w:rPr>
            </w:pPr>
            <w:r>
              <w:rPr>
                <w:rFonts w:ascii="Times New Roman"/>
                <w:sz w:val="21"/>
              </w:rPr>
              <w:t>39.0</w:t>
            </w:r>
          </w:p>
        </w:tc>
        <w:tc>
          <w:tcPr>
            <w:tcW w:w="1070" w:type="dxa"/>
          </w:tcPr>
          <w:p>
            <w:pPr>
              <w:pStyle w:val="14"/>
              <w:spacing w:before="29" w:line="237" w:lineRule="exact"/>
              <w:ind w:left="8"/>
              <w:rPr>
                <w:rFonts w:ascii="Times New Roman"/>
                <w:sz w:val="21"/>
              </w:rPr>
            </w:pPr>
            <w:r>
              <w:rPr>
                <w:rFonts w:ascii="Times New Roman"/>
                <w:w w:val="99"/>
                <w:sz w:val="21"/>
              </w:rPr>
              <w:t>0</w:t>
            </w:r>
          </w:p>
        </w:tc>
        <w:tc>
          <w:tcPr>
            <w:tcW w:w="1069" w:type="dxa"/>
          </w:tcPr>
          <w:p>
            <w:pPr>
              <w:pStyle w:val="14"/>
              <w:spacing w:before="15" w:line="251" w:lineRule="exact"/>
              <w:ind w:left="91" w:right="85"/>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749" w:type="dxa"/>
          </w:tcPr>
          <w:p>
            <w:pPr>
              <w:pStyle w:val="14"/>
              <w:spacing w:before="30" w:line="238" w:lineRule="exact"/>
              <w:ind w:left="248" w:right="241"/>
              <w:rPr>
                <w:rFonts w:ascii="Times New Roman"/>
                <w:sz w:val="21"/>
              </w:rPr>
            </w:pPr>
            <w:r>
              <w:rPr>
                <w:rFonts w:ascii="Times New Roman"/>
                <w:sz w:val="21"/>
              </w:rPr>
              <w:t>2#</w:t>
            </w:r>
          </w:p>
        </w:tc>
        <w:tc>
          <w:tcPr>
            <w:tcW w:w="1297" w:type="dxa"/>
          </w:tcPr>
          <w:p>
            <w:pPr>
              <w:pStyle w:val="14"/>
              <w:spacing w:before="30" w:line="238" w:lineRule="exact"/>
              <w:ind w:left="312" w:right="304"/>
              <w:rPr>
                <w:rFonts w:ascii="Times New Roman"/>
                <w:sz w:val="21"/>
              </w:rPr>
            </w:pPr>
            <w:r>
              <w:rPr>
                <w:rFonts w:ascii="Times New Roman"/>
                <w:sz w:val="21"/>
              </w:rPr>
              <w:t>TSP</w:t>
            </w:r>
          </w:p>
        </w:tc>
        <w:tc>
          <w:tcPr>
            <w:tcW w:w="842" w:type="dxa"/>
          </w:tcPr>
          <w:p>
            <w:pPr>
              <w:pStyle w:val="14"/>
              <w:spacing w:before="16" w:line="252" w:lineRule="exact"/>
              <w:ind w:left="106"/>
              <w:jc w:val="left"/>
              <w:rPr>
                <w:sz w:val="21"/>
              </w:rPr>
            </w:pPr>
            <w:r>
              <w:rPr>
                <w:sz w:val="21"/>
              </w:rPr>
              <w:t>日平均</w:t>
            </w:r>
          </w:p>
        </w:tc>
        <w:tc>
          <w:tcPr>
            <w:tcW w:w="1217" w:type="dxa"/>
          </w:tcPr>
          <w:p>
            <w:pPr>
              <w:pStyle w:val="14"/>
              <w:spacing w:before="30" w:line="238" w:lineRule="exact"/>
              <w:ind w:left="376" w:right="368"/>
              <w:rPr>
                <w:rFonts w:ascii="Times New Roman"/>
                <w:sz w:val="21"/>
              </w:rPr>
            </w:pPr>
            <w:r>
              <w:rPr>
                <w:rFonts w:ascii="Times New Roman"/>
                <w:sz w:val="21"/>
              </w:rPr>
              <w:t>0.3</w:t>
            </w:r>
          </w:p>
        </w:tc>
        <w:tc>
          <w:tcPr>
            <w:tcW w:w="1581" w:type="dxa"/>
          </w:tcPr>
          <w:p>
            <w:pPr>
              <w:pStyle w:val="14"/>
              <w:spacing w:before="30" w:line="238" w:lineRule="exact"/>
              <w:ind w:left="264"/>
              <w:jc w:val="left"/>
              <w:rPr>
                <w:rFonts w:ascii="Times New Roman"/>
                <w:sz w:val="21"/>
              </w:rPr>
            </w:pPr>
            <w:r>
              <w:rPr>
                <w:rFonts w:ascii="Times New Roman"/>
                <w:sz w:val="21"/>
              </w:rPr>
              <w:t>0.083~0.117</w:t>
            </w:r>
          </w:p>
        </w:tc>
        <w:tc>
          <w:tcPr>
            <w:tcW w:w="1389" w:type="dxa"/>
          </w:tcPr>
          <w:p>
            <w:pPr>
              <w:pStyle w:val="14"/>
              <w:spacing w:before="30" w:line="238" w:lineRule="exact"/>
              <w:ind w:left="490" w:right="481"/>
              <w:rPr>
                <w:rFonts w:ascii="Times New Roman"/>
                <w:sz w:val="21"/>
              </w:rPr>
            </w:pPr>
            <w:r>
              <w:rPr>
                <w:rFonts w:ascii="Times New Roman"/>
                <w:sz w:val="21"/>
              </w:rPr>
              <w:t>39.0</w:t>
            </w:r>
          </w:p>
        </w:tc>
        <w:tc>
          <w:tcPr>
            <w:tcW w:w="1070" w:type="dxa"/>
          </w:tcPr>
          <w:p>
            <w:pPr>
              <w:pStyle w:val="14"/>
              <w:spacing w:before="30" w:line="238" w:lineRule="exact"/>
              <w:ind w:left="8"/>
              <w:rPr>
                <w:rFonts w:ascii="Times New Roman"/>
                <w:sz w:val="21"/>
              </w:rPr>
            </w:pPr>
            <w:r>
              <w:rPr>
                <w:rFonts w:ascii="Times New Roman"/>
                <w:w w:val="99"/>
                <w:sz w:val="21"/>
              </w:rPr>
              <w:t>0</w:t>
            </w:r>
          </w:p>
        </w:tc>
        <w:tc>
          <w:tcPr>
            <w:tcW w:w="1069" w:type="dxa"/>
          </w:tcPr>
          <w:p>
            <w:pPr>
              <w:pStyle w:val="14"/>
              <w:spacing w:before="16" w:line="252" w:lineRule="exact"/>
              <w:ind w:left="91" w:right="85"/>
              <w:rPr>
                <w:sz w:val="21"/>
              </w:rPr>
            </w:pPr>
            <w:r>
              <w:rPr>
                <w:sz w:val="21"/>
              </w:rPr>
              <w:t>达标</w:t>
            </w:r>
          </w:p>
        </w:tc>
      </w:tr>
    </w:tbl>
    <w:p>
      <w:pPr>
        <w:pStyle w:val="13"/>
        <w:numPr>
          <w:ilvl w:val="3"/>
          <w:numId w:val="65"/>
        </w:numPr>
        <w:tabs>
          <w:tab w:val="left" w:pos="1297"/>
        </w:tabs>
        <w:spacing w:before="0" w:after="0" w:line="240" w:lineRule="auto"/>
        <w:ind w:left="1297" w:right="0" w:hanging="601"/>
        <w:jc w:val="left"/>
        <w:rPr>
          <w:sz w:val="24"/>
        </w:rPr>
      </w:pPr>
      <w:r>
        <w:rPr>
          <w:sz w:val="24"/>
        </w:rPr>
        <w:t>现状评价结论</w:t>
      </w:r>
    </w:p>
    <w:p>
      <w:pPr>
        <w:pStyle w:val="6"/>
        <w:spacing w:before="161" w:line="364" w:lineRule="auto"/>
        <w:ind w:left="215" w:right="571" w:firstLine="480"/>
        <w:jc w:val="both"/>
      </w:pPr>
      <w:r>
        <w:rPr>
          <w:rFonts w:ascii="Times New Roman" w:eastAsia="Times New Roman"/>
        </w:rPr>
        <w:t>1#</w:t>
      </w:r>
      <w:r>
        <w:rPr>
          <w:spacing w:val="-30"/>
        </w:rPr>
        <w:t xml:space="preserve">点 </w:t>
      </w:r>
      <w:r>
        <w:rPr>
          <w:rFonts w:ascii="Times New Roman" w:eastAsia="Times New Roman"/>
        </w:rPr>
        <w:t xml:space="preserve">TSP </w:t>
      </w:r>
      <w:r>
        <w:rPr>
          <w:spacing w:val="-7"/>
        </w:rPr>
        <w:t xml:space="preserve">日均值浓度范围在 </w:t>
      </w:r>
      <w:r>
        <w:rPr>
          <w:rFonts w:ascii="Times New Roman" w:eastAsia="Times New Roman"/>
        </w:rPr>
        <w:t>0.083mg/m</w:t>
      </w:r>
      <w:r>
        <w:rPr>
          <w:rFonts w:ascii="Times New Roman" w:eastAsia="Times New Roman"/>
          <w:position w:val="8"/>
          <w:sz w:val="15"/>
        </w:rPr>
        <w:t>3</w:t>
      </w:r>
      <w:r>
        <w:t>～</w:t>
      </w:r>
      <w:r>
        <w:rPr>
          <w:rFonts w:ascii="Times New Roman" w:eastAsia="Times New Roman"/>
        </w:rPr>
        <w:t>0.117mg/m</w:t>
      </w:r>
      <w:r>
        <w:rPr>
          <w:rFonts w:ascii="Times New Roman" w:eastAsia="Times New Roman"/>
          <w:position w:val="8"/>
          <w:sz w:val="15"/>
        </w:rPr>
        <w:t xml:space="preserve">3 </w:t>
      </w:r>
      <w:r>
        <w:rPr>
          <w:spacing w:val="-11"/>
        </w:rPr>
        <w:t xml:space="preserve">之间，最大占标为 </w:t>
      </w:r>
      <w:r>
        <w:rPr>
          <w:rFonts w:ascii="Times New Roman" w:eastAsia="Times New Roman"/>
          <w:spacing w:val="-4"/>
        </w:rPr>
        <w:t>39.0%</w:t>
      </w:r>
      <w:r>
        <w:rPr>
          <w:spacing w:val="-4"/>
        </w:rPr>
        <w:t>；</w:t>
      </w:r>
      <w:r>
        <w:rPr>
          <w:rFonts w:ascii="Times New Roman" w:eastAsia="Times New Roman"/>
          <w:spacing w:val="-4"/>
        </w:rPr>
        <w:t xml:space="preserve">2# </w:t>
      </w:r>
      <w:r>
        <w:rPr>
          <w:spacing w:val="-31"/>
        </w:rPr>
        <w:t xml:space="preserve">点 </w:t>
      </w:r>
      <w:r>
        <w:rPr>
          <w:rFonts w:ascii="Times New Roman" w:eastAsia="Times New Roman"/>
        </w:rPr>
        <w:t xml:space="preserve">TSP </w:t>
      </w:r>
      <w:r>
        <w:rPr>
          <w:spacing w:val="-7"/>
        </w:rPr>
        <w:t xml:space="preserve">日均值浓度范围在 </w:t>
      </w:r>
      <w:r>
        <w:rPr>
          <w:rFonts w:ascii="Times New Roman" w:eastAsia="Times New Roman"/>
        </w:rPr>
        <w:t>0.083mg/m</w:t>
      </w:r>
      <w:r>
        <w:rPr>
          <w:rFonts w:ascii="Times New Roman" w:eastAsia="Times New Roman"/>
          <w:position w:val="8"/>
          <w:sz w:val="15"/>
        </w:rPr>
        <w:t>3</w:t>
      </w:r>
      <w:r>
        <w:t>～</w:t>
      </w:r>
      <w:r>
        <w:rPr>
          <w:rFonts w:ascii="Times New Roman" w:eastAsia="Times New Roman"/>
        </w:rPr>
        <w:t>0.117mg/m</w:t>
      </w:r>
      <w:r>
        <w:rPr>
          <w:rFonts w:ascii="Times New Roman" w:eastAsia="Times New Roman"/>
          <w:position w:val="8"/>
          <w:sz w:val="15"/>
        </w:rPr>
        <w:t xml:space="preserve">3 </w:t>
      </w:r>
      <w:r>
        <w:rPr>
          <w:spacing w:val="-12"/>
        </w:rPr>
        <w:t xml:space="preserve">之间，最大占标为 </w:t>
      </w:r>
      <w:r>
        <w:rPr>
          <w:rFonts w:ascii="Times New Roman" w:eastAsia="Times New Roman"/>
        </w:rPr>
        <w:t>39.0%</w:t>
      </w:r>
      <w:r>
        <w:rPr>
          <w:spacing w:val="-5"/>
        </w:rPr>
        <w:t>。各监测点</w:t>
      </w:r>
      <w:r>
        <w:rPr>
          <w:spacing w:val="-31"/>
        </w:rPr>
        <w:t xml:space="preserve">的 </w:t>
      </w:r>
      <w:r>
        <w:rPr>
          <w:rFonts w:ascii="Times New Roman" w:eastAsia="Times New Roman"/>
        </w:rPr>
        <w:t xml:space="preserve">TSP </w:t>
      </w:r>
      <w:r>
        <w:t>日均值浓度值均满足《环境空气质量标准》（</w:t>
      </w:r>
      <w:r>
        <w:rPr>
          <w:rFonts w:ascii="Times New Roman" w:eastAsia="Times New Roman"/>
        </w:rPr>
        <w:t>GB3095-2012</w:t>
      </w:r>
      <w:r>
        <w:t>）</w:t>
      </w:r>
      <w:r>
        <w:rPr>
          <w:spacing w:val="-27"/>
        </w:rPr>
        <w:t xml:space="preserve">表 </w:t>
      </w:r>
      <w:r>
        <w:rPr>
          <w:rFonts w:ascii="Times New Roman" w:eastAsia="Times New Roman"/>
        </w:rPr>
        <w:t xml:space="preserve">2 </w:t>
      </w:r>
      <w:r>
        <w:t>二级标准限值要求。</w:t>
      </w:r>
    </w:p>
    <w:p>
      <w:pPr>
        <w:spacing w:after="0" w:line="364" w:lineRule="auto"/>
        <w:jc w:val="both"/>
        <w:sectPr>
          <w:type w:val="continuous"/>
          <w:pgSz w:w="11910" w:h="16840"/>
          <w:pgMar w:top="1580" w:right="780" w:bottom="280" w:left="1200" w:header="720" w:footer="720" w:gutter="0"/>
        </w:sectPr>
      </w:pPr>
    </w:p>
    <w:p>
      <w:pPr>
        <w:pStyle w:val="6"/>
        <w:spacing w:before="46" w:line="364" w:lineRule="auto"/>
        <w:ind w:left="215" w:right="457" w:firstLine="480"/>
      </w:pPr>
      <w:r>
        <w:rPr>
          <w:spacing w:val="-7"/>
        </w:rPr>
        <w:t>根据双鸭山市人民政府网公示的《</w:t>
      </w:r>
      <w:r>
        <w:rPr>
          <w:rFonts w:ascii="Calibri" w:eastAsia="Calibri"/>
        </w:rPr>
        <w:t xml:space="preserve">2019 </w:t>
      </w:r>
      <w:r>
        <w:rPr>
          <w:spacing w:val="-9"/>
        </w:rPr>
        <w:t xml:space="preserve">年双鸭山市环境空气质量状况》中相关数据， </w:t>
      </w:r>
      <w:r>
        <w:t>双鸭山市区域基本污染物均符合《环境空气质量标准》（</w:t>
      </w:r>
      <w:r>
        <w:rPr>
          <w:rFonts w:ascii="Times New Roman" w:eastAsia="Times New Roman"/>
        </w:rPr>
        <w:t>GB3095-2012</w:t>
      </w:r>
      <w:r>
        <w:t>）中二级标准要求，双鸭山市属于环境空气质量达标区域，因此判定本项目所在区域属于达标区。</w:t>
      </w:r>
    </w:p>
    <w:p>
      <w:pPr>
        <w:pStyle w:val="4"/>
        <w:numPr>
          <w:ilvl w:val="1"/>
          <w:numId w:val="65"/>
        </w:numPr>
        <w:tabs>
          <w:tab w:val="left" w:pos="708"/>
        </w:tabs>
        <w:spacing w:before="0" w:after="0" w:line="357" w:lineRule="exact"/>
        <w:ind w:left="708" w:right="0" w:hanging="493"/>
        <w:jc w:val="left"/>
        <w:rPr>
          <w:rFonts w:ascii="Times New Roman" w:eastAsia="Times New Roman"/>
        </w:rPr>
      </w:pPr>
      <w:bookmarkStart w:id="751" w:name="_bookmark46"/>
      <w:bookmarkEnd w:id="751"/>
      <w:bookmarkStart w:id="752" w:name="8.3 建设期大气环境影响及防治措施"/>
      <w:bookmarkEnd w:id="752"/>
      <w:bookmarkStart w:id="753" w:name="_bookmark46"/>
      <w:bookmarkEnd w:id="753"/>
      <w:r>
        <w:t>建设期大气环境影响及防治措施</w:t>
      </w:r>
    </w:p>
    <w:p>
      <w:pPr>
        <w:pStyle w:val="13"/>
        <w:numPr>
          <w:ilvl w:val="2"/>
          <w:numId w:val="65"/>
        </w:numPr>
        <w:tabs>
          <w:tab w:val="left" w:pos="917"/>
        </w:tabs>
        <w:spacing w:before="186" w:after="0" w:line="240" w:lineRule="auto"/>
        <w:ind w:left="916" w:right="0" w:hanging="702"/>
        <w:jc w:val="left"/>
        <w:rPr>
          <w:b/>
          <w:sz w:val="28"/>
        </w:rPr>
      </w:pPr>
      <w:bookmarkStart w:id="754" w:name="8.3.1 建设期环境空气影响"/>
      <w:bookmarkEnd w:id="754"/>
      <w:bookmarkStart w:id="755" w:name="8.3.1 建设期环境空气影响"/>
      <w:bookmarkEnd w:id="755"/>
      <w:r>
        <w:rPr>
          <w:b/>
          <w:sz w:val="28"/>
        </w:rPr>
        <w:t>建设期环境空气影响</w:t>
      </w:r>
    </w:p>
    <w:p>
      <w:pPr>
        <w:pStyle w:val="6"/>
        <w:spacing w:before="185" w:line="364" w:lineRule="auto"/>
        <w:ind w:left="215" w:right="580" w:firstLine="480"/>
        <w:jc w:val="both"/>
      </w:pPr>
      <w:r>
        <w:t>矿井工业场地在施工过程中对大气环境的影响主要为下面两个方面：一方面是施工作业面和地面运输产生的扬尘；另一方面是推土机、挖掘机及交通工具释放的尾气。这些污染源排放高度低，主要影响近距离内的居民，特别是在恶劣天气条件下，会使局部范围内的大气污染加重。为有效防止施工过程中的大气污染，应在施工现场采取针对性的保护措施。</w:t>
      </w:r>
    </w:p>
    <w:p>
      <w:pPr>
        <w:pStyle w:val="4"/>
        <w:numPr>
          <w:ilvl w:val="2"/>
          <w:numId w:val="65"/>
        </w:numPr>
        <w:tabs>
          <w:tab w:val="left" w:pos="848"/>
        </w:tabs>
        <w:spacing w:before="0" w:after="0" w:line="358" w:lineRule="exact"/>
        <w:ind w:left="847" w:right="0" w:hanging="633"/>
        <w:jc w:val="left"/>
      </w:pPr>
      <w:bookmarkStart w:id="756" w:name="8.3.2建设期环境空气防治措施"/>
      <w:bookmarkEnd w:id="756"/>
      <w:bookmarkStart w:id="757" w:name="8.3.2建设期环境空气防治措施"/>
      <w:bookmarkEnd w:id="757"/>
      <w:r>
        <w:t>建设期环境空气防治措施</w:t>
      </w:r>
    </w:p>
    <w:p>
      <w:pPr>
        <w:pStyle w:val="6"/>
        <w:spacing w:before="185" w:line="362" w:lineRule="auto"/>
        <w:ind w:left="215" w:right="577" w:firstLine="480"/>
        <w:jc w:val="both"/>
      </w:pPr>
      <w:r>
        <w:rPr>
          <w:spacing w:val="-9"/>
        </w:rPr>
        <w:t>① 在施工工作面，应制定洒水降尘制度，配套洒水设备，专人负责，定期洒水，在</w:t>
      </w:r>
      <w:r>
        <w:t>大风日要加大洒水量和洒水次数。</w:t>
      </w:r>
    </w:p>
    <w:p>
      <w:pPr>
        <w:pStyle w:val="6"/>
        <w:spacing w:before="5"/>
        <w:ind w:left="696"/>
      </w:pPr>
      <w:r>
        <w:t>② 施工现场内运输道路应及时清扫、冲洗，以减少汽车行驶扬尘。</w:t>
      </w:r>
    </w:p>
    <w:p>
      <w:pPr>
        <w:pStyle w:val="6"/>
        <w:spacing w:before="158" w:line="364" w:lineRule="auto"/>
        <w:ind w:left="215" w:right="578" w:firstLine="480"/>
        <w:jc w:val="right"/>
      </w:pPr>
      <w:r>
        <w:rPr>
          <w:spacing w:val="-6"/>
        </w:rPr>
        <w:t>③ 施工过程中使用的水泥和其它细颗粒散装原料，应贮存于库房内或密闭存放，避</w:t>
      </w:r>
      <w:r>
        <w:t>免露天堆放。细颗粒物料运输应采用密闭式槽车运输，装卸时要采取措施减少扬尘量。根据同类工程施工现场的类比监测结果分析可知，本期工程施工扬尘对其周围的最</w:t>
      </w:r>
    </w:p>
    <w:p>
      <w:pPr>
        <w:pStyle w:val="6"/>
        <w:spacing w:line="307" w:lineRule="exact"/>
        <w:ind w:right="581"/>
        <w:jc w:val="right"/>
      </w:pPr>
      <w:r>
        <w:rPr>
          <w:spacing w:val="23"/>
        </w:rPr>
        <w:t>近环境空气影响较小， 扬尘浓度贡献值均低于《大气污染物综合排放标准》</w:t>
      </w:r>
    </w:p>
    <w:p>
      <w:pPr>
        <w:pStyle w:val="6"/>
        <w:spacing w:before="161" w:line="362" w:lineRule="auto"/>
        <w:ind w:left="215" w:right="576"/>
      </w:pPr>
      <w:r>
        <w:t>（</w:t>
      </w:r>
      <w:r>
        <w:rPr>
          <w:rFonts w:ascii="Times New Roman" w:eastAsia="Times New Roman"/>
        </w:rPr>
        <w:t>GB16297-1996</w:t>
      </w:r>
      <w:r>
        <w:t xml:space="preserve">）规定的颗粒物无组织排放监控浓度限值 </w:t>
      </w:r>
      <w:r>
        <w:rPr>
          <w:rFonts w:ascii="Times New Roman" w:eastAsia="Times New Roman"/>
        </w:rPr>
        <w:t>1mg/m</w:t>
      </w:r>
      <w:r>
        <w:rPr>
          <w:rFonts w:ascii="Times New Roman" w:eastAsia="Times New Roman"/>
          <w:position w:val="8"/>
          <w:sz w:val="15"/>
        </w:rPr>
        <w:t>3</w:t>
      </w:r>
      <w:r>
        <w:t>，可被周围环境所接受。</w:t>
      </w:r>
    </w:p>
    <w:p>
      <w:pPr>
        <w:pStyle w:val="4"/>
        <w:numPr>
          <w:ilvl w:val="1"/>
          <w:numId w:val="65"/>
        </w:numPr>
        <w:tabs>
          <w:tab w:val="left" w:pos="636"/>
        </w:tabs>
        <w:spacing w:before="3" w:after="0" w:line="240" w:lineRule="auto"/>
        <w:ind w:left="636" w:right="0" w:hanging="421"/>
        <w:jc w:val="left"/>
        <w:rPr>
          <w:rFonts w:ascii="Times New Roman" w:eastAsia="Times New Roman"/>
        </w:rPr>
      </w:pPr>
      <w:bookmarkStart w:id="758" w:name="_bookmark47"/>
      <w:bookmarkEnd w:id="758"/>
      <w:bookmarkStart w:id="759" w:name="8.4运营期大气环境影响预测与评价"/>
      <w:bookmarkEnd w:id="759"/>
      <w:bookmarkStart w:id="760" w:name="_bookmark47"/>
      <w:bookmarkEnd w:id="760"/>
      <w:r>
        <w:t>运营期大气环境影响预测与评价</w:t>
      </w:r>
    </w:p>
    <w:p>
      <w:pPr>
        <w:pStyle w:val="6"/>
        <w:spacing w:before="186" w:line="364" w:lineRule="auto"/>
        <w:ind w:left="215" w:right="576" w:firstLine="480"/>
        <w:jc w:val="both"/>
      </w:pPr>
      <w:r>
        <w:t>根据《环境影响评价技术导则 大气环境》（</w:t>
      </w:r>
      <w:r>
        <w:rPr>
          <w:rFonts w:ascii="Times New Roman" w:eastAsia="Times New Roman"/>
        </w:rPr>
        <w:t>HJ2.2-2018</w:t>
      </w:r>
      <w:r>
        <w:t>）的规定，根据《环境影</w:t>
      </w:r>
      <w:r>
        <w:rPr>
          <w:spacing w:val="-3"/>
        </w:rPr>
        <w:t>响评价技术导则 大气环境》</w:t>
      </w:r>
      <w:r>
        <w:t>（</w:t>
      </w:r>
      <w:r>
        <w:rPr>
          <w:rFonts w:ascii="Times New Roman" w:eastAsia="Times New Roman"/>
        </w:rPr>
        <w:t>HJ2.2-2018</w:t>
      </w:r>
      <w:r>
        <w:t>）</w:t>
      </w:r>
      <w:r>
        <w:rPr>
          <w:spacing w:val="-4"/>
        </w:rPr>
        <w:t>的规定，二级评价项目不进行进一步预测与</w:t>
      </w:r>
      <w:r>
        <w:t>评价，只对污染物排放量进行核算。</w:t>
      </w:r>
    </w:p>
    <w:p>
      <w:pPr>
        <w:pStyle w:val="4"/>
        <w:numPr>
          <w:ilvl w:val="2"/>
          <w:numId w:val="65"/>
        </w:numPr>
        <w:tabs>
          <w:tab w:val="left" w:pos="848"/>
        </w:tabs>
        <w:spacing w:before="0" w:after="0" w:line="240" w:lineRule="auto"/>
        <w:ind w:left="847" w:right="0" w:hanging="633"/>
        <w:jc w:val="left"/>
      </w:pPr>
      <w:bookmarkStart w:id="761" w:name="8.4.1废气环境影响分析"/>
      <w:bookmarkEnd w:id="761"/>
      <w:bookmarkStart w:id="762" w:name="8.4.1废气环境影响分析"/>
      <w:bookmarkEnd w:id="762"/>
      <w:r>
        <w:rPr>
          <w:spacing w:val="-1"/>
          <w:w w:val="95"/>
        </w:rPr>
        <w:t>废气环境影响分析</w:t>
      </w:r>
    </w:p>
    <w:p>
      <w:pPr>
        <w:pStyle w:val="6"/>
        <w:spacing w:before="185" w:line="362" w:lineRule="auto"/>
        <w:ind w:left="215" w:right="453" w:firstLine="480"/>
      </w:pPr>
      <w:r>
        <w:t>锅炉房及热风炉房主要大气污染物是烟尘、二氧化硫和氮氧化物，锅炉及热风炉均</w:t>
      </w:r>
      <w:r>
        <w:rPr>
          <w:spacing w:val="-11"/>
          <w:position w:val="2"/>
        </w:rPr>
        <w:t xml:space="preserve">燃用生物质燃料，配套布袋除尘器，除尘效率为 </w:t>
      </w:r>
      <w:r>
        <w:rPr>
          <w:rFonts w:ascii="Times New Roman" w:eastAsia="Times New Roman"/>
          <w:spacing w:val="-8"/>
          <w:position w:val="2"/>
        </w:rPr>
        <w:t>99.9%</w:t>
      </w:r>
      <w:r>
        <w:rPr>
          <w:spacing w:val="-11"/>
          <w:position w:val="2"/>
        </w:rPr>
        <w:t>，经理论计算，锅炉房烟尘、</w:t>
      </w:r>
      <w:r>
        <w:rPr>
          <w:rFonts w:ascii="Times New Roman" w:eastAsia="Times New Roman"/>
          <w:position w:val="2"/>
        </w:rPr>
        <w:t>SO</w:t>
      </w:r>
      <w:r>
        <w:rPr>
          <w:rFonts w:ascii="Times New Roman" w:eastAsia="Times New Roman"/>
          <w:position w:val="2"/>
          <w:vertAlign w:val="subscript"/>
        </w:rPr>
        <w:t>2</w:t>
      </w:r>
      <w:r>
        <w:rPr>
          <w:spacing w:val="-12"/>
          <w:position w:val="2"/>
          <w:vertAlign w:val="baseline"/>
        </w:rPr>
        <w:t>、</w:t>
      </w:r>
      <w:r>
        <w:rPr>
          <w:rFonts w:ascii="Times New Roman" w:eastAsia="Times New Roman"/>
          <w:vertAlign w:val="baseline"/>
        </w:rPr>
        <w:t xml:space="preserve">NOx </w:t>
      </w:r>
      <w:r>
        <w:rPr>
          <w:spacing w:val="-8"/>
          <w:vertAlign w:val="baseline"/>
        </w:rPr>
        <w:t xml:space="preserve">排放浓度分别为 </w:t>
      </w:r>
      <w:r>
        <w:rPr>
          <w:rFonts w:ascii="Times New Roman" w:eastAsia="Times New Roman"/>
          <w:vertAlign w:val="baseline"/>
        </w:rPr>
        <w:t>14.25mg/m</w:t>
      </w:r>
      <w:r>
        <w:rPr>
          <w:rFonts w:ascii="Times New Roman" w:eastAsia="Times New Roman"/>
          <w:position w:val="8"/>
          <w:sz w:val="15"/>
          <w:vertAlign w:val="baseline"/>
        </w:rPr>
        <w:t>3</w:t>
      </w:r>
      <w:r>
        <w:rPr>
          <w:spacing w:val="-24"/>
          <w:vertAlign w:val="baseline"/>
        </w:rPr>
        <w:t>、</w:t>
      </w:r>
      <w:r>
        <w:rPr>
          <w:rFonts w:ascii="Times New Roman" w:eastAsia="Times New Roman"/>
          <w:vertAlign w:val="baseline"/>
        </w:rPr>
        <w:t>22.84mg/m</w:t>
      </w:r>
      <w:r>
        <w:rPr>
          <w:rFonts w:ascii="Times New Roman" w:eastAsia="Times New Roman"/>
          <w:position w:val="8"/>
          <w:sz w:val="15"/>
          <w:vertAlign w:val="baseline"/>
        </w:rPr>
        <w:t>3</w:t>
      </w:r>
      <w:r>
        <w:rPr>
          <w:spacing w:val="-22"/>
          <w:vertAlign w:val="baseline"/>
        </w:rPr>
        <w:t>、</w:t>
      </w:r>
      <w:r>
        <w:rPr>
          <w:rFonts w:ascii="Times New Roman" w:eastAsia="Times New Roman"/>
          <w:spacing w:val="-3"/>
          <w:vertAlign w:val="baseline"/>
        </w:rPr>
        <w:t>200mg/m</w:t>
      </w:r>
      <w:r>
        <w:rPr>
          <w:rFonts w:ascii="Times New Roman" w:eastAsia="Times New Roman"/>
          <w:spacing w:val="-3"/>
          <w:position w:val="8"/>
          <w:sz w:val="15"/>
          <w:vertAlign w:val="baseline"/>
        </w:rPr>
        <w:t>3</w:t>
      </w:r>
      <w:r>
        <w:rPr>
          <w:spacing w:val="-4"/>
          <w:vertAlign w:val="baseline"/>
        </w:rPr>
        <w:t>，污染物排放浓度满足《锅炉</w:t>
      </w:r>
    </w:p>
    <w:p>
      <w:pPr>
        <w:spacing w:after="0" w:line="362" w:lineRule="auto"/>
        <w:sectPr>
          <w:pgSz w:w="11910" w:h="16840"/>
          <w:pgMar w:top="1540" w:right="780" w:bottom="1320" w:left="1200" w:header="0" w:footer="1058" w:gutter="0"/>
        </w:sectPr>
      </w:pPr>
    </w:p>
    <w:p>
      <w:pPr>
        <w:pStyle w:val="6"/>
        <w:spacing w:before="63" w:line="362" w:lineRule="auto"/>
        <w:ind w:left="215" w:right="451"/>
      </w:pPr>
      <w:r>
        <w:rPr>
          <w:position w:val="2"/>
        </w:rPr>
        <w:t>大气污染物排放标准》（</w:t>
      </w:r>
      <w:r>
        <w:rPr>
          <w:rFonts w:ascii="Times New Roman" w:eastAsia="Times New Roman"/>
          <w:position w:val="2"/>
        </w:rPr>
        <w:t>GB13271-2014</w:t>
      </w:r>
      <w:r>
        <w:rPr>
          <w:position w:val="2"/>
        </w:rPr>
        <w:t>）</w:t>
      </w:r>
      <w:r>
        <w:rPr>
          <w:spacing w:val="-20"/>
          <w:position w:val="2"/>
        </w:rPr>
        <w:t xml:space="preserve">烟尘 </w:t>
      </w:r>
      <w:r>
        <w:rPr>
          <w:rFonts w:ascii="Times New Roman" w:eastAsia="Times New Roman"/>
          <w:position w:val="2"/>
        </w:rPr>
        <w:t>50mg/m</w:t>
      </w:r>
      <w:r>
        <w:rPr>
          <w:rFonts w:ascii="Times New Roman" w:eastAsia="Times New Roman"/>
          <w:position w:val="2"/>
          <w:vertAlign w:val="superscript"/>
        </w:rPr>
        <w:t>3</w:t>
      </w:r>
      <w:r>
        <w:rPr>
          <w:position w:val="2"/>
          <w:vertAlign w:val="baseline"/>
        </w:rPr>
        <w:t>、</w:t>
      </w:r>
      <w:r>
        <w:rPr>
          <w:rFonts w:ascii="Times New Roman" w:eastAsia="Times New Roman"/>
          <w:position w:val="2"/>
          <w:vertAlign w:val="baseline"/>
        </w:rPr>
        <w:t>SO</w:t>
      </w:r>
      <w:r>
        <w:rPr>
          <w:rFonts w:ascii="Times New Roman" w:eastAsia="Times New Roman"/>
          <w:position w:val="2"/>
          <w:vertAlign w:val="subscript"/>
        </w:rPr>
        <w:t>2</w:t>
      </w:r>
      <w:r>
        <w:rPr>
          <w:rFonts w:ascii="Times New Roman" w:eastAsia="Times New Roman"/>
          <w:position w:val="2"/>
          <w:vertAlign w:val="baseline"/>
        </w:rPr>
        <w:t>300mg/m</w:t>
      </w:r>
      <w:r>
        <w:rPr>
          <w:rFonts w:ascii="Times New Roman" w:eastAsia="Times New Roman"/>
          <w:position w:val="2"/>
          <w:vertAlign w:val="superscript"/>
        </w:rPr>
        <w:t>3</w:t>
      </w:r>
      <w:r>
        <w:rPr>
          <w:position w:val="2"/>
          <w:vertAlign w:val="baseline"/>
        </w:rPr>
        <w:t>、</w:t>
      </w:r>
      <w:r>
        <w:rPr>
          <w:rFonts w:ascii="Times New Roman" w:eastAsia="Times New Roman"/>
          <w:position w:val="2"/>
          <w:vertAlign w:val="baseline"/>
        </w:rPr>
        <w:t>NOx300mg/m</w:t>
      </w:r>
      <w:r>
        <w:rPr>
          <w:rFonts w:ascii="Times New Roman" w:eastAsia="Times New Roman"/>
          <w:position w:val="2"/>
          <w:vertAlign w:val="superscript"/>
        </w:rPr>
        <w:t xml:space="preserve">3 </w:t>
      </w:r>
      <w:r>
        <w:rPr>
          <w:spacing w:val="-5"/>
          <w:position w:val="2"/>
          <w:vertAlign w:val="baseline"/>
        </w:rPr>
        <w:t>的标准限值要求。热风炉房烟尘、</w:t>
      </w:r>
      <w:r>
        <w:rPr>
          <w:rFonts w:ascii="Times New Roman" w:eastAsia="Times New Roman"/>
          <w:position w:val="2"/>
          <w:vertAlign w:val="baseline"/>
        </w:rPr>
        <w:t>SO</w:t>
      </w:r>
      <w:r>
        <w:rPr>
          <w:rFonts w:ascii="Times New Roman" w:eastAsia="Times New Roman"/>
          <w:position w:val="2"/>
          <w:vertAlign w:val="subscript"/>
        </w:rPr>
        <w:t>2</w:t>
      </w:r>
      <w:r>
        <w:rPr>
          <w:spacing w:val="-20"/>
          <w:position w:val="2"/>
          <w:vertAlign w:val="baseline"/>
        </w:rPr>
        <w:t>、</w:t>
      </w:r>
      <w:r>
        <w:rPr>
          <w:rFonts w:ascii="Times New Roman" w:eastAsia="Times New Roman"/>
          <w:position w:val="2"/>
          <w:vertAlign w:val="baseline"/>
        </w:rPr>
        <w:t xml:space="preserve">NOx </w:t>
      </w:r>
      <w:r>
        <w:rPr>
          <w:spacing w:val="-8"/>
          <w:position w:val="2"/>
          <w:vertAlign w:val="baseline"/>
        </w:rPr>
        <w:t xml:space="preserve">排放浓度分别为 </w:t>
      </w:r>
      <w:r>
        <w:rPr>
          <w:rFonts w:ascii="Times New Roman" w:eastAsia="Times New Roman"/>
          <w:position w:val="2"/>
          <w:vertAlign w:val="baseline"/>
        </w:rPr>
        <w:t>14.25mg/m</w:t>
      </w:r>
      <w:r>
        <w:rPr>
          <w:rFonts w:ascii="Times New Roman" w:eastAsia="Times New Roman"/>
          <w:position w:val="2"/>
          <w:vertAlign w:val="superscript"/>
        </w:rPr>
        <w:t>3</w:t>
      </w:r>
      <w:r>
        <w:rPr>
          <w:spacing w:val="-20"/>
          <w:position w:val="2"/>
          <w:vertAlign w:val="baseline"/>
        </w:rPr>
        <w:t>、</w:t>
      </w:r>
      <w:r>
        <w:rPr>
          <w:rFonts w:ascii="Times New Roman" w:eastAsia="Times New Roman"/>
          <w:position w:val="2"/>
          <w:vertAlign w:val="baseline"/>
        </w:rPr>
        <w:t>22.84mg/m</w:t>
      </w:r>
      <w:r>
        <w:rPr>
          <w:rFonts w:ascii="Times New Roman" w:eastAsia="Times New Roman"/>
          <w:position w:val="2"/>
          <w:vertAlign w:val="superscript"/>
        </w:rPr>
        <w:t>3</w:t>
      </w:r>
      <w:r>
        <w:rPr>
          <w:spacing w:val="-13"/>
          <w:position w:val="2"/>
          <w:vertAlign w:val="baseline"/>
        </w:rPr>
        <w:t>、</w:t>
      </w:r>
      <w:r>
        <w:rPr>
          <w:rFonts w:ascii="Times New Roman" w:eastAsia="Times New Roman"/>
          <w:vertAlign w:val="baseline"/>
        </w:rPr>
        <w:t>200mg/m</w:t>
      </w:r>
      <w:r>
        <w:rPr>
          <w:rFonts w:ascii="Times New Roman" w:eastAsia="Times New Roman"/>
          <w:position w:val="8"/>
          <w:sz w:val="15"/>
          <w:vertAlign w:val="baseline"/>
        </w:rPr>
        <w:t>3</w:t>
      </w:r>
      <w:r>
        <w:rPr>
          <w:vertAlign w:val="baseline"/>
        </w:rPr>
        <w:t>，污染物排放浓度满足《工业炉窑大气污染物排放标准》（</w:t>
      </w:r>
      <w:r>
        <w:rPr>
          <w:rFonts w:ascii="Times New Roman" w:eastAsia="Times New Roman"/>
          <w:vertAlign w:val="baseline"/>
        </w:rPr>
        <w:t>GB9078-1996</w:t>
      </w:r>
      <w:r>
        <w:rPr>
          <w:vertAlign w:val="baseline"/>
        </w:rPr>
        <w:t>）中</w:t>
      </w:r>
      <w:r>
        <w:rPr>
          <w:spacing w:val="-30"/>
          <w:position w:val="2"/>
          <w:vertAlign w:val="baseline"/>
        </w:rPr>
        <w:t xml:space="preserve">表 </w:t>
      </w:r>
      <w:r>
        <w:rPr>
          <w:rFonts w:ascii="Times New Roman" w:eastAsia="Times New Roman"/>
          <w:position w:val="2"/>
          <w:vertAlign w:val="baseline"/>
        </w:rPr>
        <w:t xml:space="preserve">2 </w:t>
      </w:r>
      <w:r>
        <w:rPr>
          <w:spacing w:val="-20"/>
          <w:position w:val="2"/>
          <w:vertAlign w:val="baseline"/>
        </w:rPr>
        <w:t xml:space="preserve">及表 </w:t>
      </w:r>
      <w:r>
        <w:rPr>
          <w:rFonts w:ascii="Times New Roman" w:eastAsia="Times New Roman"/>
          <w:position w:val="2"/>
          <w:vertAlign w:val="baseline"/>
        </w:rPr>
        <w:t xml:space="preserve">4 </w:t>
      </w:r>
      <w:r>
        <w:rPr>
          <w:spacing w:val="-15"/>
          <w:position w:val="2"/>
          <w:vertAlign w:val="baseline"/>
        </w:rPr>
        <w:t xml:space="preserve">中烟尘 </w:t>
      </w:r>
      <w:r>
        <w:rPr>
          <w:rFonts w:ascii="Times New Roman" w:eastAsia="Times New Roman"/>
          <w:position w:val="2"/>
          <w:vertAlign w:val="baseline"/>
        </w:rPr>
        <w:t>200mg/m</w:t>
      </w:r>
      <w:r>
        <w:rPr>
          <w:rFonts w:ascii="Times New Roman" w:eastAsia="Times New Roman"/>
          <w:position w:val="2"/>
          <w:vertAlign w:val="superscript"/>
        </w:rPr>
        <w:t>3</w:t>
      </w:r>
      <w:r>
        <w:rPr>
          <w:position w:val="2"/>
          <w:vertAlign w:val="baseline"/>
        </w:rPr>
        <w:t>、</w:t>
      </w:r>
      <w:r>
        <w:rPr>
          <w:rFonts w:ascii="Times New Roman" w:eastAsia="Times New Roman"/>
          <w:position w:val="2"/>
          <w:vertAlign w:val="baseline"/>
        </w:rPr>
        <w:t>SO</w:t>
      </w:r>
      <w:r>
        <w:rPr>
          <w:rFonts w:ascii="Times New Roman" w:eastAsia="Times New Roman"/>
          <w:position w:val="2"/>
          <w:vertAlign w:val="subscript"/>
        </w:rPr>
        <w:t>2</w:t>
      </w:r>
      <w:r>
        <w:rPr>
          <w:rFonts w:ascii="Times New Roman" w:eastAsia="Times New Roman"/>
          <w:position w:val="2"/>
          <w:vertAlign w:val="baseline"/>
        </w:rPr>
        <w:t>850mg/m</w:t>
      </w:r>
      <w:r>
        <w:rPr>
          <w:rFonts w:ascii="Times New Roman" w:eastAsia="Times New Roman"/>
          <w:position w:val="2"/>
          <w:vertAlign w:val="superscript"/>
        </w:rPr>
        <w:t>3</w:t>
      </w:r>
      <w:r>
        <w:rPr>
          <w:rFonts w:ascii="Times New Roman" w:eastAsia="Times New Roman"/>
          <w:position w:val="2"/>
          <w:vertAlign w:val="baseline"/>
        </w:rPr>
        <w:t xml:space="preserve"> </w:t>
      </w:r>
      <w:r>
        <w:rPr>
          <w:position w:val="2"/>
          <w:vertAlign w:val="baseline"/>
        </w:rPr>
        <w:t>的标准限值要求。</w:t>
      </w:r>
    </w:p>
    <w:p>
      <w:pPr>
        <w:pStyle w:val="6"/>
        <w:ind w:left="696"/>
      </w:pPr>
      <w:r>
        <w:t>本项目建设后，所排烟气对当地环境空气质量贡献值较小。</w:t>
      </w:r>
    </w:p>
    <w:p>
      <w:pPr>
        <w:pStyle w:val="6"/>
        <w:spacing w:before="158" w:line="364" w:lineRule="auto"/>
        <w:ind w:left="215" w:right="458" w:firstLine="480"/>
      </w:pPr>
      <w:r>
        <w:rPr>
          <w:spacing w:val="-11"/>
        </w:rPr>
        <w:t xml:space="preserve">对于煤炭场内储存和输送，本项目选择了合理的储存和输送方式及必要的治理措施， </w:t>
      </w:r>
      <w:r>
        <w:t>其扬尘对环境空气的影响可有效控制，一般情况下影响较小采用全封闭煤仓，煤尘对环境空气质量影响较小；煤炭厂内输送采用封闭的输煤栈桥，煤尘对环境空气质量影响较</w:t>
      </w:r>
      <w:r>
        <w:rPr>
          <w:spacing w:val="-13"/>
        </w:rPr>
        <w:t xml:space="preserve">小；筛分车间粉尘采用布袋除尘器处理后经 </w:t>
      </w:r>
      <w:r>
        <w:rPr>
          <w:rFonts w:ascii="Times New Roman" w:eastAsia="Times New Roman"/>
        </w:rPr>
        <w:t xml:space="preserve">15m </w:t>
      </w:r>
      <w:r>
        <w:rPr>
          <w:spacing w:val="-11"/>
        </w:rPr>
        <w:t xml:space="preserve">高烟囱排放，对环境空气质量影响较小； </w:t>
      </w:r>
      <w:r>
        <w:t>矸石临时堆放场内设有喷洒设施，洒水抑尘，煤尘对环境空气质量影响较小。</w:t>
      </w:r>
    </w:p>
    <w:p>
      <w:pPr>
        <w:pStyle w:val="4"/>
        <w:numPr>
          <w:ilvl w:val="2"/>
          <w:numId w:val="65"/>
        </w:numPr>
        <w:tabs>
          <w:tab w:val="left" w:pos="848"/>
        </w:tabs>
        <w:spacing w:before="0" w:after="0" w:line="358" w:lineRule="exact"/>
        <w:ind w:left="847" w:right="0" w:hanging="633"/>
        <w:jc w:val="both"/>
      </w:pPr>
      <w:bookmarkStart w:id="763" w:name="8.4.2油烟对环境空气的影响分析"/>
      <w:bookmarkEnd w:id="763"/>
      <w:bookmarkStart w:id="764" w:name="8.4.2油烟对环境空气的影响分析"/>
      <w:bookmarkEnd w:id="764"/>
      <w:r>
        <w:t>油烟对环境空气的影响分析</w:t>
      </w:r>
    </w:p>
    <w:p>
      <w:pPr>
        <w:pStyle w:val="6"/>
        <w:spacing w:before="185" w:line="364" w:lineRule="auto"/>
        <w:ind w:left="215" w:right="573" w:firstLine="480"/>
        <w:jc w:val="both"/>
      </w:pPr>
      <w:r>
        <w:rPr>
          <w:spacing w:val="-8"/>
        </w:rPr>
        <w:t xml:space="preserve">本项目劳动定员 </w:t>
      </w:r>
      <w:r>
        <w:rPr>
          <w:rFonts w:ascii="Times New Roman" w:hAnsi="Times New Roman" w:eastAsia="Times New Roman"/>
        </w:rPr>
        <w:t xml:space="preserve">655 </w:t>
      </w:r>
      <w:r>
        <w:rPr>
          <w:spacing w:val="-3"/>
        </w:rPr>
        <w:t xml:space="preserve">人，本项目食堂为职工内部食堂，基准灶头数为 </w:t>
      </w:r>
      <w:r>
        <w:rPr>
          <w:rFonts w:ascii="Times New Roman" w:hAnsi="Times New Roman" w:eastAsia="Times New Roman"/>
        </w:rPr>
        <w:t xml:space="preserve">6 </w:t>
      </w:r>
      <w:r>
        <w:rPr>
          <w:spacing w:val="-2"/>
        </w:rPr>
        <w:t>个，属于大</w:t>
      </w:r>
      <w:r>
        <w:rPr>
          <w:spacing w:val="-4"/>
        </w:rPr>
        <w:t>型规模，参照《饮食油烟排放标准</w:t>
      </w:r>
      <w:r>
        <w:t>（试行</w:t>
      </w:r>
      <w:r>
        <w:rPr>
          <w:spacing w:val="-5"/>
        </w:rPr>
        <w:t>）</w:t>
      </w:r>
      <w:r>
        <w:rPr>
          <w:spacing w:val="-12"/>
        </w:rPr>
        <w:t>》</w:t>
      </w:r>
      <w:r>
        <w:t>（</w:t>
      </w:r>
      <w:r>
        <w:rPr>
          <w:rFonts w:ascii="Times New Roman" w:hAnsi="Times New Roman" w:eastAsia="Times New Roman"/>
        </w:rPr>
        <w:t>GB18483-2001</w:t>
      </w:r>
      <w:r>
        <w:t>）</w:t>
      </w:r>
      <w:r>
        <w:rPr>
          <w:spacing w:val="-2"/>
        </w:rPr>
        <w:t>中油烟排放要求，拟对</w:t>
      </w:r>
      <w:r>
        <w:rPr>
          <w:spacing w:val="-4"/>
        </w:rPr>
        <w:t>新建食堂安装油烟净化设施，油烟去除效率</w:t>
      </w:r>
      <w:r>
        <w:rPr>
          <w:rFonts w:ascii="Times New Roman" w:hAnsi="Times New Roman" w:eastAsia="Times New Roman"/>
          <w:spacing w:val="-9"/>
        </w:rPr>
        <w:t>≥85%</w:t>
      </w:r>
      <w:r>
        <w:rPr>
          <w:spacing w:val="-4"/>
        </w:rPr>
        <w:t>，净化后经专用烟道通过高于所在建筑</w:t>
      </w:r>
      <w:r>
        <w:rPr>
          <w:spacing w:val="-8"/>
        </w:rPr>
        <w:t>物顶部的排放，油烟排放浓度满足《饮食业油烟排放标准》</w:t>
      </w:r>
      <w:r>
        <w:t>（</w:t>
      </w:r>
      <w:r>
        <w:rPr>
          <w:rFonts w:ascii="Times New Roman" w:hAnsi="Times New Roman" w:eastAsia="Times New Roman"/>
        </w:rPr>
        <w:t>GB 18483-2001</w:t>
      </w:r>
      <w:r>
        <w:t>）</w:t>
      </w:r>
      <w:r>
        <w:rPr>
          <w:spacing w:val="-3"/>
        </w:rPr>
        <w:t>最高允许</w:t>
      </w:r>
      <w:r>
        <w:rPr>
          <w:spacing w:val="-12"/>
        </w:rPr>
        <w:t xml:space="preserve">排放浓度 </w:t>
      </w:r>
      <w:r>
        <w:rPr>
          <w:rFonts w:ascii="Times New Roman" w:hAnsi="Times New Roman" w:eastAsia="Times New Roman"/>
        </w:rPr>
        <w:t>2.0mg/m</w:t>
      </w:r>
      <w:r>
        <w:rPr>
          <w:rFonts w:ascii="Times New Roman" w:hAnsi="Times New Roman" w:eastAsia="Times New Roman"/>
          <w:position w:val="8"/>
          <w:sz w:val="15"/>
        </w:rPr>
        <w:t>3</w:t>
      </w:r>
      <w:r>
        <w:t>。</w:t>
      </w:r>
    </w:p>
    <w:p>
      <w:pPr>
        <w:pStyle w:val="4"/>
        <w:numPr>
          <w:ilvl w:val="2"/>
          <w:numId w:val="65"/>
        </w:numPr>
        <w:tabs>
          <w:tab w:val="left" w:pos="848"/>
        </w:tabs>
        <w:spacing w:before="0" w:after="0" w:line="358" w:lineRule="exact"/>
        <w:ind w:left="847" w:right="0" w:hanging="633"/>
        <w:jc w:val="both"/>
      </w:pPr>
      <w:bookmarkStart w:id="765" w:name="8.4.3环境空气影响预测结论"/>
      <w:bookmarkEnd w:id="765"/>
      <w:bookmarkStart w:id="766" w:name="8.4.3环境空气影响预测结论"/>
      <w:bookmarkEnd w:id="766"/>
      <w:r>
        <w:t>环境空气影响预测结论</w:t>
      </w:r>
    </w:p>
    <w:p>
      <w:pPr>
        <w:pStyle w:val="6"/>
        <w:spacing w:before="182" w:line="362" w:lineRule="auto"/>
        <w:ind w:left="215" w:right="572" w:firstLine="480"/>
        <w:jc w:val="both"/>
      </w:pPr>
      <w:r>
        <w:rPr>
          <w:position w:val="2"/>
        </w:rPr>
        <w:t>本项目服务期，工业广场锅炉排放的烟尘、</w:t>
      </w:r>
      <w:r>
        <w:rPr>
          <w:rFonts w:ascii="Times New Roman" w:hAnsi="Times New Roman" w:eastAsia="Times New Roman"/>
          <w:position w:val="2"/>
        </w:rPr>
        <w:t>SO</w:t>
      </w:r>
      <w:r>
        <w:rPr>
          <w:rFonts w:ascii="Times New Roman" w:hAnsi="Times New Roman" w:eastAsia="Times New Roman"/>
          <w:position w:val="2"/>
          <w:vertAlign w:val="subscript"/>
        </w:rPr>
        <w:t>2</w:t>
      </w:r>
      <w:r>
        <w:rPr>
          <w:rFonts w:ascii="Times New Roman" w:hAnsi="Times New Roman" w:eastAsia="Times New Roman"/>
          <w:spacing w:val="-18"/>
          <w:position w:val="2"/>
          <w:vertAlign w:val="baseline"/>
        </w:rPr>
        <w:t xml:space="preserve"> </w:t>
      </w:r>
      <w:r>
        <w:rPr>
          <w:spacing w:val="-25"/>
          <w:position w:val="2"/>
          <w:vertAlign w:val="baseline"/>
        </w:rPr>
        <w:t xml:space="preserve">和 </w:t>
      </w:r>
      <w:r>
        <w:rPr>
          <w:rFonts w:ascii="Times New Roman" w:hAnsi="Times New Roman" w:eastAsia="Times New Roman"/>
          <w:position w:val="2"/>
          <w:vertAlign w:val="baseline"/>
        </w:rPr>
        <w:t>NO</w:t>
      </w:r>
      <w:r>
        <w:rPr>
          <w:rFonts w:ascii="Times New Roman" w:hAnsi="Times New Roman" w:eastAsia="Times New Roman"/>
          <w:position w:val="2"/>
          <w:vertAlign w:val="subscript"/>
        </w:rPr>
        <w:t>2</w:t>
      </w:r>
      <w:r>
        <w:rPr>
          <w:rFonts w:ascii="Times New Roman" w:hAnsi="Times New Roman" w:eastAsia="Times New Roman"/>
          <w:spacing w:val="-15"/>
          <w:position w:val="2"/>
          <w:vertAlign w:val="baseline"/>
        </w:rPr>
        <w:t xml:space="preserve"> </w:t>
      </w:r>
      <w:r>
        <w:rPr>
          <w:position w:val="2"/>
          <w:vertAlign w:val="baseline"/>
        </w:rPr>
        <w:t>最大落地浓度均低于《锅炉</w:t>
      </w:r>
      <w:r>
        <w:rPr>
          <w:spacing w:val="-10"/>
          <w:position w:val="2"/>
          <w:vertAlign w:val="baseline"/>
        </w:rPr>
        <w:t>大气污染物排放标准》</w:t>
      </w:r>
      <w:r>
        <w:rPr>
          <w:spacing w:val="-4"/>
          <w:position w:val="2"/>
          <w:vertAlign w:val="baseline"/>
        </w:rPr>
        <w:t>（</w:t>
      </w:r>
      <w:r>
        <w:rPr>
          <w:rFonts w:ascii="Times New Roman" w:hAnsi="Times New Roman" w:eastAsia="Times New Roman"/>
          <w:spacing w:val="-4"/>
          <w:position w:val="2"/>
          <w:vertAlign w:val="baseline"/>
        </w:rPr>
        <w:t>GB13271-2014</w:t>
      </w:r>
      <w:r>
        <w:rPr>
          <w:spacing w:val="-4"/>
          <w:position w:val="2"/>
          <w:vertAlign w:val="baseline"/>
        </w:rPr>
        <w:t>）</w:t>
      </w:r>
      <w:r>
        <w:rPr>
          <w:spacing w:val="-10"/>
          <w:position w:val="2"/>
          <w:vertAlign w:val="baseline"/>
        </w:rPr>
        <w:t>标准限值要求，热风炉排放的烟尘、</w:t>
      </w:r>
      <w:r>
        <w:rPr>
          <w:rFonts w:ascii="Times New Roman" w:hAnsi="Times New Roman" w:eastAsia="Times New Roman"/>
          <w:position w:val="2"/>
          <w:vertAlign w:val="baseline"/>
        </w:rPr>
        <w:t>SO</w:t>
      </w:r>
      <w:r>
        <w:rPr>
          <w:rFonts w:ascii="Times New Roman" w:hAnsi="Times New Roman" w:eastAsia="Times New Roman"/>
          <w:position w:val="2"/>
          <w:vertAlign w:val="subscript"/>
        </w:rPr>
        <w:t>2</w:t>
      </w:r>
      <w:r>
        <w:rPr>
          <w:rFonts w:ascii="Times New Roman" w:hAnsi="Times New Roman" w:eastAsia="Times New Roman"/>
          <w:spacing w:val="-18"/>
          <w:position w:val="2"/>
          <w:vertAlign w:val="baseline"/>
        </w:rPr>
        <w:t xml:space="preserve"> </w:t>
      </w:r>
      <w:r>
        <w:rPr>
          <w:spacing w:val="-25"/>
          <w:position w:val="2"/>
          <w:vertAlign w:val="baseline"/>
        </w:rPr>
        <w:t xml:space="preserve">和 </w:t>
      </w:r>
      <w:r>
        <w:rPr>
          <w:rFonts w:ascii="Times New Roman" w:hAnsi="Times New Roman" w:eastAsia="Times New Roman"/>
          <w:spacing w:val="-6"/>
          <w:position w:val="2"/>
          <w:vertAlign w:val="baseline"/>
        </w:rPr>
        <w:t>NO</w:t>
      </w:r>
      <w:r>
        <w:rPr>
          <w:rFonts w:ascii="Times New Roman" w:hAnsi="Times New Roman" w:eastAsia="Times New Roman"/>
          <w:spacing w:val="-6"/>
          <w:position w:val="2"/>
          <w:vertAlign w:val="subscript"/>
        </w:rPr>
        <w:t xml:space="preserve">2 </w:t>
      </w:r>
      <w:r>
        <w:rPr>
          <w:vertAlign w:val="baseline"/>
        </w:rPr>
        <w:t>最大落地浓度均低于《工业炉窑大气污染物排放标准》（</w:t>
      </w:r>
      <w:r>
        <w:rPr>
          <w:rFonts w:ascii="Times New Roman" w:hAnsi="Times New Roman" w:eastAsia="Times New Roman"/>
          <w:vertAlign w:val="baseline"/>
        </w:rPr>
        <w:t>GB9078-1996</w:t>
      </w:r>
      <w:r>
        <w:rPr>
          <w:vertAlign w:val="baseline"/>
        </w:rPr>
        <w:t>）</w:t>
      </w:r>
      <w:r>
        <w:rPr>
          <w:spacing w:val="-16"/>
          <w:vertAlign w:val="baseline"/>
        </w:rPr>
        <w:t xml:space="preserve">中表 </w:t>
      </w:r>
      <w:r>
        <w:rPr>
          <w:rFonts w:ascii="Times New Roman" w:hAnsi="Times New Roman" w:eastAsia="Times New Roman"/>
          <w:vertAlign w:val="baseline"/>
        </w:rPr>
        <w:t>2</w:t>
      </w:r>
      <w:r>
        <w:rPr>
          <w:rFonts w:ascii="Times New Roman" w:hAnsi="Times New Roman" w:eastAsia="Times New Roman"/>
          <w:spacing w:val="6"/>
          <w:vertAlign w:val="baseline"/>
        </w:rPr>
        <w:t xml:space="preserve"> </w:t>
      </w:r>
      <w:r>
        <w:rPr>
          <w:spacing w:val="-16"/>
          <w:vertAlign w:val="baseline"/>
        </w:rPr>
        <w:t xml:space="preserve">及表 </w:t>
      </w:r>
      <w:r>
        <w:rPr>
          <w:rFonts w:ascii="Times New Roman" w:hAnsi="Times New Roman" w:eastAsia="Times New Roman"/>
          <w:vertAlign w:val="baseline"/>
        </w:rPr>
        <w:t xml:space="preserve">4 </w:t>
      </w:r>
      <w:r>
        <w:rPr>
          <w:vertAlign w:val="baseline"/>
        </w:rPr>
        <w:t>中标准限值要求，对所在区域的环境空气质量影响较小。在采取本评价提出的严格抑尘</w:t>
      </w:r>
      <w:r>
        <w:rPr>
          <w:spacing w:val="-7"/>
          <w:vertAlign w:val="baseline"/>
        </w:rPr>
        <w:t>措施后，本项目扬尘较小。食堂安装装油烟净化设施，油烟去除效率</w:t>
      </w:r>
      <w:r>
        <w:rPr>
          <w:rFonts w:ascii="Times New Roman" w:hAnsi="Times New Roman" w:eastAsia="Times New Roman"/>
          <w:spacing w:val="-5"/>
          <w:vertAlign w:val="baseline"/>
        </w:rPr>
        <w:t>≥85%</w:t>
      </w:r>
      <w:r>
        <w:rPr>
          <w:spacing w:val="-2"/>
          <w:vertAlign w:val="baseline"/>
        </w:rPr>
        <w:t>，净化后经专</w:t>
      </w:r>
      <w:r>
        <w:rPr>
          <w:spacing w:val="-10"/>
          <w:vertAlign w:val="baseline"/>
        </w:rPr>
        <w:t>用烟道通过高于所在建筑物顶部的排放，油烟排放浓度满足《饮食业油烟排放标准</w:t>
      </w:r>
      <w:r>
        <w:rPr>
          <w:spacing w:val="-164"/>
          <w:vertAlign w:val="baseline"/>
        </w:rPr>
        <w:t>》</w:t>
      </w:r>
      <w:r>
        <w:rPr>
          <w:vertAlign w:val="baseline"/>
        </w:rPr>
        <w:t>（</w:t>
      </w:r>
      <w:r>
        <w:rPr>
          <w:rFonts w:ascii="Times New Roman" w:hAnsi="Times New Roman" w:eastAsia="Times New Roman"/>
          <w:vertAlign w:val="baseline"/>
        </w:rPr>
        <w:t>GB 18483-2001</w:t>
      </w:r>
      <w:r>
        <w:rPr>
          <w:vertAlign w:val="baseline"/>
        </w:rPr>
        <w:t>）</w:t>
      </w:r>
      <w:r>
        <w:rPr>
          <w:spacing w:val="-7"/>
          <w:vertAlign w:val="baseline"/>
        </w:rPr>
        <w:t xml:space="preserve">最高允许排放浓度 </w:t>
      </w:r>
      <w:r>
        <w:rPr>
          <w:rFonts w:ascii="Times New Roman" w:hAnsi="Times New Roman" w:eastAsia="Times New Roman"/>
          <w:vertAlign w:val="baseline"/>
        </w:rPr>
        <w:t>2.0mg/m</w:t>
      </w:r>
      <w:r>
        <w:rPr>
          <w:rFonts w:ascii="Times New Roman" w:hAnsi="Times New Roman" w:eastAsia="Times New Roman"/>
          <w:position w:val="8"/>
          <w:sz w:val="15"/>
          <w:vertAlign w:val="baseline"/>
        </w:rPr>
        <w:t>3</w:t>
      </w:r>
      <w:r>
        <w:rPr>
          <w:vertAlign w:val="baseline"/>
        </w:rPr>
        <w:t>。总体来说，本项目对评价区域环境空气质量影响很小，排放的大气污染物可被现有环境所接受。</w:t>
      </w:r>
    </w:p>
    <w:p>
      <w:pPr>
        <w:pStyle w:val="4"/>
        <w:numPr>
          <w:ilvl w:val="1"/>
          <w:numId w:val="65"/>
        </w:numPr>
        <w:tabs>
          <w:tab w:val="left" w:pos="636"/>
        </w:tabs>
        <w:spacing w:before="15" w:after="0" w:line="240" w:lineRule="auto"/>
        <w:ind w:left="636" w:right="0" w:hanging="421"/>
        <w:jc w:val="both"/>
        <w:rPr>
          <w:rFonts w:ascii="Times New Roman" w:eastAsia="Times New Roman"/>
        </w:rPr>
      </w:pPr>
      <w:bookmarkStart w:id="767" w:name="_bookmark48"/>
      <w:bookmarkEnd w:id="767"/>
      <w:bookmarkStart w:id="768" w:name="_bookmark48"/>
      <w:bookmarkEnd w:id="768"/>
      <w:bookmarkStart w:id="769" w:name="8.5大气污染防治措施"/>
      <w:bookmarkEnd w:id="769"/>
      <w:r>
        <w:t>大气污染防治措施</w:t>
      </w:r>
    </w:p>
    <w:p>
      <w:pPr>
        <w:pStyle w:val="6"/>
        <w:spacing w:before="185"/>
        <w:ind w:left="696"/>
      </w:pPr>
      <w:r>
        <w:rPr>
          <w:rFonts w:ascii="Times New Roman" w:eastAsia="Times New Roman"/>
        </w:rPr>
        <w:t>1</w:t>
      </w:r>
      <w:r>
        <w:t>、建设期</w:t>
      </w:r>
    </w:p>
    <w:p>
      <w:pPr>
        <w:pStyle w:val="6"/>
        <w:spacing w:before="158" w:line="364" w:lineRule="auto"/>
        <w:ind w:left="215" w:right="580" w:firstLine="480"/>
      </w:pPr>
      <w:r>
        <w:t>施工废气严格按照工程建设及施工操作规范实施，杜绝随意性，并要加强对施工人员的行为管理。</w:t>
      </w:r>
    </w:p>
    <w:p>
      <w:pPr>
        <w:spacing w:after="0" w:line="364" w:lineRule="auto"/>
        <w:sectPr>
          <w:footerReference r:id="rId25" w:type="default"/>
          <w:pgSz w:w="11910" w:h="16840"/>
          <w:pgMar w:top="1520" w:right="780" w:bottom="1320" w:left="1200" w:header="0" w:footer="1138" w:gutter="0"/>
          <w:pgNumType w:start="140"/>
        </w:sectPr>
      </w:pPr>
    </w:p>
    <w:p>
      <w:pPr>
        <w:pStyle w:val="6"/>
        <w:spacing w:before="66"/>
        <w:ind w:left="696"/>
      </w:pPr>
      <w:r>
        <w:rPr>
          <w:rFonts w:ascii="Times New Roman" w:eastAsia="Times New Roman"/>
        </w:rPr>
        <w:t>2</w:t>
      </w:r>
      <w:r>
        <w:t>、运营期</w:t>
      </w:r>
    </w:p>
    <w:p>
      <w:pPr>
        <w:pStyle w:val="13"/>
        <w:numPr>
          <w:ilvl w:val="0"/>
          <w:numId w:val="66"/>
        </w:numPr>
        <w:tabs>
          <w:tab w:val="left" w:pos="1297"/>
        </w:tabs>
        <w:spacing w:before="158" w:after="0" w:line="240" w:lineRule="auto"/>
        <w:ind w:left="1297" w:right="0" w:hanging="601"/>
        <w:jc w:val="left"/>
        <w:rPr>
          <w:sz w:val="24"/>
        </w:rPr>
      </w:pPr>
      <w:r>
        <w:rPr>
          <w:sz w:val="24"/>
        </w:rPr>
        <w:t>锅炉及热风炉</w:t>
      </w:r>
    </w:p>
    <w:p>
      <w:pPr>
        <w:pStyle w:val="6"/>
        <w:spacing w:before="157" w:line="362" w:lineRule="auto"/>
        <w:ind w:left="215" w:right="453" w:firstLine="480"/>
      </w:pPr>
      <w:r>
        <w:rPr>
          <w:spacing w:val="-11"/>
          <w:position w:val="2"/>
        </w:rPr>
        <w:t xml:space="preserve">锅炉燃用生物质，配置除尘效率为 </w:t>
      </w:r>
      <w:r>
        <w:rPr>
          <w:rFonts w:ascii="Times New Roman" w:eastAsia="Times New Roman"/>
          <w:position w:val="2"/>
        </w:rPr>
        <w:t>99.9%</w:t>
      </w:r>
      <w:r>
        <w:rPr>
          <w:spacing w:val="-14"/>
          <w:position w:val="2"/>
        </w:rPr>
        <w:t>的布袋除尘器，经计算，锅炉房烟尘、</w:t>
      </w:r>
      <w:r>
        <w:rPr>
          <w:rFonts w:ascii="Times New Roman" w:eastAsia="Times New Roman"/>
          <w:position w:val="2"/>
        </w:rPr>
        <w:t>SO</w:t>
      </w:r>
      <w:r>
        <w:rPr>
          <w:rFonts w:ascii="Times New Roman" w:eastAsia="Times New Roman"/>
          <w:position w:val="2"/>
          <w:vertAlign w:val="subscript"/>
        </w:rPr>
        <w:t>2</w:t>
      </w:r>
      <w:r>
        <w:rPr>
          <w:spacing w:val="-15"/>
          <w:position w:val="2"/>
          <w:vertAlign w:val="baseline"/>
        </w:rPr>
        <w:t>、</w:t>
      </w:r>
      <w:r>
        <w:rPr>
          <w:rFonts w:ascii="Times New Roman" w:eastAsia="Times New Roman"/>
          <w:position w:val="2"/>
          <w:vertAlign w:val="baseline"/>
        </w:rPr>
        <w:t>NO</w:t>
      </w:r>
      <w:r>
        <w:rPr>
          <w:rFonts w:ascii="Times New Roman" w:eastAsia="Times New Roman"/>
          <w:position w:val="2"/>
          <w:vertAlign w:val="subscript"/>
        </w:rPr>
        <w:t>X</w:t>
      </w:r>
      <w:r>
        <w:rPr>
          <w:rFonts w:ascii="Times New Roman" w:eastAsia="Times New Roman"/>
          <w:position w:val="2"/>
          <w:vertAlign w:val="baseline"/>
        </w:rPr>
        <w:t xml:space="preserve"> </w:t>
      </w:r>
      <w:r>
        <w:rPr>
          <w:spacing w:val="-7"/>
          <w:position w:val="2"/>
          <w:vertAlign w:val="baseline"/>
        </w:rPr>
        <w:t xml:space="preserve">排放浓度分别为 </w:t>
      </w:r>
      <w:r>
        <w:rPr>
          <w:rFonts w:ascii="Times New Roman" w:eastAsia="Times New Roman"/>
          <w:position w:val="2"/>
          <w:vertAlign w:val="baseline"/>
        </w:rPr>
        <w:t>14.25mg/m</w:t>
      </w:r>
      <w:r>
        <w:rPr>
          <w:rFonts w:ascii="Times New Roman" w:eastAsia="Times New Roman"/>
          <w:position w:val="2"/>
          <w:vertAlign w:val="superscript"/>
        </w:rPr>
        <w:t>3</w:t>
      </w:r>
      <w:r>
        <w:rPr>
          <w:spacing w:val="-17"/>
          <w:position w:val="2"/>
          <w:vertAlign w:val="baseline"/>
        </w:rPr>
        <w:t>、</w:t>
      </w:r>
      <w:r>
        <w:rPr>
          <w:rFonts w:ascii="Times New Roman" w:eastAsia="Times New Roman"/>
          <w:position w:val="2"/>
          <w:vertAlign w:val="baseline"/>
        </w:rPr>
        <w:t>22.84mg/m</w:t>
      </w:r>
      <w:r>
        <w:rPr>
          <w:rFonts w:ascii="Times New Roman" w:eastAsia="Times New Roman"/>
          <w:position w:val="2"/>
          <w:vertAlign w:val="superscript"/>
        </w:rPr>
        <w:t>3</w:t>
      </w:r>
      <w:r>
        <w:rPr>
          <w:spacing w:val="-15"/>
          <w:position w:val="2"/>
          <w:vertAlign w:val="baseline"/>
        </w:rPr>
        <w:t>、</w:t>
      </w:r>
      <w:r>
        <w:rPr>
          <w:rFonts w:ascii="Times New Roman" w:eastAsia="Times New Roman"/>
          <w:spacing w:val="-3"/>
          <w:position w:val="2"/>
          <w:vertAlign w:val="baseline"/>
        </w:rPr>
        <w:t>200mg/m</w:t>
      </w:r>
      <w:r>
        <w:rPr>
          <w:rFonts w:ascii="Times New Roman" w:eastAsia="Times New Roman"/>
          <w:spacing w:val="-3"/>
          <w:position w:val="2"/>
          <w:vertAlign w:val="superscript"/>
        </w:rPr>
        <w:t>3</w:t>
      </w:r>
      <w:r>
        <w:rPr>
          <w:spacing w:val="-4"/>
          <w:position w:val="2"/>
          <w:vertAlign w:val="baseline"/>
        </w:rPr>
        <w:t>，符合《锅炉大气污染物排放</w:t>
      </w:r>
      <w:r>
        <w:rPr>
          <w:spacing w:val="-23"/>
          <w:vertAlign w:val="baseline"/>
        </w:rPr>
        <w:t>标准》</w:t>
      </w:r>
      <w:r>
        <w:rPr>
          <w:spacing w:val="-3"/>
          <w:vertAlign w:val="baseline"/>
        </w:rPr>
        <w:t>（</w:t>
      </w:r>
      <w:r>
        <w:rPr>
          <w:rFonts w:ascii="Times New Roman" w:eastAsia="Times New Roman"/>
          <w:spacing w:val="-3"/>
          <w:vertAlign w:val="baseline"/>
        </w:rPr>
        <w:t>GB13271-2014</w:t>
      </w:r>
      <w:r>
        <w:rPr>
          <w:spacing w:val="-3"/>
          <w:vertAlign w:val="baseline"/>
        </w:rPr>
        <w:t>）</w:t>
      </w:r>
      <w:r>
        <w:rPr>
          <w:spacing w:val="-29"/>
          <w:vertAlign w:val="baseline"/>
        </w:rPr>
        <w:t xml:space="preserve">表 </w:t>
      </w:r>
      <w:r>
        <w:rPr>
          <w:rFonts w:ascii="Times New Roman" w:eastAsia="Times New Roman"/>
          <w:vertAlign w:val="baseline"/>
        </w:rPr>
        <w:t xml:space="preserve">2 </w:t>
      </w:r>
      <w:r>
        <w:rPr>
          <w:spacing w:val="-9"/>
          <w:vertAlign w:val="baseline"/>
        </w:rPr>
        <w:t xml:space="preserve">限值要求。热风炉房配置除尘效率为 </w:t>
      </w:r>
      <w:r>
        <w:rPr>
          <w:rFonts w:ascii="Times New Roman" w:eastAsia="Times New Roman"/>
          <w:vertAlign w:val="baseline"/>
        </w:rPr>
        <w:t>99.9%</w:t>
      </w:r>
      <w:r>
        <w:rPr>
          <w:spacing w:val="-2"/>
          <w:vertAlign w:val="baseline"/>
        </w:rPr>
        <w:t xml:space="preserve">的布袋除尘器， </w:t>
      </w:r>
      <w:r>
        <w:rPr>
          <w:position w:val="2"/>
          <w:vertAlign w:val="baseline"/>
        </w:rPr>
        <w:t>烟尘、</w:t>
      </w:r>
      <w:r>
        <w:rPr>
          <w:rFonts w:ascii="Times New Roman" w:eastAsia="Times New Roman"/>
          <w:position w:val="2"/>
          <w:vertAlign w:val="baseline"/>
        </w:rPr>
        <w:t>SO</w:t>
      </w:r>
      <w:r>
        <w:rPr>
          <w:rFonts w:ascii="Times New Roman" w:eastAsia="Times New Roman"/>
          <w:position w:val="2"/>
          <w:vertAlign w:val="subscript"/>
        </w:rPr>
        <w:t>2</w:t>
      </w:r>
      <w:r>
        <w:rPr>
          <w:position w:val="2"/>
          <w:vertAlign w:val="baseline"/>
        </w:rPr>
        <w:t>、</w:t>
      </w:r>
      <w:r>
        <w:rPr>
          <w:rFonts w:ascii="Times New Roman" w:eastAsia="Times New Roman"/>
          <w:position w:val="2"/>
          <w:vertAlign w:val="baseline"/>
        </w:rPr>
        <w:t>NO</w:t>
      </w:r>
      <w:r>
        <w:rPr>
          <w:rFonts w:ascii="Times New Roman" w:eastAsia="Times New Roman"/>
          <w:position w:val="2"/>
          <w:vertAlign w:val="subscript"/>
        </w:rPr>
        <w:t>X</w:t>
      </w:r>
      <w:r>
        <w:rPr>
          <w:rFonts w:ascii="Times New Roman" w:eastAsia="Times New Roman"/>
          <w:position w:val="2"/>
          <w:vertAlign w:val="baseline"/>
        </w:rPr>
        <w:t xml:space="preserve"> </w:t>
      </w:r>
      <w:r>
        <w:rPr>
          <w:spacing w:val="-6"/>
          <w:position w:val="2"/>
          <w:vertAlign w:val="baseline"/>
        </w:rPr>
        <w:t xml:space="preserve">排放浓度分别为 </w:t>
      </w:r>
      <w:r>
        <w:rPr>
          <w:rFonts w:ascii="Times New Roman" w:eastAsia="Times New Roman"/>
          <w:position w:val="2"/>
          <w:vertAlign w:val="baseline"/>
        </w:rPr>
        <w:t>14.25mg/m</w:t>
      </w:r>
      <w:r>
        <w:rPr>
          <w:rFonts w:ascii="Times New Roman" w:eastAsia="Times New Roman"/>
          <w:position w:val="2"/>
          <w:vertAlign w:val="superscript"/>
        </w:rPr>
        <w:t>3</w:t>
      </w:r>
      <w:r>
        <w:rPr>
          <w:position w:val="2"/>
          <w:vertAlign w:val="baseline"/>
        </w:rPr>
        <w:t>、</w:t>
      </w:r>
      <w:r>
        <w:rPr>
          <w:rFonts w:ascii="Times New Roman" w:eastAsia="Times New Roman"/>
          <w:position w:val="2"/>
          <w:vertAlign w:val="baseline"/>
        </w:rPr>
        <w:t>22.84mg/m</w:t>
      </w:r>
      <w:r>
        <w:rPr>
          <w:rFonts w:ascii="Times New Roman" w:eastAsia="Times New Roman"/>
          <w:position w:val="2"/>
          <w:vertAlign w:val="superscript"/>
        </w:rPr>
        <w:t>3</w:t>
      </w:r>
      <w:r>
        <w:rPr>
          <w:position w:val="2"/>
          <w:vertAlign w:val="baseline"/>
        </w:rPr>
        <w:t>、</w:t>
      </w:r>
      <w:r>
        <w:rPr>
          <w:rFonts w:ascii="Times New Roman" w:eastAsia="Times New Roman"/>
          <w:position w:val="2"/>
          <w:vertAlign w:val="baseline"/>
        </w:rPr>
        <w:t>200mg/m</w:t>
      </w:r>
      <w:r>
        <w:rPr>
          <w:rFonts w:ascii="Times New Roman" w:eastAsia="Times New Roman"/>
          <w:position w:val="2"/>
          <w:vertAlign w:val="superscript"/>
        </w:rPr>
        <w:t>3</w:t>
      </w:r>
      <w:r>
        <w:rPr>
          <w:position w:val="2"/>
          <w:vertAlign w:val="baseline"/>
        </w:rPr>
        <w:t>，污染物排放浓</w:t>
      </w:r>
      <w:r>
        <w:rPr>
          <w:spacing w:val="-10"/>
          <w:vertAlign w:val="baseline"/>
        </w:rPr>
        <w:t>度满足《工业炉窑大气污染物排放标准</w:t>
      </w:r>
      <w:r>
        <w:rPr>
          <w:spacing w:val="-192"/>
          <w:vertAlign w:val="baseline"/>
        </w:rPr>
        <w:t>》</w:t>
      </w:r>
      <w:r>
        <w:rPr>
          <w:vertAlign w:val="baseline"/>
        </w:rPr>
        <w:t>（</w:t>
      </w:r>
      <w:r>
        <w:rPr>
          <w:rFonts w:ascii="Times New Roman" w:eastAsia="Times New Roman"/>
          <w:spacing w:val="-1"/>
          <w:vertAlign w:val="baseline"/>
        </w:rPr>
        <w:t>G</w:t>
      </w:r>
      <w:r>
        <w:rPr>
          <w:rFonts w:ascii="Times New Roman" w:eastAsia="Times New Roman"/>
          <w:spacing w:val="-2"/>
          <w:vertAlign w:val="baseline"/>
        </w:rPr>
        <w:t>B</w:t>
      </w:r>
      <w:r>
        <w:rPr>
          <w:rFonts w:ascii="Times New Roman" w:eastAsia="Times New Roman"/>
          <w:vertAlign w:val="baseline"/>
        </w:rPr>
        <w:t>9078</w:t>
      </w:r>
      <w:r>
        <w:rPr>
          <w:rFonts w:ascii="Times New Roman" w:eastAsia="Times New Roman"/>
          <w:spacing w:val="-1"/>
          <w:vertAlign w:val="baseline"/>
        </w:rPr>
        <w:t>-</w:t>
      </w:r>
      <w:r>
        <w:rPr>
          <w:rFonts w:ascii="Times New Roman" w:eastAsia="Times New Roman"/>
          <w:vertAlign w:val="baseline"/>
        </w:rPr>
        <w:t>199</w:t>
      </w:r>
      <w:r>
        <w:rPr>
          <w:rFonts w:ascii="Times New Roman" w:eastAsia="Times New Roman"/>
          <w:spacing w:val="2"/>
          <w:vertAlign w:val="baseline"/>
        </w:rPr>
        <w:t>6</w:t>
      </w:r>
      <w:r>
        <w:rPr>
          <w:spacing w:val="-96"/>
          <w:vertAlign w:val="baseline"/>
        </w:rPr>
        <w:t>）</w:t>
      </w:r>
      <w:r>
        <w:rPr>
          <w:spacing w:val="-20"/>
          <w:vertAlign w:val="baseline"/>
        </w:rPr>
        <w:t xml:space="preserve">中表 </w:t>
      </w:r>
      <w:r>
        <w:rPr>
          <w:rFonts w:ascii="Times New Roman" w:eastAsia="Times New Roman"/>
          <w:vertAlign w:val="baseline"/>
        </w:rPr>
        <w:t xml:space="preserve">2 </w:t>
      </w:r>
      <w:r>
        <w:rPr>
          <w:spacing w:val="-20"/>
          <w:vertAlign w:val="baseline"/>
        </w:rPr>
        <w:t xml:space="preserve">及表 </w:t>
      </w:r>
      <w:r>
        <w:rPr>
          <w:rFonts w:ascii="Times New Roman" w:eastAsia="Times New Roman"/>
          <w:vertAlign w:val="baseline"/>
        </w:rPr>
        <w:t xml:space="preserve">4 </w:t>
      </w:r>
      <w:r>
        <w:rPr>
          <w:spacing w:val="-15"/>
          <w:vertAlign w:val="baseline"/>
        </w:rPr>
        <w:t xml:space="preserve">中烟尘 </w:t>
      </w:r>
      <w:r>
        <w:rPr>
          <w:rFonts w:ascii="Times New Roman" w:eastAsia="Times New Roman"/>
          <w:vertAlign w:val="baseline"/>
        </w:rPr>
        <w:t>200m</w:t>
      </w:r>
      <w:r>
        <w:rPr>
          <w:rFonts w:ascii="Times New Roman" w:eastAsia="Times New Roman"/>
          <w:spacing w:val="-3"/>
          <w:vertAlign w:val="baseline"/>
        </w:rPr>
        <w:t>g</w:t>
      </w:r>
      <w:r>
        <w:rPr>
          <w:rFonts w:ascii="Times New Roman" w:eastAsia="Times New Roman"/>
          <w:vertAlign w:val="baseline"/>
        </w:rPr>
        <w:t>/m</w:t>
      </w:r>
      <w:r>
        <w:rPr>
          <w:rFonts w:ascii="Times New Roman" w:eastAsia="Times New Roman"/>
          <w:spacing w:val="-2"/>
          <w:w w:val="104"/>
          <w:position w:val="8"/>
          <w:sz w:val="15"/>
          <w:vertAlign w:val="baseline"/>
        </w:rPr>
        <w:t>3</w:t>
      </w:r>
      <w:r>
        <w:rPr>
          <w:vertAlign w:val="baseline"/>
        </w:rPr>
        <w:t xml:space="preserve">、 </w:t>
      </w:r>
      <w:r>
        <w:rPr>
          <w:rFonts w:ascii="Times New Roman" w:eastAsia="Times New Roman"/>
          <w:position w:val="2"/>
          <w:vertAlign w:val="baseline"/>
        </w:rPr>
        <w:t>SO</w:t>
      </w:r>
      <w:r>
        <w:rPr>
          <w:rFonts w:ascii="Times New Roman" w:eastAsia="Times New Roman"/>
          <w:position w:val="2"/>
          <w:vertAlign w:val="subscript"/>
        </w:rPr>
        <w:t>2</w:t>
      </w:r>
      <w:r>
        <w:rPr>
          <w:rFonts w:ascii="Times New Roman" w:eastAsia="Times New Roman"/>
          <w:position w:val="2"/>
          <w:vertAlign w:val="baseline"/>
        </w:rPr>
        <w:t>850mg/m</w:t>
      </w:r>
      <w:r>
        <w:rPr>
          <w:rFonts w:ascii="Times New Roman" w:eastAsia="Times New Roman"/>
          <w:position w:val="2"/>
          <w:vertAlign w:val="superscript"/>
        </w:rPr>
        <w:t>3</w:t>
      </w:r>
      <w:r>
        <w:rPr>
          <w:rFonts w:ascii="Times New Roman" w:eastAsia="Times New Roman"/>
          <w:position w:val="2"/>
          <w:vertAlign w:val="baseline"/>
        </w:rPr>
        <w:t xml:space="preserve"> </w:t>
      </w:r>
      <w:r>
        <w:rPr>
          <w:position w:val="2"/>
          <w:vertAlign w:val="baseline"/>
        </w:rPr>
        <w:t>的标准限值要求。</w:t>
      </w:r>
    </w:p>
    <w:p>
      <w:pPr>
        <w:pStyle w:val="13"/>
        <w:numPr>
          <w:ilvl w:val="0"/>
          <w:numId w:val="66"/>
        </w:numPr>
        <w:tabs>
          <w:tab w:val="left" w:pos="1297"/>
        </w:tabs>
        <w:spacing w:before="1" w:after="0" w:line="240" w:lineRule="auto"/>
        <w:ind w:left="1297" w:right="0" w:hanging="601"/>
        <w:jc w:val="left"/>
        <w:rPr>
          <w:sz w:val="24"/>
        </w:rPr>
      </w:pPr>
      <w:r>
        <w:rPr>
          <w:sz w:val="24"/>
        </w:rPr>
        <w:t>扬尘</w:t>
      </w:r>
    </w:p>
    <w:p>
      <w:pPr>
        <w:pStyle w:val="6"/>
        <w:spacing w:before="158" w:line="364" w:lineRule="auto"/>
        <w:ind w:left="215" w:right="580" w:firstLine="480"/>
        <w:jc w:val="both"/>
      </w:pPr>
      <w:r>
        <w:t xml:space="preserve">煤炭场内输送采用全封闭式输送栈桥，煤尘很少；采用全封闭煤仓，煤尘对环境空气影响较小；矸石临时堆放场内设有喷洒设施，洒水抑尘；筛分车间设布袋除尘器，烟尘经布袋除尘器处理后 </w:t>
      </w:r>
      <w:r>
        <w:rPr>
          <w:rFonts w:ascii="Times New Roman" w:eastAsia="Times New Roman"/>
        </w:rPr>
        <w:t xml:space="preserve">15m </w:t>
      </w:r>
      <w:r>
        <w:t>高烟囱排放。</w:t>
      </w:r>
    </w:p>
    <w:p>
      <w:pPr>
        <w:pStyle w:val="13"/>
        <w:numPr>
          <w:ilvl w:val="0"/>
          <w:numId w:val="66"/>
        </w:numPr>
        <w:tabs>
          <w:tab w:val="left" w:pos="1300"/>
        </w:tabs>
        <w:spacing w:before="0" w:after="0" w:line="364" w:lineRule="auto"/>
        <w:ind w:left="215" w:right="578" w:firstLine="480"/>
        <w:jc w:val="both"/>
        <w:rPr>
          <w:sz w:val="24"/>
        </w:rPr>
      </w:pPr>
      <w:r>
        <w:rPr>
          <w:sz w:val="24"/>
        </w:rPr>
        <w:t>食堂安装油烟净化设施，油烟去除效率</w:t>
      </w:r>
      <w:r>
        <w:rPr>
          <w:rFonts w:ascii="Times New Roman" w:hAnsi="Times New Roman" w:eastAsia="Times New Roman"/>
          <w:sz w:val="24"/>
        </w:rPr>
        <w:t>≥85%</w:t>
      </w:r>
      <w:r>
        <w:rPr>
          <w:sz w:val="24"/>
        </w:rPr>
        <w:t>，油烟排放浓度满足《饮食业油烟排放标准》（</w:t>
      </w:r>
      <w:r>
        <w:rPr>
          <w:rFonts w:ascii="Times New Roman" w:hAnsi="Times New Roman" w:eastAsia="Times New Roman"/>
          <w:sz w:val="24"/>
        </w:rPr>
        <w:t>GB</w:t>
      </w:r>
      <w:r>
        <w:rPr>
          <w:rFonts w:ascii="Times New Roman" w:hAnsi="Times New Roman" w:eastAsia="Times New Roman"/>
          <w:spacing w:val="-1"/>
          <w:sz w:val="24"/>
        </w:rPr>
        <w:t xml:space="preserve"> </w:t>
      </w:r>
      <w:r>
        <w:rPr>
          <w:rFonts w:ascii="Times New Roman" w:hAnsi="Times New Roman" w:eastAsia="Times New Roman"/>
          <w:sz w:val="24"/>
        </w:rPr>
        <w:t>18483-2001</w:t>
      </w:r>
      <w:r>
        <w:rPr>
          <w:sz w:val="24"/>
        </w:rPr>
        <w:t>）</w:t>
      </w:r>
      <w:r>
        <w:rPr>
          <w:spacing w:val="-7"/>
          <w:sz w:val="24"/>
        </w:rPr>
        <w:t xml:space="preserve">最高允许排放浓度 </w:t>
      </w:r>
      <w:r>
        <w:rPr>
          <w:rFonts w:ascii="Times New Roman" w:hAnsi="Times New Roman" w:eastAsia="Times New Roman"/>
          <w:sz w:val="24"/>
        </w:rPr>
        <w:t>2.0mg/m</w:t>
      </w:r>
      <w:r>
        <w:rPr>
          <w:rFonts w:ascii="Times New Roman" w:hAnsi="Times New Roman" w:eastAsia="Times New Roman"/>
          <w:position w:val="8"/>
          <w:sz w:val="15"/>
        </w:rPr>
        <w:t>3</w:t>
      </w:r>
      <w:r>
        <w:rPr>
          <w:sz w:val="24"/>
        </w:rPr>
        <w:t>。</w:t>
      </w:r>
    </w:p>
    <w:p>
      <w:pPr>
        <w:pStyle w:val="13"/>
        <w:numPr>
          <w:ilvl w:val="0"/>
          <w:numId w:val="66"/>
        </w:numPr>
        <w:tabs>
          <w:tab w:val="left" w:pos="1297"/>
        </w:tabs>
        <w:spacing w:before="0" w:after="0" w:line="306" w:lineRule="exact"/>
        <w:ind w:left="1297" w:right="0" w:hanging="601"/>
        <w:jc w:val="left"/>
        <w:rPr>
          <w:sz w:val="24"/>
        </w:rPr>
      </w:pPr>
      <w:r>
        <w:rPr>
          <w:sz w:val="24"/>
        </w:rPr>
        <w:t>运煤车辆的防尘要求</w:t>
      </w:r>
    </w:p>
    <w:p>
      <w:pPr>
        <w:pStyle w:val="6"/>
        <w:spacing w:before="160" w:line="364" w:lineRule="auto"/>
        <w:ind w:left="215" w:right="580" w:firstLine="480"/>
        <w:jc w:val="both"/>
      </w:pPr>
      <w:r>
        <w:t>对进出运煤车辆定期进行清洗，清除车辆表面粘附的煤粒、泥土等；车辆表面要覆盖苫布，经运输线路敏感点时要减速慢行，防止散装煤炭的撒落对敏感点环境空气的影响。</w:t>
      </w:r>
    </w:p>
    <w:p>
      <w:pPr>
        <w:pStyle w:val="13"/>
        <w:numPr>
          <w:ilvl w:val="0"/>
          <w:numId w:val="66"/>
        </w:numPr>
        <w:tabs>
          <w:tab w:val="left" w:pos="1297"/>
        </w:tabs>
        <w:spacing w:before="0" w:after="0" w:line="364" w:lineRule="auto"/>
        <w:ind w:left="215" w:right="458" w:firstLine="480"/>
        <w:jc w:val="left"/>
        <w:rPr>
          <w:sz w:val="24"/>
        </w:rPr>
      </w:pPr>
      <w:r>
        <w:rPr>
          <w:spacing w:val="-14"/>
          <w:sz w:val="24"/>
        </w:rPr>
        <w:t>提高路面等级，改善路况，并加强道路两侧及工业场地的绿化，减少裸露地面</w:t>
      </w:r>
      <w:r>
        <w:rPr>
          <w:spacing w:val="-4"/>
          <w:sz w:val="24"/>
        </w:rPr>
        <w:t>，严格管理车辆，防止散装物料的撒落，对矿前区公路进行适当洒水，以进一步抑尘。</w:t>
      </w:r>
    </w:p>
    <w:p>
      <w:pPr>
        <w:pStyle w:val="3"/>
        <w:numPr>
          <w:ilvl w:val="1"/>
          <w:numId w:val="65"/>
        </w:numPr>
        <w:tabs>
          <w:tab w:val="left" w:pos="668"/>
        </w:tabs>
        <w:spacing w:before="0" w:after="0" w:line="240" w:lineRule="auto"/>
        <w:ind w:left="667" w:right="0" w:hanging="453"/>
        <w:jc w:val="left"/>
        <w:rPr>
          <w:rFonts w:ascii="Times New Roman" w:eastAsia="Times New Roman"/>
        </w:rPr>
      </w:pPr>
      <w:bookmarkStart w:id="770" w:name="8.6排放量核算"/>
      <w:bookmarkEnd w:id="770"/>
      <w:bookmarkStart w:id="771" w:name="_bookmark49"/>
      <w:bookmarkEnd w:id="771"/>
      <w:bookmarkStart w:id="772" w:name="_bookmark49"/>
      <w:bookmarkEnd w:id="772"/>
      <w:r>
        <w:t>排放量核算</w:t>
      </w:r>
    </w:p>
    <w:p>
      <w:pPr>
        <w:pStyle w:val="6"/>
        <w:spacing w:before="197"/>
        <w:ind w:left="696"/>
      </w:pPr>
      <w:r>
        <w:t xml:space="preserve">本项目污染物排放量核算见表 </w:t>
      </w:r>
      <w:r>
        <w:rPr>
          <w:rFonts w:ascii="Times New Roman" w:eastAsia="Times New Roman"/>
        </w:rPr>
        <w:t>8.6-1</w:t>
      </w:r>
      <w:r>
        <w:t>、</w:t>
      </w:r>
      <w:r>
        <w:rPr>
          <w:rFonts w:ascii="Times New Roman" w:eastAsia="Times New Roman"/>
        </w:rPr>
        <w:t>8.6-2</w:t>
      </w:r>
      <w:r>
        <w:t>。</w:t>
      </w:r>
    </w:p>
    <w:p>
      <w:pPr>
        <w:pStyle w:val="5"/>
        <w:spacing w:before="158" w:after="2"/>
        <w:ind w:left="127"/>
        <w:jc w:val="center"/>
      </w:pPr>
      <w:r>
        <w:t xml:space="preserve">表 </w:t>
      </w:r>
      <w:r>
        <w:rPr>
          <w:rFonts w:ascii="Times New Roman" w:eastAsia="Times New Roman"/>
        </w:rPr>
        <w:t xml:space="preserve">8.6-1 </w:t>
      </w:r>
      <w:r>
        <w:t>大气污染物有组织排放量核算表</w:t>
      </w: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5"/>
        <w:gridCol w:w="1439"/>
        <w:gridCol w:w="1467"/>
        <w:gridCol w:w="1335"/>
        <w:gridCol w:w="2455"/>
        <w:gridCol w:w="18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45" w:type="dxa"/>
          </w:tcPr>
          <w:p>
            <w:pPr>
              <w:pStyle w:val="14"/>
              <w:spacing w:before="117"/>
              <w:ind w:left="220" w:right="213"/>
              <w:rPr>
                <w:b/>
                <w:sz w:val="18"/>
              </w:rPr>
            </w:pPr>
            <w:r>
              <w:rPr>
                <w:b/>
                <w:sz w:val="18"/>
              </w:rPr>
              <w:t>序号</w:t>
            </w:r>
          </w:p>
        </w:tc>
        <w:tc>
          <w:tcPr>
            <w:tcW w:w="1439" w:type="dxa"/>
          </w:tcPr>
          <w:p>
            <w:pPr>
              <w:pStyle w:val="14"/>
              <w:spacing w:before="117"/>
              <w:ind w:left="248" w:right="236"/>
              <w:rPr>
                <w:b/>
                <w:sz w:val="18"/>
              </w:rPr>
            </w:pPr>
            <w:r>
              <w:rPr>
                <w:b/>
                <w:sz w:val="18"/>
              </w:rPr>
              <w:t>排放口编号</w:t>
            </w:r>
          </w:p>
        </w:tc>
        <w:tc>
          <w:tcPr>
            <w:tcW w:w="1467" w:type="dxa"/>
          </w:tcPr>
          <w:p>
            <w:pPr>
              <w:pStyle w:val="14"/>
              <w:spacing w:before="117"/>
              <w:ind w:left="442" w:right="432"/>
              <w:rPr>
                <w:b/>
                <w:sz w:val="18"/>
              </w:rPr>
            </w:pPr>
            <w:r>
              <w:rPr>
                <w:b/>
                <w:sz w:val="18"/>
              </w:rPr>
              <w:t>污染物</w:t>
            </w:r>
          </w:p>
        </w:tc>
        <w:tc>
          <w:tcPr>
            <w:tcW w:w="1335" w:type="dxa"/>
          </w:tcPr>
          <w:p>
            <w:pPr>
              <w:pStyle w:val="14"/>
              <w:spacing w:before="2"/>
              <w:ind w:left="104" w:right="95"/>
              <w:rPr>
                <w:b/>
                <w:sz w:val="18"/>
              </w:rPr>
            </w:pPr>
            <w:r>
              <w:rPr>
                <w:b/>
                <w:sz w:val="18"/>
              </w:rPr>
              <w:t>核算排放浓度</w:t>
            </w:r>
          </w:p>
          <w:p>
            <w:pPr>
              <w:pStyle w:val="14"/>
              <w:spacing w:before="2" w:line="212" w:lineRule="exact"/>
              <w:ind w:left="104" w:right="95"/>
              <w:rPr>
                <w:b/>
                <w:sz w:val="18"/>
              </w:rPr>
            </w:pPr>
            <w:r>
              <w:rPr>
                <w:b/>
                <w:sz w:val="18"/>
              </w:rPr>
              <w:t>（</w:t>
            </w:r>
            <w:r>
              <w:rPr>
                <w:rFonts w:ascii="Times New Roman" w:eastAsia="Times New Roman"/>
                <w:b/>
                <w:sz w:val="18"/>
              </w:rPr>
              <w:t>mg/m</w:t>
            </w:r>
            <w:r>
              <w:rPr>
                <w:rFonts w:ascii="Times New Roman" w:eastAsia="Times New Roman"/>
                <w:b/>
                <w:position w:val="6"/>
                <w:sz w:val="11"/>
              </w:rPr>
              <w:t>3</w:t>
            </w:r>
            <w:r>
              <w:rPr>
                <w:b/>
                <w:sz w:val="18"/>
              </w:rPr>
              <w:t>）</w:t>
            </w:r>
          </w:p>
        </w:tc>
        <w:tc>
          <w:tcPr>
            <w:tcW w:w="2455" w:type="dxa"/>
          </w:tcPr>
          <w:p>
            <w:pPr>
              <w:pStyle w:val="14"/>
              <w:spacing w:before="117"/>
              <w:ind w:left="316" w:right="302"/>
              <w:rPr>
                <w:b/>
                <w:sz w:val="18"/>
              </w:rPr>
            </w:pPr>
            <w:r>
              <w:rPr>
                <w:b/>
                <w:sz w:val="18"/>
              </w:rPr>
              <w:t>核算排放速率（</w:t>
            </w:r>
            <w:r>
              <w:rPr>
                <w:rFonts w:ascii="Times New Roman" w:eastAsia="Times New Roman"/>
                <w:b/>
                <w:sz w:val="18"/>
              </w:rPr>
              <w:t>kg/h</w:t>
            </w:r>
            <w:r>
              <w:rPr>
                <w:b/>
                <w:sz w:val="18"/>
              </w:rPr>
              <w:t>）</w:t>
            </w:r>
          </w:p>
        </w:tc>
        <w:tc>
          <w:tcPr>
            <w:tcW w:w="1803" w:type="dxa"/>
          </w:tcPr>
          <w:p>
            <w:pPr>
              <w:pStyle w:val="14"/>
              <w:spacing w:before="117"/>
              <w:ind w:left="90" w:right="17"/>
              <w:rPr>
                <w:b/>
                <w:sz w:val="18"/>
              </w:rPr>
            </w:pPr>
            <w:r>
              <w:rPr>
                <w:b/>
                <w:sz w:val="18"/>
              </w:rPr>
              <w:t>核算年排放量（</w:t>
            </w:r>
            <w:r>
              <w:rPr>
                <w:rFonts w:ascii="Times New Roman" w:eastAsia="Times New Roman"/>
                <w:b/>
                <w:sz w:val="18"/>
              </w:rPr>
              <w:t>t/a</w:t>
            </w:r>
            <w:r>
              <w:rPr>
                <w:b/>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9344" w:type="dxa"/>
            <w:gridSpan w:val="6"/>
          </w:tcPr>
          <w:p>
            <w:pPr>
              <w:pStyle w:val="14"/>
              <w:spacing w:before="3" w:line="211" w:lineRule="exact"/>
              <w:ind w:left="4022" w:right="4011"/>
              <w:rPr>
                <w:sz w:val="18"/>
              </w:rPr>
            </w:pPr>
            <w:r>
              <w:rPr>
                <w:sz w:val="18"/>
              </w:rPr>
              <w:t>主要排放口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 w:hRule="atLeast"/>
        </w:trPr>
        <w:tc>
          <w:tcPr>
            <w:tcW w:w="845" w:type="dxa"/>
          </w:tcPr>
          <w:p>
            <w:pPr>
              <w:pStyle w:val="14"/>
              <w:spacing w:line="187" w:lineRule="exact"/>
              <w:ind w:left="6"/>
              <w:rPr>
                <w:rFonts w:ascii="Times New Roman"/>
                <w:sz w:val="18"/>
              </w:rPr>
            </w:pPr>
            <w:r>
              <w:rPr>
                <w:rFonts w:ascii="Times New Roman"/>
                <w:sz w:val="18"/>
              </w:rPr>
              <w:t>1</w:t>
            </w:r>
          </w:p>
        </w:tc>
        <w:tc>
          <w:tcPr>
            <w:tcW w:w="1439" w:type="dxa"/>
          </w:tcPr>
          <w:p>
            <w:pPr>
              <w:pStyle w:val="14"/>
              <w:spacing w:line="187" w:lineRule="exact"/>
              <w:ind w:left="10"/>
              <w:rPr>
                <w:rFonts w:ascii="Times New Roman"/>
                <w:sz w:val="18"/>
              </w:rPr>
            </w:pPr>
            <w:r>
              <w:rPr>
                <w:rFonts w:ascii="Times New Roman"/>
                <w:sz w:val="18"/>
              </w:rPr>
              <w:t>/</w:t>
            </w:r>
          </w:p>
        </w:tc>
        <w:tc>
          <w:tcPr>
            <w:tcW w:w="1467" w:type="dxa"/>
          </w:tcPr>
          <w:p>
            <w:pPr>
              <w:pStyle w:val="14"/>
              <w:spacing w:line="187" w:lineRule="exact"/>
              <w:ind w:left="8"/>
              <w:rPr>
                <w:rFonts w:ascii="Times New Roman"/>
                <w:sz w:val="18"/>
              </w:rPr>
            </w:pPr>
            <w:r>
              <w:rPr>
                <w:rFonts w:ascii="Times New Roman"/>
                <w:sz w:val="18"/>
              </w:rPr>
              <w:t>/</w:t>
            </w:r>
          </w:p>
        </w:tc>
        <w:tc>
          <w:tcPr>
            <w:tcW w:w="1335" w:type="dxa"/>
          </w:tcPr>
          <w:p>
            <w:pPr>
              <w:pStyle w:val="14"/>
              <w:spacing w:line="187" w:lineRule="exact"/>
              <w:ind w:left="9"/>
              <w:rPr>
                <w:rFonts w:ascii="Times New Roman"/>
                <w:sz w:val="18"/>
              </w:rPr>
            </w:pPr>
            <w:r>
              <w:rPr>
                <w:rFonts w:ascii="Times New Roman"/>
                <w:sz w:val="18"/>
              </w:rPr>
              <w:t>/</w:t>
            </w:r>
          </w:p>
        </w:tc>
        <w:tc>
          <w:tcPr>
            <w:tcW w:w="2455" w:type="dxa"/>
          </w:tcPr>
          <w:p>
            <w:pPr>
              <w:pStyle w:val="14"/>
              <w:spacing w:line="187" w:lineRule="exact"/>
              <w:ind w:left="6"/>
              <w:rPr>
                <w:rFonts w:ascii="Times New Roman"/>
                <w:sz w:val="18"/>
              </w:rPr>
            </w:pPr>
            <w:r>
              <w:rPr>
                <w:rFonts w:ascii="Times New Roman"/>
                <w:sz w:val="18"/>
              </w:rPr>
              <w:t>/</w:t>
            </w:r>
          </w:p>
        </w:tc>
        <w:tc>
          <w:tcPr>
            <w:tcW w:w="1803" w:type="dxa"/>
          </w:tcPr>
          <w:p>
            <w:pPr>
              <w:pStyle w:val="14"/>
              <w:spacing w:line="187" w:lineRule="exact"/>
              <w:ind w:left="6"/>
              <w:rPr>
                <w:rFonts w:ascii="Times New Roman"/>
                <w:sz w:val="18"/>
              </w:rPr>
            </w:pPr>
            <w:r>
              <w:rPr>
                <w:rFonts w:ascii="Times New Roman"/>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2284" w:type="dxa"/>
            <w:gridSpan w:val="2"/>
          </w:tcPr>
          <w:p>
            <w:pPr>
              <w:pStyle w:val="14"/>
              <w:spacing w:line="213" w:lineRule="exact"/>
              <w:ind w:left="512"/>
              <w:jc w:val="left"/>
              <w:rPr>
                <w:sz w:val="18"/>
              </w:rPr>
            </w:pPr>
            <w:r>
              <w:rPr>
                <w:sz w:val="18"/>
              </w:rPr>
              <w:t>主要排放口合计</w:t>
            </w:r>
          </w:p>
        </w:tc>
        <w:tc>
          <w:tcPr>
            <w:tcW w:w="5257" w:type="dxa"/>
            <w:gridSpan w:val="3"/>
          </w:tcPr>
          <w:p>
            <w:pPr>
              <w:pStyle w:val="14"/>
              <w:spacing w:before="12" w:line="201" w:lineRule="exact"/>
              <w:ind w:left="10"/>
              <w:rPr>
                <w:rFonts w:ascii="Times New Roman"/>
                <w:sz w:val="18"/>
              </w:rPr>
            </w:pPr>
            <w:r>
              <w:rPr>
                <w:rFonts w:ascii="Times New Roman"/>
                <w:sz w:val="18"/>
              </w:rPr>
              <w:t>/</w:t>
            </w:r>
          </w:p>
        </w:tc>
        <w:tc>
          <w:tcPr>
            <w:tcW w:w="1803" w:type="dxa"/>
          </w:tcPr>
          <w:p>
            <w:pPr>
              <w:pStyle w:val="14"/>
              <w:spacing w:before="12" w:line="201" w:lineRule="exact"/>
              <w:ind w:left="6"/>
              <w:rPr>
                <w:rFonts w:ascii="Times New Roman"/>
                <w:sz w:val="18"/>
              </w:rPr>
            </w:pPr>
            <w:r>
              <w:rPr>
                <w:rFonts w:ascii="Times New Roman"/>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9344" w:type="dxa"/>
            <w:gridSpan w:val="6"/>
          </w:tcPr>
          <w:p>
            <w:pPr>
              <w:pStyle w:val="14"/>
              <w:spacing w:before="2" w:line="211" w:lineRule="exact"/>
              <w:ind w:left="4022" w:right="4011"/>
              <w:rPr>
                <w:sz w:val="18"/>
              </w:rPr>
            </w:pPr>
            <w:r>
              <w:rPr>
                <w:sz w:val="18"/>
              </w:rPr>
              <w:t>一般排放口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2284" w:type="dxa"/>
            <w:gridSpan w:val="2"/>
            <w:vMerge w:val="restart"/>
          </w:tcPr>
          <w:p>
            <w:pPr>
              <w:pStyle w:val="14"/>
              <w:spacing w:before="1"/>
              <w:jc w:val="left"/>
              <w:rPr>
                <w:b/>
                <w:sz w:val="20"/>
              </w:rPr>
            </w:pPr>
          </w:p>
          <w:p>
            <w:pPr>
              <w:pStyle w:val="14"/>
              <w:spacing w:before="1"/>
              <w:ind w:left="601"/>
              <w:jc w:val="left"/>
              <w:rPr>
                <w:sz w:val="18"/>
              </w:rPr>
            </w:pPr>
            <w:r>
              <w:rPr>
                <w:sz w:val="18"/>
              </w:rPr>
              <w:t>热风炉房烟囱</w:t>
            </w:r>
          </w:p>
        </w:tc>
        <w:tc>
          <w:tcPr>
            <w:tcW w:w="1467" w:type="dxa"/>
          </w:tcPr>
          <w:p>
            <w:pPr>
              <w:pStyle w:val="14"/>
              <w:spacing w:before="6" w:line="216" w:lineRule="exact"/>
              <w:ind w:left="438" w:right="432"/>
              <w:rPr>
                <w:sz w:val="18"/>
              </w:rPr>
            </w:pPr>
            <w:r>
              <w:rPr>
                <w:sz w:val="18"/>
              </w:rPr>
              <w:t>烟尘</w:t>
            </w:r>
          </w:p>
        </w:tc>
        <w:tc>
          <w:tcPr>
            <w:tcW w:w="1335" w:type="dxa"/>
          </w:tcPr>
          <w:p>
            <w:pPr>
              <w:pStyle w:val="14"/>
              <w:spacing w:line="222" w:lineRule="exact"/>
              <w:ind w:left="104" w:right="93"/>
              <w:rPr>
                <w:rFonts w:ascii="Times New Roman"/>
                <w:sz w:val="21"/>
              </w:rPr>
            </w:pPr>
            <w:r>
              <w:rPr>
                <w:rFonts w:ascii="Times New Roman"/>
                <w:sz w:val="21"/>
              </w:rPr>
              <w:t>14.25</w:t>
            </w:r>
          </w:p>
        </w:tc>
        <w:tc>
          <w:tcPr>
            <w:tcW w:w="2455" w:type="dxa"/>
          </w:tcPr>
          <w:p>
            <w:pPr>
              <w:pStyle w:val="14"/>
              <w:spacing w:line="222" w:lineRule="exact"/>
              <w:ind w:left="310" w:right="302"/>
              <w:rPr>
                <w:rFonts w:ascii="Times New Roman"/>
                <w:sz w:val="21"/>
              </w:rPr>
            </w:pPr>
            <w:r>
              <w:rPr>
                <w:rFonts w:ascii="Times New Roman"/>
                <w:sz w:val="21"/>
              </w:rPr>
              <w:t>0.062</w:t>
            </w:r>
          </w:p>
        </w:tc>
        <w:tc>
          <w:tcPr>
            <w:tcW w:w="1803" w:type="dxa"/>
          </w:tcPr>
          <w:p>
            <w:pPr>
              <w:pStyle w:val="14"/>
              <w:spacing w:line="222" w:lineRule="exact"/>
              <w:ind w:left="29" w:right="17"/>
              <w:rPr>
                <w:rFonts w:ascii="Times New Roman"/>
                <w:sz w:val="21"/>
              </w:rPr>
            </w:pPr>
            <w:r>
              <w:rPr>
                <w:rFonts w:ascii="Times New Roman"/>
                <w:sz w:val="21"/>
              </w:rPr>
              <w:t>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2284" w:type="dxa"/>
            <w:gridSpan w:val="2"/>
            <w:vMerge w:val="continue"/>
            <w:tcBorders>
              <w:top w:val="nil"/>
            </w:tcBorders>
          </w:tcPr>
          <w:p>
            <w:pPr>
              <w:rPr>
                <w:sz w:val="2"/>
                <w:szCs w:val="2"/>
              </w:rPr>
            </w:pPr>
          </w:p>
        </w:tc>
        <w:tc>
          <w:tcPr>
            <w:tcW w:w="1467" w:type="dxa"/>
          </w:tcPr>
          <w:p>
            <w:pPr>
              <w:pStyle w:val="14"/>
              <w:spacing w:before="20" w:line="201" w:lineRule="exact"/>
              <w:ind w:left="442" w:right="432"/>
              <w:rPr>
                <w:rFonts w:ascii="Times New Roman"/>
                <w:sz w:val="18"/>
              </w:rPr>
            </w:pPr>
            <w:r>
              <w:rPr>
                <w:rFonts w:ascii="Times New Roman"/>
                <w:position w:val="1"/>
                <w:sz w:val="18"/>
              </w:rPr>
              <w:t>SO</w:t>
            </w:r>
            <w:r>
              <w:rPr>
                <w:rFonts w:ascii="Times New Roman"/>
                <w:position w:val="1"/>
                <w:sz w:val="18"/>
                <w:vertAlign w:val="subscript"/>
              </w:rPr>
              <w:t>2</w:t>
            </w:r>
          </w:p>
        </w:tc>
        <w:tc>
          <w:tcPr>
            <w:tcW w:w="1335" w:type="dxa"/>
          </w:tcPr>
          <w:p>
            <w:pPr>
              <w:pStyle w:val="14"/>
              <w:spacing w:line="221" w:lineRule="exact"/>
              <w:ind w:left="104" w:right="93"/>
              <w:rPr>
                <w:rFonts w:ascii="Times New Roman"/>
                <w:sz w:val="21"/>
              </w:rPr>
            </w:pPr>
            <w:r>
              <w:rPr>
                <w:rFonts w:ascii="Times New Roman"/>
                <w:sz w:val="21"/>
              </w:rPr>
              <w:t>22.84</w:t>
            </w:r>
          </w:p>
        </w:tc>
        <w:tc>
          <w:tcPr>
            <w:tcW w:w="2455" w:type="dxa"/>
          </w:tcPr>
          <w:p>
            <w:pPr>
              <w:pStyle w:val="14"/>
              <w:spacing w:line="221" w:lineRule="exact"/>
              <w:ind w:left="310" w:right="302"/>
              <w:rPr>
                <w:rFonts w:ascii="Times New Roman"/>
                <w:sz w:val="21"/>
              </w:rPr>
            </w:pPr>
            <w:r>
              <w:rPr>
                <w:rFonts w:ascii="Times New Roman"/>
                <w:sz w:val="21"/>
              </w:rPr>
              <w:t>0.099</w:t>
            </w:r>
          </w:p>
        </w:tc>
        <w:tc>
          <w:tcPr>
            <w:tcW w:w="1803" w:type="dxa"/>
          </w:tcPr>
          <w:p>
            <w:pPr>
              <w:pStyle w:val="14"/>
              <w:spacing w:line="221" w:lineRule="exact"/>
              <w:ind w:left="29" w:right="17"/>
              <w:rPr>
                <w:rFonts w:ascii="Times New Roman"/>
                <w:sz w:val="21"/>
              </w:rPr>
            </w:pPr>
            <w:r>
              <w:rPr>
                <w:rFonts w:ascii="Times New Roman"/>
                <w:sz w:val="21"/>
              </w:rPr>
              <w:t>0.32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2284" w:type="dxa"/>
            <w:gridSpan w:val="2"/>
            <w:vMerge w:val="continue"/>
            <w:tcBorders>
              <w:top w:val="nil"/>
            </w:tcBorders>
          </w:tcPr>
          <w:p>
            <w:pPr>
              <w:rPr>
                <w:sz w:val="2"/>
                <w:szCs w:val="2"/>
              </w:rPr>
            </w:pPr>
          </w:p>
        </w:tc>
        <w:tc>
          <w:tcPr>
            <w:tcW w:w="1467" w:type="dxa"/>
          </w:tcPr>
          <w:p>
            <w:pPr>
              <w:pStyle w:val="14"/>
              <w:spacing w:before="16" w:line="205" w:lineRule="exact"/>
              <w:ind w:left="441" w:right="432"/>
              <w:rPr>
                <w:rFonts w:ascii="Times New Roman"/>
                <w:sz w:val="18"/>
              </w:rPr>
            </w:pPr>
            <w:r>
              <w:rPr>
                <w:rFonts w:ascii="Times New Roman"/>
                <w:sz w:val="18"/>
              </w:rPr>
              <w:t>NOx</w:t>
            </w:r>
          </w:p>
        </w:tc>
        <w:tc>
          <w:tcPr>
            <w:tcW w:w="1335" w:type="dxa"/>
          </w:tcPr>
          <w:p>
            <w:pPr>
              <w:pStyle w:val="14"/>
              <w:spacing w:line="221" w:lineRule="exact"/>
              <w:ind w:left="104" w:right="93"/>
              <w:rPr>
                <w:rFonts w:ascii="Times New Roman"/>
                <w:sz w:val="21"/>
              </w:rPr>
            </w:pPr>
            <w:r>
              <w:rPr>
                <w:rFonts w:ascii="Times New Roman"/>
                <w:sz w:val="21"/>
              </w:rPr>
              <w:t>200</w:t>
            </w:r>
          </w:p>
        </w:tc>
        <w:tc>
          <w:tcPr>
            <w:tcW w:w="2455" w:type="dxa"/>
          </w:tcPr>
          <w:p>
            <w:pPr>
              <w:pStyle w:val="14"/>
              <w:spacing w:line="221" w:lineRule="exact"/>
              <w:ind w:left="310" w:right="302"/>
              <w:rPr>
                <w:rFonts w:ascii="Times New Roman"/>
                <w:sz w:val="21"/>
              </w:rPr>
            </w:pPr>
            <w:r>
              <w:rPr>
                <w:rFonts w:ascii="Times New Roman"/>
                <w:sz w:val="21"/>
              </w:rPr>
              <w:t>0.872</w:t>
            </w:r>
          </w:p>
        </w:tc>
        <w:tc>
          <w:tcPr>
            <w:tcW w:w="1803" w:type="dxa"/>
          </w:tcPr>
          <w:p>
            <w:pPr>
              <w:pStyle w:val="14"/>
              <w:spacing w:line="221" w:lineRule="exact"/>
              <w:ind w:left="29" w:right="17"/>
              <w:rPr>
                <w:rFonts w:ascii="Times New Roman"/>
                <w:sz w:val="21"/>
              </w:rPr>
            </w:pPr>
            <w:r>
              <w:rPr>
                <w:rFonts w:ascii="Times New Roman"/>
                <w:sz w:val="21"/>
              </w:rPr>
              <w:t>2.83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2284" w:type="dxa"/>
            <w:gridSpan w:val="2"/>
            <w:vMerge w:val="restart"/>
          </w:tcPr>
          <w:p>
            <w:pPr>
              <w:pStyle w:val="14"/>
              <w:jc w:val="left"/>
              <w:rPr>
                <w:b/>
                <w:sz w:val="20"/>
              </w:rPr>
            </w:pPr>
          </w:p>
          <w:p>
            <w:pPr>
              <w:pStyle w:val="14"/>
              <w:ind w:left="692"/>
              <w:jc w:val="left"/>
              <w:rPr>
                <w:sz w:val="18"/>
              </w:rPr>
            </w:pPr>
            <w:r>
              <w:rPr>
                <w:sz w:val="18"/>
              </w:rPr>
              <w:t>锅炉房烟囱</w:t>
            </w:r>
          </w:p>
        </w:tc>
        <w:tc>
          <w:tcPr>
            <w:tcW w:w="1467" w:type="dxa"/>
          </w:tcPr>
          <w:p>
            <w:pPr>
              <w:pStyle w:val="14"/>
              <w:spacing w:before="5" w:line="216" w:lineRule="exact"/>
              <w:ind w:left="438" w:right="432"/>
              <w:rPr>
                <w:sz w:val="18"/>
              </w:rPr>
            </w:pPr>
            <w:r>
              <w:rPr>
                <w:sz w:val="18"/>
              </w:rPr>
              <w:t>烟尘</w:t>
            </w:r>
          </w:p>
        </w:tc>
        <w:tc>
          <w:tcPr>
            <w:tcW w:w="1335" w:type="dxa"/>
          </w:tcPr>
          <w:p>
            <w:pPr>
              <w:pStyle w:val="14"/>
              <w:spacing w:line="221" w:lineRule="exact"/>
              <w:ind w:left="104" w:right="93"/>
              <w:rPr>
                <w:rFonts w:ascii="Times New Roman"/>
                <w:sz w:val="21"/>
              </w:rPr>
            </w:pPr>
            <w:r>
              <w:rPr>
                <w:rFonts w:ascii="Times New Roman"/>
                <w:sz w:val="21"/>
              </w:rPr>
              <w:t>14.25</w:t>
            </w:r>
          </w:p>
        </w:tc>
        <w:tc>
          <w:tcPr>
            <w:tcW w:w="2455" w:type="dxa"/>
          </w:tcPr>
          <w:p>
            <w:pPr>
              <w:pStyle w:val="14"/>
              <w:spacing w:line="221" w:lineRule="exact"/>
              <w:ind w:left="310" w:right="302"/>
              <w:rPr>
                <w:rFonts w:ascii="Times New Roman"/>
                <w:sz w:val="21"/>
              </w:rPr>
            </w:pPr>
            <w:r>
              <w:rPr>
                <w:rFonts w:ascii="Times New Roman"/>
                <w:sz w:val="21"/>
              </w:rPr>
              <w:t>0.021</w:t>
            </w:r>
          </w:p>
        </w:tc>
        <w:tc>
          <w:tcPr>
            <w:tcW w:w="1803" w:type="dxa"/>
          </w:tcPr>
          <w:p>
            <w:pPr>
              <w:pStyle w:val="14"/>
              <w:spacing w:line="221" w:lineRule="exact"/>
              <w:ind w:left="29" w:right="17"/>
              <w:rPr>
                <w:rFonts w:ascii="Times New Roman"/>
                <w:sz w:val="21"/>
              </w:rPr>
            </w:pPr>
            <w:r>
              <w:rPr>
                <w:rFonts w:ascii="Times New Roman"/>
                <w:sz w:val="21"/>
              </w:rPr>
              <w:t>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2284" w:type="dxa"/>
            <w:gridSpan w:val="2"/>
            <w:vMerge w:val="continue"/>
            <w:tcBorders>
              <w:top w:val="nil"/>
            </w:tcBorders>
          </w:tcPr>
          <w:p>
            <w:pPr>
              <w:rPr>
                <w:sz w:val="2"/>
                <w:szCs w:val="2"/>
              </w:rPr>
            </w:pPr>
          </w:p>
        </w:tc>
        <w:tc>
          <w:tcPr>
            <w:tcW w:w="1467" w:type="dxa"/>
          </w:tcPr>
          <w:p>
            <w:pPr>
              <w:pStyle w:val="14"/>
              <w:spacing w:before="22" w:line="200" w:lineRule="exact"/>
              <w:ind w:left="442" w:right="432"/>
              <w:rPr>
                <w:rFonts w:ascii="Times New Roman"/>
                <w:sz w:val="18"/>
              </w:rPr>
            </w:pPr>
            <w:r>
              <w:rPr>
                <w:rFonts w:ascii="Times New Roman"/>
                <w:position w:val="1"/>
                <w:sz w:val="18"/>
              </w:rPr>
              <w:t>SO</w:t>
            </w:r>
            <w:r>
              <w:rPr>
                <w:rFonts w:ascii="Times New Roman"/>
                <w:position w:val="1"/>
                <w:sz w:val="18"/>
                <w:vertAlign w:val="subscript"/>
              </w:rPr>
              <w:t>2</w:t>
            </w:r>
          </w:p>
        </w:tc>
        <w:tc>
          <w:tcPr>
            <w:tcW w:w="1335" w:type="dxa"/>
          </w:tcPr>
          <w:p>
            <w:pPr>
              <w:pStyle w:val="14"/>
              <w:spacing w:line="222" w:lineRule="exact"/>
              <w:ind w:left="104" w:right="93"/>
              <w:rPr>
                <w:rFonts w:ascii="Times New Roman"/>
                <w:sz w:val="21"/>
              </w:rPr>
            </w:pPr>
            <w:r>
              <w:rPr>
                <w:rFonts w:ascii="Times New Roman"/>
                <w:sz w:val="21"/>
              </w:rPr>
              <w:t>22.84</w:t>
            </w:r>
          </w:p>
        </w:tc>
        <w:tc>
          <w:tcPr>
            <w:tcW w:w="2455" w:type="dxa"/>
          </w:tcPr>
          <w:p>
            <w:pPr>
              <w:pStyle w:val="14"/>
              <w:spacing w:line="222" w:lineRule="exact"/>
              <w:ind w:left="310" w:right="302"/>
              <w:rPr>
                <w:rFonts w:ascii="Times New Roman"/>
                <w:sz w:val="21"/>
              </w:rPr>
            </w:pPr>
            <w:r>
              <w:rPr>
                <w:rFonts w:ascii="Times New Roman"/>
                <w:sz w:val="21"/>
              </w:rPr>
              <w:t>0.035</w:t>
            </w:r>
          </w:p>
        </w:tc>
        <w:tc>
          <w:tcPr>
            <w:tcW w:w="1803" w:type="dxa"/>
          </w:tcPr>
          <w:p>
            <w:pPr>
              <w:pStyle w:val="14"/>
              <w:spacing w:line="222" w:lineRule="exact"/>
              <w:ind w:left="29" w:right="17"/>
              <w:rPr>
                <w:rFonts w:ascii="Times New Roman"/>
                <w:sz w:val="21"/>
              </w:rPr>
            </w:pPr>
            <w:r>
              <w:rPr>
                <w:rFonts w:ascii="Times New Roman"/>
                <w:sz w:val="21"/>
              </w:rPr>
              <w:t>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2284" w:type="dxa"/>
            <w:gridSpan w:val="2"/>
            <w:vMerge w:val="continue"/>
            <w:tcBorders>
              <w:top w:val="nil"/>
            </w:tcBorders>
          </w:tcPr>
          <w:p>
            <w:pPr>
              <w:rPr>
                <w:sz w:val="2"/>
                <w:szCs w:val="2"/>
              </w:rPr>
            </w:pPr>
          </w:p>
        </w:tc>
        <w:tc>
          <w:tcPr>
            <w:tcW w:w="1467" w:type="dxa"/>
          </w:tcPr>
          <w:p>
            <w:pPr>
              <w:pStyle w:val="14"/>
              <w:spacing w:before="15" w:line="204" w:lineRule="exact"/>
              <w:ind w:left="441" w:right="432"/>
              <w:rPr>
                <w:rFonts w:ascii="Times New Roman"/>
                <w:sz w:val="18"/>
              </w:rPr>
            </w:pPr>
            <w:r>
              <w:rPr>
                <w:rFonts w:ascii="Times New Roman"/>
                <w:sz w:val="18"/>
              </w:rPr>
              <w:t>NOx</w:t>
            </w:r>
          </w:p>
        </w:tc>
        <w:tc>
          <w:tcPr>
            <w:tcW w:w="1335" w:type="dxa"/>
          </w:tcPr>
          <w:p>
            <w:pPr>
              <w:pStyle w:val="14"/>
              <w:spacing w:line="219" w:lineRule="exact"/>
              <w:ind w:left="104" w:right="93"/>
              <w:rPr>
                <w:rFonts w:ascii="Times New Roman"/>
                <w:sz w:val="21"/>
              </w:rPr>
            </w:pPr>
            <w:r>
              <w:rPr>
                <w:rFonts w:ascii="Times New Roman"/>
                <w:sz w:val="21"/>
              </w:rPr>
              <w:t>200</w:t>
            </w:r>
          </w:p>
        </w:tc>
        <w:tc>
          <w:tcPr>
            <w:tcW w:w="2455" w:type="dxa"/>
          </w:tcPr>
          <w:p>
            <w:pPr>
              <w:pStyle w:val="14"/>
              <w:spacing w:line="219" w:lineRule="exact"/>
              <w:ind w:left="310" w:right="302"/>
              <w:rPr>
                <w:rFonts w:ascii="Times New Roman"/>
                <w:sz w:val="21"/>
              </w:rPr>
            </w:pPr>
            <w:r>
              <w:rPr>
                <w:rFonts w:ascii="Times New Roman"/>
                <w:sz w:val="21"/>
              </w:rPr>
              <w:t>0.302</w:t>
            </w:r>
          </w:p>
        </w:tc>
        <w:tc>
          <w:tcPr>
            <w:tcW w:w="1803" w:type="dxa"/>
          </w:tcPr>
          <w:p>
            <w:pPr>
              <w:pStyle w:val="14"/>
              <w:spacing w:line="219" w:lineRule="exact"/>
              <w:ind w:left="29" w:right="17"/>
              <w:rPr>
                <w:rFonts w:ascii="Times New Roman"/>
                <w:sz w:val="21"/>
              </w:rPr>
            </w:pPr>
            <w:r>
              <w:rPr>
                <w:rFonts w:ascii="Times New Roman"/>
                <w:sz w:val="21"/>
              </w:rPr>
              <w:t>1.52</w:t>
            </w:r>
          </w:p>
        </w:tc>
      </w:tr>
    </w:tbl>
    <w:p>
      <w:pPr>
        <w:spacing w:after="0" w:line="219" w:lineRule="exact"/>
        <w:rPr>
          <w:rFonts w:ascii="Times New Roman"/>
          <w:sz w:val="21"/>
        </w:rPr>
        <w:sectPr>
          <w:pgSz w:w="11910" w:h="16840"/>
          <w:pgMar w:top="1520" w:right="780" w:bottom="1320" w:left="1200" w:header="0" w:footer="1138" w:gutter="0"/>
        </w:sectPr>
      </w:pP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84"/>
        <w:gridCol w:w="1467"/>
        <w:gridCol w:w="1335"/>
        <w:gridCol w:w="2455"/>
        <w:gridCol w:w="18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2284" w:type="dxa"/>
          </w:tcPr>
          <w:p>
            <w:pPr>
              <w:pStyle w:val="14"/>
              <w:spacing w:before="4" w:line="217" w:lineRule="exact"/>
              <w:ind w:left="490" w:right="482"/>
              <w:rPr>
                <w:sz w:val="18"/>
              </w:rPr>
            </w:pPr>
            <w:r>
              <w:rPr>
                <w:sz w:val="18"/>
              </w:rPr>
              <w:t>筛分车间</w:t>
            </w:r>
          </w:p>
        </w:tc>
        <w:tc>
          <w:tcPr>
            <w:tcW w:w="1467" w:type="dxa"/>
          </w:tcPr>
          <w:p>
            <w:pPr>
              <w:pStyle w:val="14"/>
              <w:spacing w:before="4" w:line="217" w:lineRule="exact"/>
              <w:ind w:left="438" w:right="432"/>
              <w:rPr>
                <w:sz w:val="18"/>
              </w:rPr>
            </w:pPr>
            <w:r>
              <w:rPr>
                <w:sz w:val="18"/>
              </w:rPr>
              <w:t>烟尘</w:t>
            </w:r>
          </w:p>
        </w:tc>
        <w:tc>
          <w:tcPr>
            <w:tcW w:w="1335" w:type="dxa"/>
          </w:tcPr>
          <w:p>
            <w:pPr>
              <w:pStyle w:val="14"/>
              <w:spacing w:line="221" w:lineRule="exact"/>
              <w:ind w:left="101" w:right="95"/>
              <w:rPr>
                <w:rFonts w:ascii="Times New Roman"/>
                <w:sz w:val="21"/>
              </w:rPr>
            </w:pPr>
            <w:r>
              <w:rPr>
                <w:rFonts w:ascii="Times New Roman"/>
                <w:sz w:val="21"/>
              </w:rPr>
              <w:t>40</w:t>
            </w:r>
          </w:p>
        </w:tc>
        <w:tc>
          <w:tcPr>
            <w:tcW w:w="2455" w:type="dxa"/>
          </w:tcPr>
          <w:p>
            <w:pPr>
              <w:pStyle w:val="14"/>
              <w:spacing w:line="221" w:lineRule="exact"/>
              <w:ind w:left="312" w:right="302"/>
              <w:rPr>
                <w:rFonts w:ascii="Times New Roman"/>
                <w:sz w:val="21"/>
              </w:rPr>
            </w:pPr>
            <w:r>
              <w:rPr>
                <w:rFonts w:ascii="Times New Roman"/>
                <w:sz w:val="21"/>
              </w:rPr>
              <w:t>0.02</w:t>
            </w:r>
          </w:p>
        </w:tc>
        <w:tc>
          <w:tcPr>
            <w:tcW w:w="1803" w:type="dxa"/>
          </w:tcPr>
          <w:p>
            <w:pPr>
              <w:pStyle w:val="14"/>
              <w:spacing w:line="221" w:lineRule="exact"/>
              <w:ind w:left="29" w:right="17"/>
              <w:rPr>
                <w:rFonts w:ascii="Times New Roman"/>
                <w:sz w:val="21"/>
              </w:rPr>
            </w:pPr>
            <w:r>
              <w:rPr>
                <w:rFonts w:ascii="Times New Roman"/>
                <w:sz w:val="21"/>
              </w:rPr>
              <w:t>0.12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9344" w:type="dxa"/>
            <w:gridSpan w:val="5"/>
          </w:tcPr>
          <w:p>
            <w:pPr>
              <w:pStyle w:val="14"/>
              <w:spacing w:before="3" w:line="211" w:lineRule="exact"/>
              <w:ind w:left="4022" w:right="4011"/>
              <w:rPr>
                <w:sz w:val="18"/>
              </w:rPr>
            </w:pPr>
            <w:r>
              <w:rPr>
                <w:sz w:val="18"/>
              </w:rPr>
              <w:t>有组织排放总计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2284" w:type="dxa"/>
            <w:vMerge w:val="restart"/>
          </w:tcPr>
          <w:p>
            <w:pPr>
              <w:pStyle w:val="14"/>
              <w:spacing w:before="12"/>
              <w:jc w:val="left"/>
              <w:rPr>
                <w:b/>
                <w:sz w:val="19"/>
              </w:rPr>
            </w:pPr>
          </w:p>
          <w:p>
            <w:pPr>
              <w:pStyle w:val="14"/>
              <w:ind w:left="512"/>
              <w:jc w:val="left"/>
              <w:rPr>
                <w:sz w:val="18"/>
              </w:rPr>
            </w:pPr>
            <w:r>
              <w:rPr>
                <w:sz w:val="18"/>
              </w:rPr>
              <w:t>有组织排放总计</w:t>
            </w:r>
          </w:p>
        </w:tc>
        <w:tc>
          <w:tcPr>
            <w:tcW w:w="5257" w:type="dxa"/>
            <w:gridSpan w:val="3"/>
          </w:tcPr>
          <w:p>
            <w:pPr>
              <w:pStyle w:val="14"/>
              <w:spacing w:before="4" w:line="217" w:lineRule="exact"/>
              <w:ind w:left="2427" w:right="2419"/>
              <w:rPr>
                <w:sz w:val="18"/>
              </w:rPr>
            </w:pPr>
            <w:r>
              <w:rPr>
                <w:sz w:val="18"/>
              </w:rPr>
              <w:t>烟尘</w:t>
            </w:r>
          </w:p>
        </w:tc>
        <w:tc>
          <w:tcPr>
            <w:tcW w:w="1803" w:type="dxa"/>
          </w:tcPr>
          <w:p>
            <w:pPr>
              <w:pStyle w:val="14"/>
              <w:spacing w:line="221" w:lineRule="exact"/>
              <w:ind w:left="29" w:right="17"/>
              <w:rPr>
                <w:rFonts w:ascii="Times New Roman"/>
                <w:sz w:val="21"/>
              </w:rPr>
            </w:pPr>
            <w:r>
              <w:rPr>
                <w:rFonts w:ascii="Times New Roman"/>
                <w:sz w:val="21"/>
              </w:rPr>
              <w:t>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2284" w:type="dxa"/>
            <w:vMerge w:val="continue"/>
            <w:tcBorders>
              <w:top w:val="nil"/>
            </w:tcBorders>
          </w:tcPr>
          <w:p>
            <w:pPr>
              <w:rPr>
                <w:sz w:val="2"/>
                <w:szCs w:val="2"/>
              </w:rPr>
            </w:pPr>
          </w:p>
        </w:tc>
        <w:tc>
          <w:tcPr>
            <w:tcW w:w="5257" w:type="dxa"/>
            <w:gridSpan w:val="3"/>
          </w:tcPr>
          <w:p>
            <w:pPr>
              <w:pStyle w:val="14"/>
              <w:spacing w:before="16" w:line="205" w:lineRule="exact"/>
              <w:ind w:left="2427" w:right="2416"/>
              <w:rPr>
                <w:rFonts w:ascii="Times New Roman"/>
                <w:sz w:val="18"/>
              </w:rPr>
            </w:pPr>
            <w:r>
              <w:rPr>
                <w:rFonts w:ascii="Times New Roman"/>
                <w:sz w:val="18"/>
              </w:rPr>
              <w:t>NOx</w:t>
            </w:r>
          </w:p>
        </w:tc>
        <w:tc>
          <w:tcPr>
            <w:tcW w:w="1803" w:type="dxa"/>
          </w:tcPr>
          <w:p>
            <w:pPr>
              <w:pStyle w:val="14"/>
              <w:spacing w:line="221" w:lineRule="exact"/>
              <w:ind w:left="29" w:right="17"/>
              <w:rPr>
                <w:rFonts w:ascii="Times New Roman"/>
                <w:sz w:val="21"/>
              </w:rPr>
            </w:pPr>
            <w:r>
              <w:rPr>
                <w:rFonts w:ascii="Times New Roman"/>
                <w:sz w:val="21"/>
              </w:rPr>
              <w:t>4.35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2284" w:type="dxa"/>
            <w:vMerge w:val="continue"/>
            <w:tcBorders>
              <w:top w:val="nil"/>
            </w:tcBorders>
          </w:tcPr>
          <w:p>
            <w:pPr>
              <w:rPr>
                <w:sz w:val="2"/>
                <w:szCs w:val="2"/>
              </w:rPr>
            </w:pPr>
          </w:p>
        </w:tc>
        <w:tc>
          <w:tcPr>
            <w:tcW w:w="5257" w:type="dxa"/>
            <w:gridSpan w:val="3"/>
          </w:tcPr>
          <w:p>
            <w:pPr>
              <w:pStyle w:val="14"/>
              <w:spacing w:before="21" w:line="200" w:lineRule="exact"/>
              <w:ind w:left="2427" w:right="2419"/>
              <w:rPr>
                <w:rFonts w:ascii="Times New Roman"/>
                <w:sz w:val="18"/>
              </w:rPr>
            </w:pPr>
            <w:r>
              <w:rPr>
                <w:rFonts w:ascii="Times New Roman"/>
                <w:position w:val="1"/>
                <w:sz w:val="18"/>
              </w:rPr>
              <w:t>SO</w:t>
            </w:r>
            <w:r>
              <w:rPr>
                <w:rFonts w:ascii="Times New Roman"/>
                <w:position w:val="1"/>
                <w:sz w:val="18"/>
                <w:vertAlign w:val="subscript"/>
              </w:rPr>
              <w:t>2</w:t>
            </w:r>
          </w:p>
        </w:tc>
        <w:tc>
          <w:tcPr>
            <w:tcW w:w="1803" w:type="dxa"/>
          </w:tcPr>
          <w:p>
            <w:pPr>
              <w:pStyle w:val="14"/>
              <w:spacing w:line="221" w:lineRule="exact"/>
              <w:ind w:left="29" w:right="17"/>
              <w:rPr>
                <w:rFonts w:ascii="Times New Roman"/>
                <w:sz w:val="21"/>
              </w:rPr>
            </w:pPr>
            <w:r>
              <w:rPr>
                <w:rFonts w:ascii="Times New Roman"/>
                <w:sz w:val="21"/>
              </w:rPr>
              <w:t>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2284" w:type="dxa"/>
          </w:tcPr>
          <w:p>
            <w:pPr>
              <w:pStyle w:val="14"/>
              <w:spacing w:before="5" w:line="216" w:lineRule="exact"/>
              <w:ind w:left="492" w:right="482"/>
              <w:rPr>
                <w:sz w:val="18"/>
              </w:rPr>
            </w:pPr>
            <w:r>
              <w:rPr>
                <w:sz w:val="18"/>
              </w:rPr>
              <w:t>无组织排放总计</w:t>
            </w:r>
          </w:p>
        </w:tc>
        <w:tc>
          <w:tcPr>
            <w:tcW w:w="5257" w:type="dxa"/>
            <w:gridSpan w:val="3"/>
          </w:tcPr>
          <w:p>
            <w:pPr>
              <w:pStyle w:val="14"/>
              <w:spacing w:before="5" w:line="216" w:lineRule="exact"/>
              <w:ind w:left="2427" w:right="2419"/>
              <w:rPr>
                <w:sz w:val="18"/>
              </w:rPr>
            </w:pPr>
            <w:r>
              <w:rPr>
                <w:sz w:val="18"/>
              </w:rPr>
              <w:t>烟尘</w:t>
            </w:r>
          </w:p>
        </w:tc>
        <w:tc>
          <w:tcPr>
            <w:tcW w:w="1803" w:type="dxa"/>
          </w:tcPr>
          <w:p>
            <w:pPr>
              <w:pStyle w:val="14"/>
              <w:spacing w:line="222" w:lineRule="exact"/>
              <w:ind w:left="29" w:right="17"/>
              <w:rPr>
                <w:rFonts w:ascii="Times New Roman"/>
                <w:sz w:val="21"/>
              </w:rPr>
            </w:pPr>
            <w:r>
              <w:rPr>
                <w:rFonts w:ascii="Times New Roman"/>
                <w:sz w:val="21"/>
              </w:rPr>
              <w:t>0.02</w:t>
            </w:r>
          </w:p>
        </w:tc>
      </w:tr>
    </w:tbl>
    <w:p>
      <w:pPr>
        <w:pStyle w:val="6"/>
        <w:spacing w:before="8"/>
        <w:rPr>
          <w:b/>
          <w:sz w:val="5"/>
        </w:rPr>
      </w:pPr>
    </w:p>
    <w:p>
      <w:pPr>
        <w:spacing w:before="77" w:after="28"/>
        <w:ind w:left="0" w:right="352" w:firstLine="0"/>
        <w:jc w:val="center"/>
        <w:rPr>
          <w:b/>
          <w:sz w:val="24"/>
        </w:rPr>
      </w:pPr>
      <w:r>
        <w:rPr>
          <w:b/>
          <w:sz w:val="24"/>
        </w:rPr>
        <w:t xml:space="preserve">表 </w:t>
      </w:r>
      <w:r>
        <w:rPr>
          <w:rFonts w:ascii="Times New Roman" w:eastAsia="Times New Roman"/>
          <w:b/>
          <w:sz w:val="24"/>
        </w:rPr>
        <w:t xml:space="preserve">8.6-2 </w:t>
      </w:r>
      <w:r>
        <w:rPr>
          <w:b/>
          <w:sz w:val="24"/>
        </w:rPr>
        <w:t>大气污染物年排放量核算表</w:t>
      </w: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79"/>
        <w:gridCol w:w="3795"/>
        <w:gridCol w:w="33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2179" w:type="dxa"/>
          </w:tcPr>
          <w:p>
            <w:pPr>
              <w:pStyle w:val="14"/>
              <w:spacing w:line="212" w:lineRule="exact"/>
              <w:ind w:left="887" w:right="880"/>
              <w:rPr>
                <w:b/>
                <w:sz w:val="18"/>
              </w:rPr>
            </w:pPr>
            <w:r>
              <w:rPr>
                <w:b/>
                <w:sz w:val="18"/>
              </w:rPr>
              <w:t>序号</w:t>
            </w:r>
          </w:p>
        </w:tc>
        <w:tc>
          <w:tcPr>
            <w:tcW w:w="3795" w:type="dxa"/>
          </w:tcPr>
          <w:p>
            <w:pPr>
              <w:pStyle w:val="14"/>
              <w:spacing w:line="212" w:lineRule="exact"/>
              <w:ind w:left="1605" w:right="1596"/>
              <w:rPr>
                <w:b/>
                <w:sz w:val="18"/>
              </w:rPr>
            </w:pPr>
            <w:r>
              <w:rPr>
                <w:b/>
                <w:sz w:val="18"/>
              </w:rPr>
              <w:t>污染物</w:t>
            </w:r>
          </w:p>
        </w:tc>
        <w:tc>
          <w:tcPr>
            <w:tcW w:w="3370" w:type="dxa"/>
          </w:tcPr>
          <w:p>
            <w:pPr>
              <w:pStyle w:val="14"/>
              <w:spacing w:line="212" w:lineRule="exact"/>
              <w:ind w:left="1024" w:right="1011"/>
              <w:rPr>
                <w:b/>
                <w:sz w:val="18"/>
              </w:rPr>
            </w:pPr>
            <w:r>
              <w:rPr>
                <w:b/>
                <w:sz w:val="18"/>
              </w:rPr>
              <w:t>年排放量（</w:t>
            </w:r>
            <w:r>
              <w:rPr>
                <w:rFonts w:ascii="Times New Roman" w:eastAsia="Times New Roman"/>
                <w:b/>
                <w:sz w:val="18"/>
              </w:rPr>
              <w:t>t/a</w:t>
            </w:r>
            <w:r>
              <w:rPr>
                <w:b/>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2179" w:type="dxa"/>
          </w:tcPr>
          <w:p>
            <w:pPr>
              <w:pStyle w:val="14"/>
              <w:spacing w:before="16" w:line="205" w:lineRule="exact"/>
              <w:ind w:left="6"/>
              <w:rPr>
                <w:rFonts w:ascii="Times New Roman"/>
                <w:sz w:val="18"/>
              </w:rPr>
            </w:pPr>
            <w:r>
              <w:rPr>
                <w:rFonts w:ascii="Times New Roman"/>
                <w:sz w:val="18"/>
              </w:rPr>
              <w:t>1</w:t>
            </w:r>
          </w:p>
        </w:tc>
        <w:tc>
          <w:tcPr>
            <w:tcW w:w="3795" w:type="dxa"/>
          </w:tcPr>
          <w:p>
            <w:pPr>
              <w:pStyle w:val="14"/>
              <w:spacing w:before="5" w:line="217" w:lineRule="exact"/>
              <w:ind w:left="1605" w:right="1596"/>
              <w:rPr>
                <w:sz w:val="18"/>
              </w:rPr>
            </w:pPr>
            <w:r>
              <w:rPr>
                <w:sz w:val="18"/>
              </w:rPr>
              <w:t>烟尘</w:t>
            </w:r>
          </w:p>
        </w:tc>
        <w:tc>
          <w:tcPr>
            <w:tcW w:w="3370" w:type="dxa"/>
          </w:tcPr>
          <w:p>
            <w:pPr>
              <w:pStyle w:val="14"/>
              <w:spacing w:line="221" w:lineRule="exact"/>
              <w:ind w:left="1021" w:right="1011"/>
              <w:rPr>
                <w:rFonts w:ascii="Times New Roman"/>
                <w:sz w:val="21"/>
              </w:rPr>
            </w:pPr>
            <w:r>
              <w:rPr>
                <w:rFonts w:ascii="Times New Roman"/>
                <w:sz w:val="21"/>
              </w:rPr>
              <w:t>0.45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2179" w:type="dxa"/>
          </w:tcPr>
          <w:p>
            <w:pPr>
              <w:pStyle w:val="14"/>
              <w:spacing w:before="16" w:line="204" w:lineRule="exact"/>
              <w:ind w:left="6"/>
              <w:rPr>
                <w:rFonts w:ascii="Times New Roman"/>
                <w:sz w:val="18"/>
              </w:rPr>
            </w:pPr>
            <w:r>
              <w:rPr>
                <w:rFonts w:ascii="Times New Roman"/>
                <w:sz w:val="18"/>
              </w:rPr>
              <w:t>2</w:t>
            </w:r>
          </w:p>
        </w:tc>
        <w:tc>
          <w:tcPr>
            <w:tcW w:w="3795" w:type="dxa"/>
          </w:tcPr>
          <w:p>
            <w:pPr>
              <w:pStyle w:val="14"/>
              <w:spacing w:before="21" w:line="200" w:lineRule="exact"/>
              <w:ind w:left="1605" w:right="1596"/>
              <w:rPr>
                <w:rFonts w:ascii="Times New Roman"/>
                <w:sz w:val="18"/>
              </w:rPr>
            </w:pPr>
            <w:r>
              <w:rPr>
                <w:rFonts w:ascii="Times New Roman"/>
                <w:position w:val="1"/>
                <w:sz w:val="18"/>
              </w:rPr>
              <w:t>SO</w:t>
            </w:r>
            <w:r>
              <w:rPr>
                <w:rFonts w:ascii="Times New Roman"/>
                <w:position w:val="1"/>
                <w:sz w:val="18"/>
                <w:vertAlign w:val="subscript"/>
              </w:rPr>
              <w:t>2</w:t>
            </w:r>
          </w:p>
        </w:tc>
        <w:tc>
          <w:tcPr>
            <w:tcW w:w="3370" w:type="dxa"/>
          </w:tcPr>
          <w:p>
            <w:pPr>
              <w:pStyle w:val="14"/>
              <w:spacing w:line="221" w:lineRule="exact"/>
              <w:ind w:left="1021" w:right="1011"/>
              <w:rPr>
                <w:rFonts w:ascii="Times New Roman"/>
                <w:sz w:val="21"/>
              </w:rPr>
            </w:pPr>
            <w:r>
              <w:rPr>
                <w:rFonts w:ascii="Times New Roman"/>
                <w:sz w:val="21"/>
              </w:rPr>
              <w:t>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2179" w:type="dxa"/>
          </w:tcPr>
          <w:p>
            <w:pPr>
              <w:pStyle w:val="14"/>
              <w:spacing w:before="17" w:line="204" w:lineRule="exact"/>
              <w:ind w:left="6"/>
              <w:rPr>
                <w:rFonts w:ascii="Times New Roman"/>
                <w:sz w:val="18"/>
              </w:rPr>
            </w:pPr>
            <w:r>
              <w:rPr>
                <w:rFonts w:ascii="Times New Roman"/>
                <w:sz w:val="18"/>
              </w:rPr>
              <w:t>3</w:t>
            </w:r>
          </w:p>
        </w:tc>
        <w:tc>
          <w:tcPr>
            <w:tcW w:w="3795" w:type="dxa"/>
          </w:tcPr>
          <w:p>
            <w:pPr>
              <w:pStyle w:val="14"/>
              <w:spacing w:before="17" w:line="204" w:lineRule="exact"/>
              <w:ind w:left="1604" w:right="1596"/>
              <w:rPr>
                <w:rFonts w:ascii="Times New Roman"/>
                <w:sz w:val="18"/>
              </w:rPr>
            </w:pPr>
            <w:r>
              <w:rPr>
                <w:rFonts w:ascii="Times New Roman"/>
                <w:sz w:val="18"/>
              </w:rPr>
              <w:t>NOx</w:t>
            </w:r>
          </w:p>
        </w:tc>
        <w:tc>
          <w:tcPr>
            <w:tcW w:w="3370" w:type="dxa"/>
          </w:tcPr>
          <w:p>
            <w:pPr>
              <w:pStyle w:val="14"/>
              <w:spacing w:line="222" w:lineRule="exact"/>
              <w:ind w:left="1021" w:right="1011"/>
              <w:rPr>
                <w:rFonts w:ascii="Times New Roman"/>
                <w:sz w:val="21"/>
              </w:rPr>
            </w:pPr>
            <w:r>
              <w:rPr>
                <w:rFonts w:ascii="Times New Roman"/>
                <w:sz w:val="21"/>
              </w:rPr>
              <w:t>4.35</w:t>
            </w:r>
          </w:p>
        </w:tc>
      </w:tr>
    </w:tbl>
    <w:p>
      <w:pPr>
        <w:spacing w:after="0" w:line="222" w:lineRule="exact"/>
        <w:rPr>
          <w:rFonts w:ascii="Times New Roman"/>
          <w:sz w:val="21"/>
        </w:rPr>
        <w:sectPr>
          <w:pgSz w:w="11910" w:h="16840"/>
          <w:pgMar w:top="1580" w:right="780" w:bottom="1320" w:left="1200" w:header="0" w:footer="1138" w:gutter="0"/>
        </w:sectPr>
      </w:pPr>
    </w:p>
    <w:p>
      <w:pPr>
        <w:pStyle w:val="2"/>
        <w:numPr>
          <w:ilvl w:val="0"/>
          <w:numId w:val="62"/>
        </w:numPr>
        <w:tabs>
          <w:tab w:val="left" w:pos="3832"/>
          <w:tab w:val="left" w:pos="3833"/>
        </w:tabs>
        <w:spacing w:before="46" w:after="0" w:line="240" w:lineRule="auto"/>
        <w:ind w:left="3832" w:right="0" w:hanging="632"/>
        <w:jc w:val="left"/>
      </w:pPr>
      <w:bookmarkStart w:id="773" w:name="_bookmark50"/>
      <w:bookmarkEnd w:id="773"/>
      <w:bookmarkStart w:id="774" w:name="9.  声环境影响分析"/>
      <w:bookmarkEnd w:id="774"/>
      <w:bookmarkStart w:id="775" w:name="_bookmark50"/>
      <w:bookmarkEnd w:id="775"/>
      <w:r>
        <w:t>声环境影响分析</w:t>
      </w:r>
    </w:p>
    <w:p>
      <w:pPr>
        <w:pStyle w:val="13"/>
        <w:numPr>
          <w:ilvl w:val="1"/>
          <w:numId w:val="67"/>
        </w:numPr>
        <w:tabs>
          <w:tab w:val="left" w:pos="708"/>
        </w:tabs>
        <w:spacing w:before="240" w:after="0" w:line="240" w:lineRule="auto"/>
        <w:ind w:left="708" w:right="0" w:hanging="493"/>
        <w:jc w:val="left"/>
        <w:rPr>
          <w:rFonts w:ascii="Times New Roman" w:eastAsia="Times New Roman"/>
          <w:b/>
          <w:sz w:val="28"/>
        </w:rPr>
      </w:pPr>
      <w:bookmarkStart w:id="776" w:name="_bookmark51"/>
      <w:bookmarkEnd w:id="776"/>
      <w:bookmarkStart w:id="777" w:name="9.1 声环境评价工作等级及范围"/>
      <w:bookmarkEnd w:id="777"/>
      <w:bookmarkStart w:id="778" w:name="_bookmark51"/>
      <w:bookmarkEnd w:id="778"/>
      <w:r>
        <w:rPr>
          <w:b/>
          <w:sz w:val="28"/>
        </w:rPr>
        <w:t>声环境评价工作等级及范围</w:t>
      </w:r>
    </w:p>
    <w:p>
      <w:pPr>
        <w:pStyle w:val="6"/>
        <w:spacing w:before="186" w:line="364" w:lineRule="auto"/>
        <w:ind w:left="137" w:right="577" w:firstLine="480"/>
        <w:jc w:val="right"/>
      </w:pPr>
      <w:r>
        <w:t>按照《环境影响评价技术导则 声环境》（</w:t>
      </w:r>
      <w:r>
        <w:rPr>
          <w:rFonts w:ascii="Times New Roman" w:eastAsia="Times New Roman"/>
        </w:rPr>
        <w:t>HJ2.4-2009</w:t>
      </w:r>
      <w:r>
        <w:t xml:space="preserve">），建设项目所处的声环境功能区为 </w:t>
      </w:r>
      <w:r>
        <w:rPr>
          <w:rFonts w:ascii="Times New Roman" w:eastAsia="Times New Roman"/>
        </w:rPr>
        <w:t xml:space="preserve">GB 3096 </w:t>
      </w:r>
      <w:r>
        <w:t xml:space="preserve">规定的 </w:t>
      </w:r>
      <w:r>
        <w:rPr>
          <w:rFonts w:ascii="Times New Roman" w:eastAsia="Times New Roman"/>
        </w:rPr>
        <w:t xml:space="preserve">1 </w:t>
      </w:r>
      <w:r>
        <w:t>类、</w:t>
      </w:r>
      <w:r>
        <w:rPr>
          <w:rFonts w:ascii="Times New Roman" w:eastAsia="Times New Roman"/>
        </w:rPr>
        <w:t xml:space="preserve">2 </w:t>
      </w:r>
      <w:r>
        <w:t xml:space="preserve">类地区，或建设项目建设前后评价范围内敏感目标噪声级增高量达 </w:t>
      </w:r>
      <w:r>
        <w:rPr>
          <w:rFonts w:ascii="Times New Roman" w:eastAsia="Times New Roman"/>
        </w:rPr>
        <w:t>3</w:t>
      </w:r>
      <w:r>
        <w:t>～</w:t>
      </w:r>
      <w:r>
        <w:rPr>
          <w:rFonts w:ascii="Times New Roman" w:eastAsia="Times New Roman"/>
        </w:rPr>
        <w:t>5dB(A)[</w:t>
      </w:r>
      <w:r>
        <w:t xml:space="preserve">含 </w:t>
      </w:r>
      <w:r>
        <w:rPr>
          <w:rFonts w:ascii="Times New Roman" w:eastAsia="Times New Roman"/>
        </w:rPr>
        <w:t>5dB(A)]</w:t>
      </w:r>
      <w:r>
        <w:t xml:space="preserve">，或受噪声影响人口数量增加较多时，按二级评价。本项目矿区位于 </w:t>
      </w:r>
      <w:r>
        <w:rPr>
          <w:rFonts w:ascii="Times New Roman" w:eastAsia="Times New Roman"/>
        </w:rPr>
        <w:t xml:space="preserve">2 </w:t>
      </w:r>
      <w:r>
        <w:t>类声环境功能区，项目矿区评价范围内无环境敏感目标，受影响</w:t>
      </w:r>
    </w:p>
    <w:p>
      <w:pPr>
        <w:pStyle w:val="6"/>
        <w:spacing w:line="305" w:lineRule="exact"/>
        <w:ind w:left="215"/>
      </w:pPr>
      <w:r>
        <w:t>人口数量无变化，故确定本项目矿区声环境评价等级为二级。</w:t>
      </w:r>
    </w:p>
    <w:p>
      <w:pPr>
        <w:pStyle w:val="6"/>
        <w:spacing w:before="158" w:line="364" w:lineRule="auto"/>
        <w:ind w:left="215" w:right="522" w:firstLine="480"/>
      </w:pPr>
      <w:r>
        <w:t>评价工作范围：依据《环境影响评价技术导则 声环境》（</w:t>
      </w:r>
      <w:r>
        <w:rPr>
          <w:rFonts w:ascii="Times New Roman" w:eastAsia="Times New Roman"/>
        </w:rPr>
        <w:t>HJ2.4-2009</w:t>
      </w:r>
      <w:r>
        <w:t xml:space="preserve">），二级评价厂界外 </w:t>
      </w:r>
      <w:r>
        <w:rPr>
          <w:rFonts w:ascii="Times New Roman" w:eastAsia="Times New Roman"/>
        </w:rPr>
        <w:t xml:space="preserve">200m </w:t>
      </w:r>
      <w:r>
        <w:t>范围。</w:t>
      </w:r>
    </w:p>
    <w:p>
      <w:pPr>
        <w:pStyle w:val="13"/>
        <w:numPr>
          <w:ilvl w:val="1"/>
          <w:numId w:val="67"/>
        </w:numPr>
        <w:tabs>
          <w:tab w:val="left" w:pos="708"/>
        </w:tabs>
        <w:spacing w:before="0" w:after="0" w:line="358" w:lineRule="exact"/>
        <w:ind w:left="708" w:right="0" w:hanging="493"/>
        <w:jc w:val="left"/>
        <w:rPr>
          <w:rFonts w:ascii="Times New Roman" w:eastAsia="Times New Roman"/>
          <w:b/>
          <w:sz w:val="28"/>
        </w:rPr>
      </w:pPr>
      <w:bookmarkStart w:id="779" w:name="9.2 声环境现状监测与评价"/>
      <w:bookmarkEnd w:id="779"/>
      <w:bookmarkStart w:id="780" w:name="_bookmark52"/>
      <w:bookmarkEnd w:id="780"/>
      <w:bookmarkStart w:id="781" w:name="_bookmark52"/>
      <w:bookmarkEnd w:id="781"/>
      <w:r>
        <w:rPr>
          <w:b/>
          <w:sz w:val="28"/>
        </w:rPr>
        <w:t>声环境现状监测与评价</w:t>
      </w:r>
    </w:p>
    <w:p>
      <w:pPr>
        <w:pStyle w:val="13"/>
        <w:numPr>
          <w:ilvl w:val="2"/>
          <w:numId w:val="67"/>
        </w:numPr>
        <w:tabs>
          <w:tab w:val="left" w:pos="917"/>
        </w:tabs>
        <w:spacing w:before="186" w:after="0" w:line="240" w:lineRule="auto"/>
        <w:ind w:left="916" w:right="0" w:hanging="702"/>
        <w:jc w:val="left"/>
        <w:rPr>
          <w:b/>
          <w:sz w:val="28"/>
        </w:rPr>
      </w:pPr>
      <w:bookmarkStart w:id="782" w:name="9.2.1 声环境现状调查"/>
      <w:bookmarkEnd w:id="782"/>
      <w:bookmarkStart w:id="783" w:name="9.2.1 声环境现状调查"/>
      <w:bookmarkEnd w:id="783"/>
      <w:r>
        <w:rPr>
          <w:b/>
          <w:sz w:val="28"/>
        </w:rPr>
        <w:t>声环境现状调查</w:t>
      </w:r>
    </w:p>
    <w:p>
      <w:pPr>
        <w:pStyle w:val="5"/>
        <w:numPr>
          <w:ilvl w:val="3"/>
          <w:numId w:val="67"/>
        </w:numPr>
        <w:tabs>
          <w:tab w:val="left" w:pos="936"/>
        </w:tabs>
        <w:spacing w:before="185" w:after="0" w:line="240" w:lineRule="auto"/>
        <w:ind w:left="936" w:right="0" w:hanging="721"/>
        <w:jc w:val="left"/>
      </w:pPr>
      <w:r>
        <w:t>拟建工业场地周围声环境概况</w:t>
      </w:r>
    </w:p>
    <w:p>
      <w:pPr>
        <w:pStyle w:val="6"/>
        <w:spacing w:before="160" w:line="362" w:lineRule="auto"/>
        <w:ind w:left="215" w:right="578" w:firstLine="480"/>
      </w:pPr>
      <w:r>
        <w:t xml:space="preserve">工业广场厂界外 </w:t>
      </w:r>
      <w:r>
        <w:rPr>
          <w:rFonts w:ascii="Times New Roman" w:eastAsia="Times New Roman"/>
        </w:rPr>
        <w:t xml:space="preserve">200m </w:t>
      </w:r>
      <w:r>
        <w:t>范围内，目前尚无工业企业及村屯分布，主要是次生林地， 声学环境状况良好。</w:t>
      </w:r>
    </w:p>
    <w:p>
      <w:pPr>
        <w:pStyle w:val="6"/>
        <w:spacing w:before="5"/>
        <w:ind w:left="696"/>
      </w:pPr>
      <w:r>
        <w:t>本评价区执行《声环境质量标准》（</w:t>
      </w:r>
      <w:r>
        <w:rPr>
          <w:rFonts w:ascii="Times New Roman" w:eastAsia="Times New Roman"/>
        </w:rPr>
        <w:t>GB3096-2008</w:t>
      </w:r>
      <w:r>
        <w:t xml:space="preserve">）中规定的 </w:t>
      </w:r>
      <w:r>
        <w:rPr>
          <w:rFonts w:ascii="Times New Roman" w:eastAsia="Times New Roman"/>
        </w:rPr>
        <w:t xml:space="preserve">2 </w:t>
      </w:r>
      <w:r>
        <w:t>类地区标准。厂界</w:t>
      </w:r>
    </w:p>
    <w:p>
      <w:pPr>
        <w:pStyle w:val="6"/>
        <w:spacing w:before="158" w:line="364" w:lineRule="auto"/>
        <w:ind w:left="215" w:right="457"/>
      </w:pPr>
      <w:r>
        <w:rPr>
          <w:spacing w:val="-10"/>
        </w:rPr>
        <w:t>噪声现状评价执行《工业企业厂界环境噪声排放标准》</w:t>
      </w:r>
      <w:r>
        <w:rPr>
          <w:spacing w:val="-4"/>
        </w:rPr>
        <w:t>（</w:t>
      </w:r>
      <w:r>
        <w:rPr>
          <w:rFonts w:ascii="Times New Roman" w:eastAsia="Times New Roman"/>
          <w:spacing w:val="-4"/>
        </w:rPr>
        <w:t>GB12348-2008</w:t>
      </w:r>
      <w:r>
        <w:rPr>
          <w:spacing w:val="-4"/>
        </w:rPr>
        <w:t>）</w:t>
      </w:r>
      <w:r>
        <w:rPr>
          <w:spacing w:val="-18"/>
        </w:rPr>
        <w:t xml:space="preserve">中的 </w:t>
      </w:r>
      <w:r>
        <w:rPr>
          <w:rFonts w:ascii="Times New Roman" w:eastAsia="Times New Roman"/>
        </w:rPr>
        <w:t xml:space="preserve">2 </w:t>
      </w:r>
      <w:r>
        <w:rPr>
          <w:spacing w:val="-4"/>
        </w:rPr>
        <w:t xml:space="preserve">类标准， </w:t>
      </w:r>
      <w:r>
        <w:rPr>
          <w:spacing w:val="-16"/>
        </w:rPr>
        <w:t xml:space="preserve">即昼间 </w:t>
      </w:r>
      <w:r>
        <w:rPr>
          <w:rFonts w:ascii="Times New Roman" w:eastAsia="Times New Roman"/>
        </w:rPr>
        <w:t>60dB</w:t>
      </w:r>
      <w:r>
        <w:t>（</w:t>
      </w:r>
      <w:r>
        <w:rPr>
          <w:rFonts w:ascii="Times New Roman" w:eastAsia="Times New Roman"/>
        </w:rPr>
        <w:t>A</w:t>
      </w:r>
      <w:r>
        <w:t>），</w:t>
      </w:r>
      <w:r>
        <w:rPr>
          <w:spacing w:val="-20"/>
        </w:rPr>
        <w:t xml:space="preserve">夜间 </w:t>
      </w:r>
      <w:r>
        <w:rPr>
          <w:rFonts w:ascii="Times New Roman" w:eastAsia="Times New Roman"/>
        </w:rPr>
        <w:t>50dB</w:t>
      </w:r>
      <w:r>
        <w:t>（</w:t>
      </w:r>
      <w:r>
        <w:rPr>
          <w:rFonts w:ascii="Times New Roman" w:eastAsia="Times New Roman"/>
        </w:rPr>
        <w:t>A</w:t>
      </w:r>
      <w:r>
        <w:t>）。</w:t>
      </w:r>
    </w:p>
    <w:p>
      <w:pPr>
        <w:pStyle w:val="5"/>
        <w:numPr>
          <w:ilvl w:val="3"/>
          <w:numId w:val="67"/>
        </w:numPr>
        <w:tabs>
          <w:tab w:val="left" w:pos="936"/>
        </w:tabs>
        <w:spacing w:before="0" w:after="0" w:line="306" w:lineRule="exact"/>
        <w:ind w:left="936" w:right="0" w:hanging="721"/>
        <w:jc w:val="left"/>
      </w:pPr>
      <w:r>
        <w:t>声环境现状监测点及测量方法</w:t>
      </w:r>
    </w:p>
    <w:p>
      <w:pPr>
        <w:pStyle w:val="6"/>
        <w:spacing w:before="161"/>
        <w:ind w:left="696"/>
      </w:pPr>
      <w:r>
        <w:rPr>
          <w:spacing w:val="-4"/>
        </w:rPr>
        <w:t xml:space="preserve">本项目委托黑龙江康和检测有限公司于 </w:t>
      </w:r>
      <w:r>
        <w:rPr>
          <w:rFonts w:ascii="Times New Roman" w:eastAsia="Times New Roman"/>
        </w:rPr>
        <w:t xml:space="preserve">2020 </w:t>
      </w:r>
      <w:r>
        <w:rPr>
          <w:spacing w:val="-30"/>
        </w:rPr>
        <w:t xml:space="preserve">年 </w:t>
      </w:r>
      <w:r>
        <w:rPr>
          <w:rFonts w:ascii="Times New Roman" w:eastAsia="Times New Roman"/>
        </w:rPr>
        <w:t xml:space="preserve">04 </w:t>
      </w:r>
      <w:r>
        <w:rPr>
          <w:spacing w:val="-30"/>
        </w:rPr>
        <w:t xml:space="preserve">月 </w:t>
      </w:r>
      <w:r>
        <w:rPr>
          <w:rFonts w:ascii="Times New Roman" w:eastAsia="Times New Roman"/>
        </w:rPr>
        <w:t xml:space="preserve">14 </w:t>
      </w:r>
      <w:r>
        <w:rPr>
          <w:spacing w:val="-26"/>
        </w:rPr>
        <w:t>日、</w:t>
      </w:r>
      <w:r>
        <w:rPr>
          <w:rFonts w:ascii="Times New Roman" w:eastAsia="Times New Roman"/>
        </w:rPr>
        <w:t xml:space="preserve">04 </w:t>
      </w:r>
      <w:r>
        <w:rPr>
          <w:spacing w:val="-30"/>
        </w:rPr>
        <w:t xml:space="preserve">月 </w:t>
      </w:r>
      <w:r>
        <w:rPr>
          <w:rFonts w:ascii="Times New Roman" w:eastAsia="Times New Roman"/>
        </w:rPr>
        <w:t xml:space="preserve">15 </w:t>
      </w:r>
      <w:r>
        <w:t>日对工业广场</w:t>
      </w:r>
    </w:p>
    <w:p>
      <w:pPr>
        <w:pStyle w:val="6"/>
        <w:spacing w:before="158" w:line="364" w:lineRule="auto"/>
        <w:ind w:left="215" w:right="578"/>
      </w:pPr>
      <w:r>
        <w:rPr>
          <w:spacing w:val="-3"/>
        </w:rPr>
        <w:t xml:space="preserve">的声环境进行监测，在工业广场四周分别布设 </w:t>
      </w:r>
      <w:r>
        <w:rPr>
          <w:rFonts w:ascii="Times New Roman" w:eastAsia="Times New Roman"/>
        </w:rPr>
        <w:t>1</w:t>
      </w:r>
      <w:r>
        <w:rPr>
          <w:rFonts w:ascii="Times New Roman" w:eastAsia="Times New Roman"/>
          <w:spacing w:val="2"/>
        </w:rPr>
        <w:t xml:space="preserve"> </w:t>
      </w:r>
      <w:r>
        <w:rPr>
          <w:spacing w:val="-6"/>
        </w:rPr>
        <w:t xml:space="preserve">个监测点，连续监测 </w:t>
      </w:r>
      <w:r>
        <w:rPr>
          <w:rFonts w:ascii="Times New Roman" w:eastAsia="Times New Roman"/>
        </w:rPr>
        <w:t>2</w:t>
      </w:r>
      <w:r>
        <w:rPr>
          <w:rFonts w:ascii="Times New Roman" w:eastAsia="Times New Roman"/>
          <w:spacing w:val="2"/>
        </w:rPr>
        <w:t xml:space="preserve"> </w:t>
      </w:r>
      <w:r>
        <w:rPr>
          <w:spacing w:val="-2"/>
        </w:rPr>
        <w:t>天，采用多功能</w:t>
      </w:r>
      <w:r>
        <w:rPr>
          <w:spacing w:val="9"/>
        </w:rPr>
        <w:t>声级计， 分昼、夜两个时段进行监测， 按《工业企业厂界环境噪声排放标准》</w:t>
      </w:r>
    </w:p>
    <w:p>
      <w:pPr>
        <w:pStyle w:val="6"/>
        <w:spacing w:line="306" w:lineRule="exact"/>
        <w:ind w:left="215"/>
      </w:pPr>
      <w:r>
        <w:t>（</w:t>
      </w:r>
      <w:r>
        <w:rPr>
          <w:rFonts w:ascii="Times New Roman" w:eastAsia="Times New Roman"/>
        </w:rPr>
        <w:t>GB12348-2008</w:t>
      </w:r>
      <w:r>
        <w:t>）进行。</w:t>
      </w:r>
    </w:p>
    <w:p>
      <w:pPr>
        <w:pStyle w:val="6"/>
        <w:spacing w:before="161"/>
        <w:ind w:left="696"/>
      </w:pPr>
      <w:r>
        <w:t xml:space="preserve">现状监测结果见表 </w:t>
      </w:r>
      <w:r>
        <w:rPr>
          <w:rFonts w:ascii="Times New Roman" w:eastAsia="Times New Roman"/>
        </w:rPr>
        <w:t>9.2-1</w:t>
      </w:r>
      <w:r>
        <w:t>。</w:t>
      </w:r>
    </w:p>
    <w:p>
      <w:pPr>
        <w:pStyle w:val="5"/>
        <w:tabs>
          <w:tab w:val="left" w:pos="1281"/>
          <w:tab w:val="left" w:pos="4653"/>
        </w:tabs>
        <w:spacing w:before="160"/>
        <w:ind w:right="347"/>
        <w:jc w:val="center"/>
        <w:rPr>
          <w:rFonts w:ascii="Times New Roman" w:eastAsia="Times New Roman"/>
        </w:rPr>
      </w:pPr>
      <w:r>
        <w:t>表</w:t>
      </w:r>
      <w:r>
        <w:rPr>
          <w:spacing w:val="-62"/>
        </w:rPr>
        <w:t xml:space="preserve"> </w:t>
      </w:r>
      <w:r>
        <w:rPr>
          <w:rFonts w:ascii="Times New Roman" w:eastAsia="Times New Roman"/>
        </w:rPr>
        <w:t>9.2-1</w:t>
      </w:r>
      <w:r>
        <w:rPr>
          <w:rFonts w:ascii="Times New Roman" w:eastAsia="Times New Roman"/>
        </w:rPr>
        <w:tab/>
      </w:r>
      <w:r>
        <w:t>厂址周围环境噪声监测结果</w:t>
      </w:r>
      <w:r>
        <w:tab/>
      </w:r>
      <w:r>
        <w:t>单位：</w:t>
      </w:r>
      <w:r>
        <w:rPr>
          <w:rFonts w:ascii="Times New Roman" w:eastAsia="Times New Roman"/>
        </w:rPr>
        <w:t>dB(A)</w:t>
      </w:r>
    </w:p>
    <w:p>
      <w:pPr>
        <w:pStyle w:val="6"/>
        <w:spacing w:before="7"/>
        <w:rPr>
          <w:rFonts w:ascii="Times New Roman"/>
          <w:b/>
          <w:sz w:val="13"/>
        </w:rPr>
      </w:pP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775"/>
        <w:gridCol w:w="1392"/>
        <w:gridCol w:w="1392"/>
        <w:gridCol w:w="1393"/>
        <w:gridCol w:w="13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3775" w:type="dxa"/>
            <w:vMerge w:val="restart"/>
          </w:tcPr>
          <w:p>
            <w:pPr>
              <w:pStyle w:val="14"/>
              <w:spacing w:before="139"/>
              <w:ind w:left="891" w:right="884"/>
              <w:rPr>
                <w:sz w:val="21"/>
              </w:rPr>
            </w:pPr>
            <w:r>
              <w:rPr>
                <w:sz w:val="21"/>
              </w:rPr>
              <w:t>监测位置</w:t>
            </w:r>
          </w:p>
        </w:tc>
        <w:tc>
          <w:tcPr>
            <w:tcW w:w="2784" w:type="dxa"/>
            <w:gridSpan w:val="2"/>
          </w:tcPr>
          <w:p>
            <w:pPr>
              <w:pStyle w:val="14"/>
              <w:spacing w:line="252" w:lineRule="exact"/>
              <w:ind w:left="526"/>
              <w:jc w:val="left"/>
              <w:rPr>
                <w:sz w:val="21"/>
              </w:rPr>
            </w:pPr>
            <w:r>
              <w:rPr>
                <w:rFonts w:ascii="Times New Roman" w:eastAsia="Times New Roman"/>
                <w:sz w:val="21"/>
              </w:rPr>
              <w:t xml:space="preserve">2020 </w:t>
            </w:r>
            <w:r>
              <w:rPr>
                <w:sz w:val="21"/>
              </w:rPr>
              <w:t xml:space="preserve">年 </w:t>
            </w:r>
            <w:r>
              <w:rPr>
                <w:rFonts w:ascii="Times New Roman" w:eastAsia="Times New Roman"/>
                <w:sz w:val="21"/>
              </w:rPr>
              <w:t xml:space="preserve">04 </w:t>
            </w:r>
            <w:r>
              <w:rPr>
                <w:sz w:val="21"/>
              </w:rPr>
              <w:t xml:space="preserve">月 </w:t>
            </w:r>
            <w:r>
              <w:rPr>
                <w:rFonts w:ascii="Times New Roman" w:eastAsia="Times New Roman"/>
                <w:sz w:val="21"/>
              </w:rPr>
              <w:t xml:space="preserve">14 </w:t>
            </w:r>
            <w:r>
              <w:rPr>
                <w:sz w:val="21"/>
              </w:rPr>
              <w:t>日</w:t>
            </w:r>
          </w:p>
        </w:tc>
        <w:tc>
          <w:tcPr>
            <w:tcW w:w="2785" w:type="dxa"/>
            <w:gridSpan w:val="2"/>
          </w:tcPr>
          <w:p>
            <w:pPr>
              <w:pStyle w:val="14"/>
              <w:spacing w:line="252" w:lineRule="exact"/>
              <w:ind w:left="526"/>
              <w:jc w:val="left"/>
              <w:rPr>
                <w:sz w:val="21"/>
              </w:rPr>
            </w:pPr>
            <w:r>
              <w:rPr>
                <w:rFonts w:ascii="Times New Roman" w:eastAsia="Times New Roman"/>
                <w:sz w:val="21"/>
              </w:rPr>
              <w:t xml:space="preserve">2020 </w:t>
            </w:r>
            <w:r>
              <w:rPr>
                <w:sz w:val="21"/>
              </w:rPr>
              <w:t xml:space="preserve">年 </w:t>
            </w:r>
            <w:r>
              <w:rPr>
                <w:rFonts w:ascii="Times New Roman" w:eastAsia="Times New Roman"/>
                <w:sz w:val="21"/>
              </w:rPr>
              <w:t xml:space="preserve">04 </w:t>
            </w:r>
            <w:r>
              <w:rPr>
                <w:sz w:val="21"/>
              </w:rPr>
              <w:t xml:space="preserve">月 </w:t>
            </w:r>
            <w:r>
              <w:rPr>
                <w:rFonts w:ascii="Times New Roman" w:eastAsia="Times New Roman"/>
                <w:sz w:val="21"/>
              </w:rPr>
              <w:t xml:space="preserve">15 </w:t>
            </w:r>
            <w:r>
              <w:rPr>
                <w:sz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3775" w:type="dxa"/>
            <w:vMerge w:val="continue"/>
            <w:tcBorders>
              <w:top w:val="nil"/>
            </w:tcBorders>
          </w:tcPr>
          <w:p>
            <w:pPr>
              <w:rPr>
                <w:sz w:val="2"/>
                <w:szCs w:val="2"/>
              </w:rPr>
            </w:pPr>
          </w:p>
        </w:tc>
        <w:tc>
          <w:tcPr>
            <w:tcW w:w="1392" w:type="dxa"/>
          </w:tcPr>
          <w:p>
            <w:pPr>
              <w:pStyle w:val="14"/>
              <w:spacing w:before="1" w:line="252" w:lineRule="exact"/>
              <w:ind w:left="252" w:right="244"/>
              <w:rPr>
                <w:sz w:val="21"/>
              </w:rPr>
            </w:pPr>
            <w:r>
              <w:rPr>
                <w:sz w:val="21"/>
              </w:rPr>
              <w:t>昼间</w:t>
            </w:r>
          </w:p>
        </w:tc>
        <w:tc>
          <w:tcPr>
            <w:tcW w:w="1392" w:type="dxa"/>
          </w:tcPr>
          <w:p>
            <w:pPr>
              <w:pStyle w:val="14"/>
              <w:spacing w:before="1" w:line="252" w:lineRule="exact"/>
              <w:ind w:left="252" w:right="244"/>
              <w:rPr>
                <w:sz w:val="21"/>
              </w:rPr>
            </w:pPr>
            <w:r>
              <w:rPr>
                <w:sz w:val="21"/>
              </w:rPr>
              <w:t>夜间</w:t>
            </w:r>
          </w:p>
        </w:tc>
        <w:tc>
          <w:tcPr>
            <w:tcW w:w="1393" w:type="dxa"/>
          </w:tcPr>
          <w:p>
            <w:pPr>
              <w:pStyle w:val="14"/>
              <w:spacing w:before="1" w:line="252" w:lineRule="exact"/>
              <w:ind w:left="486"/>
              <w:jc w:val="left"/>
              <w:rPr>
                <w:sz w:val="21"/>
              </w:rPr>
            </w:pPr>
            <w:r>
              <w:rPr>
                <w:sz w:val="21"/>
              </w:rPr>
              <w:t>昼间</w:t>
            </w:r>
          </w:p>
        </w:tc>
        <w:tc>
          <w:tcPr>
            <w:tcW w:w="1392" w:type="dxa"/>
          </w:tcPr>
          <w:p>
            <w:pPr>
              <w:pStyle w:val="14"/>
              <w:spacing w:before="1" w:line="252" w:lineRule="exact"/>
              <w:ind w:left="250" w:right="244"/>
              <w:rPr>
                <w:sz w:val="21"/>
              </w:rPr>
            </w:pPr>
            <w:r>
              <w:rPr>
                <w:sz w:val="21"/>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3775" w:type="dxa"/>
          </w:tcPr>
          <w:p>
            <w:pPr>
              <w:pStyle w:val="14"/>
              <w:spacing w:line="252" w:lineRule="exact"/>
              <w:ind w:left="892" w:right="884"/>
              <w:rPr>
                <w:sz w:val="21"/>
              </w:rPr>
            </w:pPr>
            <w:r>
              <w:rPr>
                <w:sz w:val="21"/>
              </w:rPr>
              <w:t>工业广场东测外</w:t>
            </w:r>
            <w:r>
              <w:rPr>
                <w:rFonts w:ascii="Times New Roman" w:eastAsia="Times New Roman"/>
                <w:sz w:val="21"/>
              </w:rPr>
              <w:t>1m</w:t>
            </w:r>
            <w:r>
              <w:rPr>
                <w:sz w:val="21"/>
              </w:rPr>
              <w:t>处</w:t>
            </w:r>
          </w:p>
        </w:tc>
        <w:tc>
          <w:tcPr>
            <w:tcW w:w="1392" w:type="dxa"/>
          </w:tcPr>
          <w:p>
            <w:pPr>
              <w:pStyle w:val="14"/>
              <w:spacing w:before="13" w:line="239" w:lineRule="exact"/>
              <w:ind w:left="255" w:right="244"/>
              <w:rPr>
                <w:rFonts w:ascii="Times New Roman"/>
                <w:sz w:val="21"/>
              </w:rPr>
            </w:pPr>
            <w:r>
              <w:rPr>
                <w:rFonts w:ascii="Times New Roman"/>
                <w:sz w:val="21"/>
              </w:rPr>
              <w:t>51.1</w:t>
            </w:r>
          </w:p>
        </w:tc>
        <w:tc>
          <w:tcPr>
            <w:tcW w:w="1392" w:type="dxa"/>
          </w:tcPr>
          <w:p>
            <w:pPr>
              <w:pStyle w:val="14"/>
              <w:spacing w:before="13" w:line="239" w:lineRule="exact"/>
              <w:ind w:left="255" w:right="244"/>
              <w:rPr>
                <w:rFonts w:ascii="Times New Roman"/>
                <w:sz w:val="21"/>
              </w:rPr>
            </w:pPr>
            <w:r>
              <w:rPr>
                <w:rFonts w:ascii="Times New Roman"/>
                <w:sz w:val="21"/>
              </w:rPr>
              <w:t>46.6</w:t>
            </w:r>
          </w:p>
        </w:tc>
        <w:tc>
          <w:tcPr>
            <w:tcW w:w="1393" w:type="dxa"/>
          </w:tcPr>
          <w:p>
            <w:pPr>
              <w:pStyle w:val="14"/>
              <w:spacing w:before="13" w:line="239" w:lineRule="exact"/>
              <w:ind w:left="512"/>
              <w:jc w:val="left"/>
              <w:rPr>
                <w:rFonts w:ascii="Times New Roman"/>
                <w:sz w:val="21"/>
              </w:rPr>
            </w:pPr>
            <w:r>
              <w:rPr>
                <w:rFonts w:ascii="Times New Roman"/>
                <w:sz w:val="21"/>
              </w:rPr>
              <w:t>52.0</w:t>
            </w:r>
          </w:p>
        </w:tc>
        <w:tc>
          <w:tcPr>
            <w:tcW w:w="1392" w:type="dxa"/>
          </w:tcPr>
          <w:p>
            <w:pPr>
              <w:pStyle w:val="14"/>
              <w:spacing w:before="13" w:line="239" w:lineRule="exact"/>
              <w:ind w:left="253" w:right="244"/>
              <w:rPr>
                <w:rFonts w:ascii="Times New Roman"/>
                <w:sz w:val="21"/>
              </w:rPr>
            </w:pPr>
            <w:r>
              <w:rPr>
                <w:rFonts w:ascii="Times New Roman"/>
                <w:sz w:val="21"/>
              </w:rPr>
              <w:t>46.3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3775" w:type="dxa"/>
          </w:tcPr>
          <w:p>
            <w:pPr>
              <w:pStyle w:val="14"/>
              <w:spacing w:line="252" w:lineRule="exact"/>
              <w:ind w:left="892" w:right="884"/>
              <w:rPr>
                <w:sz w:val="21"/>
              </w:rPr>
            </w:pPr>
            <w:r>
              <w:rPr>
                <w:sz w:val="21"/>
              </w:rPr>
              <w:t>工业广场南侧外</w:t>
            </w:r>
            <w:r>
              <w:rPr>
                <w:rFonts w:ascii="Times New Roman" w:eastAsia="Times New Roman"/>
                <w:sz w:val="21"/>
              </w:rPr>
              <w:t>1m</w:t>
            </w:r>
            <w:r>
              <w:rPr>
                <w:sz w:val="21"/>
              </w:rPr>
              <w:t>处</w:t>
            </w:r>
          </w:p>
        </w:tc>
        <w:tc>
          <w:tcPr>
            <w:tcW w:w="1392" w:type="dxa"/>
          </w:tcPr>
          <w:p>
            <w:pPr>
              <w:pStyle w:val="14"/>
              <w:spacing w:before="14" w:line="238" w:lineRule="exact"/>
              <w:ind w:left="255" w:right="244"/>
              <w:rPr>
                <w:rFonts w:ascii="Times New Roman"/>
                <w:sz w:val="21"/>
              </w:rPr>
            </w:pPr>
            <w:r>
              <w:rPr>
                <w:rFonts w:ascii="Times New Roman"/>
                <w:sz w:val="21"/>
              </w:rPr>
              <w:t>50.3</w:t>
            </w:r>
          </w:p>
        </w:tc>
        <w:tc>
          <w:tcPr>
            <w:tcW w:w="1392" w:type="dxa"/>
          </w:tcPr>
          <w:p>
            <w:pPr>
              <w:pStyle w:val="14"/>
              <w:spacing w:before="14" w:line="238" w:lineRule="exact"/>
              <w:ind w:left="255" w:right="244"/>
              <w:rPr>
                <w:rFonts w:ascii="Times New Roman"/>
                <w:sz w:val="21"/>
              </w:rPr>
            </w:pPr>
            <w:r>
              <w:rPr>
                <w:rFonts w:ascii="Times New Roman"/>
                <w:sz w:val="21"/>
              </w:rPr>
              <w:t>45.9</w:t>
            </w:r>
          </w:p>
        </w:tc>
        <w:tc>
          <w:tcPr>
            <w:tcW w:w="1393" w:type="dxa"/>
          </w:tcPr>
          <w:p>
            <w:pPr>
              <w:pStyle w:val="14"/>
              <w:spacing w:before="14" w:line="238" w:lineRule="exact"/>
              <w:ind w:left="512"/>
              <w:jc w:val="left"/>
              <w:rPr>
                <w:rFonts w:ascii="Times New Roman"/>
                <w:sz w:val="21"/>
              </w:rPr>
            </w:pPr>
            <w:r>
              <w:rPr>
                <w:rFonts w:ascii="Times New Roman"/>
                <w:sz w:val="21"/>
              </w:rPr>
              <w:t>53.5</w:t>
            </w:r>
          </w:p>
        </w:tc>
        <w:tc>
          <w:tcPr>
            <w:tcW w:w="1392" w:type="dxa"/>
          </w:tcPr>
          <w:p>
            <w:pPr>
              <w:pStyle w:val="14"/>
              <w:spacing w:before="14" w:line="238" w:lineRule="exact"/>
              <w:ind w:left="253" w:right="244"/>
              <w:rPr>
                <w:rFonts w:ascii="Times New Roman"/>
                <w:sz w:val="21"/>
              </w:rPr>
            </w:pPr>
            <w:r>
              <w:rPr>
                <w:rFonts w:ascii="Times New Roman"/>
                <w:sz w:val="21"/>
              </w:rPr>
              <w:t>46.5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3775" w:type="dxa"/>
          </w:tcPr>
          <w:p>
            <w:pPr>
              <w:pStyle w:val="14"/>
              <w:spacing w:before="1" w:line="252" w:lineRule="exact"/>
              <w:ind w:left="892" w:right="884"/>
              <w:rPr>
                <w:sz w:val="21"/>
              </w:rPr>
            </w:pPr>
            <w:r>
              <w:rPr>
                <w:sz w:val="21"/>
              </w:rPr>
              <w:t>工业广场西侧外</w:t>
            </w:r>
            <w:r>
              <w:rPr>
                <w:rFonts w:ascii="Times New Roman" w:eastAsia="Times New Roman"/>
                <w:sz w:val="21"/>
              </w:rPr>
              <w:t>1m</w:t>
            </w:r>
            <w:r>
              <w:rPr>
                <w:sz w:val="21"/>
              </w:rPr>
              <w:t>处</w:t>
            </w:r>
          </w:p>
        </w:tc>
        <w:tc>
          <w:tcPr>
            <w:tcW w:w="1392" w:type="dxa"/>
          </w:tcPr>
          <w:p>
            <w:pPr>
              <w:pStyle w:val="14"/>
              <w:spacing w:before="15" w:line="238" w:lineRule="exact"/>
              <w:ind w:left="255" w:right="244"/>
              <w:rPr>
                <w:rFonts w:ascii="Times New Roman"/>
                <w:sz w:val="21"/>
              </w:rPr>
            </w:pPr>
            <w:r>
              <w:rPr>
                <w:rFonts w:ascii="Times New Roman"/>
                <w:sz w:val="21"/>
              </w:rPr>
              <w:t>52.1</w:t>
            </w:r>
          </w:p>
        </w:tc>
        <w:tc>
          <w:tcPr>
            <w:tcW w:w="1392" w:type="dxa"/>
          </w:tcPr>
          <w:p>
            <w:pPr>
              <w:pStyle w:val="14"/>
              <w:spacing w:before="15" w:line="238" w:lineRule="exact"/>
              <w:ind w:left="255" w:right="244"/>
              <w:rPr>
                <w:rFonts w:ascii="Times New Roman"/>
                <w:sz w:val="21"/>
              </w:rPr>
            </w:pPr>
            <w:r>
              <w:rPr>
                <w:rFonts w:ascii="Times New Roman"/>
                <w:sz w:val="21"/>
              </w:rPr>
              <w:t>46.3</w:t>
            </w:r>
          </w:p>
        </w:tc>
        <w:tc>
          <w:tcPr>
            <w:tcW w:w="1393" w:type="dxa"/>
          </w:tcPr>
          <w:p>
            <w:pPr>
              <w:pStyle w:val="14"/>
              <w:spacing w:before="15" w:line="238" w:lineRule="exact"/>
              <w:ind w:left="512"/>
              <w:jc w:val="left"/>
              <w:rPr>
                <w:rFonts w:ascii="Times New Roman"/>
                <w:sz w:val="21"/>
              </w:rPr>
            </w:pPr>
            <w:r>
              <w:rPr>
                <w:rFonts w:ascii="Times New Roman"/>
                <w:sz w:val="21"/>
              </w:rPr>
              <w:t>51.8</w:t>
            </w:r>
          </w:p>
        </w:tc>
        <w:tc>
          <w:tcPr>
            <w:tcW w:w="1392" w:type="dxa"/>
          </w:tcPr>
          <w:p>
            <w:pPr>
              <w:pStyle w:val="14"/>
              <w:spacing w:before="15" w:line="238" w:lineRule="exact"/>
              <w:ind w:left="253" w:right="244"/>
              <w:rPr>
                <w:rFonts w:ascii="Times New Roman"/>
                <w:sz w:val="21"/>
              </w:rPr>
            </w:pPr>
            <w:r>
              <w:rPr>
                <w:rFonts w:ascii="Times New Roman"/>
                <w:sz w:val="21"/>
              </w:rPr>
              <w:t>47.1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3775" w:type="dxa"/>
          </w:tcPr>
          <w:p>
            <w:pPr>
              <w:pStyle w:val="14"/>
              <w:spacing w:line="252" w:lineRule="exact"/>
              <w:ind w:left="892" w:right="884"/>
              <w:rPr>
                <w:sz w:val="21"/>
              </w:rPr>
            </w:pPr>
            <w:r>
              <w:rPr>
                <w:sz w:val="21"/>
              </w:rPr>
              <w:t>工业广场北侧外</w:t>
            </w:r>
            <w:r>
              <w:rPr>
                <w:rFonts w:ascii="Times New Roman" w:eastAsia="Times New Roman"/>
                <w:sz w:val="21"/>
              </w:rPr>
              <w:t>1m</w:t>
            </w:r>
            <w:r>
              <w:rPr>
                <w:sz w:val="21"/>
              </w:rPr>
              <w:t>处</w:t>
            </w:r>
          </w:p>
        </w:tc>
        <w:tc>
          <w:tcPr>
            <w:tcW w:w="1392" w:type="dxa"/>
          </w:tcPr>
          <w:p>
            <w:pPr>
              <w:pStyle w:val="14"/>
              <w:spacing w:before="13" w:line="239" w:lineRule="exact"/>
              <w:ind w:left="255" w:right="244"/>
              <w:rPr>
                <w:rFonts w:ascii="Times New Roman"/>
                <w:sz w:val="21"/>
              </w:rPr>
            </w:pPr>
            <w:r>
              <w:rPr>
                <w:rFonts w:ascii="Times New Roman"/>
                <w:sz w:val="21"/>
              </w:rPr>
              <w:t>50.8</w:t>
            </w:r>
          </w:p>
        </w:tc>
        <w:tc>
          <w:tcPr>
            <w:tcW w:w="1392" w:type="dxa"/>
          </w:tcPr>
          <w:p>
            <w:pPr>
              <w:pStyle w:val="14"/>
              <w:spacing w:before="13" w:line="239" w:lineRule="exact"/>
              <w:ind w:left="255" w:right="244"/>
              <w:rPr>
                <w:rFonts w:ascii="Times New Roman"/>
                <w:sz w:val="21"/>
              </w:rPr>
            </w:pPr>
            <w:r>
              <w:rPr>
                <w:rFonts w:ascii="Times New Roman"/>
                <w:sz w:val="21"/>
              </w:rPr>
              <w:t>47.1</w:t>
            </w:r>
          </w:p>
        </w:tc>
        <w:tc>
          <w:tcPr>
            <w:tcW w:w="1393" w:type="dxa"/>
          </w:tcPr>
          <w:p>
            <w:pPr>
              <w:pStyle w:val="14"/>
              <w:spacing w:before="13" w:line="239" w:lineRule="exact"/>
              <w:ind w:left="512"/>
              <w:jc w:val="left"/>
              <w:rPr>
                <w:rFonts w:ascii="Times New Roman"/>
                <w:sz w:val="21"/>
              </w:rPr>
            </w:pPr>
            <w:r>
              <w:rPr>
                <w:rFonts w:ascii="Times New Roman"/>
                <w:sz w:val="21"/>
              </w:rPr>
              <w:t>51.6</w:t>
            </w:r>
          </w:p>
        </w:tc>
        <w:tc>
          <w:tcPr>
            <w:tcW w:w="1392" w:type="dxa"/>
          </w:tcPr>
          <w:p>
            <w:pPr>
              <w:pStyle w:val="14"/>
              <w:spacing w:before="13" w:line="239" w:lineRule="exact"/>
              <w:ind w:left="253" w:right="244"/>
              <w:rPr>
                <w:rFonts w:ascii="Times New Roman"/>
                <w:sz w:val="21"/>
              </w:rPr>
            </w:pPr>
            <w:r>
              <w:rPr>
                <w:rFonts w:ascii="Times New Roman"/>
                <w:sz w:val="21"/>
              </w:rPr>
              <w:t>46.9</w:t>
            </w:r>
          </w:p>
        </w:tc>
      </w:tr>
    </w:tbl>
    <w:p>
      <w:pPr>
        <w:spacing w:after="0" w:line="239" w:lineRule="exact"/>
        <w:rPr>
          <w:rFonts w:ascii="Times New Roman"/>
          <w:sz w:val="21"/>
        </w:rPr>
        <w:sectPr>
          <w:pgSz w:w="11910" w:h="16840"/>
          <w:pgMar w:top="1540" w:right="780" w:bottom="1320" w:left="1200" w:header="0" w:footer="1138" w:gutter="0"/>
        </w:sectPr>
      </w:pPr>
    </w:p>
    <w:p>
      <w:pPr>
        <w:pStyle w:val="13"/>
        <w:numPr>
          <w:ilvl w:val="2"/>
          <w:numId w:val="67"/>
        </w:numPr>
        <w:tabs>
          <w:tab w:val="left" w:pos="848"/>
        </w:tabs>
        <w:spacing w:before="47" w:after="0" w:line="240" w:lineRule="auto"/>
        <w:ind w:left="847" w:right="0" w:hanging="633"/>
        <w:jc w:val="left"/>
        <w:rPr>
          <w:b/>
          <w:sz w:val="28"/>
        </w:rPr>
      </w:pPr>
      <w:bookmarkStart w:id="784" w:name="9.2.2声环境现状评价"/>
      <w:bookmarkEnd w:id="784"/>
      <w:bookmarkStart w:id="785" w:name="9.2.2声环境现状评价"/>
      <w:bookmarkEnd w:id="785"/>
      <w:r>
        <w:rPr>
          <w:b/>
          <w:sz w:val="28"/>
        </w:rPr>
        <w:t>声环境现状评价</w:t>
      </w:r>
    </w:p>
    <w:p>
      <w:pPr>
        <w:pStyle w:val="13"/>
        <w:numPr>
          <w:ilvl w:val="3"/>
          <w:numId w:val="67"/>
        </w:numPr>
        <w:tabs>
          <w:tab w:val="left" w:pos="996"/>
        </w:tabs>
        <w:spacing w:before="185" w:after="0" w:line="240" w:lineRule="auto"/>
        <w:ind w:left="996" w:right="0" w:hanging="781"/>
        <w:jc w:val="left"/>
        <w:rPr>
          <w:b/>
          <w:sz w:val="24"/>
        </w:rPr>
      </w:pPr>
      <w:r>
        <w:rPr>
          <w:b/>
          <w:sz w:val="24"/>
        </w:rPr>
        <w:t>评价量</w:t>
      </w:r>
    </w:p>
    <w:p>
      <w:pPr>
        <w:pStyle w:val="6"/>
        <w:spacing w:before="158"/>
        <w:ind w:left="696"/>
      </w:pPr>
      <w:r>
        <w:t xml:space="preserve">以等效连续 </w:t>
      </w:r>
      <w:r>
        <w:rPr>
          <w:rFonts w:ascii="Times New Roman" w:eastAsia="Times New Roman"/>
        </w:rPr>
        <w:t xml:space="preserve">A </w:t>
      </w:r>
      <w:r>
        <w:t xml:space="preserve">声级 </w:t>
      </w:r>
      <w:r>
        <w:rPr>
          <w:rFonts w:ascii="Times New Roman" w:eastAsia="Times New Roman"/>
        </w:rPr>
        <w:t xml:space="preserve">Leq </w:t>
      </w:r>
      <w:r>
        <w:t>为评价量。</w:t>
      </w:r>
    </w:p>
    <w:p>
      <w:pPr>
        <w:pStyle w:val="5"/>
        <w:numPr>
          <w:ilvl w:val="3"/>
          <w:numId w:val="67"/>
        </w:numPr>
        <w:tabs>
          <w:tab w:val="left" w:pos="996"/>
        </w:tabs>
        <w:spacing w:before="161" w:after="0" w:line="240" w:lineRule="auto"/>
        <w:ind w:left="996" w:right="0" w:hanging="781"/>
        <w:jc w:val="left"/>
      </w:pPr>
      <w:r>
        <w:t>评价方法</w:t>
      </w:r>
    </w:p>
    <w:p>
      <w:pPr>
        <w:pStyle w:val="6"/>
        <w:spacing w:before="158"/>
        <w:ind w:left="696"/>
      </w:pPr>
      <w:r>
        <w:t>监测值直接与标准值对比的方法。</w:t>
      </w:r>
    </w:p>
    <w:p>
      <w:pPr>
        <w:pStyle w:val="5"/>
        <w:numPr>
          <w:ilvl w:val="3"/>
          <w:numId w:val="67"/>
        </w:numPr>
        <w:tabs>
          <w:tab w:val="left" w:pos="996"/>
        </w:tabs>
        <w:spacing w:before="160" w:after="0" w:line="240" w:lineRule="auto"/>
        <w:ind w:left="996" w:right="0" w:hanging="781"/>
        <w:jc w:val="left"/>
      </w:pPr>
      <w:r>
        <w:t>评价标准</w:t>
      </w:r>
    </w:p>
    <w:p>
      <w:pPr>
        <w:pStyle w:val="6"/>
        <w:spacing w:before="158" w:line="364" w:lineRule="auto"/>
        <w:ind w:left="215" w:right="578" w:firstLine="480"/>
      </w:pPr>
      <w:r>
        <w:t>拟建工业场地周围区域环境噪声执行《声环境质量标准》（</w:t>
      </w:r>
      <w:r>
        <w:rPr>
          <w:rFonts w:ascii="Times New Roman" w:eastAsia="Times New Roman"/>
        </w:rPr>
        <w:t>GB3096-2008</w:t>
      </w:r>
      <w:r>
        <w:t xml:space="preserve">）中 </w:t>
      </w:r>
      <w:r>
        <w:rPr>
          <w:rFonts w:ascii="Times New Roman" w:eastAsia="Times New Roman"/>
        </w:rPr>
        <w:t xml:space="preserve">2 </w:t>
      </w:r>
      <w:r>
        <w:t xml:space="preserve">类标准。即昼间 </w:t>
      </w:r>
      <w:r>
        <w:rPr>
          <w:rFonts w:ascii="Times New Roman" w:eastAsia="Times New Roman"/>
        </w:rPr>
        <w:t>60dB</w:t>
      </w:r>
      <w:r>
        <w:t>（</w:t>
      </w:r>
      <w:r>
        <w:rPr>
          <w:rFonts w:ascii="Times New Roman" w:eastAsia="Times New Roman"/>
        </w:rPr>
        <w:t>A</w:t>
      </w:r>
      <w:r>
        <w:t xml:space="preserve">），夜间 </w:t>
      </w:r>
      <w:r>
        <w:rPr>
          <w:rFonts w:ascii="Times New Roman" w:eastAsia="Times New Roman"/>
        </w:rPr>
        <w:t>50dB</w:t>
      </w:r>
      <w:r>
        <w:t>（</w:t>
      </w:r>
      <w:r>
        <w:rPr>
          <w:rFonts w:ascii="Times New Roman" w:eastAsia="Times New Roman"/>
        </w:rPr>
        <w:t>A</w:t>
      </w:r>
      <w:r>
        <w:t>）。</w:t>
      </w:r>
    </w:p>
    <w:p>
      <w:pPr>
        <w:pStyle w:val="5"/>
        <w:numPr>
          <w:ilvl w:val="3"/>
          <w:numId w:val="67"/>
        </w:numPr>
        <w:tabs>
          <w:tab w:val="left" w:pos="996"/>
        </w:tabs>
        <w:spacing w:before="0" w:after="0" w:line="306" w:lineRule="exact"/>
        <w:ind w:left="996" w:right="0" w:hanging="781"/>
        <w:jc w:val="left"/>
      </w:pPr>
      <w:r>
        <w:t>现状评价</w:t>
      </w:r>
    </w:p>
    <w:p>
      <w:pPr>
        <w:pStyle w:val="6"/>
        <w:spacing w:before="161"/>
        <w:ind w:left="696"/>
        <w:rPr>
          <w:rFonts w:ascii="Times New Roman" w:eastAsia="Times New Roman"/>
        </w:rPr>
      </w:pPr>
      <w:r>
        <w:t xml:space="preserve">根据现状监测结果，厂界噪声值昼间在 </w:t>
      </w:r>
      <w:r>
        <w:rPr>
          <w:rFonts w:ascii="Times New Roman" w:eastAsia="Times New Roman"/>
        </w:rPr>
        <w:t>50.3~53.5dB</w:t>
      </w:r>
      <w:r>
        <w:t>（</w:t>
      </w:r>
      <w:r>
        <w:rPr>
          <w:rFonts w:ascii="Times New Roman" w:eastAsia="Times New Roman"/>
        </w:rPr>
        <w:t>A</w:t>
      </w:r>
      <w:r>
        <w:t xml:space="preserve">）之间，夜间在 </w:t>
      </w:r>
      <w:r>
        <w:rPr>
          <w:rFonts w:ascii="Times New Roman" w:eastAsia="Times New Roman"/>
        </w:rPr>
        <w:t>45.9~47.1dB</w:t>
      </w:r>
    </w:p>
    <w:p>
      <w:pPr>
        <w:pStyle w:val="6"/>
        <w:spacing w:before="158"/>
        <w:ind w:left="215"/>
      </w:pPr>
      <w:r>
        <w:t>（</w:t>
      </w:r>
      <w:r>
        <w:rPr>
          <w:rFonts w:ascii="Times New Roman" w:eastAsia="Times New Roman"/>
        </w:rPr>
        <w:t>A</w:t>
      </w:r>
      <w:r>
        <w:t>）之间，监测点能够满足《声环境质量标准》（</w:t>
      </w:r>
      <w:r>
        <w:rPr>
          <w:rFonts w:ascii="Times New Roman" w:eastAsia="Times New Roman"/>
        </w:rPr>
        <w:t>GB3096-2008</w:t>
      </w:r>
      <w:r>
        <w:t xml:space="preserve">）中 </w:t>
      </w:r>
      <w:r>
        <w:rPr>
          <w:rFonts w:ascii="Times New Roman" w:eastAsia="Times New Roman"/>
        </w:rPr>
        <w:t xml:space="preserve">2 </w:t>
      </w:r>
      <w:r>
        <w:t>类标准限值要求。</w:t>
      </w:r>
    </w:p>
    <w:p>
      <w:pPr>
        <w:pStyle w:val="5"/>
        <w:numPr>
          <w:ilvl w:val="3"/>
          <w:numId w:val="67"/>
        </w:numPr>
        <w:tabs>
          <w:tab w:val="left" w:pos="996"/>
        </w:tabs>
        <w:spacing w:before="160" w:after="0" w:line="240" w:lineRule="auto"/>
        <w:ind w:left="996" w:right="0" w:hanging="781"/>
        <w:jc w:val="left"/>
      </w:pPr>
      <w:r>
        <w:t>现状评价结论</w:t>
      </w:r>
    </w:p>
    <w:p>
      <w:pPr>
        <w:pStyle w:val="6"/>
        <w:spacing w:before="161" w:line="362" w:lineRule="auto"/>
        <w:ind w:left="215" w:right="580" w:firstLine="480"/>
      </w:pPr>
      <w:r>
        <w:t>厂址噪声现状评价结果表明：目前厂界噪声无论在昼间还是在夜间，均能达到声环境质量标准》（</w:t>
      </w:r>
      <w:r>
        <w:rPr>
          <w:rFonts w:ascii="Times New Roman" w:eastAsia="Times New Roman"/>
        </w:rPr>
        <w:t>GB3096-2008</w:t>
      </w:r>
      <w:r>
        <w:t xml:space="preserve">）中 </w:t>
      </w:r>
      <w:r>
        <w:rPr>
          <w:rFonts w:ascii="Times New Roman" w:eastAsia="Times New Roman"/>
        </w:rPr>
        <w:t xml:space="preserve">2 </w:t>
      </w:r>
      <w:r>
        <w:t>类标准限值要求，无超标现象。声环境质量较好。</w:t>
      </w:r>
    </w:p>
    <w:p>
      <w:pPr>
        <w:pStyle w:val="4"/>
        <w:numPr>
          <w:ilvl w:val="1"/>
          <w:numId w:val="67"/>
        </w:numPr>
        <w:tabs>
          <w:tab w:val="left" w:pos="708"/>
        </w:tabs>
        <w:spacing w:before="6" w:after="0" w:line="240" w:lineRule="auto"/>
        <w:ind w:left="708" w:right="0" w:hanging="493"/>
        <w:jc w:val="left"/>
        <w:rPr>
          <w:rFonts w:ascii="Times New Roman" w:eastAsia="Times New Roman"/>
        </w:rPr>
      </w:pPr>
      <w:bookmarkStart w:id="786" w:name="9.3 建设期声环境影响及防治措施"/>
      <w:bookmarkEnd w:id="786"/>
      <w:bookmarkStart w:id="787" w:name="_bookmark53"/>
      <w:bookmarkEnd w:id="787"/>
      <w:bookmarkStart w:id="788" w:name="_bookmark53"/>
      <w:bookmarkEnd w:id="788"/>
      <w:r>
        <w:t>建设期声环境影响及防治措施</w:t>
      </w:r>
    </w:p>
    <w:p>
      <w:pPr>
        <w:pStyle w:val="13"/>
        <w:numPr>
          <w:ilvl w:val="2"/>
          <w:numId w:val="67"/>
        </w:numPr>
        <w:tabs>
          <w:tab w:val="left" w:pos="848"/>
        </w:tabs>
        <w:spacing w:before="183" w:after="0" w:line="240" w:lineRule="auto"/>
        <w:ind w:left="847" w:right="0" w:hanging="633"/>
        <w:jc w:val="left"/>
        <w:rPr>
          <w:b/>
          <w:sz w:val="28"/>
        </w:rPr>
      </w:pPr>
      <w:bookmarkStart w:id="789" w:name="9.3.1建设期噪声源分析"/>
      <w:bookmarkEnd w:id="789"/>
      <w:bookmarkStart w:id="790" w:name="9.3.1建设期噪声源分析"/>
      <w:bookmarkEnd w:id="790"/>
      <w:r>
        <w:rPr>
          <w:b/>
          <w:sz w:val="28"/>
        </w:rPr>
        <w:t>建设期噪声源分析</w:t>
      </w:r>
    </w:p>
    <w:p>
      <w:pPr>
        <w:pStyle w:val="6"/>
        <w:spacing w:before="3"/>
        <w:rPr>
          <w:b/>
          <w:sz w:val="23"/>
        </w:rPr>
      </w:pPr>
    </w:p>
    <w:p>
      <w:pPr>
        <w:pStyle w:val="6"/>
        <w:spacing w:before="1" w:line="343" w:lineRule="auto"/>
        <w:ind w:left="215" w:right="458" w:firstLine="480"/>
      </w:pPr>
      <w:r>
        <w:rPr>
          <w:spacing w:val="-7"/>
        </w:rPr>
        <w:t xml:space="preserve">建设期噪声源主要为各类施工机械。根据本工程施工活动的特点，经类比调查可知， </w:t>
      </w:r>
      <w:r>
        <w:t>煤矿建设期的平整场地、筑路、建（构）筑物、井筒等施工常用的设备主要有推土机、挖掘机、装载机、混凝土搅拌机、压路机、起重机、专辑、振捣棒等。主要施工设备噪</w:t>
      </w:r>
      <w:r>
        <w:rPr>
          <w:spacing w:val="-6"/>
        </w:rPr>
        <w:t xml:space="preserve">声级类比调查结果见表 </w:t>
      </w:r>
      <w:r>
        <w:rPr>
          <w:rFonts w:ascii="Times New Roman" w:eastAsia="Times New Roman"/>
        </w:rPr>
        <w:t>9.3-1</w:t>
      </w:r>
      <w:r>
        <w:t>。</w:t>
      </w:r>
    </w:p>
    <w:p>
      <w:pPr>
        <w:pStyle w:val="5"/>
        <w:tabs>
          <w:tab w:val="left" w:pos="1041"/>
        </w:tabs>
        <w:spacing w:before="48" w:after="32"/>
        <w:ind w:right="350"/>
        <w:jc w:val="center"/>
        <w:rPr>
          <w:rFonts w:hint="eastAsia" w:ascii="黑体" w:eastAsia="黑体"/>
        </w:rPr>
      </w:pPr>
      <w:r>
        <w:rPr>
          <w:rFonts w:hint="eastAsia" w:ascii="黑体" w:eastAsia="黑体"/>
        </w:rPr>
        <w:t>表</w:t>
      </w:r>
      <w:r>
        <w:rPr>
          <w:rFonts w:hint="eastAsia" w:ascii="黑体" w:eastAsia="黑体"/>
          <w:spacing w:val="-62"/>
        </w:rPr>
        <w:t xml:space="preserve"> </w:t>
      </w:r>
      <w:r>
        <w:rPr>
          <w:rFonts w:ascii="Times New Roman" w:eastAsia="Times New Roman"/>
        </w:rPr>
        <w:t>9.3-1</w:t>
      </w:r>
      <w:r>
        <w:rPr>
          <w:rFonts w:ascii="Times New Roman" w:eastAsia="Times New Roman"/>
        </w:rPr>
        <w:tab/>
      </w:r>
      <w:r>
        <w:rPr>
          <w:rFonts w:hint="eastAsia" w:ascii="黑体" w:eastAsia="黑体"/>
        </w:rPr>
        <w:t>主要施工设备噪声源源强一览表</w:t>
      </w: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11"/>
        <w:gridCol w:w="2661"/>
        <w:gridCol w:w="2011"/>
        <w:gridCol w:w="26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2011" w:type="dxa"/>
          </w:tcPr>
          <w:p>
            <w:pPr>
              <w:pStyle w:val="14"/>
              <w:spacing w:before="7"/>
              <w:jc w:val="left"/>
              <w:rPr>
                <w:rFonts w:ascii="黑体"/>
                <w:b/>
                <w:sz w:val="17"/>
              </w:rPr>
            </w:pPr>
          </w:p>
          <w:p>
            <w:pPr>
              <w:pStyle w:val="14"/>
              <w:spacing w:before="1"/>
              <w:ind w:left="352" w:right="347"/>
              <w:rPr>
                <w:sz w:val="21"/>
              </w:rPr>
            </w:pPr>
            <w:r>
              <w:rPr>
                <w:sz w:val="21"/>
              </w:rPr>
              <w:t>高噪声设备</w:t>
            </w:r>
          </w:p>
        </w:tc>
        <w:tc>
          <w:tcPr>
            <w:tcW w:w="2661" w:type="dxa"/>
          </w:tcPr>
          <w:p>
            <w:pPr>
              <w:pStyle w:val="14"/>
              <w:spacing w:before="46"/>
              <w:ind w:left="670"/>
              <w:jc w:val="left"/>
              <w:rPr>
                <w:sz w:val="21"/>
              </w:rPr>
            </w:pPr>
            <w:r>
              <w:rPr>
                <w:sz w:val="21"/>
              </w:rPr>
              <w:t>声级测量</w:t>
            </w:r>
            <w:r>
              <w:rPr>
                <w:rFonts w:ascii="Times New Roman" w:eastAsia="Times New Roman"/>
                <w:sz w:val="21"/>
              </w:rPr>
              <w:t>/</w:t>
            </w:r>
            <w:r>
              <w:rPr>
                <w:sz w:val="21"/>
              </w:rPr>
              <w:t>距离</w:t>
            </w:r>
          </w:p>
          <w:p>
            <w:pPr>
              <w:pStyle w:val="14"/>
              <w:spacing w:before="90"/>
              <w:ind w:left="601"/>
              <w:jc w:val="left"/>
              <w:rPr>
                <w:sz w:val="21"/>
              </w:rPr>
            </w:pPr>
            <w:r>
              <w:rPr>
                <w:sz w:val="21"/>
              </w:rPr>
              <w:t>（</w:t>
            </w:r>
            <w:r>
              <w:rPr>
                <w:rFonts w:ascii="Times New Roman" w:eastAsia="Times New Roman"/>
                <w:sz w:val="21"/>
              </w:rPr>
              <w:t>dB</w:t>
            </w:r>
            <w:r>
              <w:rPr>
                <w:sz w:val="21"/>
              </w:rPr>
              <w:t>（</w:t>
            </w:r>
            <w:r>
              <w:rPr>
                <w:rFonts w:ascii="Times New Roman" w:eastAsia="Times New Roman"/>
                <w:sz w:val="21"/>
              </w:rPr>
              <w:t>A</w:t>
            </w:r>
            <w:r>
              <w:rPr>
                <w:sz w:val="21"/>
              </w:rPr>
              <w:t>）</w:t>
            </w:r>
            <w:r>
              <w:rPr>
                <w:rFonts w:ascii="Times New Roman" w:eastAsia="Times New Roman"/>
                <w:sz w:val="21"/>
              </w:rPr>
              <w:t>/m</w:t>
            </w:r>
            <w:r>
              <w:rPr>
                <w:sz w:val="21"/>
              </w:rPr>
              <w:t>）</w:t>
            </w:r>
          </w:p>
        </w:tc>
        <w:tc>
          <w:tcPr>
            <w:tcW w:w="2011" w:type="dxa"/>
          </w:tcPr>
          <w:p>
            <w:pPr>
              <w:pStyle w:val="14"/>
              <w:spacing w:before="7"/>
              <w:jc w:val="left"/>
              <w:rPr>
                <w:rFonts w:ascii="黑体"/>
                <w:b/>
                <w:sz w:val="17"/>
              </w:rPr>
            </w:pPr>
          </w:p>
          <w:p>
            <w:pPr>
              <w:pStyle w:val="14"/>
              <w:spacing w:before="1"/>
              <w:ind w:left="352" w:right="345"/>
              <w:rPr>
                <w:sz w:val="21"/>
              </w:rPr>
            </w:pPr>
            <w:r>
              <w:rPr>
                <w:sz w:val="21"/>
              </w:rPr>
              <w:t>高噪声设备</w:t>
            </w:r>
          </w:p>
        </w:tc>
        <w:tc>
          <w:tcPr>
            <w:tcW w:w="2661" w:type="dxa"/>
          </w:tcPr>
          <w:p>
            <w:pPr>
              <w:pStyle w:val="14"/>
              <w:spacing w:before="46"/>
              <w:ind w:left="671"/>
              <w:jc w:val="left"/>
              <w:rPr>
                <w:sz w:val="21"/>
              </w:rPr>
            </w:pPr>
            <w:r>
              <w:rPr>
                <w:sz w:val="21"/>
              </w:rPr>
              <w:t>声级测量</w:t>
            </w:r>
            <w:r>
              <w:rPr>
                <w:rFonts w:ascii="Times New Roman" w:eastAsia="Times New Roman"/>
                <w:sz w:val="21"/>
              </w:rPr>
              <w:t>/</w:t>
            </w:r>
            <w:r>
              <w:rPr>
                <w:sz w:val="21"/>
              </w:rPr>
              <w:t>距离</w:t>
            </w:r>
          </w:p>
          <w:p>
            <w:pPr>
              <w:pStyle w:val="14"/>
              <w:spacing w:before="90"/>
              <w:ind w:left="602"/>
              <w:jc w:val="left"/>
              <w:rPr>
                <w:sz w:val="21"/>
              </w:rPr>
            </w:pPr>
            <w:r>
              <w:rPr>
                <w:sz w:val="21"/>
              </w:rPr>
              <w:t>（</w:t>
            </w:r>
            <w:r>
              <w:rPr>
                <w:rFonts w:ascii="Times New Roman" w:eastAsia="Times New Roman"/>
                <w:sz w:val="21"/>
              </w:rPr>
              <w:t>dB</w:t>
            </w:r>
            <w:r>
              <w:rPr>
                <w:sz w:val="21"/>
              </w:rPr>
              <w:t>（</w:t>
            </w:r>
            <w:r>
              <w:rPr>
                <w:rFonts w:ascii="Times New Roman" w:eastAsia="Times New Roman"/>
                <w:sz w:val="21"/>
              </w:rPr>
              <w:t>A</w:t>
            </w:r>
            <w:r>
              <w:rPr>
                <w:sz w:val="21"/>
              </w:rPr>
              <w:t>）</w:t>
            </w:r>
            <w:r>
              <w:rPr>
                <w:rFonts w:ascii="Times New Roman" w:eastAsia="Times New Roman"/>
                <w:sz w:val="21"/>
              </w:rPr>
              <w:t>/m</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2011" w:type="dxa"/>
          </w:tcPr>
          <w:p>
            <w:pPr>
              <w:pStyle w:val="14"/>
              <w:spacing w:before="45"/>
              <w:ind w:left="352" w:right="347"/>
              <w:rPr>
                <w:sz w:val="21"/>
              </w:rPr>
            </w:pPr>
            <w:r>
              <w:rPr>
                <w:sz w:val="21"/>
              </w:rPr>
              <w:t>重型运输车</w:t>
            </w:r>
          </w:p>
        </w:tc>
        <w:tc>
          <w:tcPr>
            <w:tcW w:w="2661" w:type="dxa"/>
          </w:tcPr>
          <w:p>
            <w:pPr>
              <w:pStyle w:val="14"/>
              <w:spacing w:before="45"/>
              <w:ind w:left="932"/>
              <w:jc w:val="left"/>
              <w:rPr>
                <w:rFonts w:ascii="Times New Roman" w:eastAsia="Times New Roman"/>
                <w:sz w:val="21"/>
              </w:rPr>
            </w:pPr>
            <w:r>
              <w:rPr>
                <w:rFonts w:ascii="Times New Roman" w:eastAsia="Times New Roman"/>
                <w:sz w:val="21"/>
              </w:rPr>
              <w:t>82</w:t>
            </w:r>
            <w:r>
              <w:rPr>
                <w:sz w:val="21"/>
              </w:rPr>
              <w:t>～</w:t>
            </w:r>
            <w:r>
              <w:rPr>
                <w:rFonts w:ascii="Times New Roman" w:eastAsia="Times New Roman"/>
                <w:sz w:val="21"/>
              </w:rPr>
              <w:t>90/5</w:t>
            </w:r>
          </w:p>
        </w:tc>
        <w:tc>
          <w:tcPr>
            <w:tcW w:w="2011" w:type="dxa"/>
          </w:tcPr>
          <w:p>
            <w:pPr>
              <w:pStyle w:val="14"/>
              <w:spacing w:before="45"/>
              <w:ind w:left="352" w:right="348"/>
              <w:rPr>
                <w:sz w:val="21"/>
              </w:rPr>
            </w:pPr>
            <w:r>
              <w:rPr>
                <w:sz w:val="21"/>
              </w:rPr>
              <w:t>混凝土振捣器</w:t>
            </w:r>
          </w:p>
        </w:tc>
        <w:tc>
          <w:tcPr>
            <w:tcW w:w="2661" w:type="dxa"/>
          </w:tcPr>
          <w:p>
            <w:pPr>
              <w:pStyle w:val="14"/>
              <w:spacing w:before="45"/>
              <w:ind w:left="913" w:right="904"/>
              <w:rPr>
                <w:rFonts w:ascii="Times New Roman" w:eastAsia="Times New Roman"/>
                <w:sz w:val="21"/>
              </w:rPr>
            </w:pPr>
            <w:r>
              <w:rPr>
                <w:rFonts w:ascii="Times New Roman" w:eastAsia="Times New Roman"/>
                <w:sz w:val="21"/>
              </w:rPr>
              <w:t>80</w:t>
            </w:r>
            <w:r>
              <w:rPr>
                <w:sz w:val="21"/>
              </w:rPr>
              <w:t>～</w:t>
            </w:r>
            <w:r>
              <w:rPr>
                <w:rFonts w:ascii="Times New Roman" w:eastAsia="Times New Roman"/>
                <w:sz w:val="21"/>
              </w:rPr>
              <w:t>88/5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2011" w:type="dxa"/>
          </w:tcPr>
          <w:p>
            <w:pPr>
              <w:pStyle w:val="14"/>
              <w:spacing w:before="45"/>
              <w:ind w:left="352" w:right="345"/>
              <w:rPr>
                <w:sz w:val="21"/>
              </w:rPr>
            </w:pPr>
            <w:r>
              <w:rPr>
                <w:sz w:val="21"/>
              </w:rPr>
              <w:t>挖掘机</w:t>
            </w:r>
          </w:p>
        </w:tc>
        <w:tc>
          <w:tcPr>
            <w:tcW w:w="2661" w:type="dxa"/>
          </w:tcPr>
          <w:p>
            <w:pPr>
              <w:pStyle w:val="14"/>
              <w:spacing w:before="45"/>
              <w:ind w:left="932"/>
              <w:jc w:val="left"/>
              <w:rPr>
                <w:rFonts w:ascii="Times New Roman" w:eastAsia="Times New Roman"/>
                <w:sz w:val="21"/>
              </w:rPr>
            </w:pPr>
            <w:r>
              <w:rPr>
                <w:rFonts w:ascii="Times New Roman" w:eastAsia="Times New Roman"/>
                <w:sz w:val="21"/>
              </w:rPr>
              <w:t>80</w:t>
            </w:r>
            <w:r>
              <w:rPr>
                <w:sz w:val="21"/>
              </w:rPr>
              <w:t>～</w:t>
            </w:r>
            <w:r>
              <w:rPr>
                <w:rFonts w:ascii="Times New Roman" w:eastAsia="Times New Roman"/>
                <w:sz w:val="21"/>
              </w:rPr>
              <w:t>86/5</w:t>
            </w:r>
          </w:p>
        </w:tc>
        <w:tc>
          <w:tcPr>
            <w:tcW w:w="2011" w:type="dxa"/>
          </w:tcPr>
          <w:p>
            <w:pPr>
              <w:pStyle w:val="14"/>
              <w:spacing w:before="45"/>
              <w:ind w:left="352" w:right="343"/>
              <w:rPr>
                <w:sz w:val="21"/>
              </w:rPr>
            </w:pPr>
            <w:r>
              <w:rPr>
                <w:sz w:val="21"/>
              </w:rPr>
              <w:t>压路机</w:t>
            </w:r>
          </w:p>
        </w:tc>
        <w:tc>
          <w:tcPr>
            <w:tcW w:w="2661" w:type="dxa"/>
          </w:tcPr>
          <w:p>
            <w:pPr>
              <w:pStyle w:val="14"/>
              <w:spacing w:before="45"/>
              <w:ind w:left="913" w:right="904"/>
              <w:rPr>
                <w:rFonts w:ascii="Times New Roman" w:eastAsia="Times New Roman"/>
                <w:sz w:val="21"/>
              </w:rPr>
            </w:pPr>
            <w:r>
              <w:rPr>
                <w:rFonts w:ascii="Times New Roman" w:eastAsia="Times New Roman"/>
                <w:sz w:val="21"/>
              </w:rPr>
              <w:t>80</w:t>
            </w:r>
            <w:r>
              <w:rPr>
                <w:sz w:val="21"/>
              </w:rPr>
              <w:t>～</w:t>
            </w:r>
            <w:r>
              <w:rPr>
                <w:rFonts w:ascii="Times New Roman" w:eastAsia="Times New Roman"/>
                <w:sz w:val="21"/>
              </w:rPr>
              <w:t>90/5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2011" w:type="dxa"/>
          </w:tcPr>
          <w:p>
            <w:pPr>
              <w:pStyle w:val="14"/>
              <w:spacing w:before="44"/>
              <w:ind w:left="352" w:right="345"/>
              <w:rPr>
                <w:sz w:val="21"/>
              </w:rPr>
            </w:pPr>
            <w:r>
              <w:rPr>
                <w:sz w:val="21"/>
              </w:rPr>
              <w:t>推土机</w:t>
            </w:r>
          </w:p>
        </w:tc>
        <w:tc>
          <w:tcPr>
            <w:tcW w:w="2661" w:type="dxa"/>
          </w:tcPr>
          <w:p>
            <w:pPr>
              <w:pStyle w:val="14"/>
              <w:spacing w:before="47"/>
              <w:ind w:left="932"/>
              <w:jc w:val="left"/>
              <w:rPr>
                <w:rFonts w:ascii="Times New Roman" w:eastAsia="Times New Roman"/>
                <w:sz w:val="21"/>
              </w:rPr>
            </w:pPr>
            <w:r>
              <w:rPr>
                <w:rFonts w:ascii="Times New Roman" w:eastAsia="Times New Roman"/>
                <w:sz w:val="21"/>
              </w:rPr>
              <w:t>83</w:t>
            </w:r>
            <w:r>
              <w:rPr>
                <w:sz w:val="21"/>
              </w:rPr>
              <w:t>～</w:t>
            </w:r>
            <w:r>
              <w:rPr>
                <w:rFonts w:ascii="Times New Roman" w:eastAsia="Times New Roman"/>
                <w:sz w:val="21"/>
              </w:rPr>
              <w:t>88/5</w:t>
            </w:r>
          </w:p>
        </w:tc>
        <w:tc>
          <w:tcPr>
            <w:tcW w:w="2011" w:type="dxa"/>
          </w:tcPr>
          <w:p>
            <w:pPr>
              <w:pStyle w:val="14"/>
              <w:spacing w:before="44"/>
              <w:ind w:left="352" w:right="345"/>
              <w:rPr>
                <w:sz w:val="21"/>
              </w:rPr>
            </w:pPr>
            <w:r>
              <w:rPr>
                <w:sz w:val="21"/>
              </w:rPr>
              <w:t>轮式装载机</w:t>
            </w:r>
          </w:p>
        </w:tc>
        <w:tc>
          <w:tcPr>
            <w:tcW w:w="2661" w:type="dxa"/>
          </w:tcPr>
          <w:p>
            <w:pPr>
              <w:pStyle w:val="14"/>
              <w:spacing w:before="47"/>
              <w:ind w:left="913" w:right="904"/>
              <w:rPr>
                <w:rFonts w:ascii="Times New Roman" w:eastAsia="Times New Roman"/>
                <w:sz w:val="21"/>
              </w:rPr>
            </w:pPr>
            <w:r>
              <w:rPr>
                <w:rFonts w:ascii="Times New Roman" w:eastAsia="Times New Roman"/>
                <w:sz w:val="21"/>
              </w:rPr>
              <w:t>90</w:t>
            </w:r>
            <w:r>
              <w:rPr>
                <w:sz w:val="21"/>
              </w:rPr>
              <w:t>～</w:t>
            </w:r>
            <w:r>
              <w:rPr>
                <w:rFonts w:ascii="Times New Roman" w:eastAsia="Times New Roman"/>
                <w:sz w:val="21"/>
              </w:rPr>
              <w:t>95/5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2011" w:type="dxa"/>
          </w:tcPr>
          <w:p>
            <w:pPr>
              <w:pStyle w:val="14"/>
              <w:spacing w:before="44"/>
              <w:ind w:left="352" w:right="345"/>
              <w:rPr>
                <w:sz w:val="21"/>
              </w:rPr>
            </w:pPr>
            <w:r>
              <w:rPr>
                <w:sz w:val="21"/>
              </w:rPr>
              <w:t>空压机</w:t>
            </w:r>
          </w:p>
        </w:tc>
        <w:tc>
          <w:tcPr>
            <w:tcW w:w="2661" w:type="dxa"/>
          </w:tcPr>
          <w:p>
            <w:pPr>
              <w:pStyle w:val="14"/>
              <w:spacing w:before="46"/>
              <w:ind w:left="932"/>
              <w:jc w:val="left"/>
              <w:rPr>
                <w:rFonts w:ascii="Times New Roman" w:eastAsia="Times New Roman"/>
                <w:sz w:val="21"/>
              </w:rPr>
            </w:pPr>
            <w:r>
              <w:rPr>
                <w:rFonts w:ascii="Times New Roman" w:eastAsia="Times New Roman"/>
                <w:sz w:val="21"/>
              </w:rPr>
              <w:t>88</w:t>
            </w:r>
            <w:r>
              <w:rPr>
                <w:sz w:val="21"/>
              </w:rPr>
              <w:t>～</w:t>
            </w:r>
            <w:r>
              <w:rPr>
                <w:rFonts w:ascii="Times New Roman" w:eastAsia="Times New Roman"/>
                <w:sz w:val="21"/>
              </w:rPr>
              <w:t>92/5</w:t>
            </w:r>
          </w:p>
        </w:tc>
        <w:tc>
          <w:tcPr>
            <w:tcW w:w="2011" w:type="dxa"/>
          </w:tcPr>
          <w:p>
            <w:pPr>
              <w:pStyle w:val="14"/>
              <w:jc w:val="left"/>
              <w:rPr>
                <w:rFonts w:ascii="Times New Roman"/>
                <w:sz w:val="22"/>
              </w:rPr>
            </w:pPr>
          </w:p>
        </w:tc>
        <w:tc>
          <w:tcPr>
            <w:tcW w:w="2661" w:type="dxa"/>
          </w:tcPr>
          <w:p>
            <w:pPr>
              <w:pStyle w:val="14"/>
              <w:jc w:val="left"/>
              <w:rPr>
                <w:rFonts w:ascii="Times New Roman"/>
                <w:sz w:val="22"/>
              </w:rPr>
            </w:pPr>
          </w:p>
        </w:tc>
      </w:tr>
    </w:tbl>
    <w:p>
      <w:pPr>
        <w:pStyle w:val="13"/>
        <w:numPr>
          <w:ilvl w:val="2"/>
          <w:numId w:val="67"/>
        </w:numPr>
        <w:tabs>
          <w:tab w:val="left" w:pos="848"/>
        </w:tabs>
        <w:spacing w:before="3" w:after="0" w:line="240" w:lineRule="auto"/>
        <w:ind w:left="847" w:right="0" w:hanging="633"/>
        <w:jc w:val="left"/>
        <w:rPr>
          <w:b/>
          <w:sz w:val="28"/>
        </w:rPr>
      </w:pPr>
      <w:bookmarkStart w:id="791" w:name="9.3.2建设期声环境影响分析"/>
      <w:bookmarkEnd w:id="791"/>
      <w:bookmarkStart w:id="792" w:name="9.3.2建设期声环境影响分析"/>
      <w:bookmarkEnd w:id="792"/>
      <w:r>
        <w:rPr>
          <w:b/>
          <w:sz w:val="28"/>
        </w:rPr>
        <w:t>建设期声环境影响分析</w:t>
      </w:r>
    </w:p>
    <w:p>
      <w:pPr>
        <w:pStyle w:val="6"/>
        <w:rPr>
          <w:b/>
          <w:sz w:val="23"/>
        </w:rPr>
      </w:pPr>
    </w:p>
    <w:p>
      <w:pPr>
        <w:pStyle w:val="6"/>
        <w:spacing w:line="345" w:lineRule="auto"/>
        <w:ind w:left="215" w:right="580" w:firstLine="480"/>
      </w:pPr>
      <w:r>
        <w:t xml:space="preserve">由于施工期不同阶段施工设备不同，施工设备数量不同，因此很难预测施工场地各场界噪声値。因此本次预测主要针对施工期各噪声源分析衰減情况，具体见表 </w:t>
      </w:r>
      <w:r>
        <w:rPr>
          <w:rFonts w:ascii="Times New Roman" w:eastAsia="Times New Roman"/>
        </w:rPr>
        <w:t>9.3-2</w:t>
      </w:r>
      <w:r>
        <w:t>。</w:t>
      </w:r>
    </w:p>
    <w:p>
      <w:pPr>
        <w:spacing w:after="0" w:line="345" w:lineRule="auto"/>
        <w:sectPr>
          <w:pgSz w:w="11910" w:h="16840"/>
          <w:pgMar w:top="1540" w:right="780" w:bottom="1320" w:left="1200" w:header="0" w:footer="1138" w:gutter="0"/>
        </w:sectPr>
      </w:pPr>
    </w:p>
    <w:p>
      <w:pPr>
        <w:pStyle w:val="5"/>
        <w:tabs>
          <w:tab w:val="left" w:pos="1041"/>
        </w:tabs>
        <w:spacing w:before="164" w:after="33"/>
        <w:ind w:right="352"/>
        <w:jc w:val="center"/>
        <w:rPr>
          <w:rFonts w:hint="eastAsia" w:ascii="黑体" w:eastAsia="黑体"/>
        </w:rPr>
      </w:pPr>
      <w:r>
        <w:rPr>
          <w:rFonts w:hint="eastAsia" w:ascii="黑体" w:eastAsia="黑体"/>
        </w:rPr>
        <w:t>表</w:t>
      </w:r>
      <w:r>
        <w:rPr>
          <w:rFonts w:hint="eastAsia" w:ascii="黑体" w:eastAsia="黑体"/>
          <w:spacing w:val="-62"/>
        </w:rPr>
        <w:t xml:space="preserve"> </w:t>
      </w:r>
      <w:r>
        <w:rPr>
          <w:rFonts w:ascii="Times New Roman" w:eastAsia="Times New Roman"/>
        </w:rPr>
        <w:t>9.3-2</w:t>
      </w:r>
      <w:r>
        <w:rPr>
          <w:rFonts w:ascii="Times New Roman" w:eastAsia="Times New Roman"/>
        </w:rPr>
        <w:tab/>
      </w:r>
      <w:r>
        <w:rPr>
          <w:rFonts w:hint="eastAsia" w:ascii="黑体" w:eastAsia="黑体"/>
        </w:rPr>
        <w:t>施工噪声影响预测一览表</w:t>
      </w:r>
    </w:p>
    <w:tbl>
      <w:tblPr>
        <w:tblStyle w:val="10"/>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49"/>
        <w:gridCol w:w="1345"/>
        <w:gridCol w:w="822"/>
        <w:gridCol w:w="783"/>
        <w:gridCol w:w="774"/>
        <w:gridCol w:w="774"/>
        <w:gridCol w:w="822"/>
        <w:gridCol w:w="812"/>
        <w:gridCol w:w="774"/>
        <w:gridCol w:w="7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649" w:type="dxa"/>
            <w:vMerge w:val="restart"/>
          </w:tcPr>
          <w:p>
            <w:pPr>
              <w:pStyle w:val="14"/>
              <w:spacing w:before="12"/>
              <w:jc w:val="left"/>
              <w:rPr>
                <w:rFonts w:ascii="黑体"/>
                <w:b/>
                <w:sz w:val="17"/>
              </w:rPr>
            </w:pPr>
          </w:p>
          <w:p>
            <w:pPr>
              <w:pStyle w:val="14"/>
              <w:ind w:left="507"/>
              <w:jc w:val="left"/>
              <w:rPr>
                <w:sz w:val="21"/>
              </w:rPr>
            </w:pPr>
            <w:r>
              <w:rPr>
                <w:sz w:val="21"/>
              </w:rPr>
              <w:t>噪声源</w:t>
            </w:r>
          </w:p>
        </w:tc>
        <w:tc>
          <w:tcPr>
            <w:tcW w:w="1345" w:type="dxa"/>
            <w:vMerge w:val="restart"/>
          </w:tcPr>
          <w:p>
            <w:pPr>
              <w:pStyle w:val="14"/>
              <w:spacing w:before="50"/>
              <w:ind w:left="207"/>
              <w:jc w:val="left"/>
              <w:rPr>
                <w:rFonts w:ascii="Times New Roman" w:eastAsia="Times New Roman"/>
                <w:sz w:val="21"/>
              </w:rPr>
            </w:pPr>
            <w:r>
              <w:rPr>
                <w:sz w:val="21"/>
              </w:rPr>
              <w:t xml:space="preserve">噪声级 </w:t>
            </w:r>
            <w:r>
              <w:rPr>
                <w:rFonts w:ascii="Times New Roman" w:eastAsia="Times New Roman"/>
                <w:sz w:val="21"/>
              </w:rPr>
              <w:t>dB</w:t>
            </w:r>
          </w:p>
          <w:p>
            <w:pPr>
              <w:pStyle w:val="14"/>
              <w:spacing w:before="91"/>
              <w:ind w:left="106" w:right="-15"/>
              <w:jc w:val="left"/>
              <w:rPr>
                <w:sz w:val="21"/>
              </w:rPr>
            </w:pPr>
            <w:r>
              <w:rPr>
                <w:spacing w:val="-4"/>
                <w:sz w:val="21"/>
              </w:rPr>
              <w:t>（</w:t>
            </w:r>
            <w:r>
              <w:rPr>
                <w:rFonts w:ascii="Times New Roman" w:eastAsia="Times New Roman"/>
                <w:spacing w:val="-4"/>
                <w:sz w:val="21"/>
              </w:rPr>
              <w:t>A</w:t>
            </w:r>
            <w:r>
              <w:rPr>
                <w:spacing w:val="-4"/>
                <w:sz w:val="21"/>
              </w:rPr>
              <w:t>）（</w:t>
            </w:r>
            <w:r>
              <w:rPr>
                <w:rFonts w:ascii="Times New Roman" w:eastAsia="Times New Roman"/>
                <w:spacing w:val="-4"/>
                <w:sz w:val="21"/>
              </w:rPr>
              <w:t>1m</w:t>
            </w:r>
            <w:r>
              <w:rPr>
                <w:spacing w:val="-4"/>
                <w:sz w:val="21"/>
              </w:rPr>
              <w:t>）</w:t>
            </w:r>
          </w:p>
        </w:tc>
        <w:tc>
          <w:tcPr>
            <w:tcW w:w="6345" w:type="dxa"/>
            <w:gridSpan w:val="8"/>
          </w:tcPr>
          <w:p>
            <w:pPr>
              <w:pStyle w:val="14"/>
              <w:spacing w:before="45"/>
              <w:ind w:left="2166" w:right="2157"/>
              <w:rPr>
                <w:sz w:val="21"/>
              </w:rPr>
            </w:pPr>
            <w:r>
              <w:rPr>
                <w:sz w:val="21"/>
              </w:rPr>
              <w:t xml:space="preserve">预测噪声级 </w:t>
            </w:r>
            <w:r>
              <w:rPr>
                <w:rFonts w:ascii="Times New Roman" w:eastAsia="Times New Roman"/>
                <w:sz w:val="21"/>
              </w:rPr>
              <w:t>dB</w:t>
            </w:r>
            <w:r>
              <w:rPr>
                <w:sz w:val="21"/>
              </w:rPr>
              <w:t>（</w:t>
            </w:r>
            <w:r>
              <w:rPr>
                <w:rFonts w:ascii="Times New Roman" w:eastAsia="Times New Roman"/>
                <w:sz w:val="21"/>
              </w:rPr>
              <w:t>A</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649" w:type="dxa"/>
            <w:vMerge w:val="continue"/>
            <w:tcBorders>
              <w:top w:val="nil"/>
            </w:tcBorders>
          </w:tcPr>
          <w:p>
            <w:pPr>
              <w:rPr>
                <w:sz w:val="2"/>
                <w:szCs w:val="2"/>
              </w:rPr>
            </w:pPr>
          </w:p>
        </w:tc>
        <w:tc>
          <w:tcPr>
            <w:tcW w:w="1345" w:type="dxa"/>
            <w:vMerge w:val="continue"/>
            <w:tcBorders>
              <w:top w:val="nil"/>
            </w:tcBorders>
          </w:tcPr>
          <w:p>
            <w:pPr>
              <w:rPr>
                <w:sz w:val="2"/>
                <w:szCs w:val="2"/>
              </w:rPr>
            </w:pPr>
          </w:p>
        </w:tc>
        <w:tc>
          <w:tcPr>
            <w:tcW w:w="822" w:type="dxa"/>
          </w:tcPr>
          <w:p>
            <w:pPr>
              <w:pStyle w:val="14"/>
              <w:spacing w:before="59"/>
              <w:ind w:left="152" w:right="144"/>
              <w:rPr>
                <w:rFonts w:ascii="Times New Roman"/>
                <w:sz w:val="21"/>
              </w:rPr>
            </w:pPr>
            <w:r>
              <w:rPr>
                <w:rFonts w:ascii="Times New Roman"/>
                <w:sz w:val="21"/>
              </w:rPr>
              <w:t>5m</w:t>
            </w:r>
          </w:p>
        </w:tc>
        <w:tc>
          <w:tcPr>
            <w:tcW w:w="783" w:type="dxa"/>
          </w:tcPr>
          <w:p>
            <w:pPr>
              <w:pStyle w:val="14"/>
              <w:spacing w:before="59"/>
              <w:ind w:left="205"/>
              <w:jc w:val="left"/>
              <w:rPr>
                <w:rFonts w:ascii="Times New Roman"/>
                <w:sz w:val="21"/>
              </w:rPr>
            </w:pPr>
            <w:r>
              <w:rPr>
                <w:rFonts w:ascii="Times New Roman"/>
                <w:sz w:val="21"/>
              </w:rPr>
              <w:t>10m</w:t>
            </w:r>
          </w:p>
        </w:tc>
        <w:tc>
          <w:tcPr>
            <w:tcW w:w="774" w:type="dxa"/>
          </w:tcPr>
          <w:p>
            <w:pPr>
              <w:pStyle w:val="14"/>
              <w:spacing w:before="59"/>
              <w:ind w:left="200"/>
              <w:jc w:val="left"/>
              <w:rPr>
                <w:rFonts w:ascii="Times New Roman"/>
                <w:sz w:val="21"/>
              </w:rPr>
            </w:pPr>
            <w:r>
              <w:rPr>
                <w:rFonts w:ascii="Times New Roman"/>
                <w:sz w:val="21"/>
              </w:rPr>
              <w:t>20m</w:t>
            </w:r>
          </w:p>
        </w:tc>
        <w:tc>
          <w:tcPr>
            <w:tcW w:w="774" w:type="dxa"/>
          </w:tcPr>
          <w:p>
            <w:pPr>
              <w:pStyle w:val="14"/>
              <w:spacing w:before="59"/>
              <w:ind w:right="189"/>
              <w:jc w:val="right"/>
              <w:rPr>
                <w:rFonts w:ascii="Times New Roman"/>
                <w:sz w:val="21"/>
              </w:rPr>
            </w:pPr>
            <w:r>
              <w:rPr>
                <w:rFonts w:ascii="Times New Roman"/>
                <w:sz w:val="21"/>
              </w:rPr>
              <w:t>40m</w:t>
            </w:r>
          </w:p>
        </w:tc>
        <w:tc>
          <w:tcPr>
            <w:tcW w:w="822" w:type="dxa"/>
          </w:tcPr>
          <w:p>
            <w:pPr>
              <w:pStyle w:val="14"/>
              <w:spacing w:before="59"/>
              <w:ind w:right="212"/>
              <w:jc w:val="right"/>
              <w:rPr>
                <w:rFonts w:ascii="Times New Roman"/>
                <w:sz w:val="21"/>
              </w:rPr>
            </w:pPr>
            <w:r>
              <w:rPr>
                <w:rFonts w:ascii="Times New Roman"/>
                <w:sz w:val="21"/>
              </w:rPr>
              <w:t>50m</w:t>
            </w:r>
          </w:p>
        </w:tc>
        <w:tc>
          <w:tcPr>
            <w:tcW w:w="812" w:type="dxa"/>
          </w:tcPr>
          <w:p>
            <w:pPr>
              <w:pStyle w:val="14"/>
              <w:spacing w:before="59"/>
              <w:ind w:left="218"/>
              <w:jc w:val="left"/>
              <w:rPr>
                <w:rFonts w:ascii="Times New Roman"/>
                <w:sz w:val="21"/>
              </w:rPr>
            </w:pPr>
            <w:r>
              <w:rPr>
                <w:rFonts w:ascii="Times New Roman"/>
                <w:sz w:val="21"/>
              </w:rPr>
              <w:t>80m</w:t>
            </w:r>
          </w:p>
        </w:tc>
        <w:tc>
          <w:tcPr>
            <w:tcW w:w="774" w:type="dxa"/>
          </w:tcPr>
          <w:p>
            <w:pPr>
              <w:pStyle w:val="14"/>
              <w:spacing w:before="59"/>
              <w:ind w:left="127" w:right="117"/>
              <w:rPr>
                <w:rFonts w:ascii="Times New Roman"/>
                <w:sz w:val="21"/>
              </w:rPr>
            </w:pPr>
            <w:r>
              <w:rPr>
                <w:rFonts w:ascii="Times New Roman"/>
                <w:sz w:val="21"/>
              </w:rPr>
              <w:t>100m</w:t>
            </w:r>
          </w:p>
        </w:tc>
        <w:tc>
          <w:tcPr>
            <w:tcW w:w="784" w:type="dxa"/>
          </w:tcPr>
          <w:p>
            <w:pPr>
              <w:pStyle w:val="14"/>
              <w:spacing w:before="59"/>
              <w:ind w:left="132" w:right="122"/>
              <w:rPr>
                <w:rFonts w:ascii="Times New Roman"/>
                <w:sz w:val="21"/>
              </w:rPr>
            </w:pPr>
            <w:r>
              <w:rPr>
                <w:rFonts w:ascii="Times New Roman"/>
                <w:sz w:val="21"/>
              </w:rPr>
              <w:t>200m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649" w:type="dxa"/>
          </w:tcPr>
          <w:p>
            <w:pPr>
              <w:pStyle w:val="14"/>
              <w:spacing w:before="44"/>
              <w:ind w:left="172" w:right="164"/>
              <w:rPr>
                <w:sz w:val="21"/>
              </w:rPr>
            </w:pPr>
            <w:r>
              <w:rPr>
                <w:sz w:val="21"/>
              </w:rPr>
              <w:t>重型运输车</w:t>
            </w:r>
          </w:p>
        </w:tc>
        <w:tc>
          <w:tcPr>
            <w:tcW w:w="1345" w:type="dxa"/>
          </w:tcPr>
          <w:p>
            <w:pPr>
              <w:pStyle w:val="14"/>
              <w:spacing w:before="61"/>
              <w:ind w:left="547" w:right="537"/>
              <w:rPr>
                <w:rFonts w:ascii="Times New Roman"/>
                <w:sz w:val="21"/>
              </w:rPr>
            </w:pPr>
            <w:r>
              <w:rPr>
                <w:rFonts w:ascii="Times New Roman"/>
                <w:sz w:val="21"/>
              </w:rPr>
              <w:t>90</w:t>
            </w:r>
          </w:p>
        </w:tc>
        <w:tc>
          <w:tcPr>
            <w:tcW w:w="822" w:type="dxa"/>
          </w:tcPr>
          <w:p>
            <w:pPr>
              <w:pStyle w:val="14"/>
              <w:spacing w:before="61"/>
              <w:ind w:left="154" w:right="144"/>
              <w:rPr>
                <w:rFonts w:ascii="Times New Roman"/>
                <w:sz w:val="21"/>
              </w:rPr>
            </w:pPr>
            <w:r>
              <w:rPr>
                <w:rFonts w:ascii="Times New Roman"/>
                <w:sz w:val="21"/>
              </w:rPr>
              <w:t>76.02</w:t>
            </w:r>
          </w:p>
        </w:tc>
        <w:tc>
          <w:tcPr>
            <w:tcW w:w="783" w:type="dxa"/>
          </w:tcPr>
          <w:p>
            <w:pPr>
              <w:pStyle w:val="14"/>
              <w:spacing w:before="61"/>
              <w:ind w:left="155"/>
              <w:jc w:val="left"/>
              <w:rPr>
                <w:rFonts w:ascii="Times New Roman"/>
                <w:sz w:val="21"/>
              </w:rPr>
            </w:pPr>
            <w:r>
              <w:rPr>
                <w:rFonts w:ascii="Times New Roman"/>
                <w:sz w:val="21"/>
              </w:rPr>
              <w:t>70.00</w:t>
            </w:r>
          </w:p>
        </w:tc>
        <w:tc>
          <w:tcPr>
            <w:tcW w:w="774" w:type="dxa"/>
          </w:tcPr>
          <w:p>
            <w:pPr>
              <w:pStyle w:val="14"/>
              <w:spacing w:before="61"/>
              <w:ind w:left="149"/>
              <w:jc w:val="left"/>
              <w:rPr>
                <w:rFonts w:ascii="Times New Roman"/>
                <w:sz w:val="21"/>
              </w:rPr>
            </w:pPr>
            <w:r>
              <w:rPr>
                <w:rFonts w:ascii="Times New Roman"/>
                <w:sz w:val="21"/>
              </w:rPr>
              <w:t>63.98</w:t>
            </w:r>
          </w:p>
        </w:tc>
        <w:tc>
          <w:tcPr>
            <w:tcW w:w="774" w:type="dxa"/>
          </w:tcPr>
          <w:p>
            <w:pPr>
              <w:pStyle w:val="14"/>
              <w:spacing w:before="61"/>
              <w:ind w:right="136"/>
              <w:jc w:val="right"/>
              <w:rPr>
                <w:rFonts w:ascii="Times New Roman"/>
                <w:sz w:val="21"/>
              </w:rPr>
            </w:pPr>
            <w:r>
              <w:rPr>
                <w:rFonts w:ascii="Times New Roman"/>
                <w:sz w:val="21"/>
              </w:rPr>
              <w:t>57.96</w:t>
            </w:r>
          </w:p>
        </w:tc>
        <w:tc>
          <w:tcPr>
            <w:tcW w:w="822" w:type="dxa"/>
          </w:tcPr>
          <w:p>
            <w:pPr>
              <w:pStyle w:val="14"/>
              <w:spacing w:before="61"/>
              <w:ind w:right="162"/>
              <w:jc w:val="right"/>
              <w:rPr>
                <w:rFonts w:ascii="Times New Roman"/>
                <w:sz w:val="21"/>
              </w:rPr>
            </w:pPr>
            <w:r>
              <w:rPr>
                <w:rFonts w:ascii="Times New Roman"/>
                <w:sz w:val="21"/>
              </w:rPr>
              <w:t>56.02</w:t>
            </w:r>
          </w:p>
        </w:tc>
        <w:tc>
          <w:tcPr>
            <w:tcW w:w="812" w:type="dxa"/>
          </w:tcPr>
          <w:p>
            <w:pPr>
              <w:pStyle w:val="14"/>
              <w:spacing w:before="61"/>
              <w:ind w:left="170"/>
              <w:jc w:val="left"/>
              <w:rPr>
                <w:rFonts w:ascii="Times New Roman"/>
                <w:sz w:val="21"/>
              </w:rPr>
            </w:pPr>
            <w:r>
              <w:rPr>
                <w:rFonts w:ascii="Times New Roman"/>
                <w:sz w:val="21"/>
              </w:rPr>
              <w:t>51.94</w:t>
            </w:r>
          </w:p>
        </w:tc>
        <w:tc>
          <w:tcPr>
            <w:tcW w:w="774" w:type="dxa"/>
          </w:tcPr>
          <w:p>
            <w:pPr>
              <w:pStyle w:val="14"/>
              <w:spacing w:before="61"/>
              <w:ind w:left="127" w:right="117"/>
              <w:rPr>
                <w:rFonts w:ascii="Times New Roman"/>
                <w:sz w:val="21"/>
              </w:rPr>
            </w:pPr>
            <w:r>
              <w:rPr>
                <w:rFonts w:ascii="Times New Roman"/>
                <w:sz w:val="21"/>
              </w:rPr>
              <w:t>50.00</w:t>
            </w:r>
          </w:p>
        </w:tc>
        <w:tc>
          <w:tcPr>
            <w:tcW w:w="784" w:type="dxa"/>
          </w:tcPr>
          <w:p>
            <w:pPr>
              <w:pStyle w:val="14"/>
              <w:spacing w:before="61"/>
              <w:ind w:left="132" w:right="122"/>
              <w:rPr>
                <w:rFonts w:ascii="Times New Roman"/>
                <w:sz w:val="21"/>
              </w:rPr>
            </w:pPr>
            <w:r>
              <w:rPr>
                <w:rFonts w:ascii="Times New Roman"/>
                <w:sz w:val="21"/>
              </w:rPr>
              <w:t>43.98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649" w:type="dxa"/>
          </w:tcPr>
          <w:p>
            <w:pPr>
              <w:pStyle w:val="14"/>
              <w:spacing w:before="44"/>
              <w:ind w:left="172" w:right="167"/>
              <w:rPr>
                <w:sz w:val="21"/>
              </w:rPr>
            </w:pPr>
            <w:r>
              <w:rPr>
                <w:sz w:val="21"/>
              </w:rPr>
              <w:t>挖掘机</w:t>
            </w:r>
          </w:p>
        </w:tc>
        <w:tc>
          <w:tcPr>
            <w:tcW w:w="1345" w:type="dxa"/>
          </w:tcPr>
          <w:p>
            <w:pPr>
              <w:pStyle w:val="14"/>
              <w:spacing w:before="60"/>
              <w:ind w:left="547" w:right="537"/>
              <w:rPr>
                <w:rFonts w:ascii="Times New Roman"/>
                <w:sz w:val="21"/>
              </w:rPr>
            </w:pPr>
            <w:r>
              <w:rPr>
                <w:rFonts w:ascii="Times New Roman"/>
                <w:sz w:val="21"/>
              </w:rPr>
              <w:t>86</w:t>
            </w:r>
          </w:p>
        </w:tc>
        <w:tc>
          <w:tcPr>
            <w:tcW w:w="822" w:type="dxa"/>
          </w:tcPr>
          <w:p>
            <w:pPr>
              <w:pStyle w:val="14"/>
              <w:spacing w:before="60"/>
              <w:ind w:left="154" w:right="144"/>
              <w:rPr>
                <w:rFonts w:ascii="Times New Roman"/>
                <w:sz w:val="21"/>
              </w:rPr>
            </w:pPr>
            <w:r>
              <w:rPr>
                <w:rFonts w:ascii="Times New Roman"/>
                <w:sz w:val="21"/>
              </w:rPr>
              <w:t>48.38</w:t>
            </w:r>
          </w:p>
        </w:tc>
        <w:tc>
          <w:tcPr>
            <w:tcW w:w="783" w:type="dxa"/>
          </w:tcPr>
          <w:p>
            <w:pPr>
              <w:pStyle w:val="14"/>
              <w:spacing w:before="60"/>
              <w:ind w:left="155"/>
              <w:jc w:val="left"/>
              <w:rPr>
                <w:rFonts w:ascii="Times New Roman"/>
                <w:sz w:val="21"/>
              </w:rPr>
            </w:pPr>
            <w:r>
              <w:rPr>
                <w:rFonts w:ascii="Times New Roman"/>
                <w:sz w:val="21"/>
              </w:rPr>
              <w:t>49.10</w:t>
            </w:r>
          </w:p>
        </w:tc>
        <w:tc>
          <w:tcPr>
            <w:tcW w:w="774" w:type="dxa"/>
          </w:tcPr>
          <w:p>
            <w:pPr>
              <w:pStyle w:val="14"/>
              <w:spacing w:before="60"/>
              <w:ind w:left="149"/>
              <w:jc w:val="left"/>
              <w:rPr>
                <w:rFonts w:ascii="Times New Roman"/>
                <w:sz w:val="21"/>
              </w:rPr>
            </w:pPr>
            <w:r>
              <w:rPr>
                <w:rFonts w:ascii="Times New Roman"/>
                <w:sz w:val="21"/>
              </w:rPr>
              <w:t>49.88</w:t>
            </w:r>
          </w:p>
        </w:tc>
        <w:tc>
          <w:tcPr>
            <w:tcW w:w="774" w:type="dxa"/>
          </w:tcPr>
          <w:p>
            <w:pPr>
              <w:pStyle w:val="14"/>
              <w:spacing w:before="60"/>
              <w:ind w:right="136"/>
              <w:jc w:val="right"/>
              <w:rPr>
                <w:rFonts w:ascii="Times New Roman"/>
                <w:sz w:val="21"/>
              </w:rPr>
            </w:pPr>
            <w:r>
              <w:rPr>
                <w:rFonts w:ascii="Times New Roman"/>
                <w:sz w:val="21"/>
              </w:rPr>
              <w:t>50.74</w:t>
            </w:r>
          </w:p>
        </w:tc>
        <w:tc>
          <w:tcPr>
            <w:tcW w:w="822" w:type="dxa"/>
          </w:tcPr>
          <w:p>
            <w:pPr>
              <w:pStyle w:val="14"/>
              <w:spacing w:before="60"/>
              <w:ind w:right="162"/>
              <w:jc w:val="right"/>
              <w:rPr>
                <w:rFonts w:ascii="Times New Roman"/>
                <w:sz w:val="21"/>
              </w:rPr>
            </w:pPr>
            <w:r>
              <w:rPr>
                <w:rFonts w:ascii="Times New Roman"/>
                <w:sz w:val="21"/>
              </w:rPr>
              <w:t>51.03</w:t>
            </w:r>
          </w:p>
        </w:tc>
        <w:tc>
          <w:tcPr>
            <w:tcW w:w="812" w:type="dxa"/>
          </w:tcPr>
          <w:p>
            <w:pPr>
              <w:pStyle w:val="14"/>
              <w:spacing w:before="60"/>
              <w:ind w:left="170"/>
              <w:jc w:val="left"/>
              <w:rPr>
                <w:rFonts w:ascii="Times New Roman"/>
                <w:sz w:val="21"/>
              </w:rPr>
            </w:pPr>
            <w:r>
              <w:rPr>
                <w:rFonts w:ascii="Times New Roman"/>
                <w:sz w:val="21"/>
              </w:rPr>
              <w:t>51.69</w:t>
            </w:r>
          </w:p>
        </w:tc>
        <w:tc>
          <w:tcPr>
            <w:tcW w:w="774" w:type="dxa"/>
          </w:tcPr>
          <w:p>
            <w:pPr>
              <w:pStyle w:val="14"/>
              <w:spacing w:before="60"/>
              <w:ind w:left="127" w:right="117"/>
              <w:rPr>
                <w:rFonts w:ascii="Times New Roman"/>
                <w:sz w:val="21"/>
              </w:rPr>
            </w:pPr>
            <w:r>
              <w:rPr>
                <w:rFonts w:ascii="Times New Roman"/>
                <w:sz w:val="21"/>
              </w:rPr>
              <w:t>52.02</w:t>
            </w:r>
          </w:p>
        </w:tc>
        <w:tc>
          <w:tcPr>
            <w:tcW w:w="784" w:type="dxa"/>
          </w:tcPr>
          <w:p>
            <w:pPr>
              <w:pStyle w:val="14"/>
              <w:spacing w:before="60"/>
              <w:ind w:left="132" w:right="122"/>
              <w:rPr>
                <w:rFonts w:ascii="Times New Roman"/>
                <w:sz w:val="21"/>
              </w:rPr>
            </w:pPr>
            <w:r>
              <w:rPr>
                <w:rFonts w:ascii="Times New Roman"/>
                <w:sz w:val="21"/>
              </w:rPr>
              <w:t>53.14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649" w:type="dxa"/>
          </w:tcPr>
          <w:p>
            <w:pPr>
              <w:pStyle w:val="14"/>
              <w:spacing w:before="44"/>
              <w:ind w:left="172" w:right="167"/>
              <w:rPr>
                <w:sz w:val="21"/>
              </w:rPr>
            </w:pPr>
            <w:r>
              <w:rPr>
                <w:sz w:val="21"/>
              </w:rPr>
              <w:t>推土机</w:t>
            </w:r>
          </w:p>
        </w:tc>
        <w:tc>
          <w:tcPr>
            <w:tcW w:w="1345" w:type="dxa"/>
          </w:tcPr>
          <w:p>
            <w:pPr>
              <w:pStyle w:val="14"/>
              <w:spacing w:before="60"/>
              <w:ind w:left="547" w:right="537"/>
              <w:rPr>
                <w:rFonts w:ascii="Times New Roman"/>
                <w:sz w:val="21"/>
              </w:rPr>
            </w:pPr>
            <w:r>
              <w:rPr>
                <w:rFonts w:ascii="Times New Roman"/>
                <w:sz w:val="21"/>
              </w:rPr>
              <w:t>88</w:t>
            </w:r>
          </w:p>
        </w:tc>
        <w:tc>
          <w:tcPr>
            <w:tcW w:w="822" w:type="dxa"/>
          </w:tcPr>
          <w:p>
            <w:pPr>
              <w:pStyle w:val="14"/>
              <w:spacing w:before="60"/>
              <w:ind w:left="154" w:right="144"/>
              <w:rPr>
                <w:rFonts w:ascii="Times New Roman"/>
                <w:sz w:val="21"/>
              </w:rPr>
            </w:pPr>
            <w:r>
              <w:rPr>
                <w:rFonts w:ascii="Times New Roman"/>
                <w:sz w:val="21"/>
              </w:rPr>
              <w:t>54.31</w:t>
            </w:r>
          </w:p>
        </w:tc>
        <w:tc>
          <w:tcPr>
            <w:tcW w:w="783" w:type="dxa"/>
          </w:tcPr>
          <w:p>
            <w:pPr>
              <w:pStyle w:val="14"/>
              <w:spacing w:before="60"/>
              <w:ind w:left="155"/>
              <w:jc w:val="left"/>
              <w:rPr>
                <w:rFonts w:ascii="Times New Roman"/>
                <w:sz w:val="21"/>
              </w:rPr>
            </w:pPr>
            <w:r>
              <w:rPr>
                <w:rFonts w:ascii="Times New Roman"/>
                <w:sz w:val="21"/>
              </w:rPr>
              <w:t>54.18</w:t>
            </w:r>
          </w:p>
        </w:tc>
        <w:tc>
          <w:tcPr>
            <w:tcW w:w="774" w:type="dxa"/>
          </w:tcPr>
          <w:p>
            <w:pPr>
              <w:pStyle w:val="14"/>
              <w:spacing w:before="60"/>
              <w:ind w:left="149"/>
              <w:jc w:val="left"/>
              <w:rPr>
                <w:rFonts w:ascii="Times New Roman"/>
                <w:sz w:val="21"/>
              </w:rPr>
            </w:pPr>
            <w:r>
              <w:rPr>
                <w:rFonts w:ascii="Times New Roman"/>
                <w:sz w:val="21"/>
              </w:rPr>
              <w:t>54.04</w:t>
            </w:r>
          </w:p>
        </w:tc>
        <w:tc>
          <w:tcPr>
            <w:tcW w:w="774" w:type="dxa"/>
          </w:tcPr>
          <w:p>
            <w:pPr>
              <w:pStyle w:val="14"/>
              <w:spacing w:before="60"/>
              <w:ind w:right="136"/>
              <w:jc w:val="right"/>
              <w:rPr>
                <w:rFonts w:ascii="Times New Roman"/>
                <w:sz w:val="21"/>
              </w:rPr>
            </w:pPr>
            <w:r>
              <w:rPr>
                <w:rFonts w:ascii="Times New Roman"/>
                <w:sz w:val="21"/>
              </w:rPr>
              <w:t>53.89</w:t>
            </w:r>
          </w:p>
        </w:tc>
        <w:tc>
          <w:tcPr>
            <w:tcW w:w="822" w:type="dxa"/>
          </w:tcPr>
          <w:p>
            <w:pPr>
              <w:pStyle w:val="14"/>
              <w:spacing w:before="60"/>
              <w:ind w:right="162"/>
              <w:jc w:val="right"/>
              <w:rPr>
                <w:rFonts w:ascii="Times New Roman"/>
                <w:sz w:val="21"/>
              </w:rPr>
            </w:pPr>
            <w:r>
              <w:rPr>
                <w:rFonts w:ascii="Times New Roman"/>
                <w:sz w:val="21"/>
              </w:rPr>
              <w:t>53.84</w:t>
            </w:r>
          </w:p>
        </w:tc>
        <w:tc>
          <w:tcPr>
            <w:tcW w:w="812" w:type="dxa"/>
          </w:tcPr>
          <w:p>
            <w:pPr>
              <w:pStyle w:val="14"/>
              <w:spacing w:before="60"/>
              <w:ind w:left="170"/>
              <w:jc w:val="left"/>
              <w:rPr>
                <w:rFonts w:ascii="Times New Roman"/>
                <w:sz w:val="21"/>
              </w:rPr>
            </w:pPr>
            <w:r>
              <w:rPr>
                <w:rFonts w:ascii="Times New Roman"/>
                <w:sz w:val="21"/>
              </w:rPr>
              <w:t>53.73</w:t>
            </w:r>
          </w:p>
        </w:tc>
        <w:tc>
          <w:tcPr>
            <w:tcW w:w="774" w:type="dxa"/>
          </w:tcPr>
          <w:p>
            <w:pPr>
              <w:pStyle w:val="14"/>
              <w:spacing w:before="60"/>
              <w:ind w:left="127" w:right="117"/>
              <w:rPr>
                <w:rFonts w:ascii="Times New Roman"/>
                <w:sz w:val="21"/>
              </w:rPr>
            </w:pPr>
            <w:r>
              <w:rPr>
                <w:rFonts w:ascii="Times New Roman"/>
                <w:sz w:val="21"/>
              </w:rPr>
              <w:t>53.68</w:t>
            </w:r>
          </w:p>
        </w:tc>
        <w:tc>
          <w:tcPr>
            <w:tcW w:w="784" w:type="dxa"/>
          </w:tcPr>
          <w:p>
            <w:pPr>
              <w:pStyle w:val="14"/>
              <w:spacing w:before="60"/>
              <w:ind w:left="132" w:right="122"/>
              <w:rPr>
                <w:rFonts w:ascii="Times New Roman"/>
                <w:sz w:val="21"/>
              </w:rPr>
            </w:pPr>
            <w:r>
              <w:rPr>
                <w:rFonts w:ascii="Times New Roman"/>
                <w:sz w:val="21"/>
              </w:rPr>
              <w:t>53.49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649" w:type="dxa"/>
          </w:tcPr>
          <w:p>
            <w:pPr>
              <w:pStyle w:val="14"/>
              <w:spacing w:before="46"/>
              <w:ind w:left="172" w:right="167"/>
              <w:rPr>
                <w:sz w:val="21"/>
              </w:rPr>
            </w:pPr>
            <w:r>
              <w:rPr>
                <w:sz w:val="21"/>
              </w:rPr>
              <w:t>空压机</w:t>
            </w:r>
          </w:p>
        </w:tc>
        <w:tc>
          <w:tcPr>
            <w:tcW w:w="1345" w:type="dxa"/>
          </w:tcPr>
          <w:p>
            <w:pPr>
              <w:pStyle w:val="14"/>
              <w:spacing w:before="60"/>
              <w:ind w:left="547" w:right="537"/>
              <w:rPr>
                <w:rFonts w:ascii="Times New Roman"/>
                <w:sz w:val="21"/>
              </w:rPr>
            </w:pPr>
            <w:r>
              <w:rPr>
                <w:rFonts w:ascii="Times New Roman"/>
                <w:sz w:val="21"/>
              </w:rPr>
              <w:t>92</w:t>
            </w:r>
          </w:p>
        </w:tc>
        <w:tc>
          <w:tcPr>
            <w:tcW w:w="822" w:type="dxa"/>
          </w:tcPr>
          <w:p>
            <w:pPr>
              <w:pStyle w:val="14"/>
              <w:spacing w:before="60"/>
              <w:ind w:left="154" w:right="144"/>
              <w:rPr>
                <w:rFonts w:ascii="Times New Roman"/>
                <w:sz w:val="21"/>
              </w:rPr>
            </w:pPr>
            <w:r>
              <w:rPr>
                <w:rFonts w:ascii="Times New Roman"/>
                <w:sz w:val="21"/>
              </w:rPr>
              <w:t>57.30</w:t>
            </w:r>
          </w:p>
        </w:tc>
        <w:tc>
          <w:tcPr>
            <w:tcW w:w="783" w:type="dxa"/>
          </w:tcPr>
          <w:p>
            <w:pPr>
              <w:pStyle w:val="14"/>
              <w:spacing w:before="60"/>
              <w:ind w:left="155"/>
              <w:jc w:val="left"/>
              <w:rPr>
                <w:rFonts w:ascii="Times New Roman"/>
                <w:sz w:val="21"/>
              </w:rPr>
            </w:pPr>
            <w:r>
              <w:rPr>
                <w:rFonts w:ascii="Times New Roman"/>
                <w:sz w:val="21"/>
              </w:rPr>
              <w:t>57.32</w:t>
            </w:r>
          </w:p>
        </w:tc>
        <w:tc>
          <w:tcPr>
            <w:tcW w:w="774" w:type="dxa"/>
          </w:tcPr>
          <w:p>
            <w:pPr>
              <w:pStyle w:val="14"/>
              <w:spacing w:before="60"/>
              <w:ind w:left="149"/>
              <w:jc w:val="left"/>
              <w:rPr>
                <w:rFonts w:ascii="Times New Roman"/>
                <w:sz w:val="21"/>
              </w:rPr>
            </w:pPr>
            <w:r>
              <w:rPr>
                <w:rFonts w:ascii="Times New Roman"/>
                <w:sz w:val="21"/>
              </w:rPr>
              <w:t>57.35</w:t>
            </w:r>
          </w:p>
        </w:tc>
        <w:tc>
          <w:tcPr>
            <w:tcW w:w="774" w:type="dxa"/>
          </w:tcPr>
          <w:p>
            <w:pPr>
              <w:pStyle w:val="14"/>
              <w:spacing w:before="60"/>
              <w:ind w:right="136"/>
              <w:jc w:val="right"/>
              <w:rPr>
                <w:rFonts w:ascii="Times New Roman"/>
                <w:sz w:val="21"/>
              </w:rPr>
            </w:pPr>
            <w:r>
              <w:rPr>
                <w:rFonts w:ascii="Times New Roman"/>
                <w:sz w:val="21"/>
              </w:rPr>
              <w:t>57.37</w:t>
            </w:r>
          </w:p>
        </w:tc>
        <w:tc>
          <w:tcPr>
            <w:tcW w:w="822" w:type="dxa"/>
          </w:tcPr>
          <w:p>
            <w:pPr>
              <w:pStyle w:val="14"/>
              <w:spacing w:before="60"/>
              <w:ind w:right="162"/>
              <w:jc w:val="right"/>
              <w:rPr>
                <w:rFonts w:ascii="Times New Roman"/>
                <w:sz w:val="21"/>
              </w:rPr>
            </w:pPr>
            <w:r>
              <w:rPr>
                <w:rFonts w:ascii="Times New Roman"/>
                <w:sz w:val="21"/>
              </w:rPr>
              <w:t>57.38</w:t>
            </w:r>
          </w:p>
        </w:tc>
        <w:tc>
          <w:tcPr>
            <w:tcW w:w="812" w:type="dxa"/>
          </w:tcPr>
          <w:p>
            <w:pPr>
              <w:pStyle w:val="14"/>
              <w:spacing w:before="60"/>
              <w:ind w:left="170"/>
              <w:jc w:val="left"/>
              <w:rPr>
                <w:rFonts w:ascii="Times New Roman"/>
                <w:sz w:val="21"/>
              </w:rPr>
            </w:pPr>
            <w:r>
              <w:rPr>
                <w:rFonts w:ascii="Times New Roman"/>
                <w:sz w:val="21"/>
              </w:rPr>
              <w:t>57.40</w:t>
            </w:r>
          </w:p>
        </w:tc>
        <w:tc>
          <w:tcPr>
            <w:tcW w:w="774" w:type="dxa"/>
          </w:tcPr>
          <w:p>
            <w:pPr>
              <w:pStyle w:val="14"/>
              <w:spacing w:before="60"/>
              <w:ind w:left="127" w:right="117"/>
              <w:rPr>
                <w:rFonts w:ascii="Times New Roman"/>
                <w:sz w:val="21"/>
              </w:rPr>
            </w:pPr>
            <w:r>
              <w:rPr>
                <w:rFonts w:ascii="Times New Roman"/>
                <w:sz w:val="21"/>
              </w:rPr>
              <w:t>57.40</w:t>
            </w:r>
          </w:p>
        </w:tc>
        <w:tc>
          <w:tcPr>
            <w:tcW w:w="784" w:type="dxa"/>
          </w:tcPr>
          <w:p>
            <w:pPr>
              <w:pStyle w:val="14"/>
              <w:spacing w:before="60"/>
              <w:ind w:left="132" w:right="122"/>
              <w:rPr>
                <w:rFonts w:ascii="Times New Roman"/>
                <w:sz w:val="21"/>
              </w:rPr>
            </w:pPr>
            <w:r>
              <w:rPr>
                <w:rFonts w:ascii="Times New Roman"/>
                <w:sz w:val="21"/>
              </w:rPr>
              <w:t>57.43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649" w:type="dxa"/>
          </w:tcPr>
          <w:p>
            <w:pPr>
              <w:pStyle w:val="14"/>
              <w:spacing w:before="45"/>
              <w:ind w:left="172" w:right="167"/>
              <w:rPr>
                <w:sz w:val="21"/>
              </w:rPr>
            </w:pPr>
            <w:r>
              <w:rPr>
                <w:sz w:val="21"/>
              </w:rPr>
              <w:t>混凝土振捣器</w:t>
            </w:r>
          </w:p>
        </w:tc>
        <w:tc>
          <w:tcPr>
            <w:tcW w:w="1345" w:type="dxa"/>
          </w:tcPr>
          <w:p>
            <w:pPr>
              <w:pStyle w:val="14"/>
              <w:spacing w:before="59"/>
              <w:ind w:left="547" w:right="537"/>
              <w:rPr>
                <w:rFonts w:ascii="Times New Roman"/>
                <w:sz w:val="21"/>
              </w:rPr>
            </w:pPr>
            <w:r>
              <w:rPr>
                <w:rFonts w:ascii="Times New Roman"/>
                <w:sz w:val="21"/>
              </w:rPr>
              <w:t>88</w:t>
            </w:r>
          </w:p>
        </w:tc>
        <w:tc>
          <w:tcPr>
            <w:tcW w:w="822" w:type="dxa"/>
          </w:tcPr>
          <w:p>
            <w:pPr>
              <w:pStyle w:val="14"/>
              <w:spacing w:before="59"/>
              <w:ind w:left="154" w:right="144"/>
              <w:rPr>
                <w:rFonts w:ascii="Times New Roman"/>
                <w:sz w:val="21"/>
              </w:rPr>
            </w:pPr>
            <w:r>
              <w:rPr>
                <w:rFonts w:ascii="Times New Roman"/>
                <w:sz w:val="21"/>
              </w:rPr>
              <w:t>52.84</w:t>
            </w:r>
          </w:p>
        </w:tc>
        <w:tc>
          <w:tcPr>
            <w:tcW w:w="783" w:type="dxa"/>
          </w:tcPr>
          <w:p>
            <w:pPr>
              <w:pStyle w:val="14"/>
              <w:spacing w:before="59"/>
              <w:ind w:left="155"/>
              <w:jc w:val="left"/>
              <w:rPr>
                <w:rFonts w:ascii="Times New Roman"/>
                <w:sz w:val="21"/>
              </w:rPr>
            </w:pPr>
            <w:r>
              <w:rPr>
                <w:rFonts w:ascii="Times New Roman"/>
                <w:sz w:val="21"/>
              </w:rPr>
              <w:t>52.83</w:t>
            </w:r>
          </w:p>
        </w:tc>
        <w:tc>
          <w:tcPr>
            <w:tcW w:w="774" w:type="dxa"/>
          </w:tcPr>
          <w:p>
            <w:pPr>
              <w:pStyle w:val="14"/>
              <w:spacing w:before="59"/>
              <w:ind w:left="149"/>
              <w:jc w:val="left"/>
              <w:rPr>
                <w:rFonts w:ascii="Times New Roman"/>
                <w:sz w:val="21"/>
              </w:rPr>
            </w:pPr>
            <w:r>
              <w:rPr>
                <w:rFonts w:ascii="Times New Roman"/>
                <w:sz w:val="21"/>
              </w:rPr>
              <w:t>52.83</w:t>
            </w:r>
          </w:p>
        </w:tc>
        <w:tc>
          <w:tcPr>
            <w:tcW w:w="774" w:type="dxa"/>
          </w:tcPr>
          <w:p>
            <w:pPr>
              <w:pStyle w:val="14"/>
              <w:spacing w:before="59"/>
              <w:ind w:right="136"/>
              <w:jc w:val="right"/>
              <w:rPr>
                <w:rFonts w:ascii="Times New Roman"/>
                <w:sz w:val="21"/>
              </w:rPr>
            </w:pPr>
            <w:r>
              <w:rPr>
                <w:rFonts w:ascii="Times New Roman"/>
                <w:sz w:val="21"/>
              </w:rPr>
              <w:t>52.83</w:t>
            </w:r>
          </w:p>
        </w:tc>
        <w:tc>
          <w:tcPr>
            <w:tcW w:w="822" w:type="dxa"/>
          </w:tcPr>
          <w:p>
            <w:pPr>
              <w:pStyle w:val="14"/>
              <w:spacing w:before="59"/>
              <w:ind w:right="162"/>
              <w:jc w:val="right"/>
              <w:rPr>
                <w:rFonts w:ascii="Times New Roman"/>
                <w:sz w:val="21"/>
              </w:rPr>
            </w:pPr>
            <w:r>
              <w:rPr>
                <w:rFonts w:ascii="Times New Roman"/>
                <w:sz w:val="21"/>
              </w:rPr>
              <w:t>52.83</w:t>
            </w:r>
          </w:p>
        </w:tc>
        <w:tc>
          <w:tcPr>
            <w:tcW w:w="812" w:type="dxa"/>
          </w:tcPr>
          <w:p>
            <w:pPr>
              <w:pStyle w:val="14"/>
              <w:spacing w:before="59"/>
              <w:ind w:left="170"/>
              <w:jc w:val="left"/>
              <w:rPr>
                <w:rFonts w:ascii="Times New Roman"/>
                <w:sz w:val="21"/>
              </w:rPr>
            </w:pPr>
            <w:r>
              <w:rPr>
                <w:rFonts w:ascii="Times New Roman"/>
                <w:sz w:val="21"/>
              </w:rPr>
              <w:t>52.82</w:t>
            </w:r>
          </w:p>
        </w:tc>
        <w:tc>
          <w:tcPr>
            <w:tcW w:w="774" w:type="dxa"/>
          </w:tcPr>
          <w:p>
            <w:pPr>
              <w:pStyle w:val="14"/>
              <w:spacing w:before="59"/>
              <w:ind w:left="127" w:right="117"/>
              <w:rPr>
                <w:rFonts w:ascii="Times New Roman"/>
                <w:sz w:val="21"/>
              </w:rPr>
            </w:pPr>
            <w:r>
              <w:rPr>
                <w:rFonts w:ascii="Times New Roman"/>
                <w:sz w:val="21"/>
              </w:rPr>
              <w:t>52.82</w:t>
            </w:r>
          </w:p>
        </w:tc>
        <w:tc>
          <w:tcPr>
            <w:tcW w:w="784" w:type="dxa"/>
          </w:tcPr>
          <w:p>
            <w:pPr>
              <w:pStyle w:val="14"/>
              <w:spacing w:before="59"/>
              <w:ind w:left="132" w:right="122"/>
              <w:rPr>
                <w:rFonts w:ascii="Times New Roman"/>
                <w:sz w:val="21"/>
              </w:rPr>
            </w:pPr>
            <w:r>
              <w:rPr>
                <w:rFonts w:ascii="Times New Roman"/>
                <w:sz w:val="21"/>
              </w:rPr>
              <w:t>52.82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649" w:type="dxa"/>
          </w:tcPr>
          <w:p>
            <w:pPr>
              <w:pStyle w:val="14"/>
              <w:spacing w:before="45"/>
              <w:ind w:left="172" w:right="167"/>
              <w:rPr>
                <w:sz w:val="21"/>
              </w:rPr>
            </w:pPr>
            <w:r>
              <w:rPr>
                <w:sz w:val="21"/>
              </w:rPr>
              <w:t>压路机</w:t>
            </w:r>
          </w:p>
        </w:tc>
        <w:tc>
          <w:tcPr>
            <w:tcW w:w="1345" w:type="dxa"/>
          </w:tcPr>
          <w:p>
            <w:pPr>
              <w:pStyle w:val="14"/>
              <w:spacing w:before="59"/>
              <w:ind w:left="547" w:right="537"/>
              <w:rPr>
                <w:rFonts w:ascii="Times New Roman"/>
                <w:sz w:val="21"/>
              </w:rPr>
            </w:pPr>
            <w:r>
              <w:rPr>
                <w:rFonts w:ascii="Times New Roman"/>
                <w:sz w:val="21"/>
              </w:rPr>
              <w:t>90</w:t>
            </w:r>
          </w:p>
        </w:tc>
        <w:tc>
          <w:tcPr>
            <w:tcW w:w="822" w:type="dxa"/>
          </w:tcPr>
          <w:p>
            <w:pPr>
              <w:pStyle w:val="14"/>
              <w:spacing w:before="59"/>
              <w:ind w:left="154" w:right="144"/>
              <w:rPr>
                <w:rFonts w:ascii="Times New Roman"/>
                <w:sz w:val="21"/>
              </w:rPr>
            </w:pPr>
            <w:r>
              <w:rPr>
                <w:rFonts w:ascii="Times New Roman"/>
                <w:sz w:val="21"/>
              </w:rPr>
              <w:t>55.54</w:t>
            </w:r>
          </w:p>
        </w:tc>
        <w:tc>
          <w:tcPr>
            <w:tcW w:w="783" w:type="dxa"/>
          </w:tcPr>
          <w:p>
            <w:pPr>
              <w:pStyle w:val="14"/>
              <w:spacing w:before="59"/>
              <w:ind w:left="155"/>
              <w:jc w:val="left"/>
              <w:rPr>
                <w:rFonts w:ascii="Times New Roman"/>
                <w:sz w:val="21"/>
              </w:rPr>
            </w:pPr>
            <w:r>
              <w:rPr>
                <w:rFonts w:ascii="Times New Roman"/>
                <w:sz w:val="21"/>
              </w:rPr>
              <w:t>55.54</w:t>
            </w:r>
          </w:p>
        </w:tc>
        <w:tc>
          <w:tcPr>
            <w:tcW w:w="774" w:type="dxa"/>
          </w:tcPr>
          <w:p>
            <w:pPr>
              <w:pStyle w:val="14"/>
              <w:spacing w:before="59"/>
              <w:ind w:left="149"/>
              <w:jc w:val="left"/>
              <w:rPr>
                <w:rFonts w:ascii="Times New Roman"/>
                <w:sz w:val="21"/>
              </w:rPr>
            </w:pPr>
            <w:r>
              <w:rPr>
                <w:rFonts w:ascii="Times New Roman"/>
                <w:sz w:val="21"/>
              </w:rPr>
              <w:t>55.54</w:t>
            </w:r>
          </w:p>
        </w:tc>
        <w:tc>
          <w:tcPr>
            <w:tcW w:w="774" w:type="dxa"/>
          </w:tcPr>
          <w:p>
            <w:pPr>
              <w:pStyle w:val="14"/>
              <w:spacing w:before="59"/>
              <w:ind w:right="136"/>
              <w:jc w:val="right"/>
              <w:rPr>
                <w:rFonts w:ascii="Times New Roman"/>
                <w:sz w:val="21"/>
              </w:rPr>
            </w:pPr>
            <w:r>
              <w:rPr>
                <w:rFonts w:ascii="Times New Roman"/>
                <w:sz w:val="21"/>
              </w:rPr>
              <w:t>55.54</w:t>
            </w:r>
          </w:p>
        </w:tc>
        <w:tc>
          <w:tcPr>
            <w:tcW w:w="822" w:type="dxa"/>
          </w:tcPr>
          <w:p>
            <w:pPr>
              <w:pStyle w:val="14"/>
              <w:spacing w:before="59"/>
              <w:ind w:right="162"/>
              <w:jc w:val="right"/>
              <w:rPr>
                <w:rFonts w:ascii="Times New Roman"/>
                <w:sz w:val="21"/>
              </w:rPr>
            </w:pPr>
            <w:r>
              <w:rPr>
                <w:rFonts w:ascii="Times New Roman"/>
                <w:sz w:val="21"/>
              </w:rPr>
              <w:t>55.54</w:t>
            </w:r>
          </w:p>
        </w:tc>
        <w:tc>
          <w:tcPr>
            <w:tcW w:w="812" w:type="dxa"/>
          </w:tcPr>
          <w:p>
            <w:pPr>
              <w:pStyle w:val="14"/>
              <w:spacing w:before="59"/>
              <w:ind w:left="170"/>
              <w:jc w:val="left"/>
              <w:rPr>
                <w:rFonts w:ascii="Times New Roman"/>
                <w:sz w:val="21"/>
              </w:rPr>
            </w:pPr>
            <w:r>
              <w:rPr>
                <w:rFonts w:ascii="Times New Roman"/>
                <w:sz w:val="21"/>
              </w:rPr>
              <w:t>55.54</w:t>
            </w:r>
          </w:p>
        </w:tc>
        <w:tc>
          <w:tcPr>
            <w:tcW w:w="774" w:type="dxa"/>
          </w:tcPr>
          <w:p>
            <w:pPr>
              <w:pStyle w:val="14"/>
              <w:spacing w:before="59"/>
              <w:ind w:left="127" w:right="117"/>
              <w:rPr>
                <w:rFonts w:ascii="Times New Roman"/>
                <w:sz w:val="21"/>
              </w:rPr>
            </w:pPr>
            <w:r>
              <w:rPr>
                <w:rFonts w:ascii="Times New Roman"/>
                <w:sz w:val="21"/>
              </w:rPr>
              <w:t>55.54</w:t>
            </w:r>
          </w:p>
        </w:tc>
        <w:tc>
          <w:tcPr>
            <w:tcW w:w="784" w:type="dxa"/>
          </w:tcPr>
          <w:p>
            <w:pPr>
              <w:pStyle w:val="14"/>
              <w:spacing w:before="59"/>
              <w:ind w:left="132" w:right="122"/>
              <w:rPr>
                <w:rFonts w:ascii="Times New Roman"/>
                <w:sz w:val="21"/>
              </w:rPr>
            </w:pPr>
            <w:r>
              <w:rPr>
                <w:rFonts w:ascii="Times New Roman"/>
                <w:sz w:val="21"/>
              </w:rPr>
              <w:t>55.54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649" w:type="dxa"/>
          </w:tcPr>
          <w:p>
            <w:pPr>
              <w:pStyle w:val="14"/>
              <w:spacing w:before="44"/>
              <w:ind w:left="172" w:right="164"/>
              <w:rPr>
                <w:sz w:val="21"/>
              </w:rPr>
            </w:pPr>
            <w:r>
              <w:rPr>
                <w:sz w:val="21"/>
              </w:rPr>
              <w:t>轮式装载机</w:t>
            </w:r>
          </w:p>
        </w:tc>
        <w:tc>
          <w:tcPr>
            <w:tcW w:w="1345" w:type="dxa"/>
          </w:tcPr>
          <w:p>
            <w:pPr>
              <w:pStyle w:val="14"/>
              <w:spacing w:before="61"/>
              <w:ind w:left="547" w:right="537"/>
              <w:rPr>
                <w:rFonts w:ascii="Times New Roman"/>
                <w:sz w:val="21"/>
              </w:rPr>
            </w:pPr>
            <w:r>
              <w:rPr>
                <w:rFonts w:ascii="Times New Roman"/>
                <w:sz w:val="21"/>
              </w:rPr>
              <w:t>95</w:t>
            </w:r>
          </w:p>
        </w:tc>
        <w:tc>
          <w:tcPr>
            <w:tcW w:w="822" w:type="dxa"/>
          </w:tcPr>
          <w:p>
            <w:pPr>
              <w:pStyle w:val="14"/>
              <w:spacing w:before="61"/>
              <w:ind w:left="154" w:right="144"/>
              <w:rPr>
                <w:rFonts w:ascii="Times New Roman"/>
                <w:sz w:val="21"/>
              </w:rPr>
            </w:pPr>
            <w:r>
              <w:rPr>
                <w:rFonts w:ascii="Times New Roman"/>
                <w:sz w:val="21"/>
              </w:rPr>
              <w:t>60.11</w:t>
            </w:r>
          </w:p>
        </w:tc>
        <w:tc>
          <w:tcPr>
            <w:tcW w:w="783" w:type="dxa"/>
          </w:tcPr>
          <w:p>
            <w:pPr>
              <w:pStyle w:val="14"/>
              <w:spacing w:before="61"/>
              <w:ind w:left="157"/>
              <w:jc w:val="left"/>
              <w:rPr>
                <w:rFonts w:ascii="Times New Roman"/>
                <w:sz w:val="21"/>
              </w:rPr>
            </w:pPr>
            <w:r>
              <w:rPr>
                <w:rFonts w:ascii="Times New Roman"/>
                <w:sz w:val="21"/>
              </w:rPr>
              <w:t>60.11</w:t>
            </w:r>
          </w:p>
        </w:tc>
        <w:tc>
          <w:tcPr>
            <w:tcW w:w="774" w:type="dxa"/>
          </w:tcPr>
          <w:p>
            <w:pPr>
              <w:pStyle w:val="14"/>
              <w:spacing w:before="61"/>
              <w:ind w:left="154"/>
              <w:jc w:val="left"/>
              <w:rPr>
                <w:rFonts w:ascii="Times New Roman"/>
                <w:sz w:val="21"/>
              </w:rPr>
            </w:pPr>
            <w:r>
              <w:rPr>
                <w:rFonts w:ascii="Times New Roman"/>
                <w:sz w:val="21"/>
              </w:rPr>
              <w:t>60.11</w:t>
            </w:r>
          </w:p>
        </w:tc>
        <w:tc>
          <w:tcPr>
            <w:tcW w:w="774" w:type="dxa"/>
          </w:tcPr>
          <w:p>
            <w:pPr>
              <w:pStyle w:val="14"/>
              <w:spacing w:before="61"/>
              <w:ind w:right="139"/>
              <w:jc w:val="right"/>
              <w:rPr>
                <w:rFonts w:ascii="Times New Roman"/>
                <w:sz w:val="21"/>
              </w:rPr>
            </w:pPr>
            <w:r>
              <w:rPr>
                <w:rFonts w:ascii="Times New Roman"/>
                <w:w w:val="95"/>
                <w:sz w:val="21"/>
              </w:rPr>
              <w:t>60.11</w:t>
            </w:r>
          </w:p>
        </w:tc>
        <w:tc>
          <w:tcPr>
            <w:tcW w:w="822" w:type="dxa"/>
          </w:tcPr>
          <w:p>
            <w:pPr>
              <w:pStyle w:val="14"/>
              <w:spacing w:before="61"/>
              <w:ind w:right="164"/>
              <w:jc w:val="right"/>
              <w:rPr>
                <w:rFonts w:ascii="Times New Roman"/>
                <w:sz w:val="21"/>
              </w:rPr>
            </w:pPr>
            <w:r>
              <w:rPr>
                <w:rFonts w:ascii="Times New Roman"/>
                <w:w w:val="95"/>
                <w:sz w:val="21"/>
              </w:rPr>
              <w:t>60.11</w:t>
            </w:r>
          </w:p>
        </w:tc>
        <w:tc>
          <w:tcPr>
            <w:tcW w:w="812" w:type="dxa"/>
          </w:tcPr>
          <w:p>
            <w:pPr>
              <w:pStyle w:val="14"/>
              <w:spacing w:before="61"/>
              <w:ind w:left="172"/>
              <w:jc w:val="left"/>
              <w:rPr>
                <w:rFonts w:ascii="Times New Roman"/>
                <w:sz w:val="21"/>
              </w:rPr>
            </w:pPr>
            <w:r>
              <w:rPr>
                <w:rFonts w:ascii="Times New Roman"/>
                <w:sz w:val="21"/>
              </w:rPr>
              <w:t>60.11</w:t>
            </w:r>
          </w:p>
        </w:tc>
        <w:tc>
          <w:tcPr>
            <w:tcW w:w="774" w:type="dxa"/>
          </w:tcPr>
          <w:p>
            <w:pPr>
              <w:pStyle w:val="14"/>
              <w:spacing w:before="61"/>
              <w:ind w:left="127" w:right="115"/>
              <w:rPr>
                <w:rFonts w:ascii="Times New Roman"/>
                <w:sz w:val="21"/>
              </w:rPr>
            </w:pPr>
            <w:r>
              <w:rPr>
                <w:rFonts w:ascii="Times New Roman"/>
                <w:sz w:val="21"/>
              </w:rPr>
              <w:t>60.11</w:t>
            </w:r>
          </w:p>
        </w:tc>
        <w:tc>
          <w:tcPr>
            <w:tcW w:w="784" w:type="dxa"/>
          </w:tcPr>
          <w:p>
            <w:pPr>
              <w:pStyle w:val="14"/>
              <w:spacing w:before="61"/>
              <w:ind w:left="132" w:right="122"/>
              <w:rPr>
                <w:rFonts w:ascii="Times New Roman"/>
                <w:sz w:val="21"/>
              </w:rPr>
            </w:pPr>
            <w:r>
              <w:rPr>
                <w:rFonts w:ascii="Times New Roman"/>
                <w:sz w:val="21"/>
              </w:rPr>
              <w:t>60.11</w:t>
            </w:r>
          </w:p>
        </w:tc>
      </w:tr>
    </w:tbl>
    <w:p>
      <w:pPr>
        <w:pStyle w:val="6"/>
        <w:spacing w:before="113" w:line="343" w:lineRule="auto"/>
        <w:ind w:left="215" w:right="577" w:firstLine="480"/>
        <w:jc w:val="both"/>
      </w:pPr>
      <w:r>
        <w:rPr>
          <w:spacing w:val="-13"/>
        </w:rPr>
        <w:t xml:space="preserve">根据表 </w:t>
      </w:r>
      <w:r>
        <w:rPr>
          <w:rFonts w:ascii="Times New Roman" w:eastAsia="Times New Roman"/>
        </w:rPr>
        <w:t xml:space="preserve">9.3-2 </w:t>
      </w:r>
      <w:r>
        <w:rPr>
          <w:spacing w:val="-5"/>
        </w:rPr>
        <w:t xml:space="preserve">预测结果，单台机械设备在 </w:t>
      </w:r>
      <w:r>
        <w:rPr>
          <w:rFonts w:ascii="Times New Roman" w:eastAsia="Times New Roman"/>
        </w:rPr>
        <w:t xml:space="preserve">20m </w:t>
      </w:r>
      <w:r>
        <w:t>处产生的声级值均能满足《建筑施工</w:t>
      </w:r>
      <w:r>
        <w:rPr>
          <w:spacing w:val="-2"/>
        </w:rPr>
        <w:t>场界环境噪声排放标准》</w:t>
      </w:r>
      <w:r>
        <w:t>（</w:t>
      </w:r>
      <w:r>
        <w:rPr>
          <w:rFonts w:ascii="Times New Roman" w:eastAsia="Times New Roman"/>
        </w:rPr>
        <w:t>GB12523-2011</w:t>
      </w:r>
      <w:r>
        <w:t>）</w:t>
      </w:r>
      <w:r>
        <w:rPr>
          <w:spacing w:val="-4"/>
        </w:rPr>
        <w:t xml:space="preserve">昼间标准要求。随着距离加大，均有明显衰减，工业场地边界外 </w:t>
      </w:r>
      <w:r>
        <w:rPr>
          <w:rFonts w:ascii="Times New Roman" w:eastAsia="Times New Roman"/>
        </w:rPr>
        <w:t xml:space="preserve">200m </w:t>
      </w:r>
      <w:r>
        <w:t>范围内无声环境敏感保护目标，且建设期噪声环境影响是暂</w:t>
      </w:r>
    </w:p>
    <w:p>
      <w:pPr>
        <w:pStyle w:val="6"/>
        <w:spacing w:before="1"/>
        <w:ind w:left="215"/>
      </w:pPr>
      <w:r>
        <w:t>时的，建设期结束，影响随之消失，环境影响可接受。</w:t>
      </w:r>
    </w:p>
    <w:p>
      <w:pPr>
        <w:pStyle w:val="4"/>
        <w:numPr>
          <w:ilvl w:val="2"/>
          <w:numId w:val="67"/>
        </w:numPr>
        <w:tabs>
          <w:tab w:val="left" w:pos="848"/>
        </w:tabs>
        <w:spacing w:before="22" w:after="0" w:line="240" w:lineRule="auto"/>
        <w:ind w:left="847" w:right="0" w:hanging="633"/>
        <w:jc w:val="left"/>
      </w:pPr>
      <w:bookmarkStart w:id="793" w:name="9.3.3建设期噪声防治措施"/>
      <w:bookmarkEnd w:id="793"/>
      <w:bookmarkStart w:id="794" w:name="9.3.3建设期噪声防治措施"/>
      <w:bookmarkEnd w:id="794"/>
      <w:r>
        <w:t>建设期噪声防治措施</w:t>
      </w:r>
    </w:p>
    <w:p>
      <w:pPr>
        <w:pStyle w:val="6"/>
        <w:spacing w:before="185"/>
        <w:ind w:left="696"/>
      </w:pPr>
      <w:r>
        <w:t>为降低施工期噪声对外环境产生影响，本评价要求该项目建设期应采取如下措施：</w:t>
      </w:r>
    </w:p>
    <w:p>
      <w:pPr>
        <w:pStyle w:val="13"/>
        <w:numPr>
          <w:ilvl w:val="0"/>
          <w:numId w:val="68"/>
        </w:numPr>
        <w:tabs>
          <w:tab w:val="left" w:pos="1297"/>
        </w:tabs>
        <w:spacing w:before="158" w:after="0" w:line="364" w:lineRule="auto"/>
        <w:ind w:left="215" w:right="458" w:firstLine="480"/>
        <w:jc w:val="left"/>
        <w:rPr>
          <w:sz w:val="24"/>
        </w:rPr>
      </w:pPr>
      <w:r>
        <w:rPr>
          <w:spacing w:val="-7"/>
          <w:sz w:val="24"/>
        </w:rPr>
        <w:t>在施工设备选型上，应选用正规厂家、噪声较低的环保型设备。保证现场设备</w:t>
      </w:r>
      <w:r>
        <w:rPr>
          <w:spacing w:val="-13"/>
          <w:sz w:val="24"/>
        </w:rPr>
        <w:t>安装质量，加强施工机械及运输车辆的维修与管理，确保施工设备和车辆均能正常运行。</w:t>
      </w:r>
    </w:p>
    <w:p>
      <w:pPr>
        <w:pStyle w:val="13"/>
        <w:numPr>
          <w:ilvl w:val="0"/>
          <w:numId w:val="68"/>
        </w:numPr>
        <w:tabs>
          <w:tab w:val="left" w:pos="1297"/>
        </w:tabs>
        <w:spacing w:before="1" w:after="0" w:line="240" w:lineRule="auto"/>
        <w:ind w:left="1297" w:right="0" w:hanging="601"/>
        <w:jc w:val="left"/>
        <w:rPr>
          <w:sz w:val="24"/>
        </w:rPr>
      </w:pPr>
      <w:r>
        <w:rPr>
          <w:sz w:val="24"/>
        </w:rPr>
        <w:t>加强施工现场管理，封闭施工现场。</w:t>
      </w:r>
    </w:p>
    <w:p>
      <w:pPr>
        <w:pStyle w:val="13"/>
        <w:numPr>
          <w:ilvl w:val="0"/>
          <w:numId w:val="68"/>
        </w:numPr>
        <w:tabs>
          <w:tab w:val="left" w:pos="1297"/>
        </w:tabs>
        <w:spacing w:before="158" w:after="0" w:line="240" w:lineRule="auto"/>
        <w:ind w:left="1297" w:right="0" w:hanging="601"/>
        <w:jc w:val="left"/>
        <w:rPr>
          <w:sz w:val="24"/>
        </w:rPr>
      </w:pPr>
      <w:r>
        <w:rPr>
          <w:sz w:val="24"/>
        </w:rPr>
        <w:t>高噪声设备采取减震等措施降低其使用时产生的噪声对周围环境的影响。</w:t>
      </w:r>
    </w:p>
    <w:p>
      <w:pPr>
        <w:pStyle w:val="13"/>
        <w:numPr>
          <w:ilvl w:val="0"/>
          <w:numId w:val="68"/>
        </w:numPr>
        <w:tabs>
          <w:tab w:val="left" w:pos="1297"/>
        </w:tabs>
        <w:spacing w:before="161" w:after="0" w:line="240" w:lineRule="auto"/>
        <w:ind w:left="1297" w:right="0" w:hanging="601"/>
        <w:jc w:val="left"/>
        <w:rPr>
          <w:rFonts w:ascii="Times New Roman" w:eastAsia="Times New Roman"/>
          <w:sz w:val="24"/>
        </w:rPr>
      </w:pPr>
      <w:r>
        <w:rPr>
          <w:spacing w:val="-3"/>
          <w:sz w:val="24"/>
        </w:rPr>
        <w:t xml:space="preserve">中型运输车在人口密集区内行驶时禁止鸣笛，并限速行驶，严禁 </w:t>
      </w:r>
      <w:r>
        <w:rPr>
          <w:rFonts w:ascii="Times New Roman" w:eastAsia="Times New Roman"/>
          <w:sz w:val="24"/>
        </w:rPr>
        <w:t>22:00</w:t>
      </w:r>
      <w:r>
        <w:rPr>
          <w:sz w:val="24"/>
        </w:rPr>
        <w:t>～</w:t>
      </w:r>
      <w:r>
        <w:rPr>
          <w:rFonts w:ascii="Times New Roman" w:eastAsia="Times New Roman"/>
          <w:sz w:val="24"/>
        </w:rPr>
        <w:t>6:00</w:t>
      </w:r>
    </w:p>
    <w:p>
      <w:pPr>
        <w:pStyle w:val="6"/>
        <w:spacing w:before="158"/>
        <w:ind w:left="215"/>
      </w:pPr>
      <w:r>
        <w:t>时间段内施工及运输。</w:t>
      </w:r>
    </w:p>
    <w:p>
      <w:pPr>
        <w:pStyle w:val="3"/>
        <w:numPr>
          <w:ilvl w:val="1"/>
          <w:numId w:val="67"/>
        </w:numPr>
        <w:tabs>
          <w:tab w:val="left" w:pos="668"/>
        </w:tabs>
        <w:spacing w:before="160" w:after="0" w:line="240" w:lineRule="auto"/>
        <w:ind w:left="667" w:right="0" w:hanging="453"/>
        <w:jc w:val="left"/>
        <w:rPr>
          <w:rFonts w:ascii="Times New Roman" w:eastAsia="Times New Roman"/>
        </w:rPr>
      </w:pPr>
      <w:bookmarkStart w:id="795" w:name="_bookmark54"/>
      <w:bookmarkEnd w:id="795"/>
      <w:bookmarkStart w:id="796" w:name="9.4运营期声环境影响预测与评价"/>
      <w:bookmarkEnd w:id="796"/>
      <w:bookmarkStart w:id="797" w:name="_bookmark54"/>
      <w:bookmarkEnd w:id="797"/>
      <w:r>
        <w:t>运营期声环境影响预测与评价</w:t>
      </w:r>
    </w:p>
    <w:p>
      <w:pPr>
        <w:pStyle w:val="4"/>
        <w:numPr>
          <w:ilvl w:val="2"/>
          <w:numId w:val="67"/>
        </w:numPr>
        <w:tabs>
          <w:tab w:val="left" w:pos="848"/>
        </w:tabs>
        <w:spacing w:before="200" w:after="0" w:line="240" w:lineRule="auto"/>
        <w:ind w:left="847" w:right="0" w:hanging="633"/>
        <w:jc w:val="left"/>
      </w:pPr>
      <w:bookmarkStart w:id="798" w:name="9.4.1主要噪声源"/>
      <w:bookmarkEnd w:id="798"/>
      <w:bookmarkStart w:id="799" w:name="9.4.1主要噪声源"/>
      <w:bookmarkEnd w:id="799"/>
      <w:r>
        <w:t>主要噪声源</w:t>
      </w:r>
    </w:p>
    <w:p>
      <w:pPr>
        <w:pStyle w:val="6"/>
        <w:spacing w:before="185" w:line="364" w:lineRule="auto"/>
        <w:ind w:left="215" w:right="578" w:firstLine="480"/>
        <w:jc w:val="both"/>
      </w:pPr>
      <w:r>
        <w:t>本项目工业场地噪声主要来源于矿井压风机房、提升机房、锅炉房等，设备噪声源大部分是宽频带的，且多为固定、连续噪声源。本项目工业场地噪声源的噪声级见表</w:t>
      </w:r>
      <w:r>
        <w:rPr>
          <w:rFonts w:ascii="Times New Roman" w:eastAsia="Times New Roman"/>
        </w:rPr>
        <w:t>3.4-9</w:t>
      </w:r>
      <w:r>
        <w:t>。</w:t>
      </w:r>
    </w:p>
    <w:p>
      <w:pPr>
        <w:pStyle w:val="4"/>
        <w:numPr>
          <w:ilvl w:val="2"/>
          <w:numId w:val="67"/>
        </w:numPr>
        <w:tabs>
          <w:tab w:val="left" w:pos="917"/>
        </w:tabs>
        <w:spacing w:before="0" w:after="0" w:line="357" w:lineRule="exact"/>
        <w:ind w:left="916" w:right="0" w:hanging="702"/>
        <w:jc w:val="left"/>
      </w:pPr>
      <w:bookmarkStart w:id="800" w:name="9.4.2 预测范围及方法"/>
      <w:bookmarkEnd w:id="800"/>
      <w:bookmarkStart w:id="801" w:name="9.4.2 预测范围及方法"/>
      <w:bookmarkEnd w:id="801"/>
      <w:r>
        <w:t>预测范围及方法</w:t>
      </w:r>
    </w:p>
    <w:p>
      <w:pPr>
        <w:pStyle w:val="6"/>
        <w:spacing w:before="186" w:line="364" w:lineRule="auto"/>
        <w:ind w:left="215" w:right="580" w:firstLine="480"/>
      </w:pPr>
      <w:r>
        <w:t>噪声从室内向室外传播的声级差主要考虑对相似车间的类比调查结果而确定。噪声在室外的传播衰减只考虑噪声随距离的衰减。</w:t>
      </w:r>
    </w:p>
    <w:p>
      <w:pPr>
        <w:spacing w:after="0" w:line="364" w:lineRule="auto"/>
        <w:sectPr>
          <w:pgSz w:w="11910" w:h="16840"/>
          <w:pgMar w:top="1580" w:right="780" w:bottom="1320" w:left="1200" w:header="0" w:footer="1138" w:gutter="0"/>
        </w:sectPr>
      </w:pPr>
    </w:p>
    <w:p>
      <w:pPr>
        <w:pStyle w:val="4"/>
        <w:numPr>
          <w:ilvl w:val="2"/>
          <w:numId w:val="67"/>
        </w:numPr>
        <w:tabs>
          <w:tab w:val="left" w:pos="917"/>
        </w:tabs>
        <w:spacing w:before="47" w:after="0" w:line="240" w:lineRule="auto"/>
        <w:ind w:left="916" w:right="0" w:hanging="702"/>
        <w:jc w:val="left"/>
      </w:pPr>
      <w:bookmarkStart w:id="802" w:name="9.4.3 预测模式"/>
      <w:bookmarkEnd w:id="802"/>
      <w:bookmarkStart w:id="803" w:name="9.4.3 预测模式"/>
      <w:bookmarkEnd w:id="803"/>
      <w:r>
        <w:t>预测模式</w:t>
      </w:r>
    </w:p>
    <w:p>
      <w:pPr>
        <w:pStyle w:val="6"/>
        <w:spacing w:before="185"/>
        <w:ind w:left="696"/>
      </w:pPr>
      <w:r>
        <w:t>噪声随距离衰减计算模式为：</w:t>
      </w:r>
    </w:p>
    <w:p>
      <w:pPr>
        <w:spacing w:before="145"/>
        <w:ind w:left="1819" w:right="0" w:firstLine="0"/>
        <w:jc w:val="left"/>
        <w:rPr>
          <w:rFonts w:ascii="Times New Roman" w:hAnsi="Times New Roman"/>
          <w:sz w:val="24"/>
        </w:rPr>
      </w:pPr>
      <w:r>
        <w:rPr>
          <w:rFonts w:ascii="Times New Roman" w:hAnsi="Times New Roman"/>
          <w:i/>
          <w:spacing w:val="7"/>
          <w:w w:val="101"/>
          <w:position w:val="12"/>
          <w:sz w:val="33"/>
        </w:rPr>
        <w:t>L</w:t>
      </w:r>
      <w:r>
        <w:rPr>
          <w:rFonts w:ascii="Times New Roman" w:hAnsi="Times New Roman"/>
          <w:position w:val="10"/>
          <w:sz w:val="13"/>
        </w:rPr>
        <w:t>(</w:t>
      </w:r>
      <w:r>
        <w:rPr>
          <w:rFonts w:ascii="Times New Roman" w:hAnsi="Times New Roman"/>
          <w:spacing w:val="-21"/>
          <w:position w:val="10"/>
          <w:sz w:val="13"/>
        </w:rPr>
        <w:t xml:space="preserve"> </w:t>
      </w:r>
      <w:r>
        <w:rPr>
          <w:rFonts w:ascii="Times New Roman" w:hAnsi="Times New Roman"/>
          <w:i/>
          <w:position w:val="10"/>
          <w:sz w:val="13"/>
        </w:rPr>
        <w:t>r</w:t>
      </w:r>
      <w:r>
        <w:rPr>
          <w:rFonts w:ascii="Times New Roman" w:hAnsi="Times New Roman"/>
          <w:i/>
          <w:spacing w:val="-15"/>
          <w:position w:val="10"/>
          <w:sz w:val="13"/>
        </w:rPr>
        <w:t xml:space="preserve"> </w:t>
      </w:r>
      <w:r>
        <w:rPr>
          <w:rFonts w:ascii="Times New Roman" w:hAnsi="Times New Roman"/>
          <w:position w:val="10"/>
          <w:sz w:val="13"/>
        </w:rPr>
        <w:t xml:space="preserve">) </w:t>
      </w:r>
      <w:r>
        <w:rPr>
          <w:rFonts w:ascii="Times New Roman" w:hAnsi="Times New Roman"/>
          <w:spacing w:val="-1"/>
          <w:position w:val="10"/>
          <w:sz w:val="13"/>
        </w:rPr>
        <w:t xml:space="preserve"> </w:t>
      </w:r>
      <w:r>
        <w:rPr>
          <w:rFonts w:ascii="Symbol" w:hAnsi="Symbol"/>
          <w:w w:val="101"/>
          <w:position w:val="19"/>
          <w:sz w:val="22"/>
        </w:rPr>
        <w:t></w:t>
      </w:r>
      <w:r>
        <w:rPr>
          <w:rFonts w:ascii="Times New Roman" w:hAnsi="Times New Roman"/>
          <w:spacing w:val="18"/>
          <w:position w:val="19"/>
          <w:sz w:val="22"/>
        </w:rPr>
        <w:t xml:space="preserve"> </w:t>
      </w:r>
      <w:r>
        <w:rPr>
          <w:rFonts w:ascii="Times New Roman" w:hAnsi="Times New Roman"/>
          <w:i/>
          <w:spacing w:val="7"/>
          <w:w w:val="101"/>
          <w:position w:val="12"/>
          <w:sz w:val="33"/>
        </w:rPr>
        <w:t>L</w:t>
      </w:r>
      <w:r>
        <w:rPr>
          <w:rFonts w:ascii="Times New Roman" w:hAnsi="Times New Roman"/>
          <w:spacing w:val="10"/>
          <w:position w:val="10"/>
          <w:sz w:val="13"/>
        </w:rPr>
        <w:t>(</w:t>
      </w:r>
      <w:r>
        <w:rPr>
          <w:rFonts w:ascii="Times New Roman" w:hAnsi="Times New Roman"/>
          <w:i/>
          <w:spacing w:val="18"/>
          <w:w w:val="101"/>
          <w:position w:val="5"/>
          <w:sz w:val="22"/>
        </w:rPr>
        <w:t>r</w:t>
      </w:r>
      <w:r>
        <w:rPr>
          <w:rFonts w:ascii="Times New Roman" w:hAnsi="Times New Roman"/>
          <w:w w:val="103"/>
          <w:position w:val="4"/>
          <w:sz w:val="9"/>
        </w:rPr>
        <w:t>0</w:t>
      </w:r>
      <w:r>
        <w:rPr>
          <w:rFonts w:ascii="Times New Roman" w:hAnsi="Times New Roman"/>
          <w:spacing w:val="-12"/>
          <w:position w:val="4"/>
          <w:sz w:val="9"/>
        </w:rPr>
        <w:t xml:space="preserve"> </w:t>
      </w:r>
      <w:r>
        <w:rPr>
          <w:rFonts w:ascii="Times New Roman" w:hAnsi="Times New Roman"/>
          <w:position w:val="10"/>
          <w:sz w:val="13"/>
        </w:rPr>
        <w:t>)</w:t>
      </w:r>
      <w:r>
        <w:rPr>
          <w:rFonts w:ascii="Times New Roman" w:hAnsi="Times New Roman"/>
          <w:spacing w:val="10"/>
          <w:position w:val="10"/>
          <w:sz w:val="13"/>
        </w:rPr>
        <w:t xml:space="preserve"> </w:t>
      </w:r>
      <w:r>
        <w:rPr>
          <w:rFonts w:ascii="Times New Roman" w:hAnsi="Times New Roman"/>
          <w:w w:val="101"/>
          <w:position w:val="19"/>
          <w:sz w:val="22"/>
        </w:rPr>
        <w:t>_</w:t>
      </w:r>
      <w:r>
        <w:rPr>
          <w:rFonts w:ascii="Times New Roman" w:hAnsi="Times New Roman"/>
          <w:spacing w:val="-9"/>
          <w:position w:val="19"/>
          <w:sz w:val="22"/>
        </w:rPr>
        <w:t xml:space="preserve"> </w:t>
      </w:r>
      <w:r>
        <w:rPr>
          <w:rFonts w:ascii="Times New Roman" w:hAnsi="Times New Roman"/>
          <w:w w:val="101"/>
          <w:position w:val="19"/>
          <w:sz w:val="22"/>
        </w:rPr>
        <w:t>20</w:t>
      </w:r>
      <w:r>
        <w:rPr>
          <w:rFonts w:ascii="Times New Roman" w:hAnsi="Times New Roman"/>
          <w:spacing w:val="-6"/>
          <w:position w:val="19"/>
          <w:sz w:val="22"/>
        </w:rPr>
        <w:t xml:space="preserve"> </w:t>
      </w:r>
      <w:r>
        <w:rPr>
          <w:rFonts w:ascii="Times New Roman" w:hAnsi="Times New Roman"/>
          <w:sz w:val="24"/>
        </w:rPr>
        <w:t>lo</w:t>
      </w:r>
      <w:r>
        <w:rPr>
          <w:rFonts w:ascii="Times New Roman" w:hAnsi="Times New Roman"/>
          <w:spacing w:val="-3"/>
          <w:sz w:val="24"/>
        </w:rPr>
        <w:t>g</w:t>
      </w:r>
      <w:r>
        <w:rPr>
          <w:sz w:val="24"/>
        </w:rPr>
        <w:t>（</w:t>
      </w:r>
      <w:r>
        <w:rPr>
          <w:rFonts w:ascii="Times New Roman" w:hAnsi="Times New Roman"/>
          <w:spacing w:val="-1"/>
          <w:sz w:val="24"/>
        </w:rPr>
        <w:t>r</w:t>
      </w:r>
      <w:r>
        <w:rPr>
          <w:rFonts w:ascii="Times New Roman" w:hAnsi="Times New Roman"/>
          <w:sz w:val="24"/>
        </w:rPr>
        <w:t>/</w:t>
      </w:r>
      <w:r>
        <w:rPr>
          <w:rFonts w:ascii="Times New Roman" w:hAnsi="Times New Roman"/>
          <w:spacing w:val="-23"/>
          <w:sz w:val="24"/>
        </w:rPr>
        <w:t xml:space="preserve"> </w:t>
      </w:r>
      <w:r>
        <w:rPr>
          <w:rFonts w:ascii="Times New Roman" w:hAnsi="Times New Roman"/>
          <w:i/>
          <w:spacing w:val="17"/>
          <w:w w:val="102"/>
          <w:position w:val="6"/>
          <w:sz w:val="35"/>
        </w:rPr>
        <w:t>r</w:t>
      </w:r>
      <w:r>
        <w:rPr>
          <w:rFonts w:ascii="Times New Roman" w:hAnsi="Times New Roman"/>
          <w:w w:val="99"/>
          <w:position w:val="5"/>
          <w:sz w:val="14"/>
        </w:rPr>
        <w:t>0</w:t>
      </w:r>
      <w:r>
        <w:rPr>
          <w:rFonts w:ascii="Times New Roman" w:hAnsi="Times New Roman"/>
          <w:spacing w:val="4"/>
          <w:position w:val="5"/>
          <w:sz w:val="14"/>
        </w:rPr>
        <w:t xml:space="preserve"> </w:t>
      </w:r>
      <w:r>
        <w:rPr>
          <w:sz w:val="24"/>
        </w:rPr>
        <w:t>）</w:t>
      </w:r>
      <w:r>
        <w:rPr>
          <w:rFonts w:ascii="Times New Roman" w:hAnsi="Times New Roman"/>
          <w:sz w:val="24"/>
        </w:rPr>
        <w:t>—</w:t>
      </w:r>
      <w:r>
        <w:rPr>
          <w:rFonts w:ascii="Times New Roman" w:hAnsi="Times New Roman"/>
          <w:spacing w:val="-23"/>
          <w:sz w:val="24"/>
        </w:rPr>
        <w:t xml:space="preserve"> </w:t>
      </w:r>
      <w:r>
        <w:rPr>
          <w:rFonts w:ascii="Symbol" w:hAnsi="Symbol"/>
          <w:w w:val="96"/>
          <w:position w:val="4"/>
          <w:sz w:val="24"/>
        </w:rPr>
        <w:t></w:t>
      </w:r>
      <w:r>
        <w:rPr>
          <w:rFonts w:ascii="Times New Roman" w:hAnsi="Times New Roman"/>
          <w:spacing w:val="-16"/>
          <w:position w:val="4"/>
          <w:sz w:val="24"/>
        </w:rPr>
        <w:t xml:space="preserve"> </w:t>
      </w:r>
      <w:r>
        <w:rPr>
          <w:rFonts w:ascii="Times New Roman" w:hAnsi="Times New Roman"/>
          <w:sz w:val="24"/>
        </w:rPr>
        <w:t>L</w:t>
      </w:r>
    </w:p>
    <w:p>
      <w:pPr>
        <w:pStyle w:val="6"/>
        <w:spacing w:before="3"/>
        <w:rPr>
          <w:rFonts w:ascii="Times New Roman"/>
          <w:sz w:val="14"/>
        </w:rPr>
      </w:pPr>
      <w:r>
        <mc:AlternateContent>
          <mc:Choice Requires="wps">
            <w:drawing>
              <wp:anchor distT="0" distB="0" distL="0" distR="0" simplePos="0" relativeHeight="251810816" behindDoc="1" locked="0" layoutInCell="1" allowOverlap="1">
                <wp:simplePos x="0" y="0"/>
                <wp:positionH relativeFrom="page">
                  <wp:posOffset>3257550</wp:posOffset>
                </wp:positionH>
                <wp:positionV relativeFrom="paragraph">
                  <wp:posOffset>119380</wp:posOffset>
                </wp:positionV>
                <wp:extent cx="44450" cy="97790"/>
                <wp:effectExtent l="0" t="0" r="0" b="0"/>
                <wp:wrapTopAndBottom/>
                <wp:docPr id="259" name="文本框 210"/>
                <wp:cNvGraphicFramePr/>
                <a:graphic xmlns:a="http://schemas.openxmlformats.org/drawingml/2006/main">
                  <a:graphicData uri="http://schemas.microsoft.com/office/word/2010/wordprocessingShape">
                    <wps:wsp>
                      <wps:cNvSpPr txBox="1"/>
                      <wps:spPr>
                        <a:xfrm>
                          <a:off x="0" y="0"/>
                          <a:ext cx="44450" cy="97790"/>
                        </a:xfrm>
                        <a:prstGeom prst="rect">
                          <a:avLst/>
                        </a:prstGeom>
                        <a:noFill/>
                        <a:ln>
                          <a:noFill/>
                        </a:ln>
                      </wps:spPr>
                      <wps:txbx>
                        <w:txbxContent>
                          <w:p>
                            <w:pPr>
                              <w:spacing w:before="0" w:line="154" w:lineRule="exact"/>
                              <w:ind w:left="0" w:right="0" w:firstLine="0"/>
                              <w:jc w:val="left"/>
                              <w:rPr>
                                <w:rFonts w:ascii="Times New Roman"/>
                                <w:i/>
                                <w:sz w:val="14"/>
                              </w:rPr>
                            </w:pPr>
                            <w:r>
                              <w:rPr>
                                <w:rFonts w:ascii="Times New Roman"/>
                                <w:i/>
                                <w:w w:val="99"/>
                                <w:sz w:val="14"/>
                              </w:rPr>
                              <w:t>n</w:t>
                            </w:r>
                          </w:p>
                        </w:txbxContent>
                      </wps:txbx>
                      <wps:bodyPr lIns="0" tIns="0" rIns="0" bIns="0" upright="1"/>
                    </wps:wsp>
                  </a:graphicData>
                </a:graphic>
              </wp:anchor>
            </w:drawing>
          </mc:Choice>
          <mc:Fallback>
            <w:pict>
              <v:shape id="文本框 210" o:spid="_x0000_s1026" o:spt="202" type="#_x0000_t202" style="position:absolute;left:0pt;margin-left:256.5pt;margin-top:9.4pt;height:7.7pt;width:3.5pt;mso-position-horizontal-relative:page;mso-wrap-distance-bottom:0pt;mso-wrap-distance-top:0pt;z-index:-251505664;mso-width-relative:page;mso-height-relative:page;" filled="f" stroked="f" coordsize="21600,21600" o:gfxdata="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2iC8bNcAAAAJAQAADwAAAAAAAAAB&#10;ACAAAAAiAAAAZHJzL2Rvd25yZXYueG1sUEsBAhQAFAAAAAgAh07iQPsGSgqfAQAAJQMAAA4AAAAA&#10;AAAAAQAgAAAAJgEAAGRycy9lMm9Eb2MueG1sUEsFBgAAAAAGAAYAWQEAADcFAAAAAA==&#10;">
                <v:fill on="f" focussize="0,0"/>
                <v:stroke on="f"/>
                <v:imagedata o:title=""/>
                <o:lock v:ext="edit" aspectratio="f"/>
                <v:textbox inset="0mm,0mm,0mm,0mm">
                  <w:txbxContent>
                    <w:p>
                      <w:pPr>
                        <w:spacing w:before="0" w:line="154" w:lineRule="exact"/>
                        <w:ind w:left="0" w:right="0" w:firstLine="0"/>
                        <w:jc w:val="left"/>
                        <w:rPr>
                          <w:rFonts w:ascii="Times New Roman"/>
                          <w:i/>
                          <w:sz w:val="14"/>
                        </w:rPr>
                      </w:pPr>
                      <w:r>
                        <w:rPr>
                          <w:rFonts w:ascii="Times New Roman"/>
                          <w:i/>
                          <w:w w:val="99"/>
                          <w:sz w:val="14"/>
                        </w:rPr>
                        <w:t>n</w:t>
                      </w:r>
                    </w:p>
                  </w:txbxContent>
                </v:textbox>
                <w10:wrap type="topAndBottom"/>
              </v:shape>
            </w:pict>
          </mc:Fallback>
        </mc:AlternateContent>
      </w:r>
    </w:p>
    <w:p>
      <w:pPr>
        <w:spacing w:before="0" w:line="307" w:lineRule="exact"/>
        <w:ind w:left="696" w:right="0" w:firstLine="0"/>
        <w:jc w:val="left"/>
        <w:rPr>
          <w:rFonts w:ascii="Times New Roman" w:hAnsi="Times New Roman"/>
          <w:i/>
          <w:sz w:val="24"/>
        </w:rPr>
      </w:pPr>
      <w:r>
        <w:rPr>
          <w:spacing w:val="-8"/>
          <w:sz w:val="24"/>
        </w:rPr>
        <w:t xml:space="preserve">多源噪声叠加公式： </w:t>
      </w:r>
      <w:r>
        <w:rPr>
          <w:rFonts w:ascii="Times New Roman" w:hAnsi="Times New Roman"/>
          <w:i/>
          <w:w w:val="99"/>
          <w:sz w:val="24"/>
        </w:rPr>
        <w:t>L</w:t>
      </w:r>
      <w:r>
        <w:rPr>
          <w:rFonts w:ascii="Times New Roman" w:hAnsi="Times New Roman"/>
          <w:i/>
          <w:spacing w:val="6"/>
          <w:sz w:val="24"/>
        </w:rPr>
        <w:t xml:space="preserve"> </w:t>
      </w:r>
      <w:r>
        <w:rPr>
          <w:rFonts w:ascii="Symbol" w:hAnsi="Symbol"/>
          <w:w w:val="99"/>
          <w:sz w:val="24"/>
        </w:rPr>
        <w:t></w:t>
      </w:r>
      <w:r>
        <w:rPr>
          <w:rFonts w:ascii="Times New Roman" w:hAnsi="Times New Roman"/>
          <w:spacing w:val="-23"/>
          <w:sz w:val="24"/>
        </w:rPr>
        <w:t xml:space="preserve"> </w:t>
      </w:r>
      <w:r>
        <w:rPr>
          <w:rFonts w:ascii="Times New Roman" w:hAnsi="Times New Roman"/>
          <w:spacing w:val="-1"/>
          <w:w w:val="99"/>
          <w:sz w:val="24"/>
        </w:rPr>
        <w:t>1</w:t>
      </w:r>
      <w:r>
        <w:rPr>
          <w:rFonts w:ascii="Times New Roman" w:hAnsi="Times New Roman"/>
          <w:w w:val="99"/>
          <w:sz w:val="24"/>
        </w:rPr>
        <w:t>0</w:t>
      </w:r>
      <w:r>
        <w:rPr>
          <w:rFonts w:ascii="Times New Roman" w:hAnsi="Times New Roman"/>
          <w:spacing w:val="-27"/>
          <w:sz w:val="24"/>
        </w:rPr>
        <w:t xml:space="preserve"> </w:t>
      </w:r>
      <w:r>
        <w:rPr>
          <w:rFonts w:ascii="Times New Roman" w:hAnsi="Times New Roman"/>
          <w:sz w:val="24"/>
        </w:rPr>
        <w:t>l</w:t>
      </w:r>
      <w:r>
        <w:rPr>
          <w:rFonts w:ascii="Times New Roman" w:hAnsi="Times New Roman"/>
          <w:spacing w:val="-3"/>
          <w:sz w:val="24"/>
        </w:rPr>
        <w:t>g</w:t>
      </w:r>
      <w:r>
        <w:rPr>
          <w:rFonts w:ascii="Times New Roman" w:hAnsi="Times New Roman"/>
          <w:spacing w:val="-12"/>
          <w:sz w:val="24"/>
        </w:rPr>
        <w:t xml:space="preserve">( </w:t>
      </w:r>
      <w:r>
        <w:rPr>
          <w:rFonts w:ascii="Symbol" w:hAnsi="Symbol"/>
          <w:spacing w:val="7"/>
          <w:w w:val="102"/>
          <w:position w:val="-4"/>
          <w:sz w:val="35"/>
        </w:rPr>
        <w:t></w:t>
      </w:r>
      <w:r>
        <w:rPr>
          <w:rFonts w:ascii="Times New Roman" w:hAnsi="Times New Roman"/>
          <w:w w:val="99"/>
          <w:sz w:val="24"/>
        </w:rPr>
        <w:t>1</w:t>
      </w:r>
      <w:r>
        <w:rPr>
          <w:rFonts w:ascii="Times New Roman" w:hAnsi="Times New Roman"/>
          <w:spacing w:val="16"/>
          <w:w w:val="99"/>
          <w:sz w:val="24"/>
        </w:rPr>
        <w:t>0</w:t>
      </w:r>
      <w:r>
        <w:rPr>
          <w:rFonts w:ascii="Times New Roman" w:hAnsi="Times New Roman"/>
          <w:w w:val="99"/>
          <w:position w:val="11"/>
          <w:sz w:val="14"/>
        </w:rPr>
        <w:t>0.</w:t>
      </w:r>
      <w:r>
        <w:rPr>
          <w:rFonts w:ascii="Times New Roman" w:hAnsi="Times New Roman"/>
          <w:spacing w:val="-5"/>
          <w:w w:val="99"/>
          <w:position w:val="11"/>
          <w:sz w:val="14"/>
        </w:rPr>
        <w:t>1</w:t>
      </w:r>
      <w:r>
        <w:rPr>
          <w:rFonts w:ascii="Times New Roman" w:hAnsi="Times New Roman"/>
          <w:i/>
          <w:spacing w:val="-1"/>
          <w:w w:val="99"/>
          <w:position w:val="11"/>
          <w:sz w:val="14"/>
        </w:rPr>
        <w:t>l</w:t>
      </w:r>
      <w:r>
        <w:rPr>
          <w:rFonts w:ascii="Times New Roman" w:hAnsi="Times New Roman"/>
          <w:i/>
          <w:w w:val="99"/>
          <w:position w:val="11"/>
          <w:sz w:val="14"/>
        </w:rPr>
        <w:t>i</w:t>
      </w:r>
      <w:r>
        <w:rPr>
          <w:rFonts w:ascii="Times New Roman" w:hAnsi="Times New Roman"/>
          <w:i/>
          <w:spacing w:val="5"/>
          <w:position w:val="11"/>
          <w:sz w:val="14"/>
        </w:rPr>
        <w:t xml:space="preserve"> </w:t>
      </w:r>
      <w:r>
        <w:rPr>
          <w:rFonts w:ascii="Times New Roman" w:hAnsi="Times New Roman"/>
          <w:w w:val="99"/>
          <w:sz w:val="24"/>
        </w:rPr>
        <w:t>)</w:t>
      </w:r>
      <w:r>
        <w:rPr>
          <w:rFonts w:ascii="Times New Roman" w:hAnsi="Times New Roman"/>
          <w:spacing w:val="-12"/>
          <w:sz w:val="24"/>
        </w:rPr>
        <w:t xml:space="preserve"> </w:t>
      </w:r>
      <w:r>
        <w:rPr>
          <w:rFonts w:ascii="Symbol" w:hAnsi="Symbol"/>
          <w:w w:val="99"/>
          <w:sz w:val="24"/>
        </w:rPr>
        <w:t></w:t>
      </w:r>
      <w:r>
        <w:rPr>
          <w:rFonts w:ascii="Times New Roman" w:hAnsi="Times New Roman"/>
          <w:spacing w:val="-11"/>
          <w:sz w:val="24"/>
        </w:rPr>
        <w:t xml:space="preserve"> </w:t>
      </w:r>
      <w:r>
        <w:rPr>
          <w:rFonts w:ascii="Symbol" w:hAnsi="Symbol"/>
          <w:w w:val="99"/>
          <w:sz w:val="24"/>
        </w:rPr>
        <w:t></w:t>
      </w:r>
      <w:r>
        <w:rPr>
          <w:rFonts w:ascii="Times New Roman" w:hAnsi="Times New Roman"/>
          <w:i/>
          <w:w w:val="99"/>
          <w:sz w:val="24"/>
        </w:rPr>
        <w:t>L</w:t>
      </w:r>
    </w:p>
    <w:p>
      <w:pPr>
        <w:spacing w:before="0" w:line="160" w:lineRule="exact"/>
        <w:ind w:left="0" w:right="1983" w:firstLine="0"/>
        <w:jc w:val="center"/>
        <w:rPr>
          <w:rFonts w:ascii="Times New Roman" w:eastAsia="Times New Roman"/>
          <w:sz w:val="14"/>
        </w:rPr>
      </w:pPr>
      <w:r>
        <w:rPr>
          <w:rFonts w:ascii="Times New Roman" w:eastAsia="Times New Roman"/>
          <w:i/>
          <w:sz w:val="14"/>
        </w:rPr>
        <w:t>i</w:t>
      </w:r>
      <w:r>
        <w:rPr>
          <w:sz w:val="14"/>
        </w:rPr>
        <w:t>＝</w:t>
      </w:r>
      <w:r>
        <w:rPr>
          <w:rFonts w:ascii="Times New Roman" w:eastAsia="Times New Roman"/>
          <w:sz w:val="14"/>
        </w:rPr>
        <w:t>1</w:t>
      </w:r>
    </w:p>
    <w:p>
      <w:pPr>
        <w:pStyle w:val="6"/>
        <w:spacing w:before="4"/>
        <w:rPr>
          <w:rFonts w:ascii="Times New Roman"/>
          <w:sz w:val="13"/>
        </w:rPr>
      </w:pPr>
    </w:p>
    <w:p>
      <w:pPr>
        <w:pStyle w:val="6"/>
        <w:ind w:right="3988"/>
        <w:jc w:val="right"/>
      </w:pPr>
      <w:r>
        <w:rPr>
          <w:spacing w:val="-20"/>
        </w:rPr>
        <w:t xml:space="preserve">式中： </w:t>
      </w:r>
      <w:r>
        <w:rPr>
          <w:rFonts w:ascii="Times New Roman" w:hAnsi="Times New Roman" w:eastAsia="Times New Roman"/>
          <w:i/>
          <w:spacing w:val="-2"/>
          <w:w w:val="100"/>
          <w:position w:val="7"/>
          <w:sz w:val="32"/>
        </w:rPr>
        <w:t>L</w:t>
      </w:r>
      <w:r>
        <w:rPr>
          <w:rFonts w:ascii="Times New Roman" w:hAnsi="Times New Roman" w:eastAsia="Times New Roman"/>
          <w:spacing w:val="9"/>
          <w:w w:val="104"/>
          <w:position w:val="6"/>
          <w:sz w:val="12"/>
        </w:rPr>
        <w:t>(</w:t>
      </w:r>
      <w:r>
        <w:rPr>
          <w:rFonts w:ascii="Times New Roman" w:hAnsi="Times New Roman" w:eastAsia="Times New Roman"/>
          <w:i/>
          <w:w w:val="104"/>
          <w:position w:val="6"/>
          <w:sz w:val="12"/>
        </w:rPr>
        <w:t>r</w:t>
      </w:r>
      <w:r>
        <w:rPr>
          <w:rFonts w:ascii="Times New Roman" w:hAnsi="Times New Roman" w:eastAsia="Times New Roman"/>
          <w:i/>
          <w:spacing w:val="-16"/>
          <w:position w:val="6"/>
          <w:sz w:val="12"/>
        </w:rPr>
        <w:t xml:space="preserve"> </w:t>
      </w:r>
      <w:r>
        <w:rPr>
          <w:rFonts w:ascii="Times New Roman" w:hAnsi="Times New Roman" w:eastAsia="Times New Roman"/>
          <w:w w:val="104"/>
          <w:position w:val="6"/>
          <w:sz w:val="12"/>
        </w:rPr>
        <w:t>)</w:t>
      </w:r>
      <w:r>
        <w:rPr>
          <w:rFonts w:ascii="Times New Roman" w:hAnsi="Times New Roman" w:eastAsia="Times New Roman"/>
          <w:spacing w:val="1"/>
          <w:position w:val="6"/>
          <w:sz w:val="12"/>
        </w:rPr>
        <w:t xml:space="preserve"> </w:t>
      </w:r>
      <w:r>
        <w:rPr>
          <w:rFonts w:ascii="Times New Roman" w:hAnsi="Times New Roman" w:eastAsia="Times New Roman"/>
        </w:rPr>
        <w:t>—</w:t>
      </w:r>
      <w:r>
        <w:rPr>
          <w:spacing w:val="-5"/>
        </w:rPr>
        <w:t xml:space="preserve">点声源在预测点产生的噪声级 </w:t>
      </w:r>
      <w:r>
        <w:rPr>
          <w:rFonts w:ascii="Times New Roman" w:hAnsi="Times New Roman" w:eastAsia="Times New Roman"/>
        </w:rPr>
        <w:t>dB</w:t>
      </w:r>
      <w:r>
        <w:t>（</w:t>
      </w:r>
      <w:r>
        <w:rPr>
          <w:rFonts w:ascii="Times New Roman" w:hAnsi="Times New Roman" w:eastAsia="Times New Roman"/>
          <w:spacing w:val="-1"/>
        </w:rPr>
        <w:t>A</w:t>
      </w:r>
      <w:r>
        <w:t>）；</w:t>
      </w:r>
    </w:p>
    <w:p>
      <w:pPr>
        <w:spacing w:before="136"/>
        <w:ind w:left="0" w:right="4081" w:firstLine="0"/>
        <w:jc w:val="right"/>
        <w:rPr>
          <w:sz w:val="24"/>
        </w:rPr>
      </w:pPr>
      <w:r>
        <w:rPr>
          <w:rFonts w:ascii="Times New Roman" w:hAnsi="Times New Roman" w:eastAsia="Times New Roman"/>
          <w:i/>
          <w:spacing w:val="-2"/>
          <w:w w:val="100"/>
          <w:position w:val="11"/>
          <w:sz w:val="32"/>
        </w:rPr>
        <w:t>L</w:t>
      </w:r>
      <w:r>
        <w:rPr>
          <w:rFonts w:ascii="Times New Roman" w:hAnsi="Times New Roman" w:eastAsia="Times New Roman"/>
          <w:spacing w:val="7"/>
          <w:w w:val="104"/>
          <w:position w:val="10"/>
          <w:sz w:val="12"/>
        </w:rPr>
        <w:t>(</w:t>
      </w:r>
      <w:r>
        <w:rPr>
          <w:rFonts w:ascii="Times New Roman" w:hAnsi="Times New Roman" w:eastAsia="Times New Roman"/>
          <w:i/>
          <w:spacing w:val="12"/>
          <w:w w:val="102"/>
          <w:position w:val="5"/>
          <w:sz w:val="21"/>
        </w:rPr>
        <w:t>r</w:t>
      </w:r>
      <w:r>
        <w:rPr>
          <w:rFonts w:ascii="Times New Roman" w:hAnsi="Times New Roman" w:eastAsia="Times New Roman"/>
          <w:spacing w:val="7"/>
          <w:w w:val="99"/>
          <w:position w:val="4"/>
          <w:sz w:val="9"/>
        </w:rPr>
        <w:t>0</w:t>
      </w:r>
      <w:r>
        <w:rPr>
          <w:rFonts w:ascii="Times New Roman" w:hAnsi="Times New Roman" w:eastAsia="Times New Roman"/>
          <w:w w:val="104"/>
          <w:position w:val="10"/>
          <w:sz w:val="12"/>
        </w:rPr>
        <w:t>)</w:t>
      </w:r>
      <w:r>
        <w:rPr>
          <w:rFonts w:ascii="Times New Roman" w:hAnsi="Times New Roman" w:eastAsia="Times New Roman"/>
          <w:spacing w:val="8"/>
          <w:position w:val="10"/>
          <w:sz w:val="12"/>
        </w:rPr>
        <w:t xml:space="preserve"> </w:t>
      </w:r>
      <w:r>
        <w:rPr>
          <w:rFonts w:ascii="Times New Roman" w:hAnsi="Times New Roman" w:eastAsia="Times New Roman"/>
          <w:sz w:val="24"/>
        </w:rPr>
        <w:t>—</w:t>
      </w:r>
      <w:r>
        <w:rPr>
          <w:spacing w:val="8"/>
          <w:sz w:val="24"/>
        </w:rPr>
        <w:t>参考位置</w:t>
      </w:r>
      <w:r>
        <w:rPr>
          <w:rFonts w:ascii="Times New Roman" w:hAnsi="Times New Roman" w:eastAsia="Times New Roman"/>
          <w:i/>
          <w:spacing w:val="17"/>
          <w:w w:val="102"/>
          <w:position w:val="6"/>
          <w:sz w:val="35"/>
        </w:rPr>
        <w:t>r</w:t>
      </w:r>
      <w:r>
        <w:rPr>
          <w:rFonts w:ascii="Times New Roman" w:hAnsi="Times New Roman" w:eastAsia="Times New Roman"/>
          <w:w w:val="99"/>
          <w:position w:val="5"/>
          <w:sz w:val="14"/>
        </w:rPr>
        <w:t>0</w:t>
      </w:r>
      <w:r>
        <w:rPr>
          <w:rFonts w:ascii="Times New Roman" w:hAnsi="Times New Roman" w:eastAsia="Times New Roman"/>
          <w:spacing w:val="4"/>
          <w:position w:val="5"/>
          <w:sz w:val="14"/>
        </w:rPr>
        <w:t xml:space="preserve"> </w:t>
      </w:r>
      <w:r>
        <w:rPr>
          <w:spacing w:val="-8"/>
          <w:sz w:val="24"/>
        </w:rPr>
        <w:t xml:space="preserve">处的已知噪声级 </w:t>
      </w:r>
      <w:r>
        <w:rPr>
          <w:rFonts w:ascii="Times New Roman" w:hAnsi="Times New Roman" w:eastAsia="Times New Roman"/>
          <w:sz w:val="24"/>
        </w:rPr>
        <w:t>d</w:t>
      </w:r>
      <w:r>
        <w:rPr>
          <w:rFonts w:ascii="Times New Roman" w:hAnsi="Times New Roman" w:eastAsia="Times New Roman"/>
          <w:spacing w:val="-2"/>
          <w:sz w:val="24"/>
        </w:rPr>
        <w:t>B</w:t>
      </w:r>
      <w:r>
        <w:rPr>
          <w:sz w:val="24"/>
        </w:rPr>
        <w:t>（</w:t>
      </w:r>
      <w:r>
        <w:rPr>
          <w:rFonts w:ascii="Times New Roman" w:hAnsi="Times New Roman" w:eastAsia="Times New Roman"/>
          <w:spacing w:val="-1"/>
          <w:sz w:val="24"/>
        </w:rPr>
        <w:t>A</w:t>
      </w:r>
      <w:r>
        <w:rPr>
          <w:sz w:val="24"/>
        </w:rPr>
        <w:t>）；</w:t>
      </w:r>
    </w:p>
    <w:p>
      <w:pPr>
        <w:pStyle w:val="6"/>
        <w:spacing w:before="131" w:line="362" w:lineRule="auto"/>
        <w:ind w:left="1056" w:right="5452" w:firstLine="37"/>
      </w:pPr>
      <w:r>
        <w:rPr>
          <w:rFonts w:ascii="Symbol" w:hAnsi="Symbol" w:eastAsia="Symbol"/>
          <w:position w:val="4"/>
        </w:rPr>
        <w:t></w:t>
      </w:r>
      <w:r>
        <w:rPr>
          <w:rFonts w:ascii="Times New Roman" w:hAnsi="Times New Roman" w:eastAsia="Times New Roman"/>
          <w:position w:val="4"/>
        </w:rPr>
        <w:t xml:space="preserve"> </w:t>
      </w:r>
      <w:r>
        <w:rPr>
          <w:rFonts w:ascii="Times New Roman" w:hAnsi="Times New Roman" w:eastAsia="Times New Roman"/>
        </w:rPr>
        <w:t>L—</w:t>
      </w:r>
      <w:r>
        <w:t xml:space="preserve">各种因素引起的衰减量； </w:t>
      </w:r>
      <w:r>
        <w:rPr>
          <w:rFonts w:ascii="Times New Roman" w:hAnsi="Times New Roman" w:eastAsia="Times New Roman"/>
        </w:rPr>
        <w:t>r—</w:t>
      </w:r>
      <w:r>
        <w:t>关心点距噪声源距离；</w:t>
      </w:r>
    </w:p>
    <w:p>
      <w:pPr>
        <w:pStyle w:val="6"/>
        <w:spacing w:before="2" w:line="362" w:lineRule="auto"/>
        <w:ind w:left="1056" w:right="5827"/>
      </w:pPr>
      <w:r>
        <w:rPr>
          <w:rFonts w:ascii="Times New Roman" w:hAnsi="Times New Roman" w:eastAsia="Times New Roman"/>
          <w:position w:val="2"/>
        </w:rPr>
        <w:t>r</w:t>
      </w:r>
      <w:r>
        <w:rPr>
          <w:rFonts w:ascii="Times New Roman" w:hAnsi="Times New Roman" w:eastAsia="Times New Roman"/>
          <w:position w:val="2"/>
          <w:vertAlign w:val="subscript"/>
        </w:rPr>
        <w:t>o</w:t>
      </w:r>
      <w:r>
        <w:rPr>
          <w:rFonts w:ascii="Times New Roman" w:hAnsi="Times New Roman" w:eastAsia="Times New Roman"/>
          <w:position w:val="2"/>
          <w:vertAlign w:val="baseline"/>
        </w:rPr>
        <w:t>—</w:t>
      </w:r>
      <w:r>
        <w:rPr>
          <w:position w:val="2"/>
          <w:vertAlign w:val="baseline"/>
        </w:rPr>
        <w:t>参考位置距噪声源距离</w:t>
      </w:r>
      <w:r>
        <w:rPr>
          <w:rFonts w:ascii="Times New Roman" w:hAnsi="Times New Roman" w:eastAsia="Times New Roman"/>
          <w:vertAlign w:val="baseline"/>
        </w:rPr>
        <w:t>L—</w:t>
      </w:r>
      <w:r>
        <w:rPr>
          <w:vertAlign w:val="baseline"/>
        </w:rPr>
        <w:t xml:space="preserve">总等效 </w:t>
      </w:r>
      <w:r>
        <w:rPr>
          <w:rFonts w:ascii="Times New Roman" w:hAnsi="Times New Roman" w:eastAsia="Times New Roman"/>
          <w:vertAlign w:val="baseline"/>
        </w:rPr>
        <w:t xml:space="preserve">A </w:t>
      </w:r>
      <w:r>
        <w:rPr>
          <w:vertAlign w:val="baseline"/>
        </w:rPr>
        <w:t>声级，</w:t>
      </w:r>
      <w:r>
        <w:rPr>
          <w:rFonts w:ascii="Times New Roman" w:hAnsi="Times New Roman" w:eastAsia="Times New Roman"/>
          <w:vertAlign w:val="baseline"/>
        </w:rPr>
        <w:t>dB(A)</w:t>
      </w:r>
      <w:r>
        <w:rPr>
          <w:vertAlign w:val="baseline"/>
        </w:rPr>
        <w:t>；</w:t>
      </w:r>
    </w:p>
    <w:p>
      <w:pPr>
        <w:pStyle w:val="6"/>
        <w:spacing w:before="4"/>
        <w:ind w:left="1056"/>
      </w:pPr>
      <w:r>
        <w:rPr>
          <w:rFonts w:ascii="Times New Roman" w:hAnsi="Times New Roman" w:eastAsia="Times New Roman"/>
        </w:rPr>
        <w:t>Li—</w:t>
      </w:r>
      <w:r>
        <w:t xml:space="preserve">第 </w:t>
      </w:r>
      <w:r>
        <w:rPr>
          <w:rFonts w:ascii="Times New Roman" w:hAnsi="Times New Roman" w:eastAsia="Times New Roman"/>
        </w:rPr>
        <w:t xml:space="preserve">i </w:t>
      </w:r>
      <w:r>
        <w:t>个声源的声压级，</w:t>
      </w:r>
      <w:r>
        <w:rPr>
          <w:rFonts w:ascii="Times New Roman" w:hAnsi="Times New Roman" w:eastAsia="Times New Roman"/>
        </w:rPr>
        <w:t>dB(A)</w:t>
      </w:r>
      <w:r>
        <w:t>；</w:t>
      </w:r>
    </w:p>
    <w:p>
      <w:pPr>
        <w:pStyle w:val="6"/>
        <w:spacing w:before="158"/>
        <w:ind w:left="1056"/>
      </w:pPr>
      <w:r>
        <w:rPr>
          <w:rFonts w:ascii="Times New Roman" w:hAnsi="Times New Roman" w:eastAsia="Times New Roman"/>
        </w:rPr>
        <w:t>N—</w:t>
      </w:r>
      <w:r>
        <w:t>声源数量</w:t>
      </w:r>
    </w:p>
    <w:p>
      <w:pPr>
        <w:pStyle w:val="4"/>
        <w:numPr>
          <w:ilvl w:val="2"/>
          <w:numId w:val="67"/>
        </w:numPr>
        <w:tabs>
          <w:tab w:val="left" w:pos="917"/>
        </w:tabs>
        <w:spacing w:before="161" w:after="0" w:line="240" w:lineRule="auto"/>
        <w:ind w:left="916" w:right="0" w:hanging="702"/>
        <w:jc w:val="left"/>
      </w:pPr>
      <w:bookmarkStart w:id="804" w:name="9.4.4 噪声预测结果"/>
      <w:bookmarkEnd w:id="804"/>
      <w:bookmarkStart w:id="805" w:name="9.4.4 噪声预测结果"/>
      <w:bookmarkEnd w:id="805"/>
      <w:r>
        <w:t>噪声预测结果</w:t>
      </w:r>
    </w:p>
    <w:p>
      <w:pPr>
        <w:pStyle w:val="6"/>
        <w:spacing w:before="186" w:line="364" w:lineRule="auto"/>
        <w:ind w:left="215" w:right="580" w:firstLine="480"/>
      </w:pPr>
      <w:r>
        <w:t>选取本项目主要噪声设备作为点源，采用多源叠加的方法作出工程噪声预测，具体结果见下表。</w:t>
      </w:r>
    </w:p>
    <w:p>
      <w:pPr>
        <w:pStyle w:val="5"/>
        <w:spacing w:before="142" w:after="28"/>
        <w:ind w:left="3091"/>
      </w:pPr>
      <w:r>
        <w:t xml:space="preserve">表 </w:t>
      </w:r>
      <w:r>
        <w:rPr>
          <w:rFonts w:ascii="Times New Roman" w:eastAsia="Times New Roman"/>
        </w:rPr>
        <w:t xml:space="preserve">9.4-1 </w:t>
      </w:r>
      <w:r>
        <w:t>本项目噪声源强厂界预测值</w:t>
      </w:r>
    </w:p>
    <w:tbl>
      <w:tblPr>
        <w:tblStyle w:val="10"/>
        <w:tblW w:w="0" w:type="auto"/>
        <w:tblInd w:w="5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92"/>
        <w:gridCol w:w="42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4292" w:type="dxa"/>
          </w:tcPr>
          <w:p>
            <w:pPr>
              <w:pStyle w:val="14"/>
              <w:spacing w:before="45"/>
              <w:ind w:left="1282" w:right="1276"/>
              <w:rPr>
                <w:sz w:val="21"/>
              </w:rPr>
            </w:pPr>
            <w:r>
              <w:rPr>
                <w:sz w:val="21"/>
              </w:rPr>
              <w:t>位置</w:t>
            </w:r>
          </w:p>
        </w:tc>
        <w:tc>
          <w:tcPr>
            <w:tcW w:w="4236" w:type="dxa"/>
          </w:tcPr>
          <w:p>
            <w:pPr>
              <w:pStyle w:val="14"/>
              <w:spacing w:before="45"/>
              <w:ind w:left="1112" w:right="1101"/>
              <w:rPr>
                <w:sz w:val="21"/>
              </w:rPr>
            </w:pPr>
            <w:r>
              <w:rPr>
                <w:sz w:val="21"/>
              </w:rPr>
              <w:t xml:space="preserve">噪声贡献值 </w:t>
            </w:r>
            <w:r>
              <w:rPr>
                <w:rFonts w:ascii="Times New Roman" w:eastAsia="Times New Roman"/>
                <w:sz w:val="21"/>
              </w:rPr>
              <w:t>dB</w:t>
            </w:r>
            <w:r>
              <w:rPr>
                <w:sz w:val="21"/>
              </w:rPr>
              <w:t>（</w:t>
            </w:r>
            <w:r>
              <w:rPr>
                <w:rFonts w:ascii="Times New Roman" w:eastAsia="Times New Roman"/>
                <w:sz w:val="21"/>
              </w:rPr>
              <w:t>A</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4292" w:type="dxa"/>
          </w:tcPr>
          <w:p>
            <w:pPr>
              <w:pStyle w:val="14"/>
              <w:spacing w:before="45"/>
              <w:ind w:left="1285" w:right="1276"/>
              <w:rPr>
                <w:sz w:val="21"/>
              </w:rPr>
            </w:pPr>
            <w:r>
              <w:rPr>
                <w:sz w:val="21"/>
              </w:rPr>
              <w:t>工业广场东侧厂界</w:t>
            </w:r>
          </w:p>
        </w:tc>
        <w:tc>
          <w:tcPr>
            <w:tcW w:w="4236" w:type="dxa"/>
          </w:tcPr>
          <w:p>
            <w:pPr>
              <w:pStyle w:val="14"/>
              <w:spacing w:before="59"/>
              <w:ind w:left="1110" w:right="1101"/>
              <w:rPr>
                <w:rFonts w:ascii="Times New Roman"/>
                <w:sz w:val="21"/>
              </w:rPr>
            </w:pPr>
            <w:r>
              <w:rPr>
                <w:rFonts w:ascii="Times New Roman"/>
                <w:sz w:val="21"/>
              </w:rPr>
              <w:t>26.5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4292" w:type="dxa"/>
          </w:tcPr>
          <w:p>
            <w:pPr>
              <w:pStyle w:val="14"/>
              <w:spacing w:before="45"/>
              <w:ind w:left="1285" w:right="1276"/>
              <w:rPr>
                <w:sz w:val="21"/>
              </w:rPr>
            </w:pPr>
            <w:r>
              <w:rPr>
                <w:sz w:val="21"/>
              </w:rPr>
              <w:t>工业广场西侧厂界</w:t>
            </w:r>
          </w:p>
        </w:tc>
        <w:tc>
          <w:tcPr>
            <w:tcW w:w="4236" w:type="dxa"/>
          </w:tcPr>
          <w:p>
            <w:pPr>
              <w:pStyle w:val="14"/>
              <w:spacing w:before="59"/>
              <w:ind w:left="1110" w:right="1101"/>
              <w:rPr>
                <w:rFonts w:ascii="Times New Roman"/>
                <w:sz w:val="21"/>
              </w:rPr>
            </w:pPr>
            <w:r>
              <w:rPr>
                <w:rFonts w:ascii="Times New Roman"/>
                <w:sz w:val="21"/>
              </w:rPr>
              <w:t>21.3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4292" w:type="dxa"/>
          </w:tcPr>
          <w:p>
            <w:pPr>
              <w:pStyle w:val="14"/>
              <w:spacing w:before="44"/>
              <w:ind w:left="1285" w:right="1276"/>
              <w:rPr>
                <w:sz w:val="21"/>
              </w:rPr>
            </w:pPr>
            <w:r>
              <w:rPr>
                <w:sz w:val="21"/>
              </w:rPr>
              <w:t>工业广场南侧厂界</w:t>
            </w:r>
          </w:p>
        </w:tc>
        <w:tc>
          <w:tcPr>
            <w:tcW w:w="4236" w:type="dxa"/>
          </w:tcPr>
          <w:p>
            <w:pPr>
              <w:pStyle w:val="14"/>
              <w:spacing w:before="61"/>
              <w:ind w:left="1110" w:right="1101"/>
              <w:rPr>
                <w:rFonts w:ascii="Times New Roman"/>
                <w:sz w:val="21"/>
              </w:rPr>
            </w:pPr>
            <w:r>
              <w:rPr>
                <w:rFonts w:ascii="Times New Roman"/>
                <w:sz w:val="21"/>
              </w:rPr>
              <w:t>36.7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4292" w:type="dxa"/>
          </w:tcPr>
          <w:p>
            <w:pPr>
              <w:pStyle w:val="14"/>
              <w:spacing w:before="44"/>
              <w:ind w:left="1285" w:right="1276"/>
              <w:rPr>
                <w:sz w:val="21"/>
              </w:rPr>
            </w:pPr>
            <w:r>
              <w:rPr>
                <w:sz w:val="21"/>
              </w:rPr>
              <w:t>工业广场北侧厂界</w:t>
            </w:r>
          </w:p>
        </w:tc>
        <w:tc>
          <w:tcPr>
            <w:tcW w:w="4236" w:type="dxa"/>
          </w:tcPr>
          <w:p>
            <w:pPr>
              <w:pStyle w:val="14"/>
              <w:spacing w:before="60"/>
              <w:ind w:left="1110" w:right="1101"/>
              <w:rPr>
                <w:rFonts w:ascii="Times New Roman"/>
                <w:sz w:val="21"/>
              </w:rPr>
            </w:pPr>
            <w:r>
              <w:rPr>
                <w:rFonts w:ascii="Times New Roman"/>
                <w:sz w:val="21"/>
              </w:rPr>
              <w:t>32.8</w:t>
            </w:r>
          </w:p>
        </w:tc>
      </w:tr>
    </w:tbl>
    <w:p>
      <w:pPr>
        <w:spacing w:after="0"/>
        <w:rPr>
          <w:rFonts w:ascii="Times New Roman"/>
          <w:sz w:val="21"/>
        </w:rPr>
        <w:sectPr>
          <w:pgSz w:w="11910" w:h="16840"/>
          <w:pgMar w:top="1540" w:right="780" w:bottom="1320" w:left="1200" w:header="0" w:footer="1138" w:gutter="0"/>
        </w:sectPr>
      </w:pPr>
    </w:p>
    <w:p>
      <w:pPr>
        <w:pStyle w:val="6"/>
        <w:ind w:left="696"/>
        <w:rPr>
          <w:sz w:val="20"/>
        </w:rPr>
      </w:pPr>
      <w:r>
        <w:rPr>
          <w:sz w:val="20"/>
        </w:rPr>
        <w:drawing>
          <wp:inline distT="0" distB="0" distL="0" distR="0">
            <wp:extent cx="5789295" cy="6098540"/>
            <wp:effectExtent l="0" t="0" r="0" b="0"/>
            <wp:docPr id="7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2.jpeg"/>
                    <pic:cNvPicPr>
                      <a:picLocks noChangeAspect="1"/>
                    </pic:cNvPicPr>
                  </pic:nvPicPr>
                  <pic:blipFill>
                    <a:blip r:embed="rId78" cstate="print"/>
                    <a:stretch>
                      <a:fillRect/>
                    </a:stretch>
                  </pic:blipFill>
                  <pic:spPr>
                    <a:xfrm>
                      <a:off x="0" y="0"/>
                      <a:ext cx="5789598" cy="6099048"/>
                    </a:xfrm>
                    <a:prstGeom prst="rect">
                      <a:avLst/>
                    </a:prstGeom>
                  </pic:spPr>
                </pic:pic>
              </a:graphicData>
            </a:graphic>
          </wp:inline>
        </w:drawing>
      </w:r>
    </w:p>
    <w:p>
      <w:pPr>
        <w:pStyle w:val="6"/>
        <w:spacing w:before="3"/>
        <w:rPr>
          <w:b/>
          <w:sz w:val="16"/>
        </w:rPr>
      </w:pPr>
    </w:p>
    <w:p>
      <w:pPr>
        <w:spacing w:before="76"/>
        <w:ind w:left="2971" w:right="0" w:firstLine="0"/>
        <w:jc w:val="left"/>
        <w:rPr>
          <w:b/>
          <w:sz w:val="24"/>
        </w:rPr>
      </w:pPr>
      <w:r>
        <w:rPr>
          <w:b/>
          <w:sz w:val="24"/>
        </w:rPr>
        <w:t xml:space="preserve">图 </w:t>
      </w:r>
      <w:r>
        <w:rPr>
          <w:rFonts w:ascii="Times New Roman" w:eastAsia="Times New Roman"/>
          <w:b/>
          <w:sz w:val="24"/>
        </w:rPr>
        <w:t xml:space="preserve">9.4-1 </w:t>
      </w:r>
      <w:r>
        <w:rPr>
          <w:b/>
          <w:sz w:val="24"/>
        </w:rPr>
        <w:t>本项目噪声噪声等值线分布图</w:t>
      </w:r>
    </w:p>
    <w:p>
      <w:pPr>
        <w:pStyle w:val="6"/>
        <w:spacing w:before="139"/>
        <w:ind w:left="215" w:firstLine="480"/>
      </w:pPr>
      <w:r>
        <w:t>本项目选取低噪声设备，采取减振措施，经厂界距离衰减后厂界处噪声满足《工业</w:t>
      </w:r>
    </w:p>
    <w:p>
      <w:pPr>
        <w:pStyle w:val="6"/>
        <w:spacing w:before="2" w:line="440" w:lineRule="atLeast"/>
        <w:ind w:left="215" w:right="578"/>
      </w:pPr>
      <w:r>
        <w:t>企业厂界环境噪声排放标准》（</w:t>
      </w:r>
      <w:r>
        <w:rPr>
          <w:rFonts w:ascii="Times New Roman" w:eastAsia="Times New Roman"/>
        </w:rPr>
        <w:t>GB12348-2008</w:t>
      </w:r>
      <w:r>
        <w:t>）</w:t>
      </w:r>
      <w:r>
        <w:rPr>
          <w:rFonts w:ascii="Times New Roman" w:eastAsia="Times New Roman"/>
        </w:rPr>
        <w:t xml:space="preserve">2 </w:t>
      </w:r>
      <w:r>
        <w:t>类昼间标准，因此本项目噪声对环境的影响很小。</w:t>
      </w:r>
    </w:p>
    <w:p>
      <w:pPr>
        <w:pStyle w:val="4"/>
        <w:numPr>
          <w:ilvl w:val="2"/>
          <w:numId w:val="67"/>
        </w:numPr>
        <w:tabs>
          <w:tab w:val="left" w:pos="848"/>
        </w:tabs>
        <w:spacing w:before="21" w:after="0" w:line="240" w:lineRule="auto"/>
        <w:ind w:left="847" w:right="0" w:hanging="633"/>
        <w:jc w:val="left"/>
      </w:pPr>
      <w:bookmarkStart w:id="806" w:name="9.4.5声环境影响评价结论"/>
      <w:bookmarkEnd w:id="806"/>
      <w:bookmarkStart w:id="807" w:name="9.4.5声环境影响评价结论"/>
      <w:bookmarkEnd w:id="807"/>
      <w:r>
        <w:t>声环境影响评价结论</w:t>
      </w:r>
    </w:p>
    <w:p>
      <w:pPr>
        <w:pStyle w:val="6"/>
        <w:spacing w:before="3"/>
        <w:rPr>
          <w:b/>
          <w:sz w:val="23"/>
        </w:rPr>
      </w:pPr>
    </w:p>
    <w:p>
      <w:pPr>
        <w:pStyle w:val="6"/>
        <w:ind w:left="696"/>
        <w:rPr>
          <w:rFonts w:ascii="Times New Roman" w:eastAsia="Times New Roman"/>
        </w:rPr>
      </w:pPr>
      <w:r>
        <w:t>工业场地各厂界昼夜间声环境质量均满足《声环境质量标准》（</w:t>
      </w:r>
      <w:r>
        <w:rPr>
          <w:rFonts w:ascii="Times New Roman" w:eastAsia="Times New Roman"/>
        </w:rPr>
        <w:t>GB3096-2008</w:t>
      </w:r>
      <w:r>
        <w:t xml:space="preserve">）中 </w:t>
      </w:r>
      <w:r>
        <w:rPr>
          <w:rFonts w:ascii="Times New Roman" w:eastAsia="Times New Roman"/>
        </w:rPr>
        <w:t>2</w:t>
      </w:r>
    </w:p>
    <w:p>
      <w:pPr>
        <w:pStyle w:val="6"/>
        <w:spacing w:before="132"/>
        <w:ind w:left="215"/>
      </w:pPr>
      <w:r>
        <w:t>类标准的要求。区域内声环境质量良好。</w:t>
      </w:r>
    </w:p>
    <w:p>
      <w:pPr>
        <w:pStyle w:val="6"/>
        <w:spacing w:before="132"/>
        <w:ind w:left="696"/>
      </w:pPr>
      <w:r>
        <w:t>工业场地厂界噪声预测结果表明：项目运行期间工业场地厂界昼夜间噪声排放均满</w:t>
      </w:r>
    </w:p>
    <w:p>
      <w:pPr>
        <w:spacing w:after="0"/>
        <w:sectPr>
          <w:pgSz w:w="11910" w:h="16840"/>
          <w:pgMar w:top="1580" w:right="780" w:bottom="1320" w:left="1200" w:header="0" w:footer="1138" w:gutter="0"/>
        </w:sectPr>
      </w:pPr>
    </w:p>
    <w:p>
      <w:pPr>
        <w:pStyle w:val="6"/>
        <w:spacing w:before="116" w:line="343" w:lineRule="auto"/>
        <w:ind w:left="215" w:right="577"/>
        <w:jc w:val="both"/>
      </w:pPr>
      <w:r>
        <w:rPr>
          <w:spacing w:val="-9"/>
        </w:rPr>
        <w:t>足《工业企业厂界环境噪声排放标准》</w:t>
      </w:r>
      <w:r>
        <w:rPr>
          <w:rFonts w:ascii="Times New Roman" w:eastAsia="Times New Roman"/>
        </w:rPr>
        <w:t xml:space="preserve">2 </w:t>
      </w:r>
      <w:r>
        <w:rPr>
          <w:spacing w:val="-10"/>
        </w:rPr>
        <w:t xml:space="preserve">类区标准，本项目工业场地厂界及周围 </w:t>
      </w:r>
      <w:r>
        <w:rPr>
          <w:rFonts w:ascii="Times New Roman" w:eastAsia="Times New Roman"/>
        </w:rPr>
        <w:t xml:space="preserve">200m </w:t>
      </w:r>
      <w:r>
        <w:rPr>
          <w:spacing w:val="-16"/>
        </w:rPr>
        <w:t>以</w:t>
      </w:r>
      <w:r>
        <w:t>内无敏感目标，对周边环境影响较小。</w:t>
      </w:r>
    </w:p>
    <w:p>
      <w:pPr>
        <w:pStyle w:val="6"/>
        <w:spacing w:before="2" w:line="343" w:lineRule="auto"/>
        <w:ind w:left="215" w:right="580" w:firstLine="480"/>
        <w:jc w:val="both"/>
      </w:pPr>
      <w:r>
        <w:t>本项目产品运输均在昼间进行，矿方加强对运输车辆管理，杜绝超载现象，按期保养车辆保持车辆良好工况，运输车辆在经过沿线敏感目标时控制行驶速度，通过采取以上措施运输沿线公路交通噪声影响是可以接受的。</w:t>
      </w:r>
    </w:p>
    <w:p>
      <w:pPr>
        <w:pStyle w:val="6"/>
        <w:ind w:left="696"/>
      </w:pPr>
      <w:r>
        <w:t>因此，本项目的建设声环境影响可接受。</w:t>
      </w:r>
    </w:p>
    <w:p>
      <w:pPr>
        <w:pStyle w:val="3"/>
        <w:numPr>
          <w:ilvl w:val="1"/>
          <w:numId w:val="67"/>
        </w:numPr>
        <w:tabs>
          <w:tab w:val="left" w:pos="742"/>
        </w:tabs>
        <w:spacing w:before="22" w:after="0" w:line="240" w:lineRule="auto"/>
        <w:ind w:left="741" w:right="0" w:hanging="527"/>
        <w:jc w:val="left"/>
        <w:rPr>
          <w:rFonts w:ascii="Times New Roman" w:eastAsia="Times New Roman"/>
        </w:rPr>
      </w:pPr>
      <w:bookmarkStart w:id="808" w:name="9.5 声环境污染防治措施"/>
      <w:bookmarkEnd w:id="808"/>
      <w:bookmarkStart w:id="809" w:name="_bookmark55"/>
      <w:bookmarkEnd w:id="809"/>
      <w:bookmarkStart w:id="810" w:name="_bookmark55"/>
      <w:bookmarkEnd w:id="810"/>
      <w:r>
        <w:t>声环境污染防治措施</w:t>
      </w:r>
    </w:p>
    <w:p>
      <w:pPr>
        <w:pStyle w:val="13"/>
        <w:numPr>
          <w:ilvl w:val="0"/>
          <w:numId w:val="69"/>
        </w:numPr>
        <w:tabs>
          <w:tab w:val="left" w:pos="1297"/>
        </w:tabs>
        <w:spacing w:before="199" w:after="0" w:line="364" w:lineRule="auto"/>
        <w:ind w:left="215" w:right="578" w:firstLine="480"/>
        <w:jc w:val="both"/>
        <w:rPr>
          <w:sz w:val="24"/>
        </w:rPr>
      </w:pPr>
      <w:r>
        <w:rPr>
          <w:spacing w:val="-5"/>
          <w:sz w:val="24"/>
        </w:rPr>
        <w:t>矿井总平面布置应按照生产区和生活区功能布置原则，对场地内办公区、生</w:t>
      </w:r>
      <w:r>
        <w:rPr>
          <w:spacing w:val="-4"/>
          <w:sz w:val="24"/>
        </w:rPr>
        <w:t>产区和辅助生产区进行合理规划，生活区集中布置。生产区道路两侧和高噪声车间外四周还可种植滞尘、抗污染性较强且枝密叶茂的常绿树种，生活区选用常绿乔木和常绿灌木搭配种植，即可美化环境又可对降低噪声影响起到辅助作用。</w:t>
      </w:r>
    </w:p>
    <w:p>
      <w:pPr>
        <w:pStyle w:val="13"/>
        <w:numPr>
          <w:ilvl w:val="0"/>
          <w:numId w:val="69"/>
        </w:numPr>
        <w:tabs>
          <w:tab w:val="left" w:pos="1297"/>
        </w:tabs>
        <w:spacing w:before="0" w:after="0" w:line="364" w:lineRule="auto"/>
        <w:ind w:left="215" w:right="578" w:firstLine="480"/>
        <w:jc w:val="both"/>
        <w:rPr>
          <w:sz w:val="24"/>
        </w:rPr>
      </w:pPr>
      <w:r>
        <w:rPr>
          <w:spacing w:val="-5"/>
          <w:sz w:val="24"/>
        </w:rPr>
        <w:t>对矿井用各种机电产品选用时，除考虑满足生产工艺技术要求外，还必须考</w:t>
      </w:r>
      <w:r>
        <w:rPr>
          <w:spacing w:val="-4"/>
          <w:sz w:val="24"/>
        </w:rPr>
        <w:t>虑产品应具备良好的声学特征</w:t>
      </w:r>
      <w:r>
        <w:rPr>
          <w:sz w:val="24"/>
        </w:rPr>
        <w:t xml:space="preserve">（高效低噪），向供货制造设备厂方提出限制噪声要求， </w:t>
      </w:r>
      <w:r>
        <w:rPr>
          <w:spacing w:val="-4"/>
          <w:sz w:val="24"/>
        </w:rPr>
        <w:t>否则应与厂方协商提供相配套的降噪设施。</w:t>
      </w:r>
    </w:p>
    <w:p>
      <w:pPr>
        <w:pStyle w:val="13"/>
        <w:numPr>
          <w:ilvl w:val="0"/>
          <w:numId w:val="69"/>
        </w:numPr>
        <w:tabs>
          <w:tab w:val="left" w:pos="1297"/>
        </w:tabs>
        <w:spacing w:before="0" w:after="0" w:line="305" w:lineRule="exact"/>
        <w:ind w:left="1297" w:right="0" w:hanging="601"/>
        <w:jc w:val="left"/>
        <w:rPr>
          <w:sz w:val="24"/>
        </w:rPr>
      </w:pPr>
      <w:r>
        <w:rPr>
          <w:sz w:val="24"/>
        </w:rPr>
        <w:t>对工业场地通风机排风口设置消声扩散塔，并设隔声值班室。</w:t>
      </w:r>
    </w:p>
    <w:p>
      <w:pPr>
        <w:pStyle w:val="13"/>
        <w:numPr>
          <w:ilvl w:val="0"/>
          <w:numId w:val="69"/>
        </w:numPr>
        <w:tabs>
          <w:tab w:val="left" w:pos="1297"/>
        </w:tabs>
        <w:spacing w:before="158" w:after="0" w:line="364" w:lineRule="auto"/>
        <w:ind w:left="215" w:right="458" w:firstLine="480"/>
        <w:jc w:val="left"/>
        <w:rPr>
          <w:sz w:val="24"/>
        </w:rPr>
      </w:pPr>
      <w:r>
        <w:rPr>
          <w:spacing w:val="-11"/>
          <w:sz w:val="24"/>
        </w:rPr>
        <w:t>矿井工业场地的提升机房、压风机房、机修车间的外门、外窗选用隔声型结构</w:t>
      </w:r>
      <w:r>
        <w:rPr>
          <w:spacing w:val="-4"/>
          <w:sz w:val="24"/>
        </w:rPr>
        <w:t>；压风机进风口设阻抗复合消声器，室内设立隔声值班室。</w:t>
      </w:r>
    </w:p>
    <w:p>
      <w:pPr>
        <w:pStyle w:val="13"/>
        <w:numPr>
          <w:ilvl w:val="0"/>
          <w:numId w:val="69"/>
        </w:numPr>
        <w:tabs>
          <w:tab w:val="left" w:pos="1297"/>
        </w:tabs>
        <w:spacing w:before="0" w:after="0" w:line="306" w:lineRule="exact"/>
        <w:ind w:left="1297" w:right="0" w:hanging="601"/>
        <w:jc w:val="left"/>
        <w:rPr>
          <w:sz w:val="24"/>
        </w:rPr>
      </w:pPr>
      <w:r>
        <w:rPr>
          <w:sz w:val="24"/>
        </w:rPr>
        <w:t>对水泵房水泵基础采取减振、阻尼等降噪措施。</w:t>
      </w:r>
    </w:p>
    <w:p>
      <w:pPr>
        <w:pStyle w:val="13"/>
        <w:numPr>
          <w:ilvl w:val="0"/>
          <w:numId w:val="69"/>
        </w:numPr>
        <w:tabs>
          <w:tab w:val="left" w:pos="1297"/>
        </w:tabs>
        <w:spacing w:before="160" w:after="0" w:line="362" w:lineRule="auto"/>
        <w:ind w:left="215" w:right="469" w:firstLine="480"/>
        <w:jc w:val="left"/>
        <w:rPr>
          <w:sz w:val="24"/>
        </w:rPr>
      </w:pPr>
      <w:r>
        <w:rPr>
          <w:spacing w:val="-1"/>
          <w:sz w:val="24"/>
        </w:rPr>
        <w:t>在无法采取隔声、减振、阻尼等降噪措施的作业场所，工作人员应佩戴耳塞、</w:t>
      </w:r>
      <w:r>
        <w:rPr>
          <w:sz w:val="24"/>
        </w:rPr>
        <w:t>耳罩等劳保产品进行个人防护。</w:t>
      </w:r>
    </w:p>
    <w:p>
      <w:pPr>
        <w:pStyle w:val="6"/>
        <w:spacing w:before="5"/>
        <w:ind w:left="696"/>
      </w:pPr>
      <w:r>
        <w:t>通过采取以上措施，运行期声环境影响可接受。</w:t>
      </w:r>
    </w:p>
    <w:p>
      <w:pPr>
        <w:spacing w:after="0"/>
        <w:sectPr>
          <w:pgSz w:w="11910" w:h="16840"/>
          <w:pgMar w:top="1580" w:right="780" w:bottom="1320" w:left="1200" w:header="0" w:footer="1138" w:gutter="0"/>
        </w:sectPr>
      </w:pPr>
    </w:p>
    <w:p>
      <w:pPr>
        <w:pStyle w:val="2"/>
        <w:numPr>
          <w:ilvl w:val="0"/>
          <w:numId w:val="62"/>
        </w:numPr>
        <w:tabs>
          <w:tab w:val="left" w:pos="3202"/>
        </w:tabs>
        <w:spacing w:before="46" w:after="0" w:line="240" w:lineRule="auto"/>
        <w:ind w:left="3201" w:right="360" w:hanging="3202"/>
        <w:jc w:val="left"/>
      </w:pPr>
      <w:bookmarkStart w:id="811" w:name="10.固体废物环境影响分析"/>
      <w:bookmarkEnd w:id="811"/>
      <w:bookmarkStart w:id="812" w:name="_bookmark56"/>
      <w:bookmarkEnd w:id="812"/>
      <w:bookmarkStart w:id="813" w:name="_bookmark56"/>
      <w:bookmarkEnd w:id="813"/>
      <w:r>
        <w:t>固体废物环境影响分析</w:t>
      </w:r>
    </w:p>
    <w:p>
      <w:pPr>
        <w:pStyle w:val="4"/>
        <w:numPr>
          <w:ilvl w:val="1"/>
          <w:numId w:val="70"/>
        </w:numPr>
        <w:tabs>
          <w:tab w:val="left" w:pos="848"/>
        </w:tabs>
        <w:spacing w:before="240" w:after="0" w:line="240" w:lineRule="auto"/>
        <w:ind w:left="847" w:right="0" w:hanging="633"/>
        <w:jc w:val="left"/>
        <w:rPr>
          <w:rFonts w:ascii="Times New Roman" w:eastAsia="Times New Roman"/>
        </w:rPr>
      </w:pPr>
      <w:bookmarkStart w:id="814" w:name="10.1 建设期固体废物的处置"/>
      <w:bookmarkEnd w:id="814"/>
      <w:bookmarkStart w:id="815" w:name="_bookmark57"/>
      <w:bookmarkEnd w:id="815"/>
      <w:bookmarkStart w:id="816" w:name="_bookmark57"/>
      <w:bookmarkEnd w:id="816"/>
      <w:r>
        <w:t>建设期固体废物的处置</w:t>
      </w:r>
    </w:p>
    <w:p>
      <w:pPr>
        <w:pStyle w:val="6"/>
        <w:spacing w:before="186"/>
        <w:ind w:left="696"/>
      </w:pPr>
      <w:r>
        <w:t>施工期固体废物主要为掘进矸石、生活垃圾和施工产生的废渣土。</w:t>
      </w:r>
    </w:p>
    <w:p>
      <w:pPr>
        <w:pStyle w:val="13"/>
        <w:numPr>
          <w:ilvl w:val="2"/>
          <w:numId w:val="70"/>
        </w:numPr>
        <w:tabs>
          <w:tab w:val="left" w:pos="1297"/>
        </w:tabs>
        <w:spacing w:before="158" w:after="0" w:line="362" w:lineRule="auto"/>
        <w:ind w:left="215" w:right="577" w:firstLine="480"/>
        <w:jc w:val="left"/>
        <w:rPr>
          <w:sz w:val="24"/>
        </w:rPr>
      </w:pPr>
      <w:r>
        <w:rPr>
          <w:spacing w:val="-8"/>
          <w:sz w:val="24"/>
        </w:rPr>
        <w:t>施工期产生的废弃的砖块、石块、弃土、淤泥、废渣等建筑垃圾，送往临时矸</w:t>
      </w:r>
      <w:r>
        <w:rPr>
          <w:sz w:val="24"/>
        </w:rPr>
        <w:t>石堆暂存，进行路基回填或对采煤后地表出现的裂缝充填。</w:t>
      </w:r>
    </w:p>
    <w:p>
      <w:pPr>
        <w:pStyle w:val="6"/>
        <w:spacing w:before="5"/>
        <w:ind w:left="696"/>
      </w:pPr>
      <w:r>
        <w:t>剩余部分及时清运。</w:t>
      </w:r>
    </w:p>
    <w:p>
      <w:pPr>
        <w:pStyle w:val="13"/>
        <w:numPr>
          <w:ilvl w:val="2"/>
          <w:numId w:val="70"/>
        </w:numPr>
        <w:tabs>
          <w:tab w:val="left" w:pos="1297"/>
        </w:tabs>
        <w:spacing w:before="160" w:after="0" w:line="240" w:lineRule="auto"/>
        <w:ind w:left="1297" w:right="0" w:hanging="601"/>
        <w:jc w:val="left"/>
        <w:rPr>
          <w:sz w:val="24"/>
        </w:rPr>
      </w:pPr>
      <w:r>
        <w:rPr>
          <w:sz w:val="24"/>
        </w:rPr>
        <w:t>施工期施工人员产生的生活废水排入防渗旱厕。</w:t>
      </w:r>
    </w:p>
    <w:p>
      <w:pPr>
        <w:pStyle w:val="13"/>
        <w:numPr>
          <w:ilvl w:val="2"/>
          <w:numId w:val="70"/>
        </w:numPr>
        <w:tabs>
          <w:tab w:val="left" w:pos="1297"/>
        </w:tabs>
        <w:spacing w:before="158" w:after="0" w:line="364" w:lineRule="auto"/>
        <w:ind w:left="696" w:right="1909" w:firstLine="0"/>
        <w:jc w:val="left"/>
        <w:rPr>
          <w:sz w:val="24"/>
        </w:rPr>
      </w:pPr>
      <w:r>
        <w:rPr>
          <w:spacing w:val="-1"/>
          <w:sz w:val="24"/>
        </w:rPr>
        <w:t>生活垃圾可用垃圾桶集中收集后按市政环卫部门要求统一处理。</w:t>
      </w:r>
      <w:bookmarkStart w:id="817" w:name="采取以上措施后，施工期固体废物可做到100%处置。"/>
      <w:bookmarkEnd w:id="817"/>
      <w:r>
        <w:rPr>
          <w:spacing w:val="-4"/>
          <w:sz w:val="24"/>
        </w:rPr>
        <w:t xml:space="preserve">采取以上措施后，施工期固体废物可做到 </w:t>
      </w:r>
      <w:r>
        <w:rPr>
          <w:rFonts w:ascii="Times New Roman" w:eastAsia="Times New Roman"/>
          <w:sz w:val="24"/>
        </w:rPr>
        <w:t>100%</w:t>
      </w:r>
      <w:r>
        <w:rPr>
          <w:sz w:val="24"/>
        </w:rPr>
        <w:t>处置。</w:t>
      </w:r>
    </w:p>
    <w:p>
      <w:pPr>
        <w:pStyle w:val="4"/>
        <w:numPr>
          <w:ilvl w:val="1"/>
          <w:numId w:val="70"/>
        </w:numPr>
        <w:tabs>
          <w:tab w:val="left" w:pos="848"/>
        </w:tabs>
        <w:spacing w:before="0" w:after="0" w:line="358" w:lineRule="exact"/>
        <w:ind w:left="847" w:right="0" w:hanging="633"/>
        <w:jc w:val="left"/>
        <w:rPr>
          <w:rFonts w:ascii="Times New Roman" w:eastAsia="Times New Roman"/>
        </w:rPr>
      </w:pPr>
      <w:bookmarkStart w:id="818" w:name="10.2 运营期固体废物排放情况与处置措施分析"/>
      <w:bookmarkEnd w:id="818"/>
      <w:bookmarkStart w:id="819" w:name="_bookmark58"/>
      <w:bookmarkEnd w:id="819"/>
      <w:bookmarkStart w:id="820" w:name="_bookmark58"/>
      <w:bookmarkEnd w:id="820"/>
      <w:r>
        <w:t>运营期固体废物排放情况与处置措施分析</w:t>
      </w:r>
    </w:p>
    <w:p>
      <w:pPr>
        <w:pStyle w:val="13"/>
        <w:numPr>
          <w:ilvl w:val="0"/>
          <w:numId w:val="71"/>
        </w:numPr>
        <w:tabs>
          <w:tab w:val="left" w:pos="1297"/>
        </w:tabs>
        <w:spacing w:before="185" w:after="0" w:line="240" w:lineRule="auto"/>
        <w:ind w:left="1297" w:right="0" w:hanging="601"/>
        <w:jc w:val="left"/>
        <w:rPr>
          <w:sz w:val="24"/>
        </w:rPr>
      </w:pPr>
      <w:r>
        <w:rPr>
          <w:sz w:val="24"/>
        </w:rPr>
        <w:t>生活垃圾</w:t>
      </w:r>
    </w:p>
    <w:p>
      <w:pPr>
        <w:pStyle w:val="6"/>
        <w:spacing w:before="161" w:line="362" w:lineRule="auto"/>
        <w:ind w:left="215" w:right="577" w:firstLine="480"/>
      </w:pPr>
      <w:r>
        <w:rPr>
          <w:spacing w:val="-7"/>
        </w:rPr>
        <w:t xml:space="preserve">本项目工作人员为 </w:t>
      </w:r>
      <w:r>
        <w:rPr>
          <w:rFonts w:ascii="Times New Roman" w:hAnsi="Times New Roman" w:eastAsia="Times New Roman"/>
        </w:rPr>
        <w:t xml:space="preserve">665 </w:t>
      </w:r>
      <w:r>
        <w:rPr>
          <w:spacing w:val="-8"/>
        </w:rPr>
        <w:t xml:space="preserve">人，生活垃圾按 </w:t>
      </w:r>
      <w:r>
        <w:rPr>
          <w:rFonts w:ascii="Times New Roman" w:hAnsi="Times New Roman" w:eastAsia="Times New Roman"/>
        </w:rPr>
        <w:t>0.5kg/d</w:t>
      </w:r>
      <w:r>
        <w:t>·</w:t>
      </w:r>
      <w:r>
        <w:rPr>
          <w:spacing w:val="-5"/>
        </w:rPr>
        <w:t xml:space="preserve">人计算，生活垃圾产生量 </w:t>
      </w:r>
      <w:r>
        <w:rPr>
          <w:rFonts w:ascii="Times New Roman" w:hAnsi="Times New Roman" w:eastAsia="Times New Roman"/>
        </w:rPr>
        <w:t>110t/a</w:t>
      </w:r>
      <w:r>
        <w:rPr>
          <w:spacing w:val="-15"/>
        </w:rPr>
        <w:t>。</w:t>
      </w:r>
      <w:r>
        <w:t>生活垃圾集中收集，委托市政部门统一清运。</w:t>
      </w:r>
    </w:p>
    <w:p>
      <w:pPr>
        <w:pStyle w:val="13"/>
        <w:numPr>
          <w:ilvl w:val="0"/>
          <w:numId w:val="71"/>
        </w:numPr>
        <w:tabs>
          <w:tab w:val="left" w:pos="1297"/>
        </w:tabs>
        <w:spacing w:before="5" w:after="0" w:line="240" w:lineRule="auto"/>
        <w:ind w:left="1297" w:right="0" w:hanging="601"/>
        <w:jc w:val="left"/>
        <w:rPr>
          <w:sz w:val="24"/>
        </w:rPr>
      </w:pPr>
      <w:r>
        <w:rPr>
          <w:sz w:val="24"/>
        </w:rPr>
        <w:t>生活污水处理站污泥</w:t>
      </w:r>
    </w:p>
    <w:p>
      <w:pPr>
        <w:pStyle w:val="6"/>
        <w:spacing w:before="158"/>
        <w:ind w:left="696"/>
      </w:pPr>
      <w:r>
        <w:t xml:space="preserve">生活污水处理站产生污泥量约为 </w:t>
      </w:r>
      <w:r>
        <w:rPr>
          <w:rFonts w:ascii="Times New Roman" w:eastAsia="Times New Roman"/>
        </w:rPr>
        <w:t>100t/a</w:t>
      </w:r>
      <w:r>
        <w:t>，由市政部门统一清运。</w:t>
      </w:r>
    </w:p>
    <w:p>
      <w:pPr>
        <w:pStyle w:val="13"/>
        <w:numPr>
          <w:ilvl w:val="0"/>
          <w:numId w:val="71"/>
        </w:numPr>
        <w:tabs>
          <w:tab w:val="left" w:pos="1297"/>
        </w:tabs>
        <w:spacing w:before="160" w:after="0" w:line="240" w:lineRule="auto"/>
        <w:ind w:left="1297" w:right="0" w:hanging="601"/>
        <w:jc w:val="left"/>
        <w:rPr>
          <w:sz w:val="24"/>
        </w:rPr>
      </w:pPr>
      <w:r>
        <w:rPr>
          <w:sz w:val="24"/>
        </w:rPr>
        <w:t>矿井水处理站产生的污泥</w:t>
      </w:r>
    </w:p>
    <w:p>
      <w:pPr>
        <w:pStyle w:val="6"/>
        <w:spacing w:before="159"/>
        <w:ind w:left="696"/>
      </w:pPr>
      <w:r>
        <w:t xml:space="preserve">矿井水污泥主要为矿进水中的煤末，年产生量为 </w:t>
      </w:r>
      <w:r>
        <w:rPr>
          <w:rFonts w:ascii="Times New Roman" w:eastAsia="Times New Roman"/>
        </w:rPr>
        <w:t>1500t/a</w:t>
      </w:r>
      <w:r>
        <w:t>，压滤后外售。</w:t>
      </w:r>
    </w:p>
    <w:p>
      <w:pPr>
        <w:pStyle w:val="13"/>
        <w:numPr>
          <w:ilvl w:val="0"/>
          <w:numId w:val="71"/>
        </w:numPr>
        <w:tabs>
          <w:tab w:val="left" w:pos="1297"/>
        </w:tabs>
        <w:spacing w:before="160" w:after="0" w:line="240" w:lineRule="auto"/>
        <w:ind w:left="1297" w:right="0" w:hanging="601"/>
        <w:jc w:val="left"/>
        <w:rPr>
          <w:sz w:val="24"/>
        </w:rPr>
      </w:pPr>
      <w:r>
        <w:rPr>
          <w:sz w:val="24"/>
        </w:rPr>
        <w:t>炉灰</w:t>
      </w:r>
    </w:p>
    <w:p>
      <w:pPr>
        <w:pStyle w:val="6"/>
        <w:spacing w:before="158" w:line="364" w:lineRule="auto"/>
        <w:ind w:left="215" w:right="578" w:firstLine="480"/>
      </w:pPr>
      <w:r>
        <w:t xml:space="preserve">炉灰为生物质燃料燃烧产生，经计算炉灰产生量约为 </w:t>
      </w:r>
      <w:r>
        <w:rPr>
          <w:rFonts w:ascii="Times New Roman" w:eastAsia="Times New Roman"/>
        </w:rPr>
        <w:t>585t/a</w:t>
      </w:r>
      <w:r>
        <w:t>，锅炉灰渣全部作为农肥原料外售。</w:t>
      </w:r>
    </w:p>
    <w:p>
      <w:pPr>
        <w:pStyle w:val="13"/>
        <w:numPr>
          <w:ilvl w:val="0"/>
          <w:numId w:val="71"/>
        </w:numPr>
        <w:tabs>
          <w:tab w:val="left" w:pos="1297"/>
        </w:tabs>
        <w:spacing w:before="0" w:after="0" w:line="306" w:lineRule="exact"/>
        <w:ind w:left="1297" w:right="0" w:hanging="601"/>
        <w:jc w:val="left"/>
        <w:rPr>
          <w:sz w:val="24"/>
        </w:rPr>
      </w:pPr>
      <w:r>
        <w:rPr>
          <w:sz w:val="24"/>
        </w:rPr>
        <w:t>矸石</w:t>
      </w:r>
    </w:p>
    <w:p>
      <w:pPr>
        <w:pStyle w:val="6"/>
        <w:spacing w:before="161" w:line="364" w:lineRule="auto"/>
        <w:ind w:left="215" w:right="508" w:firstLine="480"/>
      </w:pPr>
      <w:r>
        <w:t xml:space="preserve">初步筛分栈桥产生的矸石按年产能的 </w:t>
      </w:r>
      <w:r>
        <w:rPr>
          <w:rFonts w:ascii="Times New Roman" w:eastAsia="Times New Roman"/>
        </w:rPr>
        <w:t>10%</w:t>
      </w:r>
      <w:r>
        <w:t xml:space="preserve">计，矸石产生量为 </w:t>
      </w:r>
      <w:r>
        <w:rPr>
          <w:rFonts w:ascii="Times New Roman" w:eastAsia="Times New Roman"/>
        </w:rPr>
        <w:t xml:space="preserve">3 </w:t>
      </w:r>
      <w:r>
        <w:t>万吨</w:t>
      </w:r>
      <w:r>
        <w:rPr>
          <w:rFonts w:ascii="Times New Roman" w:eastAsia="Times New Roman"/>
        </w:rPr>
        <w:t>/a</w:t>
      </w:r>
      <w:r>
        <w:t xml:space="preserve">，暂存于矸石临时堆放场，返回井下回填采空工作面，矸石临时堆放场地占地面积 </w:t>
      </w:r>
      <w:r>
        <w:rPr>
          <w:rFonts w:ascii="Times New Roman" w:eastAsia="Times New Roman"/>
        </w:rPr>
        <w:t>8570m</w:t>
      </w:r>
      <w:r>
        <w:rPr>
          <w:rFonts w:ascii="Times New Roman" w:eastAsia="Times New Roman"/>
          <w:position w:val="8"/>
          <w:sz w:val="15"/>
        </w:rPr>
        <w:t>2</w:t>
      </w:r>
      <w:r>
        <w:t>。</w:t>
      </w:r>
    </w:p>
    <w:p>
      <w:pPr>
        <w:pStyle w:val="13"/>
        <w:numPr>
          <w:ilvl w:val="0"/>
          <w:numId w:val="71"/>
        </w:numPr>
        <w:tabs>
          <w:tab w:val="left" w:pos="1297"/>
        </w:tabs>
        <w:spacing w:before="0" w:after="0" w:line="306" w:lineRule="exact"/>
        <w:ind w:left="1297" w:right="0" w:hanging="601"/>
        <w:jc w:val="left"/>
        <w:rPr>
          <w:sz w:val="24"/>
        </w:rPr>
      </w:pPr>
      <w:r>
        <w:rPr>
          <w:sz w:val="24"/>
        </w:rPr>
        <w:t>废机油</w:t>
      </w:r>
    </w:p>
    <w:p>
      <w:pPr>
        <w:pStyle w:val="6"/>
        <w:spacing w:before="160" w:line="362" w:lineRule="auto"/>
        <w:ind w:left="215" w:right="400" w:firstLine="480"/>
      </w:pPr>
      <w:r>
        <w:t xml:space="preserve">本项目废润滑油、废机油等产生量约为 </w:t>
      </w:r>
      <w:r>
        <w:rPr>
          <w:rFonts w:ascii="Times New Roman" w:eastAsia="Times New Roman"/>
        </w:rPr>
        <w:t>0.2t/a</w:t>
      </w:r>
      <w:r>
        <w:t>，在工业场地设置危废暂存库房一座， 由完好无损加盖容器分别储存，定期交由有资质单位进行无害化处置。</w:t>
      </w:r>
    </w:p>
    <w:p>
      <w:pPr>
        <w:pStyle w:val="3"/>
        <w:numPr>
          <w:ilvl w:val="1"/>
          <w:numId w:val="70"/>
        </w:numPr>
        <w:tabs>
          <w:tab w:val="left" w:pos="893"/>
        </w:tabs>
        <w:spacing w:before="5" w:after="0" w:line="240" w:lineRule="auto"/>
        <w:ind w:left="892" w:right="0" w:hanging="678"/>
        <w:jc w:val="left"/>
        <w:rPr>
          <w:rFonts w:ascii="Times New Roman" w:eastAsia="Times New Roman"/>
        </w:rPr>
      </w:pPr>
      <w:bookmarkStart w:id="821" w:name="_bookmark59"/>
      <w:bookmarkEnd w:id="821"/>
      <w:bookmarkStart w:id="822" w:name="_bookmark59"/>
      <w:bookmarkEnd w:id="822"/>
      <w:bookmarkStart w:id="823" w:name="10.3 固体废物环境的影响分析"/>
      <w:bookmarkEnd w:id="823"/>
      <w:r>
        <w:t>固体废物环境的影响分析</w:t>
      </w:r>
    </w:p>
    <w:p>
      <w:pPr>
        <w:pStyle w:val="4"/>
        <w:numPr>
          <w:ilvl w:val="2"/>
          <w:numId w:val="72"/>
        </w:numPr>
        <w:tabs>
          <w:tab w:val="left" w:pos="1056"/>
        </w:tabs>
        <w:spacing w:before="200" w:after="0" w:line="240" w:lineRule="auto"/>
        <w:ind w:left="1056" w:right="0" w:hanging="841"/>
        <w:jc w:val="left"/>
      </w:pPr>
      <w:bookmarkStart w:id="824" w:name="10.3.1 矸石堆存环境影响分析"/>
      <w:bookmarkEnd w:id="824"/>
      <w:bookmarkStart w:id="825" w:name="10.3.1 矸石堆存环境影响分析"/>
      <w:bookmarkEnd w:id="825"/>
      <w:r>
        <w:t>矸石堆存环境影响分析</w:t>
      </w:r>
    </w:p>
    <w:p>
      <w:pPr>
        <w:spacing w:after="0" w:line="240" w:lineRule="auto"/>
        <w:jc w:val="left"/>
        <w:sectPr>
          <w:pgSz w:w="11910" w:h="16840"/>
          <w:pgMar w:top="1540" w:right="780" w:bottom="1320" w:left="1200" w:header="0" w:footer="1138" w:gutter="0"/>
        </w:sectPr>
      </w:pPr>
    </w:p>
    <w:p>
      <w:pPr>
        <w:pStyle w:val="6"/>
        <w:spacing w:before="66" w:line="364" w:lineRule="auto"/>
        <w:ind w:left="215" w:right="578" w:firstLine="480"/>
        <w:jc w:val="both"/>
      </w:pPr>
      <w:r>
        <w:rPr>
          <w:spacing w:val="-8"/>
        </w:rPr>
        <w:t xml:space="preserve">本项目设置面积 </w:t>
      </w:r>
      <w:r>
        <w:rPr>
          <w:rFonts w:ascii="Times New Roman" w:eastAsia="Times New Roman"/>
        </w:rPr>
        <w:t>8570m</w:t>
      </w:r>
      <w:r>
        <w:rPr>
          <w:rFonts w:ascii="Times New Roman" w:eastAsia="Times New Roman"/>
          <w:position w:val="8"/>
          <w:sz w:val="15"/>
        </w:rPr>
        <w:t xml:space="preserve">2 </w:t>
      </w:r>
      <w:r>
        <w:rPr>
          <w:spacing w:val="-12"/>
        </w:rPr>
        <w:t>矸石临时堆放场，项目产生矸石用来平整工业场地；用作公</w:t>
      </w:r>
      <w:r>
        <w:rPr>
          <w:spacing w:val="-1"/>
        </w:rPr>
        <w:t>路的路基石料；用于填沟造地等。矸石排放对环境的影响主要表现在对环境空气、水体等环境要素的影响上，其影响程度与矸石的理化性质、矸石产量、矸石排放场地及处理</w:t>
      </w:r>
      <w:r>
        <w:t>方式有关。</w:t>
      </w:r>
    </w:p>
    <w:p>
      <w:pPr>
        <w:pStyle w:val="13"/>
        <w:numPr>
          <w:ilvl w:val="3"/>
          <w:numId w:val="72"/>
        </w:numPr>
        <w:tabs>
          <w:tab w:val="left" w:pos="1297"/>
        </w:tabs>
        <w:spacing w:before="0" w:after="0" w:line="305" w:lineRule="exact"/>
        <w:ind w:left="1297" w:right="0" w:hanging="601"/>
        <w:jc w:val="left"/>
        <w:rPr>
          <w:sz w:val="24"/>
        </w:rPr>
      </w:pPr>
      <w:r>
        <w:rPr>
          <w:sz w:val="24"/>
        </w:rPr>
        <w:t>矸石自燃的倾向判断和影响</w:t>
      </w:r>
    </w:p>
    <w:p>
      <w:pPr>
        <w:pStyle w:val="6"/>
        <w:spacing w:before="158" w:line="364" w:lineRule="auto"/>
        <w:ind w:left="215" w:right="525" w:firstLine="480"/>
      </w:pPr>
      <w:r>
        <w:rPr>
          <w:spacing w:val="-7"/>
        </w:rPr>
        <w:t xml:space="preserve">生产期矸石产生量 </w:t>
      </w:r>
      <w:r>
        <w:rPr>
          <w:rFonts w:ascii="Times New Roman" w:eastAsia="Times New Roman"/>
        </w:rPr>
        <w:t xml:space="preserve">3 </w:t>
      </w:r>
      <w:r>
        <w:rPr>
          <w:spacing w:val="-30"/>
        </w:rPr>
        <w:t xml:space="preserve">万 </w:t>
      </w:r>
      <w:r>
        <w:rPr>
          <w:rFonts w:ascii="Times New Roman" w:eastAsia="Times New Roman"/>
        </w:rPr>
        <w:t>t/a</w:t>
      </w:r>
      <w:r>
        <w:rPr>
          <w:spacing w:val="-1"/>
        </w:rPr>
        <w:t xml:space="preserve">，矸石产生量较小。矸石临时堆放场在工业场地东南角， </w:t>
      </w:r>
      <w:r>
        <w:rPr>
          <w:spacing w:val="-12"/>
        </w:rPr>
        <w:t xml:space="preserve">占地面积 </w:t>
      </w:r>
      <w:r>
        <w:rPr>
          <w:rFonts w:ascii="Times New Roman" w:eastAsia="Times New Roman"/>
        </w:rPr>
        <w:t>8570m</w:t>
      </w:r>
      <w:r>
        <w:rPr>
          <w:rFonts w:ascii="Times New Roman" w:eastAsia="Times New Roman"/>
          <w:position w:val="8"/>
          <w:sz w:val="15"/>
        </w:rPr>
        <w:t>2</w:t>
      </w:r>
      <w:r>
        <w:t>。</w:t>
      </w:r>
    </w:p>
    <w:p>
      <w:pPr>
        <w:pStyle w:val="6"/>
        <w:spacing w:before="1" w:line="364" w:lineRule="auto"/>
        <w:ind w:left="215" w:right="457" w:firstLine="480"/>
      </w:pPr>
      <w:r>
        <w:t>根据《双鸭山大顺矿业有限公司改扩建煤炭资源开发利用方案》可知，产生的矸石</w:t>
      </w:r>
      <w:r>
        <w:rPr>
          <w:spacing w:val="-9"/>
        </w:rPr>
        <w:t xml:space="preserve">一部分可用于井下采空区的充填，其余部分由 </w:t>
      </w:r>
      <w:r>
        <w:rPr>
          <w:rFonts w:ascii="Times New Roman" w:eastAsia="Times New Roman"/>
        </w:rPr>
        <w:t xml:space="preserve">1t </w:t>
      </w:r>
      <w:r>
        <w:rPr>
          <w:spacing w:val="-11"/>
        </w:rPr>
        <w:t xml:space="preserve">矿车提运出井后，沿窄轨甩车至翻车机， </w:t>
      </w:r>
      <w:r>
        <w:t>翻车机卸矸，然后再由矸石山绞车牵引三面翻矸车运至临时排矸场地。大部分井下矸石及时运出，只有小部分存在矸石场地。矸石在矸石临时堆放场内暂存，定期进行洒水降尘，及时进行井下回填或外运，不长期堆放，因此矸石自燃可能性极小。</w:t>
      </w:r>
    </w:p>
    <w:p>
      <w:pPr>
        <w:pStyle w:val="13"/>
        <w:numPr>
          <w:ilvl w:val="3"/>
          <w:numId w:val="72"/>
        </w:numPr>
        <w:tabs>
          <w:tab w:val="left" w:pos="1297"/>
        </w:tabs>
        <w:spacing w:before="0" w:after="0" w:line="303" w:lineRule="exact"/>
        <w:ind w:left="1297" w:right="0" w:hanging="601"/>
        <w:jc w:val="left"/>
        <w:rPr>
          <w:sz w:val="24"/>
        </w:rPr>
      </w:pPr>
      <w:r>
        <w:rPr>
          <w:sz w:val="24"/>
        </w:rPr>
        <w:t>矸石扬尘对环境污染影响分析</w:t>
      </w:r>
    </w:p>
    <w:p>
      <w:pPr>
        <w:pStyle w:val="6"/>
        <w:spacing w:before="161"/>
        <w:ind w:left="696"/>
      </w:pPr>
      <w:r>
        <w:t>固体物料起尘条件主要取决于其粒度、表面含水量和风速的大小。</w:t>
      </w:r>
    </w:p>
    <w:p>
      <w:pPr>
        <w:pStyle w:val="6"/>
        <w:spacing w:before="158" w:line="364" w:lineRule="auto"/>
        <w:ind w:left="215" w:right="580" w:firstLine="480"/>
      </w:pPr>
      <w:r>
        <w:t>大顺煤矿矸石产生后在矸石临时堆放场暂存，定期洒水降尘，矸石用来平整工业场地；用作公路的路基石料；用于填沟造地，矸石扬尘对周边环境影响较小。</w:t>
      </w:r>
    </w:p>
    <w:p>
      <w:pPr>
        <w:pStyle w:val="13"/>
        <w:numPr>
          <w:ilvl w:val="3"/>
          <w:numId w:val="72"/>
        </w:numPr>
        <w:tabs>
          <w:tab w:val="left" w:pos="1297"/>
        </w:tabs>
        <w:spacing w:before="0" w:after="0" w:line="306" w:lineRule="exact"/>
        <w:ind w:left="1297" w:right="0" w:hanging="601"/>
        <w:jc w:val="left"/>
        <w:rPr>
          <w:sz w:val="24"/>
        </w:rPr>
      </w:pPr>
      <w:r>
        <w:rPr>
          <w:sz w:val="24"/>
        </w:rPr>
        <w:t>矸石淋溶水对水环境的影响</w:t>
      </w:r>
    </w:p>
    <w:p>
      <w:pPr>
        <w:pStyle w:val="6"/>
        <w:spacing w:before="160" w:line="364" w:lineRule="auto"/>
        <w:ind w:left="215" w:right="580" w:firstLine="480"/>
        <w:jc w:val="both"/>
      </w:pPr>
      <w:r>
        <w:t>矸石露天堆放，经降雨淋溶后，可溶解性元素随雨水迁移进入土壤和水体，可能会对土壤、地表水及地下水产生一定的影响。其影响程度取决于矸石成分、淋溶液中污染物的排放情况及所在地的环境地质条件。</w:t>
      </w:r>
    </w:p>
    <w:p>
      <w:pPr>
        <w:pStyle w:val="6"/>
        <w:spacing w:line="364" w:lineRule="auto"/>
        <w:ind w:left="215" w:right="578" w:firstLine="480"/>
        <w:jc w:val="both"/>
      </w:pPr>
      <w:r>
        <w:rPr>
          <w:spacing w:val="-4"/>
        </w:rPr>
        <w:t xml:space="preserve">本次环评采用黑龙江康和检测有限公司于 </w:t>
      </w:r>
      <w:r>
        <w:rPr>
          <w:rFonts w:ascii="Times New Roman" w:eastAsia="Times New Roman"/>
        </w:rPr>
        <w:t xml:space="preserve">2020 </w:t>
      </w:r>
      <w:r>
        <w:rPr>
          <w:spacing w:val="-30"/>
        </w:rPr>
        <w:t xml:space="preserve">年 </w:t>
      </w:r>
      <w:r>
        <w:rPr>
          <w:rFonts w:ascii="Times New Roman" w:eastAsia="Times New Roman"/>
        </w:rPr>
        <w:t xml:space="preserve">6 </w:t>
      </w:r>
      <w:r>
        <w:rPr>
          <w:spacing w:val="-10"/>
        </w:rPr>
        <w:t xml:space="preserve">月进行了矸石浸出实验结果，测试结果如表 </w:t>
      </w:r>
      <w:r>
        <w:rPr>
          <w:rFonts w:ascii="Times New Roman" w:eastAsia="Times New Roman"/>
        </w:rPr>
        <w:t>10.3-1</w:t>
      </w:r>
      <w:r>
        <w:t>。</w:t>
      </w:r>
    </w:p>
    <w:p>
      <w:pPr>
        <w:spacing w:before="0"/>
        <w:ind w:left="2198" w:right="0" w:firstLine="0"/>
        <w:jc w:val="both"/>
        <w:rPr>
          <w:b/>
          <w:sz w:val="21"/>
        </w:rPr>
      </w:pPr>
      <w:r>
        <w:rPr>
          <w:b/>
          <w:sz w:val="21"/>
        </w:rPr>
        <w:t xml:space="preserve">表 </w:t>
      </w:r>
      <w:r>
        <w:rPr>
          <w:rFonts w:ascii="Times New Roman" w:eastAsia="Times New Roman"/>
          <w:b/>
          <w:sz w:val="21"/>
        </w:rPr>
        <w:t xml:space="preserve">10.3-1 </w:t>
      </w:r>
      <w:r>
        <w:rPr>
          <w:b/>
          <w:sz w:val="21"/>
        </w:rPr>
        <w:t>煤矸石浸出液与评价标准对比（单位：</w:t>
      </w:r>
      <w:r>
        <w:rPr>
          <w:rFonts w:ascii="Times New Roman" w:eastAsia="Times New Roman"/>
          <w:b/>
          <w:sz w:val="21"/>
        </w:rPr>
        <w:t>mg/L</w:t>
      </w:r>
      <w:r>
        <w:rPr>
          <w:b/>
          <w:sz w:val="21"/>
        </w:rPr>
        <w:t>）</w:t>
      </w:r>
    </w:p>
    <w:tbl>
      <w:tblPr>
        <w:tblStyle w:val="10"/>
        <w:tblW w:w="0" w:type="auto"/>
        <w:tblInd w:w="21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35"/>
        <w:gridCol w:w="845"/>
        <w:gridCol w:w="966"/>
        <w:gridCol w:w="1817"/>
        <w:gridCol w:w="1595"/>
        <w:gridCol w:w="223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635" w:type="dxa"/>
            <w:vMerge w:val="restart"/>
            <w:tcBorders>
              <w:bottom w:val="single" w:color="000000" w:sz="4" w:space="0"/>
              <w:right w:val="single" w:color="000000" w:sz="4" w:space="0"/>
            </w:tcBorders>
          </w:tcPr>
          <w:p>
            <w:pPr>
              <w:pStyle w:val="14"/>
              <w:jc w:val="left"/>
              <w:rPr>
                <w:b/>
                <w:sz w:val="20"/>
              </w:rPr>
            </w:pPr>
          </w:p>
          <w:p>
            <w:pPr>
              <w:pStyle w:val="14"/>
              <w:ind w:left="110"/>
              <w:jc w:val="left"/>
              <w:rPr>
                <w:sz w:val="21"/>
              </w:rPr>
            </w:pPr>
            <w:r>
              <w:rPr>
                <w:sz w:val="21"/>
              </w:rPr>
              <w:t>矸石样项目</w:t>
            </w:r>
          </w:p>
        </w:tc>
        <w:tc>
          <w:tcPr>
            <w:tcW w:w="1811" w:type="dxa"/>
            <w:gridSpan w:val="2"/>
            <w:tcBorders>
              <w:left w:val="single" w:color="000000" w:sz="4" w:space="0"/>
              <w:bottom w:val="single" w:color="000000" w:sz="4" w:space="0"/>
              <w:right w:val="single" w:color="000000" w:sz="4" w:space="0"/>
            </w:tcBorders>
          </w:tcPr>
          <w:p>
            <w:pPr>
              <w:pStyle w:val="14"/>
              <w:spacing w:before="19"/>
              <w:ind w:left="489"/>
              <w:jc w:val="left"/>
              <w:rPr>
                <w:sz w:val="21"/>
              </w:rPr>
            </w:pPr>
            <w:r>
              <w:rPr>
                <w:sz w:val="21"/>
              </w:rPr>
              <w:t>监测结果</w:t>
            </w:r>
          </w:p>
        </w:tc>
        <w:tc>
          <w:tcPr>
            <w:tcW w:w="1817" w:type="dxa"/>
            <w:vMerge w:val="restart"/>
            <w:tcBorders>
              <w:left w:val="single" w:color="000000" w:sz="4" w:space="0"/>
              <w:bottom w:val="single" w:color="000000" w:sz="4" w:space="0"/>
              <w:right w:val="single" w:color="000000" w:sz="4" w:space="0"/>
            </w:tcBorders>
          </w:tcPr>
          <w:p>
            <w:pPr>
              <w:pStyle w:val="14"/>
              <w:spacing w:line="244" w:lineRule="auto"/>
              <w:ind w:left="72" w:right="54"/>
              <w:rPr>
                <w:sz w:val="21"/>
              </w:rPr>
            </w:pPr>
            <w:r>
              <w:rPr>
                <w:sz w:val="21"/>
              </w:rPr>
              <w:t>危险废物浸出毒性鉴别标准</w:t>
            </w:r>
          </w:p>
          <w:p>
            <w:pPr>
              <w:pStyle w:val="14"/>
              <w:spacing w:line="218" w:lineRule="exact"/>
              <w:ind w:left="72" w:right="50"/>
              <w:rPr>
                <w:rFonts w:ascii="Times New Roman"/>
                <w:sz w:val="21"/>
              </w:rPr>
            </w:pPr>
            <w:r>
              <w:rPr>
                <w:rFonts w:ascii="Times New Roman"/>
                <w:sz w:val="21"/>
              </w:rPr>
              <w:t>(GB5085.3-2007)</w:t>
            </w:r>
          </w:p>
        </w:tc>
        <w:tc>
          <w:tcPr>
            <w:tcW w:w="1595" w:type="dxa"/>
            <w:vMerge w:val="restart"/>
            <w:tcBorders>
              <w:left w:val="single" w:color="000000" w:sz="4" w:space="0"/>
              <w:bottom w:val="single" w:color="000000" w:sz="4" w:space="0"/>
              <w:right w:val="single" w:color="000000" w:sz="4" w:space="0"/>
            </w:tcBorders>
          </w:tcPr>
          <w:p>
            <w:pPr>
              <w:pStyle w:val="14"/>
              <w:spacing w:before="119" w:line="244" w:lineRule="auto"/>
              <w:ind w:left="29" w:right="2" w:firstLine="38"/>
              <w:jc w:val="left"/>
              <w:rPr>
                <w:rFonts w:ascii="Times New Roman" w:eastAsia="Times New Roman"/>
                <w:sz w:val="21"/>
              </w:rPr>
            </w:pPr>
            <w:r>
              <w:rPr>
                <w:sz w:val="21"/>
              </w:rPr>
              <w:t>污水综合排放标准</w:t>
            </w:r>
            <w:r>
              <w:rPr>
                <w:rFonts w:ascii="Times New Roman" w:eastAsia="Times New Roman"/>
                <w:sz w:val="21"/>
              </w:rPr>
              <w:t>(GB8979-1996)</w:t>
            </w:r>
          </w:p>
        </w:tc>
        <w:tc>
          <w:tcPr>
            <w:tcW w:w="2232" w:type="dxa"/>
            <w:vMerge w:val="restart"/>
            <w:tcBorders>
              <w:left w:val="single" w:color="000000" w:sz="4" w:space="0"/>
              <w:bottom w:val="single" w:color="000000" w:sz="4" w:space="0"/>
            </w:tcBorders>
          </w:tcPr>
          <w:p>
            <w:pPr>
              <w:pStyle w:val="14"/>
              <w:spacing w:line="269" w:lineRule="exact"/>
              <w:ind w:left="151" w:right="136"/>
              <w:rPr>
                <w:sz w:val="21"/>
              </w:rPr>
            </w:pPr>
            <w:r>
              <w:rPr>
                <w:sz w:val="21"/>
              </w:rPr>
              <w:t>地下水环境质量标准</w:t>
            </w:r>
          </w:p>
          <w:p>
            <w:pPr>
              <w:pStyle w:val="14"/>
              <w:spacing w:before="1"/>
              <w:ind w:left="151" w:right="127"/>
              <w:rPr>
                <w:rFonts w:ascii="Times New Roman"/>
                <w:sz w:val="21"/>
              </w:rPr>
            </w:pPr>
            <w:r>
              <w:rPr>
                <w:rFonts w:ascii="Times New Roman"/>
                <w:sz w:val="21"/>
              </w:rPr>
              <w:t>(GB/T14848-2017)</w:t>
            </w:r>
          </w:p>
          <w:p>
            <w:pPr>
              <w:pStyle w:val="14"/>
              <w:spacing w:before="2" w:line="253" w:lineRule="exact"/>
              <w:ind w:left="151" w:right="136"/>
              <w:rPr>
                <w:sz w:val="21"/>
              </w:rPr>
            </w:pPr>
            <w:r>
              <w:rPr>
                <w:sz w:val="21"/>
              </w:rPr>
              <w:t>Ⅲ类）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4" w:hRule="atLeast"/>
        </w:trPr>
        <w:tc>
          <w:tcPr>
            <w:tcW w:w="1635" w:type="dxa"/>
            <w:vMerge w:val="continue"/>
            <w:tcBorders>
              <w:top w:val="nil"/>
              <w:bottom w:val="single" w:color="000000" w:sz="4" w:space="0"/>
              <w:right w:val="single" w:color="000000" w:sz="4" w:space="0"/>
            </w:tcBorders>
          </w:tcPr>
          <w:p>
            <w:pPr>
              <w:rPr>
                <w:sz w:val="2"/>
                <w:szCs w:val="2"/>
              </w:rPr>
            </w:pPr>
          </w:p>
        </w:tc>
        <w:tc>
          <w:tcPr>
            <w:tcW w:w="845" w:type="dxa"/>
            <w:tcBorders>
              <w:top w:val="single" w:color="000000" w:sz="4" w:space="0"/>
              <w:left w:val="single" w:color="000000" w:sz="4" w:space="0"/>
              <w:bottom w:val="single" w:color="000000" w:sz="4" w:space="0"/>
              <w:right w:val="single" w:color="000000" w:sz="4" w:space="0"/>
            </w:tcBorders>
          </w:tcPr>
          <w:p>
            <w:pPr>
              <w:pStyle w:val="14"/>
              <w:spacing w:before="95"/>
              <w:ind w:right="199"/>
              <w:jc w:val="right"/>
              <w:rPr>
                <w:sz w:val="21"/>
              </w:rPr>
            </w:pPr>
            <w:r>
              <w:rPr>
                <w:w w:val="95"/>
                <w:sz w:val="21"/>
              </w:rPr>
              <w:t>数值</w:t>
            </w:r>
          </w:p>
        </w:tc>
        <w:tc>
          <w:tcPr>
            <w:tcW w:w="966" w:type="dxa"/>
            <w:tcBorders>
              <w:top w:val="single" w:color="000000" w:sz="4" w:space="0"/>
              <w:left w:val="single" w:color="000000" w:sz="4" w:space="0"/>
              <w:bottom w:val="single" w:color="000000" w:sz="4" w:space="0"/>
              <w:right w:val="single" w:color="000000" w:sz="4" w:space="0"/>
            </w:tcBorders>
          </w:tcPr>
          <w:p>
            <w:pPr>
              <w:pStyle w:val="14"/>
              <w:spacing w:before="95"/>
              <w:ind w:left="151" w:right="134"/>
              <w:rPr>
                <w:sz w:val="21"/>
              </w:rPr>
            </w:pPr>
            <w:r>
              <w:rPr>
                <w:sz w:val="21"/>
              </w:rPr>
              <w:t>单位</w:t>
            </w:r>
          </w:p>
        </w:tc>
        <w:tc>
          <w:tcPr>
            <w:tcW w:w="1817" w:type="dxa"/>
            <w:vMerge w:val="continue"/>
            <w:tcBorders>
              <w:top w:val="nil"/>
              <w:left w:val="single" w:color="000000" w:sz="4" w:space="0"/>
              <w:bottom w:val="single" w:color="000000" w:sz="4" w:space="0"/>
              <w:right w:val="single" w:color="000000" w:sz="4" w:space="0"/>
            </w:tcBorders>
          </w:tcPr>
          <w:p>
            <w:pPr>
              <w:rPr>
                <w:sz w:val="2"/>
                <w:szCs w:val="2"/>
              </w:rPr>
            </w:pPr>
          </w:p>
        </w:tc>
        <w:tc>
          <w:tcPr>
            <w:tcW w:w="1595" w:type="dxa"/>
            <w:vMerge w:val="continue"/>
            <w:tcBorders>
              <w:top w:val="nil"/>
              <w:left w:val="single" w:color="000000" w:sz="4" w:space="0"/>
              <w:bottom w:val="single" w:color="000000" w:sz="4" w:space="0"/>
              <w:right w:val="single" w:color="000000" w:sz="4" w:space="0"/>
            </w:tcBorders>
          </w:tcPr>
          <w:p>
            <w:pPr>
              <w:rPr>
                <w:sz w:val="2"/>
                <w:szCs w:val="2"/>
              </w:rPr>
            </w:pPr>
          </w:p>
        </w:tc>
        <w:tc>
          <w:tcPr>
            <w:tcW w:w="2232"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635" w:type="dxa"/>
            <w:tcBorders>
              <w:top w:val="single" w:color="000000" w:sz="4" w:space="0"/>
              <w:bottom w:val="single" w:color="000000" w:sz="4" w:space="0"/>
              <w:right w:val="single" w:color="000000" w:sz="4" w:space="0"/>
            </w:tcBorders>
          </w:tcPr>
          <w:p>
            <w:pPr>
              <w:pStyle w:val="14"/>
              <w:spacing w:before="33"/>
              <w:ind w:left="204" w:right="183"/>
              <w:rPr>
                <w:rFonts w:ascii="Times New Roman"/>
                <w:sz w:val="21"/>
              </w:rPr>
            </w:pPr>
            <w:r>
              <w:rPr>
                <w:rFonts w:ascii="Times New Roman"/>
                <w:sz w:val="21"/>
              </w:rPr>
              <w:t>pH</w:t>
            </w:r>
          </w:p>
        </w:tc>
        <w:tc>
          <w:tcPr>
            <w:tcW w:w="845" w:type="dxa"/>
            <w:tcBorders>
              <w:top w:val="single" w:color="000000" w:sz="4" w:space="0"/>
              <w:left w:val="single" w:color="000000" w:sz="4" w:space="0"/>
              <w:bottom w:val="single" w:color="000000" w:sz="4" w:space="0"/>
              <w:right w:val="single" w:color="000000" w:sz="4" w:space="0"/>
            </w:tcBorders>
          </w:tcPr>
          <w:p>
            <w:pPr>
              <w:pStyle w:val="14"/>
              <w:spacing w:before="33"/>
              <w:ind w:right="222"/>
              <w:jc w:val="right"/>
              <w:rPr>
                <w:rFonts w:ascii="Times New Roman"/>
                <w:sz w:val="21"/>
              </w:rPr>
            </w:pPr>
            <w:r>
              <w:rPr>
                <w:rFonts w:ascii="Times New Roman"/>
                <w:sz w:val="21"/>
              </w:rPr>
              <w:t>7.23</w:t>
            </w:r>
          </w:p>
        </w:tc>
        <w:tc>
          <w:tcPr>
            <w:tcW w:w="966" w:type="dxa"/>
            <w:tcBorders>
              <w:top w:val="single" w:color="000000" w:sz="4" w:space="0"/>
              <w:left w:val="single" w:color="000000" w:sz="4" w:space="0"/>
              <w:bottom w:val="single" w:color="000000" w:sz="4" w:space="0"/>
              <w:right w:val="single" w:color="000000" w:sz="4" w:space="0"/>
            </w:tcBorders>
          </w:tcPr>
          <w:p>
            <w:pPr>
              <w:pStyle w:val="14"/>
              <w:spacing w:before="19"/>
              <w:ind w:left="151" w:right="134"/>
              <w:rPr>
                <w:sz w:val="21"/>
              </w:rPr>
            </w:pPr>
            <w:r>
              <w:rPr>
                <w:sz w:val="21"/>
              </w:rPr>
              <w:t>无量纲</w:t>
            </w:r>
          </w:p>
        </w:tc>
        <w:tc>
          <w:tcPr>
            <w:tcW w:w="1817" w:type="dxa"/>
            <w:tcBorders>
              <w:top w:val="single" w:color="000000" w:sz="4" w:space="0"/>
              <w:left w:val="single" w:color="000000" w:sz="4" w:space="0"/>
              <w:bottom w:val="single" w:color="000000" w:sz="4" w:space="0"/>
              <w:right w:val="single" w:color="000000" w:sz="4" w:space="0"/>
            </w:tcBorders>
          </w:tcPr>
          <w:p>
            <w:pPr>
              <w:pStyle w:val="14"/>
              <w:spacing w:before="33"/>
              <w:ind w:left="72" w:right="53"/>
              <w:rPr>
                <w:rFonts w:ascii="Times New Roman"/>
                <w:sz w:val="21"/>
              </w:rPr>
            </w:pPr>
            <w:r>
              <w:rPr>
                <w:rFonts w:ascii="Times New Roman"/>
                <w:sz w:val="21"/>
              </w:rPr>
              <w:t>6~9</w:t>
            </w:r>
          </w:p>
        </w:tc>
        <w:tc>
          <w:tcPr>
            <w:tcW w:w="1595" w:type="dxa"/>
            <w:tcBorders>
              <w:top w:val="single" w:color="000000" w:sz="4" w:space="0"/>
              <w:left w:val="single" w:color="000000" w:sz="4" w:space="0"/>
              <w:bottom w:val="single" w:color="000000" w:sz="4" w:space="0"/>
              <w:right w:val="single" w:color="000000" w:sz="4" w:space="0"/>
            </w:tcBorders>
          </w:tcPr>
          <w:p>
            <w:pPr>
              <w:pStyle w:val="14"/>
              <w:spacing w:before="33"/>
              <w:ind w:left="598" w:right="578"/>
              <w:rPr>
                <w:rFonts w:ascii="Times New Roman"/>
                <w:sz w:val="21"/>
              </w:rPr>
            </w:pPr>
            <w:r>
              <w:rPr>
                <w:rFonts w:ascii="Times New Roman"/>
                <w:sz w:val="21"/>
              </w:rPr>
              <w:t>6~9</w:t>
            </w:r>
          </w:p>
        </w:tc>
        <w:tc>
          <w:tcPr>
            <w:tcW w:w="2232" w:type="dxa"/>
            <w:tcBorders>
              <w:top w:val="single" w:color="000000" w:sz="4" w:space="0"/>
              <w:left w:val="single" w:color="000000" w:sz="4" w:space="0"/>
              <w:bottom w:val="single" w:color="000000" w:sz="4" w:space="0"/>
            </w:tcBorders>
          </w:tcPr>
          <w:p>
            <w:pPr>
              <w:pStyle w:val="14"/>
              <w:spacing w:before="33"/>
              <w:ind w:left="151" w:right="130"/>
              <w:rPr>
                <w:rFonts w:ascii="Times New Roman"/>
                <w:sz w:val="21"/>
              </w:rPr>
            </w:pPr>
            <w:r>
              <w:rPr>
                <w:rFonts w:ascii="Times New Roman"/>
                <w:sz w:val="21"/>
              </w:rPr>
              <w:t>6.5~8.5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1635" w:type="dxa"/>
            <w:tcBorders>
              <w:top w:val="single" w:color="000000" w:sz="4" w:space="0"/>
              <w:bottom w:val="single" w:color="000000" w:sz="4" w:space="0"/>
              <w:right w:val="single" w:color="000000" w:sz="4" w:space="0"/>
            </w:tcBorders>
          </w:tcPr>
          <w:p>
            <w:pPr>
              <w:pStyle w:val="14"/>
              <w:spacing w:before="19"/>
              <w:ind w:left="201" w:right="185"/>
              <w:rPr>
                <w:sz w:val="21"/>
              </w:rPr>
            </w:pPr>
            <w:r>
              <w:rPr>
                <w:sz w:val="21"/>
              </w:rPr>
              <w:t>总铜</w:t>
            </w:r>
          </w:p>
        </w:tc>
        <w:tc>
          <w:tcPr>
            <w:tcW w:w="845" w:type="dxa"/>
            <w:tcBorders>
              <w:top w:val="single" w:color="000000" w:sz="4" w:space="0"/>
              <w:left w:val="single" w:color="000000" w:sz="4" w:space="0"/>
              <w:bottom w:val="single" w:color="000000" w:sz="4" w:space="0"/>
              <w:right w:val="single" w:color="000000" w:sz="4" w:space="0"/>
            </w:tcBorders>
          </w:tcPr>
          <w:p>
            <w:pPr>
              <w:pStyle w:val="14"/>
              <w:spacing w:before="33"/>
              <w:ind w:right="162"/>
              <w:jc w:val="right"/>
              <w:rPr>
                <w:rFonts w:ascii="Times New Roman"/>
                <w:sz w:val="21"/>
              </w:rPr>
            </w:pPr>
            <w:r>
              <w:rPr>
                <w:rFonts w:ascii="Times New Roman"/>
                <w:w w:val="95"/>
                <w:sz w:val="21"/>
              </w:rPr>
              <w:t>&lt;0.02</w:t>
            </w:r>
          </w:p>
        </w:tc>
        <w:tc>
          <w:tcPr>
            <w:tcW w:w="966" w:type="dxa"/>
            <w:tcBorders>
              <w:top w:val="single" w:color="000000" w:sz="4" w:space="0"/>
              <w:left w:val="single" w:color="000000" w:sz="4" w:space="0"/>
              <w:bottom w:val="single" w:color="000000" w:sz="4" w:space="0"/>
              <w:right w:val="single" w:color="000000" w:sz="4" w:space="0"/>
            </w:tcBorders>
          </w:tcPr>
          <w:p>
            <w:pPr>
              <w:pStyle w:val="14"/>
              <w:spacing w:before="33"/>
              <w:ind w:left="151" w:right="134"/>
              <w:rPr>
                <w:rFonts w:ascii="Times New Roman"/>
                <w:sz w:val="21"/>
              </w:rPr>
            </w:pPr>
            <w:r>
              <w:rPr>
                <w:rFonts w:ascii="Times New Roman"/>
                <w:sz w:val="21"/>
              </w:rPr>
              <w:t>mg/L</w:t>
            </w:r>
          </w:p>
        </w:tc>
        <w:tc>
          <w:tcPr>
            <w:tcW w:w="1817" w:type="dxa"/>
            <w:tcBorders>
              <w:top w:val="single" w:color="000000" w:sz="4" w:space="0"/>
              <w:left w:val="single" w:color="000000" w:sz="4" w:space="0"/>
              <w:bottom w:val="single" w:color="000000" w:sz="4" w:space="0"/>
              <w:right w:val="single" w:color="000000" w:sz="4" w:space="0"/>
            </w:tcBorders>
          </w:tcPr>
          <w:p>
            <w:pPr>
              <w:pStyle w:val="14"/>
              <w:spacing w:before="33"/>
              <w:ind w:left="72" w:right="51"/>
              <w:rPr>
                <w:rFonts w:ascii="Times New Roman"/>
                <w:sz w:val="21"/>
              </w:rPr>
            </w:pPr>
            <w:r>
              <w:rPr>
                <w:rFonts w:ascii="Times New Roman"/>
                <w:sz w:val="21"/>
              </w:rPr>
              <w:t>100</w:t>
            </w:r>
          </w:p>
        </w:tc>
        <w:tc>
          <w:tcPr>
            <w:tcW w:w="1595" w:type="dxa"/>
            <w:tcBorders>
              <w:top w:val="single" w:color="000000" w:sz="4" w:space="0"/>
              <w:left w:val="single" w:color="000000" w:sz="4" w:space="0"/>
              <w:bottom w:val="single" w:color="000000" w:sz="4" w:space="0"/>
              <w:right w:val="single" w:color="000000" w:sz="4" w:space="0"/>
            </w:tcBorders>
          </w:tcPr>
          <w:p>
            <w:pPr>
              <w:pStyle w:val="14"/>
              <w:spacing w:before="33"/>
              <w:ind w:left="595" w:right="578"/>
              <w:rPr>
                <w:rFonts w:ascii="Times New Roman"/>
                <w:sz w:val="21"/>
              </w:rPr>
            </w:pPr>
            <w:r>
              <w:rPr>
                <w:rFonts w:ascii="Times New Roman"/>
                <w:sz w:val="21"/>
              </w:rPr>
              <w:t>0.5</w:t>
            </w:r>
          </w:p>
        </w:tc>
        <w:tc>
          <w:tcPr>
            <w:tcW w:w="2232" w:type="dxa"/>
            <w:tcBorders>
              <w:top w:val="single" w:color="000000" w:sz="4" w:space="0"/>
              <w:left w:val="single" w:color="000000" w:sz="4" w:space="0"/>
              <w:bottom w:val="single" w:color="000000" w:sz="4" w:space="0"/>
            </w:tcBorders>
          </w:tcPr>
          <w:p>
            <w:pPr>
              <w:pStyle w:val="14"/>
              <w:spacing w:before="33"/>
              <w:ind w:left="151" w:right="135"/>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635" w:type="dxa"/>
            <w:tcBorders>
              <w:top w:val="single" w:color="000000" w:sz="4" w:space="0"/>
              <w:bottom w:val="single" w:color="000000" w:sz="4" w:space="0"/>
              <w:right w:val="single" w:color="000000" w:sz="4" w:space="0"/>
            </w:tcBorders>
          </w:tcPr>
          <w:p>
            <w:pPr>
              <w:pStyle w:val="14"/>
              <w:spacing w:before="19"/>
              <w:ind w:left="201" w:right="185"/>
              <w:rPr>
                <w:sz w:val="21"/>
              </w:rPr>
            </w:pPr>
            <w:r>
              <w:rPr>
                <w:sz w:val="21"/>
              </w:rPr>
              <w:t>总锌</w:t>
            </w:r>
          </w:p>
        </w:tc>
        <w:tc>
          <w:tcPr>
            <w:tcW w:w="845" w:type="dxa"/>
            <w:tcBorders>
              <w:top w:val="single" w:color="000000" w:sz="4" w:space="0"/>
              <w:left w:val="single" w:color="000000" w:sz="4" w:space="0"/>
              <w:bottom w:val="single" w:color="000000" w:sz="4" w:space="0"/>
              <w:right w:val="single" w:color="000000" w:sz="4" w:space="0"/>
            </w:tcBorders>
          </w:tcPr>
          <w:p>
            <w:pPr>
              <w:pStyle w:val="14"/>
              <w:spacing w:before="35"/>
              <w:ind w:right="220"/>
              <w:jc w:val="right"/>
              <w:rPr>
                <w:rFonts w:ascii="Times New Roman"/>
                <w:sz w:val="21"/>
              </w:rPr>
            </w:pPr>
            <w:r>
              <w:rPr>
                <w:rFonts w:ascii="Times New Roman"/>
                <w:sz w:val="21"/>
              </w:rPr>
              <w:t>0.06</w:t>
            </w:r>
          </w:p>
        </w:tc>
        <w:tc>
          <w:tcPr>
            <w:tcW w:w="966" w:type="dxa"/>
            <w:tcBorders>
              <w:top w:val="single" w:color="000000" w:sz="4" w:space="0"/>
              <w:left w:val="single" w:color="000000" w:sz="4" w:space="0"/>
              <w:bottom w:val="single" w:color="000000" w:sz="4" w:space="0"/>
              <w:right w:val="single" w:color="000000" w:sz="4" w:space="0"/>
            </w:tcBorders>
          </w:tcPr>
          <w:p>
            <w:pPr>
              <w:pStyle w:val="14"/>
              <w:spacing w:before="35"/>
              <w:ind w:left="151" w:right="134"/>
              <w:rPr>
                <w:rFonts w:ascii="Times New Roman"/>
                <w:sz w:val="21"/>
              </w:rPr>
            </w:pPr>
            <w:r>
              <w:rPr>
                <w:rFonts w:ascii="Times New Roman"/>
                <w:sz w:val="21"/>
              </w:rPr>
              <w:t>mg/L</w:t>
            </w:r>
          </w:p>
        </w:tc>
        <w:tc>
          <w:tcPr>
            <w:tcW w:w="1817" w:type="dxa"/>
            <w:tcBorders>
              <w:top w:val="single" w:color="000000" w:sz="4" w:space="0"/>
              <w:left w:val="single" w:color="000000" w:sz="4" w:space="0"/>
              <w:bottom w:val="single" w:color="000000" w:sz="4" w:space="0"/>
              <w:right w:val="single" w:color="000000" w:sz="4" w:space="0"/>
            </w:tcBorders>
          </w:tcPr>
          <w:p>
            <w:pPr>
              <w:pStyle w:val="14"/>
              <w:spacing w:before="35"/>
              <w:ind w:left="72" w:right="51"/>
              <w:rPr>
                <w:rFonts w:ascii="Times New Roman"/>
                <w:sz w:val="21"/>
              </w:rPr>
            </w:pPr>
            <w:r>
              <w:rPr>
                <w:rFonts w:ascii="Times New Roman"/>
                <w:sz w:val="21"/>
              </w:rPr>
              <w:t>100</w:t>
            </w:r>
          </w:p>
        </w:tc>
        <w:tc>
          <w:tcPr>
            <w:tcW w:w="1595" w:type="dxa"/>
            <w:tcBorders>
              <w:top w:val="single" w:color="000000" w:sz="4" w:space="0"/>
              <w:left w:val="single" w:color="000000" w:sz="4" w:space="0"/>
              <w:bottom w:val="single" w:color="000000" w:sz="4" w:space="0"/>
              <w:right w:val="single" w:color="000000" w:sz="4" w:space="0"/>
            </w:tcBorders>
          </w:tcPr>
          <w:p>
            <w:pPr>
              <w:pStyle w:val="14"/>
              <w:spacing w:before="35"/>
              <w:ind w:left="595" w:right="578"/>
              <w:rPr>
                <w:rFonts w:ascii="Times New Roman"/>
                <w:sz w:val="21"/>
              </w:rPr>
            </w:pPr>
            <w:r>
              <w:rPr>
                <w:rFonts w:ascii="Times New Roman"/>
                <w:sz w:val="21"/>
              </w:rPr>
              <w:t>2.0</w:t>
            </w:r>
          </w:p>
        </w:tc>
        <w:tc>
          <w:tcPr>
            <w:tcW w:w="2232" w:type="dxa"/>
            <w:tcBorders>
              <w:top w:val="single" w:color="000000" w:sz="4" w:space="0"/>
              <w:left w:val="single" w:color="000000" w:sz="4" w:space="0"/>
              <w:bottom w:val="single" w:color="000000" w:sz="4" w:space="0"/>
            </w:tcBorders>
          </w:tcPr>
          <w:p>
            <w:pPr>
              <w:pStyle w:val="14"/>
              <w:spacing w:before="35"/>
              <w:ind w:left="151" w:right="135"/>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635" w:type="dxa"/>
            <w:tcBorders>
              <w:top w:val="single" w:color="000000" w:sz="4" w:space="0"/>
              <w:bottom w:val="single" w:color="000000" w:sz="4" w:space="0"/>
              <w:right w:val="single" w:color="000000" w:sz="4" w:space="0"/>
            </w:tcBorders>
          </w:tcPr>
          <w:p>
            <w:pPr>
              <w:pStyle w:val="14"/>
              <w:spacing w:before="18"/>
              <w:ind w:left="201" w:right="185"/>
              <w:rPr>
                <w:sz w:val="21"/>
              </w:rPr>
            </w:pPr>
            <w:r>
              <w:rPr>
                <w:sz w:val="21"/>
              </w:rPr>
              <w:t>总镉</w:t>
            </w:r>
          </w:p>
        </w:tc>
        <w:tc>
          <w:tcPr>
            <w:tcW w:w="845" w:type="dxa"/>
            <w:tcBorders>
              <w:top w:val="single" w:color="000000" w:sz="4" w:space="0"/>
              <w:left w:val="single" w:color="000000" w:sz="4" w:space="0"/>
              <w:bottom w:val="single" w:color="000000" w:sz="4" w:space="0"/>
              <w:right w:val="single" w:color="000000" w:sz="4" w:space="0"/>
            </w:tcBorders>
          </w:tcPr>
          <w:p>
            <w:pPr>
              <w:pStyle w:val="14"/>
              <w:spacing w:before="34"/>
              <w:ind w:right="215"/>
              <w:jc w:val="right"/>
              <w:rPr>
                <w:rFonts w:ascii="Times New Roman"/>
                <w:sz w:val="21"/>
              </w:rPr>
            </w:pPr>
            <w:r>
              <w:rPr>
                <w:rFonts w:ascii="Times New Roman"/>
                <w:w w:val="95"/>
                <w:sz w:val="21"/>
              </w:rPr>
              <w:t>&lt;0.6</w:t>
            </w:r>
          </w:p>
        </w:tc>
        <w:tc>
          <w:tcPr>
            <w:tcW w:w="966" w:type="dxa"/>
            <w:tcBorders>
              <w:top w:val="single" w:color="000000" w:sz="4" w:space="0"/>
              <w:left w:val="single" w:color="000000" w:sz="4" w:space="0"/>
              <w:bottom w:val="single" w:color="000000" w:sz="4" w:space="0"/>
              <w:right w:val="single" w:color="000000" w:sz="4" w:space="0"/>
            </w:tcBorders>
          </w:tcPr>
          <w:p>
            <w:pPr>
              <w:pStyle w:val="14"/>
              <w:spacing w:before="34"/>
              <w:ind w:left="149" w:right="134"/>
              <w:rPr>
                <w:rFonts w:ascii="Times New Roman" w:hAnsi="Times New Roman"/>
                <w:sz w:val="21"/>
              </w:rPr>
            </w:pPr>
            <w:r>
              <w:rPr>
                <w:rFonts w:ascii="Times New Roman" w:hAnsi="Times New Roman"/>
                <w:sz w:val="21"/>
              </w:rPr>
              <w:t>μg/L</w:t>
            </w:r>
          </w:p>
        </w:tc>
        <w:tc>
          <w:tcPr>
            <w:tcW w:w="1817" w:type="dxa"/>
            <w:tcBorders>
              <w:top w:val="single" w:color="000000" w:sz="4" w:space="0"/>
              <w:left w:val="single" w:color="000000" w:sz="4" w:space="0"/>
              <w:bottom w:val="single" w:color="000000" w:sz="4" w:space="0"/>
              <w:right w:val="single" w:color="000000" w:sz="4" w:space="0"/>
            </w:tcBorders>
          </w:tcPr>
          <w:p>
            <w:pPr>
              <w:pStyle w:val="14"/>
              <w:spacing w:before="34"/>
              <w:ind w:left="17"/>
              <w:rPr>
                <w:rFonts w:ascii="Times New Roman"/>
                <w:sz w:val="21"/>
              </w:rPr>
            </w:pPr>
            <w:r>
              <w:rPr>
                <w:rFonts w:ascii="Times New Roman"/>
                <w:w w:val="99"/>
                <w:sz w:val="21"/>
              </w:rPr>
              <w:t>1</w:t>
            </w:r>
          </w:p>
        </w:tc>
        <w:tc>
          <w:tcPr>
            <w:tcW w:w="1595" w:type="dxa"/>
            <w:tcBorders>
              <w:top w:val="single" w:color="000000" w:sz="4" w:space="0"/>
              <w:left w:val="single" w:color="000000" w:sz="4" w:space="0"/>
              <w:bottom w:val="single" w:color="000000" w:sz="4" w:space="0"/>
              <w:right w:val="single" w:color="000000" w:sz="4" w:space="0"/>
            </w:tcBorders>
          </w:tcPr>
          <w:p>
            <w:pPr>
              <w:pStyle w:val="14"/>
              <w:spacing w:before="34"/>
              <w:ind w:left="595" w:right="578"/>
              <w:rPr>
                <w:rFonts w:ascii="Times New Roman"/>
                <w:sz w:val="21"/>
              </w:rPr>
            </w:pPr>
            <w:r>
              <w:rPr>
                <w:rFonts w:ascii="Times New Roman"/>
                <w:sz w:val="21"/>
              </w:rPr>
              <w:t>0.1</w:t>
            </w:r>
          </w:p>
        </w:tc>
        <w:tc>
          <w:tcPr>
            <w:tcW w:w="2232" w:type="dxa"/>
            <w:tcBorders>
              <w:top w:val="single" w:color="000000" w:sz="4" w:space="0"/>
              <w:left w:val="single" w:color="000000" w:sz="4" w:space="0"/>
              <w:bottom w:val="single" w:color="000000" w:sz="4" w:space="0"/>
            </w:tcBorders>
          </w:tcPr>
          <w:p>
            <w:pPr>
              <w:pStyle w:val="14"/>
              <w:spacing w:before="34"/>
              <w:ind w:left="151" w:right="132"/>
              <w:rPr>
                <w:rFonts w:ascii="Times New Roman"/>
                <w:sz w:val="21"/>
              </w:rPr>
            </w:pPr>
            <w:r>
              <w:rPr>
                <w:rFonts w:ascii="Times New Roman"/>
                <w:sz w:val="21"/>
              </w:rPr>
              <w:t>0.005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635" w:type="dxa"/>
            <w:tcBorders>
              <w:top w:val="single" w:color="000000" w:sz="4" w:space="0"/>
              <w:bottom w:val="single" w:color="000000" w:sz="4" w:space="0"/>
              <w:right w:val="single" w:color="000000" w:sz="4" w:space="0"/>
            </w:tcBorders>
          </w:tcPr>
          <w:p>
            <w:pPr>
              <w:pStyle w:val="14"/>
              <w:spacing w:before="18"/>
              <w:ind w:left="201" w:right="185"/>
              <w:rPr>
                <w:sz w:val="21"/>
              </w:rPr>
            </w:pPr>
            <w:r>
              <w:rPr>
                <w:sz w:val="21"/>
              </w:rPr>
              <w:t>总铅</w:t>
            </w:r>
          </w:p>
        </w:tc>
        <w:tc>
          <w:tcPr>
            <w:tcW w:w="845" w:type="dxa"/>
            <w:tcBorders>
              <w:top w:val="single" w:color="000000" w:sz="4" w:space="0"/>
              <w:left w:val="single" w:color="000000" w:sz="4" w:space="0"/>
              <w:bottom w:val="single" w:color="000000" w:sz="4" w:space="0"/>
              <w:right w:val="single" w:color="000000" w:sz="4" w:space="0"/>
            </w:tcBorders>
          </w:tcPr>
          <w:p>
            <w:pPr>
              <w:pStyle w:val="14"/>
              <w:spacing w:before="34"/>
              <w:ind w:right="215"/>
              <w:jc w:val="right"/>
              <w:rPr>
                <w:rFonts w:ascii="Times New Roman"/>
                <w:sz w:val="21"/>
              </w:rPr>
            </w:pPr>
            <w:r>
              <w:rPr>
                <w:rFonts w:ascii="Times New Roman"/>
                <w:w w:val="95"/>
                <w:sz w:val="21"/>
              </w:rPr>
              <w:t>&lt;0.9</w:t>
            </w:r>
          </w:p>
        </w:tc>
        <w:tc>
          <w:tcPr>
            <w:tcW w:w="966" w:type="dxa"/>
            <w:tcBorders>
              <w:top w:val="single" w:color="000000" w:sz="4" w:space="0"/>
              <w:left w:val="single" w:color="000000" w:sz="4" w:space="0"/>
              <w:bottom w:val="single" w:color="000000" w:sz="4" w:space="0"/>
              <w:right w:val="single" w:color="000000" w:sz="4" w:space="0"/>
            </w:tcBorders>
          </w:tcPr>
          <w:p>
            <w:pPr>
              <w:pStyle w:val="14"/>
              <w:spacing w:before="34"/>
              <w:ind w:left="149" w:right="134"/>
              <w:rPr>
                <w:rFonts w:ascii="Times New Roman" w:hAnsi="Times New Roman"/>
                <w:sz w:val="21"/>
              </w:rPr>
            </w:pPr>
            <w:r>
              <w:rPr>
                <w:rFonts w:ascii="Times New Roman" w:hAnsi="Times New Roman"/>
                <w:sz w:val="21"/>
              </w:rPr>
              <w:t>μg/L</w:t>
            </w:r>
          </w:p>
        </w:tc>
        <w:tc>
          <w:tcPr>
            <w:tcW w:w="1817" w:type="dxa"/>
            <w:tcBorders>
              <w:top w:val="single" w:color="000000" w:sz="4" w:space="0"/>
              <w:left w:val="single" w:color="000000" w:sz="4" w:space="0"/>
              <w:bottom w:val="single" w:color="000000" w:sz="4" w:space="0"/>
              <w:right w:val="single" w:color="000000" w:sz="4" w:space="0"/>
            </w:tcBorders>
          </w:tcPr>
          <w:p>
            <w:pPr>
              <w:pStyle w:val="14"/>
              <w:spacing w:before="34"/>
              <w:ind w:left="17"/>
              <w:rPr>
                <w:rFonts w:ascii="Times New Roman"/>
                <w:sz w:val="21"/>
              </w:rPr>
            </w:pPr>
            <w:r>
              <w:rPr>
                <w:rFonts w:ascii="Times New Roman"/>
                <w:w w:val="99"/>
                <w:sz w:val="21"/>
              </w:rPr>
              <w:t>5</w:t>
            </w:r>
          </w:p>
        </w:tc>
        <w:tc>
          <w:tcPr>
            <w:tcW w:w="1595" w:type="dxa"/>
            <w:tcBorders>
              <w:top w:val="single" w:color="000000" w:sz="4" w:space="0"/>
              <w:left w:val="single" w:color="000000" w:sz="4" w:space="0"/>
              <w:bottom w:val="single" w:color="000000" w:sz="4" w:space="0"/>
              <w:right w:val="single" w:color="000000" w:sz="4" w:space="0"/>
            </w:tcBorders>
          </w:tcPr>
          <w:p>
            <w:pPr>
              <w:pStyle w:val="14"/>
              <w:spacing w:before="34"/>
              <w:ind w:left="595" w:right="578"/>
              <w:rPr>
                <w:rFonts w:ascii="Times New Roman"/>
                <w:sz w:val="21"/>
              </w:rPr>
            </w:pPr>
            <w:r>
              <w:rPr>
                <w:rFonts w:ascii="Times New Roman"/>
                <w:sz w:val="21"/>
              </w:rPr>
              <w:t>1.0</w:t>
            </w:r>
          </w:p>
        </w:tc>
        <w:tc>
          <w:tcPr>
            <w:tcW w:w="2232" w:type="dxa"/>
            <w:tcBorders>
              <w:top w:val="single" w:color="000000" w:sz="4" w:space="0"/>
              <w:left w:val="single" w:color="000000" w:sz="4" w:space="0"/>
              <w:bottom w:val="single" w:color="000000" w:sz="4" w:space="0"/>
            </w:tcBorders>
          </w:tcPr>
          <w:p>
            <w:pPr>
              <w:pStyle w:val="14"/>
              <w:spacing w:before="34"/>
              <w:ind w:left="151" w:right="130"/>
              <w:rPr>
                <w:rFonts w:ascii="Times New Roman"/>
                <w:sz w:val="21"/>
              </w:rPr>
            </w:pPr>
            <w:r>
              <w:rPr>
                <w:rFonts w:ascii="Times New Roman"/>
                <w:sz w:val="21"/>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635" w:type="dxa"/>
            <w:tcBorders>
              <w:top w:val="single" w:color="000000" w:sz="4" w:space="0"/>
              <w:bottom w:val="single" w:color="000000" w:sz="4" w:space="0"/>
              <w:right w:val="single" w:color="000000" w:sz="4" w:space="0"/>
            </w:tcBorders>
          </w:tcPr>
          <w:p>
            <w:pPr>
              <w:pStyle w:val="14"/>
              <w:spacing w:before="20"/>
              <w:ind w:left="201" w:right="185"/>
              <w:rPr>
                <w:sz w:val="21"/>
              </w:rPr>
            </w:pPr>
            <w:r>
              <w:rPr>
                <w:sz w:val="21"/>
              </w:rPr>
              <w:t>六价铬</w:t>
            </w:r>
          </w:p>
        </w:tc>
        <w:tc>
          <w:tcPr>
            <w:tcW w:w="845" w:type="dxa"/>
            <w:tcBorders>
              <w:top w:val="single" w:color="000000" w:sz="4" w:space="0"/>
              <w:left w:val="single" w:color="000000" w:sz="4" w:space="0"/>
              <w:bottom w:val="single" w:color="000000" w:sz="4" w:space="0"/>
              <w:right w:val="single" w:color="000000" w:sz="4" w:space="0"/>
            </w:tcBorders>
          </w:tcPr>
          <w:p>
            <w:pPr>
              <w:pStyle w:val="14"/>
              <w:spacing w:before="34"/>
              <w:ind w:right="109"/>
              <w:jc w:val="right"/>
              <w:rPr>
                <w:rFonts w:ascii="Times New Roman"/>
                <w:sz w:val="21"/>
              </w:rPr>
            </w:pPr>
            <w:r>
              <w:rPr>
                <w:rFonts w:ascii="Times New Roman"/>
                <w:w w:val="95"/>
                <w:sz w:val="21"/>
              </w:rPr>
              <w:t>&lt;0.004</w:t>
            </w:r>
          </w:p>
        </w:tc>
        <w:tc>
          <w:tcPr>
            <w:tcW w:w="966" w:type="dxa"/>
            <w:tcBorders>
              <w:top w:val="single" w:color="000000" w:sz="4" w:space="0"/>
              <w:left w:val="single" w:color="000000" w:sz="4" w:space="0"/>
              <w:bottom w:val="single" w:color="000000" w:sz="4" w:space="0"/>
              <w:right w:val="single" w:color="000000" w:sz="4" w:space="0"/>
            </w:tcBorders>
          </w:tcPr>
          <w:p>
            <w:pPr>
              <w:pStyle w:val="14"/>
              <w:spacing w:before="34"/>
              <w:ind w:left="151" w:right="134"/>
              <w:rPr>
                <w:rFonts w:ascii="Times New Roman"/>
                <w:sz w:val="21"/>
              </w:rPr>
            </w:pPr>
            <w:r>
              <w:rPr>
                <w:rFonts w:ascii="Times New Roman"/>
                <w:sz w:val="21"/>
              </w:rPr>
              <w:t>mg/L</w:t>
            </w:r>
          </w:p>
        </w:tc>
        <w:tc>
          <w:tcPr>
            <w:tcW w:w="1817" w:type="dxa"/>
            <w:tcBorders>
              <w:top w:val="single" w:color="000000" w:sz="4" w:space="0"/>
              <w:left w:val="single" w:color="000000" w:sz="4" w:space="0"/>
              <w:bottom w:val="single" w:color="000000" w:sz="4" w:space="0"/>
              <w:right w:val="single" w:color="000000" w:sz="4" w:space="0"/>
            </w:tcBorders>
          </w:tcPr>
          <w:p>
            <w:pPr>
              <w:pStyle w:val="14"/>
              <w:spacing w:before="34"/>
              <w:ind w:left="17"/>
              <w:rPr>
                <w:rFonts w:ascii="Times New Roman"/>
                <w:sz w:val="21"/>
              </w:rPr>
            </w:pPr>
            <w:r>
              <w:rPr>
                <w:rFonts w:ascii="Times New Roman"/>
                <w:w w:val="99"/>
                <w:sz w:val="21"/>
              </w:rPr>
              <w:t>5</w:t>
            </w:r>
          </w:p>
        </w:tc>
        <w:tc>
          <w:tcPr>
            <w:tcW w:w="1595" w:type="dxa"/>
            <w:tcBorders>
              <w:top w:val="single" w:color="000000" w:sz="4" w:space="0"/>
              <w:left w:val="single" w:color="000000" w:sz="4" w:space="0"/>
              <w:bottom w:val="single" w:color="000000" w:sz="4" w:space="0"/>
              <w:right w:val="single" w:color="000000" w:sz="4" w:space="0"/>
            </w:tcBorders>
          </w:tcPr>
          <w:p>
            <w:pPr>
              <w:pStyle w:val="14"/>
              <w:spacing w:before="34"/>
              <w:ind w:left="595" w:right="578"/>
              <w:rPr>
                <w:rFonts w:ascii="Times New Roman"/>
                <w:sz w:val="21"/>
              </w:rPr>
            </w:pPr>
            <w:r>
              <w:rPr>
                <w:rFonts w:ascii="Times New Roman"/>
                <w:sz w:val="21"/>
              </w:rPr>
              <w:t>0.5</w:t>
            </w:r>
          </w:p>
        </w:tc>
        <w:tc>
          <w:tcPr>
            <w:tcW w:w="2232" w:type="dxa"/>
            <w:tcBorders>
              <w:top w:val="single" w:color="000000" w:sz="4" w:space="0"/>
              <w:left w:val="single" w:color="000000" w:sz="4" w:space="0"/>
              <w:bottom w:val="single" w:color="000000" w:sz="4" w:space="0"/>
            </w:tcBorders>
          </w:tcPr>
          <w:p>
            <w:pPr>
              <w:pStyle w:val="14"/>
              <w:spacing w:before="34"/>
              <w:ind w:left="151" w:right="130"/>
              <w:rPr>
                <w:rFonts w:ascii="Times New Roman"/>
                <w:sz w:val="21"/>
              </w:rPr>
            </w:pPr>
            <w:r>
              <w:rPr>
                <w:rFonts w:ascii="Times New Roman"/>
                <w:sz w:val="21"/>
              </w:rPr>
              <w:t>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9" w:hRule="atLeast"/>
        </w:trPr>
        <w:tc>
          <w:tcPr>
            <w:tcW w:w="1635" w:type="dxa"/>
            <w:tcBorders>
              <w:top w:val="single" w:color="000000" w:sz="4" w:space="0"/>
              <w:right w:val="single" w:color="000000" w:sz="4" w:space="0"/>
            </w:tcBorders>
          </w:tcPr>
          <w:p>
            <w:pPr>
              <w:pStyle w:val="14"/>
              <w:spacing w:before="19"/>
              <w:ind w:left="204" w:right="183"/>
              <w:rPr>
                <w:sz w:val="21"/>
              </w:rPr>
            </w:pPr>
            <w:r>
              <w:rPr>
                <w:sz w:val="21"/>
              </w:rPr>
              <w:t>总铬</w:t>
            </w:r>
          </w:p>
        </w:tc>
        <w:tc>
          <w:tcPr>
            <w:tcW w:w="845" w:type="dxa"/>
            <w:tcBorders>
              <w:top w:val="single" w:color="000000" w:sz="4" w:space="0"/>
              <w:left w:val="single" w:color="000000" w:sz="4" w:space="0"/>
              <w:right w:val="single" w:color="000000" w:sz="4" w:space="0"/>
            </w:tcBorders>
          </w:tcPr>
          <w:p>
            <w:pPr>
              <w:pStyle w:val="14"/>
              <w:spacing w:before="33"/>
              <w:ind w:right="222"/>
              <w:jc w:val="right"/>
              <w:rPr>
                <w:rFonts w:ascii="Times New Roman"/>
                <w:sz w:val="21"/>
              </w:rPr>
            </w:pPr>
            <w:r>
              <w:rPr>
                <w:rFonts w:ascii="Times New Roman"/>
                <w:sz w:val="21"/>
              </w:rPr>
              <w:t>0.03</w:t>
            </w:r>
          </w:p>
        </w:tc>
        <w:tc>
          <w:tcPr>
            <w:tcW w:w="966" w:type="dxa"/>
            <w:tcBorders>
              <w:top w:val="single" w:color="000000" w:sz="4" w:space="0"/>
              <w:left w:val="single" w:color="000000" w:sz="4" w:space="0"/>
              <w:right w:val="single" w:color="000000" w:sz="4" w:space="0"/>
            </w:tcBorders>
          </w:tcPr>
          <w:p>
            <w:pPr>
              <w:pStyle w:val="14"/>
              <w:spacing w:before="33"/>
              <w:ind w:left="151" w:right="134"/>
              <w:rPr>
                <w:rFonts w:ascii="Times New Roman"/>
                <w:sz w:val="21"/>
              </w:rPr>
            </w:pPr>
            <w:r>
              <w:rPr>
                <w:rFonts w:ascii="Times New Roman"/>
                <w:sz w:val="21"/>
              </w:rPr>
              <w:t>mg/L</w:t>
            </w:r>
          </w:p>
        </w:tc>
        <w:tc>
          <w:tcPr>
            <w:tcW w:w="1817" w:type="dxa"/>
            <w:tcBorders>
              <w:top w:val="single" w:color="000000" w:sz="4" w:space="0"/>
              <w:left w:val="single" w:color="000000" w:sz="4" w:space="0"/>
              <w:right w:val="single" w:color="000000" w:sz="4" w:space="0"/>
            </w:tcBorders>
          </w:tcPr>
          <w:p>
            <w:pPr>
              <w:pStyle w:val="14"/>
              <w:spacing w:before="33"/>
              <w:ind w:left="71" w:right="54"/>
              <w:rPr>
                <w:rFonts w:ascii="Times New Roman"/>
                <w:sz w:val="21"/>
              </w:rPr>
            </w:pPr>
            <w:r>
              <w:rPr>
                <w:rFonts w:ascii="Times New Roman"/>
                <w:sz w:val="21"/>
              </w:rPr>
              <w:t>15</w:t>
            </w:r>
          </w:p>
        </w:tc>
        <w:tc>
          <w:tcPr>
            <w:tcW w:w="1595" w:type="dxa"/>
            <w:tcBorders>
              <w:top w:val="single" w:color="000000" w:sz="4" w:space="0"/>
              <w:left w:val="single" w:color="000000" w:sz="4" w:space="0"/>
              <w:right w:val="single" w:color="000000" w:sz="4" w:space="0"/>
            </w:tcBorders>
          </w:tcPr>
          <w:p>
            <w:pPr>
              <w:pStyle w:val="14"/>
              <w:spacing w:before="33"/>
              <w:ind w:left="595" w:right="578"/>
              <w:rPr>
                <w:rFonts w:ascii="Times New Roman"/>
                <w:sz w:val="21"/>
              </w:rPr>
            </w:pPr>
            <w:r>
              <w:rPr>
                <w:rFonts w:ascii="Times New Roman"/>
                <w:sz w:val="21"/>
              </w:rPr>
              <w:t>1.5</w:t>
            </w:r>
          </w:p>
        </w:tc>
        <w:tc>
          <w:tcPr>
            <w:tcW w:w="2232" w:type="dxa"/>
            <w:tcBorders>
              <w:top w:val="single" w:color="000000" w:sz="4" w:space="0"/>
              <w:left w:val="single" w:color="000000" w:sz="4" w:space="0"/>
            </w:tcBorders>
          </w:tcPr>
          <w:p>
            <w:pPr>
              <w:pStyle w:val="14"/>
              <w:spacing w:before="33"/>
              <w:ind w:left="18"/>
              <w:rPr>
                <w:rFonts w:ascii="Times New Roman"/>
                <w:sz w:val="21"/>
              </w:rPr>
            </w:pPr>
            <w:r>
              <w:rPr>
                <w:rFonts w:ascii="Times New Roman"/>
                <w:w w:val="99"/>
                <w:sz w:val="21"/>
              </w:rPr>
              <w:t>/</w:t>
            </w:r>
          </w:p>
        </w:tc>
      </w:tr>
    </w:tbl>
    <w:p>
      <w:pPr>
        <w:spacing w:after="0"/>
        <w:rPr>
          <w:rFonts w:ascii="Times New Roman"/>
          <w:sz w:val="21"/>
        </w:rPr>
        <w:sectPr>
          <w:footerReference r:id="rId26" w:type="default"/>
          <w:pgSz w:w="11910" w:h="16840"/>
          <w:pgMar w:top="1520" w:right="780" w:bottom="1240" w:left="1200" w:header="0" w:footer="1058" w:gutter="0"/>
          <w:pgNumType w:start="150"/>
        </w:sectPr>
      </w:pPr>
    </w:p>
    <w:tbl>
      <w:tblPr>
        <w:tblStyle w:val="10"/>
        <w:tblW w:w="0" w:type="auto"/>
        <w:tblInd w:w="21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35"/>
        <w:gridCol w:w="845"/>
        <w:gridCol w:w="966"/>
        <w:gridCol w:w="1817"/>
        <w:gridCol w:w="1595"/>
        <w:gridCol w:w="223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635" w:type="dxa"/>
            <w:tcBorders>
              <w:bottom w:val="single" w:color="000000" w:sz="4" w:space="0"/>
              <w:right w:val="single" w:color="000000" w:sz="4" w:space="0"/>
            </w:tcBorders>
          </w:tcPr>
          <w:p>
            <w:pPr>
              <w:pStyle w:val="14"/>
              <w:spacing w:before="19"/>
              <w:ind w:left="204" w:right="185"/>
              <w:rPr>
                <w:rFonts w:ascii="Times New Roman" w:eastAsia="Times New Roman"/>
                <w:sz w:val="21"/>
              </w:rPr>
            </w:pPr>
            <w:r>
              <w:rPr>
                <w:sz w:val="21"/>
              </w:rPr>
              <w:t>汞</w:t>
            </w:r>
            <w:r>
              <w:rPr>
                <w:rFonts w:ascii="Times New Roman" w:eastAsia="Times New Roman"/>
                <w:sz w:val="21"/>
              </w:rPr>
              <w:t>(</w:t>
            </w:r>
            <w:r>
              <w:rPr>
                <w:sz w:val="21"/>
              </w:rPr>
              <w:t>以总汞计</w:t>
            </w:r>
            <w:r>
              <w:rPr>
                <w:rFonts w:ascii="Times New Roman" w:eastAsia="Times New Roman"/>
                <w:sz w:val="21"/>
              </w:rPr>
              <w:t>)</w:t>
            </w:r>
          </w:p>
        </w:tc>
        <w:tc>
          <w:tcPr>
            <w:tcW w:w="845" w:type="dxa"/>
            <w:tcBorders>
              <w:left w:val="single" w:color="000000" w:sz="4" w:space="0"/>
              <w:bottom w:val="single" w:color="000000" w:sz="4" w:space="0"/>
              <w:right w:val="single" w:color="000000" w:sz="4" w:space="0"/>
            </w:tcBorders>
          </w:tcPr>
          <w:p>
            <w:pPr>
              <w:pStyle w:val="14"/>
              <w:spacing w:before="36"/>
              <w:ind w:left="184"/>
              <w:jc w:val="left"/>
              <w:rPr>
                <w:rFonts w:ascii="Times New Roman"/>
                <w:sz w:val="21"/>
              </w:rPr>
            </w:pPr>
            <w:r>
              <w:rPr>
                <w:rFonts w:ascii="Times New Roman"/>
                <w:sz w:val="21"/>
              </w:rPr>
              <w:t>&lt;0.05</w:t>
            </w:r>
          </w:p>
        </w:tc>
        <w:tc>
          <w:tcPr>
            <w:tcW w:w="966" w:type="dxa"/>
            <w:tcBorders>
              <w:left w:val="single" w:color="000000" w:sz="4" w:space="0"/>
              <w:bottom w:val="single" w:color="000000" w:sz="4" w:space="0"/>
              <w:right w:val="single" w:color="000000" w:sz="4" w:space="0"/>
            </w:tcBorders>
          </w:tcPr>
          <w:p>
            <w:pPr>
              <w:pStyle w:val="14"/>
              <w:spacing w:before="36"/>
              <w:ind w:left="285"/>
              <w:jc w:val="left"/>
              <w:rPr>
                <w:rFonts w:ascii="Times New Roman" w:hAnsi="Times New Roman"/>
                <w:sz w:val="21"/>
              </w:rPr>
            </w:pPr>
            <w:r>
              <w:rPr>
                <w:rFonts w:ascii="Times New Roman" w:hAnsi="Times New Roman"/>
                <w:sz w:val="21"/>
              </w:rPr>
              <w:t>μg/L</w:t>
            </w:r>
          </w:p>
        </w:tc>
        <w:tc>
          <w:tcPr>
            <w:tcW w:w="1817" w:type="dxa"/>
            <w:tcBorders>
              <w:left w:val="single" w:color="000000" w:sz="4" w:space="0"/>
              <w:bottom w:val="single" w:color="000000" w:sz="4" w:space="0"/>
              <w:right w:val="single" w:color="000000" w:sz="4" w:space="0"/>
            </w:tcBorders>
          </w:tcPr>
          <w:p>
            <w:pPr>
              <w:pStyle w:val="14"/>
              <w:spacing w:before="36"/>
              <w:ind w:left="71" w:right="54"/>
              <w:rPr>
                <w:rFonts w:ascii="Times New Roman"/>
                <w:sz w:val="21"/>
              </w:rPr>
            </w:pPr>
            <w:r>
              <w:rPr>
                <w:rFonts w:ascii="Times New Roman"/>
                <w:sz w:val="21"/>
              </w:rPr>
              <w:t>0.1</w:t>
            </w:r>
          </w:p>
        </w:tc>
        <w:tc>
          <w:tcPr>
            <w:tcW w:w="1595" w:type="dxa"/>
            <w:tcBorders>
              <w:left w:val="single" w:color="000000" w:sz="4" w:space="0"/>
              <w:bottom w:val="single" w:color="000000" w:sz="4" w:space="0"/>
              <w:right w:val="single" w:color="000000" w:sz="4" w:space="0"/>
            </w:tcBorders>
          </w:tcPr>
          <w:p>
            <w:pPr>
              <w:pStyle w:val="14"/>
              <w:spacing w:before="36"/>
              <w:ind w:left="598" w:right="578"/>
              <w:rPr>
                <w:rFonts w:ascii="Times New Roman"/>
                <w:sz w:val="21"/>
              </w:rPr>
            </w:pPr>
            <w:r>
              <w:rPr>
                <w:rFonts w:ascii="Times New Roman"/>
                <w:sz w:val="21"/>
              </w:rPr>
              <w:t>0.05</w:t>
            </w:r>
          </w:p>
        </w:tc>
        <w:tc>
          <w:tcPr>
            <w:tcW w:w="2232" w:type="dxa"/>
            <w:tcBorders>
              <w:left w:val="single" w:color="000000" w:sz="4" w:space="0"/>
              <w:bottom w:val="single" w:color="000000" w:sz="4" w:space="0"/>
            </w:tcBorders>
          </w:tcPr>
          <w:p>
            <w:pPr>
              <w:pStyle w:val="14"/>
              <w:spacing w:before="36"/>
              <w:ind w:left="151" w:right="132"/>
              <w:rPr>
                <w:rFonts w:ascii="Times New Roman"/>
                <w:sz w:val="21"/>
              </w:rPr>
            </w:pPr>
            <w:r>
              <w:rPr>
                <w:rFonts w:ascii="Times New Roman"/>
                <w:sz w:val="21"/>
              </w:rPr>
              <w:t>0.001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635" w:type="dxa"/>
            <w:tcBorders>
              <w:top w:val="single" w:color="000000" w:sz="4" w:space="0"/>
              <w:bottom w:val="single" w:color="000000" w:sz="4" w:space="0"/>
              <w:right w:val="single" w:color="000000" w:sz="4" w:space="0"/>
            </w:tcBorders>
          </w:tcPr>
          <w:p>
            <w:pPr>
              <w:pStyle w:val="14"/>
              <w:spacing w:before="19"/>
              <w:ind w:left="204" w:right="185"/>
              <w:rPr>
                <w:rFonts w:ascii="Times New Roman" w:eastAsia="Times New Roman"/>
                <w:sz w:val="21"/>
              </w:rPr>
            </w:pPr>
            <w:r>
              <w:rPr>
                <w:sz w:val="21"/>
              </w:rPr>
              <w:t>砷</w:t>
            </w:r>
            <w:r>
              <w:rPr>
                <w:rFonts w:ascii="Times New Roman" w:eastAsia="Times New Roman"/>
                <w:sz w:val="21"/>
              </w:rPr>
              <w:t>(</w:t>
            </w:r>
            <w:r>
              <w:rPr>
                <w:sz w:val="21"/>
              </w:rPr>
              <w:t>以总砷计</w:t>
            </w:r>
            <w:r>
              <w:rPr>
                <w:rFonts w:ascii="Times New Roman" w:eastAsia="Times New Roman"/>
                <w:sz w:val="21"/>
              </w:rPr>
              <w:t>)</w:t>
            </w:r>
          </w:p>
        </w:tc>
        <w:tc>
          <w:tcPr>
            <w:tcW w:w="845" w:type="dxa"/>
            <w:tcBorders>
              <w:top w:val="single" w:color="000000" w:sz="4" w:space="0"/>
              <w:left w:val="single" w:color="000000" w:sz="4" w:space="0"/>
              <w:bottom w:val="single" w:color="000000" w:sz="4" w:space="0"/>
              <w:right w:val="single" w:color="000000" w:sz="4" w:space="0"/>
            </w:tcBorders>
          </w:tcPr>
          <w:p>
            <w:pPr>
              <w:pStyle w:val="14"/>
              <w:spacing w:before="35"/>
              <w:ind w:left="237"/>
              <w:jc w:val="left"/>
              <w:rPr>
                <w:rFonts w:ascii="Times New Roman"/>
                <w:sz w:val="21"/>
              </w:rPr>
            </w:pPr>
            <w:r>
              <w:rPr>
                <w:rFonts w:ascii="Times New Roman"/>
                <w:sz w:val="21"/>
              </w:rPr>
              <w:t>&lt;0.1</w:t>
            </w:r>
          </w:p>
        </w:tc>
        <w:tc>
          <w:tcPr>
            <w:tcW w:w="966" w:type="dxa"/>
            <w:tcBorders>
              <w:top w:val="single" w:color="000000" w:sz="4" w:space="0"/>
              <w:left w:val="single" w:color="000000" w:sz="4" w:space="0"/>
              <w:bottom w:val="single" w:color="000000" w:sz="4" w:space="0"/>
              <w:right w:val="single" w:color="000000" w:sz="4" w:space="0"/>
            </w:tcBorders>
          </w:tcPr>
          <w:p>
            <w:pPr>
              <w:pStyle w:val="14"/>
              <w:spacing w:before="35"/>
              <w:ind w:left="285"/>
              <w:jc w:val="left"/>
              <w:rPr>
                <w:rFonts w:ascii="Times New Roman" w:hAnsi="Times New Roman"/>
                <w:sz w:val="21"/>
              </w:rPr>
            </w:pPr>
            <w:r>
              <w:rPr>
                <w:rFonts w:ascii="Times New Roman" w:hAnsi="Times New Roman"/>
                <w:sz w:val="21"/>
              </w:rPr>
              <w:t>μg/L</w:t>
            </w:r>
          </w:p>
        </w:tc>
        <w:tc>
          <w:tcPr>
            <w:tcW w:w="1817" w:type="dxa"/>
            <w:tcBorders>
              <w:top w:val="single" w:color="000000" w:sz="4" w:space="0"/>
              <w:left w:val="single" w:color="000000" w:sz="4" w:space="0"/>
              <w:bottom w:val="single" w:color="000000" w:sz="4" w:space="0"/>
              <w:right w:val="single" w:color="000000" w:sz="4" w:space="0"/>
            </w:tcBorders>
          </w:tcPr>
          <w:p>
            <w:pPr>
              <w:pStyle w:val="14"/>
              <w:spacing w:before="35"/>
              <w:ind w:left="17"/>
              <w:rPr>
                <w:rFonts w:ascii="Times New Roman"/>
                <w:sz w:val="21"/>
              </w:rPr>
            </w:pPr>
            <w:r>
              <w:rPr>
                <w:rFonts w:ascii="Times New Roman"/>
                <w:w w:val="99"/>
                <w:sz w:val="21"/>
              </w:rPr>
              <w:t>5</w:t>
            </w:r>
          </w:p>
        </w:tc>
        <w:tc>
          <w:tcPr>
            <w:tcW w:w="1595" w:type="dxa"/>
            <w:tcBorders>
              <w:top w:val="single" w:color="000000" w:sz="4" w:space="0"/>
              <w:left w:val="single" w:color="000000" w:sz="4" w:space="0"/>
              <w:bottom w:val="single" w:color="000000" w:sz="4" w:space="0"/>
              <w:right w:val="single" w:color="000000" w:sz="4" w:space="0"/>
            </w:tcBorders>
          </w:tcPr>
          <w:p>
            <w:pPr>
              <w:pStyle w:val="14"/>
              <w:spacing w:before="35"/>
              <w:ind w:left="595" w:right="578"/>
              <w:rPr>
                <w:rFonts w:ascii="Times New Roman"/>
                <w:sz w:val="21"/>
              </w:rPr>
            </w:pPr>
            <w:r>
              <w:rPr>
                <w:rFonts w:ascii="Times New Roman"/>
                <w:sz w:val="21"/>
              </w:rPr>
              <w:t>0.5</w:t>
            </w:r>
          </w:p>
        </w:tc>
        <w:tc>
          <w:tcPr>
            <w:tcW w:w="2232" w:type="dxa"/>
            <w:tcBorders>
              <w:top w:val="single" w:color="000000" w:sz="4" w:space="0"/>
              <w:left w:val="single" w:color="000000" w:sz="4" w:space="0"/>
              <w:bottom w:val="single" w:color="000000" w:sz="4" w:space="0"/>
            </w:tcBorders>
          </w:tcPr>
          <w:p>
            <w:pPr>
              <w:pStyle w:val="14"/>
              <w:spacing w:before="35"/>
              <w:ind w:left="151" w:right="130"/>
              <w:rPr>
                <w:rFonts w:ascii="Times New Roman"/>
                <w:sz w:val="21"/>
              </w:rPr>
            </w:pPr>
            <w:r>
              <w:rPr>
                <w:rFonts w:ascii="Times New Roman"/>
                <w:sz w:val="21"/>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635" w:type="dxa"/>
            <w:tcBorders>
              <w:top w:val="single" w:color="000000" w:sz="4" w:space="0"/>
              <w:bottom w:val="single" w:color="000000" w:sz="4" w:space="0"/>
              <w:right w:val="single" w:color="000000" w:sz="4" w:space="0"/>
            </w:tcBorders>
          </w:tcPr>
          <w:p>
            <w:pPr>
              <w:pStyle w:val="14"/>
              <w:spacing w:before="21"/>
              <w:ind w:left="204" w:right="185"/>
              <w:rPr>
                <w:rFonts w:ascii="Times New Roman" w:eastAsia="Times New Roman"/>
                <w:sz w:val="21"/>
              </w:rPr>
            </w:pPr>
            <w:r>
              <w:rPr>
                <w:sz w:val="21"/>
              </w:rPr>
              <w:t>镍</w:t>
            </w:r>
            <w:r>
              <w:rPr>
                <w:rFonts w:ascii="Times New Roman" w:eastAsia="Times New Roman"/>
                <w:sz w:val="21"/>
              </w:rPr>
              <w:t>(</w:t>
            </w:r>
            <w:r>
              <w:rPr>
                <w:sz w:val="21"/>
              </w:rPr>
              <w:t>以总镍计</w:t>
            </w:r>
            <w:r>
              <w:rPr>
                <w:rFonts w:ascii="Times New Roman" w:eastAsia="Times New Roman"/>
                <w:sz w:val="21"/>
              </w:rPr>
              <w:t>)</w:t>
            </w:r>
          </w:p>
        </w:tc>
        <w:tc>
          <w:tcPr>
            <w:tcW w:w="845" w:type="dxa"/>
            <w:tcBorders>
              <w:top w:val="single" w:color="000000" w:sz="4" w:space="0"/>
              <w:left w:val="single" w:color="000000" w:sz="4" w:space="0"/>
              <w:bottom w:val="single" w:color="000000" w:sz="4" w:space="0"/>
              <w:right w:val="single" w:color="000000" w:sz="4" w:space="0"/>
            </w:tcBorders>
          </w:tcPr>
          <w:p>
            <w:pPr>
              <w:pStyle w:val="14"/>
              <w:spacing w:before="35"/>
              <w:ind w:left="184"/>
              <w:jc w:val="left"/>
              <w:rPr>
                <w:rFonts w:ascii="Times New Roman"/>
                <w:sz w:val="21"/>
              </w:rPr>
            </w:pPr>
            <w:r>
              <w:rPr>
                <w:rFonts w:ascii="Times New Roman"/>
                <w:sz w:val="21"/>
              </w:rPr>
              <w:t>&lt;0.03</w:t>
            </w:r>
          </w:p>
        </w:tc>
        <w:tc>
          <w:tcPr>
            <w:tcW w:w="966" w:type="dxa"/>
            <w:tcBorders>
              <w:top w:val="single" w:color="000000" w:sz="4" w:space="0"/>
              <w:left w:val="single" w:color="000000" w:sz="4" w:space="0"/>
              <w:bottom w:val="single" w:color="000000" w:sz="4" w:space="0"/>
              <w:right w:val="single" w:color="000000" w:sz="4" w:space="0"/>
            </w:tcBorders>
          </w:tcPr>
          <w:p>
            <w:pPr>
              <w:pStyle w:val="14"/>
              <w:spacing w:before="35"/>
              <w:ind w:left="261"/>
              <w:jc w:val="left"/>
              <w:rPr>
                <w:rFonts w:ascii="Times New Roman"/>
                <w:sz w:val="21"/>
              </w:rPr>
            </w:pPr>
            <w:r>
              <w:rPr>
                <w:rFonts w:ascii="Times New Roman"/>
                <w:sz w:val="21"/>
              </w:rPr>
              <w:t>mg/L</w:t>
            </w:r>
          </w:p>
        </w:tc>
        <w:tc>
          <w:tcPr>
            <w:tcW w:w="1817" w:type="dxa"/>
            <w:tcBorders>
              <w:top w:val="single" w:color="000000" w:sz="4" w:space="0"/>
              <w:left w:val="single" w:color="000000" w:sz="4" w:space="0"/>
              <w:bottom w:val="single" w:color="000000" w:sz="4" w:space="0"/>
              <w:right w:val="single" w:color="000000" w:sz="4" w:space="0"/>
            </w:tcBorders>
          </w:tcPr>
          <w:p>
            <w:pPr>
              <w:pStyle w:val="14"/>
              <w:spacing w:before="35"/>
              <w:ind w:left="17"/>
              <w:rPr>
                <w:rFonts w:ascii="Times New Roman"/>
                <w:sz w:val="21"/>
              </w:rPr>
            </w:pPr>
            <w:r>
              <w:rPr>
                <w:rFonts w:ascii="Times New Roman"/>
                <w:w w:val="99"/>
                <w:sz w:val="21"/>
              </w:rPr>
              <w:t>5</w:t>
            </w:r>
          </w:p>
        </w:tc>
        <w:tc>
          <w:tcPr>
            <w:tcW w:w="1595" w:type="dxa"/>
            <w:tcBorders>
              <w:top w:val="single" w:color="000000" w:sz="4" w:space="0"/>
              <w:left w:val="single" w:color="000000" w:sz="4" w:space="0"/>
              <w:bottom w:val="single" w:color="000000" w:sz="4" w:space="0"/>
              <w:right w:val="single" w:color="000000" w:sz="4" w:space="0"/>
            </w:tcBorders>
          </w:tcPr>
          <w:p>
            <w:pPr>
              <w:pStyle w:val="14"/>
              <w:spacing w:before="35"/>
              <w:ind w:left="595" w:right="578"/>
              <w:rPr>
                <w:rFonts w:ascii="Times New Roman"/>
                <w:sz w:val="21"/>
              </w:rPr>
            </w:pPr>
            <w:r>
              <w:rPr>
                <w:rFonts w:ascii="Times New Roman"/>
                <w:sz w:val="21"/>
              </w:rPr>
              <w:t>1.0</w:t>
            </w:r>
          </w:p>
        </w:tc>
        <w:tc>
          <w:tcPr>
            <w:tcW w:w="2232" w:type="dxa"/>
            <w:tcBorders>
              <w:top w:val="single" w:color="000000" w:sz="4" w:space="0"/>
              <w:left w:val="single" w:color="000000" w:sz="4" w:space="0"/>
              <w:bottom w:val="single" w:color="000000" w:sz="4" w:space="0"/>
            </w:tcBorders>
          </w:tcPr>
          <w:p>
            <w:pPr>
              <w:pStyle w:val="14"/>
              <w:spacing w:before="35"/>
              <w:ind w:left="151" w:right="130"/>
              <w:rPr>
                <w:rFonts w:ascii="Times New Roman"/>
                <w:sz w:val="21"/>
              </w:rPr>
            </w:pPr>
            <w:r>
              <w:rPr>
                <w:rFonts w:ascii="Times New Roman"/>
                <w:sz w:val="21"/>
              </w:rPr>
              <w:t>0.02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635" w:type="dxa"/>
            <w:tcBorders>
              <w:top w:val="single" w:color="000000" w:sz="4" w:space="0"/>
              <w:bottom w:val="single" w:color="000000" w:sz="4" w:space="0"/>
              <w:right w:val="single" w:color="000000" w:sz="4" w:space="0"/>
            </w:tcBorders>
          </w:tcPr>
          <w:p>
            <w:pPr>
              <w:pStyle w:val="14"/>
              <w:spacing w:before="21"/>
              <w:ind w:left="204" w:right="185"/>
              <w:rPr>
                <w:rFonts w:ascii="Times New Roman" w:eastAsia="Times New Roman"/>
                <w:sz w:val="21"/>
              </w:rPr>
            </w:pPr>
            <w:r>
              <w:rPr>
                <w:sz w:val="21"/>
              </w:rPr>
              <w:t>铍</w:t>
            </w:r>
            <w:r>
              <w:rPr>
                <w:rFonts w:ascii="Times New Roman" w:eastAsia="Times New Roman"/>
                <w:sz w:val="21"/>
              </w:rPr>
              <w:t>(</w:t>
            </w:r>
            <w:r>
              <w:rPr>
                <w:sz w:val="21"/>
              </w:rPr>
              <w:t>以总铍计</w:t>
            </w:r>
            <w:r>
              <w:rPr>
                <w:rFonts w:ascii="Times New Roman" w:eastAsia="Times New Roman"/>
                <w:sz w:val="21"/>
              </w:rPr>
              <w:t>)</w:t>
            </w:r>
          </w:p>
        </w:tc>
        <w:tc>
          <w:tcPr>
            <w:tcW w:w="845" w:type="dxa"/>
            <w:tcBorders>
              <w:top w:val="single" w:color="000000" w:sz="4" w:space="0"/>
              <w:left w:val="single" w:color="000000" w:sz="4" w:space="0"/>
              <w:bottom w:val="single" w:color="000000" w:sz="4" w:space="0"/>
              <w:right w:val="single" w:color="000000" w:sz="4" w:space="0"/>
            </w:tcBorders>
          </w:tcPr>
          <w:p>
            <w:pPr>
              <w:pStyle w:val="14"/>
              <w:spacing w:before="34"/>
              <w:ind w:left="237"/>
              <w:jc w:val="left"/>
              <w:rPr>
                <w:rFonts w:ascii="Times New Roman"/>
                <w:sz w:val="21"/>
              </w:rPr>
            </w:pPr>
            <w:r>
              <w:rPr>
                <w:rFonts w:ascii="Times New Roman"/>
                <w:sz w:val="21"/>
              </w:rPr>
              <w:t>&lt;0.1</w:t>
            </w:r>
          </w:p>
        </w:tc>
        <w:tc>
          <w:tcPr>
            <w:tcW w:w="966" w:type="dxa"/>
            <w:tcBorders>
              <w:top w:val="single" w:color="000000" w:sz="4" w:space="0"/>
              <w:left w:val="single" w:color="000000" w:sz="4" w:space="0"/>
              <w:bottom w:val="single" w:color="000000" w:sz="4" w:space="0"/>
              <w:right w:val="single" w:color="000000" w:sz="4" w:space="0"/>
            </w:tcBorders>
          </w:tcPr>
          <w:p>
            <w:pPr>
              <w:pStyle w:val="14"/>
              <w:spacing w:before="34"/>
              <w:ind w:left="285"/>
              <w:jc w:val="left"/>
              <w:rPr>
                <w:rFonts w:ascii="Times New Roman" w:hAnsi="Times New Roman"/>
                <w:sz w:val="21"/>
              </w:rPr>
            </w:pPr>
            <w:r>
              <w:rPr>
                <w:rFonts w:ascii="Times New Roman" w:hAnsi="Times New Roman"/>
                <w:sz w:val="21"/>
              </w:rPr>
              <w:t>μg/L</w:t>
            </w:r>
          </w:p>
        </w:tc>
        <w:tc>
          <w:tcPr>
            <w:tcW w:w="1817" w:type="dxa"/>
            <w:tcBorders>
              <w:top w:val="single" w:color="000000" w:sz="4" w:space="0"/>
              <w:left w:val="single" w:color="000000" w:sz="4" w:space="0"/>
              <w:bottom w:val="single" w:color="000000" w:sz="4" w:space="0"/>
              <w:right w:val="single" w:color="000000" w:sz="4" w:space="0"/>
            </w:tcBorders>
          </w:tcPr>
          <w:p>
            <w:pPr>
              <w:pStyle w:val="14"/>
              <w:spacing w:before="34"/>
              <w:ind w:left="72" w:right="51"/>
              <w:rPr>
                <w:rFonts w:ascii="Times New Roman"/>
                <w:sz w:val="21"/>
              </w:rPr>
            </w:pPr>
            <w:r>
              <w:rPr>
                <w:rFonts w:ascii="Times New Roman"/>
                <w:sz w:val="21"/>
              </w:rPr>
              <w:t>0.02</w:t>
            </w:r>
          </w:p>
        </w:tc>
        <w:tc>
          <w:tcPr>
            <w:tcW w:w="1595" w:type="dxa"/>
            <w:tcBorders>
              <w:top w:val="single" w:color="000000" w:sz="4" w:space="0"/>
              <w:left w:val="single" w:color="000000" w:sz="4" w:space="0"/>
              <w:bottom w:val="single" w:color="000000" w:sz="4" w:space="0"/>
              <w:right w:val="single" w:color="000000" w:sz="4" w:space="0"/>
            </w:tcBorders>
          </w:tcPr>
          <w:p>
            <w:pPr>
              <w:pStyle w:val="14"/>
              <w:spacing w:before="34"/>
              <w:ind w:left="19"/>
              <w:rPr>
                <w:rFonts w:ascii="Times New Roman"/>
                <w:sz w:val="21"/>
              </w:rPr>
            </w:pPr>
            <w:r>
              <w:rPr>
                <w:rFonts w:ascii="Times New Roman"/>
                <w:w w:val="99"/>
                <w:sz w:val="21"/>
              </w:rPr>
              <w:t>/</w:t>
            </w:r>
          </w:p>
        </w:tc>
        <w:tc>
          <w:tcPr>
            <w:tcW w:w="2232" w:type="dxa"/>
            <w:tcBorders>
              <w:top w:val="single" w:color="000000" w:sz="4" w:space="0"/>
              <w:left w:val="single" w:color="000000" w:sz="4" w:space="0"/>
              <w:bottom w:val="single" w:color="000000" w:sz="4" w:space="0"/>
            </w:tcBorders>
          </w:tcPr>
          <w:p>
            <w:pPr>
              <w:pStyle w:val="14"/>
              <w:spacing w:before="34"/>
              <w:ind w:left="151" w:right="132"/>
              <w:rPr>
                <w:rFonts w:ascii="Times New Roman"/>
                <w:sz w:val="21"/>
              </w:rPr>
            </w:pPr>
            <w:r>
              <w:rPr>
                <w:rFonts w:ascii="Times New Roman"/>
                <w:sz w:val="21"/>
              </w:rPr>
              <w:t>0.002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635" w:type="dxa"/>
            <w:tcBorders>
              <w:top w:val="single" w:color="000000" w:sz="4" w:space="0"/>
              <w:bottom w:val="single" w:color="000000" w:sz="4" w:space="0"/>
              <w:right w:val="single" w:color="000000" w:sz="4" w:space="0"/>
            </w:tcBorders>
          </w:tcPr>
          <w:p>
            <w:pPr>
              <w:pStyle w:val="14"/>
              <w:spacing w:before="20"/>
              <w:ind w:left="204" w:right="185"/>
              <w:rPr>
                <w:rFonts w:ascii="Times New Roman" w:eastAsia="Times New Roman"/>
                <w:sz w:val="21"/>
              </w:rPr>
            </w:pPr>
            <w:r>
              <w:rPr>
                <w:sz w:val="21"/>
              </w:rPr>
              <w:t>硒</w:t>
            </w:r>
            <w:r>
              <w:rPr>
                <w:rFonts w:ascii="Times New Roman" w:eastAsia="Times New Roman"/>
                <w:sz w:val="21"/>
              </w:rPr>
              <w:t>(</w:t>
            </w:r>
            <w:r>
              <w:rPr>
                <w:sz w:val="21"/>
              </w:rPr>
              <w:t>以总硒计</w:t>
            </w:r>
            <w:r>
              <w:rPr>
                <w:rFonts w:ascii="Times New Roman" w:eastAsia="Times New Roman"/>
                <w:sz w:val="21"/>
              </w:rPr>
              <w:t>)</w:t>
            </w:r>
          </w:p>
        </w:tc>
        <w:tc>
          <w:tcPr>
            <w:tcW w:w="845" w:type="dxa"/>
            <w:tcBorders>
              <w:top w:val="single" w:color="000000" w:sz="4" w:space="0"/>
              <w:left w:val="single" w:color="000000" w:sz="4" w:space="0"/>
              <w:bottom w:val="single" w:color="000000" w:sz="4" w:space="0"/>
              <w:right w:val="single" w:color="000000" w:sz="4" w:space="0"/>
            </w:tcBorders>
          </w:tcPr>
          <w:p>
            <w:pPr>
              <w:pStyle w:val="14"/>
              <w:spacing w:before="34"/>
              <w:ind w:left="237"/>
              <w:jc w:val="left"/>
              <w:rPr>
                <w:rFonts w:ascii="Times New Roman"/>
                <w:sz w:val="21"/>
              </w:rPr>
            </w:pPr>
            <w:r>
              <w:rPr>
                <w:rFonts w:ascii="Times New Roman"/>
                <w:sz w:val="21"/>
              </w:rPr>
              <w:t>&lt;0.2</w:t>
            </w:r>
          </w:p>
        </w:tc>
        <w:tc>
          <w:tcPr>
            <w:tcW w:w="966" w:type="dxa"/>
            <w:tcBorders>
              <w:top w:val="single" w:color="000000" w:sz="4" w:space="0"/>
              <w:left w:val="single" w:color="000000" w:sz="4" w:space="0"/>
              <w:bottom w:val="single" w:color="000000" w:sz="4" w:space="0"/>
              <w:right w:val="single" w:color="000000" w:sz="4" w:space="0"/>
            </w:tcBorders>
          </w:tcPr>
          <w:p>
            <w:pPr>
              <w:pStyle w:val="14"/>
              <w:spacing w:before="34"/>
              <w:ind w:left="285"/>
              <w:jc w:val="left"/>
              <w:rPr>
                <w:rFonts w:ascii="Times New Roman" w:hAnsi="Times New Roman"/>
                <w:sz w:val="21"/>
              </w:rPr>
            </w:pPr>
            <w:r>
              <w:rPr>
                <w:rFonts w:ascii="Times New Roman" w:hAnsi="Times New Roman"/>
                <w:sz w:val="21"/>
              </w:rPr>
              <w:t>μg/L</w:t>
            </w:r>
          </w:p>
        </w:tc>
        <w:tc>
          <w:tcPr>
            <w:tcW w:w="1817" w:type="dxa"/>
            <w:tcBorders>
              <w:top w:val="single" w:color="000000" w:sz="4" w:space="0"/>
              <w:left w:val="single" w:color="000000" w:sz="4" w:space="0"/>
              <w:bottom w:val="single" w:color="000000" w:sz="4" w:space="0"/>
              <w:right w:val="single" w:color="000000" w:sz="4" w:space="0"/>
            </w:tcBorders>
          </w:tcPr>
          <w:p>
            <w:pPr>
              <w:pStyle w:val="14"/>
              <w:spacing w:before="34"/>
              <w:ind w:left="17"/>
              <w:rPr>
                <w:rFonts w:ascii="Times New Roman"/>
                <w:sz w:val="21"/>
              </w:rPr>
            </w:pPr>
            <w:r>
              <w:rPr>
                <w:rFonts w:ascii="Times New Roman"/>
                <w:w w:val="99"/>
                <w:sz w:val="21"/>
              </w:rPr>
              <w:t>1</w:t>
            </w:r>
          </w:p>
        </w:tc>
        <w:tc>
          <w:tcPr>
            <w:tcW w:w="1595" w:type="dxa"/>
            <w:tcBorders>
              <w:top w:val="single" w:color="000000" w:sz="4" w:space="0"/>
              <w:left w:val="single" w:color="000000" w:sz="4" w:space="0"/>
              <w:bottom w:val="single" w:color="000000" w:sz="4" w:space="0"/>
              <w:right w:val="single" w:color="000000" w:sz="4" w:space="0"/>
            </w:tcBorders>
          </w:tcPr>
          <w:p>
            <w:pPr>
              <w:pStyle w:val="14"/>
              <w:spacing w:before="34"/>
              <w:ind w:left="595" w:right="578"/>
              <w:rPr>
                <w:rFonts w:ascii="Times New Roman"/>
                <w:sz w:val="21"/>
              </w:rPr>
            </w:pPr>
            <w:r>
              <w:rPr>
                <w:rFonts w:ascii="Times New Roman"/>
                <w:sz w:val="21"/>
              </w:rPr>
              <w:t>0.1</w:t>
            </w:r>
          </w:p>
        </w:tc>
        <w:tc>
          <w:tcPr>
            <w:tcW w:w="2232" w:type="dxa"/>
            <w:tcBorders>
              <w:top w:val="single" w:color="000000" w:sz="4" w:space="0"/>
              <w:left w:val="single" w:color="000000" w:sz="4" w:space="0"/>
              <w:bottom w:val="single" w:color="000000" w:sz="4" w:space="0"/>
            </w:tcBorders>
          </w:tcPr>
          <w:p>
            <w:pPr>
              <w:pStyle w:val="14"/>
              <w:spacing w:before="34"/>
              <w:ind w:left="151" w:right="130"/>
              <w:rPr>
                <w:rFonts w:ascii="Times New Roman"/>
                <w:sz w:val="21"/>
              </w:rPr>
            </w:pPr>
            <w:r>
              <w:rPr>
                <w:rFonts w:ascii="Times New Roman"/>
                <w:sz w:val="21"/>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1635" w:type="dxa"/>
            <w:tcBorders>
              <w:top w:val="single" w:color="000000" w:sz="4" w:space="0"/>
              <w:right w:val="single" w:color="000000" w:sz="4" w:space="0"/>
            </w:tcBorders>
          </w:tcPr>
          <w:p>
            <w:pPr>
              <w:pStyle w:val="14"/>
              <w:spacing w:before="20"/>
              <w:ind w:left="201" w:right="185"/>
              <w:rPr>
                <w:sz w:val="21"/>
              </w:rPr>
            </w:pPr>
            <w:r>
              <w:rPr>
                <w:sz w:val="21"/>
              </w:rPr>
              <w:t>氟化物</w:t>
            </w:r>
          </w:p>
        </w:tc>
        <w:tc>
          <w:tcPr>
            <w:tcW w:w="845" w:type="dxa"/>
            <w:tcBorders>
              <w:top w:val="single" w:color="000000" w:sz="4" w:space="0"/>
              <w:left w:val="single" w:color="000000" w:sz="4" w:space="0"/>
              <w:right w:val="single" w:color="000000" w:sz="4" w:space="0"/>
            </w:tcBorders>
          </w:tcPr>
          <w:p>
            <w:pPr>
              <w:pStyle w:val="14"/>
              <w:spacing w:before="34"/>
              <w:ind w:left="184"/>
              <w:jc w:val="left"/>
              <w:rPr>
                <w:rFonts w:ascii="Times New Roman"/>
                <w:sz w:val="21"/>
              </w:rPr>
            </w:pPr>
            <w:r>
              <w:rPr>
                <w:rFonts w:ascii="Times New Roman"/>
                <w:sz w:val="21"/>
              </w:rPr>
              <w:t>&lt;0.05</w:t>
            </w:r>
          </w:p>
        </w:tc>
        <w:tc>
          <w:tcPr>
            <w:tcW w:w="966" w:type="dxa"/>
            <w:tcBorders>
              <w:top w:val="single" w:color="000000" w:sz="4" w:space="0"/>
              <w:left w:val="single" w:color="000000" w:sz="4" w:space="0"/>
              <w:right w:val="single" w:color="000000" w:sz="4" w:space="0"/>
            </w:tcBorders>
          </w:tcPr>
          <w:p>
            <w:pPr>
              <w:pStyle w:val="14"/>
              <w:spacing w:before="34"/>
              <w:ind w:left="261"/>
              <w:jc w:val="left"/>
              <w:rPr>
                <w:rFonts w:ascii="Times New Roman"/>
                <w:sz w:val="21"/>
              </w:rPr>
            </w:pPr>
            <w:r>
              <w:rPr>
                <w:rFonts w:ascii="Times New Roman"/>
                <w:sz w:val="21"/>
              </w:rPr>
              <w:t>mg/L</w:t>
            </w:r>
          </w:p>
        </w:tc>
        <w:tc>
          <w:tcPr>
            <w:tcW w:w="1817" w:type="dxa"/>
            <w:tcBorders>
              <w:top w:val="single" w:color="000000" w:sz="4" w:space="0"/>
              <w:left w:val="single" w:color="000000" w:sz="4" w:space="0"/>
              <w:right w:val="single" w:color="000000" w:sz="4" w:space="0"/>
            </w:tcBorders>
          </w:tcPr>
          <w:p>
            <w:pPr>
              <w:pStyle w:val="14"/>
              <w:spacing w:before="34"/>
              <w:ind w:left="72" w:right="51"/>
              <w:rPr>
                <w:rFonts w:ascii="Times New Roman"/>
                <w:sz w:val="21"/>
              </w:rPr>
            </w:pPr>
            <w:r>
              <w:rPr>
                <w:rFonts w:ascii="Times New Roman"/>
                <w:sz w:val="21"/>
              </w:rPr>
              <w:t>100</w:t>
            </w:r>
          </w:p>
        </w:tc>
        <w:tc>
          <w:tcPr>
            <w:tcW w:w="1595" w:type="dxa"/>
            <w:tcBorders>
              <w:top w:val="single" w:color="000000" w:sz="4" w:space="0"/>
              <w:left w:val="single" w:color="000000" w:sz="4" w:space="0"/>
              <w:right w:val="single" w:color="000000" w:sz="4" w:space="0"/>
            </w:tcBorders>
          </w:tcPr>
          <w:p>
            <w:pPr>
              <w:pStyle w:val="14"/>
              <w:spacing w:before="34"/>
              <w:ind w:left="595" w:right="578"/>
              <w:rPr>
                <w:rFonts w:ascii="Times New Roman"/>
                <w:sz w:val="21"/>
              </w:rPr>
            </w:pPr>
            <w:r>
              <w:rPr>
                <w:rFonts w:ascii="Times New Roman"/>
                <w:sz w:val="21"/>
              </w:rPr>
              <w:t>10</w:t>
            </w:r>
          </w:p>
        </w:tc>
        <w:tc>
          <w:tcPr>
            <w:tcW w:w="2232" w:type="dxa"/>
            <w:tcBorders>
              <w:top w:val="single" w:color="000000" w:sz="4" w:space="0"/>
              <w:left w:val="single" w:color="000000" w:sz="4" w:space="0"/>
            </w:tcBorders>
          </w:tcPr>
          <w:p>
            <w:pPr>
              <w:pStyle w:val="14"/>
              <w:spacing w:before="34"/>
              <w:ind w:left="151" w:right="135"/>
              <w:rPr>
                <w:rFonts w:ascii="Times New Roman"/>
                <w:sz w:val="21"/>
              </w:rPr>
            </w:pPr>
            <w:r>
              <w:rPr>
                <w:rFonts w:ascii="Times New Roman"/>
                <w:sz w:val="21"/>
              </w:rPr>
              <w:t>1.0</w:t>
            </w:r>
          </w:p>
        </w:tc>
      </w:tr>
    </w:tbl>
    <w:p>
      <w:pPr>
        <w:spacing w:before="4"/>
        <w:ind w:left="696" w:right="0" w:firstLine="0"/>
        <w:jc w:val="left"/>
        <w:rPr>
          <w:sz w:val="21"/>
        </w:rPr>
      </w:pPr>
      <w:r>
        <w:rPr>
          <w:sz w:val="21"/>
        </w:rPr>
        <w:t>注：“</w:t>
      </w:r>
      <w:r>
        <w:rPr>
          <w:rFonts w:ascii="Times New Roman" w:hAnsi="Times New Roman" w:eastAsia="Times New Roman"/>
          <w:sz w:val="21"/>
        </w:rPr>
        <w:t>&lt;</w:t>
      </w:r>
      <w:r>
        <w:rPr>
          <w:sz w:val="21"/>
        </w:rPr>
        <w:t>”表示低于检出限</w:t>
      </w:r>
    </w:p>
    <w:p>
      <w:pPr>
        <w:pStyle w:val="6"/>
        <w:spacing w:before="10"/>
        <w:rPr>
          <w:sz w:val="19"/>
        </w:rPr>
      </w:pPr>
    </w:p>
    <w:p>
      <w:pPr>
        <w:pStyle w:val="6"/>
        <w:spacing w:line="343" w:lineRule="auto"/>
        <w:ind w:left="215" w:right="571" w:firstLine="480"/>
        <w:jc w:val="both"/>
      </w:pPr>
      <w:r>
        <w:rPr>
          <w:spacing w:val="-16"/>
        </w:rPr>
        <w:t xml:space="preserve">根据表 </w:t>
      </w:r>
      <w:r>
        <w:rPr>
          <w:rFonts w:ascii="Times New Roman" w:hAnsi="Times New Roman" w:eastAsia="Times New Roman"/>
        </w:rPr>
        <w:t xml:space="preserve">10.3-1 </w:t>
      </w:r>
      <w:r>
        <w:rPr>
          <w:spacing w:val="-9"/>
        </w:rPr>
        <w:t xml:space="preserve">的监测结果与 </w:t>
      </w:r>
      <w:r>
        <w:rPr>
          <w:rFonts w:ascii="Times New Roman" w:hAnsi="Times New Roman" w:eastAsia="Times New Roman"/>
        </w:rPr>
        <w:t xml:space="preserve">GB2085.3-2007 </w:t>
      </w:r>
      <w:r>
        <w:rPr>
          <w:spacing w:val="-1"/>
        </w:rPr>
        <w:t xml:space="preserve">最高允许排放浓度对比结果可以看出， </w:t>
      </w:r>
      <w:r>
        <w:rPr>
          <w:spacing w:val="-5"/>
        </w:rPr>
        <w:t xml:space="preserve">本项目矸石不属于危废。根据监测结果，各监测因子均能达到 </w:t>
      </w:r>
      <w:r>
        <w:rPr>
          <w:rFonts w:ascii="Times New Roman" w:hAnsi="Times New Roman" w:eastAsia="Times New Roman"/>
        </w:rPr>
        <w:t xml:space="preserve">GB/T8978-1996 </w:t>
      </w:r>
      <w:r>
        <w:t>中Ⅰ类排放要求，大顺煤矿矸石属于Ⅰ类工业固体废物。</w:t>
      </w:r>
    </w:p>
    <w:p>
      <w:pPr>
        <w:pStyle w:val="6"/>
        <w:spacing w:before="1" w:line="343" w:lineRule="auto"/>
        <w:ind w:left="215" w:right="458" w:firstLine="480"/>
      </w:pPr>
      <w:r>
        <w:rPr>
          <w:spacing w:val="-21"/>
        </w:rPr>
        <w:t xml:space="preserve">由表 </w:t>
      </w:r>
      <w:r>
        <w:rPr>
          <w:rFonts w:ascii="Times New Roman" w:hAnsi="Times New Roman" w:eastAsia="Times New Roman"/>
        </w:rPr>
        <w:t xml:space="preserve">10.3-1 </w:t>
      </w:r>
      <w:r>
        <w:rPr>
          <w:spacing w:val="-13"/>
        </w:rPr>
        <w:t>可以看出，矸石水浸出液的各项分析指标相对于《地下水环境质量标准》</w:t>
      </w:r>
      <w:r>
        <w:rPr>
          <w:spacing w:val="-11"/>
        </w:rPr>
        <w:t xml:space="preserve">Ⅲ类标准来说，均满足《地下水环境质量标准》Ⅲ类水质要求。在上述矸石淋溶试验中， </w:t>
      </w:r>
      <w:r>
        <w:t>矸石的淋溶是在矸石被充分浸泡的状态下进行的，是矸石成分最大限度的浸出状态。本项目矸石直接回填井下，矸石自然淋溶后一般达不到充分浸泡的状态，污染物浓度值要比试验值小得多，淋溶水下渗的速度也较慢，因此矸石自然淋溶将不会对周围水体有影</w:t>
      </w:r>
    </w:p>
    <w:p>
      <w:pPr>
        <w:pStyle w:val="6"/>
        <w:spacing w:line="307" w:lineRule="exact"/>
        <w:ind w:left="215"/>
      </w:pPr>
      <w:r>
        <w:t>响，矸石淋溶水对地下水的影响很小。</w:t>
      </w:r>
    </w:p>
    <w:p>
      <w:pPr>
        <w:pStyle w:val="4"/>
        <w:numPr>
          <w:ilvl w:val="2"/>
          <w:numId w:val="72"/>
        </w:numPr>
        <w:tabs>
          <w:tab w:val="left" w:pos="1056"/>
        </w:tabs>
        <w:spacing w:before="22" w:after="0" w:line="240" w:lineRule="auto"/>
        <w:ind w:left="1056" w:right="0" w:hanging="841"/>
        <w:jc w:val="left"/>
      </w:pPr>
      <w:bookmarkStart w:id="826" w:name="10.3.2 其它固体废物环境影响分析"/>
      <w:bookmarkEnd w:id="826"/>
      <w:bookmarkStart w:id="827" w:name="10.3.2 其它固体废物环境影响分析"/>
      <w:bookmarkEnd w:id="827"/>
      <w:r>
        <w:t>其它固体废物环境影响分析</w:t>
      </w:r>
    </w:p>
    <w:p>
      <w:pPr>
        <w:pStyle w:val="6"/>
        <w:spacing w:before="185"/>
        <w:ind w:left="698"/>
      </w:pPr>
      <w:r>
        <w:t>本项目产生生活垃圾集中收集按环卫部门要求统一处理；</w:t>
      </w:r>
    </w:p>
    <w:p>
      <w:pPr>
        <w:pStyle w:val="6"/>
        <w:spacing w:before="160"/>
        <w:ind w:left="698"/>
      </w:pPr>
      <w:r>
        <w:t>矸石用来平整工业场地；用作公路的路基石料；用于填沟造地；</w:t>
      </w:r>
    </w:p>
    <w:p>
      <w:pPr>
        <w:pStyle w:val="6"/>
        <w:spacing w:before="159" w:line="364" w:lineRule="auto"/>
        <w:ind w:left="698" w:right="1658"/>
      </w:pPr>
      <w:r>
        <w:t xml:space="preserve">矿井水污泥主要为矿进水中的煤末，年产生量为 </w:t>
      </w:r>
      <w:r>
        <w:rPr>
          <w:rFonts w:ascii="Times New Roman" w:eastAsia="Times New Roman"/>
        </w:rPr>
        <w:t>1500t/a</w:t>
      </w:r>
      <w:r>
        <w:t>，压滤后外售； 废机油委托有资质的单位处理；</w:t>
      </w:r>
    </w:p>
    <w:p>
      <w:pPr>
        <w:pStyle w:val="6"/>
        <w:spacing w:line="306" w:lineRule="exact"/>
        <w:ind w:left="698"/>
      </w:pPr>
      <w:r>
        <w:t xml:space="preserve">本项目服务期固体废物处理率达 </w:t>
      </w:r>
      <w:r>
        <w:rPr>
          <w:rFonts w:ascii="Times New Roman" w:eastAsia="Times New Roman"/>
        </w:rPr>
        <w:t>100%</w:t>
      </w:r>
      <w:r>
        <w:t>，对外环境影响较小。</w:t>
      </w:r>
    </w:p>
    <w:p>
      <w:pPr>
        <w:pStyle w:val="3"/>
        <w:numPr>
          <w:ilvl w:val="1"/>
          <w:numId w:val="70"/>
        </w:numPr>
        <w:tabs>
          <w:tab w:val="left" w:pos="893"/>
        </w:tabs>
        <w:spacing w:before="160" w:after="0" w:line="240" w:lineRule="auto"/>
        <w:ind w:left="892" w:right="0" w:hanging="678"/>
        <w:jc w:val="left"/>
        <w:rPr>
          <w:rFonts w:ascii="Times New Roman" w:eastAsia="Times New Roman"/>
        </w:rPr>
      </w:pPr>
      <w:bookmarkStart w:id="828" w:name="_bookmark60"/>
      <w:bookmarkEnd w:id="828"/>
      <w:bookmarkStart w:id="829" w:name="_bookmark60"/>
      <w:bookmarkEnd w:id="829"/>
      <w:bookmarkStart w:id="830" w:name="10.4 排矸场污染防治和复垦措施"/>
      <w:bookmarkEnd w:id="830"/>
      <w:r>
        <w:t>排矸场污染防治和复垦措施</w:t>
      </w:r>
    </w:p>
    <w:p>
      <w:pPr>
        <w:pStyle w:val="6"/>
        <w:spacing w:before="199" w:line="364" w:lineRule="auto"/>
        <w:ind w:left="215" w:right="577" w:firstLine="480"/>
        <w:jc w:val="both"/>
      </w:pPr>
      <w:r>
        <w:rPr>
          <w:spacing w:val="-2"/>
        </w:rPr>
        <w:t>本项目设置矸石临时堆放场地，服务期矸石堆放在矸石临时堆放场地，主要用于填</w:t>
      </w:r>
      <w:r>
        <w:rPr>
          <w:spacing w:val="-7"/>
        </w:rPr>
        <w:t xml:space="preserve">充采空区及塌陷区、修路和制砖。矸石临时堆放场地占地面积约 </w:t>
      </w:r>
      <w:r>
        <w:rPr>
          <w:rFonts w:ascii="Times New Roman" w:eastAsia="Times New Roman"/>
          <w:spacing w:val="-4"/>
        </w:rPr>
        <w:t>8570m</w:t>
      </w:r>
      <w:r>
        <w:rPr>
          <w:rFonts w:ascii="Times New Roman" w:eastAsia="Times New Roman"/>
          <w:spacing w:val="-4"/>
          <w:position w:val="8"/>
          <w:sz w:val="15"/>
        </w:rPr>
        <w:t>2</w:t>
      </w:r>
      <w:r>
        <w:rPr>
          <w:spacing w:val="-5"/>
        </w:rPr>
        <w:t>，周围设置拦矸</w:t>
      </w:r>
      <w:r>
        <w:t>坝和截流沟。采取洒水喷淋措施抑尘，可有效控制扬尘等污染。</w:t>
      </w:r>
    </w:p>
    <w:p>
      <w:pPr>
        <w:pStyle w:val="6"/>
        <w:spacing w:line="364" w:lineRule="auto"/>
        <w:ind w:left="215" w:right="580" w:firstLine="482"/>
        <w:jc w:val="both"/>
      </w:pPr>
      <w:r>
        <w:t>服务期满后，工业场地内地面设施都应该全部清理干净，地面建筑物拆除产生的建筑垃圾应运往指定地点，否则既影响区内景观，也会产生不同程度的水土流失。矸石临时堆放场地需清运场内残余矸石，同时拆除其它辅助设施，恢复地表植被。</w:t>
      </w:r>
    </w:p>
    <w:p>
      <w:pPr>
        <w:spacing w:after="0" w:line="364" w:lineRule="auto"/>
        <w:jc w:val="both"/>
        <w:sectPr>
          <w:pgSz w:w="11910" w:h="16840"/>
          <w:pgMar w:top="1580" w:right="780" w:bottom="1320" w:left="1200" w:header="0" w:footer="1058" w:gutter="0"/>
        </w:sect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9"/>
        <w:rPr>
          <w:sz w:val="21"/>
        </w:rPr>
      </w:pPr>
    </w:p>
    <w:p>
      <w:pPr>
        <w:spacing w:after="0"/>
        <w:rPr>
          <w:sz w:val="21"/>
        </w:rPr>
        <w:sectPr>
          <w:pgSz w:w="11910" w:h="16840"/>
          <w:pgMar w:top="1580" w:right="780" w:bottom="1320" w:left="1200" w:header="0" w:footer="1058" w:gutter="0"/>
        </w:sectPr>
      </w:pPr>
    </w:p>
    <w:p>
      <w:pPr>
        <w:pStyle w:val="6"/>
        <w:rPr>
          <w:sz w:val="32"/>
        </w:rPr>
      </w:pPr>
    </w:p>
    <w:p>
      <w:pPr>
        <w:pStyle w:val="6"/>
        <w:spacing w:before="8"/>
        <w:rPr>
          <w:sz w:val="27"/>
        </w:rPr>
      </w:pPr>
    </w:p>
    <w:p>
      <w:pPr>
        <w:pStyle w:val="3"/>
        <w:numPr>
          <w:ilvl w:val="1"/>
          <w:numId w:val="73"/>
        </w:numPr>
        <w:tabs>
          <w:tab w:val="left" w:pos="876"/>
        </w:tabs>
        <w:spacing w:before="0" w:after="0" w:line="240" w:lineRule="auto"/>
        <w:ind w:left="876" w:right="0" w:hanging="661"/>
        <w:jc w:val="left"/>
      </w:pPr>
      <w:bookmarkStart w:id="831" w:name="11.1 概述"/>
      <w:bookmarkEnd w:id="831"/>
      <w:bookmarkStart w:id="832" w:name="_bookmark61"/>
      <w:bookmarkEnd w:id="832"/>
      <w:bookmarkStart w:id="833" w:name="_bookmark61"/>
      <w:bookmarkEnd w:id="833"/>
      <w:r>
        <w:t>概述</w:t>
      </w:r>
    </w:p>
    <w:p>
      <w:pPr>
        <w:pStyle w:val="2"/>
        <w:numPr>
          <w:ilvl w:val="0"/>
          <w:numId w:val="62"/>
        </w:numPr>
        <w:tabs>
          <w:tab w:val="left" w:pos="667"/>
        </w:tabs>
        <w:spacing w:before="61" w:after="0" w:line="240" w:lineRule="auto"/>
        <w:ind w:left="667" w:right="0" w:hanging="451"/>
        <w:jc w:val="left"/>
      </w:pPr>
      <w:bookmarkStart w:id="834" w:name="11.土壤环境影响评价 "/>
      <w:bookmarkEnd w:id="834"/>
      <w:bookmarkStart w:id="835" w:name="_bookmark62"/>
      <w:bookmarkEnd w:id="835"/>
      <w:bookmarkStart w:id="836" w:name="_bookmark62"/>
      <w:bookmarkEnd w:id="836"/>
      <w:r>
        <w:rPr>
          <w:spacing w:val="2"/>
          <w:w w:val="99"/>
        </w:rPr>
        <w:br w:type="column"/>
      </w:r>
      <w:r>
        <w:t>土壤环境影响评价</w:t>
      </w:r>
    </w:p>
    <w:p>
      <w:pPr>
        <w:spacing w:after="0" w:line="240" w:lineRule="auto"/>
        <w:jc w:val="left"/>
        <w:sectPr>
          <w:type w:val="continuous"/>
          <w:pgSz w:w="11910" w:h="16840"/>
          <w:pgMar w:top="1580" w:right="780" w:bottom="280" w:left="1200" w:header="720" w:footer="720" w:gutter="0"/>
          <w:cols w:equalWidth="0" w:num="2">
            <w:col w:w="1517" w:space="1380"/>
            <w:col w:w="7033"/>
          </w:cols>
        </w:sectPr>
      </w:pPr>
    </w:p>
    <w:p>
      <w:pPr>
        <w:pStyle w:val="6"/>
        <w:spacing w:before="7"/>
        <w:rPr>
          <w:b/>
          <w:sz w:val="9"/>
        </w:rPr>
      </w:pPr>
    </w:p>
    <w:p>
      <w:pPr>
        <w:pStyle w:val="6"/>
        <w:spacing w:before="74" w:line="364" w:lineRule="auto"/>
        <w:ind w:left="215" w:right="571" w:firstLine="480"/>
        <w:jc w:val="both"/>
      </w:pPr>
      <w:r>
        <w:rPr>
          <w:spacing w:val="-4"/>
        </w:rPr>
        <w:t>本次评价按照《环境影响评价技术导则 土壤环境</w:t>
      </w:r>
      <w:r>
        <w:t>（试行</w:t>
      </w:r>
      <w:r>
        <w:rPr>
          <w:spacing w:val="-15"/>
        </w:rPr>
        <w:t>）</w:t>
      </w:r>
      <w:r>
        <w:rPr>
          <w:spacing w:val="-27"/>
        </w:rPr>
        <w:t>》</w:t>
      </w:r>
      <w:r>
        <w:rPr>
          <w:spacing w:val="-3"/>
        </w:rPr>
        <w:t>（</w:t>
      </w:r>
      <w:r>
        <w:rPr>
          <w:rFonts w:ascii="Times New Roman" w:eastAsia="Times New Roman"/>
          <w:spacing w:val="-3"/>
        </w:rPr>
        <w:t>HJ964-2018</w:t>
      </w:r>
      <w:r>
        <w:rPr>
          <w:spacing w:val="-3"/>
        </w:rPr>
        <w:t>）</w:t>
      </w:r>
      <w:r>
        <w:rPr>
          <w:spacing w:val="-6"/>
        </w:rPr>
        <w:t>，对井</w:t>
      </w:r>
      <w:r>
        <w:t>田开采区、工业场地及矸石周转场土壤环境进行了现状调查，并在调查基础上，进行了土壤环境的预测与评价并提出了保护措施。</w:t>
      </w:r>
    </w:p>
    <w:p>
      <w:pPr>
        <w:pStyle w:val="4"/>
        <w:numPr>
          <w:ilvl w:val="2"/>
          <w:numId w:val="73"/>
        </w:numPr>
        <w:tabs>
          <w:tab w:val="left" w:pos="1042"/>
        </w:tabs>
        <w:spacing w:before="0" w:after="0" w:line="240" w:lineRule="auto"/>
        <w:ind w:left="1041" w:right="0" w:hanging="827"/>
        <w:jc w:val="left"/>
      </w:pPr>
      <w:bookmarkStart w:id="837" w:name="11.1.1 土壤环境影响识别"/>
      <w:bookmarkEnd w:id="837"/>
      <w:bookmarkStart w:id="838" w:name="11.1.1 土壤环境影响识别"/>
      <w:bookmarkEnd w:id="838"/>
      <w:r>
        <w:t>土壤环境影响识别</w:t>
      </w:r>
    </w:p>
    <w:p>
      <w:pPr>
        <w:pStyle w:val="6"/>
        <w:spacing w:before="186"/>
        <w:ind w:left="696"/>
      </w:pPr>
      <w:r>
        <w:t>本项目为采矿业中的煤炭采选项目，根据《环境影响评价技术导则土壤环境》附录</w:t>
      </w:r>
    </w:p>
    <w:p>
      <w:pPr>
        <w:pStyle w:val="6"/>
        <w:spacing w:before="158"/>
        <w:ind w:left="215"/>
      </w:pPr>
      <w:r>
        <w:rPr>
          <w:rFonts w:ascii="Times New Roman" w:hAnsi="Times New Roman" w:eastAsia="Times New Roman"/>
        </w:rPr>
        <w:t>A</w:t>
      </w:r>
      <w:r>
        <w:t>，本项目属于Ⅱ类行业，兼具污染影响与生态影响特征。</w:t>
      </w:r>
    </w:p>
    <w:p>
      <w:pPr>
        <w:pStyle w:val="5"/>
        <w:numPr>
          <w:ilvl w:val="3"/>
          <w:numId w:val="73"/>
        </w:numPr>
        <w:tabs>
          <w:tab w:val="left" w:pos="1044"/>
        </w:tabs>
        <w:spacing w:before="160" w:after="0" w:line="240" w:lineRule="auto"/>
        <w:ind w:left="1044" w:right="0" w:hanging="829"/>
        <w:jc w:val="left"/>
      </w:pPr>
      <w:bookmarkStart w:id="839" w:name="11.1.1.1生态影响型影响识别"/>
      <w:bookmarkEnd w:id="839"/>
      <w:bookmarkStart w:id="840" w:name="11.1.1.1生态影响型影响识别"/>
      <w:bookmarkEnd w:id="840"/>
      <w:r>
        <w:t>生态影响型影响识别</w:t>
      </w:r>
    </w:p>
    <w:p>
      <w:pPr>
        <w:spacing w:after="0" w:line="240" w:lineRule="auto"/>
        <w:jc w:val="left"/>
        <w:sectPr>
          <w:type w:val="continuous"/>
          <w:pgSz w:w="11910" w:h="16840"/>
          <w:pgMar w:top="1580" w:right="780" w:bottom="280" w:left="1200" w:header="720" w:footer="720" w:gutter="0"/>
        </w:sectPr>
      </w:pPr>
    </w:p>
    <w:p>
      <w:pPr>
        <w:pStyle w:val="6"/>
        <w:spacing w:before="46" w:line="362" w:lineRule="auto"/>
        <w:ind w:left="215" w:right="580" w:firstLine="480"/>
      </w:pPr>
      <w:r>
        <w:t>该区对酸化以及碱化不敏感，井田开采不会造成土壤酸化以及碱化，影响识别见下表。</w:t>
      </w:r>
    </w:p>
    <w:p>
      <w:pPr>
        <w:spacing w:before="4"/>
        <w:ind w:left="0" w:right="348" w:firstLine="0"/>
        <w:jc w:val="center"/>
        <w:rPr>
          <w:b/>
          <w:sz w:val="21"/>
        </w:rPr>
      </w:pPr>
      <w:r>
        <w:rPr>
          <w:b/>
          <w:spacing w:val="-26"/>
          <w:sz w:val="21"/>
        </w:rPr>
        <w:t xml:space="preserve">表 </w:t>
      </w:r>
      <w:r>
        <w:rPr>
          <w:rFonts w:ascii="Times New Roman" w:eastAsia="Times New Roman"/>
          <w:b/>
          <w:sz w:val="21"/>
        </w:rPr>
        <w:t>11.1.1</w:t>
      </w:r>
      <w:r>
        <w:rPr>
          <w:rFonts w:ascii="Times New Roman" w:eastAsia="Times New Roman"/>
          <w:b/>
          <w:spacing w:val="51"/>
          <w:sz w:val="21"/>
        </w:rPr>
        <w:t xml:space="preserve"> </w:t>
      </w:r>
      <w:r>
        <w:rPr>
          <w:b/>
          <w:sz w:val="21"/>
        </w:rPr>
        <w:t>生态影响型土壤环境影响源及影响因子识别表</w:t>
      </w:r>
    </w:p>
    <w:p>
      <w:pPr>
        <w:pStyle w:val="6"/>
        <w:spacing w:before="10"/>
        <w:rPr>
          <w:b/>
          <w:sz w:val="10"/>
        </w:rPr>
      </w:pP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19"/>
        <w:gridCol w:w="1840"/>
        <w:gridCol w:w="3946"/>
        <w:gridCol w:w="21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19" w:type="dxa"/>
          </w:tcPr>
          <w:p>
            <w:pPr>
              <w:pStyle w:val="14"/>
              <w:spacing w:before="62"/>
              <w:ind w:left="238"/>
              <w:jc w:val="left"/>
              <w:rPr>
                <w:sz w:val="21"/>
              </w:rPr>
            </w:pPr>
            <w:r>
              <w:rPr>
                <w:sz w:val="21"/>
              </w:rPr>
              <w:t>影响结果</w:t>
            </w:r>
          </w:p>
        </w:tc>
        <w:tc>
          <w:tcPr>
            <w:tcW w:w="1840" w:type="dxa"/>
          </w:tcPr>
          <w:p>
            <w:pPr>
              <w:pStyle w:val="14"/>
              <w:spacing w:before="62"/>
              <w:ind w:left="236" w:right="231"/>
              <w:rPr>
                <w:sz w:val="21"/>
              </w:rPr>
            </w:pPr>
            <w:r>
              <w:rPr>
                <w:sz w:val="21"/>
              </w:rPr>
              <w:t>影响途径</w:t>
            </w:r>
          </w:p>
        </w:tc>
        <w:tc>
          <w:tcPr>
            <w:tcW w:w="3946" w:type="dxa"/>
          </w:tcPr>
          <w:p>
            <w:pPr>
              <w:pStyle w:val="14"/>
              <w:spacing w:before="62"/>
              <w:ind w:left="1532" w:right="1524"/>
              <w:rPr>
                <w:sz w:val="21"/>
              </w:rPr>
            </w:pPr>
            <w:r>
              <w:rPr>
                <w:sz w:val="21"/>
              </w:rPr>
              <w:t>具体指标</w:t>
            </w:r>
          </w:p>
        </w:tc>
        <w:tc>
          <w:tcPr>
            <w:tcW w:w="2181" w:type="dxa"/>
          </w:tcPr>
          <w:p>
            <w:pPr>
              <w:pStyle w:val="14"/>
              <w:spacing w:before="62"/>
              <w:ind w:left="228" w:right="222"/>
              <w:rPr>
                <w:sz w:val="21"/>
              </w:rPr>
            </w:pPr>
            <w:r>
              <w:rPr>
                <w:sz w:val="21"/>
              </w:rPr>
              <w:t>土壤环境敏感目标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19" w:type="dxa"/>
            <w:vMerge w:val="restart"/>
          </w:tcPr>
          <w:p>
            <w:pPr>
              <w:pStyle w:val="14"/>
              <w:spacing w:before="6"/>
              <w:jc w:val="left"/>
              <w:rPr>
                <w:b/>
                <w:sz w:val="26"/>
              </w:rPr>
            </w:pPr>
          </w:p>
          <w:p>
            <w:pPr>
              <w:pStyle w:val="14"/>
              <w:spacing w:line="242" w:lineRule="auto"/>
              <w:ind w:left="209" w:right="170" w:hanging="29"/>
              <w:jc w:val="left"/>
              <w:rPr>
                <w:sz w:val="21"/>
              </w:rPr>
            </w:pPr>
            <w:r>
              <w:rPr>
                <w:sz w:val="21"/>
              </w:rPr>
              <w:t>盐化</w:t>
            </w:r>
            <w:r>
              <w:rPr>
                <w:rFonts w:ascii="Times New Roman" w:eastAsia="Times New Roman"/>
                <w:sz w:val="21"/>
              </w:rPr>
              <w:t>/</w:t>
            </w:r>
            <w:r>
              <w:rPr>
                <w:sz w:val="21"/>
              </w:rPr>
              <w:t>酸化</w:t>
            </w:r>
            <w:r>
              <w:rPr>
                <w:rFonts w:ascii="Times New Roman" w:eastAsia="Times New Roman"/>
                <w:sz w:val="21"/>
              </w:rPr>
              <w:t xml:space="preserve">/ </w:t>
            </w:r>
            <w:r>
              <w:rPr>
                <w:sz w:val="21"/>
              </w:rPr>
              <w:t>碱化</w:t>
            </w:r>
            <w:r>
              <w:rPr>
                <w:rFonts w:ascii="Times New Roman" w:eastAsia="Times New Roman"/>
                <w:sz w:val="21"/>
              </w:rPr>
              <w:t>/</w:t>
            </w:r>
            <w:r>
              <w:rPr>
                <w:sz w:val="21"/>
              </w:rPr>
              <w:t>其他</w:t>
            </w:r>
          </w:p>
        </w:tc>
        <w:tc>
          <w:tcPr>
            <w:tcW w:w="1840" w:type="dxa"/>
          </w:tcPr>
          <w:p>
            <w:pPr>
              <w:pStyle w:val="14"/>
              <w:spacing w:before="64"/>
              <w:ind w:left="239" w:right="231"/>
              <w:rPr>
                <w:sz w:val="21"/>
              </w:rPr>
            </w:pPr>
            <w:r>
              <w:rPr>
                <w:sz w:val="21"/>
              </w:rPr>
              <w:t>物质输入</w:t>
            </w:r>
            <w:r>
              <w:rPr>
                <w:rFonts w:ascii="Times New Roman" w:eastAsia="Times New Roman"/>
                <w:sz w:val="21"/>
              </w:rPr>
              <w:t>/</w:t>
            </w:r>
            <w:r>
              <w:rPr>
                <w:sz w:val="21"/>
              </w:rPr>
              <w:t>运移</w:t>
            </w:r>
          </w:p>
        </w:tc>
        <w:tc>
          <w:tcPr>
            <w:tcW w:w="3946" w:type="dxa"/>
          </w:tcPr>
          <w:p>
            <w:pPr>
              <w:pStyle w:val="14"/>
              <w:spacing w:before="64"/>
              <w:ind w:left="8"/>
              <w:rPr>
                <w:sz w:val="21"/>
              </w:rPr>
            </w:pPr>
            <w:r>
              <w:rPr>
                <w:w w:val="99"/>
                <w:sz w:val="21"/>
              </w:rPr>
              <w:t>━</w:t>
            </w:r>
          </w:p>
        </w:tc>
        <w:tc>
          <w:tcPr>
            <w:tcW w:w="2181" w:type="dxa"/>
          </w:tcPr>
          <w:p>
            <w:pPr>
              <w:pStyle w:val="14"/>
              <w:spacing w:before="64"/>
              <w:ind w:left="6"/>
              <w:rPr>
                <w:sz w:val="21"/>
              </w:rPr>
            </w:pPr>
            <w:r>
              <w:rPr>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1319" w:type="dxa"/>
            <w:vMerge w:val="continue"/>
            <w:tcBorders>
              <w:top w:val="nil"/>
            </w:tcBorders>
          </w:tcPr>
          <w:p>
            <w:pPr>
              <w:rPr>
                <w:sz w:val="2"/>
                <w:szCs w:val="2"/>
              </w:rPr>
            </w:pPr>
          </w:p>
        </w:tc>
        <w:tc>
          <w:tcPr>
            <w:tcW w:w="1840" w:type="dxa"/>
          </w:tcPr>
          <w:p>
            <w:pPr>
              <w:pStyle w:val="14"/>
              <w:spacing w:before="4"/>
              <w:jc w:val="left"/>
              <w:rPr>
                <w:b/>
                <w:sz w:val="21"/>
              </w:rPr>
            </w:pPr>
          </w:p>
          <w:p>
            <w:pPr>
              <w:pStyle w:val="14"/>
              <w:ind w:left="236" w:right="231"/>
              <w:rPr>
                <w:sz w:val="21"/>
              </w:rPr>
            </w:pPr>
            <w:r>
              <w:rPr>
                <w:sz w:val="21"/>
              </w:rPr>
              <w:t>水位变化</w:t>
            </w:r>
          </w:p>
        </w:tc>
        <w:tc>
          <w:tcPr>
            <w:tcW w:w="3946" w:type="dxa"/>
          </w:tcPr>
          <w:p>
            <w:pPr>
              <w:pStyle w:val="14"/>
              <w:ind w:left="108"/>
              <w:jc w:val="left"/>
              <w:rPr>
                <w:sz w:val="21"/>
              </w:rPr>
            </w:pPr>
            <w:r>
              <w:rPr>
                <w:sz w:val="21"/>
              </w:rPr>
              <w:t>由于地表沉陷造成第四系水位埋深降低，</w:t>
            </w:r>
          </w:p>
          <w:p>
            <w:pPr>
              <w:pStyle w:val="14"/>
              <w:spacing w:before="3" w:line="270" w:lineRule="atLeast"/>
              <w:ind w:left="816" w:right="22" w:hanging="708"/>
              <w:jc w:val="left"/>
              <w:rPr>
                <w:sz w:val="21"/>
              </w:rPr>
            </w:pPr>
            <w:r>
              <w:rPr>
                <w:w w:val="95"/>
                <w:sz w:val="21"/>
              </w:rPr>
              <w:t>导致蒸发加剧，盐分在地表集聚，可能在</w:t>
            </w:r>
            <w:r>
              <w:rPr>
                <w:sz w:val="21"/>
              </w:rPr>
              <w:t>局部地区造成次生盐渍化</w:t>
            </w:r>
          </w:p>
        </w:tc>
        <w:tc>
          <w:tcPr>
            <w:tcW w:w="2181" w:type="dxa"/>
          </w:tcPr>
          <w:p>
            <w:pPr>
              <w:pStyle w:val="14"/>
              <w:spacing w:before="4"/>
              <w:jc w:val="left"/>
              <w:rPr>
                <w:b/>
                <w:sz w:val="21"/>
              </w:rPr>
            </w:pPr>
          </w:p>
          <w:p>
            <w:pPr>
              <w:pStyle w:val="14"/>
              <w:ind w:left="6"/>
              <w:rPr>
                <w:sz w:val="21"/>
              </w:rPr>
            </w:pPr>
            <w:r>
              <w:rPr>
                <w:w w:val="99"/>
                <w:sz w:val="21"/>
              </w:rPr>
              <w:t>━</w:t>
            </w:r>
          </w:p>
        </w:tc>
      </w:tr>
    </w:tbl>
    <w:p>
      <w:pPr>
        <w:pStyle w:val="5"/>
        <w:numPr>
          <w:ilvl w:val="3"/>
          <w:numId w:val="73"/>
        </w:numPr>
        <w:tabs>
          <w:tab w:val="left" w:pos="1044"/>
        </w:tabs>
        <w:spacing w:before="2" w:after="0" w:line="240" w:lineRule="auto"/>
        <w:ind w:left="1044" w:right="0" w:hanging="829"/>
        <w:jc w:val="left"/>
      </w:pPr>
      <w:bookmarkStart w:id="841" w:name="11.1.1.2污染影响型影响识别"/>
      <w:bookmarkEnd w:id="841"/>
      <w:bookmarkStart w:id="842" w:name="11.1.1.2污染影响型影响识别"/>
      <w:bookmarkEnd w:id="842"/>
      <w:r>
        <w:t>污染影响型影响识别</w:t>
      </w:r>
    </w:p>
    <w:p>
      <w:pPr>
        <w:pStyle w:val="6"/>
        <w:spacing w:before="161" w:line="362" w:lineRule="auto"/>
        <w:ind w:left="215" w:right="580" w:firstLine="480"/>
      </w:pPr>
      <w:r>
        <w:t>本次评价根据各场地主要建构筑物布置情况，对土壤污染源及影响因子识别，具体见下表</w:t>
      </w:r>
    </w:p>
    <w:p>
      <w:pPr>
        <w:spacing w:before="1"/>
        <w:ind w:left="0" w:right="348" w:firstLine="0"/>
        <w:jc w:val="center"/>
        <w:rPr>
          <w:b/>
          <w:sz w:val="21"/>
        </w:rPr>
      </w:pPr>
      <w:r>
        <w:rPr>
          <w:b/>
          <w:spacing w:val="-26"/>
          <w:sz w:val="21"/>
        </w:rPr>
        <w:t xml:space="preserve">表 </w:t>
      </w:r>
      <w:r>
        <w:rPr>
          <w:rFonts w:ascii="Times New Roman" w:eastAsia="Times New Roman"/>
          <w:b/>
          <w:sz w:val="21"/>
        </w:rPr>
        <w:t>11.1-2</w:t>
      </w:r>
      <w:r>
        <w:rPr>
          <w:rFonts w:ascii="Times New Roman" w:eastAsia="Times New Roman"/>
          <w:b/>
          <w:spacing w:val="51"/>
          <w:sz w:val="21"/>
        </w:rPr>
        <w:t xml:space="preserve"> </w:t>
      </w:r>
      <w:r>
        <w:rPr>
          <w:b/>
          <w:sz w:val="21"/>
        </w:rPr>
        <w:t>污染影响型土壤环境影响源及影响因子识别表</w:t>
      </w:r>
    </w:p>
    <w:p>
      <w:pPr>
        <w:pStyle w:val="6"/>
        <w:spacing w:before="12"/>
        <w:rPr>
          <w:b/>
          <w:sz w:val="10"/>
        </w:rPr>
      </w:pP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1"/>
        <w:gridCol w:w="623"/>
        <w:gridCol w:w="1994"/>
        <w:gridCol w:w="1149"/>
        <w:gridCol w:w="1753"/>
        <w:gridCol w:w="1548"/>
        <w:gridCol w:w="15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71" w:type="dxa"/>
          </w:tcPr>
          <w:p>
            <w:pPr>
              <w:pStyle w:val="14"/>
              <w:spacing w:before="63"/>
              <w:ind w:left="102" w:right="99"/>
              <w:rPr>
                <w:sz w:val="21"/>
              </w:rPr>
            </w:pPr>
            <w:r>
              <w:rPr>
                <w:sz w:val="21"/>
              </w:rPr>
              <w:t>序号</w:t>
            </w:r>
          </w:p>
        </w:tc>
        <w:tc>
          <w:tcPr>
            <w:tcW w:w="2617" w:type="dxa"/>
            <w:gridSpan w:val="2"/>
          </w:tcPr>
          <w:p>
            <w:pPr>
              <w:pStyle w:val="14"/>
              <w:spacing w:before="63"/>
              <w:ind w:left="972" w:right="964"/>
              <w:rPr>
                <w:sz w:val="21"/>
              </w:rPr>
            </w:pPr>
            <w:r>
              <w:rPr>
                <w:sz w:val="21"/>
              </w:rPr>
              <w:t>污染源</w:t>
            </w:r>
          </w:p>
        </w:tc>
        <w:tc>
          <w:tcPr>
            <w:tcW w:w="1149" w:type="dxa"/>
          </w:tcPr>
          <w:p>
            <w:pPr>
              <w:pStyle w:val="14"/>
              <w:spacing w:before="63"/>
              <w:ind w:left="133" w:right="125"/>
              <w:rPr>
                <w:sz w:val="21"/>
              </w:rPr>
            </w:pPr>
            <w:r>
              <w:rPr>
                <w:sz w:val="21"/>
              </w:rPr>
              <w:t>污染途径</w:t>
            </w:r>
          </w:p>
        </w:tc>
        <w:tc>
          <w:tcPr>
            <w:tcW w:w="1753" w:type="dxa"/>
          </w:tcPr>
          <w:p>
            <w:pPr>
              <w:pStyle w:val="14"/>
              <w:spacing w:before="63"/>
              <w:ind w:left="120" w:right="113"/>
              <w:rPr>
                <w:sz w:val="21"/>
              </w:rPr>
            </w:pPr>
            <w:r>
              <w:rPr>
                <w:sz w:val="21"/>
              </w:rPr>
              <w:t>全部污染物指标</w:t>
            </w:r>
          </w:p>
        </w:tc>
        <w:tc>
          <w:tcPr>
            <w:tcW w:w="1548" w:type="dxa"/>
          </w:tcPr>
          <w:p>
            <w:pPr>
              <w:pStyle w:val="14"/>
              <w:spacing w:before="63"/>
              <w:ind w:left="213" w:right="207"/>
              <w:rPr>
                <w:sz w:val="21"/>
              </w:rPr>
            </w:pPr>
            <w:r>
              <w:rPr>
                <w:sz w:val="21"/>
              </w:rPr>
              <w:t>特征因子</w:t>
            </w:r>
          </w:p>
        </w:tc>
        <w:tc>
          <w:tcPr>
            <w:tcW w:w="1548" w:type="dxa"/>
          </w:tcPr>
          <w:p>
            <w:pPr>
              <w:pStyle w:val="14"/>
              <w:spacing w:before="63"/>
              <w:ind w:left="216" w:right="207"/>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671" w:type="dxa"/>
          </w:tcPr>
          <w:p>
            <w:pPr>
              <w:pStyle w:val="14"/>
              <w:spacing w:before="150"/>
              <w:ind w:left="7"/>
              <w:rPr>
                <w:rFonts w:ascii="Times New Roman"/>
                <w:sz w:val="21"/>
              </w:rPr>
            </w:pPr>
            <w:r>
              <w:rPr>
                <w:rFonts w:ascii="Times New Roman"/>
                <w:w w:val="99"/>
                <w:sz w:val="21"/>
              </w:rPr>
              <w:t>1</w:t>
            </w:r>
          </w:p>
        </w:tc>
        <w:tc>
          <w:tcPr>
            <w:tcW w:w="623" w:type="dxa"/>
            <w:vMerge w:val="restart"/>
          </w:tcPr>
          <w:p>
            <w:pPr>
              <w:pStyle w:val="14"/>
              <w:jc w:val="left"/>
              <w:rPr>
                <w:b/>
                <w:sz w:val="20"/>
              </w:rPr>
            </w:pPr>
          </w:p>
          <w:p>
            <w:pPr>
              <w:pStyle w:val="14"/>
              <w:jc w:val="left"/>
              <w:rPr>
                <w:b/>
                <w:sz w:val="20"/>
              </w:rPr>
            </w:pPr>
          </w:p>
          <w:p>
            <w:pPr>
              <w:pStyle w:val="14"/>
              <w:jc w:val="left"/>
              <w:rPr>
                <w:b/>
                <w:sz w:val="20"/>
              </w:rPr>
            </w:pPr>
          </w:p>
          <w:p>
            <w:pPr>
              <w:pStyle w:val="14"/>
              <w:spacing w:before="131" w:line="242" w:lineRule="auto"/>
              <w:ind w:left="206" w:right="195"/>
              <w:jc w:val="both"/>
              <w:rPr>
                <w:sz w:val="21"/>
              </w:rPr>
            </w:pPr>
            <w:r>
              <w:rPr>
                <w:sz w:val="21"/>
              </w:rPr>
              <w:t>工业场地</w:t>
            </w:r>
          </w:p>
        </w:tc>
        <w:tc>
          <w:tcPr>
            <w:tcW w:w="1994" w:type="dxa"/>
          </w:tcPr>
          <w:p>
            <w:pPr>
              <w:pStyle w:val="14"/>
              <w:spacing w:before="136"/>
              <w:ind w:left="132" w:right="128"/>
              <w:rPr>
                <w:sz w:val="21"/>
              </w:rPr>
            </w:pPr>
            <w:r>
              <w:rPr>
                <w:sz w:val="21"/>
              </w:rPr>
              <w:t>矿井水处理站</w:t>
            </w:r>
          </w:p>
        </w:tc>
        <w:tc>
          <w:tcPr>
            <w:tcW w:w="1149" w:type="dxa"/>
          </w:tcPr>
          <w:p>
            <w:pPr>
              <w:pStyle w:val="14"/>
              <w:spacing w:before="136"/>
              <w:ind w:left="133" w:right="125"/>
              <w:rPr>
                <w:sz w:val="21"/>
              </w:rPr>
            </w:pPr>
            <w:r>
              <w:rPr>
                <w:sz w:val="21"/>
              </w:rPr>
              <w:t>垂直入渗</w:t>
            </w:r>
          </w:p>
        </w:tc>
        <w:tc>
          <w:tcPr>
            <w:tcW w:w="1753" w:type="dxa"/>
          </w:tcPr>
          <w:p>
            <w:pPr>
              <w:pStyle w:val="14"/>
              <w:spacing w:before="1" w:line="270" w:lineRule="atLeast"/>
              <w:ind w:left="769" w:right="29" w:hanging="660"/>
              <w:jc w:val="left"/>
              <w:rPr>
                <w:sz w:val="21"/>
              </w:rPr>
            </w:pPr>
            <w:r>
              <w:rPr>
                <w:rFonts w:ascii="Times New Roman" w:eastAsia="Times New Roman"/>
                <w:sz w:val="21"/>
              </w:rPr>
              <w:t xml:space="preserve">pH </w:t>
            </w:r>
            <w:r>
              <w:rPr>
                <w:sz w:val="21"/>
              </w:rPr>
              <w:t>值、</w:t>
            </w:r>
            <w:r>
              <w:rPr>
                <w:rFonts w:ascii="Times New Roman" w:eastAsia="Times New Roman"/>
                <w:sz w:val="21"/>
              </w:rPr>
              <w:t>COD</w:t>
            </w:r>
            <w:r>
              <w:rPr>
                <w:sz w:val="21"/>
              </w:rPr>
              <w:t>、氨氮</w:t>
            </w:r>
          </w:p>
        </w:tc>
        <w:tc>
          <w:tcPr>
            <w:tcW w:w="1548" w:type="dxa"/>
          </w:tcPr>
          <w:p>
            <w:pPr>
              <w:pStyle w:val="14"/>
              <w:spacing w:before="1" w:line="270" w:lineRule="atLeast"/>
              <w:ind w:left="564" w:right="47" w:hanging="456"/>
              <w:jc w:val="left"/>
              <w:rPr>
                <w:sz w:val="21"/>
              </w:rPr>
            </w:pPr>
            <w:r>
              <w:rPr>
                <w:rFonts w:ascii="Times New Roman" w:eastAsia="Times New Roman"/>
                <w:sz w:val="21"/>
              </w:rPr>
              <w:t xml:space="preserve">pH </w:t>
            </w:r>
            <w:r>
              <w:rPr>
                <w:sz w:val="21"/>
              </w:rPr>
              <w:t>值、</w:t>
            </w:r>
            <w:r>
              <w:rPr>
                <w:rFonts w:ascii="Times New Roman" w:eastAsia="Times New Roman"/>
                <w:sz w:val="21"/>
              </w:rPr>
              <w:t>COD</w:t>
            </w:r>
            <w:r>
              <w:rPr>
                <w:sz w:val="21"/>
              </w:rPr>
              <w:t>、氨氮</w:t>
            </w:r>
          </w:p>
        </w:tc>
        <w:tc>
          <w:tcPr>
            <w:tcW w:w="1548" w:type="dxa"/>
          </w:tcPr>
          <w:p>
            <w:pPr>
              <w:pStyle w:val="14"/>
              <w:spacing w:before="136"/>
              <w:ind w:left="213" w:right="207"/>
              <w:rPr>
                <w:sz w:val="21"/>
              </w:rPr>
            </w:pPr>
            <w:r>
              <w:rPr>
                <w:sz w:val="21"/>
              </w:rPr>
              <w:t>间断、事故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 w:hRule="atLeast"/>
        </w:trPr>
        <w:tc>
          <w:tcPr>
            <w:tcW w:w="671" w:type="dxa"/>
          </w:tcPr>
          <w:p>
            <w:pPr>
              <w:pStyle w:val="14"/>
              <w:spacing w:before="4"/>
              <w:jc w:val="left"/>
              <w:rPr>
                <w:b/>
                <w:sz w:val="22"/>
              </w:rPr>
            </w:pPr>
          </w:p>
          <w:p>
            <w:pPr>
              <w:pStyle w:val="14"/>
              <w:spacing w:before="1"/>
              <w:ind w:left="7"/>
              <w:rPr>
                <w:rFonts w:ascii="Times New Roman"/>
                <w:sz w:val="21"/>
              </w:rPr>
            </w:pPr>
            <w:r>
              <w:rPr>
                <w:rFonts w:ascii="Times New Roman"/>
                <w:w w:val="99"/>
                <w:sz w:val="21"/>
              </w:rPr>
              <w:t>2</w:t>
            </w:r>
          </w:p>
        </w:tc>
        <w:tc>
          <w:tcPr>
            <w:tcW w:w="623" w:type="dxa"/>
            <w:vMerge w:val="continue"/>
            <w:tcBorders>
              <w:top w:val="nil"/>
            </w:tcBorders>
          </w:tcPr>
          <w:p>
            <w:pPr>
              <w:rPr>
                <w:sz w:val="2"/>
                <w:szCs w:val="2"/>
              </w:rPr>
            </w:pPr>
          </w:p>
        </w:tc>
        <w:tc>
          <w:tcPr>
            <w:tcW w:w="1994" w:type="dxa"/>
          </w:tcPr>
          <w:p>
            <w:pPr>
              <w:pStyle w:val="14"/>
              <w:spacing w:before="3"/>
              <w:jc w:val="left"/>
              <w:rPr>
                <w:b/>
                <w:sz w:val="21"/>
              </w:rPr>
            </w:pPr>
          </w:p>
          <w:p>
            <w:pPr>
              <w:pStyle w:val="14"/>
              <w:ind w:left="135" w:right="128"/>
              <w:rPr>
                <w:sz w:val="21"/>
              </w:rPr>
            </w:pPr>
            <w:r>
              <w:rPr>
                <w:sz w:val="21"/>
              </w:rPr>
              <w:t>污水处理站</w:t>
            </w:r>
          </w:p>
        </w:tc>
        <w:tc>
          <w:tcPr>
            <w:tcW w:w="1149" w:type="dxa"/>
          </w:tcPr>
          <w:p>
            <w:pPr>
              <w:pStyle w:val="14"/>
              <w:spacing w:before="3"/>
              <w:jc w:val="left"/>
              <w:rPr>
                <w:b/>
                <w:sz w:val="21"/>
              </w:rPr>
            </w:pPr>
          </w:p>
          <w:p>
            <w:pPr>
              <w:pStyle w:val="14"/>
              <w:ind w:left="133" w:right="125"/>
              <w:rPr>
                <w:sz w:val="21"/>
              </w:rPr>
            </w:pPr>
            <w:r>
              <w:rPr>
                <w:sz w:val="21"/>
              </w:rPr>
              <w:t>垂直入渗</w:t>
            </w:r>
          </w:p>
        </w:tc>
        <w:tc>
          <w:tcPr>
            <w:tcW w:w="1753" w:type="dxa"/>
          </w:tcPr>
          <w:p>
            <w:pPr>
              <w:pStyle w:val="14"/>
              <w:spacing w:before="1" w:line="269" w:lineRule="exact"/>
              <w:ind w:left="109" w:right="-15"/>
              <w:jc w:val="left"/>
              <w:rPr>
                <w:sz w:val="21"/>
              </w:rPr>
            </w:pPr>
            <w:r>
              <w:rPr>
                <w:rFonts w:ascii="Times New Roman" w:eastAsia="Times New Roman"/>
                <w:sz w:val="21"/>
              </w:rPr>
              <w:t>pH</w:t>
            </w:r>
            <w:r>
              <w:rPr>
                <w:rFonts w:ascii="Times New Roman" w:eastAsia="Times New Roman"/>
                <w:spacing w:val="-7"/>
                <w:sz w:val="21"/>
              </w:rPr>
              <w:t xml:space="preserve"> </w:t>
            </w:r>
            <w:r>
              <w:rPr>
                <w:spacing w:val="-46"/>
                <w:sz w:val="21"/>
              </w:rPr>
              <w:t>值、</w:t>
            </w:r>
            <w:r>
              <w:rPr>
                <w:rFonts w:ascii="Times New Roman" w:eastAsia="Times New Roman"/>
                <w:sz w:val="21"/>
              </w:rPr>
              <w:t>SS</w:t>
            </w:r>
            <w:r>
              <w:rPr>
                <w:spacing w:val="-89"/>
                <w:sz w:val="21"/>
              </w:rPr>
              <w:t>、</w:t>
            </w:r>
            <w:r>
              <w:rPr>
                <w:rFonts w:ascii="Times New Roman" w:eastAsia="Times New Roman"/>
                <w:sz w:val="21"/>
              </w:rPr>
              <w:t>COD</w:t>
            </w:r>
            <w:r>
              <w:rPr>
                <w:sz w:val="21"/>
              </w:rPr>
              <w:t>、</w:t>
            </w:r>
          </w:p>
          <w:p>
            <w:pPr>
              <w:pStyle w:val="14"/>
              <w:spacing w:before="27" w:line="254" w:lineRule="exact"/>
              <w:ind w:left="560" w:right="45" w:hanging="452"/>
              <w:jc w:val="left"/>
              <w:rPr>
                <w:sz w:val="21"/>
              </w:rPr>
            </w:pPr>
            <w:r>
              <w:rPr>
                <w:rFonts w:ascii="Times New Roman" w:eastAsia="Times New Roman"/>
                <w:position w:val="2"/>
                <w:sz w:val="21"/>
              </w:rPr>
              <w:t>BOD</w:t>
            </w:r>
            <w:r>
              <w:rPr>
                <w:rFonts w:ascii="Times New Roman" w:eastAsia="Times New Roman"/>
                <w:position w:val="2"/>
                <w:sz w:val="21"/>
                <w:vertAlign w:val="subscript"/>
              </w:rPr>
              <w:t>5</w:t>
            </w:r>
            <w:r>
              <w:rPr>
                <w:position w:val="2"/>
                <w:sz w:val="21"/>
                <w:vertAlign w:val="baseline"/>
              </w:rPr>
              <w:t>、氨氮、动</w:t>
            </w:r>
            <w:r>
              <w:rPr>
                <w:sz w:val="21"/>
                <w:vertAlign w:val="baseline"/>
              </w:rPr>
              <w:t>植物油</w:t>
            </w:r>
          </w:p>
        </w:tc>
        <w:tc>
          <w:tcPr>
            <w:tcW w:w="1548" w:type="dxa"/>
          </w:tcPr>
          <w:p>
            <w:pPr>
              <w:pStyle w:val="14"/>
              <w:spacing w:before="3"/>
              <w:jc w:val="left"/>
              <w:rPr>
                <w:b/>
                <w:sz w:val="21"/>
              </w:rPr>
            </w:pPr>
          </w:p>
          <w:p>
            <w:pPr>
              <w:pStyle w:val="14"/>
              <w:ind w:left="216" w:right="207"/>
              <w:rPr>
                <w:sz w:val="21"/>
              </w:rPr>
            </w:pPr>
            <w:r>
              <w:rPr>
                <w:rFonts w:ascii="Times New Roman" w:eastAsia="Times New Roman"/>
                <w:sz w:val="21"/>
              </w:rPr>
              <w:t>COD</w:t>
            </w:r>
            <w:r>
              <w:rPr>
                <w:sz w:val="21"/>
              </w:rPr>
              <w:t>、氨氮</w:t>
            </w:r>
          </w:p>
        </w:tc>
        <w:tc>
          <w:tcPr>
            <w:tcW w:w="1548" w:type="dxa"/>
          </w:tcPr>
          <w:p>
            <w:pPr>
              <w:pStyle w:val="14"/>
              <w:spacing w:before="3"/>
              <w:jc w:val="left"/>
              <w:rPr>
                <w:b/>
                <w:sz w:val="21"/>
              </w:rPr>
            </w:pPr>
          </w:p>
          <w:p>
            <w:pPr>
              <w:pStyle w:val="14"/>
              <w:ind w:left="213" w:right="207"/>
              <w:rPr>
                <w:sz w:val="21"/>
              </w:rPr>
            </w:pPr>
            <w:r>
              <w:rPr>
                <w:sz w:val="21"/>
              </w:rPr>
              <w:t>间断、事故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671" w:type="dxa"/>
          </w:tcPr>
          <w:p>
            <w:pPr>
              <w:pStyle w:val="14"/>
              <w:spacing w:before="151"/>
              <w:ind w:left="7"/>
              <w:rPr>
                <w:rFonts w:ascii="Times New Roman"/>
                <w:sz w:val="21"/>
              </w:rPr>
            </w:pPr>
            <w:r>
              <w:rPr>
                <w:rFonts w:ascii="Times New Roman"/>
                <w:w w:val="99"/>
                <w:sz w:val="21"/>
              </w:rPr>
              <w:t>3</w:t>
            </w:r>
          </w:p>
        </w:tc>
        <w:tc>
          <w:tcPr>
            <w:tcW w:w="623" w:type="dxa"/>
            <w:vMerge w:val="continue"/>
            <w:tcBorders>
              <w:top w:val="nil"/>
            </w:tcBorders>
          </w:tcPr>
          <w:p>
            <w:pPr>
              <w:rPr>
                <w:sz w:val="2"/>
                <w:szCs w:val="2"/>
              </w:rPr>
            </w:pPr>
          </w:p>
        </w:tc>
        <w:tc>
          <w:tcPr>
            <w:tcW w:w="1994" w:type="dxa"/>
          </w:tcPr>
          <w:p>
            <w:pPr>
              <w:pStyle w:val="14"/>
              <w:spacing w:before="137"/>
              <w:ind w:left="135" w:right="128"/>
              <w:rPr>
                <w:sz w:val="21"/>
              </w:rPr>
            </w:pPr>
            <w:r>
              <w:rPr>
                <w:sz w:val="21"/>
              </w:rPr>
              <w:t>机修车间</w:t>
            </w:r>
          </w:p>
        </w:tc>
        <w:tc>
          <w:tcPr>
            <w:tcW w:w="1149" w:type="dxa"/>
          </w:tcPr>
          <w:p>
            <w:pPr>
              <w:pStyle w:val="14"/>
              <w:spacing w:before="137"/>
              <w:ind w:left="133" w:right="125"/>
              <w:rPr>
                <w:sz w:val="21"/>
              </w:rPr>
            </w:pPr>
            <w:r>
              <w:rPr>
                <w:sz w:val="21"/>
              </w:rPr>
              <w:t>垂直入渗</w:t>
            </w:r>
          </w:p>
        </w:tc>
        <w:tc>
          <w:tcPr>
            <w:tcW w:w="1753" w:type="dxa"/>
          </w:tcPr>
          <w:p>
            <w:pPr>
              <w:pStyle w:val="14"/>
              <w:spacing w:line="272" w:lineRule="exact"/>
              <w:ind w:left="188"/>
              <w:jc w:val="left"/>
              <w:rPr>
                <w:sz w:val="21"/>
              </w:rPr>
            </w:pPr>
            <w:r>
              <w:rPr>
                <w:rFonts w:ascii="Times New Roman" w:eastAsia="Times New Roman"/>
                <w:spacing w:val="-1"/>
                <w:position w:val="2"/>
                <w:sz w:val="21"/>
              </w:rPr>
              <w:t>BOD</w:t>
            </w:r>
            <w:r>
              <w:rPr>
                <w:rFonts w:ascii="Times New Roman" w:eastAsia="Times New Roman"/>
                <w:spacing w:val="-1"/>
                <w:position w:val="2"/>
                <w:sz w:val="21"/>
                <w:vertAlign w:val="subscript"/>
              </w:rPr>
              <w:t>5</w:t>
            </w:r>
            <w:r>
              <w:rPr>
                <w:position w:val="2"/>
                <w:sz w:val="21"/>
                <w:vertAlign w:val="baseline"/>
              </w:rPr>
              <w:t>、</w:t>
            </w:r>
            <w:r>
              <w:rPr>
                <w:rFonts w:ascii="Times New Roman" w:eastAsia="Times New Roman"/>
                <w:position w:val="2"/>
                <w:sz w:val="21"/>
                <w:vertAlign w:val="baseline"/>
              </w:rPr>
              <w:t>COD</w:t>
            </w:r>
            <w:r>
              <w:rPr>
                <w:position w:val="2"/>
                <w:sz w:val="21"/>
                <w:vertAlign w:val="baseline"/>
              </w:rPr>
              <w:t>、</w:t>
            </w:r>
          </w:p>
          <w:p>
            <w:pPr>
              <w:pStyle w:val="14"/>
              <w:spacing w:line="253" w:lineRule="exact"/>
              <w:ind w:left="160"/>
              <w:jc w:val="left"/>
              <w:rPr>
                <w:sz w:val="21"/>
              </w:rPr>
            </w:pPr>
            <w:r>
              <w:rPr>
                <w:rFonts w:ascii="Times New Roman" w:eastAsia="Times New Roman"/>
                <w:spacing w:val="-1"/>
                <w:position w:val="2"/>
                <w:sz w:val="21"/>
              </w:rPr>
              <w:t>NH</w:t>
            </w:r>
            <w:r>
              <w:rPr>
                <w:rFonts w:ascii="Times New Roman" w:eastAsia="Times New Roman"/>
                <w:spacing w:val="-1"/>
                <w:position w:val="2"/>
                <w:sz w:val="21"/>
                <w:vertAlign w:val="subscript"/>
              </w:rPr>
              <w:t>3</w:t>
            </w:r>
            <w:r>
              <w:rPr>
                <w:rFonts w:ascii="Times New Roman" w:eastAsia="Times New Roman"/>
                <w:spacing w:val="-1"/>
                <w:position w:val="2"/>
                <w:sz w:val="21"/>
                <w:vertAlign w:val="baseline"/>
              </w:rPr>
              <w:t>-N</w:t>
            </w:r>
            <w:r>
              <w:rPr>
                <w:position w:val="2"/>
                <w:sz w:val="21"/>
                <w:vertAlign w:val="baseline"/>
              </w:rPr>
              <w:t>、石油类</w:t>
            </w:r>
          </w:p>
        </w:tc>
        <w:tc>
          <w:tcPr>
            <w:tcW w:w="1548" w:type="dxa"/>
          </w:tcPr>
          <w:p>
            <w:pPr>
              <w:pStyle w:val="14"/>
              <w:spacing w:before="137"/>
              <w:ind w:left="216" w:right="207"/>
              <w:rPr>
                <w:sz w:val="21"/>
              </w:rPr>
            </w:pPr>
            <w:r>
              <w:rPr>
                <w:sz w:val="21"/>
              </w:rPr>
              <w:t>石油类</w:t>
            </w:r>
          </w:p>
        </w:tc>
        <w:tc>
          <w:tcPr>
            <w:tcW w:w="1548" w:type="dxa"/>
          </w:tcPr>
          <w:p>
            <w:pPr>
              <w:pStyle w:val="14"/>
              <w:spacing w:before="137"/>
              <w:ind w:left="213" w:right="207"/>
              <w:rPr>
                <w:sz w:val="21"/>
              </w:rPr>
            </w:pPr>
            <w:r>
              <w:rPr>
                <w:sz w:val="21"/>
              </w:rPr>
              <w:t>间断、事故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71" w:type="dxa"/>
          </w:tcPr>
          <w:p>
            <w:pPr>
              <w:pStyle w:val="14"/>
              <w:spacing w:before="76"/>
              <w:ind w:left="7"/>
              <w:rPr>
                <w:rFonts w:ascii="Times New Roman"/>
                <w:sz w:val="21"/>
              </w:rPr>
            </w:pPr>
            <w:r>
              <w:rPr>
                <w:rFonts w:ascii="Times New Roman"/>
                <w:w w:val="99"/>
                <w:sz w:val="21"/>
              </w:rPr>
              <w:t>4</w:t>
            </w:r>
          </w:p>
        </w:tc>
        <w:tc>
          <w:tcPr>
            <w:tcW w:w="623" w:type="dxa"/>
            <w:vMerge w:val="continue"/>
            <w:tcBorders>
              <w:top w:val="nil"/>
            </w:tcBorders>
          </w:tcPr>
          <w:p>
            <w:pPr>
              <w:rPr>
                <w:sz w:val="2"/>
                <w:szCs w:val="2"/>
              </w:rPr>
            </w:pPr>
          </w:p>
        </w:tc>
        <w:tc>
          <w:tcPr>
            <w:tcW w:w="1994" w:type="dxa"/>
          </w:tcPr>
          <w:p>
            <w:pPr>
              <w:pStyle w:val="14"/>
              <w:spacing w:before="62"/>
              <w:ind w:left="135" w:right="126"/>
              <w:rPr>
                <w:sz w:val="21"/>
              </w:rPr>
            </w:pPr>
            <w:r>
              <w:rPr>
                <w:sz w:val="21"/>
              </w:rPr>
              <w:t>危险废物暂存间</w:t>
            </w:r>
          </w:p>
        </w:tc>
        <w:tc>
          <w:tcPr>
            <w:tcW w:w="1149" w:type="dxa"/>
          </w:tcPr>
          <w:p>
            <w:pPr>
              <w:pStyle w:val="14"/>
              <w:spacing w:before="62"/>
              <w:ind w:left="133" w:right="125"/>
              <w:rPr>
                <w:sz w:val="21"/>
              </w:rPr>
            </w:pPr>
            <w:r>
              <w:rPr>
                <w:sz w:val="21"/>
              </w:rPr>
              <w:t>垂直入渗</w:t>
            </w:r>
          </w:p>
        </w:tc>
        <w:tc>
          <w:tcPr>
            <w:tcW w:w="1753" w:type="dxa"/>
          </w:tcPr>
          <w:p>
            <w:pPr>
              <w:pStyle w:val="14"/>
              <w:spacing w:before="62"/>
              <w:ind w:left="120" w:right="113"/>
              <w:rPr>
                <w:sz w:val="21"/>
              </w:rPr>
            </w:pPr>
            <w:r>
              <w:rPr>
                <w:sz w:val="21"/>
              </w:rPr>
              <w:t>石油类</w:t>
            </w:r>
          </w:p>
        </w:tc>
        <w:tc>
          <w:tcPr>
            <w:tcW w:w="1548" w:type="dxa"/>
          </w:tcPr>
          <w:p>
            <w:pPr>
              <w:pStyle w:val="14"/>
              <w:spacing w:before="62"/>
              <w:ind w:left="216" w:right="207"/>
              <w:rPr>
                <w:sz w:val="21"/>
              </w:rPr>
            </w:pPr>
            <w:r>
              <w:rPr>
                <w:sz w:val="21"/>
              </w:rPr>
              <w:t>石油类</w:t>
            </w:r>
          </w:p>
        </w:tc>
        <w:tc>
          <w:tcPr>
            <w:tcW w:w="1548" w:type="dxa"/>
          </w:tcPr>
          <w:p>
            <w:pPr>
              <w:pStyle w:val="14"/>
              <w:spacing w:before="62"/>
              <w:ind w:left="216" w:right="207"/>
              <w:rPr>
                <w:sz w:val="21"/>
              </w:rPr>
            </w:pPr>
            <w:r>
              <w:rPr>
                <w:sz w:val="21"/>
              </w:rPr>
              <w:t>事故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671" w:type="dxa"/>
          </w:tcPr>
          <w:p>
            <w:pPr>
              <w:pStyle w:val="14"/>
              <w:spacing w:before="149"/>
              <w:ind w:left="7"/>
              <w:rPr>
                <w:rFonts w:ascii="Times New Roman"/>
                <w:sz w:val="21"/>
              </w:rPr>
            </w:pPr>
            <w:r>
              <w:rPr>
                <w:rFonts w:ascii="Times New Roman"/>
                <w:w w:val="99"/>
                <w:sz w:val="21"/>
              </w:rPr>
              <w:t>5</w:t>
            </w:r>
          </w:p>
        </w:tc>
        <w:tc>
          <w:tcPr>
            <w:tcW w:w="623" w:type="dxa"/>
            <w:vMerge w:val="continue"/>
            <w:tcBorders>
              <w:top w:val="nil"/>
            </w:tcBorders>
          </w:tcPr>
          <w:p>
            <w:pPr>
              <w:rPr>
                <w:sz w:val="2"/>
                <w:szCs w:val="2"/>
              </w:rPr>
            </w:pPr>
          </w:p>
        </w:tc>
        <w:tc>
          <w:tcPr>
            <w:tcW w:w="1994" w:type="dxa"/>
          </w:tcPr>
          <w:p>
            <w:pPr>
              <w:pStyle w:val="14"/>
              <w:spacing w:before="135"/>
              <w:ind w:left="135" w:right="128"/>
              <w:rPr>
                <w:sz w:val="21"/>
              </w:rPr>
            </w:pPr>
            <w:r>
              <w:rPr>
                <w:sz w:val="21"/>
              </w:rPr>
              <w:t>矸石临时堆放场地</w:t>
            </w:r>
          </w:p>
        </w:tc>
        <w:tc>
          <w:tcPr>
            <w:tcW w:w="1149" w:type="dxa"/>
          </w:tcPr>
          <w:p>
            <w:pPr>
              <w:pStyle w:val="14"/>
              <w:spacing w:before="135"/>
              <w:ind w:left="133" w:right="125"/>
              <w:rPr>
                <w:sz w:val="21"/>
              </w:rPr>
            </w:pPr>
            <w:r>
              <w:rPr>
                <w:sz w:val="21"/>
              </w:rPr>
              <w:t>垂直入渗</w:t>
            </w:r>
          </w:p>
        </w:tc>
        <w:tc>
          <w:tcPr>
            <w:tcW w:w="1753" w:type="dxa"/>
          </w:tcPr>
          <w:p>
            <w:pPr>
              <w:pStyle w:val="14"/>
              <w:ind w:left="107" w:right="-15"/>
              <w:jc w:val="left"/>
              <w:rPr>
                <w:sz w:val="21"/>
              </w:rPr>
            </w:pPr>
            <w:r>
              <w:rPr>
                <w:spacing w:val="-7"/>
                <w:sz w:val="21"/>
              </w:rPr>
              <w:t>镉、汞、砷、铅、</w:t>
            </w:r>
          </w:p>
          <w:p>
            <w:pPr>
              <w:pStyle w:val="14"/>
              <w:spacing w:before="2" w:line="253" w:lineRule="exact"/>
              <w:ind w:left="140"/>
              <w:jc w:val="left"/>
              <w:rPr>
                <w:sz w:val="21"/>
              </w:rPr>
            </w:pPr>
            <w:r>
              <w:rPr>
                <w:sz w:val="21"/>
              </w:rPr>
              <w:t>铬、铜、镍、锌</w:t>
            </w:r>
          </w:p>
        </w:tc>
        <w:tc>
          <w:tcPr>
            <w:tcW w:w="1548" w:type="dxa"/>
          </w:tcPr>
          <w:p>
            <w:pPr>
              <w:pStyle w:val="14"/>
              <w:spacing w:before="149"/>
              <w:ind w:left="9"/>
              <w:rPr>
                <w:rFonts w:ascii="Times New Roman"/>
                <w:sz w:val="21"/>
              </w:rPr>
            </w:pPr>
            <w:r>
              <w:rPr>
                <w:rFonts w:ascii="Times New Roman"/>
                <w:w w:val="99"/>
                <w:sz w:val="21"/>
              </w:rPr>
              <w:t>/</w:t>
            </w:r>
          </w:p>
        </w:tc>
        <w:tc>
          <w:tcPr>
            <w:tcW w:w="1548" w:type="dxa"/>
          </w:tcPr>
          <w:p>
            <w:pPr>
              <w:pStyle w:val="14"/>
              <w:spacing w:before="135"/>
              <w:ind w:left="216" w:right="207"/>
              <w:rPr>
                <w:sz w:val="21"/>
              </w:rPr>
            </w:pPr>
            <w:r>
              <w:rPr>
                <w:sz w:val="21"/>
              </w:rPr>
              <w:t>连续</w:t>
            </w:r>
          </w:p>
        </w:tc>
      </w:tr>
    </w:tbl>
    <w:p>
      <w:pPr>
        <w:pStyle w:val="3"/>
        <w:numPr>
          <w:ilvl w:val="1"/>
          <w:numId w:val="73"/>
        </w:numPr>
        <w:tabs>
          <w:tab w:val="left" w:pos="876"/>
        </w:tabs>
        <w:spacing w:before="1" w:after="0" w:line="240" w:lineRule="auto"/>
        <w:ind w:left="876" w:right="0" w:hanging="661"/>
        <w:jc w:val="both"/>
      </w:pPr>
      <w:bookmarkStart w:id="843" w:name="_bookmark63"/>
      <w:bookmarkEnd w:id="843"/>
      <w:bookmarkStart w:id="844" w:name="11.2 土壤环境评价等级、评价范围确定及敏感目标"/>
      <w:bookmarkEnd w:id="844"/>
      <w:bookmarkStart w:id="845" w:name="_bookmark63"/>
      <w:bookmarkEnd w:id="845"/>
      <w:r>
        <w:t>土壤环境评价等级、评价范围确定及敏感目标</w:t>
      </w:r>
    </w:p>
    <w:p>
      <w:pPr>
        <w:pStyle w:val="4"/>
        <w:numPr>
          <w:ilvl w:val="2"/>
          <w:numId w:val="73"/>
        </w:numPr>
        <w:tabs>
          <w:tab w:val="left" w:pos="1042"/>
        </w:tabs>
        <w:spacing w:before="200" w:after="0" w:line="240" w:lineRule="auto"/>
        <w:ind w:left="1041" w:right="0" w:hanging="827"/>
        <w:jc w:val="both"/>
      </w:pPr>
      <w:bookmarkStart w:id="846" w:name="11.2.1 评价等级确定"/>
      <w:bookmarkEnd w:id="846"/>
      <w:bookmarkStart w:id="847" w:name="11.2.1 评价等级确定"/>
      <w:bookmarkEnd w:id="847"/>
      <w:r>
        <w:t>评价等级确定</w:t>
      </w:r>
    </w:p>
    <w:p>
      <w:pPr>
        <w:pStyle w:val="6"/>
        <w:spacing w:before="185" w:line="364" w:lineRule="auto"/>
        <w:ind w:left="215" w:right="573" w:firstLine="480"/>
        <w:jc w:val="both"/>
      </w:pPr>
      <w:r>
        <w:t>井田开采区属于生态影响类，工业场地及矸石周转场地属于污染影响型。按照导则</w:t>
      </w:r>
      <w:r>
        <w:rPr>
          <w:spacing w:val="7"/>
        </w:rPr>
        <w:t>要求， 分别判定评价工作等级。井田开采区为Ⅱ 类项目， 土壤含盐量</w:t>
      </w:r>
      <w:r>
        <w:rPr>
          <w:rFonts w:ascii="Times New Roman" w:hAnsi="Times New Roman" w:eastAsia="Times New Roman"/>
        </w:rPr>
        <w:t xml:space="preserve">≤2g/kg </w:t>
      </w:r>
      <w:r>
        <w:t xml:space="preserve">， </w:t>
      </w:r>
      <w:r>
        <w:rPr>
          <w:rFonts w:ascii="Times New Roman" w:hAnsi="Times New Roman" w:eastAsia="Times New Roman"/>
        </w:rPr>
        <w:t>5.50≤pH≤8.50</w:t>
      </w:r>
      <w:r>
        <w:rPr>
          <w:spacing w:val="-8"/>
        </w:rPr>
        <w:t xml:space="preserve">，属于不敏感区，评价等级为三级；工业场地占地面积约为 </w:t>
      </w:r>
      <w:r>
        <w:rPr>
          <w:rFonts w:ascii="Times New Roman" w:hAnsi="Times New Roman" w:eastAsia="Times New Roman"/>
          <w:spacing w:val="-3"/>
        </w:rPr>
        <w:t>2.9767hm</w:t>
      </w:r>
      <w:r>
        <w:rPr>
          <w:rFonts w:ascii="Times New Roman" w:hAnsi="Times New Roman" w:eastAsia="Times New Roman"/>
          <w:spacing w:val="-3"/>
          <w:position w:val="8"/>
          <w:sz w:val="15"/>
        </w:rPr>
        <w:t>2</w:t>
      </w:r>
      <w:r>
        <w:rPr>
          <w:spacing w:val="-7"/>
        </w:rPr>
        <w:t>，环</w:t>
      </w:r>
      <w:r>
        <w:rPr>
          <w:spacing w:val="-2"/>
        </w:rPr>
        <w:t xml:space="preserve">境较敏感，评价等级为三级。本项目土壤环境评价等级及范围详见 </w:t>
      </w:r>
      <w:r>
        <w:rPr>
          <w:rFonts w:ascii="Times New Roman" w:hAnsi="Times New Roman" w:eastAsia="Times New Roman"/>
        </w:rPr>
        <w:t xml:space="preserve">2.4.5 </w:t>
      </w:r>
      <w:r>
        <w:rPr>
          <w:spacing w:val="-30"/>
        </w:rPr>
        <w:t xml:space="preserve">及 </w:t>
      </w:r>
      <w:r>
        <w:rPr>
          <w:rFonts w:ascii="Times New Roman" w:hAnsi="Times New Roman" w:eastAsia="Times New Roman"/>
        </w:rPr>
        <w:t xml:space="preserve">2.5.6 </w:t>
      </w:r>
      <w:r>
        <w:t>章节。</w:t>
      </w:r>
    </w:p>
    <w:p>
      <w:pPr>
        <w:pStyle w:val="4"/>
        <w:numPr>
          <w:ilvl w:val="2"/>
          <w:numId w:val="73"/>
        </w:numPr>
        <w:tabs>
          <w:tab w:val="left" w:pos="1042"/>
        </w:tabs>
        <w:spacing w:before="0" w:after="0" w:line="357" w:lineRule="exact"/>
        <w:ind w:left="1041" w:right="0" w:hanging="827"/>
        <w:jc w:val="both"/>
      </w:pPr>
      <w:bookmarkStart w:id="848" w:name="11.2.2 评价范围及敏感目标分布"/>
      <w:bookmarkEnd w:id="848"/>
      <w:bookmarkStart w:id="849" w:name="11.2.2 评价范围及敏感目标分布"/>
      <w:bookmarkEnd w:id="849"/>
      <w:r>
        <w:t>评价范围及敏感目标分布</w:t>
      </w:r>
    </w:p>
    <w:p>
      <w:pPr>
        <w:pStyle w:val="6"/>
        <w:spacing w:before="185"/>
        <w:ind w:left="696"/>
        <w:rPr>
          <w:rFonts w:ascii="Times New Roman" w:eastAsia="Times New Roman"/>
        </w:rPr>
      </w:pPr>
      <w:r>
        <w:t xml:space="preserve">井田开采区以井田范围外扩 </w:t>
      </w:r>
      <w:r>
        <w:rPr>
          <w:rFonts w:ascii="Times New Roman" w:eastAsia="Times New Roman"/>
        </w:rPr>
        <w:t xml:space="preserve">1km </w:t>
      </w:r>
      <w:r>
        <w:t xml:space="preserve">为评价范围；工业场地评价范围以场地外扩 </w:t>
      </w:r>
      <w:r>
        <w:rPr>
          <w:rFonts w:ascii="Times New Roman" w:eastAsia="Times New Roman"/>
        </w:rPr>
        <w:t>0.05km</w:t>
      </w:r>
    </w:p>
    <w:p>
      <w:pPr>
        <w:pStyle w:val="6"/>
        <w:spacing w:before="161"/>
        <w:ind w:left="215"/>
      </w:pPr>
      <w:r>
        <w:t>为评价范围。</w:t>
      </w:r>
    </w:p>
    <w:p>
      <w:pPr>
        <w:spacing w:after="0"/>
        <w:sectPr>
          <w:pgSz w:w="11910" w:h="16840"/>
          <w:pgMar w:top="1540" w:right="780" w:bottom="1320" w:left="1200" w:header="0" w:footer="1058" w:gutter="0"/>
        </w:sectPr>
      </w:pPr>
    </w:p>
    <w:p>
      <w:pPr>
        <w:pStyle w:val="3"/>
        <w:numPr>
          <w:ilvl w:val="1"/>
          <w:numId w:val="73"/>
        </w:numPr>
        <w:tabs>
          <w:tab w:val="left" w:pos="800"/>
        </w:tabs>
        <w:spacing w:before="46" w:after="0" w:line="240" w:lineRule="auto"/>
        <w:ind w:left="799" w:right="0" w:hanging="585"/>
        <w:jc w:val="left"/>
      </w:pPr>
      <w:bookmarkStart w:id="850" w:name="11.3土壤环境质量现状监测与评价"/>
      <w:bookmarkEnd w:id="850"/>
      <w:bookmarkStart w:id="851" w:name="_bookmark64"/>
      <w:bookmarkEnd w:id="851"/>
      <w:bookmarkStart w:id="852" w:name="_bookmark64"/>
      <w:bookmarkEnd w:id="852"/>
      <w:r>
        <w:t>土壤环境质量现状监测与评价</w:t>
      </w:r>
    </w:p>
    <w:p>
      <w:pPr>
        <w:pStyle w:val="4"/>
        <w:numPr>
          <w:ilvl w:val="2"/>
          <w:numId w:val="73"/>
        </w:numPr>
        <w:tabs>
          <w:tab w:val="left" w:pos="972"/>
        </w:tabs>
        <w:spacing w:before="200" w:after="0" w:line="240" w:lineRule="auto"/>
        <w:ind w:left="972" w:right="0" w:hanging="757"/>
        <w:jc w:val="left"/>
      </w:pPr>
      <w:bookmarkStart w:id="853" w:name="11.3.1井田开采区土壤环境质量现状监测与评价"/>
      <w:bookmarkEnd w:id="853"/>
      <w:bookmarkStart w:id="854" w:name="11.3.1井田开采区土壤环境质量现状监测与评价"/>
      <w:bookmarkEnd w:id="854"/>
      <w:r>
        <w:t>井田开采区土壤环境质量现状监测与评价</w:t>
      </w:r>
    </w:p>
    <w:p>
      <w:pPr>
        <w:pStyle w:val="5"/>
        <w:numPr>
          <w:ilvl w:val="3"/>
          <w:numId w:val="73"/>
        </w:numPr>
        <w:tabs>
          <w:tab w:val="left" w:pos="1044"/>
        </w:tabs>
        <w:spacing w:before="185" w:after="0" w:line="240" w:lineRule="auto"/>
        <w:ind w:left="1044" w:right="0" w:hanging="829"/>
        <w:jc w:val="left"/>
      </w:pPr>
      <w:r>
        <w:t>监测点位及监测因子</w:t>
      </w:r>
    </w:p>
    <w:p>
      <w:pPr>
        <w:pStyle w:val="6"/>
        <w:spacing w:before="158" w:line="364" w:lineRule="auto"/>
        <w:ind w:left="696" w:right="1411"/>
      </w:pPr>
      <w:r>
        <w:rPr>
          <w:spacing w:val="-5"/>
        </w:rPr>
        <w:t xml:space="preserve">监测点位：工业场地范围内 </w:t>
      </w:r>
      <w:r>
        <w:rPr>
          <w:rFonts w:ascii="Times New Roman" w:eastAsia="Times New Roman"/>
        </w:rPr>
        <w:t xml:space="preserve">1 </w:t>
      </w:r>
      <w:r>
        <w:t>个表层样</w:t>
      </w:r>
      <w:r>
        <w:rPr>
          <w:rFonts w:ascii="Times New Roman" w:eastAsia="Times New Roman"/>
        </w:rPr>
        <w:t>+</w:t>
      </w:r>
      <w:r>
        <w:rPr>
          <w:spacing w:val="-6"/>
        </w:rPr>
        <w:t xml:space="preserve">工业场地占地范围外 </w:t>
      </w:r>
      <w:r>
        <w:rPr>
          <w:rFonts w:ascii="Times New Roman" w:eastAsia="Times New Roman"/>
        </w:rPr>
        <w:t xml:space="preserve">2 </w:t>
      </w:r>
      <w:r>
        <w:rPr>
          <w:spacing w:val="-4"/>
        </w:rPr>
        <w:t>个表层样。</w:t>
      </w:r>
      <w:r>
        <w:t>监测因子：</w:t>
      </w:r>
    </w:p>
    <w:p>
      <w:pPr>
        <w:pStyle w:val="6"/>
        <w:spacing w:line="364" w:lineRule="auto"/>
        <w:ind w:left="215" w:right="453" w:firstLine="480"/>
      </w:pPr>
      <w:r>
        <w:rPr>
          <w:spacing w:val="-6"/>
        </w:rPr>
        <w:t xml:space="preserve">工业场地范围内 </w:t>
      </w:r>
      <w:r>
        <w:rPr>
          <w:rFonts w:ascii="Times New Roman" w:eastAsia="Times New Roman"/>
        </w:rPr>
        <w:t xml:space="preserve">1 </w:t>
      </w:r>
      <w:r>
        <w:rPr>
          <w:spacing w:val="1"/>
        </w:rPr>
        <w:t>个表层样</w:t>
      </w:r>
      <w:r>
        <w:rPr>
          <w:rFonts w:ascii="Times New Roman" w:eastAsia="Times New Roman"/>
          <w:spacing w:val="4"/>
        </w:rPr>
        <w:t>-</w:t>
      </w:r>
      <w:r>
        <w:t>建设用地：</w:t>
      </w:r>
      <w:r>
        <w:rPr>
          <w:rFonts w:ascii="Times New Roman" w:eastAsia="Times New Roman"/>
        </w:rPr>
        <w:t>pH</w:t>
      </w:r>
      <w:r>
        <w:t>、含盐量、砷、镉、六价铬、铜、铅、</w:t>
      </w:r>
      <w:r>
        <w:rPr>
          <w:spacing w:val="-10"/>
        </w:rPr>
        <w:t>汞、镍、四氯化碳、氯仿、氯甲烷、</w:t>
      </w:r>
      <w:r>
        <w:rPr>
          <w:rFonts w:ascii="Times New Roman" w:eastAsia="Times New Roman"/>
        </w:rPr>
        <w:t>1,1-</w:t>
      </w:r>
      <w:r>
        <w:rPr>
          <w:spacing w:val="-4"/>
        </w:rPr>
        <w:t>二氯乙烷、</w:t>
      </w:r>
      <w:r>
        <w:rPr>
          <w:rFonts w:ascii="Times New Roman" w:eastAsia="Times New Roman"/>
        </w:rPr>
        <w:t>1,2-</w:t>
      </w:r>
      <w:r>
        <w:rPr>
          <w:spacing w:val="-4"/>
        </w:rPr>
        <w:t>二氯乙烷、</w:t>
      </w:r>
      <w:r>
        <w:rPr>
          <w:rFonts w:ascii="Times New Roman" w:eastAsia="Times New Roman"/>
        </w:rPr>
        <w:t>1,1-</w:t>
      </w:r>
      <w:r>
        <w:rPr>
          <w:spacing w:val="-4"/>
        </w:rPr>
        <w:t>二氯乙烯、顺</w:t>
      </w:r>
      <w:r>
        <w:rPr>
          <w:rFonts w:ascii="Times New Roman" w:eastAsia="Times New Roman"/>
        </w:rPr>
        <w:t xml:space="preserve">-1,2- </w:t>
      </w:r>
      <w:r>
        <w:t>二氯乙烯、反</w:t>
      </w:r>
      <w:r>
        <w:rPr>
          <w:rFonts w:ascii="Times New Roman" w:eastAsia="Times New Roman"/>
        </w:rPr>
        <w:t>-1,2-</w:t>
      </w:r>
      <w:r>
        <w:t>二氯乙烯、二氯甲烷、</w:t>
      </w:r>
      <w:r>
        <w:rPr>
          <w:rFonts w:ascii="Times New Roman" w:eastAsia="Times New Roman"/>
        </w:rPr>
        <w:t>1,2-</w:t>
      </w:r>
      <w:r>
        <w:t>二氯丙烷、</w:t>
      </w:r>
      <w:r>
        <w:rPr>
          <w:rFonts w:ascii="Times New Roman" w:eastAsia="Times New Roman"/>
        </w:rPr>
        <w:t>1,1,1,2-</w:t>
      </w:r>
      <w:r>
        <w:t>四氯乙烷、</w:t>
      </w:r>
      <w:r>
        <w:rPr>
          <w:rFonts w:ascii="Times New Roman" w:eastAsia="Times New Roman"/>
        </w:rPr>
        <w:t>1,1,2,2-</w:t>
      </w:r>
      <w:r>
        <w:t>四氯</w:t>
      </w:r>
      <w:r>
        <w:rPr>
          <w:spacing w:val="-7"/>
        </w:rPr>
        <w:t>乙烷、四氯乙烯、</w:t>
      </w:r>
      <w:r>
        <w:rPr>
          <w:rFonts w:ascii="Times New Roman" w:eastAsia="Times New Roman"/>
        </w:rPr>
        <w:t>1,1,1-</w:t>
      </w:r>
      <w:r>
        <w:rPr>
          <w:spacing w:val="-4"/>
        </w:rPr>
        <w:t>三氯乙烷、</w:t>
      </w:r>
      <w:r>
        <w:rPr>
          <w:rFonts w:ascii="Times New Roman" w:eastAsia="Times New Roman"/>
        </w:rPr>
        <w:t>1,1,2-</w:t>
      </w:r>
      <w:r>
        <w:rPr>
          <w:spacing w:val="-6"/>
        </w:rPr>
        <w:t>三氯乙烷、三氯乙烯、</w:t>
      </w:r>
      <w:r>
        <w:rPr>
          <w:rFonts w:ascii="Times New Roman" w:eastAsia="Times New Roman"/>
        </w:rPr>
        <w:t>1,2,3-</w:t>
      </w:r>
      <w:r>
        <w:rPr>
          <w:spacing w:val="-4"/>
        </w:rPr>
        <w:t>三氯丙烷、氯乙烯、</w:t>
      </w:r>
      <w:r>
        <w:rPr>
          <w:spacing w:val="-3"/>
        </w:rPr>
        <w:t>苯、氯苯、</w:t>
      </w:r>
      <w:r>
        <w:rPr>
          <w:rFonts w:ascii="Times New Roman" w:eastAsia="Times New Roman"/>
        </w:rPr>
        <w:t>1,2-</w:t>
      </w:r>
      <w:r>
        <w:t>二氯苯、</w:t>
      </w:r>
      <w:r>
        <w:rPr>
          <w:rFonts w:ascii="Times New Roman" w:eastAsia="Times New Roman"/>
        </w:rPr>
        <w:t>1,4-</w:t>
      </w:r>
      <w:r>
        <w:t>二氯苯、乙苯、苯乙烯、甲苯、间二甲苯</w:t>
      </w:r>
      <w:r>
        <w:rPr>
          <w:rFonts w:ascii="Times New Roman" w:eastAsia="Times New Roman"/>
        </w:rPr>
        <w:t>+</w:t>
      </w:r>
      <w:r>
        <w:t>对二甲苯、邻二甲苯、硝基苯、苯胺、</w:t>
      </w:r>
      <w:r>
        <w:rPr>
          <w:rFonts w:ascii="Times New Roman" w:eastAsia="Times New Roman"/>
        </w:rPr>
        <w:t>2-</w:t>
      </w:r>
      <w:r>
        <w:t>氯酚、苯并</w:t>
      </w:r>
      <w:r>
        <w:rPr>
          <w:rFonts w:ascii="Times New Roman" w:eastAsia="Times New Roman"/>
        </w:rPr>
        <w:t>[a]</w:t>
      </w:r>
      <w:r>
        <w:t>蒽、苯并</w:t>
      </w:r>
      <w:r>
        <w:rPr>
          <w:rFonts w:ascii="Times New Roman" w:eastAsia="Times New Roman"/>
        </w:rPr>
        <w:t>[a]</w:t>
      </w:r>
      <w:r>
        <w:t>芘、苯并</w:t>
      </w:r>
      <w:r>
        <w:rPr>
          <w:rFonts w:ascii="Times New Roman" w:eastAsia="Times New Roman"/>
        </w:rPr>
        <w:t>[b]</w:t>
      </w:r>
      <w:r>
        <w:t>荧蒽、苯并</w:t>
      </w:r>
      <w:r>
        <w:rPr>
          <w:rFonts w:ascii="Times New Roman" w:eastAsia="Times New Roman"/>
        </w:rPr>
        <w:t>[k]</w:t>
      </w:r>
      <w:r>
        <w:t>荧蒽、䓛、二苯并</w:t>
      </w:r>
      <w:r>
        <w:rPr>
          <w:rFonts w:ascii="Times New Roman" w:eastAsia="Times New Roman"/>
        </w:rPr>
        <w:t>[a,h]</w:t>
      </w:r>
      <w:r>
        <w:t>蒽、茚并</w:t>
      </w:r>
      <w:r>
        <w:rPr>
          <w:rFonts w:ascii="Times New Roman" w:eastAsia="Times New Roman"/>
        </w:rPr>
        <w:t>[1,2,3-cd]</w:t>
      </w:r>
      <w:r>
        <w:t>芘、萘、石油烃（</w:t>
      </w:r>
      <w:r>
        <w:rPr>
          <w:rFonts w:ascii="Times New Roman" w:eastAsia="Times New Roman"/>
        </w:rPr>
        <w:t>C10</w:t>
      </w:r>
      <w:r>
        <w:t>～</w:t>
      </w:r>
      <w:r>
        <w:rPr>
          <w:rFonts w:ascii="Times New Roman" w:eastAsia="Times New Roman"/>
        </w:rPr>
        <w:t>C40</w:t>
      </w:r>
      <w:r>
        <w:t>）；</w:t>
      </w:r>
    </w:p>
    <w:p>
      <w:pPr>
        <w:pStyle w:val="6"/>
        <w:spacing w:line="362" w:lineRule="auto"/>
        <w:ind w:left="215" w:right="466" w:firstLine="480"/>
      </w:pPr>
      <w:r>
        <w:t xml:space="preserve">工业场地占地范围外 </w:t>
      </w:r>
      <w:r>
        <w:rPr>
          <w:rFonts w:ascii="Times New Roman" w:eastAsia="Times New Roman"/>
        </w:rPr>
        <w:t xml:space="preserve">2 </w:t>
      </w:r>
      <w:r>
        <w:t>个表层样农用地：</w:t>
      </w:r>
      <w:r>
        <w:rPr>
          <w:rFonts w:ascii="Times New Roman" w:eastAsia="Times New Roman"/>
        </w:rPr>
        <w:t>pH</w:t>
      </w:r>
      <w:r>
        <w:t>、含盐量、镉、汞、砷、铅、铬、铜、镍、锌。</w:t>
      </w:r>
    </w:p>
    <w:p>
      <w:pPr>
        <w:pStyle w:val="5"/>
        <w:numPr>
          <w:ilvl w:val="3"/>
          <w:numId w:val="73"/>
        </w:numPr>
        <w:tabs>
          <w:tab w:val="left" w:pos="1044"/>
        </w:tabs>
        <w:spacing w:before="1" w:after="0" w:line="240" w:lineRule="auto"/>
        <w:ind w:left="1044" w:right="0" w:hanging="829"/>
        <w:jc w:val="left"/>
      </w:pPr>
      <w:r>
        <w:t>监测采样时间及频率</w:t>
      </w:r>
    </w:p>
    <w:p>
      <w:pPr>
        <w:pStyle w:val="6"/>
        <w:spacing w:before="160"/>
        <w:ind w:left="696"/>
      </w:pPr>
      <w:r>
        <w:rPr>
          <w:rFonts w:ascii="Times New Roman" w:eastAsia="Times New Roman"/>
        </w:rPr>
        <w:t xml:space="preserve">2020 </w:t>
      </w:r>
      <w:r>
        <w:t xml:space="preserve">年 </w:t>
      </w:r>
      <w:r>
        <w:rPr>
          <w:rFonts w:ascii="Times New Roman" w:eastAsia="Times New Roman"/>
        </w:rPr>
        <w:t xml:space="preserve">05 </w:t>
      </w:r>
      <w:r>
        <w:t xml:space="preserve">月 </w:t>
      </w:r>
      <w:r>
        <w:rPr>
          <w:rFonts w:ascii="Times New Roman" w:eastAsia="Times New Roman"/>
        </w:rPr>
        <w:t xml:space="preserve">24 </w:t>
      </w:r>
      <w:r>
        <w:t xml:space="preserve">日，采样 </w:t>
      </w:r>
      <w:r>
        <w:rPr>
          <w:rFonts w:ascii="Times New Roman" w:eastAsia="Times New Roman"/>
        </w:rPr>
        <w:t xml:space="preserve">1 </w:t>
      </w:r>
      <w:r>
        <w:t>次。</w:t>
      </w:r>
    </w:p>
    <w:p>
      <w:pPr>
        <w:pStyle w:val="5"/>
        <w:numPr>
          <w:ilvl w:val="3"/>
          <w:numId w:val="73"/>
        </w:numPr>
        <w:tabs>
          <w:tab w:val="left" w:pos="1044"/>
        </w:tabs>
        <w:spacing w:before="158" w:after="0" w:line="240" w:lineRule="auto"/>
        <w:ind w:left="1044" w:right="0" w:hanging="829"/>
        <w:jc w:val="left"/>
      </w:pPr>
      <w:r>
        <w:t>监测分析方法</w:t>
      </w:r>
    </w:p>
    <w:p>
      <w:pPr>
        <w:pStyle w:val="6"/>
        <w:spacing w:before="161"/>
        <w:ind w:left="696"/>
      </w:pPr>
      <w:r>
        <w:t xml:space="preserve">土壤污染物监测分析方法详见表 </w:t>
      </w:r>
      <w:r>
        <w:rPr>
          <w:rFonts w:ascii="Times New Roman" w:eastAsia="Times New Roman"/>
        </w:rPr>
        <w:t>11.3-1</w:t>
      </w:r>
      <w:r>
        <w:t>。</w:t>
      </w:r>
    </w:p>
    <w:p>
      <w:pPr>
        <w:pStyle w:val="5"/>
        <w:tabs>
          <w:tab w:val="left" w:pos="1147"/>
        </w:tabs>
        <w:spacing w:before="158" w:after="4"/>
        <w:ind w:right="350"/>
        <w:jc w:val="center"/>
      </w:pPr>
      <w:r>
        <w:t>表</w:t>
      </w:r>
      <w:r>
        <w:rPr>
          <w:spacing w:val="-61"/>
        </w:rPr>
        <w:t xml:space="preserve"> </w:t>
      </w:r>
      <w:r>
        <w:rPr>
          <w:rFonts w:ascii="Times New Roman" w:eastAsia="Times New Roman"/>
          <w:spacing w:val="-3"/>
        </w:rPr>
        <w:t>11.3-1</w:t>
      </w:r>
      <w:r>
        <w:rPr>
          <w:rFonts w:ascii="Times New Roman" w:eastAsia="Times New Roman"/>
          <w:spacing w:val="-3"/>
        </w:rPr>
        <w:tab/>
      </w:r>
      <w:r>
        <w:t>土壤环境质量监测分析方法</w:t>
      </w:r>
    </w:p>
    <w:tbl>
      <w:tblPr>
        <w:tblStyle w:val="10"/>
        <w:tblW w:w="0" w:type="auto"/>
        <w:tblInd w:w="2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1"/>
        <w:gridCol w:w="73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4"/>
              <w:ind w:left="435"/>
              <w:jc w:val="left"/>
              <w:rPr>
                <w:b/>
                <w:sz w:val="21"/>
              </w:rPr>
            </w:pPr>
            <w:bookmarkStart w:id="855" w:name="分析项目"/>
            <w:bookmarkEnd w:id="855"/>
            <w:r>
              <w:rPr>
                <w:b/>
                <w:sz w:val="21"/>
              </w:rPr>
              <w:t>分析项目</w:t>
            </w:r>
          </w:p>
        </w:tc>
        <w:tc>
          <w:tcPr>
            <w:tcW w:w="7329" w:type="dxa"/>
          </w:tcPr>
          <w:p>
            <w:pPr>
              <w:pStyle w:val="14"/>
              <w:spacing w:before="64"/>
              <w:ind w:left="436" w:right="425"/>
              <w:rPr>
                <w:b/>
                <w:sz w:val="21"/>
              </w:rPr>
            </w:pPr>
            <w:bookmarkStart w:id="856" w:name="分析方法"/>
            <w:bookmarkEnd w:id="856"/>
            <w:r>
              <w:rPr>
                <w:b/>
                <w:sz w:val="21"/>
              </w:rPr>
              <w:t>分析方法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4"/>
              <w:ind w:left="64" w:right="56"/>
              <w:rPr>
                <w:sz w:val="21"/>
              </w:rPr>
            </w:pPr>
            <w:bookmarkStart w:id="857" w:name="pH值"/>
            <w:bookmarkEnd w:id="857"/>
            <w:r>
              <w:rPr>
                <w:rFonts w:ascii="Times New Roman" w:eastAsia="Times New Roman"/>
                <w:sz w:val="21"/>
              </w:rPr>
              <w:t xml:space="preserve">pH </w:t>
            </w:r>
            <w:r>
              <w:rPr>
                <w:sz w:val="21"/>
              </w:rPr>
              <w:t>值</w:t>
            </w:r>
          </w:p>
        </w:tc>
        <w:tc>
          <w:tcPr>
            <w:tcW w:w="7329" w:type="dxa"/>
          </w:tcPr>
          <w:p>
            <w:pPr>
              <w:pStyle w:val="14"/>
              <w:spacing w:before="64"/>
              <w:ind w:left="1940"/>
              <w:jc w:val="left"/>
              <w:rPr>
                <w:rFonts w:ascii="Times New Roman" w:eastAsia="Times New Roman"/>
                <w:sz w:val="21"/>
              </w:rPr>
            </w:pPr>
            <w:bookmarkStart w:id="858" w:name="土壤pH值的测定电位法 HJ 962-2018"/>
            <w:bookmarkEnd w:id="858"/>
            <w:r>
              <w:rPr>
                <w:sz w:val="21"/>
              </w:rPr>
              <w:t xml:space="preserve">土壤 </w:t>
            </w:r>
            <w:r>
              <w:rPr>
                <w:rFonts w:ascii="Times New Roman" w:eastAsia="Times New Roman"/>
                <w:sz w:val="21"/>
              </w:rPr>
              <w:t xml:space="preserve">pH </w:t>
            </w:r>
            <w:r>
              <w:rPr>
                <w:sz w:val="21"/>
              </w:rPr>
              <w:t xml:space="preserve">值的测定电位法 </w:t>
            </w:r>
            <w:r>
              <w:rPr>
                <w:rFonts w:ascii="Times New Roman" w:eastAsia="Times New Roman"/>
                <w:sz w:val="21"/>
              </w:rPr>
              <w:t>HJ 962-2018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4"/>
              <w:ind w:right="99"/>
              <w:jc w:val="right"/>
              <w:rPr>
                <w:sz w:val="21"/>
              </w:rPr>
            </w:pPr>
            <w:bookmarkStart w:id="859" w:name="水溶性盐（含盐量）"/>
            <w:bookmarkEnd w:id="859"/>
            <w:r>
              <w:rPr>
                <w:w w:val="95"/>
                <w:sz w:val="21"/>
              </w:rPr>
              <w:t>水溶性盐（含盐量</w:t>
            </w:r>
          </w:p>
        </w:tc>
        <w:tc>
          <w:tcPr>
            <w:tcW w:w="7329" w:type="dxa"/>
          </w:tcPr>
          <w:p>
            <w:pPr>
              <w:pStyle w:val="14"/>
              <w:tabs>
                <w:tab w:val="left" w:pos="603"/>
              </w:tabs>
              <w:spacing w:before="64"/>
              <w:ind w:left="-112"/>
              <w:jc w:val="left"/>
              <w:rPr>
                <w:rFonts w:ascii="Times New Roman" w:eastAsia="Times New Roman"/>
                <w:sz w:val="21"/>
              </w:rPr>
            </w:pPr>
            <w:r>
              <w:rPr>
                <w:sz w:val="21"/>
              </w:rPr>
              <w:t>）</w:t>
            </w:r>
            <w:r>
              <w:rPr>
                <w:sz w:val="21"/>
              </w:rPr>
              <w:tab/>
            </w:r>
            <w:bookmarkStart w:id="860" w:name="土壤检测第16部分：土壤水溶性盐总量的测定 NY/T 1121.16-2006"/>
            <w:bookmarkEnd w:id="860"/>
            <w:r>
              <w:rPr>
                <w:spacing w:val="-10"/>
                <w:sz w:val="21"/>
              </w:rPr>
              <w:t xml:space="preserve">土壤检测第 </w:t>
            </w:r>
            <w:r>
              <w:rPr>
                <w:rFonts w:ascii="Times New Roman" w:eastAsia="Times New Roman"/>
                <w:sz w:val="21"/>
              </w:rPr>
              <w:t xml:space="preserve">16 </w:t>
            </w:r>
            <w:r>
              <w:rPr>
                <w:spacing w:val="-1"/>
                <w:sz w:val="21"/>
              </w:rPr>
              <w:t xml:space="preserve">部分：土壤水溶性盐总量的测定 </w:t>
            </w:r>
            <w:r>
              <w:rPr>
                <w:rFonts w:ascii="Times New Roman" w:eastAsia="Times New Roman"/>
                <w:sz w:val="21"/>
              </w:rPr>
              <w:t>NY/T</w:t>
            </w:r>
            <w:r>
              <w:rPr>
                <w:rFonts w:ascii="Times New Roman" w:eastAsia="Times New Roman"/>
                <w:spacing w:val="1"/>
                <w:sz w:val="21"/>
              </w:rPr>
              <w:t xml:space="preserve"> </w:t>
            </w:r>
            <w:r>
              <w:rPr>
                <w:rFonts w:ascii="Times New Roman" w:eastAsia="Times New Roman"/>
                <w:sz w:val="21"/>
              </w:rPr>
              <w:t>1121.16-2006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711" w:type="dxa"/>
          </w:tcPr>
          <w:p>
            <w:pPr>
              <w:pStyle w:val="14"/>
              <w:spacing w:before="85"/>
              <w:ind w:left="7"/>
              <w:rPr>
                <w:sz w:val="21"/>
              </w:rPr>
            </w:pPr>
            <w:bookmarkStart w:id="861" w:name="砷"/>
            <w:bookmarkEnd w:id="861"/>
            <w:r>
              <w:rPr>
                <w:w w:val="99"/>
                <w:sz w:val="21"/>
              </w:rPr>
              <w:t>砷</w:t>
            </w:r>
          </w:p>
        </w:tc>
        <w:tc>
          <w:tcPr>
            <w:tcW w:w="7329" w:type="dxa"/>
          </w:tcPr>
          <w:p>
            <w:pPr>
              <w:pStyle w:val="14"/>
              <w:spacing w:before="66"/>
              <w:ind w:left="558"/>
              <w:jc w:val="left"/>
              <w:rPr>
                <w:rFonts w:ascii="Times New Roman" w:eastAsia="Times New Roman"/>
                <w:sz w:val="21"/>
              </w:rPr>
            </w:pPr>
            <w:r>
              <w:rPr>
                <w:sz w:val="21"/>
              </w:rPr>
              <w:t xml:space="preserve">土壤质量 总汞、总砷、总铅的测定 原子荧光法 </w:t>
            </w:r>
            <w:r>
              <w:rPr>
                <w:rFonts w:ascii="Times New Roman" w:eastAsia="Times New Roman"/>
                <w:sz w:val="21"/>
              </w:rPr>
              <w:t>GB/T 22105.2-2008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6"/>
              <w:ind w:left="7"/>
              <w:rPr>
                <w:sz w:val="21"/>
              </w:rPr>
            </w:pPr>
            <w:r>
              <w:rPr>
                <w:w w:val="99"/>
                <w:sz w:val="21"/>
              </w:rPr>
              <w:t>镉</w:t>
            </w:r>
          </w:p>
        </w:tc>
        <w:tc>
          <w:tcPr>
            <w:tcW w:w="7329" w:type="dxa"/>
          </w:tcPr>
          <w:p>
            <w:pPr>
              <w:pStyle w:val="14"/>
              <w:spacing w:before="66"/>
              <w:ind w:left="452"/>
              <w:jc w:val="left"/>
              <w:rPr>
                <w:rFonts w:ascii="Times New Roman" w:eastAsia="Times New Roman"/>
                <w:sz w:val="21"/>
              </w:rPr>
            </w:pPr>
            <w:r>
              <w:rPr>
                <w:sz w:val="21"/>
              </w:rPr>
              <w:t xml:space="preserve">土壤质量 铅、镉的测定 石墨炉原子吸收分光光度法 </w:t>
            </w:r>
            <w:r>
              <w:rPr>
                <w:rFonts w:ascii="Times New Roman" w:eastAsia="Times New Roman"/>
                <w:sz w:val="21"/>
              </w:rPr>
              <w:t>GB/T 17141-1997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85"/>
              <w:ind w:left="329"/>
              <w:jc w:val="left"/>
              <w:rPr>
                <w:sz w:val="21"/>
              </w:rPr>
            </w:pPr>
            <w:bookmarkStart w:id="862" w:name="铬（六价）"/>
            <w:bookmarkEnd w:id="862"/>
            <w:r>
              <w:rPr>
                <w:sz w:val="21"/>
              </w:rPr>
              <w:t>铬（六价）</w:t>
            </w:r>
          </w:p>
        </w:tc>
        <w:tc>
          <w:tcPr>
            <w:tcW w:w="7329" w:type="dxa"/>
          </w:tcPr>
          <w:p>
            <w:pPr>
              <w:pStyle w:val="14"/>
              <w:spacing w:before="65"/>
              <w:ind w:left="440"/>
              <w:jc w:val="left"/>
              <w:rPr>
                <w:rFonts w:ascii="Times New Roman" w:eastAsia="Times New Roman"/>
                <w:sz w:val="21"/>
              </w:rPr>
            </w:pPr>
            <w:r>
              <w:rPr>
                <w:sz w:val="21"/>
              </w:rPr>
              <w:t>固体废物 六价铬的测定 碱消解</w:t>
            </w:r>
            <w:r>
              <w:rPr>
                <w:rFonts w:ascii="Times New Roman" w:eastAsia="Times New Roman"/>
                <w:sz w:val="21"/>
              </w:rPr>
              <w:t>/</w:t>
            </w:r>
            <w:r>
              <w:rPr>
                <w:sz w:val="21"/>
              </w:rPr>
              <w:t xml:space="preserve">火焰原子吸收分光光度法 </w:t>
            </w:r>
            <w:r>
              <w:rPr>
                <w:rFonts w:ascii="Times New Roman" w:eastAsia="Times New Roman"/>
                <w:sz w:val="21"/>
              </w:rPr>
              <w:t>HJ 687-2014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87"/>
              <w:ind w:left="7"/>
              <w:rPr>
                <w:sz w:val="21"/>
              </w:rPr>
            </w:pPr>
            <w:bookmarkStart w:id="863" w:name="铅"/>
            <w:bookmarkEnd w:id="863"/>
            <w:r>
              <w:rPr>
                <w:w w:val="99"/>
                <w:sz w:val="21"/>
              </w:rPr>
              <w:t>铅</w:t>
            </w:r>
          </w:p>
        </w:tc>
        <w:tc>
          <w:tcPr>
            <w:tcW w:w="7329" w:type="dxa"/>
          </w:tcPr>
          <w:p>
            <w:pPr>
              <w:pStyle w:val="14"/>
              <w:spacing w:before="65"/>
              <w:ind w:left="452"/>
              <w:jc w:val="left"/>
              <w:rPr>
                <w:rFonts w:ascii="Times New Roman" w:eastAsia="Times New Roman"/>
                <w:sz w:val="21"/>
              </w:rPr>
            </w:pPr>
            <w:r>
              <w:rPr>
                <w:sz w:val="21"/>
              </w:rPr>
              <w:t xml:space="preserve">土壤质量 铅、镉的测定 石墨炉原子吸收分光光度法 </w:t>
            </w:r>
            <w:r>
              <w:rPr>
                <w:rFonts w:ascii="Times New Roman" w:eastAsia="Times New Roman"/>
                <w:sz w:val="21"/>
              </w:rPr>
              <w:t>GB/T 17141-1997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87"/>
              <w:ind w:left="7"/>
              <w:rPr>
                <w:sz w:val="21"/>
              </w:rPr>
            </w:pPr>
            <w:bookmarkStart w:id="864" w:name="汞"/>
            <w:bookmarkEnd w:id="864"/>
            <w:r>
              <w:rPr>
                <w:w w:val="99"/>
                <w:sz w:val="21"/>
              </w:rPr>
              <w:t>汞</w:t>
            </w:r>
          </w:p>
        </w:tc>
        <w:tc>
          <w:tcPr>
            <w:tcW w:w="7329" w:type="dxa"/>
          </w:tcPr>
          <w:p>
            <w:pPr>
              <w:pStyle w:val="14"/>
              <w:spacing w:before="65"/>
              <w:ind w:left="558"/>
              <w:jc w:val="left"/>
              <w:rPr>
                <w:rFonts w:ascii="Times New Roman" w:eastAsia="Times New Roman"/>
                <w:sz w:val="21"/>
              </w:rPr>
            </w:pPr>
            <w:r>
              <w:rPr>
                <w:sz w:val="21"/>
              </w:rPr>
              <w:t xml:space="preserve">土壤质量 总汞、总砷、总铅的测定 原子荧光法 </w:t>
            </w:r>
            <w:r>
              <w:rPr>
                <w:rFonts w:ascii="Times New Roman" w:eastAsia="Times New Roman"/>
                <w:sz w:val="21"/>
              </w:rPr>
              <w:t>GB/T 22105.1-2008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711" w:type="dxa"/>
          </w:tcPr>
          <w:p>
            <w:pPr>
              <w:pStyle w:val="14"/>
              <w:spacing w:before="65"/>
              <w:ind w:right="111"/>
              <w:jc w:val="right"/>
              <w:rPr>
                <w:sz w:val="21"/>
              </w:rPr>
            </w:pPr>
            <w:r>
              <w:rPr>
                <w:w w:val="95"/>
                <w:sz w:val="21"/>
              </w:rPr>
              <w:t>铜、锌、镍、铬</w:t>
            </w:r>
          </w:p>
        </w:tc>
        <w:tc>
          <w:tcPr>
            <w:tcW w:w="7329" w:type="dxa"/>
          </w:tcPr>
          <w:p>
            <w:pPr>
              <w:pStyle w:val="14"/>
              <w:spacing w:before="65"/>
              <w:ind w:left="8" w:right="-15"/>
              <w:jc w:val="left"/>
              <w:rPr>
                <w:rFonts w:ascii="Times New Roman" w:eastAsia="Times New Roman"/>
                <w:sz w:val="21"/>
              </w:rPr>
            </w:pPr>
            <w:r>
              <w:rPr>
                <w:spacing w:val="-14"/>
                <w:sz w:val="21"/>
              </w:rPr>
              <w:t xml:space="preserve">土壤和沉积物 铜、锌、铅、镍、铬的测定 火焰原子吸收分光光度法 </w:t>
            </w:r>
            <w:r>
              <w:rPr>
                <w:rFonts w:ascii="Times New Roman" w:eastAsia="Times New Roman"/>
                <w:sz w:val="21"/>
              </w:rPr>
              <w:t>HJ</w:t>
            </w:r>
            <w:r>
              <w:rPr>
                <w:rFonts w:ascii="Times New Roman" w:eastAsia="Times New Roman"/>
                <w:spacing w:val="-2"/>
                <w:sz w:val="21"/>
              </w:rPr>
              <w:t xml:space="preserve"> </w:t>
            </w:r>
            <w:r>
              <w:rPr>
                <w:rFonts w:ascii="Times New Roman" w:eastAsia="Times New Roman"/>
                <w:sz w:val="21"/>
              </w:rPr>
              <w:t>491-2019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5"/>
              <w:ind w:left="435"/>
              <w:jc w:val="left"/>
              <w:rPr>
                <w:sz w:val="21"/>
              </w:rPr>
            </w:pPr>
            <w:r>
              <w:rPr>
                <w:sz w:val="21"/>
              </w:rPr>
              <w:t>四氯化碳</w:t>
            </w:r>
          </w:p>
        </w:tc>
        <w:tc>
          <w:tcPr>
            <w:tcW w:w="7329" w:type="dxa"/>
          </w:tcPr>
          <w:p>
            <w:pPr>
              <w:pStyle w:val="14"/>
              <w:spacing w:before="65"/>
              <w:ind w:left="483"/>
              <w:jc w:val="left"/>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 xml:space="preserve">质谱法 </w:t>
            </w:r>
            <w:r>
              <w:rPr>
                <w:rFonts w:ascii="Times New Roman" w:eastAsia="Times New Roman"/>
                <w:sz w:val="21"/>
              </w:rPr>
              <w:t>HJ736-2015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711" w:type="dxa"/>
          </w:tcPr>
          <w:p>
            <w:pPr>
              <w:pStyle w:val="14"/>
              <w:spacing w:before="65"/>
              <w:ind w:left="538"/>
              <w:jc w:val="left"/>
              <w:rPr>
                <w:sz w:val="21"/>
              </w:rPr>
            </w:pPr>
            <w:r>
              <w:rPr>
                <w:sz w:val="21"/>
              </w:rPr>
              <w:t>氯甲烷</w:t>
            </w:r>
          </w:p>
        </w:tc>
        <w:tc>
          <w:tcPr>
            <w:tcW w:w="7329" w:type="dxa"/>
          </w:tcPr>
          <w:p>
            <w:pPr>
              <w:pStyle w:val="14"/>
              <w:spacing w:before="65"/>
              <w:ind w:left="483"/>
              <w:jc w:val="left"/>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 xml:space="preserve">质谱法 </w:t>
            </w:r>
            <w:r>
              <w:rPr>
                <w:rFonts w:ascii="Times New Roman" w:eastAsia="Times New Roman"/>
                <w:sz w:val="21"/>
              </w:rPr>
              <w:t>HJ736-2015</w:t>
            </w:r>
          </w:p>
        </w:tc>
      </w:tr>
    </w:tbl>
    <w:p>
      <w:pPr>
        <w:spacing w:after="0"/>
        <w:jc w:val="left"/>
        <w:rPr>
          <w:rFonts w:ascii="Times New Roman" w:eastAsia="Times New Roman"/>
          <w:sz w:val="21"/>
        </w:rPr>
        <w:sectPr>
          <w:pgSz w:w="11910" w:h="16840"/>
          <w:pgMar w:top="1540" w:right="780" w:bottom="1320" w:left="1200" w:header="0" w:footer="1058" w:gutter="0"/>
        </w:sectPr>
      </w:pPr>
    </w:p>
    <w:tbl>
      <w:tblPr>
        <w:tblStyle w:val="10"/>
        <w:tblW w:w="0" w:type="auto"/>
        <w:tblInd w:w="2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1"/>
        <w:gridCol w:w="73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5"/>
              <w:ind w:left="64" w:right="57"/>
              <w:rPr>
                <w:sz w:val="21"/>
              </w:rPr>
            </w:pPr>
            <w:r>
              <w:rPr>
                <w:sz w:val="21"/>
              </w:rPr>
              <w:t>氯仿</w:t>
            </w:r>
            <w:r>
              <w:rPr>
                <w:rFonts w:ascii="Times New Roman" w:eastAsia="Times New Roman"/>
                <w:sz w:val="21"/>
              </w:rPr>
              <w:t>(</w:t>
            </w:r>
            <w:r>
              <w:rPr>
                <w:sz w:val="21"/>
              </w:rPr>
              <w:t>三氯甲烷）</w:t>
            </w:r>
          </w:p>
        </w:tc>
        <w:tc>
          <w:tcPr>
            <w:tcW w:w="7329" w:type="dxa"/>
          </w:tcPr>
          <w:p>
            <w:pPr>
              <w:pStyle w:val="14"/>
              <w:spacing w:before="65"/>
              <w:ind w:left="437" w:right="425"/>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 xml:space="preserve">质谱法 </w:t>
            </w:r>
            <w:r>
              <w:rPr>
                <w:rFonts w:ascii="Times New Roman" w:eastAsia="Times New Roman"/>
                <w:sz w:val="21"/>
              </w:rPr>
              <w:t>HJ736-2015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5"/>
              <w:ind w:left="64" w:right="57"/>
              <w:rPr>
                <w:sz w:val="21"/>
              </w:rPr>
            </w:pPr>
            <w:bookmarkStart w:id="865" w:name="1,1-二氯乙烷"/>
            <w:bookmarkEnd w:id="865"/>
            <w:r>
              <w:rPr>
                <w:rFonts w:ascii="Times New Roman" w:eastAsia="Times New Roman"/>
                <w:sz w:val="21"/>
              </w:rPr>
              <w:t>1,1-</w:t>
            </w:r>
            <w:r>
              <w:rPr>
                <w:sz w:val="21"/>
              </w:rPr>
              <w:t>二氯乙烷</w:t>
            </w:r>
          </w:p>
        </w:tc>
        <w:tc>
          <w:tcPr>
            <w:tcW w:w="7329" w:type="dxa"/>
          </w:tcPr>
          <w:p>
            <w:pPr>
              <w:pStyle w:val="14"/>
              <w:spacing w:before="65"/>
              <w:ind w:left="437" w:right="425"/>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 xml:space="preserve">质谱法 </w:t>
            </w:r>
            <w:r>
              <w:rPr>
                <w:rFonts w:ascii="Times New Roman" w:eastAsia="Times New Roman"/>
                <w:sz w:val="21"/>
              </w:rPr>
              <w:t>HJ736-2015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5"/>
              <w:ind w:left="64" w:right="57"/>
              <w:rPr>
                <w:sz w:val="21"/>
              </w:rPr>
            </w:pPr>
            <w:bookmarkStart w:id="866" w:name="1,2-二氯乙烷"/>
            <w:bookmarkEnd w:id="866"/>
            <w:r>
              <w:rPr>
                <w:rFonts w:ascii="Times New Roman" w:eastAsia="Times New Roman"/>
                <w:sz w:val="21"/>
              </w:rPr>
              <w:t>1,2-</w:t>
            </w:r>
            <w:r>
              <w:rPr>
                <w:sz w:val="21"/>
              </w:rPr>
              <w:t>二氯乙烷</w:t>
            </w:r>
          </w:p>
        </w:tc>
        <w:tc>
          <w:tcPr>
            <w:tcW w:w="7329" w:type="dxa"/>
          </w:tcPr>
          <w:p>
            <w:pPr>
              <w:pStyle w:val="14"/>
              <w:spacing w:before="65"/>
              <w:ind w:left="437" w:right="425"/>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 xml:space="preserve">质谱法 </w:t>
            </w:r>
            <w:r>
              <w:rPr>
                <w:rFonts w:ascii="Times New Roman" w:eastAsia="Times New Roman"/>
                <w:sz w:val="21"/>
              </w:rPr>
              <w:t>HJ736-2015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5"/>
              <w:ind w:left="64" w:right="57"/>
              <w:rPr>
                <w:sz w:val="21"/>
              </w:rPr>
            </w:pPr>
            <w:bookmarkStart w:id="867" w:name="1,1-二氯乙烯"/>
            <w:bookmarkEnd w:id="867"/>
            <w:r>
              <w:rPr>
                <w:rFonts w:ascii="Times New Roman" w:eastAsia="Times New Roman"/>
                <w:sz w:val="21"/>
              </w:rPr>
              <w:t>1,1-</w:t>
            </w:r>
            <w:r>
              <w:rPr>
                <w:sz w:val="21"/>
              </w:rPr>
              <w:t>二氯乙烯</w:t>
            </w:r>
          </w:p>
        </w:tc>
        <w:tc>
          <w:tcPr>
            <w:tcW w:w="7329" w:type="dxa"/>
          </w:tcPr>
          <w:p>
            <w:pPr>
              <w:pStyle w:val="14"/>
              <w:spacing w:before="65"/>
              <w:ind w:left="437" w:right="425"/>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 xml:space="preserve">质谱法 </w:t>
            </w:r>
            <w:r>
              <w:rPr>
                <w:rFonts w:ascii="Times New Roman" w:eastAsia="Times New Roman"/>
                <w:sz w:val="21"/>
              </w:rPr>
              <w:t>HJ736-2015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711" w:type="dxa"/>
          </w:tcPr>
          <w:p>
            <w:pPr>
              <w:pStyle w:val="14"/>
              <w:spacing w:before="67"/>
              <w:ind w:left="64" w:right="54"/>
              <w:rPr>
                <w:sz w:val="21"/>
              </w:rPr>
            </w:pPr>
            <w:r>
              <w:rPr>
                <w:sz w:val="21"/>
              </w:rPr>
              <w:t>顺</w:t>
            </w:r>
            <w:r>
              <w:rPr>
                <w:rFonts w:ascii="Times New Roman" w:eastAsia="Times New Roman"/>
                <w:sz w:val="21"/>
              </w:rPr>
              <w:t>-1,2-</w:t>
            </w:r>
            <w:r>
              <w:rPr>
                <w:sz w:val="21"/>
              </w:rPr>
              <w:t>二氯乙烯</w:t>
            </w:r>
          </w:p>
        </w:tc>
        <w:tc>
          <w:tcPr>
            <w:tcW w:w="7329" w:type="dxa"/>
          </w:tcPr>
          <w:p>
            <w:pPr>
              <w:pStyle w:val="14"/>
              <w:spacing w:before="67"/>
              <w:ind w:left="437" w:right="425"/>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 xml:space="preserve">质谱法 </w:t>
            </w:r>
            <w:r>
              <w:rPr>
                <w:rFonts w:ascii="Times New Roman" w:eastAsia="Times New Roman"/>
                <w:sz w:val="21"/>
              </w:rPr>
              <w:t>HJ736-2015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7"/>
              <w:ind w:left="64" w:right="54"/>
              <w:rPr>
                <w:sz w:val="21"/>
              </w:rPr>
            </w:pPr>
            <w:r>
              <w:rPr>
                <w:sz w:val="21"/>
              </w:rPr>
              <w:t>反</w:t>
            </w:r>
            <w:r>
              <w:rPr>
                <w:rFonts w:ascii="Times New Roman" w:eastAsia="Times New Roman"/>
                <w:sz w:val="21"/>
              </w:rPr>
              <w:t>-1,2-</w:t>
            </w:r>
            <w:r>
              <w:rPr>
                <w:sz w:val="21"/>
              </w:rPr>
              <w:t>二氯乙烯</w:t>
            </w:r>
          </w:p>
        </w:tc>
        <w:tc>
          <w:tcPr>
            <w:tcW w:w="7329" w:type="dxa"/>
          </w:tcPr>
          <w:p>
            <w:pPr>
              <w:pStyle w:val="14"/>
              <w:spacing w:before="67"/>
              <w:ind w:left="437" w:right="425"/>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 xml:space="preserve">质谱法 </w:t>
            </w:r>
            <w:r>
              <w:rPr>
                <w:rFonts w:ascii="Times New Roman" w:eastAsia="Times New Roman"/>
                <w:sz w:val="21"/>
              </w:rPr>
              <w:t>HJ736-2015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6"/>
              <w:ind w:left="64" w:right="57"/>
              <w:rPr>
                <w:sz w:val="21"/>
              </w:rPr>
            </w:pPr>
            <w:r>
              <w:rPr>
                <w:sz w:val="21"/>
              </w:rPr>
              <w:t>二氯甲烷</w:t>
            </w:r>
          </w:p>
        </w:tc>
        <w:tc>
          <w:tcPr>
            <w:tcW w:w="7329" w:type="dxa"/>
          </w:tcPr>
          <w:p>
            <w:pPr>
              <w:pStyle w:val="14"/>
              <w:spacing w:before="66"/>
              <w:ind w:left="437" w:right="425"/>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 xml:space="preserve">质谱法 </w:t>
            </w:r>
            <w:r>
              <w:rPr>
                <w:rFonts w:ascii="Times New Roman" w:eastAsia="Times New Roman"/>
                <w:sz w:val="21"/>
              </w:rPr>
              <w:t>HJ736-2015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6"/>
              <w:ind w:left="64" w:right="57"/>
              <w:rPr>
                <w:sz w:val="21"/>
              </w:rPr>
            </w:pPr>
            <w:r>
              <w:rPr>
                <w:rFonts w:ascii="Times New Roman" w:eastAsia="Times New Roman"/>
                <w:sz w:val="21"/>
              </w:rPr>
              <w:t>1,2-</w:t>
            </w:r>
            <w:r>
              <w:rPr>
                <w:sz w:val="21"/>
              </w:rPr>
              <w:t>二氯丙烷</w:t>
            </w:r>
          </w:p>
        </w:tc>
        <w:tc>
          <w:tcPr>
            <w:tcW w:w="7329" w:type="dxa"/>
          </w:tcPr>
          <w:p>
            <w:pPr>
              <w:pStyle w:val="14"/>
              <w:spacing w:before="66"/>
              <w:ind w:left="437" w:right="425"/>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 xml:space="preserve">质谱法 </w:t>
            </w:r>
            <w:r>
              <w:rPr>
                <w:rFonts w:ascii="Times New Roman" w:eastAsia="Times New Roman"/>
                <w:sz w:val="21"/>
              </w:rPr>
              <w:t>HJ736-2015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6"/>
              <w:ind w:left="64" w:right="57"/>
              <w:rPr>
                <w:sz w:val="21"/>
              </w:rPr>
            </w:pPr>
            <w:r>
              <w:rPr>
                <w:rFonts w:ascii="Times New Roman" w:eastAsia="Times New Roman"/>
                <w:sz w:val="21"/>
              </w:rPr>
              <w:t>1,1,1,2-</w:t>
            </w:r>
            <w:r>
              <w:rPr>
                <w:sz w:val="21"/>
              </w:rPr>
              <w:t>四氯乙烷</w:t>
            </w:r>
          </w:p>
        </w:tc>
        <w:tc>
          <w:tcPr>
            <w:tcW w:w="7329" w:type="dxa"/>
          </w:tcPr>
          <w:p>
            <w:pPr>
              <w:pStyle w:val="14"/>
              <w:spacing w:before="66"/>
              <w:ind w:left="437" w:right="425"/>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 xml:space="preserve">质谱法 </w:t>
            </w:r>
            <w:r>
              <w:rPr>
                <w:rFonts w:ascii="Times New Roman" w:eastAsia="Times New Roman"/>
                <w:sz w:val="21"/>
              </w:rPr>
              <w:t>HJ736-2015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711" w:type="dxa"/>
          </w:tcPr>
          <w:p>
            <w:pPr>
              <w:pStyle w:val="14"/>
              <w:spacing w:before="66"/>
              <w:ind w:left="64" w:right="57"/>
              <w:rPr>
                <w:sz w:val="21"/>
              </w:rPr>
            </w:pPr>
            <w:r>
              <w:rPr>
                <w:rFonts w:ascii="Times New Roman" w:eastAsia="Times New Roman"/>
                <w:sz w:val="21"/>
              </w:rPr>
              <w:t>1,1,2,2-</w:t>
            </w:r>
            <w:r>
              <w:rPr>
                <w:sz w:val="21"/>
              </w:rPr>
              <w:t>四氯乙烷</w:t>
            </w:r>
          </w:p>
        </w:tc>
        <w:tc>
          <w:tcPr>
            <w:tcW w:w="7329" w:type="dxa"/>
          </w:tcPr>
          <w:p>
            <w:pPr>
              <w:pStyle w:val="14"/>
              <w:spacing w:before="66"/>
              <w:ind w:left="437" w:right="425"/>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 xml:space="preserve">质谱法 </w:t>
            </w:r>
            <w:r>
              <w:rPr>
                <w:rFonts w:ascii="Times New Roman" w:eastAsia="Times New Roman"/>
                <w:sz w:val="21"/>
              </w:rPr>
              <w:t>HJ736-2015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6"/>
              <w:ind w:left="64" w:right="57"/>
              <w:rPr>
                <w:sz w:val="21"/>
              </w:rPr>
            </w:pPr>
            <w:r>
              <w:rPr>
                <w:sz w:val="21"/>
              </w:rPr>
              <w:t>四氯乙烯</w:t>
            </w:r>
          </w:p>
        </w:tc>
        <w:tc>
          <w:tcPr>
            <w:tcW w:w="7329" w:type="dxa"/>
          </w:tcPr>
          <w:p>
            <w:pPr>
              <w:pStyle w:val="14"/>
              <w:spacing w:before="66"/>
              <w:ind w:left="437" w:right="425"/>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 xml:space="preserve">质谱法 </w:t>
            </w:r>
            <w:r>
              <w:rPr>
                <w:rFonts w:ascii="Times New Roman" w:eastAsia="Times New Roman"/>
                <w:sz w:val="21"/>
              </w:rPr>
              <w:t>HJ736-2015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6"/>
              <w:ind w:left="64" w:right="57"/>
              <w:rPr>
                <w:sz w:val="21"/>
              </w:rPr>
            </w:pPr>
            <w:r>
              <w:rPr>
                <w:rFonts w:ascii="Times New Roman" w:eastAsia="Times New Roman"/>
                <w:sz w:val="21"/>
              </w:rPr>
              <w:t>1,1,1-</w:t>
            </w:r>
            <w:r>
              <w:rPr>
                <w:sz w:val="21"/>
              </w:rPr>
              <w:t>三氯乙烷</w:t>
            </w:r>
          </w:p>
        </w:tc>
        <w:tc>
          <w:tcPr>
            <w:tcW w:w="7329" w:type="dxa"/>
          </w:tcPr>
          <w:p>
            <w:pPr>
              <w:pStyle w:val="14"/>
              <w:spacing w:before="66"/>
              <w:ind w:left="437" w:right="425"/>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 xml:space="preserve">质谱法 </w:t>
            </w:r>
            <w:r>
              <w:rPr>
                <w:rFonts w:ascii="Times New Roman" w:eastAsia="Times New Roman"/>
                <w:sz w:val="21"/>
              </w:rPr>
              <w:t>HJ736-2015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711" w:type="dxa"/>
          </w:tcPr>
          <w:p>
            <w:pPr>
              <w:pStyle w:val="14"/>
              <w:spacing w:before="65"/>
              <w:ind w:left="64" w:right="57"/>
              <w:rPr>
                <w:sz w:val="21"/>
              </w:rPr>
            </w:pPr>
            <w:r>
              <w:rPr>
                <w:rFonts w:ascii="Times New Roman" w:eastAsia="Times New Roman"/>
                <w:sz w:val="21"/>
              </w:rPr>
              <w:t>1,1,2-</w:t>
            </w:r>
            <w:r>
              <w:rPr>
                <w:sz w:val="21"/>
              </w:rPr>
              <w:t>三氯乙烷</w:t>
            </w:r>
          </w:p>
        </w:tc>
        <w:tc>
          <w:tcPr>
            <w:tcW w:w="7329" w:type="dxa"/>
          </w:tcPr>
          <w:p>
            <w:pPr>
              <w:pStyle w:val="14"/>
              <w:spacing w:before="65"/>
              <w:ind w:left="437" w:right="425"/>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 xml:space="preserve">质谱法 </w:t>
            </w:r>
            <w:r>
              <w:rPr>
                <w:rFonts w:ascii="Times New Roman" w:eastAsia="Times New Roman"/>
                <w:sz w:val="21"/>
              </w:rPr>
              <w:t>HJ736-2015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5"/>
              <w:ind w:left="64" w:right="57"/>
              <w:rPr>
                <w:sz w:val="21"/>
              </w:rPr>
            </w:pPr>
            <w:r>
              <w:rPr>
                <w:sz w:val="21"/>
              </w:rPr>
              <w:t>三氯乙烯</w:t>
            </w:r>
          </w:p>
        </w:tc>
        <w:tc>
          <w:tcPr>
            <w:tcW w:w="7329" w:type="dxa"/>
          </w:tcPr>
          <w:p>
            <w:pPr>
              <w:pStyle w:val="14"/>
              <w:spacing w:before="65"/>
              <w:ind w:left="437" w:right="425"/>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 xml:space="preserve">质谱法 </w:t>
            </w:r>
            <w:r>
              <w:rPr>
                <w:rFonts w:ascii="Times New Roman" w:eastAsia="Times New Roman"/>
                <w:sz w:val="21"/>
              </w:rPr>
              <w:t>HJ736-2015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5"/>
              <w:ind w:left="64" w:right="57"/>
              <w:rPr>
                <w:sz w:val="21"/>
              </w:rPr>
            </w:pPr>
            <w:r>
              <w:rPr>
                <w:rFonts w:ascii="Times New Roman" w:eastAsia="Times New Roman"/>
                <w:sz w:val="21"/>
              </w:rPr>
              <w:t>1,2,3-</w:t>
            </w:r>
            <w:r>
              <w:rPr>
                <w:sz w:val="21"/>
              </w:rPr>
              <w:t>三氯丙烷</w:t>
            </w:r>
          </w:p>
        </w:tc>
        <w:tc>
          <w:tcPr>
            <w:tcW w:w="7329" w:type="dxa"/>
          </w:tcPr>
          <w:p>
            <w:pPr>
              <w:pStyle w:val="14"/>
              <w:spacing w:before="65"/>
              <w:ind w:left="437" w:right="425"/>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 xml:space="preserve">质谱法 </w:t>
            </w:r>
            <w:r>
              <w:rPr>
                <w:rFonts w:ascii="Times New Roman" w:eastAsia="Times New Roman"/>
                <w:sz w:val="21"/>
              </w:rPr>
              <w:t>HJ736-2015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711" w:type="dxa"/>
          </w:tcPr>
          <w:p>
            <w:pPr>
              <w:pStyle w:val="14"/>
              <w:spacing w:before="65"/>
              <w:ind w:left="62" w:right="57"/>
              <w:rPr>
                <w:sz w:val="21"/>
              </w:rPr>
            </w:pPr>
            <w:r>
              <w:rPr>
                <w:sz w:val="21"/>
              </w:rPr>
              <w:t>氯乙烯</w:t>
            </w:r>
          </w:p>
        </w:tc>
        <w:tc>
          <w:tcPr>
            <w:tcW w:w="7329" w:type="dxa"/>
          </w:tcPr>
          <w:p>
            <w:pPr>
              <w:pStyle w:val="14"/>
              <w:spacing w:before="65"/>
              <w:ind w:left="437" w:right="425"/>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 xml:space="preserve">质谱法 </w:t>
            </w:r>
            <w:r>
              <w:rPr>
                <w:rFonts w:ascii="Times New Roman" w:eastAsia="Times New Roman"/>
                <w:sz w:val="21"/>
              </w:rPr>
              <w:t>HJ736-2015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7"/>
              <w:ind w:left="7"/>
              <w:rPr>
                <w:sz w:val="21"/>
              </w:rPr>
            </w:pPr>
            <w:r>
              <w:rPr>
                <w:w w:val="99"/>
                <w:sz w:val="21"/>
              </w:rPr>
              <w:t>苯</w:t>
            </w:r>
          </w:p>
        </w:tc>
        <w:tc>
          <w:tcPr>
            <w:tcW w:w="7329" w:type="dxa"/>
          </w:tcPr>
          <w:p>
            <w:pPr>
              <w:pStyle w:val="14"/>
              <w:spacing w:before="67"/>
              <w:ind w:left="437" w:right="425"/>
              <w:rPr>
                <w:rFonts w:ascii="Times New Roman" w:eastAsia="Times New Roman"/>
                <w:sz w:val="21"/>
              </w:rPr>
            </w:pPr>
            <w:r>
              <w:rPr>
                <w:sz w:val="21"/>
              </w:rPr>
              <w:t>土壤和沉积物挥发性有机物的测定 顶空</w:t>
            </w:r>
            <w:r>
              <w:rPr>
                <w:rFonts w:ascii="Times New Roman" w:eastAsia="Times New Roman"/>
                <w:sz w:val="21"/>
              </w:rPr>
              <w:t>/</w:t>
            </w:r>
            <w:r>
              <w:rPr>
                <w:sz w:val="21"/>
              </w:rPr>
              <w:t xml:space="preserve">气相色谱法 </w:t>
            </w:r>
            <w:r>
              <w:rPr>
                <w:rFonts w:ascii="Times New Roman" w:eastAsia="Times New Roman"/>
                <w:sz w:val="21"/>
              </w:rPr>
              <w:t>HJ741-2015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711" w:type="dxa"/>
          </w:tcPr>
          <w:p>
            <w:pPr>
              <w:pStyle w:val="14"/>
              <w:spacing w:before="69"/>
              <w:ind w:left="62" w:right="57"/>
              <w:rPr>
                <w:sz w:val="21"/>
              </w:rPr>
            </w:pPr>
            <w:r>
              <w:rPr>
                <w:sz w:val="21"/>
              </w:rPr>
              <w:t>氯苯</w:t>
            </w:r>
          </w:p>
        </w:tc>
        <w:tc>
          <w:tcPr>
            <w:tcW w:w="7329" w:type="dxa"/>
          </w:tcPr>
          <w:p>
            <w:pPr>
              <w:pStyle w:val="14"/>
              <w:spacing w:before="67"/>
              <w:ind w:left="437" w:right="425"/>
              <w:rPr>
                <w:rFonts w:ascii="Times New Roman" w:eastAsia="Times New Roman"/>
                <w:sz w:val="21"/>
              </w:rPr>
            </w:pPr>
            <w:r>
              <w:rPr>
                <w:sz w:val="21"/>
              </w:rPr>
              <w:t>土壤和沉积物挥发性有机物的测定 顶空</w:t>
            </w:r>
            <w:r>
              <w:rPr>
                <w:rFonts w:ascii="Times New Roman" w:eastAsia="Times New Roman"/>
                <w:sz w:val="21"/>
              </w:rPr>
              <w:t>/</w:t>
            </w:r>
            <w:r>
              <w:rPr>
                <w:sz w:val="21"/>
              </w:rPr>
              <w:t>气相色谱</w:t>
            </w:r>
            <w:r>
              <w:rPr>
                <w:rFonts w:ascii="Times New Roman" w:eastAsia="Times New Roman"/>
                <w:sz w:val="21"/>
              </w:rPr>
              <w:t>-</w:t>
            </w:r>
            <w:r>
              <w:rPr>
                <w:sz w:val="21"/>
              </w:rPr>
              <w:t xml:space="preserve">质谱法 </w:t>
            </w:r>
            <w:r>
              <w:rPr>
                <w:rFonts w:ascii="Times New Roman" w:eastAsia="Times New Roman"/>
                <w:sz w:val="21"/>
              </w:rPr>
              <w:t>HJ642-2013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9"/>
              <w:ind w:left="64" w:right="54"/>
              <w:rPr>
                <w:sz w:val="21"/>
              </w:rPr>
            </w:pPr>
            <w:r>
              <w:rPr>
                <w:rFonts w:ascii="Times New Roman" w:eastAsia="Times New Roman"/>
                <w:sz w:val="21"/>
              </w:rPr>
              <w:t>1,2-</w:t>
            </w:r>
            <w:r>
              <w:rPr>
                <w:sz w:val="21"/>
              </w:rPr>
              <w:t>二氯苯</w:t>
            </w:r>
          </w:p>
        </w:tc>
        <w:tc>
          <w:tcPr>
            <w:tcW w:w="7329" w:type="dxa"/>
          </w:tcPr>
          <w:p>
            <w:pPr>
              <w:pStyle w:val="14"/>
              <w:spacing w:before="67"/>
              <w:ind w:left="437" w:right="425"/>
              <w:rPr>
                <w:rFonts w:ascii="Times New Roman" w:eastAsia="Times New Roman"/>
                <w:sz w:val="21"/>
              </w:rPr>
            </w:pPr>
            <w:r>
              <w:rPr>
                <w:sz w:val="21"/>
              </w:rPr>
              <w:t>土壤和沉积物挥发性有机物的测定 顶空</w:t>
            </w:r>
            <w:r>
              <w:rPr>
                <w:rFonts w:ascii="Times New Roman" w:eastAsia="Times New Roman"/>
                <w:sz w:val="21"/>
              </w:rPr>
              <w:t>/</w:t>
            </w:r>
            <w:r>
              <w:rPr>
                <w:sz w:val="21"/>
              </w:rPr>
              <w:t>气相色谱</w:t>
            </w:r>
            <w:r>
              <w:rPr>
                <w:rFonts w:ascii="Times New Roman" w:eastAsia="Times New Roman"/>
                <w:sz w:val="21"/>
              </w:rPr>
              <w:t>-</w:t>
            </w:r>
            <w:r>
              <w:rPr>
                <w:sz w:val="21"/>
              </w:rPr>
              <w:t xml:space="preserve">质谱法 </w:t>
            </w:r>
            <w:r>
              <w:rPr>
                <w:rFonts w:ascii="Times New Roman" w:eastAsia="Times New Roman"/>
                <w:sz w:val="21"/>
              </w:rPr>
              <w:t>HJ642-2013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6"/>
              <w:ind w:left="64" w:right="54"/>
              <w:rPr>
                <w:sz w:val="21"/>
              </w:rPr>
            </w:pPr>
            <w:r>
              <w:rPr>
                <w:rFonts w:ascii="Times New Roman" w:eastAsia="Times New Roman"/>
                <w:sz w:val="21"/>
              </w:rPr>
              <w:t>1,4-</w:t>
            </w:r>
            <w:r>
              <w:rPr>
                <w:sz w:val="21"/>
              </w:rPr>
              <w:t>二氯苯</w:t>
            </w:r>
          </w:p>
        </w:tc>
        <w:tc>
          <w:tcPr>
            <w:tcW w:w="7329" w:type="dxa"/>
          </w:tcPr>
          <w:p>
            <w:pPr>
              <w:pStyle w:val="14"/>
              <w:spacing w:before="66"/>
              <w:ind w:left="437" w:right="425"/>
              <w:rPr>
                <w:rFonts w:ascii="Times New Roman" w:eastAsia="Times New Roman"/>
                <w:sz w:val="21"/>
              </w:rPr>
            </w:pPr>
            <w:r>
              <w:rPr>
                <w:sz w:val="21"/>
              </w:rPr>
              <w:t>土壤和沉积物挥发性有机物的测定 顶空</w:t>
            </w:r>
            <w:r>
              <w:rPr>
                <w:rFonts w:ascii="Times New Roman" w:eastAsia="Times New Roman"/>
                <w:sz w:val="21"/>
              </w:rPr>
              <w:t>/</w:t>
            </w:r>
            <w:r>
              <w:rPr>
                <w:sz w:val="21"/>
              </w:rPr>
              <w:t>气相色谱</w:t>
            </w:r>
            <w:r>
              <w:rPr>
                <w:rFonts w:ascii="Times New Roman" w:eastAsia="Times New Roman"/>
                <w:sz w:val="21"/>
              </w:rPr>
              <w:t>-</w:t>
            </w:r>
            <w:r>
              <w:rPr>
                <w:sz w:val="21"/>
              </w:rPr>
              <w:t xml:space="preserve">质谱法 </w:t>
            </w:r>
            <w:r>
              <w:rPr>
                <w:rFonts w:ascii="Times New Roman" w:eastAsia="Times New Roman"/>
                <w:sz w:val="21"/>
              </w:rPr>
              <w:t>HJ642-2013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711" w:type="dxa"/>
          </w:tcPr>
          <w:p>
            <w:pPr>
              <w:pStyle w:val="14"/>
              <w:spacing w:before="66"/>
              <w:ind w:left="62" w:right="57"/>
              <w:rPr>
                <w:sz w:val="21"/>
              </w:rPr>
            </w:pPr>
            <w:r>
              <w:rPr>
                <w:sz w:val="21"/>
              </w:rPr>
              <w:t>乙苯</w:t>
            </w:r>
          </w:p>
        </w:tc>
        <w:tc>
          <w:tcPr>
            <w:tcW w:w="7329" w:type="dxa"/>
          </w:tcPr>
          <w:p>
            <w:pPr>
              <w:pStyle w:val="14"/>
              <w:spacing w:before="66"/>
              <w:ind w:left="437" w:right="425"/>
              <w:rPr>
                <w:rFonts w:ascii="Times New Roman" w:eastAsia="Times New Roman"/>
                <w:sz w:val="21"/>
              </w:rPr>
            </w:pPr>
            <w:r>
              <w:rPr>
                <w:sz w:val="21"/>
              </w:rPr>
              <w:t>土壤和沉积物挥发性有机物的测定 顶空</w:t>
            </w:r>
            <w:r>
              <w:rPr>
                <w:rFonts w:ascii="Times New Roman" w:eastAsia="Times New Roman"/>
                <w:sz w:val="21"/>
              </w:rPr>
              <w:t>/</w:t>
            </w:r>
            <w:r>
              <w:rPr>
                <w:sz w:val="21"/>
              </w:rPr>
              <w:t xml:space="preserve">气相色谱法 </w:t>
            </w:r>
            <w:r>
              <w:rPr>
                <w:rFonts w:ascii="Times New Roman" w:eastAsia="Times New Roman"/>
                <w:sz w:val="21"/>
              </w:rPr>
              <w:t>HJ741-2015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6"/>
              <w:ind w:left="62" w:right="57"/>
              <w:rPr>
                <w:sz w:val="21"/>
              </w:rPr>
            </w:pPr>
            <w:r>
              <w:rPr>
                <w:sz w:val="21"/>
              </w:rPr>
              <w:t>苯乙烯</w:t>
            </w:r>
          </w:p>
        </w:tc>
        <w:tc>
          <w:tcPr>
            <w:tcW w:w="7329" w:type="dxa"/>
          </w:tcPr>
          <w:p>
            <w:pPr>
              <w:pStyle w:val="14"/>
              <w:spacing w:before="66"/>
              <w:ind w:left="434" w:right="425"/>
              <w:rPr>
                <w:rFonts w:ascii="Times New Roman" w:eastAsia="Times New Roman"/>
                <w:sz w:val="21"/>
              </w:rPr>
            </w:pPr>
            <w:r>
              <w:rPr>
                <w:sz w:val="21"/>
              </w:rPr>
              <w:t>土壤和沉积物 挥发性有机物的测定 顶空</w:t>
            </w:r>
            <w:r>
              <w:rPr>
                <w:rFonts w:ascii="Times New Roman" w:eastAsia="Times New Roman"/>
                <w:sz w:val="21"/>
              </w:rPr>
              <w:t>/</w:t>
            </w:r>
            <w:r>
              <w:rPr>
                <w:sz w:val="21"/>
              </w:rPr>
              <w:t xml:space="preserve">气相色谱法 </w:t>
            </w:r>
            <w:r>
              <w:rPr>
                <w:rFonts w:ascii="Times New Roman" w:eastAsia="Times New Roman"/>
                <w:sz w:val="21"/>
              </w:rPr>
              <w:t>HJ741-2015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6"/>
              <w:ind w:left="62" w:right="57"/>
              <w:rPr>
                <w:sz w:val="21"/>
              </w:rPr>
            </w:pPr>
            <w:bookmarkStart w:id="868" w:name="甲苯"/>
            <w:bookmarkEnd w:id="868"/>
            <w:r>
              <w:rPr>
                <w:sz w:val="21"/>
              </w:rPr>
              <w:t>甲苯</w:t>
            </w:r>
          </w:p>
        </w:tc>
        <w:tc>
          <w:tcPr>
            <w:tcW w:w="7329" w:type="dxa"/>
          </w:tcPr>
          <w:p>
            <w:pPr>
              <w:pStyle w:val="14"/>
              <w:spacing w:before="66"/>
              <w:ind w:left="434" w:right="425"/>
              <w:rPr>
                <w:rFonts w:ascii="Times New Roman" w:eastAsia="Times New Roman"/>
                <w:sz w:val="21"/>
              </w:rPr>
            </w:pPr>
            <w:r>
              <w:rPr>
                <w:sz w:val="21"/>
              </w:rPr>
              <w:t>土壤和沉积物 挥发性有机物的测定 顶空</w:t>
            </w:r>
            <w:r>
              <w:rPr>
                <w:rFonts w:ascii="Times New Roman" w:eastAsia="Times New Roman"/>
                <w:sz w:val="21"/>
              </w:rPr>
              <w:t>/</w:t>
            </w:r>
            <w:r>
              <w:rPr>
                <w:sz w:val="21"/>
              </w:rPr>
              <w:t xml:space="preserve">气相色谱法 </w:t>
            </w:r>
            <w:r>
              <w:rPr>
                <w:rFonts w:ascii="Times New Roman" w:eastAsia="Times New Roman"/>
                <w:sz w:val="21"/>
              </w:rPr>
              <w:t>HJ741-2015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711" w:type="dxa"/>
          </w:tcPr>
          <w:p>
            <w:pPr>
              <w:pStyle w:val="14"/>
              <w:spacing w:before="65"/>
              <w:ind w:left="64" w:right="57"/>
              <w:rPr>
                <w:sz w:val="21"/>
              </w:rPr>
            </w:pPr>
            <w:r>
              <w:rPr>
                <w:sz w:val="21"/>
              </w:rPr>
              <w:t>间二甲苯</w:t>
            </w:r>
          </w:p>
        </w:tc>
        <w:tc>
          <w:tcPr>
            <w:tcW w:w="7329" w:type="dxa"/>
          </w:tcPr>
          <w:p>
            <w:pPr>
              <w:pStyle w:val="14"/>
              <w:spacing w:before="65"/>
              <w:ind w:left="434" w:right="425"/>
              <w:rPr>
                <w:rFonts w:ascii="Times New Roman" w:eastAsia="Times New Roman"/>
                <w:sz w:val="21"/>
              </w:rPr>
            </w:pPr>
            <w:r>
              <w:rPr>
                <w:sz w:val="21"/>
              </w:rPr>
              <w:t>土壤和沉积物 挥发性有机物的测定 顶空</w:t>
            </w:r>
            <w:r>
              <w:rPr>
                <w:rFonts w:ascii="Times New Roman" w:eastAsia="Times New Roman"/>
                <w:sz w:val="21"/>
              </w:rPr>
              <w:t>/</w:t>
            </w:r>
            <w:r>
              <w:rPr>
                <w:sz w:val="21"/>
              </w:rPr>
              <w:t xml:space="preserve">气相色谱法 </w:t>
            </w:r>
            <w:r>
              <w:rPr>
                <w:rFonts w:ascii="Times New Roman" w:eastAsia="Times New Roman"/>
                <w:sz w:val="21"/>
              </w:rPr>
              <w:t>HJ741-2015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5"/>
              <w:ind w:left="64" w:right="57"/>
              <w:rPr>
                <w:sz w:val="21"/>
              </w:rPr>
            </w:pPr>
            <w:r>
              <w:rPr>
                <w:sz w:val="21"/>
              </w:rPr>
              <w:t>对二甲苯</w:t>
            </w:r>
          </w:p>
        </w:tc>
        <w:tc>
          <w:tcPr>
            <w:tcW w:w="7329" w:type="dxa"/>
          </w:tcPr>
          <w:p>
            <w:pPr>
              <w:pStyle w:val="14"/>
              <w:spacing w:before="65"/>
              <w:ind w:left="434" w:right="425"/>
              <w:rPr>
                <w:rFonts w:ascii="Times New Roman" w:eastAsia="Times New Roman"/>
                <w:sz w:val="21"/>
              </w:rPr>
            </w:pPr>
            <w:r>
              <w:rPr>
                <w:sz w:val="21"/>
              </w:rPr>
              <w:t>土壤和沉积物 挥发性有机物的测定 顶空</w:t>
            </w:r>
            <w:r>
              <w:rPr>
                <w:rFonts w:ascii="Times New Roman" w:eastAsia="Times New Roman"/>
                <w:sz w:val="21"/>
              </w:rPr>
              <w:t>/</w:t>
            </w:r>
            <w:r>
              <w:rPr>
                <w:sz w:val="21"/>
              </w:rPr>
              <w:t xml:space="preserve">气相色谱法 </w:t>
            </w:r>
            <w:r>
              <w:rPr>
                <w:rFonts w:ascii="Times New Roman" w:eastAsia="Times New Roman"/>
                <w:sz w:val="21"/>
              </w:rPr>
              <w:t>HJ741-2015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5"/>
              <w:ind w:left="64" w:right="57"/>
              <w:rPr>
                <w:sz w:val="21"/>
              </w:rPr>
            </w:pPr>
            <w:r>
              <w:rPr>
                <w:sz w:val="21"/>
              </w:rPr>
              <w:t>邻二甲苯</w:t>
            </w:r>
          </w:p>
        </w:tc>
        <w:tc>
          <w:tcPr>
            <w:tcW w:w="7329" w:type="dxa"/>
          </w:tcPr>
          <w:p>
            <w:pPr>
              <w:pStyle w:val="14"/>
              <w:spacing w:before="65"/>
              <w:ind w:left="434" w:right="425"/>
              <w:rPr>
                <w:rFonts w:ascii="Times New Roman" w:eastAsia="Times New Roman"/>
                <w:sz w:val="21"/>
              </w:rPr>
            </w:pPr>
            <w:r>
              <w:rPr>
                <w:sz w:val="21"/>
              </w:rPr>
              <w:t>土壤和沉积物 挥发性有机物的测定 顶空</w:t>
            </w:r>
            <w:r>
              <w:rPr>
                <w:rFonts w:ascii="Times New Roman" w:eastAsia="Times New Roman"/>
                <w:sz w:val="21"/>
              </w:rPr>
              <w:t>/</w:t>
            </w:r>
            <w:r>
              <w:rPr>
                <w:sz w:val="21"/>
              </w:rPr>
              <w:t xml:space="preserve">气相色谱法 </w:t>
            </w:r>
            <w:r>
              <w:rPr>
                <w:rFonts w:ascii="Times New Roman" w:eastAsia="Times New Roman"/>
                <w:sz w:val="21"/>
              </w:rPr>
              <w:t>HJ741-2015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5"/>
              <w:ind w:left="62" w:right="57"/>
              <w:rPr>
                <w:sz w:val="21"/>
              </w:rPr>
            </w:pPr>
            <w:r>
              <w:rPr>
                <w:sz w:val="21"/>
              </w:rPr>
              <w:t>硝基苯</w:t>
            </w:r>
          </w:p>
        </w:tc>
        <w:tc>
          <w:tcPr>
            <w:tcW w:w="7329" w:type="dxa"/>
          </w:tcPr>
          <w:p>
            <w:pPr>
              <w:pStyle w:val="14"/>
              <w:spacing w:before="65"/>
              <w:ind w:left="437" w:right="425"/>
              <w:rPr>
                <w:rFonts w:ascii="Times New Roman" w:eastAsia="Times New Roman"/>
                <w:sz w:val="21"/>
              </w:rPr>
            </w:pPr>
            <w:r>
              <w:rPr>
                <w:sz w:val="21"/>
              </w:rPr>
              <w:t>土壤和沉积物 半挥发性有机物的测定 气相色谱</w:t>
            </w:r>
            <w:r>
              <w:rPr>
                <w:rFonts w:ascii="Times New Roman" w:eastAsia="Times New Roman"/>
                <w:sz w:val="21"/>
              </w:rPr>
              <w:t>-</w:t>
            </w:r>
            <w:r>
              <w:rPr>
                <w:sz w:val="21"/>
              </w:rPr>
              <w:t xml:space="preserve">质谱法 </w:t>
            </w:r>
            <w:r>
              <w:rPr>
                <w:rFonts w:ascii="Times New Roman" w:eastAsia="Times New Roman"/>
                <w:sz w:val="21"/>
              </w:rPr>
              <w:t>HJ834-2017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5"/>
              <w:ind w:left="62" w:right="57"/>
              <w:rPr>
                <w:sz w:val="21"/>
              </w:rPr>
            </w:pPr>
            <w:r>
              <w:rPr>
                <w:sz w:val="21"/>
              </w:rPr>
              <w:t>苯胺</w:t>
            </w:r>
          </w:p>
        </w:tc>
        <w:tc>
          <w:tcPr>
            <w:tcW w:w="7329" w:type="dxa"/>
          </w:tcPr>
          <w:p>
            <w:pPr>
              <w:pStyle w:val="14"/>
              <w:spacing w:before="65"/>
              <w:ind w:left="437" w:right="425"/>
              <w:rPr>
                <w:rFonts w:ascii="Times New Roman" w:eastAsia="Times New Roman"/>
                <w:sz w:val="21"/>
              </w:rPr>
            </w:pPr>
            <w:r>
              <w:rPr>
                <w:sz w:val="21"/>
              </w:rPr>
              <w:t>土壤和沉积物 半挥发性有机物的测定 气相色谱</w:t>
            </w:r>
            <w:r>
              <w:rPr>
                <w:rFonts w:ascii="Times New Roman" w:eastAsia="Times New Roman"/>
                <w:sz w:val="21"/>
              </w:rPr>
              <w:t>-</w:t>
            </w:r>
            <w:r>
              <w:rPr>
                <w:sz w:val="21"/>
              </w:rPr>
              <w:t xml:space="preserve">质谱法 </w:t>
            </w:r>
            <w:r>
              <w:rPr>
                <w:rFonts w:ascii="Times New Roman" w:eastAsia="Times New Roman"/>
                <w:sz w:val="21"/>
              </w:rPr>
              <w:t>HJ834-2017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711" w:type="dxa"/>
          </w:tcPr>
          <w:p>
            <w:pPr>
              <w:pStyle w:val="14"/>
              <w:spacing w:before="67"/>
              <w:ind w:left="7"/>
              <w:rPr>
                <w:sz w:val="21"/>
              </w:rPr>
            </w:pPr>
            <w:r>
              <w:rPr>
                <w:w w:val="99"/>
                <w:sz w:val="21"/>
              </w:rPr>
              <w:t>萘</w:t>
            </w:r>
          </w:p>
        </w:tc>
        <w:tc>
          <w:tcPr>
            <w:tcW w:w="7329" w:type="dxa"/>
          </w:tcPr>
          <w:p>
            <w:pPr>
              <w:pStyle w:val="14"/>
              <w:spacing w:before="67"/>
              <w:ind w:left="437" w:right="425"/>
              <w:rPr>
                <w:rFonts w:ascii="Times New Roman" w:eastAsia="Times New Roman"/>
                <w:sz w:val="21"/>
              </w:rPr>
            </w:pPr>
            <w:r>
              <w:rPr>
                <w:sz w:val="21"/>
              </w:rPr>
              <w:t>土壤和沉积物 多环芳烃的测定 气相色谱</w:t>
            </w:r>
            <w:r>
              <w:rPr>
                <w:rFonts w:ascii="Times New Roman" w:eastAsia="Times New Roman"/>
                <w:sz w:val="21"/>
              </w:rPr>
              <w:t>-</w:t>
            </w:r>
            <w:r>
              <w:rPr>
                <w:sz w:val="21"/>
              </w:rPr>
              <w:t xml:space="preserve">质谱法 </w:t>
            </w:r>
            <w:r>
              <w:rPr>
                <w:rFonts w:ascii="Times New Roman" w:eastAsia="Times New Roman"/>
                <w:sz w:val="21"/>
              </w:rPr>
              <w:t>HJ805-2016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7"/>
              <w:ind w:left="62" w:right="57"/>
              <w:rPr>
                <w:sz w:val="21"/>
              </w:rPr>
            </w:pPr>
            <w:r>
              <w:rPr>
                <w:rFonts w:ascii="Times New Roman" w:eastAsia="Times New Roman"/>
                <w:sz w:val="21"/>
              </w:rPr>
              <w:t>2-</w:t>
            </w:r>
            <w:r>
              <w:rPr>
                <w:sz w:val="21"/>
              </w:rPr>
              <w:t>氯酚</w:t>
            </w:r>
          </w:p>
        </w:tc>
        <w:tc>
          <w:tcPr>
            <w:tcW w:w="7329" w:type="dxa"/>
          </w:tcPr>
          <w:p>
            <w:pPr>
              <w:pStyle w:val="14"/>
              <w:spacing w:before="67"/>
              <w:ind w:left="437" w:right="425"/>
              <w:rPr>
                <w:rFonts w:ascii="Times New Roman" w:eastAsia="Times New Roman"/>
                <w:sz w:val="21"/>
              </w:rPr>
            </w:pPr>
            <w:r>
              <w:rPr>
                <w:sz w:val="21"/>
              </w:rPr>
              <w:t>土壤和沉积物 半挥发性有机物的测定 气相色谱</w:t>
            </w:r>
            <w:r>
              <w:rPr>
                <w:rFonts w:ascii="Times New Roman" w:eastAsia="Times New Roman"/>
                <w:sz w:val="21"/>
              </w:rPr>
              <w:t>-</w:t>
            </w:r>
            <w:r>
              <w:rPr>
                <w:sz w:val="21"/>
              </w:rPr>
              <w:t xml:space="preserve">质谱法 </w:t>
            </w:r>
            <w:r>
              <w:rPr>
                <w:rFonts w:ascii="Times New Roman" w:eastAsia="Times New Roman"/>
                <w:sz w:val="21"/>
              </w:rPr>
              <w:t>HJ834-2017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6"/>
              <w:ind w:left="64" w:right="54"/>
              <w:rPr>
                <w:sz w:val="21"/>
              </w:rPr>
            </w:pPr>
            <w:r>
              <w:rPr>
                <w:sz w:val="21"/>
              </w:rPr>
              <w:t>苯并</w:t>
            </w:r>
            <w:r>
              <w:rPr>
                <w:rFonts w:ascii="Times New Roman" w:eastAsia="Times New Roman"/>
                <w:sz w:val="21"/>
              </w:rPr>
              <w:t>[a]</w:t>
            </w:r>
            <w:r>
              <w:rPr>
                <w:sz w:val="21"/>
              </w:rPr>
              <w:t>蒽</w:t>
            </w:r>
          </w:p>
        </w:tc>
        <w:tc>
          <w:tcPr>
            <w:tcW w:w="7329" w:type="dxa"/>
          </w:tcPr>
          <w:p>
            <w:pPr>
              <w:pStyle w:val="14"/>
              <w:spacing w:before="66"/>
              <w:ind w:left="437" w:right="425"/>
              <w:rPr>
                <w:rFonts w:ascii="Times New Roman" w:eastAsia="Times New Roman"/>
                <w:sz w:val="21"/>
              </w:rPr>
            </w:pPr>
            <w:r>
              <w:rPr>
                <w:sz w:val="21"/>
              </w:rPr>
              <w:t>土壤和沉积物 多环芳烃的测定 气相色谱</w:t>
            </w:r>
            <w:r>
              <w:rPr>
                <w:rFonts w:ascii="Times New Roman" w:eastAsia="Times New Roman"/>
                <w:sz w:val="21"/>
              </w:rPr>
              <w:t>-</w:t>
            </w:r>
            <w:r>
              <w:rPr>
                <w:sz w:val="21"/>
              </w:rPr>
              <w:t xml:space="preserve">质谱法 </w:t>
            </w:r>
            <w:r>
              <w:rPr>
                <w:rFonts w:ascii="Times New Roman" w:eastAsia="Times New Roman"/>
                <w:sz w:val="21"/>
              </w:rPr>
              <w:t>HJ805-2016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6"/>
              <w:ind w:left="64" w:right="54"/>
              <w:rPr>
                <w:sz w:val="21"/>
              </w:rPr>
            </w:pPr>
            <w:bookmarkStart w:id="869" w:name="苯并[a]芘"/>
            <w:bookmarkEnd w:id="869"/>
            <w:r>
              <w:rPr>
                <w:sz w:val="21"/>
              </w:rPr>
              <w:t>苯并</w:t>
            </w:r>
            <w:r>
              <w:rPr>
                <w:rFonts w:ascii="Times New Roman" w:eastAsia="Times New Roman"/>
                <w:sz w:val="21"/>
              </w:rPr>
              <w:t>[a]</w:t>
            </w:r>
            <w:r>
              <w:rPr>
                <w:sz w:val="21"/>
              </w:rPr>
              <w:t>芘</w:t>
            </w:r>
          </w:p>
        </w:tc>
        <w:tc>
          <w:tcPr>
            <w:tcW w:w="7329" w:type="dxa"/>
          </w:tcPr>
          <w:p>
            <w:pPr>
              <w:pStyle w:val="14"/>
              <w:spacing w:before="66"/>
              <w:ind w:left="437" w:right="425"/>
              <w:rPr>
                <w:rFonts w:ascii="Times New Roman" w:eastAsia="Times New Roman"/>
                <w:sz w:val="21"/>
              </w:rPr>
            </w:pPr>
            <w:r>
              <w:rPr>
                <w:sz w:val="21"/>
              </w:rPr>
              <w:t>土壤和沉积物 多环芳烃的测定 气相色谱</w:t>
            </w:r>
            <w:r>
              <w:rPr>
                <w:rFonts w:ascii="Times New Roman" w:eastAsia="Times New Roman"/>
                <w:sz w:val="21"/>
              </w:rPr>
              <w:t>-</w:t>
            </w:r>
            <w:r>
              <w:rPr>
                <w:sz w:val="21"/>
              </w:rPr>
              <w:t xml:space="preserve">质谱法 </w:t>
            </w:r>
            <w:r>
              <w:rPr>
                <w:rFonts w:ascii="Times New Roman" w:eastAsia="Times New Roman"/>
                <w:sz w:val="21"/>
              </w:rPr>
              <w:t>HJ805-2016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711" w:type="dxa"/>
          </w:tcPr>
          <w:p>
            <w:pPr>
              <w:pStyle w:val="14"/>
              <w:spacing w:before="66"/>
              <w:ind w:left="64" w:right="57"/>
              <w:rPr>
                <w:sz w:val="21"/>
              </w:rPr>
            </w:pPr>
            <w:bookmarkStart w:id="870" w:name="苯并[b]荧蒽"/>
            <w:bookmarkEnd w:id="870"/>
            <w:r>
              <w:rPr>
                <w:sz w:val="21"/>
              </w:rPr>
              <w:t>苯并</w:t>
            </w:r>
            <w:r>
              <w:rPr>
                <w:rFonts w:ascii="Times New Roman" w:eastAsia="Times New Roman"/>
                <w:sz w:val="21"/>
              </w:rPr>
              <w:t>[b]</w:t>
            </w:r>
            <w:r>
              <w:rPr>
                <w:sz w:val="21"/>
              </w:rPr>
              <w:t>荧蒽</w:t>
            </w:r>
          </w:p>
        </w:tc>
        <w:tc>
          <w:tcPr>
            <w:tcW w:w="7329" w:type="dxa"/>
          </w:tcPr>
          <w:p>
            <w:pPr>
              <w:pStyle w:val="14"/>
              <w:spacing w:before="66"/>
              <w:ind w:left="437" w:right="425"/>
              <w:rPr>
                <w:rFonts w:ascii="Times New Roman" w:eastAsia="Times New Roman"/>
                <w:sz w:val="21"/>
              </w:rPr>
            </w:pPr>
            <w:r>
              <w:rPr>
                <w:sz w:val="21"/>
              </w:rPr>
              <w:t>土壤和沉积物 多环芳烃的测定 气相色谱</w:t>
            </w:r>
            <w:r>
              <w:rPr>
                <w:rFonts w:ascii="Times New Roman" w:eastAsia="Times New Roman"/>
                <w:sz w:val="21"/>
              </w:rPr>
              <w:t>-</w:t>
            </w:r>
            <w:r>
              <w:rPr>
                <w:sz w:val="21"/>
              </w:rPr>
              <w:t xml:space="preserve">质谱法 </w:t>
            </w:r>
            <w:r>
              <w:rPr>
                <w:rFonts w:ascii="Times New Roman" w:eastAsia="Times New Roman"/>
                <w:sz w:val="21"/>
              </w:rPr>
              <w:t>HJ805-2016</w:t>
            </w:r>
          </w:p>
        </w:tc>
      </w:tr>
    </w:tbl>
    <w:p>
      <w:pPr>
        <w:spacing w:after="0"/>
        <w:rPr>
          <w:rFonts w:ascii="Times New Roman" w:eastAsia="Times New Roman"/>
          <w:sz w:val="21"/>
        </w:rPr>
        <w:sectPr>
          <w:pgSz w:w="11910" w:h="16840"/>
          <w:pgMar w:top="1580" w:right="780" w:bottom="1240" w:left="1200" w:header="0" w:footer="1058" w:gutter="0"/>
        </w:sectPr>
      </w:pPr>
    </w:p>
    <w:tbl>
      <w:tblPr>
        <w:tblStyle w:val="10"/>
        <w:tblW w:w="0" w:type="auto"/>
        <w:tblInd w:w="2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1"/>
        <w:gridCol w:w="73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5"/>
              <w:ind w:left="313"/>
              <w:jc w:val="left"/>
              <w:rPr>
                <w:sz w:val="21"/>
              </w:rPr>
            </w:pPr>
            <w:bookmarkStart w:id="871" w:name="苯并[k]荧蒽"/>
            <w:bookmarkEnd w:id="871"/>
            <w:r>
              <w:rPr>
                <w:sz w:val="21"/>
              </w:rPr>
              <w:t>苯并</w:t>
            </w:r>
            <w:r>
              <w:rPr>
                <w:rFonts w:ascii="Times New Roman" w:eastAsia="Times New Roman"/>
                <w:sz w:val="21"/>
              </w:rPr>
              <w:t>[k]</w:t>
            </w:r>
            <w:r>
              <w:rPr>
                <w:sz w:val="21"/>
              </w:rPr>
              <w:t>荧蒽</w:t>
            </w:r>
          </w:p>
        </w:tc>
        <w:tc>
          <w:tcPr>
            <w:tcW w:w="7329" w:type="dxa"/>
          </w:tcPr>
          <w:p>
            <w:pPr>
              <w:pStyle w:val="14"/>
              <w:spacing w:before="65"/>
              <w:ind w:left="437" w:right="425"/>
              <w:rPr>
                <w:rFonts w:ascii="Times New Roman" w:eastAsia="Times New Roman"/>
                <w:sz w:val="21"/>
              </w:rPr>
            </w:pPr>
            <w:r>
              <w:rPr>
                <w:sz w:val="21"/>
              </w:rPr>
              <w:t>土壤和沉积物 多环芳烃的测定 气相色谱</w:t>
            </w:r>
            <w:r>
              <w:rPr>
                <w:rFonts w:ascii="Times New Roman" w:eastAsia="Times New Roman"/>
                <w:sz w:val="21"/>
              </w:rPr>
              <w:t>-</w:t>
            </w:r>
            <w:r>
              <w:rPr>
                <w:sz w:val="21"/>
              </w:rPr>
              <w:t xml:space="preserve">质谱法 </w:t>
            </w:r>
            <w:r>
              <w:rPr>
                <w:rFonts w:ascii="Times New Roman" w:eastAsia="Times New Roman"/>
                <w:sz w:val="21"/>
              </w:rPr>
              <w:t>HJ805-2016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5"/>
              <w:ind w:left="7"/>
              <w:rPr>
                <w:sz w:val="21"/>
              </w:rPr>
            </w:pPr>
            <w:r>
              <w:rPr>
                <w:w w:val="99"/>
                <w:sz w:val="21"/>
              </w:rPr>
              <w:t>䓛</w:t>
            </w:r>
          </w:p>
        </w:tc>
        <w:tc>
          <w:tcPr>
            <w:tcW w:w="7329" w:type="dxa"/>
          </w:tcPr>
          <w:p>
            <w:pPr>
              <w:pStyle w:val="14"/>
              <w:spacing w:before="65"/>
              <w:ind w:left="437" w:right="425"/>
              <w:rPr>
                <w:rFonts w:ascii="Times New Roman" w:eastAsia="Times New Roman"/>
                <w:sz w:val="21"/>
              </w:rPr>
            </w:pPr>
            <w:r>
              <w:rPr>
                <w:sz w:val="21"/>
              </w:rPr>
              <w:t>土壤和沉积物 多环芳烃的测定 气相色谱</w:t>
            </w:r>
            <w:r>
              <w:rPr>
                <w:rFonts w:ascii="Times New Roman" w:eastAsia="Times New Roman"/>
                <w:sz w:val="21"/>
              </w:rPr>
              <w:t>-</w:t>
            </w:r>
            <w:r>
              <w:rPr>
                <w:sz w:val="21"/>
              </w:rPr>
              <w:t xml:space="preserve">质谱法 </w:t>
            </w:r>
            <w:r>
              <w:rPr>
                <w:rFonts w:ascii="Times New Roman" w:eastAsia="Times New Roman"/>
                <w:sz w:val="21"/>
              </w:rPr>
              <w:t>HJ805-2016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5"/>
              <w:ind w:right="113"/>
              <w:jc w:val="right"/>
              <w:rPr>
                <w:sz w:val="21"/>
              </w:rPr>
            </w:pPr>
            <w:r>
              <w:rPr>
                <w:w w:val="95"/>
                <w:sz w:val="21"/>
              </w:rPr>
              <w:t>茚并</w:t>
            </w:r>
            <w:r>
              <w:rPr>
                <w:rFonts w:ascii="Times New Roman" w:eastAsia="Times New Roman"/>
                <w:w w:val="95"/>
                <w:sz w:val="21"/>
              </w:rPr>
              <w:t>[1,2,3-cd]</w:t>
            </w:r>
            <w:r>
              <w:rPr>
                <w:w w:val="95"/>
                <w:sz w:val="21"/>
              </w:rPr>
              <w:t>芘</w:t>
            </w:r>
          </w:p>
        </w:tc>
        <w:tc>
          <w:tcPr>
            <w:tcW w:w="7329" w:type="dxa"/>
          </w:tcPr>
          <w:p>
            <w:pPr>
              <w:pStyle w:val="14"/>
              <w:spacing w:before="65"/>
              <w:ind w:left="437" w:right="425"/>
              <w:rPr>
                <w:rFonts w:ascii="Times New Roman" w:eastAsia="Times New Roman"/>
                <w:sz w:val="21"/>
              </w:rPr>
            </w:pPr>
            <w:r>
              <w:rPr>
                <w:sz w:val="21"/>
              </w:rPr>
              <w:t>土壤和沉积物 多环芳烃的测定 气相色谱</w:t>
            </w:r>
            <w:r>
              <w:rPr>
                <w:rFonts w:ascii="Times New Roman" w:eastAsia="Times New Roman"/>
                <w:sz w:val="21"/>
              </w:rPr>
              <w:t>-</w:t>
            </w:r>
            <w:r>
              <w:rPr>
                <w:sz w:val="21"/>
              </w:rPr>
              <w:t xml:space="preserve">质谱法 </w:t>
            </w:r>
            <w:r>
              <w:rPr>
                <w:rFonts w:ascii="Times New Roman" w:eastAsia="Times New Roman"/>
                <w:sz w:val="21"/>
              </w:rPr>
              <w:t>HJ805-2016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711" w:type="dxa"/>
          </w:tcPr>
          <w:p>
            <w:pPr>
              <w:pStyle w:val="14"/>
              <w:spacing w:before="65"/>
              <w:ind w:right="149"/>
              <w:jc w:val="right"/>
              <w:rPr>
                <w:sz w:val="21"/>
              </w:rPr>
            </w:pPr>
            <w:r>
              <w:rPr>
                <w:w w:val="95"/>
                <w:sz w:val="21"/>
              </w:rPr>
              <w:t>二苯并</w:t>
            </w:r>
            <w:r>
              <w:rPr>
                <w:rFonts w:ascii="Times New Roman" w:eastAsia="Times New Roman"/>
                <w:w w:val="95"/>
                <w:sz w:val="21"/>
              </w:rPr>
              <w:t>[a</w:t>
            </w:r>
            <w:r>
              <w:rPr>
                <w:w w:val="95"/>
                <w:sz w:val="21"/>
              </w:rPr>
              <w:t>，</w:t>
            </w:r>
            <w:r>
              <w:rPr>
                <w:rFonts w:ascii="Times New Roman" w:eastAsia="Times New Roman"/>
                <w:w w:val="95"/>
                <w:sz w:val="21"/>
              </w:rPr>
              <w:t>h]</w:t>
            </w:r>
            <w:r>
              <w:rPr>
                <w:w w:val="95"/>
                <w:sz w:val="21"/>
              </w:rPr>
              <w:t>蒽</w:t>
            </w:r>
          </w:p>
        </w:tc>
        <w:tc>
          <w:tcPr>
            <w:tcW w:w="7329" w:type="dxa"/>
          </w:tcPr>
          <w:p>
            <w:pPr>
              <w:pStyle w:val="14"/>
              <w:spacing w:before="65"/>
              <w:ind w:left="437" w:right="425"/>
              <w:rPr>
                <w:rFonts w:ascii="Times New Roman" w:eastAsia="Times New Roman"/>
                <w:sz w:val="21"/>
              </w:rPr>
            </w:pPr>
            <w:r>
              <w:rPr>
                <w:sz w:val="21"/>
              </w:rPr>
              <w:t>土壤和沉积物 多环芳烃的测定 气相色谱</w:t>
            </w:r>
            <w:r>
              <w:rPr>
                <w:rFonts w:ascii="Times New Roman" w:eastAsia="Times New Roman"/>
                <w:sz w:val="21"/>
              </w:rPr>
              <w:t>-</w:t>
            </w:r>
            <w:r>
              <w:rPr>
                <w:sz w:val="21"/>
              </w:rPr>
              <w:t xml:space="preserve">质谱法 </w:t>
            </w:r>
            <w:r>
              <w:rPr>
                <w:rFonts w:ascii="Times New Roman" w:eastAsia="Times New Roman"/>
                <w:sz w:val="21"/>
              </w:rPr>
              <w:t>HJ805-2016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711" w:type="dxa"/>
          </w:tcPr>
          <w:p>
            <w:pPr>
              <w:pStyle w:val="14"/>
              <w:spacing w:before="67"/>
              <w:ind w:right="100"/>
              <w:jc w:val="right"/>
              <w:rPr>
                <w:rFonts w:ascii="Times New Roman" w:eastAsia="Times New Roman"/>
                <w:sz w:val="21"/>
              </w:rPr>
            </w:pPr>
            <w:r>
              <w:rPr>
                <w:w w:val="95"/>
                <w:sz w:val="21"/>
              </w:rPr>
              <w:t>石油烃（</w:t>
            </w:r>
            <w:r>
              <w:rPr>
                <w:rFonts w:ascii="Times New Roman" w:eastAsia="Times New Roman"/>
                <w:w w:val="95"/>
                <w:sz w:val="21"/>
              </w:rPr>
              <w:t>C10~C40</w:t>
            </w:r>
          </w:p>
        </w:tc>
        <w:tc>
          <w:tcPr>
            <w:tcW w:w="7329" w:type="dxa"/>
          </w:tcPr>
          <w:p>
            <w:pPr>
              <w:pStyle w:val="14"/>
              <w:tabs>
                <w:tab w:val="left" w:pos="656"/>
              </w:tabs>
              <w:spacing w:before="64"/>
              <w:ind w:left="-112"/>
              <w:jc w:val="left"/>
              <w:rPr>
                <w:rFonts w:ascii="Times New Roman" w:eastAsia="Times New Roman"/>
                <w:sz w:val="21"/>
              </w:rPr>
            </w:pPr>
            <w:r>
              <w:rPr>
                <w:position w:val="2"/>
                <w:sz w:val="21"/>
              </w:rPr>
              <w:t>）</w:t>
            </w:r>
            <w:r>
              <w:rPr>
                <w:position w:val="2"/>
                <w:sz w:val="21"/>
              </w:rPr>
              <w:tab/>
            </w:r>
            <w:r>
              <w:rPr>
                <w:position w:val="2"/>
                <w:sz w:val="21"/>
              </w:rPr>
              <w:t>土壤和沉积物 石油烃（</w:t>
            </w:r>
            <w:r>
              <w:rPr>
                <w:rFonts w:ascii="Times New Roman" w:eastAsia="Times New Roman"/>
                <w:position w:val="2"/>
                <w:sz w:val="21"/>
              </w:rPr>
              <w:t>C</w:t>
            </w:r>
            <w:r>
              <w:rPr>
                <w:rFonts w:ascii="Times New Roman" w:eastAsia="Times New Roman"/>
                <w:position w:val="2"/>
                <w:sz w:val="21"/>
                <w:vertAlign w:val="subscript"/>
              </w:rPr>
              <w:t>10</w:t>
            </w:r>
            <w:r>
              <w:rPr>
                <w:rFonts w:ascii="Times New Roman" w:eastAsia="Times New Roman"/>
                <w:position w:val="2"/>
                <w:sz w:val="21"/>
                <w:vertAlign w:val="baseline"/>
              </w:rPr>
              <w:t>-C</w:t>
            </w:r>
            <w:r>
              <w:rPr>
                <w:rFonts w:ascii="Times New Roman" w:eastAsia="Times New Roman"/>
                <w:position w:val="2"/>
                <w:sz w:val="21"/>
                <w:vertAlign w:val="subscript"/>
              </w:rPr>
              <w:t>40</w:t>
            </w:r>
            <w:r>
              <w:rPr>
                <w:position w:val="2"/>
                <w:sz w:val="21"/>
                <w:vertAlign w:val="baseline"/>
              </w:rPr>
              <w:t>）</w:t>
            </w:r>
            <w:r>
              <w:rPr>
                <w:spacing w:val="-6"/>
                <w:position w:val="2"/>
                <w:sz w:val="21"/>
                <w:vertAlign w:val="baseline"/>
              </w:rPr>
              <w:t xml:space="preserve">的测定 气相色谱法 </w:t>
            </w:r>
            <w:r>
              <w:rPr>
                <w:rFonts w:ascii="Times New Roman" w:eastAsia="Times New Roman"/>
                <w:position w:val="2"/>
                <w:sz w:val="21"/>
                <w:vertAlign w:val="baseline"/>
              </w:rPr>
              <w:t>HJ1021-2019</w:t>
            </w:r>
          </w:p>
        </w:tc>
      </w:tr>
    </w:tbl>
    <w:p>
      <w:pPr>
        <w:pStyle w:val="13"/>
        <w:numPr>
          <w:ilvl w:val="2"/>
          <w:numId w:val="73"/>
        </w:numPr>
        <w:tabs>
          <w:tab w:val="left" w:pos="972"/>
        </w:tabs>
        <w:spacing w:before="8" w:after="0" w:line="240" w:lineRule="auto"/>
        <w:ind w:left="972" w:right="0" w:hanging="757"/>
        <w:jc w:val="left"/>
        <w:rPr>
          <w:b/>
          <w:sz w:val="28"/>
        </w:rPr>
      </w:pPr>
      <w:bookmarkStart w:id="872" w:name="11.3.2井田开采区土壤环境质量现状评价"/>
      <w:bookmarkEnd w:id="872"/>
      <w:bookmarkStart w:id="873" w:name="11.3.2井田开采区土壤环境质量现状评价"/>
      <w:bookmarkEnd w:id="873"/>
      <w:r>
        <w:rPr>
          <w:b/>
          <w:sz w:val="28"/>
        </w:rPr>
        <w:t>井田开采区土壤环境质量现状评价</w:t>
      </w:r>
    </w:p>
    <w:p>
      <w:pPr>
        <w:pStyle w:val="13"/>
        <w:numPr>
          <w:ilvl w:val="3"/>
          <w:numId w:val="73"/>
        </w:numPr>
        <w:tabs>
          <w:tab w:val="left" w:pos="1044"/>
        </w:tabs>
        <w:spacing w:before="183" w:after="0" w:line="240" w:lineRule="auto"/>
        <w:ind w:left="1044" w:right="0" w:hanging="829"/>
        <w:jc w:val="left"/>
        <w:rPr>
          <w:b/>
          <w:sz w:val="24"/>
        </w:rPr>
      </w:pPr>
      <w:r>
        <w:rPr>
          <w:b/>
          <w:sz w:val="24"/>
        </w:rPr>
        <w:t>评价标准</w:t>
      </w:r>
    </w:p>
    <w:p>
      <w:pPr>
        <w:pStyle w:val="6"/>
        <w:spacing w:before="160"/>
        <w:ind w:left="696"/>
      </w:pPr>
      <w:r>
        <w:t>占地范围内土壤执行《土壤环境质量 建设用地土壤污染风险管控标准》</w:t>
      </w:r>
    </w:p>
    <w:p>
      <w:pPr>
        <w:pStyle w:val="6"/>
        <w:spacing w:before="159" w:line="364" w:lineRule="auto"/>
        <w:ind w:left="215" w:right="578"/>
      </w:pPr>
      <w:r>
        <w:t>（</w:t>
      </w:r>
      <w:r>
        <w:rPr>
          <w:rFonts w:ascii="Times New Roman" w:eastAsia="Times New Roman"/>
        </w:rPr>
        <w:t>GB36600-2018</w:t>
      </w:r>
      <w:r>
        <w:t>）中的第二类用地标准，占地范围外土壤《土壤环境质量 农用地土壤污染风险管控标准（试行）》（</w:t>
      </w:r>
      <w:r>
        <w:rPr>
          <w:rFonts w:ascii="Times New Roman" w:eastAsia="Times New Roman"/>
        </w:rPr>
        <w:t>GB/15618-2018</w:t>
      </w:r>
      <w:r>
        <w:t>）中的风险筛选值标准。</w:t>
      </w:r>
    </w:p>
    <w:p>
      <w:pPr>
        <w:pStyle w:val="5"/>
        <w:numPr>
          <w:ilvl w:val="3"/>
          <w:numId w:val="73"/>
        </w:numPr>
        <w:tabs>
          <w:tab w:val="left" w:pos="1044"/>
        </w:tabs>
        <w:spacing w:before="0" w:after="0" w:line="306" w:lineRule="exact"/>
        <w:ind w:left="1044" w:right="0" w:hanging="829"/>
        <w:jc w:val="left"/>
      </w:pPr>
      <w:r>
        <w:t>评价方法</w:t>
      </w:r>
    </w:p>
    <w:p>
      <w:pPr>
        <w:pStyle w:val="6"/>
        <w:spacing w:before="160" w:line="362" w:lineRule="auto"/>
        <w:ind w:left="215" w:right="578" w:firstLine="480"/>
      </w:pPr>
      <w:r>
        <w:t xml:space="preserve">本次土壤环境质量评价采用单因子标准指数法。单项土壤监测因子 </w:t>
      </w:r>
      <w:r>
        <w:rPr>
          <w:rFonts w:ascii="Times New Roman" w:eastAsia="Times New Roman"/>
        </w:rPr>
        <w:t xml:space="preserve">i </w:t>
      </w:r>
      <w:r>
        <w:t xml:space="preserve">在第 </w:t>
      </w:r>
      <w:r>
        <w:rPr>
          <w:rFonts w:ascii="Times New Roman" w:eastAsia="Times New Roman"/>
        </w:rPr>
        <w:t xml:space="preserve">j </w:t>
      </w:r>
      <w:r>
        <w:t>点的污染指数。</w:t>
      </w:r>
    </w:p>
    <w:p>
      <w:pPr>
        <w:pStyle w:val="6"/>
        <w:spacing w:before="1"/>
        <w:ind w:left="696"/>
        <w:rPr>
          <w:rFonts w:ascii="Times New Roman"/>
        </w:rPr>
      </w:pPr>
      <w:r>
        <w:rPr>
          <w:rFonts w:ascii="Times New Roman"/>
          <w:position w:val="2"/>
        </w:rPr>
        <w:t>Si=C</w:t>
      </w:r>
      <w:r>
        <w:rPr>
          <w:rFonts w:ascii="Times New Roman"/>
          <w:position w:val="2"/>
          <w:vertAlign w:val="subscript"/>
        </w:rPr>
        <w:t>i</w:t>
      </w:r>
      <w:r>
        <w:rPr>
          <w:rFonts w:ascii="Times New Roman"/>
          <w:position w:val="2"/>
          <w:vertAlign w:val="baseline"/>
        </w:rPr>
        <w:t>/C</w:t>
      </w:r>
      <w:r>
        <w:rPr>
          <w:rFonts w:ascii="Times New Roman"/>
          <w:position w:val="2"/>
          <w:vertAlign w:val="subscript"/>
        </w:rPr>
        <w:t>0</w:t>
      </w:r>
    </w:p>
    <w:p>
      <w:pPr>
        <w:pStyle w:val="6"/>
        <w:spacing w:before="118" w:line="362" w:lineRule="auto"/>
        <w:ind w:left="696" w:right="4622"/>
      </w:pPr>
      <w:r>
        <w:rPr>
          <w:position w:val="2"/>
        </w:rPr>
        <w:t>式中：</w:t>
      </w:r>
      <w:r>
        <w:rPr>
          <w:rFonts w:ascii="Times New Roman" w:hAnsi="Times New Roman" w:eastAsia="Times New Roman"/>
          <w:position w:val="2"/>
        </w:rPr>
        <w:t>S</w:t>
      </w:r>
      <w:r>
        <w:rPr>
          <w:rFonts w:ascii="Times New Roman" w:hAnsi="Times New Roman" w:eastAsia="Times New Roman"/>
          <w:position w:val="2"/>
          <w:vertAlign w:val="subscript"/>
        </w:rPr>
        <w:t>i</w:t>
      </w:r>
      <w:r>
        <w:rPr>
          <w:rFonts w:ascii="Times New Roman" w:hAnsi="Times New Roman" w:eastAsia="Times New Roman"/>
          <w:position w:val="2"/>
          <w:vertAlign w:val="baseline"/>
        </w:rPr>
        <w:t>—</w:t>
      </w:r>
      <w:r>
        <w:rPr>
          <w:spacing w:val="-15"/>
          <w:position w:val="2"/>
          <w:vertAlign w:val="baseline"/>
        </w:rPr>
        <w:t xml:space="preserve">土壤中 </w:t>
      </w:r>
      <w:r>
        <w:rPr>
          <w:rFonts w:ascii="Times New Roman" w:hAnsi="Times New Roman" w:eastAsia="Times New Roman"/>
          <w:position w:val="2"/>
          <w:vertAlign w:val="baseline"/>
        </w:rPr>
        <w:t xml:space="preserve">i </w:t>
      </w:r>
      <w:r>
        <w:rPr>
          <w:position w:val="2"/>
          <w:vertAlign w:val="baseline"/>
        </w:rPr>
        <w:t xml:space="preserve">污染物的污染指数； </w:t>
      </w:r>
      <w:r>
        <w:rPr>
          <w:rFonts w:ascii="Times New Roman" w:hAnsi="Times New Roman" w:eastAsia="Times New Roman"/>
          <w:position w:val="2"/>
          <w:vertAlign w:val="baseline"/>
        </w:rPr>
        <w:t>C</w:t>
      </w:r>
      <w:r>
        <w:rPr>
          <w:rFonts w:ascii="Times New Roman" w:hAnsi="Times New Roman" w:eastAsia="Times New Roman"/>
          <w:position w:val="2"/>
          <w:vertAlign w:val="subscript"/>
        </w:rPr>
        <w:t>i</w:t>
      </w:r>
      <w:r>
        <w:rPr>
          <w:rFonts w:ascii="Times New Roman" w:hAnsi="Times New Roman" w:eastAsia="Times New Roman"/>
          <w:position w:val="2"/>
          <w:vertAlign w:val="baseline"/>
        </w:rPr>
        <w:t>—</w:t>
      </w:r>
      <w:r>
        <w:rPr>
          <w:spacing w:val="-31"/>
          <w:position w:val="2"/>
          <w:vertAlign w:val="baseline"/>
        </w:rPr>
        <w:t xml:space="preserve">第 </w:t>
      </w:r>
      <w:r>
        <w:rPr>
          <w:rFonts w:ascii="Times New Roman" w:hAnsi="Times New Roman" w:eastAsia="Times New Roman"/>
          <w:position w:val="2"/>
          <w:vertAlign w:val="baseline"/>
        </w:rPr>
        <w:t>i</w:t>
      </w:r>
      <w:r>
        <w:rPr>
          <w:rFonts w:ascii="Times New Roman" w:hAnsi="Times New Roman" w:eastAsia="Times New Roman"/>
          <w:spacing w:val="58"/>
          <w:position w:val="2"/>
          <w:vertAlign w:val="baseline"/>
        </w:rPr>
        <w:t xml:space="preserve"> </w:t>
      </w:r>
      <w:r>
        <w:rPr>
          <w:position w:val="2"/>
          <w:vertAlign w:val="baseline"/>
        </w:rPr>
        <w:t>种污染物的实测浓度，（</w:t>
      </w:r>
      <w:r>
        <w:rPr>
          <w:rFonts w:ascii="Times New Roman" w:hAnsi="Times New Roman" w:eastAsia="Times New Roman"/>
          <w:position w:val="2"/>
          <w:vertAlign w:val="baseline"/>
        </w:rPr>
        <w:t>mg/L</w:t>
      </w:r>
      <w:r>
        <w:rPr>
          <w:position w:val="2"/>
          <w:vertAlign w:val="baseline"/>
        </w:rPr>
        <w:t xml:space="preserve">）； </w:t>
      </w:r>
      <w:r>
        <w:rPr>
          <w:rFonts w:ascii="Times New Roman" w:hAnsi="Times New Roman" w:eastAsia="Times New Roman"/>
          <w:position w:val="2"/>
          <w:vertAlign w:val="baseline"/>
        </w:rPr>
        <w:t>C</w:t>
      </w:r>
      <w:r>
        <w:rPr>
          <w:rFonts w:ascii="Times New Roman" w:hAnsi="Times New Roman" w:eastAsia="Times New Roman"/>
          <w:position w:val="2"/>
          <w:vertAlign w:val="subscript"/>
        </w:rPr>
        <w:t>0</w:t>
      </w:r>
      <w:r>
        <w:rPr>
          <w:rFonts w:ascii="Times New Roman" w:hAnsi="Times New Roman" w:eastAsia="Times New Roman"/>
          <w:spacing w:val="-1"/>
          <w:position w:val="2"/>
          <w:vertAlign w:val="baseline"/>
        </w:rPr>
        <w:t xml:space="preserve"> —</w:t>
      </w:r>
      <w:r>
        <w:rPr>
          <w:spacing w:val="-30"/>
          <w:position w:val="2"/>
          <w:vertAlign w:val="baseline"/>
        </w:rPr>
        <w:t xml:space="preserve">第 </w:t>
      </w:r>
      <w:r>
        <w:rPr>
          <w:rFonts w:ascii="Times New Roman" w:hAnsi="Times New Roman" w:eastAsia="Times New Roman"/>
          <w:position w:val="2"/>
          <w:vertAlign w:val="baseline"/>
        </w:rPr>
        <w:t xml:space="preserve">i </w:t>
      </w:r>
      <w:r>
        <w:rPr>
          <w:position w:val="2"/>
          <w:vertAlign w:val="baseline"/>
        </w:rPr>
        <w:t>种污染物的评价标准，（</w:t>
      </w:r>
      <w:r>
        <w:rPr>
          <w:rFonts w:ascii="Times New Roman" w:hAnsi="Times New Roman" w:eastAsia="Times New Roman"/>
          <w:position w:val="2"/>
          <w:vertAlign w:val="baseline"/>
        </w:rPr>
        <w:t>mg/L</w:t>
      </w:r>
      <w:r>
        <w:rPr>
          <w:position w:val="2"/>
          <w:vertAlign w:val="baseline"/>
        </w:rPr>
        <w:t>）</w:t>
      </w:r>
      <w:r>
        <w:rPr>
          <w:spacing w:val="-17"/>
          <w:position w:val="2"/>
          <w:vertAlign w:val="baseline"/>
        </w:rPr>
        <w:t>。</w:t>
      </w:r>
    </w:p>
    <w:p>
      <w:pPr>
        <w:pStyle w:val="6"/>
        <w:spacing w:line="364" w:lineRule="auto"/>
        <w:ind w:left="215" w:right="578" w:firstLine="480"/>
      </w:pPr>
      <w:r>
        <w:t xml:space="preserve">土壤污染因子的标准指数大于 </w:t>
      </w:r>
      <w:r>
        <w:rPr>
          <w:rFonts w:ascii="Times New Roman" w:eastAsia="Times New Roman"/>
        </w:rPr>
        <w:t>1</w:t>
      </w:r>
      <w:r>
        <w:t>，表明该污染物超过了规定的标准限值，标准指数越大，说明超标越严重。</w:t>
      </w:r>
    </w:p>
    <w:p>
      <w:pPr>
        <w:pStyle w:val="5"/>
        <w:numPr>
          <w:ilvl w:val="3"/>
          <w:numId w:val="73"/>
        </w:numPr>
        <w:tabs>
          <w:tab w:val="left" w:pos="1044"/>
        </w:tabs>
        <w:spacing w:before="0" w:after="0" w:line="306" w:lineRule="exact"/>
        <w:ind w:left="1044" w:right="0" w:hanging="829"/>
        <w:jc w:val="left"/>
      </w:pPr>
      <w:r>
        <w:t>监测结果与评价</w:t>
      </w:r>
    </w:p>
    <w:p>
      <w:pPr>
        <w:pStyle w:val="6"/>
        <w:spacing w:before="159"/>
        <w:ind w:left="696"/>
      </w:pPr>
      <w:r>
        <w:t xml:space="preserve">土壤环境质量监测结果和土壤环境质量评价结果见表 </w:t>
      </w:r>
      <w:r>
        <w:rPr>
          <w:rFonts w:ascii="Times New Roman" w:eastAsia="Times New Roman"/>
        </w:rPr>
        <w:t>11.3-2~11.3-5</w:t>
      </w:r>
      <w:r>
        <w:t>。</w:t>
      </w:r>
    </w:p>
    <w:p>
      <w:pPr>
        <w:pStyle w:val="5"/>
        <w:tabs>
          <w:tab w:val="left" w:pos="1147"/>
        </w:tabs>
        <w:spacing w:before="158" w:after="3"/>
        <w:ind w:right="352"/>
        <w:jc w:val="center"/>
      </w:pPr>
      <w:r>
        <w:t>表</w:t>
      </w:r>
      <w:r>
        <w:rPr>
          <w:spacing w:val="-61"/>
        </w:rPr>
        <w:t xml:space="preserve"> </w:t>
      </w:r>
      <w:r>
        <w:rPr>
          <w:rFonts w:ascii="Times New Roman" w:eastAsia="Times New Roman"/>
          <w:spacing w:val="-3"/>
        </w:rPr>
        <w:t>11.3-2</w:t>
      </w:r>
      <w:r>
        <w:rPr>
          <w:rFonts w:ascii="Times New Roman" w:eastAsia="Times New Roman"/>
          <w:spacing w:val="-3"/>
        </w:rPr>
        <w:tab/>
      </w:r>
      <w:r>
        <w:t>土壤环境质量监测结果</w:t>
      </w:r>
    </w:p>
    <w:tbl>
      <w:tblPr>
        <w:tblStyle w:val="10"/>
        <w:tblW w:w="0" w:type="auto"/>
        <w:tblInd w:w="6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14"/>
        <w:gridCol w:w="1986"/>
        <w:gridCol w:w="3150"/>
        <w:gridCol w:w="12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vMerge w:val="restart"/>
          </w:tcPr>
          <w:p>
            <w:pPr>
              <w:pStyle w:val="14"/>
              <w:spacing w:before="10"/>
              <w:jc w:val="left"/>
              <w:rPr>
                <w:b/>
                <w:sz w:val="20"/>
              </w:rPr>
            </w:pPr>
          </w:p>
          <w:p>
            <w:pPr>
              <w:pStyle w:val="14"/>
              <w:ind w:left="571"/>
              <w:jc w:val="left"/>
              <w:rPr>
                <w:sz w:val="21"/>
              </w:rPr>
            </w:pPr>
            <w:bookmarkStart w:id="874" w:name="检测项目"/>
            <w:bookmarkEnd w:id="874"/>
            <w:r>
              <w:rPr>
                <w:sz w:val="21"/>
              </w:rPr>
              <w:t>检测项目</w:t>
            </w:r>
          </w:p>
        </w:tc>
        <w:tc>
          <w:tcPr>
            <w:tcW w:w="1986" w:type="dxa"/>
            <w:vMerge w:val="restart"/>
          </w:tcPr>
          <w:p>
            <w:pPr>
              <w:pStyle w:val="14"/>
              <w:spacing w:before="10"/>
              <w:jc w:val="left"/>
              <w:rPr>
                <w:b/>
                <w:sz w:val="20"/>
              </w:rPr>
            </w:pPr>
          </w:p>
          <w:p>
            <w:pPr>
              <w:pStyle w:val="14"/>
              <w:ind w:left="652" w:right="648"/>
              <w:rPr>
                <w:sz w:val="21"/>
              </w:rPr>
            </w:pPr>
            <w:r>
              <w:rPr>
                <w:sz w:val="21"/>
              </w:rPr>
              <w:t>单位</w:t>
            </w:r>
          </w:p>
        </w:tc>
        <w:tc>
          <w:tcPr>
            <w:tcW w:w="3150" w:type="dxa"/>
          </w:tcPr>
          <w:p>
            <w:pPr>
              <w:pStyle w:val="14"/>
              <w:spacing w:before="63"/>
              <w:ind w:left="714" w:right="705"/>
              <w:rPr>
                <w:sz w:val="21"/>
              </w:rPr>
            </w:pPr>
            <w:r>
              <w:rPr>
                <w:sz w:val="21"/>
              </w:rPr>
              <w:t>检测值</w:t>
            </w:r>
          </w:p>
        </w:tc>
        <w:tc>
          <w:tcPr>
            <w:tcW w:w="1200" w:type="dxa"/>
            <w:vMerge w:val="restart"/>
          </w:tcPr>
          <w:p>
            <w:pPr>
              <w:pStyle w:val="14"/>
              <w:spacing w:before="10"/>
              <w:jc w:val="left"/>
              <w:rPr>
                <w:b/>
                <w:sz w:val="20"/>
              </w:rPr>
            </w:pPr>
          </w:p>
          <w:p>
            <w:pPr>
              <w:pStyle w:val="14"/>
              <w:ind w:left="284"/>
              <w:jc w:val="left"/>
              <w:rPr>
                <w:sz w:val="21"/>
              </w:rPr>
            </w:pPr>
            <w:r>
              <w:rPr>
                <w:sz w:val="21"/>
              </w:rPr>
              <w:t>标准值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vMerge w:val="continue"/>
            <w:tcBorders>
              <w:top w:val="nil"/>
            </w:tcBorders>
          </w:tcPr>
          <w:p>
            <w:pPr>
              <w:rPr>
                <w:sz w:val="2"/>
                <w:szCs w:val="2"/>
              </w:rPr>
            </w:pPr>
          </w:p>
        </w:tc>
        <w:tc>
          <w:tcPr>
            <w:tcW w:w="1986" w:type="dxa"/>
            <w:vMerge w:val="continue"/>
            <w:tcBorders>
              <w:top w:val="nil"/>
            </w:tcBorders>
          </w:tcPr>
          <w:p>
            <w:pPr>
              <w:rPr>
                <w:sz w:val="2"/>
                <w:szCs w:val="2"/>
              </w:rPr>
            </w:pPr>
          </w:p>
        </w:tc>
        <w:tc>
          <w:tcPr>
            <w:tcW w:w="3150" w:type="dxa"/>
          </w:tcPr>
          <w:p>
            <w:pPr>
              <w:pStyle w:val="14"/>
              <w:spacing w:before="64"/>
              <w:ind w:left="714" w:right="706"/>
              <w:rPr>
                <w:rFonts w:ascii="Times New Roman" w:eastAsia="Times New Roman"/>
                <w:sz w:val="21"/>
              </w:rPr>
            </w:pPr>
            <w:r>
              <w:rPr>
                <w:sz w:val="21"/>
              </w:rPr>
              <w:t xml:space="preserve">工业场地表层样 </w:t>
            </w:r>
            <w:r>
              <w:rPr>
                <w:rFonts w:ascii="Times New Roman" w:eastAsia="Times New Roman"/>
                <w:sz w:val="21"/>
              </w:rPr>
              <w:t>1</w:t>
            </w:r>
          </w:p>
        </w:tc>
        <w:tc>
          <w:tcPr>
            <w:tcW w:w="120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2"/>
              <w:ind w:left="191" w:right="184"/>
              <w:rPr>
                <w:sz w:val="21"/>
              </w:rPr>
            </w:pPr>
            <w:r>
              <w:rPr>
                <w:rFonts w:ascii="Times New Roman" w:eastAsia="Times New Roman"/>
                <w:sz w:val="21"/>
              </w:rPr>
              <w:t xml:space="preserve">pH </w:t>
            </w:r>
            <w:r>
              <w:rPr>
                <w:sz w:val="21"/>
              </w:rPr>
              <w:t>值</w:t>
            </w:r>
          </w:p>
        </w:tc>
        <w:tc>
          <w:tcPr>
            <w:tcW w:w="1986" w:type="dxa"/>
          </w:tcPr>
          <w:p>
            <w:pPr>
              <w:pStyle w:val="14"/>
              <w:spacing w:before="62"/>
              <w:ind w:left="657" w:right="648"/>
              <w:rPr>
                <w:sz w:val="21"/>
              </w:rPr>
            </w:pPr>
            <w:r>
              <w:rPr>
                <w:sz w:val="21"/>
              </w:rPr>
              <w:t>无量纲</w:t>
            </w:r>
          </w:p>
        </w:tc>
        <w:tc>
          <w:tcPr>
            <w:tcW w:w="3150" w:type="dxa"/>
          </w:tcPr>
          <w:p>
            <w:pPr>
              <w:pStyle w:val="14"/>
              <w:spacing w:before="79"/>
              <w:ind w:left="714" w:right="706"/>
              <w:rPr>
                <w:rFonts w:ascii="Times New Roman"/>
                <w:sz w:val="21"/>
              </w:rPr>
            </w:pPr>
            <w:bookmarkStart w:id="875" w:name="7.07"/>
            <w:bookmarkEnd w:id="875"/>
            <w:r>
              <w:rPr>
                <w:rFonts w:ascii="Times New Roman"/>
                <w:sz w:val="21"/>
              </w:rPr>
              <w:t>7.07</w:t>
            </w:r>
          </w:p>
        </w:tc>
        <w:tc>
          <w:tcPr>
            <w:tcW w:w="1200" w:type="dxa"/>
          </w:tcPr>
          <w:p>
            <w:pPr>
              <w:pStyle w:val="14"/>
              <w:spacing w:before="76"/>
              <w:ind w:left="7"/>
              <w:rPr>
                <w:rFonts w:ascii="Times New Roman" w:hAnsi="Times New Roman"/>
                <w:sz w:val="21"/>
              </w:rPr>
            </w:pPr>
            <w:r>
              <w:rPr>
                <w:rFonts w:ascii="Times New Roman" w:hAns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914" w:type="dxa"/>
          </w:tcPr>
          <w:p>
            <w:pPr>
              <w:pStyle w:val="14"/>
              <w:spacing w:before="63"/>
              <w:ind w:left="191" w:right="184"/>
              <w:rPr>
                <w:sz w:val="21"/>
              </w:rPr>
            </w:pPr>
            <w:r>
              <w:rPr>
                <w:sz w:val="21"/>
              </w:rPr>
              <w:t>含盐量</w:t>
            </w:r>
          </w:p>
        </w:tc>
        <w:tc>
          <w:tcPr>
            <w:tcW w:w="1986" w:type="dxa"/>
          </w:tcPr>
          <w:p>
            <w:pPr>
              <w:pStyle w:val="14"/>
              <w:spacing w:before="77"/>
              <w:ind w:left="654" w:right="648"/>
              <w:rPr>
                <w:rFonts w:ascii="Times New Roman"/>
                <w:sz w:val="21"/>
              </w:rPr>
            </w:pPr>
            <w:r>
              <w:rPr>
                <w:rFonts w:ascii="Times New Roman"/>
                <w:sz w:val="21"/>
              </w:rPr>
              <w:t>g/kg</w:t>
            </w:r>
          </w:p>
        </w:tc>
        <w:tc>
          <w:tcPr>
            <w:tcW w:w="3150" w:type="dxa"/>
          </w:tcPr>
          <w:p>
            <w:pPr>
              <w:pStyle w:val="14"/>
              <w:spacing w:before="80"/>
              <w:ind w:left="714" w:right="706"/>
              <w:rPr>
                <w:rFonts w:ascii="Times New Roman"/>
                <w:sz w:val="21"/>
              </w:rPr>
            </w:pPr>
            <w:bookmarkStart w:id="876" w:name="1.3"/>
            <w:bookmarkEnd w:id="876"/>
            <w:r>
              <w:rPr>
                <w:rFonts w:ascii="Times New Roman"/>
                <w:sz w:val="21"/>
              </w:rPr>
              <w:t>1.3</w:t>
            </w:r>
          </w:p>
        </w:tc>
        <w:tc>
          <w:tcPr>
            <w:tcW w:w="1200" w:type="dxa"/>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2"/>
              <w:ind w:left="9"/>
              <w:rPr>
                <w:sz w:val="21"/>
              </w:rPr>
            </w:pPr>
            <w:r>
              <w:rPr>
                <w:w w:val="99"/>
                <w:sz w:val="21"/>
              </w:rPr>
              <w:t>砷</w:t>
            </w:r>
          </w:p>
        </w:tc>
        <w:tc>
          <w:tcPr>
            <w:tcW w:w="1986" w:type="dxa"/>
          </w:tcPr>
          <w:p>
            <w:pPr>
              <w:pStyle w:val="14"/>
              <w:spacing w:before="97"/>
              <w:ind w:left="654" w:right="648"/>
              <w:rPr>
                <w:rFonts w:ascii="Times New Roman"/>
                <w:sz w:val="21"/>
              </w:rPr>
            </w:pPr>
            <w:bookmarkStart w:id="877" w:name="mg/kg"/>
            <w:bookmarkEnd w:id="877"/>
            <w:r>
              <w:rPr>
                <w:rFonts w:ascii="Times New Roman"/>
                <w:sz w:val="21"/>
              </w:rPr>
              <w:t>mg/kg</w:t>
            </w:r>
          </w:p>
        </w:tc>
        <w:tc>
          <w:tcPr>
            <w:tcW w:w="3150" w:type="dxa"/>
          </w:tcPr>
          <w:p>
            <w:pPr>
              <w:pStyle w:val="14"/>
              <w:spacing w:before="81"/>
              <w:ind w:left="714" w:right="706"/>
              <w:rPr>
                <w:rFonts w:ascii="Times New Roman"/>
                <w:sz w:val="21"/>
              </w:rPr>
            </w:pPr>
            <w:bookmarkStart w:id="878" w:name="7.91"/>
            <w:bookmarkEnd w:id="878"/>
            <w:r>
              <w:rPr>
                <w:rFonts w:ascii="Times New Roman"/>
                <w:sz w:val="21"/>
              </w:rPr>
              <w:t>7.91</w:t>
            </w:r>
          </w:p>
        </w:tc>
        <w:tc>
          <w:tcPr>
            <w:tcW w:w="1200" w:type="dxa"/>
          </w:tcPr>
          <w:p>
            <w:pPr>
              <w:pStyle w:val="14"/>
              <w:spacing w:before="76"/>
              <w:ind w:left="131" w:right="124"/>
              <w:rPr>
                <w:rFonts w:ascii="Times New Roman"/>
                <w:sz w:val="21"/>
              </w:rPr>
            </w:pPr>
            <w:r>
              <w:rPr>
                <w:rFonts w:ascii="Times New Roman"/>
                <w:sz w:val="21"/>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3"/>
              <w:ind w:left="9"/>
              <w:rPr>
                <w:sz w:val="21"/>
              </w:rPr>
            </w:pPr>
            <w:r>
              <w:rPr>
                <w:w w:val="99"/>
                <w:sz w:val="21"/>
              </w:rPr>
              <w:t>镉</w:t>
            </w:r>
          </w:p>
        </w:tc>
        <w:tc>
          <w:tcPr>
            <w:tcW w:w="1986" w:type="dxa"/>
          </w:tcPr>
          <w:p>
            <w:pPr>
              <w:pStyle w:val="14"/>
              <w:spacing w:before="98"/>
              <w:ind w:left="654" w:right="648"/>
              <w:rPr>
                <w:rFonts w:ascii="Times New Roman"/>
                <w:sz w:val="21"/>
              </w:rPr>
            </w:pPr>
            <w:bookmarkStart w:id="879" w:name="mg/kg"/>
            <w:bookmarkEnd w:id="879"/>
            <w:r>
              <w:rPr>
                <w:rFonts w:ascii="Times New Roman"/>
                <w:sz w:val="21"/>
              </w:rPr>
              <w:t>mg/kg</w:t>
            </w:r>
          </w:p>
        </w:tc>
        <w:tc>
          <w:tcPr>
            <w:tcW w:w="3150" w:type="dxa"/>
          </w:tcPr>
          <w:p>
            <w:pPr>
              <w:pStyle w:val="14"/>
              <w:spacing w:before="79"/>
              <w:ind w:left="714" w:right="706"/>
              <w:rPr>
                <w:rFonts w:ascii="Times New Roman"/>
                <w:sz w:val="21"/>
              </w:rPr>
            </w:pPr>
            <w:bookmarkStart w:id="880" w:name="0.72"/>
            <w:bookmarkEnd w:id="880"/>
            <w:r>
              <w:rPr>
                <w:rFonts w:ascii="Times New Roman"/>
                <w:sz w:val="21"/>
              </w:rPr>
              <w:t>0.72</w:t>
            </w:r>
          </w:p>
        </w:tc>
        <w:tc>
          <w:tcPr>
            <w:tcW w:w="1200" w:type="dxa"/>
          </w:tcPr>
          <w:p>
            <w:pPr>
              <w:pStyle w:val="14"/>
              <w:spacing w:before="77"/>
              <w:ind w:left="131" w:right="124"/>
              <w:rPr>
                <w:rFonts w:ascii="Times New Roman"/>
                <w:sz w:val="21"/>
              </w:rPr>
            </w:pPr>
            <w:r>
              <w:rPr>
                <w:rFonts w:ascii="Times New Roman"/>
                <w:sz w:val="21"/>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4"/>
              <w:ind w:left="191" w:right="184"/>
              <w:rPr>
                <w:sz w:val="21"/>
              </w:rPr>
            </w:pPr>
            <w:r>
              <w:rPr>
                <w:sz w:val="21"/>
              </w:rPr>
              <w:t>六价铬</w:t>
            </w:r>
          </w:p>
        </w:tc>
        <w:tc>
          <w:tcPr>
            <w:tcW w:w="1986" w:type="dxa"/>
          </w:tcPr>
          <w:p>
            <w:pPr>
              <w:pStyle w:val="14"/>
              <w:spacing w:before="97"/>
              <w:ind w:left="654" w:right="648"/>
              <w:rPr>
                <w:rFonts w:ascii="Times New Roman"/>
                <w:sz w:val="21"/>
              </w:rPr>
            </w:pPr>
            <w:bookmarkStart w:id="881" w:name="mg/kg"/>
            <w:bookmarkEnd w:id="881"/>
            <w:r>
              <w:rPr>
                <w:rFonts w:ascii="Times New Roman"/>
                <w:sz w:val="21"/>
              </w:rPr>
              <w:t>mg/kg</w:t>
            </w:r>
          </w:p>
        </w:tc>
        <w:tc>
          <w:tcPr>
            <w:tcW w:w="3150" w:type="dxa"/>
          </w:tcPr>
          <w:p>
            <w:pPr>
              <w:pStyle w:val="14"/>
              <w:spacing w:before="80"/>
              <w:ind w:left="713" w:right="706"/>
              <w:rPr>
                <w:rFonts w:ascii="Times New Roman"/>
                <w:sz w:val="21"/>
              </w:rPr>
            </w:pPr>
            <w:bookmarkStart w:id="882" w:name="2L"/>
            <w:bookmarkEnd w:id="882"/>
            <w:r>
              <w:rPr>
                <w:rFonts w:ascii="Times New Roman"/>
                <w:sz w:val="21"/>
              </w:rPr>
              <w:t>2L</w:t>
            </w:r>
          </w:p>
        </w:tc>
        <w:tc>
          <w:tcPr>
            <w:tcW w:w="1200" w:type="dxa"/>
          </w:tcPr>
          <w:p>
            <w:pPr>
              <w:pStyle w:val="14"/>
              <w:spacing w:before="78"/>
              <w:ind w:left="133" w:right="121"/>
              <w:rPr>
                <w:rFonts w:ascii="Times New Roman"/>
                <w:sz w:val="21"/>
              </w:rPr>
            </w:pPr>
            <w:r>
              <w:rPr>
                <w:rFonts w:ascii="Times New Roman"/>
                <w:sz w:val="21"/>
              </w:rPr>
              <w:t>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3"/>
              <w:ind w:left="9"/>
              <w:rPr>
                <w:sz w:val="21"/>
              </w:rPr>
            </w:pPr>
            <w:r>
              <w:rPr>
                <w:w w:val="99"/>
                <w:sz w:val="21"/>
              </w:rPr>
              <w:t>铜</w:t>
            </w:r>
          </w:p>
        </w:tc>
        <w:tc>
          <w:tcPr>
            <w:tcW w:w="1986" w:type="dxa"/>
          </w:tcPr>
          <w:p>
            <w:pPr>
              <w:pStyle w:val="14"/>
              <w:spacing w:before="98"/>
              <w:ind w:left="654" w:right="648"/>
              <w:rPr>
                <w:rFonts w:ascii="Times New Roman"/>
                <w:sz w:val="21"/>
              </w:rPr>
            </w:pPr>
            <w:bookmarkStart w:id="883" w:name="mg/kg"/>
            <w:bookmarkEnd w:id="883"/>
            <w:r>
              <w:rPr>
                <w:rFonts w:ascii="Times New Roman"/>
                <w:sz w:val="21"/>
              </w:rPr>
              <w:t>mg/kg</w:t>
            </w:r>
          </w:p>
        </w:tc>
        <w:tc>
          <w:tcPr>
            <w:tcW w:w="3150" w:type="dxa"/>
          </w:tcPr>
          <w:p>
            <w:pPr>
              <w:pStyle w:val="14"/>
              <w:spacing w:before="79"/>
              <w:ind w:left="714" w:right="706"/>
              <w:rPr>
                <w:rFonts w:ascii="Times New Roman"/>
                <w:sz w:val="21"/>
              </w:rPr>
            </w:pPr>
            <w:bookmarkStart w:id="884" w:name="50"/>
            <w:bookmarkEnd w:id="884"/>
            <w:r>
              <w:rPr>
                <w:rFonts w:ascii="Times New Roman"/>
                <w:sz w:val="21"/>
              </w:rPr>
              <w:t>50</w:t>
            </w:r>
          </w:p>
        </w:tc>
        <w:tc>
          <w:tcPr>
            <w:tcW w:w="1200" w:type="dxa"/>
          </w:tcPr>
          <w:p>
            <w:pPr>
              <w:pStyle w:val="14"/>
              <w:spacing w:before="76"/>
              <w:ind w:left="133" w:right="124"/>
              <w:rPr>
                <w:rFonts w:ascii="Times New Roman"/>
                <w:sz w:val="21"/>
              </w:rPr>
            </w:pPr>
            <w:r>
              <w:rPr>
                <w:rFonts w:ascii="Times New Roman"/>
                <w:sz w:val="21"/>
              </w:rPr>
              <w:t>18000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914" w:type="dxa"/>
          </w:tcPr>
          <w:p>
            <w:pPr>
              <w:pStyle w:val="14"/>
              <w:spacing w:before="64"/>
              <w:ind w:left="9"/>
              <w:rPr>
                <w:sz w:val="21"/>
              </w:rPr>
            </w:pPr>
            <w:r>
              <w:rPr>
                <w:w w:val="99"/>
                <w:sz w:val="21"/>
              </w:rPr>
              <w:t>铅</w:t>
            </w:r>
          </w:p>
        </w:tc>
        <w:tc>
          <w:tcPr>
            <w:tcW w:w="1986" w:type="dxa"/>
          </w:tcPr>
          <w:p>
            <w:pPr>
              <w:pStyle w:val="14"/>
              <w:spacing w:before="77"/>
              <w:ind w:left="654" w:right="648"/>
              <w:rPr>
                <w:rFonts w:ascii="Times New Roman"/>
                <w:sz w:val="21"/>
              </w:rPr>
            </w:pPr>
            <w:r>
              <w:rPr>
                <w:rFonts w:ascii="Times New Roman"/>
                <w:sz w:val="21"/>
              </w:rPr>
              <w:t>mg/kg</w:t>
            </w:r>
          </w:p>
        </w:tc>
        <w:tc>
          <w:tcPr>
            <w:tcW w:w="3150" w:type="dxa"/>
          </w:tcPr>
          <w:p>
            <w:pPr>
              <w:pStyle w:val="14"/>
              <w:spacing w:before="80"/>
              <w:ind w:left="714" w:right="706"/>
              <w:rPr>
                <w:rFonts w:ascii="Times New Roman"/>
                <w:sz w:val="21"/>
              </w:rPr>
            </w:pPr>
            <w:bookmarkStart w:id="885" w:name="54.5"/>
            <w:bookmarkEnd w:id="885"/>
            <w:r>
              <w:rPr>
                <w:rFonts w:ascii="Times New Roman"/>
                <w:sz w:val="21"/>
              </w:rPr>
              <w:t>54.5</w:t>
            </w:r>
          </w:p>
        </w:tc>
        <w:tc>
          <w:tcPr>
            <w:tcW w:w="1200" w:type="dxa"/>
          </w:tcPr>
          <w:p>
            <w:pPr>
              <w:pStyle w:val="14"/>
              <w:spacing w:before="77"/>
              <w:ind w:left="131" w:right="124"/>
              <w:rPr>
                <w:rFonts w:ascii="Times New Roman"/>
                <w:sz w:val="21"/>
              </w:rPr>
            </w:pPr>
            <w:r>
              <w:rPr>
                <w:rFonts w:ascii="Times New Roman"/>
                <w:sz w:val="21"/>
              </w:rPr>
              <w:t>800</w:t>
            </w:r>
          </w:p>
        </w:tc>
      </w:tr>
    </w:tbl>
    <w:p>
      <w:pPr>
        <w:spacing w:after="0"/>
        <w:rPr>
          <w:rFonts w:ascii="Times New Roman"/>
          <w:sz w:val="21"/>
        </w:rPr>
        <w:sectPr>
          <w:pgSz w:w="11910" w:h="16840"/>
          <w:pgMar w:top="1580" w:right="780" w:bottom="1240" w:left="1200" w:header="0" w:footer="1058" w:gutter="0"/>
        </w:sectPr>
      </w:pPr>
    </w:p>
    <w:tbl>
      <w:tblPr>
        <w:tblStyle w:val="10"/>
        <w:tblW w:w="0" w:type="auto"/>
        <w:tblInd w:w="6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14"/>
        <w:gridCol w:w="1986"/>
        <w:gridCol w:w="3150"/>
        <w:gridCol w:w="12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914" w:type="dxa"/>
          </w:tcPr>
          <w:p>
            <w:pPr>
              <w:pStyle w:val="14"/>
              <w:spacing w:before="63"/>
              <w:ind w:left="9"/>
              <w:rPr>
                <w:sz w:val="21"/>
              </w:rPr>
            </w:pPr>
            <w:r>
              <w:rPr>
                <w:w w:val="99"/>
                <w:sz w:val="21"/>
              </w:rPr>
              <w:t>汞</w:t>
            </w:r>
          </w:p>
        </w:tc>
        <w:tc>
          <w:tcPr>
            <w:tcW w:w="1986" w:type="dxa"/>
          </w:tcPr>
          <w:p>
            <w:pPr>
              <w:pStyle w:val="14"/>
              <w:spacing w:before="77"/>
              <w:ind w:left="654" w:right="648"/>
              <w:rPr>
                <w:rFonts w:ascii="Times New Roman"/>
                <w:sz w:val="21"/>
              </w:rPr>
            </w:pPr>
            <w:r>
              <w:rPr>
                <w:rFonts w:ascii="Times New Roman"/>
                <w:sz w:val="21"/>
              </w:rPr>
              <w:t>mg/kg</w:t>
            </w:r>
          </w:p>
        </w:tc>
        <w:tc>
          <w:tcPr>
            <w:tcW w:w="3150" w:type="dxa"/>
          </w:tcPr>
          <w:p>
            <w:pPr>
              <w:pStyle w:val="14"/>
              <w:spacing w:before="79"/>
              <w:ind w:left="714" w:right="704"/>
              <w:rPr>
                <w:rFonts w:ascii="Times New Roman"/>
                <w:sz w:val="21"/>
              </w:rPr>
            </w:pPr>
            <w:bookmarkStart w:id="886" w:name="0.125"/>
            <w:bookmarkEnd w:id="886"/>
            <w:r>
              <w:rPr>
                <w:rFonts w:ascii="Times New Roman"/>
                <w:sz w:val="21"/>
              </w:rPr>
              <w:t>0.125</w:t>
            </w:r>
          </w:p>
        </w:tc>
        <w:tc>
          <w:tcPr>
            <w:tcW w:w="1200" w:type="dxa"/>
          </w:tcPr>
          <w:p>
            <w:pPr>
              <w:pStyle w:val="14"/>
              <w:spacing w:before="77"/>
              <w:ind w:left="131" w:right="124"/>
              <w:rPr>
                <w:rFonts w:ascii="Times New Roman"/>
                <w:sz w:val="21"/>
              </w:rPr>
            </w:pPr>
            <w:r>
              <w:rPr>
                <w:rFonts w:ascii="Times New Roman"/>
                <w:sz w:val="21"/>
              </w:rPr>
              <w:t>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4"/>
              <w:ind w:left="9"/>
              <w:rPr>
                <w:sz w:val="21"/>
              </w:rPr>
            </w:pPr>
            <w:r>
              <w:rPr>
                <w:w w:val="99"/>
                <w:sz w:val="21"/>
              </w:rPr>
              <w:t>镍</w:t>
            </w:r>
          </w:p>
        </w:tc>
        <w:tc>
          <w:tcPr>
            <w:tcW w:w="1986" w:type="dxa"/>
          </w:tcPr>
          <w:p>
            <w:pPr>
              <w:pStyle w:val="14"/>
              <w:spacing w:before="78"/>
              <w:ind w:left="654" w:right="648"/>
              <w:rPr>
                <w:rFonts w:ascii="Times New Roman"/>
                <w:sz w:val="21"/>
              </w:rPr>
            </w:pPr>
            <w:r>
              <w:rPr>
                <w:rFonts w:ascii="Times New Roman"/>
                <w:sz w:val="21"/>
              </w:rPr>
              <w:t>mg/kg</w:t>
            </w:r>
          </w:p>
        </w:tc>
        <w:tc>
          <w:tcPr>
            <w:tcW w:w="3150" w:type="dxa"/>
          </w:tcPr>
          <w:p>
            <w:pPr>
              <w:pStyle w:val="14"/>
              <w:spacing w:before="80"/>
              <w:ind w:left="714" w:right="706"/>
              <w:rPr>
                <w:rFonts w:ascii="Times New Roman"/>
                <w:sz w:val="21"/>
              </w:rPr>
            </w:pPr>
            <w:bookmarkStart w:id="887" w:name="56"/>
            <w:bookmarkEnd w:id="887"/>
            <w:r>
              <w:rPr>
                <w:rFonts w:ascii="Times New Roman"/>
                <w:sz w:val="21"/>
              </w:rPr>
              <w:t>56</w:t>
            </w:r>
          </w:p>
        </w:tc>
        <w:tc>
          <w:tcPr>
            <w:tcW w:w="1200" w:type="dxa"/>
          </w:tcPr>
          <w:p>
            <w:pPr>
              <w:pStyle w:val="14"/>
              <w:spacing w:before="78"/>
              <w:ind w:left="131" w:right="124"/>
              <w:rPr>
                <w:rFonts w:ascii="Times New Roman"/>
                <w:sz w:val="21"/>
              </w:rPr>
            </w:pPr>
            <w:r>
              <w:rPr>
                <w:rFonts w:ascii="Times New Roman"/>
                <w:sz w:val="21"/>
              </w:rPr>
              <w:t>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3"/>
              <w:ind w:left="188" w:right="184"/>
              <w:rPr>
                <w:sz w:val="21"/>
              </w:rPr>
            </w:pPr>
            <w:r>
              <w:rPr>
                <w:sz w:val="21"/>
              </w:rPr>
              <w:t>四氯化碳</w:t>
            </w:r>
          </w:p>
        </w:tc>
        <w:tc>
          <w:tcPr>
            <w:tcW w:w="1986" w:type="dxa"/>
          </w:tcPr>
          <w:p>
            <w:pPr>
              <w:pStyle w:val="14"/>
              <w:spacing w:before="76"/>
              <w:ind w:left="654" w:right="648"/>
              <w:rPr>
                <w:rFonts w:ascii="Times New Roman" w:hAnsi="Times New Roman"/>
                <w:sz w:val="21"/>
              </w:rPr>
            </w:pPr>
            <w:r>
              <w:rPr>
                <w:rFonts w:ascii="Times New Roman" w:hAnsi="Times New Roman"/>
                <w:sz w:val="21"/>
              </w:rPr>
              <w:t>μg/kg</w:t>
            </w:r>
          </w:p>
        </w:tc>
        <w:tc>
          <w:tcPr>
            <w:tcW w:w="3150" w:type="dxa"/>
          </w:tcPr>
          <w:p>
            <w:pPr>
              <w:pStyle w:val="14"/>
              <w:spacing w:before="79"/>
              <w:ind w:left="712" w:right="706"/>
              <w:rPr>
                <w:rFonts w:ascii="Times New Roman"/>
                <w:sz w:val="21"/>
              </w:rPr>
            </w:pPr>
            <w:bookmarkStart w:id="888" w:name="&lt;2"/>
            <w:bookmarkEnd w:id="888"/>
            <w:r>
              <w:rPr>
                <w:rFonts w:ascii="Times New Roman"/>
                <w:sz w:val="21"/>
              </w:rPr>
              <w:t>&lt;2</w:t>
            </w:r>
          </w:p>
        </w:tc>
        <w:tc>
          <w:tcPr>
            <w:tcW w:w="1200" w:type="dxa"/>
          </w:tcPr>
          <w:p>
            <w:pPr>
              <w:pStyle w:val="14"/>
              <w:spacing w:before="76"/>
              <w:ind w:left="390"/>
              <w:jc w:val="left"/>
              <w:rPr>
                <w:rFonts w:ascii="Times New Roman"/>
                <w:sz w:val="21"/>
              </w:rPr>
            </w:pPr>
            <w:r>
              <w:rPr>
                <w:rFonts w:ascii="Times New Roman"/>
                <w:sz w:val="21"/>
              </w:rPr>
              <w:t>2800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3"/>
              <w:ind w:left="191" w:right="184"/>
              <w:rPr>
                <w:sz w:val="21"/>
              </w:rPr>
            </w:pPr>
            <w:r>
              <w:rPr>
                <w:sz w:val="21"/>
              </w:rPr>
              <w:t>氯甲烷</w:t>
            </w:r>
          </w:p>
        </w:tc>
        <w:tc>
          <w:tcPr>
            <w:tcW w:w="1986" w:type="dxa"/>
          </w:tcPr>
          <w:p>
            <w:pPr>
              <w:pStyle w:val="14"/>
              <w:spacing w:before="77"/>
              <w:ind w:left="654" w:right="648"/>
              <w:rPr>
                <w:rFonts w:ascii="Times New Roman" w:hAnsi="Times New Roman"/>
                <w:sz w:val="21"/>
              </w:rPr>
            </w:pPr>
            <w:r>
              <w:rPr>
                <w:rFonts w:ascii="Times New Roman" w:hAnsi="Times New Roman"/>
                <w:sz w:val="21"/>
              </w:rPr>
              <w:t>μg/kg</w:t>
            </w:r>
          </w:p>
        </w:tc>
        <w:tc>
          <w:tcPr>
            <w:tcW w:w="3150" w:type="dxa"/>
          </w:tcPr>
          <w:p>
            <w:pPr>
              <w:pStyle w:val="14"/>
              <w:spacing w:before="80"/>
              <w:ind w:left="712" w:right="706"/>
              <w:rPr>
                <w:rFonts w:ascii="Times New Roman"/>
                <w:sz w:val="21"/>
              </w:rPr>
            </w:pPr>
            <w:bookmarkStart w:id="889" w:name="&lt;3"/>
            <w:bookmarkEnd w:id="889"/>
            <w:r>
              <w:rPr>
                <w:rFonts w:ascii="Times New Roman"/>
                <w:sz w:val="21"/>
              </w:rPr>
              <w:t>&lt;3</w:t>
            </w:r>
          </w:p>
        </w:tc>
        <w:tc>
          <w:tcPr>
            <w:tcW w:w="1200" w:type="dxa"/>
          </w:tcPr>
          <w:p>
            <w:pPr>
              <w:pStyle w:val="14"/>
              <w:spacing w:before="77"/>
              <w:ind w:left="337"/>
              <w:jc w:val="left"/>
              <w:rPr>
                <w:rFonts w:ascii="Times New Roman"/>
                <w:sz w:val="21"/>
              </w:rPr>
            </w:pPr>
            <w:r>
              <w:rPr>
                <w:rFonts w:ascii="Times New Roman"/>
                <w:sz w:val="21"/>
              </w:rPr>
              <w:t>37000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2"/>
              <w:ind w:left="191" w:right="184"/>
              <w:rPr>
                <w:sz w:val="21"/>
              </w:rPr>
            </w:pPr>
            <w:r>
              <w:rPr>
                <w:sz w:val="21"/>
              </w:rPr>
              <w:t>氯仿</w:t>
            </w:r>
          </w:p>
        </w:tc>
        <w:tc>
          <w:tcPr>
            <w:tcW w:w="1986" w:type="dxa"/>
          </w:tcPr>
          <w:p>
            <w:pPr>
              <w:pStyle w:val="14"/>
              <w:spacing w:before="76"/>
              <w:ind w:left="654" w:right="648"/>
              <w:rPr>
                <w:rFonts w:ascii="Times New Roman" w:hAnsi="Times New Roman"/>
                <w:sz w:val="21"/>
              </w:rPr>
            </w:pPr>
            <w:r>
              <w:rPr>
                <w:rFonts w:ascii="Times New Roman" w:hAnsi="Times New Roman"/>
                <w:sz w:val="21"/>
              </w:rPr>
              <w:t>μg/kg</w:t>
            </w:r>
          </w:p>
        </w:tc>
        <w:tc>
          <w:tcPr>
            <w:tcW w:w="3150" w:type="dxa"/>
          </w:tcPr>
          <w:p>
            <w:pPr>
              <w:pStyle w:val="14"/>
              <w:spacing w:before="81"/>
              <w:ind w:left="712" w:right="706"/>
              <w:rPr>
                <w:rFonts w:ascii="Times New Roman"/>
                <w:sz w:val="21"/>
              </w:rPr>
            </w:pPr>
            <w:bookmarkStart w:id="890" w:name="&lt;2"/>
            <w:bookmarkEnd w:id="890"/>
            <w:r>
              <w:rPr>
                <w:rFonts w:ascii="Times New Roman"/>
                <w:sz w:val="21"/>
              </w:rPr>
              <w:t>&lt;2</w:t>
            </w:r>
          </w:p>
        </w:tc>
        <w:tc>
          <w:tcPr>
            <w:tcW w:w="1200" w:type="dxa"/>
          </w:tcPr>
          <w:p>
            <w:pPr>
              <w:pStyle w:val="14"/>
              <w:spacing w:before="76"/>
              <w:ind w:left="131" w:right="124"/>
              <w:rPr>
                <w:rFonts w:ascii="Times New Roman"/>
                <w:sz w:val="21"/>
              </w:rPr>
            </w:pPr>
            <w:r>
              <w:rPr>
                <w:rFonts w:ascii="Times New Roman"/>
                <w:sz w:val="21"/>
              </w:rPr>
              <w:t>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914" w:type="dxa"/>
          </w:tcPr>
          <w:p>
            <w:pPr>
              <w:pStyle w:val="14"/>
              <w:spacing w:before="63"/>
              <w:ind w:left="191" w:right="184"/>
              <w:rPr>
                <w:sz w:val="21"/>
              </w:rPr>
            </w:pPr>
            <w:r>
              <w:rPr>
                <w:rFonts w:ascii="Times New Roman" w:eastAsia="Times New Roman"/>
                <w:sz w:val="21"/>
              </w:rPr>
              <w:t>1,1-</w:t>
            </w:r>
            <w:r>
              <w:rPr>
                <w:sz w:val="21"/>
              </w:rPr>
              <w:t>二氯乙烷</w:t>
            </w:r>
          </w:p>
        </w:tc>
        <w:tc>
          <w:tcPr>
            <w:tcW w:w="1986" w:type="dxa"/>
          </w:tcPr>
          <w:p>
            <w:pPr>
              <w:pStyle w:val="14"/>
              <w:spacing w:before="77"/>
              <w:ind w:left="654" w:right="648"/>
              <w:rPr>
                <w:rFonts w:ascii="Times New Roman" w:hAnsi="Times New Roman"/>
                <w:sz w:val="21"/>
              </w:rPr>
            </w:pPr>
            <w:r>
              <w:rPr>
                <w:rFonts w:ascii="Times New Roman" w:hAnsi="Times New Roman"/>
                <w:sz w:val="21"/>
              </w:rPr>
              <w:t>μg/kg</w:t>
            </w:r>
          </w:p>
        </w:tc>
        <w:tc>
          <w:tcPr>
            <w:tcW w:w="3150" w:type="dxa"/>
          </w:tcPr>
          <w:p>
            <w:pPr>
              <w:pStyle w:val="14"/>
              <w:spacing w:before="79"/>
              <w:ind w:left="712" w:right="706"/>
              <w:rPr>
                <w:rFonts w:ascii="Times New Roman"/>
                <w:sz w:val="21"/>
              </w:rPr>
            </w:pPr>
            <w:bookmarkStart w:id="891" w:name="&lt;2"/>
            <w:bookmarkEnd w:id="891"/>
            <w:r>
              <w:rPr>
                <w:rFonts w:ascii="Times New Roman"/>
                <w:sz w:val="21"/>
              </w:rPr>
              <w:t>&lt;2</w:t>
            </w:r>
          </w:p>
        </w:tc>
        <w:tc>
          <w:tcPr>
            <w:tcW w:w="1200" w:type="dxa"/>
          </w:tcPr>
          <w:p>
            <w:pPr>
              <w:pStyle w:val="14"/>
              <w:spacing w:before="77"/>
              <w:ind w:left="390"/>
              <w:jc w:val="left"/>
              <w:rPr>
                <w:rFonts w:ascii="Times New Roman"/>
                <w:sz w:val="21"/>
              </w:rPr>
            </w:pPr>
            <w:r>
              <w:rPr>
                <w:rFonts w:ascii="Times New Roman"/>
                <w:sz w:val="21"/>
              </w:rPr>
              <w:t>9000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2"/>
              <w:ind w:left="191" w:right="184"/>
              <w:rPr>
                <w:sz w:val="21"/>
              </w:rPr>
            </w:pPr>
            <w:r>
              <w:rPr>
                <w:rFonts w:ascii="Times New Roman" w:eastAsia="Times New Roman"/>
                <w:sz w:val="21"/>
              </w:rPr>
              <w:t>1,2-</w:t>
            </w:r>
            <w:r>
              <w:rPr>
                <w:sz w:val="21"/>
              </w:rPr>
              <w:t>二氯乙烷</w:t>
            </w:r>
          </w:p>
        </w:tc>
        <w:tc>
          <w:tcPr>
            <w:tcW w:w="1986" w:type="dxa"/>
          </w:tcPr>
          <w:p>
            <w:pPr>
              <w:pStyle w:val="14"/>
              <w:spacing w:before="76"/>
              <w:ind w:left="654" w:right="648"/>
              <w:rPr>
                <w:rFonts w:ascii="Times New Roman" w:hAnsi="Times New Roman"/>
                <w:sz w:val="21"/>
              </w:rPr>
            </w:pPr>
            <w:r>
              <w:rPr>
                <w:rFonts w:ascii="Times New Roman" w:hAnsi="Times New Roman"/>
                <w:sz w:val="21"/>
              </w:rPr>
              <w:t>μg/kg</w:t>
            </w:r>
          </w:p>
        </w:tc>
        <w:tc>
          <w:tcPr>
            <w:tcW w:w="3150" w:type="dxa"/>
          </w:tcPr>
          <w:p>
            <w:pPr>
              <w:pStyle w:val="14"/>
              <w:spacing w:before="80"/>
              <w:ind w:left="712" w:right="706"/>
              <w:rPr>
                <w:rFonts w:ascii="Times New Roman"/>
                <w:sz w:val="21"/>
              </w:rPr>
            </w:pPr>
            <w:bookmarkStart w:id="892" w:name="&lt;3"/>
            <w:bookmarkEnd w:id="892"/>
            <w:r>
              <w:rPr>
                <w:rFonts w:ascii="Times New Roman"/>
                <w:sz w:val="21"/>
              </w:rPr>
              <w:t>&lt;3</w:t>
            </w:r>
          </w:p>
        </w:tc>
        <w:tc>
          <w:tcPr>
            <w:tcW w:w="1200" w:type="dxa"/>
          </w:tcPr>
          <w:p>
            <w:pPr>
              <w:pStyle w:val="14"/>
              <w:spacing w:before="76"/>
              <w:ind w:left="390"/>
              <w:jc w:val="left"/>
              <w:rPr>
                <w:rFonts w:ascii="Times New Roman"/>
                <w:sz w:val="21"/>
              </w:rPr>
            </w:pPr>
            <w:r>
              <w:rPr>
                <w:rFonts w:ascii="Times New Roman"/>
                <w:sz w:val="21"/>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3"/>
              <w:ind w:left="191" w:right="184"/>
              <w:rPr>
                <w:sz w:val="21"/>
              </w:rPr>
            </w:pPr>
            <w:r>
              <w:rPr>
                <w:rFonts w:ascii="Times New Roman" w:eastAsia="Times New Roman"/>
                <w:sz w:val="21"/>
              </w:rPr>
              <w:t>1,1-</w:t>
            </w:r>
            <w:r>
              <w:rPr>
                <w:sz w:val="21"/>
              </w:rPr>
              <w:t>二氯乙烯</w:t>
            </w:r>
          </w:p>
        </w:tc>
        <w:tc>
          <w:tcPr>
            <w:tcW w:w="1986" w:type="dxa"/>
          </w:tcPr>
          <w:p>
            <w:pPr>
              <w:pStyle w:val="14"/>
              <w:spacing w:before="77"/>
              <w:ind w:left="654" w:right="648"/>
              <w:rPr>
                <w:rFonts w:ascii="Times New Roman" w:hAnsi="Times New Roman"/>
                <w:sz w:val="21"/>
              </w:rPr>
            </w:pPr>
            <w:r>
              <w:rPr>
                <w:rFonts w:ascii="Times New Roman" w:hAnsi="Times New Roman"/>
                <w:sz w:val="21"/>
              </w:rPr>
              <w:t>μg/kg</w:t>
            </w:r>
          </w:p>
        </w:tc>
        <w:tc>
          <w:tcPr>
            <w:tcW w:w="3150" w:type="dxa"/>
          </w:tcPr>
          <w:p>
            <w:pPr>
              <w:pStyle w:val="14"/>
              <w:spacing w:before="79"/>
              <w:ind w:left="712" w:right="706"/>
              <w:rPr>
                <w:rFonts w:ascii="Times New Roman"/>
                <w:sz w:val="21"/>
              </w:rPr>
            </w:pPr>
            <w:bookmarkStart w:id="893" w:name="&lt;2"/>
            <w:bookmarkEnd w:id="893"/>
            <w:r>
              <w:rPr>
                <w:rFonts w:ascii="Times New Roman"/>
                <w:sz w:val="21"/>
              </w:rPr>
              <w:t>&lt;2</w:t>
            </w:r>
          </w:p>
        </w:tc>
        <w:tc>
          <w:tcPr>
            <w:tcW w:w="1200" w:type="dxa"/>
          </w:tcPr>
          <w:p>
            <w:pPr>
              <w:pStyle w:val="14"/>
              <w:spacing w:before="77"/>
              <w:ind w:left="337"/>
              <w:jc w:val="left"/>
              <w:rPr>
                <w:rFonts w:ascii="Times New Roman"/>
                <w:sz w:val="21"/>
              </w:rPr>
            </w:pPr>
            <w:r>
              <w:rPr>
                <w:rFonts w:ascii="Times New Roman"/>
                <w:sz w:val="21"/>
              </w:rPr>
              <w:t>66000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4"/>
              <w:ind w:left="191" w:right="184"/>
              <w:rPr>
                <w:sz w:val="21"/>
              </w:rPr>
            </w:pPr>
            <w:r>
              <w:rPr>
                <w:sz w:val="21"/>
              </w:rPr>
              <w:t>顺</w:t>
            </w:r>
            <w:r>
              <w:rPr>
                <w:rFonts w:ascii="Times New Roman" w:eastAsia="Times New Roman"/>
                <w:sz w:val="21"/>
              </w:rPr>
              <w:t>-1,2-</w:t>
            </w:r>
            <w:r>
              <w:rPr>
                <w:sz w:val="21"/>
              </w:rPr>
              <w:t>二氯乙烯</w:t>
            </w:r>
          </w:p>
        </w:tc>
        <w:tc>
          <w:tcPr>
            <w:tcW w:w="1986" w:type="dxa"/>
          </w:tcPr>
          <w:p>
            <w:pPr>
              <w:pStyle w:val="14"/>
              <w:spacing w:before="78"/>
              <w:ind w:left="654" w:right="648"/>
              <w:rPr>
                <w:rFonts w:ascii="Times New Roman" w:hAnsi="Times New Roman"/>
                <w:sz w:val="21"/>
              </w:rPr>
            </w:pPr>
            <w:r>
              <w:rPr>
                <w:rFonts w:ascii="Times New Roman" w:hAnsi="Times New Roman"/>
                <w:sz w:val="21"/>
              </w:rPr>
              <w:t>μg/kg</w:t>
            </w:r>
          </w:p>
        </w:tc>
        <w:tc>
          <w:tcPr>
            <w:tcW w:w="3150" w:type="dxa"/>
          </w:tcPr>
          <w:p>
            <w:pPr>
              <w:pStyle w:val="14"/>
              <w:spacing w:before="80"/>
              <w:ind w:left="712" w:right="706"/>
              <w:rPr>
                <w:rFonts w:ascii="Times New Roman"/>
                <w:sz w:val="21"/>
              </w:rPr>
            </w:pPr>
            <w:bookmarkStart w:id="894" w:name="&lt;3"/>
            <w:bookmarkEnd w:id="894"/>
            <w:r>
              <w:rPr>
                <w:rFonts w:ascii="Times New Roman"/>
                <w:sz w:val="21"/>
              </w:rPr>
              <w:t>&lt;3</w:t>
            </w:r>
          </w:p>
        </w:tc>
        <w:tc>
          <w:tcPr>
            <w:tcW w:w="1200" w:type="dxa"/>
          </w:tcPr>
          <w:p>
            <w:pPr>
              <w:pStyle w:val="14"/>
              <w:spacing w:before="78"/>
              <w:ind w:left="284"/>
              <w:jc w:val="left"/>
              <w:rPr>
                <w:rFonts w:ascii="Times New Roman"/>
                <w:sz w:val="21"/>
              </w:rPr>
            </w:pPr>
            <w:r>
              <w:rPr>
                <w:rFonts w:ascii="Times New Roman"/>
                <w:sz w:val="21"/>
              </w:rPr>
              <w:t>596000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2"/>
              <w:ind w:left="191" w:right="184"/>
              <w:rPr>
                <w:sz w:val="21"/>
              </w:rPr>
            </w:pPr>
            <w:r>
              <w:rPr>
                <w:sz w:val="21"/>
              </w:rPr>
              <w:t>反</w:t>
            </w:r>
            <w:r>
              <w:rPr>
                <w:rFonts w:ascii="Times New Roman" w:eastAsia="Times New Roman"/>
                <w:sz w:val="21"/>
              </w:rPr>
              <w:t>-1,2-</w:t>
            </w:r>
            <w:r>
              <w:rPr>
                <w:sz w:val="21"/>
              </w:rPr>
              <w:t>二氯乙烯</w:t>
            </w:r>
          </w:p>
        </w:tc>
        <w:tc>
          <w:tcPr>
            <w:tcW w:w="1986" w:type="dxa"/>
          </w:tcPr>
          <w:p>
            <w:pPr>
              <w:pStyle w:val="14"/>
              <w:spacing w:before="76"/>
              <w:ind w:left="654" w:right="648"/>
              <w:rPr>
                <w:rFonts w:ascii="Times New Roman" w:hAnsi="Times New Roman"/>
                <w:sz w:val="21"/>
              </w:rPr>
            </w:pPr>
            <w:r>
              <w:rPr>
                <w:rFonts w:ascii="Times New Roman" w:hAnsi="Times New Roman"/>
                <w:sz w:val="21"/>
              </w:rPr>
              <w:t>μg/kg</w:t>
            </w:r>
          </w:p>
        </w:tc>
        <w:tc>
          <w:tcPr>
            <w:tcW w:w="3150" w:type="dxa"/>
          </w:tcPr>
          <w:p>
            <w:pPr>
              <w:pStyle w:val="14"/>
              <w:spacing w:before="79"/>
              <w:ind w:left="712" w:right="706"/>
              <w:rPr>
                <w:rFonts w:ascii="Times New Roman"/>
                <w:sz w:val="21"/>
              </w:rPr>
            </w:pPr>
            <w:bookmarkStart w:id="895" w:name="&lt;3"/>
            <w:bookmarkEnd w:id="895"/>
            <w:r>
              <w:rPr>
                <w:rFonts w:ascii="Times New Roman"/>
                <w:sz w:val="21"/>
              </w:rPr>
              <w:t>&lt;3</w:t>
            </w:r>
          </w:p>
        </w:tc>
        <w:tc>
          <w:tcPr>
            <w:tcW w:w="1200" w:type="dxa"/>
          </w:tcPr>
          <w:p>
            <w:pPr>
              <w:pStyle w:val="14"/>
              <w:spacing w:before="76"/>
              <w:ind w:left="337"/>
              <w:jc w:val="left"/>
              <w:rPr>
                <w:rFonts w:ascii="Times New Roman"/>
                <w:sz w:val="21"/>
              </w:rPr>
            </w:pPr>
            <w:r>
              <w:rPr>
                <w:rFonts w:ascii="Times New Roman"/>
                <w:sz w:val="21"/>
              </w:rPr>
              <w:t>54000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914" w:type="dxa"/>
          </w:tcPr>
          <w:p>
            <w:pPr>
              <w:pStyle w:val="14"/>
              <w:spacing w:before="63"/>
              <w:ind w:left="188" w:right="184"/>
              <w:rPr>
                <w:sz w:val="21"/>
              </w:rPr>
            </w:pPr>
            <w:r>
              <w:rPr>
                <w:sz w:val="21"/>
              </w:rPr>
              <w:t>二氯甲烷</w:t>
            </w:r>
          </w:p>
        </w:tc>
        <w:tc>
          <w:tcPr>
            <w:tcW w:w="1986" w:type="dxa"/>
          </w:tcPr>
          <w:p>
            <w:pPr>
              <w:pStyle w:val="14"/>
              <w:spacing w:before="77"/>
              <w:ind w:left="654" w:right="648"/>
              <w:rPr>
                <w:rFonts w:ascii="Times New Roman" w:hAnsi="Times New Roman"/>
                <w:sz w:val="21"/>
              </w:rPr>
            </w:pPr>
            <w:r>
              <w:rPr>
                <w:rFonts w:ascii="Times New Roman" w:hAnsi="Times New Roman"/>
                <w:sz w:val="21"/>
              </w:rPr>
              <w:t>μg/kg</w:t>
            </w:r>
          </w:p>
        </w:tc>
        <w:tc>
          <w:tcPr>
            <w:tcW w:w="3150" w:type="dxa"/>
          </w:tcPr>
          <w:p>
            <w:pPr>
              <w:pStyle w:val="14"/>
              <w:spacing w:before="80"/>
              <w:ind w:left="712" w:right="706"/>
              <w:rPr>
                <w:rFonts w:ascii="Times New Roman"/>
                <w:sz w:val="21"/>
              </w:rPr>
            </w:pPr>
            <w:bookmarkStart w:id="896" w:name="&lt;3"/>
            <w:bookmarkEnd w:id="896"/>
            <w:r>
              <w:rPr>
                <w:rFonts w:ascii="Times New Roman"/>
                <w:sz w:val="21"/>
              </w:rPr>
              <w:t>&lt;3</w:t>
            </w:r>
          </w:p>
        </w:tc>
        <w:tc>
          <w:tcPr>
            <w:tcW w:w="1200" w:type="dxa"/>
          </w:tcPr>
          <w:p>
            <w:pPr>
              <w:pStyle w:val="14"/>
              <w:spacing w:before="77"/>
              <w:ind w:left="284"/>
              <w:jc w:val="left"/>
              <w:rPr>
                <w:rFonts w:ascii="Times New Roman"/>
                <w:sz w:val="21"/>
              </w:rPr>
            </w:pPr>
            <w:r>
              <w:rPr>
                <w:rFonts w:ascii="Times New Roman"/>
                <w:sz w:val="21"/>
              </w:rPr>
              <w:t>616000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2"/>
              <w:ind w:left="191" w:right="184"/>
              <w:rPr>
                <w:sz w:val="21"/>
              </w:rPr>
            </w:pPr>
            <w:r>
              <w:rPr>
                <w:rFonts w:ascii="Times New Roman" w:eastAsia="Times New Roman"/>
                <w:sz w:val="21"/>
              </w:rPr>
              <w:t>1,2-</w:t>
            </w:r>
            <w:r>
              <w:rPr>
                <w:sz w:val="21"/>
              </w:rPr>
              <w:t>二氯丙烷</w:t>
            </w:r>
          </w:p>
        </w:tc>
        <w:tc>
          <w:tcPr>
            <w:tcW w:w="1986" w:type="dxa"/>
          </w:tcPr>
          <w:p>
            <w:pPr>
              <w:pStyle w:val="14"/>
              <w:spacing w:before="76"/>
              <w:ind w:left="654" w:right="648"/>
              <w:rPr>
                <w:rFonts w:ascii="Times New Roman" w:hAnsi="Times New Roman"/>
                <w:sz w:val="21"/>
              </w:rPr>
            </w:pPr>
            <w:r>
              <w:rPr>
                <w:rFonts w:ascii="Times New Roman" w:hAnsi="Times New Roman"/>
                <w:sz w:val="21"/>
              </w:rPr>
              <w:t>μg/kg</w:t>
            </w:r>
          </w:p>
        </w:tc>
        <w:tc>
          <w:tcPr>
            <w:tcW w:w="3150" w:type="dxa"/>
          </w:tcPr>
          <w:p>
            <w:pPr>
              <w:pStyle w:val="14"/>
              <w:spacing w:before="81"/>
              <w:ind w:left="712" w:right="706"/>
              <w:rPr>
                <w:rFonts w:ascii="Times New Roman"/>
                <w:sz w:val="21"/>
              </w:rPr>
            </w:pPr>
            <w:bookmarkStart w:id="897" w:name="&lt;2"/>
            <w:bookmarkEnd w:id="897"/>
            <w:r>
              <w:rPr>
                <w:rFonts w:ascii="Times New Roman"/>
                <w:sz w:val="21"/>
              </w:rPr>
              <w:t>&lt;2</w:t>
            </w:r>
          </w:p>
        </w:tc>
        <w:tc>
          <w:tcPr>
            <w:tcW w:w="1200" w:type="dxa"/>
          </w:tcPr>
          <w:p>
            <w:pPr>
              <w:pStyle w:val="14"/>
              <w:spacing w:before="76"/>
              <w:ind w:left="390"/>
              <w:jc w:val="left"/>
              <w:rPr>
                <w:rFonts w:ascii="Times New Roman"/>
                <w:sz w:val="21"/>
              </w:rPr>
            </w:pPr>
            <w:r>
              <w:rPr>
                <w:rFonts w:ascii="Times New Roman"/>
                <w:sz w:val="21"/>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914" w:type="dxa"/>
          </w:tcPr>
          <w:p>
            <w:pPr>
              <w:pStyle w:val="14"/>
              <w:spacing w:before="63"/>
              <w:ind w:left="191" w:right="184"/>
              <w:rPr>
                <w:sz w:val="21"/>
              </w:rPr>
            </w:pPr>
            <w:r>
              <w:rPr>
                <w:rFonts w:ascii="Times New Roman" w:eastAsia="Times New Roman"/>
                <w:sz w:val="21"/>
              </w:rPr>
              <w:t>1,1,1,2-</w:t>
            </w:r>
            <w:r>
              <w:rPr>
                <w:sz w:val="21"/>
              </w:rPr>
              <w:t>四氯乙烷</w:t>
            </w:r>
          </w:p>
        </w:tc>
        <w:tc>
          <w:tcPr>
            <w:tcW w:w="1986" w:type="dxa"/>
          </w:tcPr>
          <w:p>
            <w:pPr>
              <w:pStyle w:val="14"/>
              <w:spacing w:before="77"/>
              <w:ind w:left="654" w:right="648"/>
              <w:rPr>
                <w:rFonts w:ascii="Times New Roman" w:hAnsi="Times New Roman"/>
                <w:sz w:val="21"/>
              </w:rPr>
            </w:pPr>
            <w:r>
              <w:rPr>
                <w:rFonts w:ascii="Times New Roman" w:hAnsi="Times New Roman"/>
                <w:sz w:val="21"/>
              </w:rPr>
              <w:t>μg/kg</w:t>
            </w:r>
          </w:p>
        </w:tc>
        <w:tc>
          <w:tcPr>
            <w:tcW w:w="3150" w:type="dxa"/>
          </w:tcPr>
          <w:p>
            <w:pPr>
              <w:pStyle w:val="14"/>
              <w:spacing w:before="79"/>
              <w:ind w:left="712" w:right="706"/>
              <w:rPr>
                <w:rFonts w:ascii="Times New Roman"/>
                <w:sz w:val="21"/>
              </w:rPr>
            </w:pPr>
            <w:bookmarkStart w:id="898" w:name="&lt;3"/>
            <w:bookmarkEnd w:id="898"/>
            <w:r>
              <w:rPr>
                <w:rFonts w:ascii="Times New Roman"/>
                <w:sz w:val="21"/>
              </w:rPr>
              <w:t>&lt;3</w:t>
            </w:r>
          </w:p>
        </w:tc>
        <w:tc>
          <w:tcPr>
            <w:tcW w:w="1200" w:type="dxa"/>
          </w:tcPr>
          <w:p>
            <w:pPr>
              <w:pStyle w:val="14"/>
              <w:spacing w:before="77"/>
              <w:ind w:left="337"/>
              <w:jc w:val="left"/>
              <w:rPr>
                <w:rFonts w:ascii="Times New Roman"/>
                <w:sz w:val="21"/>
              </w:rPr>
            </w:pPr>
            <w:r>
              <w:rPr>
                <w:rFonts w:ascii="Times New Roman"/>
                <w:sz w:val="21"/>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4"/>
              <w:ind w:left="191" w:right="184"/>
              <w:rPr>
                <w:sz w:val="21"/>
              </w:rPr>
            </w:pPr>
            <w:r>
              <w:rPr>
                <w:rFonts w:ascii="Times New Roman" w:eastAsia="Times New Roman"/>
                <w:sz w:val="21"/>
              </w:rPr>
              <w:t>1,1,2,2-</w:t>
            </w:r>
            <w:r>
              <w:rPr>
                <w:sz w:val="21"/>
              </w:rPr>
              <w:t>四氯乙烷</w:t>
            </w:r>
          </w:p>
        </w:tc>
        <w:tc>
          <w:tcPr>
            <w:tcW w:w="1986" w:type="dxa"/>
          </w:tcPr>
          <w:p>
            <w:pPr>
              <w:pStyle w:val="14"/>
              <w:spacing w:before="97"/>
              <w:ind w:left="654" w:right="648"/>
              <w:rPr>
                <w:rFonts w:ascii="Times New Roman" w:hAnsi="Times New Roman"/>
                <w:sz w:val="21"/>
              </w:rPr>
            </w:pPr>
            <w:bookmarkStart w:id="899" w:name="μg/kg"/>
            <w:bookmarkEnd w:id="899"/>
            <w:r>
              <w:rPr>
                <w:rFonts w:ascii="Times New Roman" w:hAnsi="Times New Roman"/>
                <w:sz w:val="21"/>
              </w:rPr>
              <w:t>μg/kg</w:t>
            </w:r>
          </w:p>
        </w:tc>
        <w:tc>
          <w:tcPr>
            <w:tcW w:w="3150" w:type="dxa"/>
          </w:tcPr>
          <w:p>
            <w:pPr>
              <w:pStyle w:val="14"/>
              <w:spacing w:before="97"/>
              <w:ind w:left="712" w:right="706"/>
              <w:rPr>
                <w:rFonts w:ascii="Times New Roman"/>
                <w:sz w:val="21"/>
              </w:rPr>
            </w:pPr>
            <w:bookmarkStart w:id="900" w:name="&lt;3"/>
            <w:bookmarkEnd w:id="900"/>
            <w:r>
              <w:rPr>
                <w:rFonts w:ascii="Times New Roman"/>
                <w:sz w:val="21"/>
              </w:rPr>
              <w:t>&lt;3</w:t>
            </w:r>
          </w:p>
        </w:tc>
        <w:tc>
          <w:tcPr>
            <w:tcW w:w="1200" w:type="dxa"/>
          </w:tcPr>
          <w:p>
            <w:pPr>
              <w:pStyle w:val="14"/>
              <w:spacing w:before="78"/>
              <w:ind w:left="390"/>
              <w:jc w:val="left"/>
              <w:rPr>
                <w:rFonts w:ascii="Times New Roman"/>
                <w:sz w:val="21"/>
              </w:rPr>
            </w:pPr>
            <w:r>
              <w:rPr>
                <w:rFonts w:ascii="Times New Roman"/>
                <w:sz w:val="21"/>
              </w:rPr>
              <w:t>6800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914" w:type="dxa"/>
          </w:tcPr>
          <w:p>
            <w:pPr>
              <w:pStyle w:val="14"/>
              <w:spacing w:before="63"/>
              <w:ind w:left="188" w:right="184"/>
              <w:rPr>
                <w:sz w:val="21"/>
              </w:rPr>
            </w:pPr>
            <w:r>
              <w:rPr>
                <w:sz w:val="21"/>
              </w:rPr>
              <w:t>四氯乙烯</w:t>
            </w:r>
          </w:p>
        </w:tc>
        <w:tc>
          <w:tcPr>
            <w:tcW w:w="1986" w:type="dxa"/>
          </w:tcPr>
          <w:p>
            <w:pPr>
              <w:pStyle w:val="14"/>
              <w:spacing w:before="98"/>
              <w:ind w:left="654" w:right="648"/>
              <w:rPr>
                <w:rFonts w:ascii="Times New Roman" w:hAnsi="Times New Roman"/>
                <w:sz w:val="21"/>
              </w:rPr>
            </w:pPr>
            <w:bookmarkStart w:id="901" w:name="μg/kg"/>
            <w:bookmarkEnd w:id="901"/>
            <w:r>
              <w:rPr>
                <w:rFonts w:ascii="Times New Roman" w:hAnsi="Times New Roman"/>
                <w:sz w:val="21"/>
              </w:rPr>
              <w:t>μg/kg</w:t>
            </w:r>
          </w:p>
        </w:tc>
        <w:tc>
          <w:tcPr>
            <w:tcW w:w="3150" w:type="dxa"/>
          </w:tcPr>
          <w:p>
            <w:pPr>
              <w:pStyle w:val="14"/>
              <w:spacing w:before="98"/>
              <w:ind w:left="712" w:right="706"/>
              <w:rPr>
                <w:rFonts w:ascii="Times New Roman"/>
                <w:sz w:val="21"/>
              </w:rPr>
            </w:pPr>
            <w:bookmarkStart w:id="902" w:name="&lt;2"/>
            <w:bookmarkEnd w:id="902"/>
            <w:r>
              <w:rPr>
                <w:rFonts w:ascii="Times New Roman"/>
                <w:sz w:val="21"/>
              </w:rPr>
              <w:t>&lt;2</w:t>
            </w:r>
          </w:p>
        </w:tc>
        <w:tc>
          <w:tcPr>
            <w:tcW w:w="1200" w:type="dxa"/>
          </w:tcPr>
          <w:p>
            <w:pPr>
              <w:pStyle w:val="14"/>
              <w:spacing w:before="76"/>
              <w:ind w:left="337"/>
              <w:jc w:val="left"/>
              <w:rPr>
                <w:rFonts w:ascii="Times New Roman"/>
                <w:sz w:val="21"/>
              </w:rPr>
            </w:pPr>
            <w:r>
              <w:rPr>
                <w:rFonts w:ascii="Times New Roman"/>
                <w:sz w:val="21"/>
              </w:rPr>
              <w:t>53000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4"/>
              <w:ind w:left="191" w:right="182"/>
              <w:rPr>
                <w:sz w:val="21"/>
              </w:rPr>
            </w:pPr>
            <w:r>
              <w:rPr>
                <w:rFonts w:ascii="Times New Roman" w:eastAsia="Times New Roman"/>
                <w:sz w:val="21"/>
              </w:rPr>
              <w:t>1,1,1-</w:t>
            </w:r>
            <w:r>
              <w:rPr>
                <w:sz w:val="21"/>
              </w:rPr>
              <w:t>三氯乙烷</w:t>
            </w:r>
          </w:p>
        </w:tc>
        <w:tc>
          <w:tcPr>
            <w:tcW w:w="1986" w:type="dxa"/>
          </w:tcPr>
          <w:p>
            <w:pPr>
              <w:pStyle w:val="14"/>
              <w:spacing w:before="97"/>
              <w:ind w:left="654" w:right="648"/>
              <w:rPr>
                <w:rFonts w:ascii="Times New Roman" w:hAnsi="Times New Roman"/>
                <w:sz w:val="21"/>
              </w:rPr>
            </w:pPr>
            <w:bookmarkStart w:id="903" w:name="μg/kg"/>
            <w:bookmarkEnd w:id="903"/>
            <w:r>
              <w:rPr>
                <w:rFonts w:ascii="Times New Roman" w:hAnsi="Times New Roman"/>
                <w:sz w:val="21"/>
              </w:rPr>
              <w:t>μg/kg</w:t>
            </w:r>
          </w:p>
        </w:tc>
        <w:tc>
          <w:tcPr>
            <w:tcW w:w="3150" w:type="dxa"/>
          </w:tcPr>
          <w:p>
            <w:pPr>
              <w:pStyle w:val="14"/>
              <w:spacing w:before="97"/>
              <w:ind w:left="712" w:right="706"/>
              <w:rPr>
                <w:rFonts w:ascii="Times New Roman"/>
                <w:sz w:val="21"/>
              </w:rPr>
            </w:pPr>
            <w:bookmarkStart w:id="904" w:name="&lt;2"/>
            <w:bookmarkEnd w:id="904"/>
            <w:r>
              <w:rPr>
                <w:rFonts w:ascii="Times New Roman"/>
                <w:sz w:val="21"/>
              </w:rPr>
              <w:t>&lt;2</w:t>
            </w:r>
          </w:p>
        </w:tc>
        <w:tc>
          <w:tcPr>
            <w:tcW w:w="1200" w:type="dxa"/>
          </w:tcPr>
          <w:p>
            <w:pPr>
              <w:pStyle w:val="14"/>
              <w:spacing w:before="77"/>
              <w:ind w:left="284"/>
              <w:jc w:val="left"/>
              <w:rPr>
                <w:rFonts w:ascii="Times New Roman"/>
                <w:sz w:val="21"/>
              </w:rPr>
            </w:pPr>
            <w:r>
              <w:rPr>
                <w:rFonts w:ascii="Times New Roman"/>
                <w:sz w:val="21"/>
              </w:rPr>
              <w:t>840000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2"/>
              <w:ind w:left="191" w:right="182"/>
              <w:rPr>
                <w:sz w:val="21"/>
              </w:rPr>
            </w:pPr>
            <w:r>
              <w:rPr>
                <w:rFonts w:ascii="Times New Roman" w:eastAsia="Times New Roman"/>
                <w:sz w:val="21"/>
              </w:rPr>
              <w:t>1,1,2-</w:t>
            </w:r>
            <w:r>
              <w:rPr>
                <w:sz w:val="21"/>
              </w:rPr>
              <w:t>三氯乙烷</w:t>
            </w:r>
          </w:p>
        </w:tc>
        <w:tc>
          <w:tcPr>
            <w:tcW w:w="1986" w:type="dxa"/>
          </w:tcPr>
          <w:p>
            <w:pPr>
              <w:pStyle w:val="14"/>
              <w:spacing w:before="98"/>
              <w:ind w:left="654" w:right="648"/>
              <w:rPr>
                <w:rFonts w:ascii="Times New Roman" w:hAnsi="Times New Roman"/>
                <w:sz w:val="21"/>
              </w:rPr>
            </w:pPr>
            <w:bookmarkStart w:id="905" w:name="μg/kg"/>
            <w:bookmarkEnd w:id="905"/>
            <w:r>
              <w:rPr>
                <w:rFonts w:ascii="Times New Roman" w:hAnsi="Times New Roman"/>
                <w:sz w:val="21"/>
              </w:rPr>
              <w:t>μg/kg</w:t>
            </w:r>
          </w:p>
        </w:tc>
        <w:tc>
          <w:tcPr>
            <w:tcW w:w="3150" w:type="dxa"/>
          </w:tcPr>
          <w:p>
            <w:pPr>
              <w:pStyle w:val="14"/>
              <w:spacing w:before="98"/>
              <w:ind w:left="712" w:right="706"/>
              <w:rPr>
                <w:rFonts w:ascii="Times New Roman"/>
                <w:sz w:val="21"/>
              </w:rPr>
            </w:pPr>
            <w:bookmarkStart w:id="906" w:name="&lt;2"/>
            <w:bookmarkEnd w:id="906"/>
            <w:r>
              <w:rPr>
                <w:rFonts w:ascii="Times New Roman"/>
                <w:sz w:val="21"/>
              </w:rPr>
              <w:t>&lt;2</w:t>
            </w:r>
          </w:p>
        </w:tc>
        <w:tc>
          <w:tcPr>
            <w:tcW w:w="1200" w:type="dxa"/>
          </w:tcPr>
          <w:p>
            <w:pPr>
              <w:pStyle w:val="14"/>
              <w:spacing w:before="76"/>
              <w:ind w:left="131" w:right="124"/>
              <w:rPr>
                <w:rFonts w:ascii="Times New Roman"/>
                <w:sz w:val="21"/>
              </w:rPr>
            </w:pPr>
            <w:r>
              <w:rPr>
                <w:rFonts w:ascii="Times New Roman"/>
                <w:sz w:val="21"/>
              </w:rPr>
              <w:t>280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914" w:type="dxa"/>
          </w:tcPr>
          <w:p>
            <w:pPr>
              <w:pStyle w:val="14"/>
              <w:spacing w:before="63"/>
              <w:ind w:left="188" w:right="184"/>
              <w:rPr>
                <w:sz w:val="21"/>
              </w:rPr>
            </w:pPr>
            <w:r>
              <w:rPr>
                <w:sz w:val="21"/>
              </w:rPr>
              <w:t>三氯乙烯</w:t>
            </w:r>
          </w:p>
        </w:tc>
        <w:tc>
          <w:tcPr>
            <w:tcW w:w="1986" w:type="dxa"/>
          </w:tcPr>
          <w:p>
            <w:pPr>
              <w:pStyle w:val="14"/>
              <w:spacing w:before="99"/>
              <w:ind w:left="654" w:right="648"/>
              <w:rPr>
                <w:rFonts w:ascii="Times New Roman" w:hAnsi="Times New Roman"/>
                <w:sz w:val="21"/>
              </w:rPr>
            </w:pPr>
            <w:bookmarkStart w:id="907" w:name="μg/kg"/>
            <w:bookmarkEnd w:id="907"/>
            <w:r>
              <w:rPr>
                <w:rFonts w:ascii="Times New Roman" w:hAnsi="Times New Roman"/>
                <w:sz w:val="21"/>
              </w:rPr>
              <w:t>μg/kg</w:t>
            </w:r>
          </w:p>
        </w:tc>
        <w:tc>
          <w:tcPr>
            <w:tcW w:w="3150" w:type="dxa"/>
          </w:tcPr>
          <w:p>
            <w:pPr>
              <w:pStyle w:val="14"/>
              <w:spacing w:before="99"/>
              <w:ind w:left="712" w:right="706"/>
              <w:rPr>
                <w:rFonts w:ascii="Times New Roman"/>
                <w:sz w:val="21"/>
              </w:rPr>
            </w:pPr>
            <w:bookmarkStart w:id="908" w:name="&lt;2"/>
            <w:bookmarkEnd w:id="908"/>
            <w:r>
              <w:rPr>
                <w:rFonts w:ascii="Times New Roman"/>
                <w:sz w:val="21"/>
              </w:rPr>
              <w:t>&lt;2</w:t>
            </w:r>
          </w:p>
        </w:tc>
        <w:tc>
          <w:tcPr>
            <w:tcW w:w="1200" w:type="dxa"/>
          </w:tcPr>
          <w:p>
            <w:pPr>
              <w:pStyle w:val="14"/>
              <w:spacing w:before="77"/>
              <w:ind w:left="131" w:right="124"/>
              <w:rPr>
                <w:rFonts w:ascii="Times New Roman"/>
                <w:sz w:val="21"/>
              </w:rPr>
            </w:pPr>
            <w:r>
              <w:rPr>
                <w:rFonts w:ascii="Times New Roman"/>
                <w:sz w:val="21"/>
              </w:rPr>
              <w:t>280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2"/>
              <w:ind w:left="191" w:right="182"/>
              <w:rPr>
                <w:sz w:val="21"/>
              </w:rPr>
            </w:pPr>
            <w:r>
              <w:rPr>
                <w:rFonts w:ascii="Times New Roman" w:eastAsia="Times New Roman"/>
                <w:sz w:val="21"/>
              </w:rPr>
              <w:t>1,2,3-</w:t>
            </w:r>
            <w:r>
              <w:rPr>
                <w:sz w:val="21"/>
              </w:rPr>
              <w:t>三氯丙烷</w:t>
            </w:r>
          </w:p>
        </w:tc>
        <w:tc>
          <w:tcPr>
            <w:tcW w:w="1986" w:type="dxa"/>
          </w:tcPr>
          <w:p>
            <w:pPr>
              <w:pStyle w:val="14"/>
              <w:spacing w:before="97"/>
              <w:ind w:left="654" w:right="648"/>
              <w:rPr>
                <w:rFonts w:ascii="Times New Roman" w:hAnsi="Times New Roman"/>
                <w:sz w:val="21"/>
              </w:rPr>
            </w:pPr>
            <w:bookmarkStart w:id="909" w:name="μg/kg"/>
            <w:bookmarkEnd w:id="909"/>
            <w:r>
              <w:rPr>
                <w:rFonts w:ascii="Times New Roman" w:hAnsi="Times New Roman"/>
                <w:sz w:val="21"/>
              </w:rPr>
              <w:t>μg/kg</w:t>
            </w:r>
          </w:p>
        </w:tc>
        <w:tc>
          <w:tcPr>
            <w:tcW w:w="3150" w:type="dxa"/>
          </w:tcPr>
          <w:p>
            <w:pPr>
              <w:pStyle w:val="14"/>
              <w:spacing w:before="97"/>
              <w:ind w:left="712" w:right="706"/>
              <w:rPr>
                <w:rFonts w:ascii="Times New Roman"/>
                <w:sz w:val="21"/>
              </w:rPr>
            </w:pPr>
            <w:bookmarkStart w:id="910" w:name="&lt;3"/>
            <w:bookmarkEnd w:id="910"/>
            <w:r>
              <w:rPr>
                <w:rFonts w:ascii="Times New Roman"/>
                <w:sz w:val="21"/>
              </w:rPr>
              <w:t>&lt;3</w:t>
            </w:r>
          </w:p>
        </w:tc>
        <w:tc>
          <w:tcPr>
            <w:tcW w:w="1200" w:type="dxa"/>
          </w:tcPr>
          <w:p>
            <w:pPr>
              <w:pStyle w:val="14"/>
              <w:spacing w:before="76"/>
              <w:ind w:left="131" w:right="124"/>
              <w:rPr>
                <w:rFonts w:ascii="Times New Roman"/>
                <w:sz w:val="21"/>
              </w:rPr>
            </w:pPr>
            <w:r>
              <w:rPr>
                <w:rFonts w:ascii="Times New Roman"/>
                <w:sz w:val="21"/>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914" w:type="dxa"/>
          </w:tcPr>
          <w:p>
            <w:pPr>
              <w:pStyle w:val="14"/>
              <w:spacing w:before="63"/>
              <w:ind w:left="191" w:right="184"/>
              <w:rPr>
                <w:sz w:val="21"/>
              </w:rPr>
            </w:pPr>
            <w:r>
              <w:rPr>
                <w:sz w:val="21"/>
              </w:rPr>
              <w:t>氯乙烯</w:t>
            </w:r>
          </w:p>
        </w:tc>
        <w:tc>
          <w:tcPr>
            <w:tcW w:w="1986" w:type="dxa"/>
          </w:tcPr>
          <w:p>
            <w:pPr>
              <w:pStyle w:val="14"/>
              <w:spacing w:before="98"/>
              <w:ind w:left="654" w:right="648"/>
              <w:rPr>
                <w:rFonts w:ascii="Times New Roman" w:hAnsi="Times New Roman"/>
                <w:sz w:val="21"/>
              </w:rPr>
            </w:pPr>
            <w:bookmarkStart w:id="911" w:name="μg/kg"/>
            <w:bookmarkEnd w:id="911"/>
            <w:r>
              <w:rPr>
                <w:rFonts w:ascii="Times New Roman" w:hAnsi="Times New Roman"/>
                <w:sz w:val="21"/>
              </w:rPr>
              <w:t>μg/kg</w:t>
            </w:r>
          </w:p>
        </w:tc>
        <w:tc>
          <w:tcPr>
            <w:tcW w:w="3150" w:type="dxa"/>
          </w:tcPr>
          <w:p>
            <w:pPr>
              <w:pStyle w:val="14"/>
              <w:spacing w:before="98"/>
              <w:ind w:left="712" w:right="706"/>
              <w:rPr>
                <w:rFonts w:ascii="Times New Roman"/>
                <w:sz w:val="21"/>
              </w:rPr>
            </w:pPr>
            <w:bookmarkStart w:id="912" w:name="&lt;2"/>
            <w:bookmarkEnd w:id="912"/>
            <w:r>
              <w:rPr>
                <w:rFonts w:ascii="Times New Roman"/>
                <w:sz w:val="21"/>
              </w:rPr>
              <w:t>&lt;2</w:t>
            </w:r>
          </w:p>
        </w:tc>
        <w:tc>
          <w:tcPr>
            <w:tcW w:w="1200" w:type="dxa"/>
          </w:tcPr>
          <w:p>
            <w:pPr>
              <w:pStyle w:val="14"/>
              <w:spacing w:before="77"/>
              <w:ind w:left="131" w:right="124"/>
              <w:rPr>
                <w:rFonts w:ascii="Times New Roman"/>
                <w:sz w:val="21"/>
              </w:rPr>
            </w:pPr>
            <w:r>
              <w:rPr>
                <w:rFonts w:ascii="Times New Roman"/>
                <w:sz w:val="21"/>
              </w:rPr>
              <w:t>430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4"/>
              <w:ind w:left="9"/>
              <w:rPr>
                <w:sz w:val="21"/>
              </w:rPr>
            </w:pPr>
            <w:r>
              <w:rPr>
                <w:w w:val="99"/>
                <w:sz w:val="21"/>
              </w:rPr>
              <w:t>苯</w:t>
            </w:r>
          </w:p>
        </w:tc>
        <w:tc>
          <w:tcPr>
            <w:tcW w:w="1986" w:type="dxa"/>
          </w:tcPr>
          <w:p>
            <w:pPr>
              <w:pStyle w:val="14"/>
              <w:spacing w:before="97"/>
              <w:ind w:left="654" w:right="648"/>
              <w:rPr>
                <w:rFonts w:ascii="Times New Roman"/>
                <w:sz w:val="21"/>
              </w:rPr>
            </w:pPr>
            <w:bookmarkStart w:id="913" w:name="mg/kg"/>
            <w:bookmarkEnd w:id="913"/>
            <w:r>
              <w:rPr>
                <w:rFonts w:ascii="Times New Roman"/>
                <w:sz w:val="21"/>
              </w:rPr>
              <w:t>mg/kg</w:t>
            </w:r>
          </w:p>
        </w:tc>
        <w:tc>
          <w:tcPr>
            <w:tcW w:w="3150" w:type="dxa"/>
          </w:tcPr>
          <w:p>
            <w:pPr>
              <w:pStyle w:val="14"/>
              <w:spacing w:before="97"/>
              <w:ind w:left="714" w:right="704"/>
              <w:rPr>
                <w:rFonts w:ascii="Times New Roman"/>
                <w:sz w:val="21"/>
              </w:rPr>
            </w:pPr>
            <w:bookmarkStart w:id="914" w:name="&lt;0.01"/>
            <w:bookmarkEnd w:id="914"/>
            <w:r>
              <w:rPr>
                <w:rFonts w:ascii="Times New Roman"/>
                <w:sz w:val="21"/>
              </w:rPr>
              <w:t>&lt;0.01</w:t>
            </w:r>
          </w:p>
        </w:tc>
        <w:tc>
          <w:tcPr>
            <w:tcW w:w="1200" w:type="dxa"/>
          </w:tcPr>
          <w:p>
            <w:pPr>
              <w:pStyle w:val="14"/>
              <w:spacing w:before="78"/>
              <w:ind w:left="7"/>
              <w:rPr>
                <w:rFonts w:ascii="Times New Roman"/>
                <w:sz w:val="21"/>
              </w:rPr>
            </w:pPr>
            <w:r>
              <w:rPr>
                <w:rFonts w:ascii="Times New Roman"/>
                <w:w w:val="99"/>
                <w:sz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914" w:type="dxa"/>
          </w:tcPr>
          <w:p>
            <w:pPr>
              <w:pStyle w:val="14"/>
              <w:spacing w:before="62"/>
              <w:ind w:left="191" w:right="184"/>
              <w:rPr>
                <w:sz w:val="21"/>
              </w:rPr>
            </w:pPr>
            <w:r>
              <w:rPr>
                <w:sz w:val="21"/>
              </w:rPr>
              <w:t>氯苯</w:t>
            </w:r>
          </w:p>
        </w:tc>
        <w:tc>
          <w:tcPr>
            <w:tcW w:w="1986" w:type="dxa"/>
          </w:tcPr>
          <w:p>
            <w:pPr>
              <w:pStyle w:val="14"/>
              <w:spacing w:before="98"/>
              <w:ind w:left="654" w:right="648"/>
              <w:rPr>
                <w:rFonts w:ascii="Times New Roman" w:hAnsi="Times New Roman"/>
                <w:sz w:val="21"/>
              </w:rPr>
            </w:pPr>
            <w:bookmarkStart w:id="915" w:name="μg/kg"/>
            <w:bookmarkEnd w:id="915"/>
            <w:r>
              <w:rPr>
                <w:rFonts w:ascii="Times New Roman" w:hAnsi="Times New Roman"/>
                <w:sz w:val="21"/>
              </w:rPr>
              <w:t>μg/kg</w:t>
            </w:r>
          </w:p>
        </w:tc>
        <w:tc>
          <w:tcPr>
            <w:tcW w:w="3150" w:type="dxa"/>
          </w:tcPr>
          <w:p>
            <w:pPr>
              <w:pStyle w:val="14"/>
              <w:spacing w:before="98"/>
              <w:ind w:left="714" w:right="704"/>
              <w:rPr>
                <w:rFonts w:ascii="Times New Roman"/>
                <w:sz w:val="21"/>
              </w:rPr>
            </w:pPr>
            <w:bookmarkStart w:id="916" w:name="&lt;1.1"/>
            <w:bookmarkEnd w:id="916"/>
            <w:r>
              <w:rPr>
                <w:rFonts w:ascii="Times New Roman"/>
                <w:sz w:val="21"/>
              </w:rPr>
              <w:t>&lt;1.1</w:t>
            </w:r>
          </w:p>
        </w:tc>
        <w:tc>
          <w:tcPr>
            <w:tcW w:w="1200" w:type="dxa"/>
          </w:tcPr>
          <w:p>
            <w:pPr>
              <w:pStyle w:val="14"/>
              <w:spacing w:before="76"/>
              <w:ind w:left="284"/>
              <w:jc w:val="left"/>
              <w:rPr>
                <w:rFonts w:ascii="Times New Roman"/>
                <w:sz w:val="21"/>
              </w:rPr>
            </w:pPr>
            <w:r>
              <w:rPr>
                <w:rFonts w:ascii="Times New Roman"/>
                <w:sz w:val="21"/>
              </w:rPr>
              <w:t>270000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3"/>
              <w:ind w:left="191" w:right="184"/>
              <w:rPr>
                <w:sz w:val="21"/>
              </w:rPr>
            </w:pPr>
            <w:r>
              <w:rPr>
                <w:rFonts w:ascii="Times New Roman" w:eastAsia="Times New Roman"/>
                <w:sz w:val="21"/>
              </w:rPr>
              <w:t>1,2-</w:t>
            </w:r>
            <w:r>
              <w:rPr>
                <w:sz w:val="21"/>
              </w:rPr>
              <w:t>二氯苯</w:t>
            </w:r>
          </w:p>
        </w:tc>
        <w:tc>
          <w:tcPr>
            <w:tcW w:w="1986" w:type="dxa"/>
          </w:tcPr>
          <w:p>
            <w:pPr>
              <w:pStyle w:val="14"/>
              <w:spacing w:before="99"/>
              <w:ind w:left="654" w:right="648"/>
              <w:rPr>
                <w:rFonts w:ascii="Times New Roman" w:hAnsi="Times New Roman"/>
                <w:sz w:val="21"/>
              </w:rPr>
            </w:pPr>
            <w:bookmarkStart w:id="917" w:name="μg/kg"/>
            <w:bookmarkEnd w:id="917"/>
            <w:r>
              <w:rPr>
                <w:rFonts w:ascii="Times New Roman" w:hAnsi="Times New Roman"/>
                <w:sz w:val="21"/>
              </w:rPr>
              <w:t>μg/kg</w:t>
            </w:r>
          </w:p>
        </w:tc>
        <w:tc>
          <w:tcPr>
            <w:tcW w:w="3150" w:type="dxa"/>
          </w:tcPr>
          <w:p>
            <w:pPr>
              <w:pStyle w:val="14"/>
              <w:spacing w:before="99"/>
              <w:ind w:left="714" w:right="704"/>
              <w:rPr>
                <w:rFonts w:ascii="Times New Roman"/>
                <w:sz w:val="21"/>
              </w:rPr>
            </w:pPr>
            <w:bookmarkStart w:id="918" w:name="&lt;1.0"/>
            <w:bookmarkEnd w:id="918"/>
            <w:r>
              <w:rPr>
                <w:rFonts w:ascii="Times New Roman"/>
                <w:sz w:val="21"/>
              </w:rPr>
              <w:t>&lt;1.0</w:t>
            </w:r>
          </w:p>
        </w:tc>
        <w:tc>
          <w:tcPr>
            <w:tcW w:w="1200" w:type="dxa"/>
          </w:tcPr>
          <w:p>
            <w:pPr>
              <w:pStyle w:val="14"/>
              <w:spacing w:before="77"/>
              <w:ind w:left="284"/>
              <w:jc w:val="left"/>
              <w:rPr>
                <w:rFonts w:ascii="Times New Roman"/>
                <w:sz w:val="21"/>
              </w:rPr>
            </w:pPr>
            <w:r>
              <w:rPr>
                <w:rFonts w:ascii="Times New Roman"/>
                <w:sz w:val="21"/>
              </w:rPr>
              <w:t>560000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2"/>
              <w:ind w:left="191" w:right="184"/>
              <w:rPr>
                <w:sz w:val="21"/>
              </w:rPr>
            </w:pPr>
            <w:r>
              <w:rPr>
                <w:rFonts w:ascii="Times New Roman" w:eastAsia="Times New Roman"/>
                <w:sz w:val="21"/>
              </w:rPr>
              <w:t>1,4-</w:t>
            </w:r>
            <w:r>
              <w:rPr>
                <w:sz w:val="21"/>
              </w:rPr>
              <w:t>二氯苯</w:t>
            </w:r>
          </w:p>
        </w:tc>
        <w:tc>
          <w:tcPr>
            <w:tcW w:w="1986" w:type="dxa"/>
          </w:tcPr>
          <w:p>
            <w:pPr>
              <w:pStyle w:val="14"/>
              <w:spacing w:before="76"/>
              <w:ind w:left="654" w:right="648"/>
              <w:rPr>
                <w:rFonts w:ascii="Times New Roman" w:hAnsi="Times New Roman"/>
                <w:sz w:val="21"/>
              </w:rPr>
            </w:pPr>
            <w:r>
              <w:rPr>
                <w:rFonts w:ascii="Times New Roman" w:hAnsi="Times New Roman"/>
                <w:sz w:val="21"/>
              </w:rPr>
              <w:t>μg/kg</w:t>
            </w:r>
          </w:p>
        </w:tc>
        <w:tc>
          <w:tcPr>
            <w:tcW w:w="3150" w:type="dxa"/>
          </w:tcPr>
          <w:p>
            <w:pPr>
              <w:pStyle w:val="14"/>
              <w:spacing w:before="81"/>
              <w:ind w:left="714" w:right="704"/>
              <w:rPr>
                <w:rFonts w:ascii="Times New Roman"/>
                <w:sz w:val="21"/>
              </w:rPr>
            </w:pPr>
            <w:bookmarkStart w:id="919" w:name="&lt;1.2"/>
            <w:bookmarkEnd w:id="919"/>
            <w:r>
              <w:rPr>
                <w:rFonts w:ascii="Times New Roman"/>
                <w:sz w:val="21"/>
              </w:rPr>
              <w:t>&lt;1.2</w:t>
            </w:r>
          </w:p>
        </w:tc>
        <w:tc>
          <w:tcPr>
            <w:tcW w:w="1200" w:type="dxa"/>
          </w:tcPr>
          <w:p>
            <w:pPr>
              <w:pStyle w:val="14"/>
              <w:spacing w:before="76"/>
              <w:ind w:left="337"/>
              <w:jc w:val="left"/>
              <w:rPr>
                <w:rFonts w:ascii="Times New Roman"/>
                <w:sz w:val="21"/>
              </w:rPr>
            </w:pPr>
            <w:r>
              <w:rPr>
                <w:rFonts w:ascii="Times New Roman"/>
                <w:sz w:val="21"/>
              </w:rPr>
              <w:t>20000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3"/>
              <w:ind w:left="191" w:right="184"/>
              <w:rPr>
                <w:sz w:val="21"/>
              </w:rPr>
            </w:pPr>
            <w:r>
              <w:rPr>
                <w:sz w:val="21"/>
              </w:rPr>
              <w:t>乙苯</w:t>
            </w:r>
          </w:p>
        </w:tc>
        <w:tc>
          <w:tcPr>
            <w:tcW w:w="1986" w:type="dxa"/>
          </w:tcPr>
          <w:p>
            <w:pPr>
              <w:pStyle w:val="14"/>
              <w:spacing w:before="77"/>
              <w:ind w:left="654" w:right="648"/>
              <w:rPr>
                <w:rFonts w:ascii="Times New Roman"/>
                <w:sz w:val="21"/>
              </w:rPr>
            </w:pPr>
            <w:r>
              <w:rPr>
                <w:rFonts w:ascii="Times New Roman"/>
                <w:sz w:val="21"/>
              </w:rPr>
              <w:t>mg/kg</w:t>
            </w:r>
          </w:p>
        </w:tc>
        <w:tc>
          <w:tcPr>
            <w:tcW w:w="3150" w:type="dxa"/>
          </w:tcPr>
          <w:p>
            <w:pPr>
              <w:pStyle w:val="14"/>
              <w:spacing w:before="79"/>
              <w:ind w:left="714" w:right="704"/>
              <w:rPr>
                <w:rFonts w:ascii="Times New Roman"/>
                <w:sz w:val="21"/>
              </w:rPr>
            </w:pPr>
            <w:bookmarkStart w:id="920" w:name="&lt;0.006"/>
            <w:bookmarkEnd w:id="920"/>
            <w:r>
              <w:rPr>
                <w:rFonts w:ascii="Times New Roman"/>
                <w:sz w:val="21"/>
              </w:rPr>
              <w:t>&lt;0.006</w:t>
            </w:r>
          </w:p>
        </w:tc>
        <w:tc>
          <w:tcPr>
            <w:tcW w:w="1200" w:type="dxa"/>
          </w:tcPr>
          <w:p>
            <w:pPr>
              <w:pStyle w:val="14"/>
              <w:spacing w:before="77"/>
              <w:ind w:left="131" w:right="124"/>
              <w:rPr>
                <w:rFonts w:ascii="Times New Roman"/>
                <w:sz w:val="21"/>
              </w:rPr>
            </w:pPr>
            <w:r>
              <w:rPr>
                <w:rFonts w:ascii="Times New Roman"/>
                <w:sz w:val="21"/>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4"/>
              <w:ind w:left="191" w:right="184"/>
              <w:rPr>
                <w:sz w:val="21"/>
              </w:rPr>
            </w:pPr>
            <w:r>
              <w:rPr>
                <w:sz w:val="21"/>
              </w:rPr>
              <w:t>苯乙烯</w:t>
            </w:r>
          </w:p>
        </w:tc>
        <w:tc>
          <w:tcPr>
            <w:tcW w:w="1986" w:type="dxa"/>
          </w:tcPr>
          <w:p>
            <w:pPr>
              <w:pStyle w:val="14"/>
              <w:spacing w:before="97"/>
              <w:ind w:left="654" w:right="648"/>
              <w:rPr>
                <w:rFonts w:ascii="Times New Roman"/>
                <w:sz w:val="21"/>
              </w:rPr>
            </w:pPr>
            <w:bookmarkStart w:id="921" w:name="mg/kg"/>
            <w:bookmarkEnd w:id="921"/>
            <w:r>
              <w:rPr>
                <w:rFonts w:ascii="Times New Roman"/>
                <w:sz w:val="21"/>
              </w:rPr>
              <w:t>mg/kg</w:t>
            </w:r>
          </w:p>
        </w:tc>
        <w:tc>
          <w:tcPr>
            <w:tcW w:w="3150" w:type="dxa"/>
          </w:tcPr>
          <w:p>
            <w:pPr>
              <w:pStyle w:val="14"/>
              <w:spacing w:before="80"/>
              <w:ind w:left="714" w:right="704"/>
              <w:rPr>
                <w:rFonts w:ascii="Times New Roman"/>
                <w:sz w:val="21"/>
              </w:rPr>
            </w:pPr>
            <w:bookmarkStart w:id="922" w:name="&lt;0.002"/>
            <w:bookmarkEnd w:id="922"/>
            <w:r>
              <w:rPr>
                <w:rFonts w:ascii="Times New Roman"/>
                <w:sz w:val="21"/>
              </w:rPr>
              <w:t>&lt;0.002</w:t>
            </w:r>
          </w:p>
        </w:tc>
        <w:tc>
          <w:tcPr>
            <w:tcW w:w="1200" w:type="dxa"/>
          </w:tcPr>
          <w:p>
            <w:pPr>
              <w:pStyle w:val="14"/>
              <w:spacing w:before="78"/>
              <w:ind w:left="390"/>
              <w:jc w:val="left"/>
              <w:rPr>
                <w:rFonts w:ascii="Times New Roman"/>
                <w:sz w:val="21"/>
              </w:rPr>
            </w:pPr>
            <w:r>
              <w:rPr>
                <w:rFonts w:ascii="Times New Roman"/>
                <w:sz w:val="21"/>
              </w:rPr>
              <w:t>1290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914" w:type="dxa"/>
          </w:tcPr>
          <w:p>
            <w:pPr>
              <w:pStyle w:val="14"/>
              <w:spacing w:before="62"/>
              <w:ind w:left="191" w:right="184"/>
              <w:rPr>
                <w:sz w:val="21"/>
              </w:rPr>
            </w:pPr>
            <w:r>
              <w:rPr>
                <w:sz w:val="21"/>
              </w:rPr>
              <w:t>甲苯</w:t>
            </w:r>
          </w:p>
        </w:tc>
        <w:tc>
          <w:tcPr>
            <w:tcW w:w="1986" w:type="dxa"/>
          </w:tcPr>
          <w:p>
            <w:pPr>
              <w:pStyle w:val="14"/>
              <w:spacing w:before="98"/>
              <w:ind w:left="654" w:right="648"/>
              <w:rPr>
                <w:rFonts w:ascii="Times New Roman"/>
                <w:sz w:val="21"/>
              </w:rPr>
            </w:pPr>
            <w:bookmarkStart w:id="923" w:name="mg/kg"/>
            <w:bookmarkEnd w:id="923"/>
            <w:r>
              <w:rPr>
                <w:rFonts w:ascii="Times New Roman"/>
                <w:sz w:val="21"/>
              </w:rPr>
              <w:t>mg/kg</w:t>
            </w:r>
          </w:p>
        </w:tc>
        <w:tc>
          <w:tcPr>
            <w:tcW w:w="3150" w:type="dxa"/>
          </w:tcPr>
          <w:p>
            <w:pPr>
              <w:pStyle w:val="14"/>
              <w:spacing w:before="79"/>
              <w:ind w:left="714" w:right="704"/>
              <w:rPr>
                <w:rFonts w:ascii="Times New Roman"/>
                <w:sz w:val="21"/>
              </w:rPr>
            </w:pPr>
            <w:bookmarkStart w:id="924" w:name="&lt;0.006"/>
            <w:bookmarkEnd w:id="924"/>
            <w:r>
              <w:rPr>
                <w:rFonts w:ascii="Times New Roman"/>
                <w:sz w:val="21"/>
              </w:rPr>
              <w:t>&lt;0.006</w:t>
            </w:r>
          </w:p>
        </w:tc>
        <w:tc>
          <w:tcPr>
            <w:tcW w:w="1200" w:type="dxa"/>
          </w:tcPr>
          <w:p>
            <w:pPr>
              <w:pStyle w:val="14"/>
              <w:spacing w:before="76"/>
              <w:ind w:left="390"/>
              <w:jc w:val="left"/>
              <w:rPr>
                <w:rFonts w:ascii="Times New Roman"/>
                <w:sz w:val="21"/>
              </w:rPr>
            </w:pPr>
            <w:r>
              <w:rPr>
                <w:rFonts w:ascii="Times New Roman"/>
                <w:sz w:val="21"/>
              </w:rPr>
              <w:t>1200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4"/>
              <w:ind w:left="188" w:right="184"/>
              <w:rPr>
                <w:sz w:val="21"/>
              </w:rPr>
            </w:pPr>
            <w:r>
              <w:rPr>
                <w:sz w:val="21"/>
              </w:rPr>
              <w:t>间二甲苯</w:t>
            </w:r>
          </w:p>
        </w:tc>
        <w:tc>
          <w:tcPr>
            <w:tcW w:w="1986" w:type="dxa"/>
          </w:tcPr>
          <w:p>
            <w:pPr>
              <w:pStyle w:val="14"/>
              <w:spacing w:before="97"/>
              <w:ind w:left="654" w:right="648"/>
              <w:rPr>
                <w:rFonts w:ascii="Times New Roman"/>
                <w:sz w:val="21"/>
              </w:rPr>
            </w:pPr>
            <w:bookmarkStart w:id="925" w:name="mg/kg"/>
            <w:bookmarkEnd w:id="925"/>
            <w:r>
              <w:rPr>
                <w:rFonts w:ascii="Times New Roman"/>
                <w:sz w:val="21"/>
              </w:rPr>
              <w:t>mg/kg</w:t>
            </w:r>
          </w:p>
        </w:tc>
        <w:tc>
          <w:tcPr>
            <w:tcW w:w="3150" w:type="dxa"/>
          </w:tcPr>
          <w:p>
            <w:pPr>
              <w:pStyle w:val="14"/>
              <w:spacing w:before="80"/>
              <w:ind w:left="714" w:right="704"/>
              <w:rPr>
                <w:rFonts w:ascii="Times New Roman"/>
                <w:sz w:val="21"/>
              </w:rPr>
            </w:pPr>
            <w:bookmarkStart w:id="926" w:name="&lt;0.009"/>
            <w:bookmarkEnd w:id="926"/>
            <w:r>
              <w:rPr>
                <w:rFonts w:ascii="Times New Roman"/>
                <w:sz w:val="21"/>
              </w:rPr>
              <w:t>&lt;0.009</w:t>
            </w:r>
          </w:p>
        </w:tc>
        <w:tc>
          <w:tcPr>
            <w:tcW w:w="1200" w:type="dxa"/>
          </w:tcPr>
          <w:p>
            <w:pPr>
              <w:pStyle w:val="14"/>
              <w:spacing w:before="77"/>
              <w:ind w:left="131" w:right="124"/>
              <w:rPr>
                <w:rFonts w:ascii="Times New Roman"/>
                <w:sz w:val="21"/>
              </w:rPr>
            </w:pPr>
            <w:r>
              <w:rPr>
                <w:rFonts w:ascii="Times New Roman"/>
                <w:sz w:val="21"/>
              </w:rPr>
              <w:t>570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2"/>
              <w:ind w:left="188" w:right="184"/>
              <w:rPr>
                <w:sz w:val="21"/>
              </w:rPr>
            </w:pPr>
            <w:r>
              <w:rPr>
                <w:sz w:val="21"/>
              </w:rPr>
              <w:t>对二甲苯</w:t>
            </w:r>
          </w:p>
        </w:tc>
        <w:tc>
          <w:tcPr>
            <w:tcW w:w="1986" w:type="dxa"/>
          </w:tcPr>
          <w:p>
            <w:pPr>
              <w:pStyle w:val="14"/>
              <w:spacing w:before="98"/>
              <w:ind w:left="654" w:right="648"/>
              <w:rPr>
                <w:rFonts w:ascii="Times New Roman"/>
                <w:sz w:val="21"/>
              </w:rPr>
            </w:pPr>
            <w:bookmarkStart w:id="927" w:name="mg/kg"/>
            <w:bookmarkEnd w:id="927"/>
            <w:r>
              <w:rPr>
                <w:rFonts w:ascii="Times New Roman"/>
                <w:sz w:val="21"/>
              </w:rPr>
              <w:t>mg/kg</w:t>
            </w:r>
          </w:p>
        </w:tc>
        <w:tc>
          <w:tcPr>
            <w:tcW w:w="3150" w:type="dxa"/>
          </w:tcPr>
          <w:p>
            <w:pPr>
              <w:pStyle w:val="14"/>
              <w:spacing w:before="81"/>
              <w:ind w:left="714" w:right="704"/>
              <w:rPr>
                <w:rFonts w:ascii="Times New Roman"/>
                <w:sz w:val="21"/>
              </w:rPr>
            </w:pPr>
            <w:bookmarkStart w:id="928" w:name="&lt;0.009"/>
            <w:bookmarkEnd w:id="928"/>
            <w:r>
              <w:rPr>
                <w:rFonts w:ascii="Times New Roman"/>
                <w:sz w:val="21"/>
              </w:rPr>
              <w:t>&lt;0.009</w:t>
            </w:r>
          </w:p>
        </w:tc>
        <w:tc>
          <w:tcPr>
            <w:tcW w:w="1200" w:type="dxa"/>
          </w:tcPr>
          <w:p>
            <w:pPr>
              <w:pStyle w:val="14"/>
              <w:spacing w:before="76"/>
              <w:ind w:left="131" w:right="124"/>
              <w:rPr>
                <w:rFonts w:ascii="Times New Roman"/>
                <w:sz w:val="21"/>
              </w:rPr>
            </w:pPr>
            <w:r>
              <w:rPr>
                <w:rFonts w:ascii="Times New Roman"/>
                <w:sz w:val="21"/>
              </w:rPr>
              <w:t>570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3"/>
              <w:ind w:left="188" w:right="184"/>
              <w:rPr>
                <w:sz w:val="21"/>
              </w:rPr>
            </w:pPr>
            <w:r>
              <w:rPr>
                <w:sz w:val="21"/>
              </w:rPr>
              <w:t>邻二甲苯</w:t>
            </w:r>
          </w:p>
        </w:tc>
        <w:tc>
          <w:tcPr>
            <w:tcW w:w="1986" w:type="dxa"/>
          </w:tcPr>
          <w:p>
            <w:pPr>
              <w:pStyle w:val="14"/>
              <w:spacing w:before="77"/>
              <w:ind w:left="654" w:right="648"/>
              <w:rPr>
                <w:rFonts w:ascii="Times New Roman"/>
                <w:sz w:val="21"/>
              </w:rPr>
            </w:pPr>
            <w:r>
              <w:rPr>
                <w:rFonts w:ascii="Times New Roman"/>
                <w:sz w:val="21"/>
              </w:rPr>
              <w:t>mg/kg</w:t>
            </w:r>
          </w:p>
        </w:tc>
        <w:tc>
          <w:tcPr>
            <w:tcW w:w="3150" w:type="dxa"/>
          </w:tcPr>
          <w:p>
            <w:pPr>
              <w:pStyle w:val="14"/>
              <w:spacing w:before="79"/>
              <w:ind w:left="714" w:right="704"/>
              <w:rPr>
                <w:rFonts w:ascii="Times New Roman"/>
                <w:sz w:val="21"/>
              </w:rPr>
            </w:pPr>
            <w:bookmarkStart w:id="929" w:name="&lt;0.002"/>
            <w:bookmarkEnd w:id="929"/>
            <w:r>
              <w:rPr>
                <w:rFonts w:ascii="Times New Roman"/>
                <w:sz w:val="21"/>
              </w:rPr>
              <w:t>&lt;0.002</w:t>
            </w:r>
          </w:p>
        </w:tc>
        <w:tc>
          <w:tcPr>
            <w:tcW w:w="1200" w:type="dxa"/>
          </w:tcPr>
          <w:p>
            <w:pPr>
              <w:pStyle w:val="14"/>
              <w:spacing w:before="77"/>
              <w:ind w:left="131" w:right="124"/>
              <w:rPr>
                <w:rFonts w:ascii="Times New Roman"/>
                <w:sz w:val="21"/>
              </w:rPr>
            </w:pPr>
            <w:r>
              <w:rPr>
                <w:rFonts w:ascii="Times New Roman"/>
                <w:sz w:val="21"/>
              </w:rPr>
              <w:t>640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2"/>
              <w:ind w:left="191" w:right="184"/>
              <w:rPr>
                <w:sz w:val="21"/>
              </w:rPr>
            </w:pPr>
            <w:r>
              <w:rPr>
                <w:sz w:val="21"/>
              </w:rPr>
              <w:t>硝基苯</w:t>
            </w:r>
          </w:p>
        </w:tc>
        <w:tc>
          <w:tcPr>
            <w:tcW w:w="1986" w:type="dxa"/>
          </w:tcPr>
          <w:p>
            <w:pPr>
              <w:pStyle w:val="14"/>
              <w:spacing w:before="76"/>
              <w:ind w:left="654" w:right="648"/>
              <w:rPr>
                <w:rFonts w:ascii="Times New Roman"/>
                <w:sz w:val="21"/>
              </w:rPr>
            </w:pPr>
            <w:r>
              <w:rPr>
                <w:rFonts w:ascii="Times New Roman"/>
                <w:sz w:val="21"/>
              </w:rPr>
              <w:t>mg/kg</w:t>
            </w:r>
          </w:p>
        </w:tc>
        <w:tc>
          <w:tcPr>
            <w:tcW w:w="3150" w:type="dxa"/>
          </w:tcPr>
          <w:p>
            <w:pPr>
              <w:pStyle w:val="14"/>
              <w:spacing w:before="80"/>
              <w:ind w:left="714" w:right="704"/>
              <w:rPr>
                <w:rFonts w:ascii="Times New Roman"/>
                <w:sz w:val="21"/>
              </w:rPr>
            </w:pPr>
            <w:bookmarkStart w:id="930" w:name="&lt;0.09"/>
            <w:bookmarkEnd w:id="930"/>
            <w:r>
              <w:rPr>
                <w:rFonts w:ascii="Times New Roman"/>
                <w:sz w:val="21"/>
              </w:rPr>
              <w:t>&lt;0.09</w:t>
            </w:r>
          </w:p>
        </w:tc>
        <w:tc>
          <w:tcPr>
            <w:tcW w:w="1200" w:type="dxa"/>
          </w:tcPr>
          <w:p>
            <w:pPr>
              <w:pStyle w:val="14"/>
              <w:spacing w:before="76"/>
              <w:ind w:left="131" w:right="124"/>
              <w:rPr>
                <w:rFonts w:ascii="Times New Roman"/>
                <w:sz w:val="21"/>
              </w:rPr>
            </w:pPr>
            <w:r>
              <w:rPr>
                <w:rFonts w:ascii="Times New Roman"/>
                <w:sz w:val="21"/>
              </w:rPr>
              <w:t>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914" w:type="dxa"/>
          </w:tcPr>
          <w:p>
            <w:pPr>
              <w:pStyle w:val="14"/>
              <w:spacing w:before="63"/>
              <w:ind w:left="191" w:right="184"/>
              <w:rPr>
                <w:sz w:val="21"/>
              </w:rPr>
            </w:pPr>
            <w:r>
              <w:rPr>
                <w:sz w:val="21"/>
              </w:rPr>
              <w:t>苯胺</w:t>
            </w:r>
          </w:p>
        </w:tc>
        <w:tc>
          <w:tcPr>
            <w:tcW w:w="1986" w:type="dxa"/>
          </w:tcPr>
          <w:p>
            <w:pPr>
              <w:pStyle w:val="14"/>
              <w:spacing w:before="77"/>
              <w:ind w:left="654" w:right="648"/>
              <w:rPr>
                <w:rFonts w:ascii="Times New Roman"/>
                <w:sz w:val="21"/>
              </w:rPr>
            </w:pPr>
            <w:r>
              <w:rPr>
                <w:rFonts w:ascii="Times New Roman"/>
                <w:sz w:val="21"/>
              </w:rPr>
              <w:t>mg/kg</w:t>
            </w:r>
          </w:p>
        </w:tc>
        <w:tc>
          <w:tcPr>
            <w:tcW w:w="3150" w:type="dxa"/>
          </w:tcPr>
          <w:p>
            <w:pPr>
              <w:pStyle w:val="14"/>
              <w:spacing w:before="79"/>
              <w:ind w:left="714" w:right="704"/>
              <w:rPr>
                <w:rFonts w:ascii="Times New Roman"/>
                <w:sz w:val="21"/>
              </w:rPr>
            </w:pPr>
            <w:bookmarkStart w:id="931" w:name="&lt;0.37"/>
            <w:bookmarkEnd w:id="931"/>
            <w:r>
              <w:rPr>
                <w:rFonts w:ascii="Times New Roman"/>
                <w:sz w:val="21"/>
              </w:rPr>
              <w:t>&lt;0.37</w:t>
            </w:r>
          </w:p>
        </w:tc>
        <w:tc>
          <w:tcPr>
            <w:tcW w:w="1200" w:type="dxa"/>
          </w:tcPr>
          <w:p>
            <w:pPr>
              <w:pStyle w:val="14"/>
              <w:spacing w:before="77"/>
              <w:ind w:left="131" w:right="124"/>
              <w:rPr>
                <w:rFonts w:ascii="Times New Roman"/>
                <w:sz w:val="21"/>
              </w:rPr>
            </w:pPr>
            <w:r>
              <w:rPr>
                <w:rFonts w:ascii="Times New Roman"/>
                <w:sz w:val="21"/>
              </w:rPr>
              <w:t>260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914" w:type="dxa"/>
          </w:tcPr>
          <w:p>
            <w:pPr>
              <w:pStyle w:val="14"/>
              <w:spacing w:before="64"/>
              <w:ind w:left="9"/>
              <w:rPr>
                <w:sz w:val="21"/>
              </w:rPr>
            </w:pPr>
            <w:r>
              <w:rPr>
                <w:w w:val="99"/>
                <w:sz w:val="21"/>
              </w:rPr>
              <w:t>萘</w:t>
            </w:r>
          </w:p>
        </w:tc>
        <w:tc>
          <w:tcPr>
            <w:tcW w:w="1986" w:type="dxa"/>
          </w:tcPr>
          <w:p>
            <w:pPr>
              <w:pStyle w:val="14"/>
              <w:spacing w:before="78"/>
              <w:ind w:left="654" w:right="648"/>
              <w:rPr>
                <w:rFonts w:ascii="Times New Roman"/>
                <w:sz w:val="21"/>
              </w:rPr>
            </w:pPr>
            <w:r>
              <w:rPr>
                <w:rFonts w:ascii="Times New Roman"/>
                <w:sz w:val="21"/>
              </w:rPr>
              <w:t>mg/kg</w:t>
            </w:r>
          </w:p>
        </w:tc>
        <w:tc>
          <w:tcPr>
            <w:tcW w:w="3150" w:type="dxa"/>
          </w:tcPr>
          <w:p>
            <w:pPr>
              <w:pStyle w:val="14"/>
              <w:spacing w:before="80"/>
              <w:ind w:left="714" w:right="704"/>
              <w:rPr>
                <w:rFonts w:ascii="Times New Roman"/>
                <w:sz w:val="21"/>
              </w:rPr>
            </w:pPr>
            <w:bookmarkStart w:id="932" w:name="&lt;0.09"/>
            <w:bookmarkEnd w:id="932"/>
            <w:r>
              <w:rPr>
                <w:rFonts w:ascii="Times New Roman"/>
                <w:sz w:val="21"/>
              </w:rPr>
              <w:t>&lt;0.09</w:t>
            </w:r>
          </w:p>
        </w:tc>
        <w:tc>
          <w:tcPr>
            <w:tcW w:w="1200" w:type="dxa"/>
          </w:tcPr>
          <w:p>
            <w:pPr>
              <w:pStyle w:val="14"/>
              <w:spacing w:before="78"/>
              <w:ind w:left="131" w:right="124"/>
              <w:rPr>
                <w:rFonts w:ascii="Times New Roman"/>
                <w:sz w:val="21"/>
              </w:rPr>
            </w:pPr>
            <w:r>
              <w:rPr>
                <w:rFonts w:ascii="Times New Roman"/>
                <w:sz w:val="21"/>
              </w:rPr>
              <w:t>70</w:t>
            </w:r>
          </w:p>
        </w:tc>
      </w:tr>
    </w:tbl>
    <w:p>
      <w:pPr>
        <w:spacing w:after="0"/>
        <w:rPr>
          <w:rFonts w:ascii="Times New Roman"/>
          <w:sz w:val="21"/>
        </w:rPr>
        <w:sectPr>
          <w:pgSz w:w="11910" w:h="16840"/>
          <w:pgMar w:top="1580" w:right="780" w:bottom="1240" w:left="1200" w:header="0" w:footer="1058" w:gutter="0"/>
        </w:sectPr>
      </w:pPr>
    </w:p>
    <w:tbl>
      <w:tblPr>
        <w:tblStyle w:val="10"/>
        <w:tblW w:w="0" w:type="auto"/>
        <w:tblInd w:w="6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14"/>
        <w:gridCol w:w="1986"/>
        <w:gridCol w:w="3150"/>
        <w:gridCol w:w="12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914" w:type="dxa"/>
          </w:tcPr>
          <w:p>
            <w:pPr>
              <w:pStyle w:val="14"/>
              <w:spacing w:before="63"/>
              <w:ind w:left="191" w:right="184"/>
              <w:rPr>
                <w:sz w:val="21"/>
              </w:rPr>
            </w:pPr>
            <w:r>
              <w:rPr>
                <w:rFonts w:ascii="Times New Roman" w:eastAsia="Times New Roman"/>
                <w:sz w:val="21"/>
              </w:rPr>
              <w:t>2-</w:t>
            </w:r>
            <w:r>
              <w:rPr>
                <w:sz w:val="21"/>
              </w:rPr>
              <w:t>氯酚</w:t>
            </w:r>
          </w:p>
        </w:tc>
        <w:tc>
          <w:tcPr>
            <w:tcW w:w="1986" w:type="dxa"/>
          </w:tcPr>
          <w:p>
            <w:pPr>
              <w:pStyle w:val="14"/>
              <w:spacing w:before="77"/>
              <w:ind w:left="654" w:right="648"/>
              <w:rPr>
                <w:rFonts w:ascii="Times New Roman"/>
                <w:sz w:val="21"/>
              </w:rPr>
            </w:pPr>
            <w:r>
              <w:rPr>
                <w:rFonts w:ascii="Times New Roman"/>
                <w:sz w:val="21"/>
              </w:rPr>
              <w:t>mg/kg</w:t>
            </w:r>
          </w:p>
        </w:tc>
        <w:tc>
          <w:tcPr>
            <w:tcW w:w="3150" w:type="dxa"/>
          </w:tcPr>
          <w:p>
            <w:pPr>
              <w:pStyle w:val="14"/>
              <w:spacing w:before="79"/>
              <w:ind w:left="714" w:right="704"/>
              <w:rPr>
                <w:rFonts w:ascii="Times New Roman"/>
                <w:sz w:val="21"/>
              </w:rPr>
            </w:pPr>
            <w:bookmarkStart w:id="933" w:name="&lt;0.06"/>
            <w:bookmarkEnd w:id="933"/>
            <w:r>
              <w:rPr>
                <w:rFonts w:ascii="Times New Roman"/>
                <w:sz w:val="21"/>
              </w:rPr>
              <w:t>&lt;0.06</w:t>
            </w:r>
          </w:p>
        </w:tc>
        <w:tc>
          <w:tcPr>
            <w:tcW w:w="1200" w:type="dxa"/>
          </w:tcPr>
          <w:p>
            <w:pPr>
              <w:pStyle w:val="14"/>
              <w:spacing w:before="77"/>
              <w:ind w:left="390"/>
              <w:jc w:val="left"/>
              <w:rPr>
                <w:rFonts w:ascii="Times New Roman"/>
                <w:sz w:val="21"/>
              </w:rPr>
            </w:pPr>
            <w:r>
              <w:rPr>
                <w:rFonts w:ascii="Times New Roman"/>
                <w:sz w:val="21"/>
              </w:rPr>
              <w:t>2256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4"/>
              <w:ind w:left="525"/>
              <w:jc w:val="left"/>
              <w:rPr>
                <w:sz w:val="21"/>
              </w:rPr>
            </w:pPr>
            <w:r>
              <w:rPr>
                <w:sz w:val="21"/>
              </w:rPr>
              <w:t>苯并</w:t>
            </w:r>
            <w:r>
              <w:rPr>
                <w:rFonts w:ascii="Times New Roman" w:eastAsia="Times New Roman"/>
                <w:sz w:val="21"/>
              </w:rPr>
              <w:t>[a]</w:t>
            </w:r>
            <w:r>
              <w:rPr>
                <w:sz w:val="21"/>
              </w:rPr>
              <w:t>蒽</w:t>
            </w:r>
          </w:p>
        </w:tc>
        <w:tc>
          <w:tcPr>
            <w:tcW w:w="1986" w:type="dxa"/>
          </w:tcPr>
          <w:p>
            <w:pPr>
              <w:pStyle w:val="14"/>
              <w:spacing w:before="78"/>
              <w:ind w:left="654" w:right="648"/>
              <w:rPr>
                <w:rFonts w:ascii="Times New Roman"/>
                <w:sz w:val="21"/>
              </w:rPr>
            </w:pPr>
            <w:r>
              <w:rPr>
                <w:rFonts w:ascii="Times New Roman"/>
                <w:sz w:val="21"/>
              </w:rPr>
              <w:t>mg/kg</w:t>
            </w:r>
          </w:p>
        </w:tc>
        <w:tc>
          <w:tcPr>
            <w:tcW w:w="3150" w:type="dxa"/>
          </w:tcPr>
          <w:p>
            <w:pPr>
              <w:pStyle w:val="14"/>
              <w:spacing w:before="80"/>
              <w:ind w:left="714" w:right="704"/>
              <w:rPr>
                <w:rFonts w:ascii="Times New Roman"/>
                <w:sz w:val="21"/>
              </w:rPr>
            </w:pPr>
            <w:bookmarkStart w:id="934" w:name="&lt;0.12"/>
            <w:bookmarkEnd w:id="934"/>
            <w:r>
              <w:rPr>
                <w:rFonts w:ascii="Times New Roman"/>
                <w:sz w:val="21"/>
              </w:rPr>
              <w:t>&lt;0.12</w:t>
            </w:r>
          </w:p>
        </w:tc>
        <w:tc>
          <w:tcPr>
            <w:tcW w:w="1200" w:type="dxa"/>
          </w:tcPr>
          <w:p>
            <w:pPr>
              <w:pStyle w:val="14"/>
              <w:spacing w:before="78"/>
              <w:ind w:left="493"/>
              <w:jc w:val="left"/>
              <w:rPr>
                <w:rFonts w:ascii="Times New Roman"/>
                <w:sz w:val="21"/>
              </w:rPr>
            </w:pPr>
            <w:r>
              <w:rPr>
                <w:rFonts w:ascii="Times New Roman"/>
                <w:sz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3"/>
              <w:ind w:left="525"/>
              <w:jc w:val="left"/>
              <w:rPr>
                <w:sz w:val="21"/>
              </w:rPr>
            </w:pPr>
            <w:r>
              <w:rPr>
                <w:sz w:val="21"/>
              </w:rPr>
              <w:t>苯并</w:t>
            </w:r>
            <w:r>
              <w:rPr>
                <w:rFonts w:ascii="Times New Roman" w:eastAsia="Times New Roman"/>
                <w:sz w:val="21"/>
              </w:rPr>
              <w:t>[a]</w:t>
            </w:r>
            <w:r>
              <w:rPr>
                <w:sz w:val="21"/>
              </w:rPr>
              <w:t>芘</w:t>
            </w:r>
          </w:p>
        </w:tc>
        <w:tc>
          <w:tcPr>
            <w:tcW w:w="1986" w:type="dxa"/>
          </w:tcPr>
          <w:p>
            <w:pPr>
              <w:pStyle w:val="14"/>
              <w:spacing w:before="76"/>
              <w:ind w:left="654" w:right="648"/>
              <w:rPr>
                <w:rFonts w:ascii="Times New Roman"/>
                <w:sz w:val="21"/>
              </w:rPr>
            </w:pPr>
            <w:r>
              <w:rPr>
                <w:rFonts w:ascii="Times New Roman"/>
                <w:sz w:val="21"/>
              </w:rPr>
              <w:t>mg/kg</w:t>
            </w:r>
          </w:p>
        </w:tc>
        <w:tc>
          <w:tcPr>
            <w:tcW w:w="3150" w:type="dxa"/>
          </w:tcPr>
          <w:p>
            <w:pPr>
              <w:pStyle w:val="14"/>
              <w:spacing w:before="79"/>
              <w:ind w:left="714" w:right="704"/>
              <w:rPr>
                <w:rFonts w:ascii="Times New Roman"/>
                <w:sz w:val="21"/>
              </w:rPr>
            </w:pPr>
            <w:bookmarkStart w:id="935" w:name="&lt;0.17"/>
            <w:bookmarkEnd w:id="935"/>
            <w:r>
              <w:rPr>
                <w:rFonts w:ascii="Times New Roman"/>
                <w:sz w:val="21"/>
              </w:rPr>
              <w:t>&lt;0.17</w:t>
            </w:r>
          </w:p>
        </w:tc>
        <w:tc>
          <w:tcPr>
            <w:tcW w:w="1200" w:type="dxa"/>
          </w:tcPr>
          <w:p>
            <w:pPr>
              <w:pStyle w:val="14"/>
              <w:spacing w:before="76"/>
              <w:ind w:left="469"/>
              <w:jc w:val="left"/>
              <w:rPr>
                <w:rFonts w:ascii="Times New Roman"/>
                <w:sz w:val="21"/>
              </w:rPr>
            </w:pPr>
            <w:r>
              <w:rPr>
                <w:rFonts w:ascii="Times New Roman"/>
                <w:sz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3"/>
              <w:ind w:left="415"/>
              <w:jc w:val="left"/>
              <w:rPr>
                <w:sz w:val="21"/>
              </w:rPr>
            </w:pPr>
            <w:r>
              <w:rPr>
                <w:sz w:val="21"/>
              </w:rPr>
              <w:t>苯并</w:t>
            </w:r>
            <w:r>
              <w:rPr>
                <w:rFonts w:ascii="Times New Roman" w:eastAsia="Times New Roman"/>
                <w:sz w:val="21"/>
              </w:rPr>
              <w:t>[b]</w:t>
            </w:r>
            <w:r>
              <w:rPr>
                <w:sz w:val="21"/>
              </w:rPr>
              <w:t>荧蒽</w:t>
            </w:r>
          </w:p>
        </w:tc>
        <w:tc>
          <w:tcPr>
            <w:tcW w:w="1986" w:type="dxa"/>
          </w:tcPr>
          <w:p>
            <w:pPr>
              <w:pStyle w:val="14"/>
              <w:spacing w:before="77"/>
              <w:ind w:left="654" w:right="648"/>
              <w:rPr>
                <w:rFonts w:ascii="Times New Roman"/>
                <w:sz w:val="21"/>
              </w:rPr>
            </w:pPr>
            <w:r>
              <w:rPr>
                <w:rFonts w:ascii="Times New Roman"/>
                <w:sz w:val="21"/>
              </w:rPr>
              <w:t>mg/kg</w:t>
            </w:r>
          </w:p>
        </w:tc>
        <w:tc>
          <w:tcPr>
            <w:tcW w:w="3150" w:type="dxa"/>
          </w:tcPr>
          <w:p>
            <w:pPr>
              <w:pStyle w:val="14"/>
              <w:spacing w:before="80"/>
              <w:ind w:left="714" w:right="704"/>
              <w:rPr>
                <w:rFonts w:ascii="Times New Roman"/>
                <w:sz w:val="21"/>
              </w:rPr>
            </w:pPr>
            <w:bookmarkStart w:id="936" w:name="&lt;0.17"/>
            <w:bookmarkEnd w:id="936"/>
            <w:r>
              <w:rPr>
                <w:rFonts w:ascii="Times New Roman"/>
                <w:sz w:val="21"/>
              </w:rPr>
              <w:t>&lt;0.17</w:t>
            </w:r>
          </w:p>
        </w:tc>
        <w:tc>
          <w:tcPr>
            <w:tcW w:w="1200" w:type="dxa"/>
          </w:tcPr>
          <w:p>
            <w:pPr>
              <w:pStyle w:val="14"/>
              <w:spacing w:before="77"/>
              <w:ind w:left="493"/>
              <w:jc w:val="left"/>
              <w:rPr>
                <w:rFonts w:ascii="Times New Roman"/>
                <w:sz w:val="21"/>
              </w:rPr>
            </w:pPr>
            <w:r>
              <w:rPr>
                <w:rFonts w:ascii="Times New Roman"/>
                <w:sz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2"/>
              <w:ind w:left="415"/>
              <w:jc w:val="left"/>
              <w:rPr>
                <w:sz w:val="21"/>
              </w:rPr>
            </w:pPr>
            <w:r>
              <w:rPr>
                <w:sz w:val="21"/>
              </w:rPr>
              <w:t>苯并</w:t>
            </w:r>
            <w:r>
              <w:rPr>
                <w:rFonts w:ascii="Times New Roman" w:eastAsia="Times New Roman"/>
                <w:sz w:val="21"/>
              </w:rPr>
              <w:t>[k]</w:t>
            </w:r>
            <w:r>
              <w:rPr>
                <w:sz w:val="21"/>
              </w:rPr>
              <w:t>荧蒽</w:t>
            </w:r>
          </w:p>
        </w:tc>
        <w:tc>
          <w:tcPr>
            <w:tcW w:w="1986" w:type="dxa"/>
          </w:tcPr>
          <w:p>
            <w:pPr>
              <w:pStyle w:val="14"/>
              <w:spacing w:before="76"/>
              <w:ind w:left="654" w:right="648"/>
              <w:rPr>
                <w:rFonts w:ascii="Times New Roman"/>
                <w:sz w:val="21"/>
              </w:rPr>
            </w:pPr>
            <w:r>
              <w:rPr>
                <w:rFonts w:ascii="Times New Roman"/>
                <w:sz w:val="21"/>
              </w:rPr>
              <w:t>mg/kg</w:t>
            </w:r>
          </w:p>
        </w:tc>
        <w:tc>
          <w:tcPr>
            <w:tcW w:w="3150" w:type="dxa"/>
          </w:tcPr>
          <w:p>
            <w:pPr>
              <w:pStyle w:val="14"/>
              <w:spacing w:before="81"/>
              <w:ind w:left="714" w:right="704"/>
              <w:rPr>
                <w:rFonts w:ascii="Times New Roman"/>
                <w:sz w:val="21"/>
              </w:rPr>
            </w:pPr>
            <w:bookmarkStart w:id="937" w:name="&lt;0.11"/>
            <w:bookmarkEnd w:id="937"/>
            <w:r>
              <w:rPr>
                <w:rFonts w:ascii="Times New Roman"/>
                <w:sz w:val="21"/>
              </w:rPr>
              <w:t>&lt;0.11</w:t>
            </w:r>
          </w:p>
        </w:tc>
        <w:tc>
          <w:tcPr>
            <w:tcW w:w="1200" w:type="dxa"/>
          </w:tcPr>
          <w:p>
            <w:pPr>
              <w:pStyle w:val="14"/>
              <w:spacing w:before="76"/>
              <w:ind w:left="440"/>
              <w:jc w:val="left"/>
              <w:rPr>
                <w:rFonts w:ascii="Times New Roman"/>
                <w:sz w:val="21"/>
              </w:rPr>
            </w:pPr>
            <w:r>
              <w:rPr>
                <w:rFonts w:ascii="Times New Roman"/>
                <w:sz w:val="21"/>
              </w:rPr>
              <w:t>151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914" w:type="dxa"/>
          </w:tcPr>
          <w:p>
            <w:pPr>
              <w:pStyle w:val="14"/>
              <w:spacing w:before="63"/>
              <w:ind w:left="9"/>
              <w:rPr>
                <w:sz w:val="21"/>
              </w:rPr>
            </w:pPr>
            <w:r>
              <w:rPr>
                <w:w w:val="99"/>
                <w:sz w:val="21"/>
              </w:rPr>
              <w:t>䓛</w:t>
            </w:r>
          </w:p>
        </w:tc>
        <w:tc>
          <w:tcPr>
            <w:tcW w:w="1986" w:type="dxa"/>
          </w:tcPr>
          <w:p>
            <w:pPr>
              <w:pStyle w:val="14"/>
              <w:spacing w:before="77"/>
              <w:ind w:left="654" w:right="648"/>
              <w:rPr>
                <w:rFonts w:ascii="Times New Roman"/>
                <w:sz w:val="21"/>
              </w:rPr>
            </w:pPr>
            <w:r>
              <w:rPr>
                <w:rFonts w:ascii="Times New Roman"/>
                <w:sz w:val="21"/>
              </w:rPr>
              <w:t>mg/kg</w:t>
            </w:r>
          </w:p>
        </w:tc>
        <w:tc>
          <w:tcPr>
            <w:tcW w:w="3150" w:type="dxa"/>
          </w:tcPr>
          <w:p>
            <w:pPr>
              <w:pStyle w:val="14"/>
              <w:spacing w:before="79"/>
              <w:ind w:left="714" w:right="704"/>
              <w:rPr>
                <w:rFonts w:ascii="Times New Roman"/>
                <w:sz w:val="21"/>
              </w:rPr>
            </w:pPr>
            <w:bookmarkStart w:id="938" w:name="&lt;0.14"/>
            <w:bookmarkEnd w:id="938"/>
            <w:r>
              <w:rPr>
                <w:rFonts w:ascii="Times New Roman"/>
                <w:sz w:val="21"/>
              </w:rPr>
              <w:t>&lt;0.14</w:t>
            </w:r>
          </w:p>
        </w:tc>
        <w:tc>
          <w:tcPr>
            <w:tcW w:w="1200" w:type="dxa"/>
          </w:tcPr>
          <w:p>
            <w:pPr>
              <w:pStyle w:val="14"/>
              <w:spacing w:before="77"/>
              <w:ind w:left="390"/>
              <w:jc w:val="left"/>
              <w:rPr>
                <w:rFonts w:ascii="Times New Roman"/>
                <w:sz w:val="21"/>
              </w:rPr>
            </w:pPr>
            <w:r>
              <w:rPr>
                <w:rFonts w:ascii="Times New Roman"/>
                <w:sz w:val="21"/>
              </w:rPr>
              <w:t>1293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2"/>
              <w:ind w:left="230"/>
              <w:jc w:val="left"/>
              <w:rPr>
                <w:sz w:val="21"/>
              </w:rPr>
            </w:pPr>
            <w:r>
              <w:rPr>
                <w:sz w:val="21"/>
              </w:rPr>
              <w:t>茚并</w:t>
            </w:r>
            <w:r>
              <w:rPr>
                <w:rFonts w:ascii="Times New Roman" w:eastAsia="Times New Roman"/>
                <w:sz w:val="21"/>
              </w:rPr>
              <w:t>[1,2,3-cd]</w:t>
            </w:r>
            <w:r>
              <w:rPr>
                <w:sz w:val="21"/>
              </w:rPr>
              <w:t>芘</w:t>
            </w:r>
          </w:p>
        </w:tc>
        <w:tc>
          <w:tcPr>
            <w:tcW w:w="1986" w:type="dxa"/>
          </w:tcPr>
          <w:p>
            <w:pPr>
              <w:pStyle w:val="14"/>
              <w:spacing w:before="76"/>
              <w:ind w:left="654" w:right="648"/>
              <w:rPr>
                <w:rFonts w:ascii="Times New Roman"/>
                <w:sz w:val="21"/>
              </w:rPr>
            </w:pPr>
            <w:r>
              <w:rPr>
                <w:rFonts w:ascii="Times New Roman"/>
                <w:sz w:val="21"/>
              </w:rPr>
              <w:t>mg/kg</w:t>
            </w:r>
          </w:p>
        </w:tc>
        <w:tc>
          <w:tcPr>
            <w:tcW w:w="3150" w:type="dxa"/>
          </w:tcPr>
          <w:p>
            <w:pPr>
              <w:pStyle w:val="14"/>
              <w:spacing w:before="80"/>
              <w:ind w:left="714" w:right="704"/>
              <w:rPr>
                <w:rFonts w:ascii="Times New Roman"/>
                <w:sz w:val="21"/>
              </w:rPr>
            </w:pPr>
            <w:bookmarkStart w:id="939" w:name="&lt;0.13"/>
            <w:bookmarkEnd w:id="939"/>
            <w:r>
              <w:rPr>
                <w:rFonts w:ascii="Times New Roman"/>
                <w:sz w:val="21"/>
              </w:rPr>
              <w:t>&lt;0.13</w:t>
            </w:r>
          </w:p>
        </w:tc>
        <w:tc>
          <w:tcPr>
            <w:tcW w:w="1200" w:type="dxa"/>
          </w:tcPr>
          <w:p>
            <w:pPr>
              <w:pStyle w:val="14"/>
              <w:spacing w:before="76"/>
              <w:ind w:left="469"/>
              <w:jc w:val="left"/>
              <w:rPr>
                <w:rFonts w:ascii="Times New Roman"/>
                <w:sz w:val="21"/>
              </w:rPr>
            </w:pPr>
            <w:r>
              <w:rPr>
                <w:rFonts w:ascii="Times New Roman"/>
                <w:sz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3"/>
              <w:ind w:left="264"/>
              <w:jc w:val="left"/>
              <w:rPr>
                <w:sz w:val="21"/>
              </w:rPr>
            </w:pPr>
            <w:r>
              <w:rPr>
                <w:sz w:val="21"/>
              </w:rPr>
              <w:t>二苯并</w:t>
            </w:r>
            <w:r>
              <w:rPr>
                <w:rFonts w:ascii="Times New Roman" w:eastAsia="Times New Roman"/>
                <w:sz w:val="21"/>
              </w:rPr>
              <w:t>[a</w:t>
            </w:r>
            <w:r>
              <w:rPr>
                <w:sz w:val="21"/>
              </w:rPr>
              <w:t>，</w:t>
            </w:r>
            <w:r>
              <w:rPr>
                <w:rFonts w:ascii="Times New Roman" w:eastAsia="Times New Roman"/>
                <w:sz w:val="21"/>
              </w:rPr>
              <w:t>h]</w:t>
            </w:r>
            <w:r>
              <w:rPr>
                <w:sz w:val="21"/>
              </w:rPr>
              <w:t>蒽</w:t>
            </w:r>
          </w:p>
        </w:tc>
        <w:tc>
          <w:tcPr>
            <w:tcW w:w="1986" w:type="dxa"/>
          </w:tcPr>
          <w:p>
            <w:pPr>
              <w:pStyle w:val="14"/>
              <w:spacing w:before="77"/>
              <w:ind w:left="654" w:right="648"/>
              <w:rPr>
                <w:rFonts w:ascii="Times New Roman"/>
                <w:sz w:val="21"/>
              </w:rPr>
            </w:pPr>
            <w:r>
              <w:rPr>
                <w:rFonts w:ascii="Times New Roman"/>
                <w:sz w:val="21"/>
              </w:rPr>
              <w:t>mg/kg</w:t>
            </w:r>
          </w:p>
        </w:tc>
        <w:tc>
          <w:tcPr>
            <w:tcW w:w="3150" w:type="dxa"/>
          </w:tcPr>
          <w:p>
            <w:pPr>
              <w:pStyle w:val="14"/>
              <w:spacing w:before="79"/>
              <w:ind w:left="714" w:right="704"/>
              <w:rPr>
                <w:rFonts w:ascii="Times New Roman"/>
                <w:sz w:val="21"/>
              </w:rPr>
            </w:pPr>
            <w:bookmarkStart w:id="940" w:name="&lt;0.13"/>
            <w:bookmarkEnd w:id="940"/>
            <w:r>
              <w:rPr>
                <w:rFonts w:ascii="Times New Roman"/>
                <w:sz w:val="21"/>
              </w:rPr>
              <w:t>&lt;0.13</w:t>
            </w:r>
          </w:p>
        </w:tc>
        <w:tc>
          <w:tcPr>
            <w:tcW w:w="1200" w:type="dxa"/>
          </w:tcPr>
          <w:p>
            <w:pPr>
              <w:pStyle w:val="14"/>
              <w:spacing w:before="77"/>
              <w:ind w:left="493"/>
              <w:jc w:val="left"/>
              <w:rPr>
                <w:rFonts w:ascii="Times New Roman"/>
                <w:sz w:val="21"/>
              </w:rPr>
            </w:pPr>
            <w:r>
              <w:rPr>
                <w:rFonts w:ascii="Times New Roman"/>
                <w:sz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914" w:type="dxa"/>
          </w:tcPr>
          <w:p>
            <w:pPr>
              <w:pStyle w:val="14"/>
              <w:spacing w:before="64"/>
              <w:ind w:left="108" w:right="-15"/>
              <w:jc w:val="left"/>
              <w:rPr>
                <w:sz w:val="21"/>
              </w:rPr>
            </w:pPr>
            <w:r>
              <w:rPr>
                <w:spacing w:val="-21"/>
                <w:sz w:val="21"/>
              </w:rPr>
              <w:t>石油烃</w:t>
            </w:r>
            <w:r>
              <w:rPr>
                <w:sz w:val="21"/>
              </w:rPr>
              <w:t>（</w:t>
            </w:r>
            <w:r>
              <w:rPr>
                <w:rFonts w:ascii="Times New Roman" w:eastAsia="Times New Roman"/>
                <w:sz w:val="21"/>
              </w:rPr>
              <w:t>C10~C40</w:t>
            </w:r>
            <w:r>
              <w:rPr>
                <w:sz w:val="21"/>
              </w:rPr>
              <w:t>）</w:t>
            </w:r>
          </w:p>
        </w:tc>
        <w:tc>
          <w:tcPr>
            <w:tcW w:w="1986" w:type="dxa"/>
          </w:tcPr>
          <w:p>
            <w:pPr>
              <w:pStyle w:val="14"/>
              <w:spacing w:before="78"/>
              <w:ind w:left="654" w:right="648"/>
              <w:rPr>
                <w:rFonts w:ascii="Times New Roman"/>
                <w:sz w:val="21"/>
              </w:rPr>
            </w:pPr>
            <w:r>
              <w:rPr>
                <w:rFonts w:ascii="Times New Roman"/>
                <w:sz w:val="21"/>
              </w:rPr>
              <w:t>mg/kg</w:t>
            </w:r>
          </w:p>
        </w:tc>
        <w:tc>
          <w:tcPr>
            <w:tcW w:w="3150" w:type="dxa"/>
          </w:tcPr>
          <w:p>
            <w:pPr>
              <w:pStyle w:val="14"/>
              <w:spacing w:before="80"/>
              <w:ind w:left="712" w:right="706"/>
              <w:rPr>
                <w:rFonts w:ascii="Times New Roman"/>
                <w:sz w:val="21"/>
              </w:rPr>
            </w:pPr>
            <w:bookmarkStart w:id="941" w:name="&lt;6"/>
            <w:bookmarkEnd w:id="941"/>
            <w:r>
              <w:rPr>
                <w:rFonts w:ascii="Times New Roman"/>
                <w:sz w:val="21"/>
              </w:rPr>
              <w:t>&lt;6</w:t>
            </w:r>
          </w:p>
        </w:tc>
        <w:tc>
          <w:tcPr>
            <w:tcW w:w="1200" w:type="dxa"/>
          </w:tcPr>
          <w:p>
            <w:pPr>
              <w:pStyle w:val="14"/>
              <w:spacing w:before="78"/>
              <w:ind w:left="390"/>
              <w:jc w:val="left"/>
              <w:rPr>
                <w:rFonts w:ascii="Times New Roman"/>
                <w:sz w:val="21"/>
              </w:rPr>
            </w:pPr>
            <w:r>
              <w:rPr>
                <w:rFonts w:ascii="Times New Roman"/>
                <w:sz w:val="21"/>
              </w:rPr>
              <w:t>4500</w:t>
            </w:r>
          </w:p>
        </w:tc>
      </w:tr>
    </w:tbl>
    <w:p>
      <w:pPr>
        <w:spacing w:before="5"/>
        <w:ind w:left="215" w:right="0" w:firstLine="0"/>
        <w:jc w:val="left"/>
        <w:rPr>
          <w:b/>
          <w:sz w:val="18"/>
        </w:rPr>
      </w:pPr>
      <w:r>
        <w:rPr>
          <w:b/>
          <w:sz w:val="18"/>
        </w:rPr>
        <w:t>注：</w:t>
      </w:r>
      <w:r>
        <w:rPr>
          <w:rFonts w:ascii="Times New Roman" w:hAnsi="Times New Roman" w:eastAsia="Times New Roman"/>
          <w:b/>
          <w:sz w:val="18"/>
        </w:rPr>
        <w:t>“</w:t>
      </w:r>
      <w:r>
        <w:rPr>
          <w:rFonts w:ascii="Times New Roman" w:hAnsi="Times New Roman" w:eastAsia="Times New Roman"/>
          <w:sz w:val="18"/>
        </w:rPr>
        <w:t>&lt;</w:t>
      </w:r>
      <w:r>
        <w:rPr>
          <w:rFonts w:ascii="Times New Roman" w:hAnsi="Times New Roman" w:eastAsia="Times New Roman"/>
          <w:b/>
          <w:sz w:val="18"/>
        </w:rPr>
        <w:t>”</w:t>
      </w:r>
      <w:r>
        <w:rPr>
          <w:b/>
          <w:sz w:val="18"/>
        </w:rPr>
        <w:t>代表低于检出限</w:t>
      </w:r>
    </w:p>
    <w:p>
      <w:pPr>
        <w:pStyle w:val="6"/>
        <w:spacing w:before="2"/>
        <w:rPr>
          <w:b/>
          <w:sz w:val="25"/>
        </w:rPr>
      </w:pPr>
    </w:p>
    <w:p>
      <w:pPr>
        <w:pStyle w:val="5"/>
        <w:tabs>
          <w:tab w:val="left" w:pos="1147"/>
        </w:tabs>
        <w:spacing w:before="74"/>
        <w:ind w:right="352"/>
        <w:jc w:val="center"/>
      </w:pPr>
      <w:r>
        <w:t>表</w:t>
      </w:r>
      <w:r>
        <w:rPr>
          <w:spacing w:val="-61"/>
        </w:rPr>
        <w:t xml:space="preserve"> </w:t>
      </w:r>
      <w:r>
        <w:rPr>
          <w:rFonts w:ascii="Times New Roman" w:eastAsia="Times New Roman"/>
          <w:spacing w:val="-3"/>
        </w:rPr>
        <w:t>11.2-3</w:t>
      </w:r>
      <w:r>
        <w:rPr>
          <w:rFonts w:ascii="Times New Roman" w:eastAsia="Times New Roman"/>
          <w:spacing w:val="-3"/>
        </w:rPr>
        <w:tab/>
      </w:r>
      <w:r>
        <w:t>土壤环境质量评价结果</w:t>
      </w:r>
    </w:p>
    <w:tbl>
      <w:tblPr>
        <w:tblStyle w:val="10"/>
        <w:tblW w:w="0" w:type="auto"/>
        <w:tblInd w:w="6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68"/>
        <w:gridCol w:w="1721"/>
        <w:gridCol w:w="3088"/>
        <w:gridCol w:w="12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268" w:type="dxa"/>
            <w:vMerge w:val="restart"/>
          </w:tcPr>
          <w:p>
            <w:pPr>
              <w:pStyle w:val="14"/>
              <w:spacing w:before="8"/>
              <w:jc w:val="left"/>
              <w:rPr>
                <w:b/>
                <w:sz w:val="20"/>
              </w:rPr>
            </w:pPr>
          </w:p>
          <w:p>
            <w:pPr>
              <w:pStyle w:val="14"/>
              <w:spacing w:before="1"/>
              <w:ind w:left="749"/>
              <w:jc w:val="left"/>
              <w:rPr>
                <w:sz w:val="21"/>
              </w:rPr>
            </w:pPr>
            <w:bookmarkStart w:id="942" w:name="检测项目"/>
            <w:bookmarkEnd w:id="942"/>
            <w:r>
              <w:rPr>
                <w:sz w:val="21"/>
              </w:rPr>
              <w:t>检测项目</w:t>
            </w:r>
          </w:p>
        </w:tc>
        <w:tc>
          <w:tcPr>
            <w:tcW w:w="1721" w:type="dxa"/>
            <w:vMerge w:val="restart"/>
          </w:tcPr>
          <w:p>
            <w:pPr>
              <w:pStyle w:val="14"/>
              <w:spacing w:before="8"/>
              <w:jc w:val="left"/>
              <w:rPr>
                <w:b/>
                <w:sz w:val="20"/>
              </w:rPr>
            </w:pPr>
          </w:p>
          <w:p>
            <w:pPr>
              <w:pStyle w:val="14"/>
              <w:spacing w:before="1"/>
              <w:ind w:left="335" w:right="331"/>
              <w:rPr>
                <w:sz w:val="21"/>
              </w:rPr>
            </w:pPr>
            <w:r>
              <w:rPr>
                <w:sz w:val="21"/>
              </w:rPr>
              <w:t>单位</w:t>
            </w:r>
          </w:p>
        </w:tc>
        <w:tc>
          <w:tcPr>
            <w:tcW w:w="3088" w:type="dxa"/>
          </w:tcPr>
          <w:p>
            <w:pPr>
              <w:pStyle w:val="14"/>
              <w:spacing w:before="63"/>
              <w:ind w:left="682" w:right="675"/>
              <w:rPr>
                <w:sz w:val="21"/>
              </w:rPr>
            </w:pPr>
            <w:r>
              <w:rPr>
                <w:sz w:val="21"/>
              </w:rPr>
              <w:t>占标率（</w:t>
            </w:r>
            <w:r>
              <w:rPr>
                <w:rFonts w:ascii="Times New Roman" w:eastAsia="Times New Roman"/>
                <w:sz w:val="21"/>
              </w:rPr>
              <w:t>%</w:t>
            </w:r>
            <w:r>
              <w:rPr>
                <w:sz w:val="21"/>
              </w:rPr>
              <w:t>）</w:t>
            </w:r>
          </w:p>
        </w:tc>
        <w:tc>
          <w:tcPr>
            <w:tcW w:w="1217" w:type="dxa"/>
            <w:vMerge w:val="restart"/>
          </w:tcPr>
          <w:p>
            <w:pPr>
              <w:pStyle w:val="14"/>
              <w:spacing w:before="8"/>
              <w:jc w:val="left"/>
              <w:rPr>
                <w:b/>
                <w:sz w:val="20"/>
              </w:rPr>
            </w:pPr>
          </w:p>
          <w:p>
            <w:pPr>
              <w:pStyle w:val="14"/>
              <w:spacing w:before="1"/>
              <w:ind w:left="188"/>
              <w:jc w:val="left"/>
              <w:rPr>
                <w:sz w:val="21"/>
              </w:rPr>
            </w:pPr>
            <w:r>
              <w:rPr>
                <w:sz w:val="21"/>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vMerge w:val="continue"/>
            <w:tcBorders>
              <w:top w:val="nil"/>
            </w:tcBorders>
          </w:tcPr>
          <w:p>
            <w:pPr>
              <w:rPr>
                <w:sz w:val="2"/>
                <w:szCs w:val="2"/>
              </w:rPr>
            </w:pPr>
          </w:p>
        </w:tc>
        <w:tc>
          <w:tcPr>
            <w:tcW w:w="1721" w:type="dxa"/>
            <w:vMerge w:val="continue"/>
            <w:tcBorders>
              <w:top w:val="nil"/>
            </w:tcBorders>
          </w:tcPr>
          <w:p>
            <w:pPr>
              <w:rPr>
                <w:sz w:val="2"/>
                <w:szCs w:val="2"/>
              </w:rPr>
            </w:pPr>
          </w:p>
        </w:tc>
        <w:tc>
          <w:tcPr>
            <w:tcW w:w="3088" w:type="dxa"/>
          </w:tcPr>
          <w:p>
            <w:pPr>
              <w:pStyle w:val="14"/>
              <w:spacing w:before="62"/>
              <w:ind w:left="683" w:right="675"/>
              <w:rPr>
                <w:rFonts w:ascii="Times New Roman" w:eastAsia="Times New Roman"/>
                <w:sz w:val="21"/>
              </w:rPr>
            </w:pPr>
            <w:r>
              <w:rPr>
                <w:sz w:val="21"/>
              </w:rPr>
              <w:t xml:space="preserve">工业场地表层样 </w:t>
            </w:r>
            <w:r>
              <w:rPr>
                <w:rFonts w:ascii="Times New Roman" w:eastAsia="Times New Roman"/>
                <w:sz w:val="21"/>
              </w:rPr>
              <w:t>1</w:t>
            </w:r>
          </w:p>
        </w:tc>
        <w:tc>
          <w:tcPr>
            <w:tcW w:w="121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268" w:type="dxa"/>
          </w:tcPr>
          <w:p>
            <w:pPr>
              <w:pStyle w:val="14"/>
              <w:spacing w:before="63"/>
              <w:ind w:left="7"/>
              <w:rPr>
                <w:sz w:val="21"/>
              </w:rPr>
            </w:pPr>
            <w:r>
              <w:rPr>
                <w:w w:val="99"/>
                <w:sz w:val="21"/>
              </w:rPr>
              <w:t>砷</w:t>
            </w:r>
          </w:p>
        </w:tc>
        <w:tc>
          <w:tcPr>
            <w:tcW w:w="1721" w:type="dxa"/>
          </w:tcPr>
          <w:p>
            <w:pPr>
              <w:pStyle w:val="14"/>
              <w:spacing w:before="77"/>
              <w:ind w:left="591"/>
              <w:jc w:val="left"/>
              <w:rPr>
                <w:rFonts w:ascii="Times New Roman"/>
                <w:sz w:val="21"/>
              </w:rPr>
            </w:pPr>
            <w:r>
              <w:rPr>
                <w:rFonts w:ascii="Times New Roman"/>
                <w:sz w:val="21"/>
              </w:rPr>
              <w:t>mg/kg</w:t>
            </w:r>
          </w:p>
        </w:tc>
        <w:tc>
          <w:tcPr>
            <w:tcW w:w="3088" w:type="dxa"/>
          </w:tcPr>
          <w:p>
            <w:pPr>
              <w:pStyle w:val="14"/>
              <w:spacing w:before="77"/>
              <w:ind w:left="683" w:right="672"/>
              <w:rPr>
                <w:rFonts w:ascii="Times New Roman"/>
                <w:sz w:val="21"/>
              </w:rPr>
            </w:pPr>
            <w:r>
              <w:rPr>
                <w:rFonts w:ascii="Times New Roman"/>
                <w:sz w:val="21"/>
              </w:rPr>
              <w:t>0.132</w:t>
            </w:r>
          </w:p>
        </w:tc>
        <w:tc>
          <w:tcPr>
            <w:tcW w:w="1217" w:type="dxa"/>
          </w:tcPr>
          <w:p>
            <w:pPr>
              <w:pStyle w:val="14"/>
              <w:spacing w:before="63"/>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4"/>
              <w:ind w:left="7"/>
              <w:rPr>
                <w:sz w:val="21"/>
              </w:rPr>
            </w:pPr>
            <w:r>
              <w:rPr>
                <w:w w:val="99"/>
                <w:sz w:val="21"/>
              </w:rPr>
              <w:t>镉</w:t>
            </w:r>
          </w:p>
        </w:tc>
        <w:tc>
          <w:tcPr>
            <w:tcW w:w="1721" w:type="dxa"/>
          </w:tcPr>
          <w:p>
            <w:pPr>
              <w:pStyle w:val="14"/>
              <w:spacing w:before="78"/>
              <w:ind w:left="591"/>
              <w:jc w:val="left"/>
              <w:rPr>
                <w:rFonts w:ascii="Times New Roman"/>
                <w:sz w:val="21"/>
              </w:rPr>
            </w:pPr>
            <w:r>
              <w:rPr>
                <w:rFonts w:ascii="Times New Roman"/>
                <w:sz w:val="21"/>
              </w:rPr>
              <w:t>mg/kg</w:t>
            </w:r>
          </w:p>
        </w:tc>
        <w:tc>
          <w:tcPr>
            <w:tcW w:w="3088" w:type="dxa"/>
          </w:tcPr>
          <w:p>
            <w:pPr>
              <w:pStyle w:val="14"/>
              <w:spacing w:before="78"/>
              <w:ind w:left="683" w:right="672"/>
              <w:rPr>
                <w:rFonts w:ascii="Times New Roman"/>
                <w:sz w:val="21"/>
              </w:rPr>
            </w:pPr>
            <w:r>
              <w:rPr>
                <w:rFonts w:ascii="Times New Roman"/>
                <w:sz w:val="21"/>
              </w:rPr>
              <w:t>0.011</w:t>
            </w:r>
          </w:p>
        </w:tc>
        <w:tc>
          <w:tcPr>
            <w:tcW w:w="1217" w:type="dxa"/>
          </w:tcPr>
          <w:p>
            <w:pPr>
              <w:pStyle w:val="14"/>
              <w:spacing w:before="64"/>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268" w:type="dxa"/>
          </w:tcPr>
          <w:p>
            <w:pPr>
              <w:pStyle w:val="14"/>
              <w:spacing w:before="65"/>
              <w:ind w:left="213" w:right="204"/>
              <w:rPr>
                <w:sz w:val="21"/>
              </w:rPr>
            </w:pPr>
            <w:r>
              <w:rPr>
                <w:sz w:val="21"/>
              </w:rPr>
              <w:t>六价铬</w:t>
            </w:r>
          </w:p>
        </w:tc>
        <w:tc>
          <w:tcPr>
            <w:tcW w:w="1721" w:type="dxa"/>
          </w:tcPr>
          <w:p>
            <w:pPr>
              <w:pStyle w:val="14"/>
              <w:spacing w:before="79"/>
              <w:ind w:left="591"/>
              <w:jc w:val="left"/>
              <w:rPr>
                <w:rFonts w:ascii="Times New Roman"/>
                <w:sz w:val="21"/>
              </w:rPr>
            </w:pPr>
            <w:r>
              <w:rPr>
                <w:rFonts w:ascii="Times New Roman"/>
                <w:sz w:val="21"/>
              </w:rPr>
              <w:t>mg/kg</w:t>
            </w:r>
          </w:p>
        </w:tc>
        <w:tc>
          <w:tcPr>
            <w:tcW w:w="3088" w:type="dxa"/>
          </w:tcPr>
          <w:p>
            <w:pPr>
              <w:pStyle w:val="14"/>
              <w:spacing w:before="65"/>
              <w:ind w:left="683" w:right="673"/>
              <w:rPr>
                <w:sz w:val="21"/>
              </w:rPr>
            </w:pPr>
            <w:r>
              <w:rPr>
                <w:sz w:val="21"/>
              </w:rPr>
              <w:t>未检出</w:t>
            </w:r>
          </w:p>
        </w:tc>
        <w:tc>
          <w:tcPr>
            <w:tcW w:w="1217" w:type="dxa"/>
          </w:tcPr>
          <w:p>
            <w:pPr>
              <w:pStyle w:val="14"/>
              <w:spacing w:before="65"/>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4"/>
              <w:ind w:left="7"/>
              <w:rPr>
                <w:sz w:val="21"/>
              </w:rPr>
            </w:pPr>
            <w:r>
              <w:rPr>
                <w:w w:val="99"/>
                <w:sz w:val="21"/>
              </w:rPr>
              <w:t>铜</w:t>
            </w:r>
          </w:p>
        </w:tc>
        <w:tc>
          <w:tcPr>
            <w:tcW w:w="1721" w:type="dxa"/>
          </w:tcPr>
          <w:p>
            <w:pPr>
              <w:pStyle w:val="14"/>
              <w:spacing w:before="78"/>
              <w:ind w:left="591"/>
              <w:jc w:val="left"/>
              <w:rPr>
                <w:rFonts w:ascii="Times New Roman"/>
                <w:sz w:val="21"/>
              </w:rPr>
            </w:pPr>
            <w:r>
              <w:rPr>
                <w:rFonts w:ascii="Times New Roman"/>
                <w:sz w:val="21"/>
              </w:rPr>
              <w:t>mg/kg</w:t>
            </w:r>
          </w:p>
        </w:tc>
        <w:tc>
          <w:tcPr>
            <w:tcW w:w="3088" w:type="dxa"/>
          </w:tcPr>
          <w:p>
            <w:pPr>
              <w:pStyle w:val="14"/>
              <w:spacing w:before="78"/>
              <w:ind w:left="683" w:right="672"/>
              <w:rPr>
                <w:rFonts w:ascii="Times New Roman"/>
                <w:sz w:val="21"/>
              </w:rPr>
            </w:pPr>
            <w:r>
              <w:rPr>
                <w:rFonts w:ascii="Times New Roman"/>
                <w:sz w:val="21"/>
              </w:rPr>
              <w:t>0.003</w:t>
            </w:r>
          </w:p>
        </w:tc>
        <w:tc>
          <w:tcPr>
            <w:tcW w:w="1217" w:type="dxa"/>
          </w:tcPr>
          <w:p>
            <w:pPr>
              <w:pStyle w:val="14"/>
              <w:spacing w:before="64"/>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268" w:type="dxa"/>
          </w:tcPr>
          <w:p>
            <w:pPr>
              <w:pStyle w:val="14"/>
              <w:spacing w:before="62"/>
              <w:ind w:left="7"/>
              <w:rPr>
                <w:sz w:val="21"/>
              </w:rPr>
            </w:pPr>
            <w:r>
              <w:rPr>
                <w:w w:val="99"/>
                <w:sz w:val="21"/>
              </w:rPr>
              <w:t>铅</w:t>
            </w:r>
          </w:p>
        </w:tc>
        <w:tc>
          <w:tcPr>
            <w:tcW w:w="1721" w:type="dxa"/>
          </w:tcPr>
          <w:p>
            <w:pPr>
              <w:pStyle w:val="14"/>
              <w:spacing w:before="76"/>
              <w:ind w:left="617"/>
              <w:jc w:val="left"/>
              <w:rPr>
                <w:rFonts w:ascii="Times New Roman" w:hAnsi="Times New Roman"/>
                <w:sz w:val="21"/>
              </w:rPr>
            </w:pPr>
            <w:r>
              <w:rPr>
                <w:rFonts w:ascii="Times New Roman" w:hAnsi="Times New Roman"/>
                <w:sz w:val="21"/>
              </w:rPr>
              <w:t>μg/kg</w:t>
            </w:r>
          </w:p>
        </w:tc>
        <w:tc>
          <w:tcPr>
            <w:tcW w:w="3088" w:type="dxa"/>
          </w:tcPr>
          <w:p>
            <w:pPr>
              <w:pStyle w:val="14"/>
              <w:spacing w:before="76"/>
              <w:ind w:left="683" w:right="672"/>
              <w:rPr>
                <w:rFonts w:ascii="Times New Roman"/>
                <w:sz w:val="21"/>
              </w:rPr>
            </w:pPr>
            <w:r>
              <w:rPr>
                <w:rFonts w:ascii="Times New Roman"/>
                <w:sz w:val="21"/>
              </w:rPr>
              <w:t>0.068</w:t>
            </w:r>
          </w:p>
        </w:tc>
        <w:tc>
          <w:tcPr>
            <w:tcW w:w="1217" w:type="dxa"/>
          </w:tcPr>
          <w:p>
            <w:pPr>
              <w:pStyle w:val="14"/>
              <w:spacing w:before="62"/>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3"/>
              <w:ind w:left="7"/>
              <w:rPr>
                <w:sz w:val="21"/>
              </w:rPr>
            </w:pPr>
            <w:r>
              <w:rPr>
                <w:w w:val="99"/>
                <w:sz w:val="21"/>
              </w:rPr>
              <w:t>汞</w:t>
            </w:r>
          </w:p>
        </w:tc>
        <w:tc>
          <w:tcPr>
            <w:tcW w:w="1721" w:type="dxa"/>
          </w:tcPr>
          <w:p>
            <w:pPr>
              <w:pStyle w:val="14"/>
              <w:spacing w:before="77"/>
              <w:ind w:left="617"/>
              <w:jc w:val="left"/>
              <w:rPr>
                <w:rFonts w:ascii="Times New Roman" w:hAnsi="Times New Roman"/>
                <w:sz w:val="21"/>
              </w:rPr>
            </w:pPr>
            <w:r>
              <w:rPr>
                <w:rFonts w:ascii="Times New Roman" w:hAnsi="Times New Roman"/>
                <w:sz w:val="21"/>
              </w:rPr>
              <w:t>μg/kg</w:t>
            </w:r>
          </w:p>
        </w:tc>
        <w:tc>
          <w:tcPr>
            <w:tcW w:w="3088" w:type="dxa"/>
          </w:tcPr>
          <w:p>
            <w:pPr>
              <w:pStyle w:val="14"/>
              <w:spacing w:before="77"/>
              <w:ind w:left="683" w:right="672"/>
              <w:rPr>
                <w:rFonts w:ascii="Times New Roman"/>
                <w:sz w:val="21"/>
              </w:rPr>
            </w:pPr>
            <w:r>
              <w:rPr>
                <w:rFonts w:ascii="Times New Roman"/>
                <w:sz w:val="21"/>
              </w:rPr>
              <w:t>0.003</w:t>
            </w:r>
          </w:p>
        </w:tc>
        <w:tc>
          <w:tcPr>
            <w:tcW w:w="1217" w:type="dxa"/>
          </w:tcPr>
          <w:p>
            <w:pPr>
              <w:pStyle w:val="14"/>
              <w:spacing w:before="63"/>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268" w:type="dxa"/>
          </w:tcPr>
          <w:p>
            <w:pPr>
              <w:pStyle w:val="14"/>
              <w:spacing w:before="62"/>
              <w:ind w:left="7"/>
              <w:rPr>
                <w:sz w:val="21"/>
              </w:rPr>
            </w:pPr>
            <w:r>
              <w:rPr>
                <w:w w:val="99"/>
                <w:sz w:val="21"/>
              </w:rPr>
              <w:t>镍</w:t>
            </w:r>
          </w:p>
        </w:tc>
        <w:tc>
          <w:tcPr>
            <w:tcW w:w="1721" w:type="dxa"/>
          </w:tcPr>
          <w:p>
            <w:pPr>
              <w:pStyle w:val="14"/>
              <w:spacing w:before="76"/>
              <w:ind w:left="617"/>
              <w:jc w:val="left"/>
              <w:rPr>
                <w:rFonts w:ascii="Times New Roman" w:hAnsi="Times New Roman"/>
                <w:sz w:val="21"/>
              </w:rPr>
            </w:pPr>
            <w:r>
              <w:rPr>
                <w:rFonts w:ascii="Times New Roman" w:hAnsi="Times New Roman"/>
                <w:sz w:val="21"/>
              </w:rPr>
              <w:t>μg/kg</w:t>
            </w:r>
          </w:p>
        </w:tc>
        <w:tc>
          <w:tcPr>
            <w:tcW w:w="3088" w:type="dxa"/>
          </w:tcPr>
          <w:p>
            <w:pPr>
              <w:pStyle w:val="14"/>
              <w:spacing w:before="76"/>
              <w:ind w:left="683" w:right="672"/>
              <w:rPr>
                <w:rFonts w:ascii="Times New Roman"/>
                <w:sz w:val="21"/>
              </w:rPr>
            </w:pPr>
            <w:r>
              <w:rPr>
                <w:rFonts w:ascii="Times New Roman"/>
                <w:sz w:val="21"/>
              </w:rPr>
              <w:t>0.062</w:t>
            </w:r>
          </w:p>
        </w:tc>
        <w:tc>
          <w:tcPr>
            <w:tcW w:w="1217" w:type="dxa"/>
          </w:tcPr>
          <w:p>
            <w:pPr>
              <w:pStyle w:val="14"/>
              <w:spacing w:before="62"/>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3"/>
              <w:ind w:left="213" w:right="206"/>
              <w:rPr>
                <w:sz w:val="21"/>
              </w:rPr>
            </w:pPr>
            <w:r>
              <w:rPr>
                <w:sz w:val="21"/>
              </w:rPr>
              <w:t>四氯化碳</w:t>
            </w:r>
          </w:p>
        </w:tc>
        <w:tc>
          <w:tcPr>
            <w:tcW w:w="1721" w:type="dxa"/>
          </w:tcPr>
          <w:p>
            <w:pPr>
              <w:pStyle w:val="14"/>
              <w:spacing w:before="77"/>
              <w:ind w:left="617"/>
              <w:jc w:val="left"/>
              <w:rPr>
                <w:rFonts w:ascii="Times New Roman" w:hAnsi="Times New Roman"/>
                <w:sz w:val="21"/>
              </w:rPr>
            </w:pPr>
            <w:r>
              <w:rPr>
                <w:rFonts w:ascii="Times New Roman" w:hAnsi="Times New Roman"/>
                <w:sz w:val="21"/>
              </w:rPr>
              <w:t>μg/kg</w:t>
            </w:r>
          </w:p>
        </w:tc>
        <w:tc>
          <w:tcPr>
            <w:tcW w:w="3088" w:type="dxa"/>
          </w:tcPr>
          <w:p>
            <w:pPr>
              <w:pStyle w:val="14"/>
              <w:spacing w:before="66"/>
              <w:ind w:left="683" w:right="673"/>
              <w:rPr>
                <w:sz w:val="21"/>
              </w:rPr>
            </w:pPr>
            <w:bookmarkStart w:id="943" w:name="未检出"/>
            <w:bookmarkEnd w:id="943"/>
            <w:r>
              <w:rPr>
                <w:sz w:val="21"/>
              </w:rPr>
              <w:t>未检出</w:t>
            </w:r>
          </w:p>
        </w:tc>
        <w:tc>
          <w:tcPr>
            <w:tcW w:w="1217" w:type="dxa"/>
          </w:tcPr>
          <w:p>
            <w:pPr>
              <w:pStyle w:val="14"/>
              <w:spacing w:before="63"/>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268" w:type="dxa"/>
          </w:tcPr>
          <w:p>
            <w:pPr>
              <w:pStyle w:val="14"/>
              <w:spacing w:before="62"/>
              <w:ind w:left="210" w:right="206"/>
              <w:rPr>
                <w:sz w:val="21"/>
              </w:rPr>
            </w:pPr>
            <w:r>
              <w:rPr>
                <w:sz w:val="21"/>
              </w:rPr>
              <w:t>氯仿</w:t>
            </w:r>
          </w:p>
        </w:tc>
        <w:tc>
          <w:tcPr>
            <w:tcW w:w="1721" w:type="dxa"/>
          </w:tcPr>
          <w:p>
            <w:pPr>
              <w:pStyle w:val="14"/>
              <w:spacing w:before="76"/>
              <w:ind w:left="591"/>
              <w:jc w:val="left"/>
              <w:rPr>
                <w:rFonts w:ascii="Times New Roman"/>
                <w:sz w:val="21"/>
              </w:rPr>
            </w:pPr>
            <w:r>
              <w:rPr>
                <w:rFonts w:ascii="Times New Roman"/>
                <w:sz w:val="21"/>
              </w:rPr>
              <w:t>mg/kg</w:t>
            </w:r>
          </w:p>
        </w:tc>
        <w:tc>
          <w:tcPr>
            <w:tcW w:w="3088" w:type="dxa"/>
          </w:tcPr>
          <w:p>
            <w:pPr>
              <w:pStyle w:val="14"/>
              <w:spacing w:before="67"/>
              <w:ind w:left="683" w:right="673"/>
              <w:rPr>
                <w:sz w:val="21"/>
              </w:rPr>
            </w:pPr>
            <w:bookmarkStart w:id="944" w:name="未检出"/>
            <w:bookmarkEnd w:id="944"/>
            <w:r>
              <w:rPr>
                <w:sz w:val="21"/>
              </w:rPr>
              <w:t>未检出</w:t>
            </w:r>
          </w:p>
        </w:tc>
        <w:tc>
          <w:tcPr>
            <w:tcW w:w="1217" w:type="dxa"/>
          </w:tcPr>
          <w:p>
            <w:pPr>
              <w:pStyle w:val="14"/>
              <w:spacing w:before="62"/>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3"/>
              <w:ind w:left="213" w:right="204"/>
              <w:rPr>
                <w:sz w:val="21"/>
              </w:rPr>
            </w:pPr>
            <w:r>
              <w:rPr>
                <w:sz w:val="21"/>
              </w:rPr>
              <w:t>氯甲烷</w:t>
            </w:r>
          </w:p>
        </w:tc>
        <w:tc>
          <w:tcPr>
            <w:tcW w:w="1721" w:type="dxa"/>
          </w:tcPr>
          <w:p>
            <w:pPr>
              <w:pStyle w:val="14"/>
              <w:spacing w:before="77"/>
              <w:ind w:left="617"/>
              <w:jc w:val="left"/>
              <w:rPr>
                <w:rFonts w:ascii="Times New Roman" w:hAnsi="Times New Roman"/>
                <w:sz w:val="21"/>
              </w:rPr>
            </w:pPr>
            <w:r>
              <w:rPr>
                <w:rFonts w:ascii="Times New Roman" w:hAnsi="Times New Roman"/>
                <w:sz w:val="21"/>
              </w:rPr>
              <w:t>μg/kg</w:t>
            </w:r>
          </w:p>
        </w:tc>
        <w:tc>
          <w:tcPr>
            <w:tcW w:w="3088" w:type="dxa"/>
          </w:tcPr>
          <w:p>
            <w:pPr>
              <w:pStyle w:val="14"/>
              <w:spacing w:before="65"/>
              <w:ind w:left="683" w:right="673"/>
              <w:rPr>
                <w:sz w:val="21"/>
              </w:rPr>
            </w:pPr>
            <w:bookmarkStart w:id="945" w:name="未检出"/>
            <w:bookmarkEnd w:id="945"/>
            <w:r>
              <w:rPr>
                <w:sz w:val="21"/>
              </w:rPr>
              <w:t>未检出</w:t>
            </w:r>
          </w:p>
        </w:tc>
        <w:tc>
          <w:tcPr>
            <w:tcW w:w="1217" w:type="dxa"/>
          </w:tcPr>
          <w:p>
            <w:pPr>
              <w:pStyle w:val="14"/>
              <w:spacing w:before="63"/>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4"/>
              <w:ind w:left="213" w:right="206"/>
              <w:rPr>
                <w:sz w:val="21"/>
              </w:rPr>
            </w:pPr>
            <w:r>
              <w:rPr>
                <w:rFonts w:ascii="Times New Roman" w:eastAsia="Times New Roman"/>
                <w:sz w:val="21"/>
              </w:rPr>
              <w:t>1,1-</w:t>
            </w:r>
            <w:r>
              <w:rPr>
                <w:sz w:val="21"/>
              </w:rPr>
              <w:t>二氯乙烷</w:t>
            </w:r>
          </w:p>
        </w:tc>
        <w:tc>
          <w:tcPr>
            <w:tcW w:w="1721" w:type="dxa"/>
          </w:tcPr>
          <w:p>
            <w:pPr>
              <w:pStyle w:val="14"/>
              <w:spacing w:before="78"/>
              <w:ind w:left="617"/>
              <w:jc w:val="left"/>
              <w:rPr>
                <w:rFonts w:ascii="Times New Roman" w:hAnsi="Times New Roman"/>
                <w:sz w:val="21"/>
              </w:rPr>
            </w:pPr>
            <w:r>
              <w:rPr>
                <w:rFonts w:ascii="Times New Roman" w:hAnsi="Times New Roman"/>
                <w:sz w:val="21"/>
              </w:rPr>
              <w:t>μg/kg</w:t>
            </w:r>
          </w:p>
        </w:tc>
        <w:tc>
          <w:tcPr>
            <w:tcW w:w="3088" w:type="dxa"/>
          </w:tcPr>
          <w:p>
            <w:pPr>
              <w:pStyle w:val="14"/>
              <w:spacing w:before="66"/>
              <w:ind w:left="683" w:right="673"/>
              <w:rPr>
                <w:sz w:val="21"/>
              </w:rPr>
            </w:pPr>
            <w:bookmarkStart w:id="946" w:name="未检出"/>
            <w:bookmarkEnd w:id="946"/>
            <w:r>
              <w:rPr>
                <w:sz w:val="21"/>
              </w:rPr>
              <w:t>未检出</w:t>
            </w:r>
          </w:p>
        </w:tc>
        <w:tc>
          <w:tcPr>
            <w:tcW w:w="1217" w:type="dxa"/>
          </w:tcPr>
          <w:p>
            <w:pPr>
              <w:pStyle w:val="14"/>
              <w:spacing w:before="64"/>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2"/>
              <w:ind w:left="213" w:right="206"/>
              <w:rPr>
                <w:sz w:val="21"/>
              </w:rPr>
            </w:pPr>
            <w:r>
              <w:rPr>
                <w:rFonts w:ascii="Times New Roman" w:eastAsia="Times New Roman"/>
                <w:sz w:val="21"/>
              </w:rPr>
              <w:t>1,2-</w:t>
            </w:r>
            <w:r>
              <w:rPr>
                <w:sz w:val="21"/>
              </w:rPr>
              <w:t>二氯乙烷</w:t>
            </w:r>
          </w:p>
        </w:tc>
        <w:tc>
          <w:tcPr>
            <w:tcW w:w="1721" w:type="dxa"/>
          </w:tcPr>
          <w:p>
            <w:pPr>
              <w:pStyle w:val="14"/>
              <w:spacing w:before="76"/>
              <w:ind w:left="617"/>
              <w:jc w:val="left"/>
              <w:rPr>
                <w:rFonts w:ascii="Times New Roman" w:hAnsi="Times New Roman"/>
                <w:sz w:val="21"/>
              </w:rPr>
            </w:pPr>
            <w:r>
              <w:rPr>
                <w:rFonts w:ascii="Times New Roman" w:hAnsi="Times New Roman"/>
                <w:sz w:val="21"/>
              </w:rPr>
              <w:t>μg/kg</w:t>
            </w:r>
          </w:p>
        </w:tc>
        <w:tc>
          <w:tcPr>
            <w:tcW w:w="3088" w:type="dxa"/>
          </w:tcPr>
          <w:p>
            <w:pPr>
              <w:pStyle w:val="14"/>
              <w:spacing w:before="65"/>
              <w:ind w:left="683" w:right="673"/>
              <w:rPr>
                <w:sz w:val="21"/>
              </w:rPr>
            </w:pPr>
            <w:bookmarkStart w:id="947" w:name="未检出"/>
            <w:bookmarkEnd w:id="947"/>
            <w:r>
              <w:rPr>
                <w:sz w:val="21"/>
              </w:rPr>
              <w:t>未检出</w:t>
            </w:r>
          </w:p>
        </w:tc>
        <w:tc>
          <w:tcPr>
            <w:tcW w:w="1217" w:type="dxa"/>
          </w:tcPr>
          <w:p>
            <w:pPr>
              <w:pStyle w:val="14"/>
              <w:spacing w:before="62"/>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3"/>
              <w:ind w:left="213" w:right="206"/>
              <w:rPr>
                <w:sz w:val="21"/>
              </w:rPr>
            </w:pPr>
            <w:r>
              <w:rPr>
                <w:rFonts w:ascii="Times New Roman" w:eastAsia="Times New Roman"/>
                <w:sz w:val="21"/>
              </w:rPr>
              <w:t>1,1-</w:t>
            </w:r>
            <w:r>
              <w:rPr>
                <w:sz w:val="21"/>
              </w:rPr>
              <w:t>二氯乙烯</w:t>
            </w:r>
          </w:p>
        </w:tc>
        <w:tc>
          <w:tcPr>
            <w:tcW w:w="1721" w:type="dxa"/>
          </w:tcPr>
          <w:p>
            <w:pPr>
              <w:pStyle w:val="14"/>
              <w:spacing w:before="77"/>
              <w:ind w:left="617"/>
              <w:jc w:val="left"/>
              <w:rPr>
                <w:rFonts w:ascii="Times New Roman" w:hAnsi="Times New Roman"/>
                <w:sz w:val="21"/>
              </w:rPr>
            </w:pPr>
            <w:r>
              <w:rPr>
                <w:rFonts w:ascii="Times New Roman" w:hAnsi="Times New Roman"/>
                <w:sz w:val="21"/>
              </w:rPr>
              <w:t>μg/kg</w:t>
            </w:r>
          </w:p>
        </w:tc>
        <w:tc>
          <w:tcPr>
            <w:tcW w:w="3088" w:type="dxa"/>
          </w:tcPr>
          <w:p>
            <w:pPr>
              <w:pStyle w:val="14"/>
              <w:spacing w:before="66"/>
              <w:ind w:left="683" w:right="673"/>
              <w:rPr>
                <w:sz w:val="21"/>
              </w:rPr>
            </w:pPr>
            <w:bookmarkStart w:id="948" w:name="未检出"/>
            <w:bookmarkEnd w:id="948"/>
            <w:r>
              <w:rPr>
                <w:sz w:val="21"/>
              </w:rPr>
              <w:t>未检出</w:t>
            </w:r>
          </w:p>
        </w:tc>
        <w:tc>
          <w:tcPr>
            <w:tcW w:w="1217" w:type="dxa"/>
          </w:tcPr>
          <w:p>
            <w:pPr>
              <w:pStyle w:val="14"/>
              <w:spacing w:before="63"/>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268" w:type="dxa"/>
          </w:tcPr>
          <w:p>
            <w:pPr>
              <w:pStyle w:val="14"/>
              <w:spacing w:before="62"/>
              <w:ind w:left="213" w:right="204"/>
              <w:rPr>
                <w:sz w:val="21"/>
              </w:rPr>
            </w:pPr>
            <w:r>
              <w:rPr>
                <w:sz w:val="21"/>
              </w:rPr>
              <w:t>顺</w:t>
            </w:r>
            <w:r>
              <w:rPr>
                <w:rFonts w:ascii="Times New Roman" w:eastAsia="Times New Roman"/>
                <w:sz w:val="21"/>
              </w:rPr>
              <w:t>-1,2-</w:t>
            </w:r>
            <w:r>
              <w:rPr>
                <w:sz w:val="21"/>
              </w:rPr>
              <w:t>二氯乙烯</w:t>
            </w:r>
          </w:p>
        </w:tc>
        <w:tc>
          <w:tcPr>
            <w:tcW w:w="1721" w:type="dxa"/>
          </w:tcPr>
          <w:p>
            <w:pPr>
              <w:pStyle w:val="14"/>
              <w:spacing w:before="76"/>
              <w:ind w:left="591"/>
              <w:jc w:val="left"/>
              <w:rPr>
                <w:rFonts w:ascii="Times New Roman"/>
                <w:sz w:val="21"/>
              </w:rPr>
            </w:pPr>
            <w:r>
              <w:rPr>
                <w:rFonts w:ascii="Times New Roman"/>
                <w:sz w:val="21"/>
              </w:rPr>
              <w:t>mg/kg</w:t>
            </w:r>
          </w:p>
        </w:tc>
        <w:tc>
          <w:tcPr>
            <w:tcW w:w="3088" w:type="dxa"/>
          </w:tcPr>
          <w:p>
            <w:pPr>
              <w:pStyle w:val="14"/>
              <w:spacing w:before="67"/>
              <w:ind w:left="683" w:right="673"/>
              <w:rPr>
                <w:sz w:val="21"/>
              </w:rPr>
            </w:pPr>
            <w:bookmarkStart w:id="949" w:name="未检出"/>
            <w:bookmarkEnd w:id="949"/>
            <w:r>
              <w:rPr>
                <w:sz w:val="21"/>
              </w:rPr>
              <w:t>未检出</w:t>
            </w:r>
          </w:p>
        </w:tc>
        <w:tc>
          <w:tcPr>
            <w:tcW w:w="1217" w:type="dxa"/>
          </w:tcPr>
          <w:p>
            <w:pPr>
              <w:pStyle w:val="14"/>
              <w:spacing w:before="62"/>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3"/>
              <w:ind w:left="213" w:right="204"/>
              <w:rPr>
                <w:sz w:val="21"/>
              </w:rPr>
            </w:pPr>
            <w:r>
              <w:rPr>
                <w:sz w:val="21"/>
              </w:rPr>
              <w:t>反</w:t>
            </w:r>
            <w:r>
              <w:rPr>
                <w:rFonts w:ascii="Times New Roman" w:eastAsia="Times New Roman"/>
                <w:sz w:val="21"/>
              </w:rPr>
              <w:t>-1,2-</w:t>
            </w:r>
            <w:r>
              <w:rPr>
                <w:sz w:val="21"/>
              </w:rPr>
              <w:t>二氯乙烯</w:t>
            </w:r>
          </w:p>
        </w:tc>
        <w:tc>
          <w:tcPr>
            <w:tcW w:w="1721" w:type="dxa"/>
          </w:tcPr>
          <w:p>
            <w:pPr>
              <w:pStyle w:val="14"/>
              <w:spacing w:before="77"/>
              <w:ind w:left="617"/>
              <w:jc w:val="left"/>
              <w:rPr>
                <w:rFonts w:ascii="Times New Roman" w:hAnsi="Times New Roman"/>
                <w:sz w:val="21"/>
              </w:rPr>
            </w:pPr>
            <w:r>
              <w:rPr>
                <w:rFonts w:ascii="Times New Roman" w:hAnsi="Times New Roman"/>
                <w:sz w:val="21"/>
              </w:rPr>
              <w:t>μg/kg</w:t>
            </w:r>
          </w:p>
        </w:tc>
        <w:tc>
          <w:tcPr>
            <w:tcW w:w="3088" w:type="dxa"/>
          </w:tcPr>
          <w:p>
            <w:pPr>
              <w:pStyle w:val="14"/>
              <w:spacing w:before="65"/>
              <w:ind w:left="683" w:right="673"/>
              <w:rPr>
                <w:sz w:val="21"/>
              </w:rPr>
            </w:pPr>
            <w:bookmarkStart w:id="950" w:name="未检出"/>
            <w:bookmarkEnd w:id="950"/>
            <w:r>
              <w:rPr>
                <w:sz w:val="21"/>
              </w:rPr>
              <w:t>未检出</w:t>
            </w:r>
          </w:p>
        </w:tc>
        <w:tc>
          <w:tcPr>
            <w:tcW w:w="1217" w:type="dxa"/>
          </w:tcPr>
          <w:p>
            <w:pPr>
              <w:pStyle w:val="14"/>
              <w:spacing w:before="63"/>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4"/>
              <w:ind w:left="213" w:right="206"/>
              <w:rPr>
                <w:sz w:val="21"/>
              </w:rPr>
            </w:pPr>
            <w:r>
              <w:rPr>
                <w:sz w:val="21"/>
              </w:rPr>
              <w:t>二氯甲烷</w:t>
            </w:r>
          </w:p>
        </w:tc>
        <w:tc>
          <w:tcPr>
            <w:tcW w:w="1721" w:type="dxa"/>
          </w:tcPr>
          <w:p>
            <w:pPr>
              <w:pStyle w:val="14"/>
              <w:spacing w:before="78"/>
              <w:ind w:left="617"/>
              <w:jc w:val="left"/>
              <w:rPr>
                <w:rFonts w:ascii="Times New Roman" w:hAnsi="Times New Roman"/>
                <w:sz w:val="21"/>
              </w:rPr>
            </w:pPr>
            <w:r>
              <w:rPr>
                <w:rFonts w:ascii="Times New Roman" w:hAnsi="Times New Roman"/>
                <w:sz w:val="21"/>
              </w:rPr>
              <w:t>μg/kg</w:t>
            </w:r>
          </w:p>
        </w:tc>
        <w:tc>
          <w:tcPr>
            <w:tcW w:w="3088" w:type="dxa"/>
          </w:tcPr>
          <w:p>
            <w:pPr>
              <w:pStyle w:val="14"/>
              <w:spacing w:before="66"/>
              <w:ind w:left="683" w:right="673"/>
              <w:rPr>
                <w:sz w:val="21"/>
              </w:rPr>
            </w:pPr>
            <w:bookmarkStart w:id="951" w:name="未检出"/>
            <w:bookmarkEnd w:id="951"/>
            <w:r>
              <w:rPr>
                <w:sz w:val="21"/>
              </w:rPr>
              <w:t>未检出</w:t>
            </w:r>
          </w:p>
        </w:tc>
        <w:tc>
          <w:tcPr>
            <w:tcW w:w="1217" w:type="dxa"/>
          </w:tcPr>
          <w:p>
            <w:pPr>
              <w:pStyle w:val="14"/>
              <w:spacing w:before="64"/>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2"/>
              <w:ind w:left="213" w:right="206"/>
              <w:rPr>
                <w:sz w:val="21"/>
              </w:rPr>
            </w:pPr>
            <w:r>
              <w:rPr>
                <w:rFonts w:ascii="Times New Roman" w:eastAsia="Times New Roman"/>
                <w:sz w:val="21"/>
              </w:rPr>
              <w:t>1,2-</w:t>
            </w:r>
            <w:r>
              <w:rPr>
                <w:sz w:val="21"/>
              </w:rPr>
              <w:t>二氯丙烷</w:t>
            </w:r>
          </w:p>
        </w:tc>
        <w:tc>
          <w:tcPr>
            <w:tcW w:w="1721" w:type="dxa"/>
          </w:tcPr>
          <w:p>
            <w:pPr>
              <w:pStyle w:val="14"/>
              <w:spacing w:before="76"/>
              <w:ind w:left="617"/>
              <w:jc w:val="left"/>
              <w:rPr>
                <w:rFonts w:ascii="Times New Roman" w:hAnsi="Times New Roman"/>
                <w:sz w:val="21"/>
              </w:rPr>
            </w:pPr>
            <w:r>
              <w:rPr>
                <w:rFonts w:ascii="Times New Roman" w:hAnsi="Times New Roman"/>
                <w:sz w:val="21"/>
              </w:rPr>
              <w:t>μg/kg</w:t>
            </w:r>
          </w:p>
        </w:tc>
        <w:tc>
          <w:tcPr>
            <w:tcW w:w="3088" w:type="dxa"/>
          </w:tcPr>
          <w:p>
            <w:pPr>
              <w:pStyle w:val="14"/>
              <w:spacing w:before="65"/>
              <w:ind w:left="683" w:right="673"/>
              <w:rPr>
                <w:sz w:val="21"/>
              </w:rPr>
            </w:pPr>
            <w:bookmarkStart w:id="952" w:name="未检出"/>
            <w:bookmarkEnd w:id="952"/>
            <w:r>
              <w:rPr>
                <w:sz w:val="21"/>
              </w:rPr>
              <w:t>未检出</w:t>
            </w:r>
          </w:p>
        </w:tc>
        <w:tc>
          <w:tcPr>
            <w:tcW w:w="1217" w:type="dxa"/>
          </w:tcPr>
          <w:p>
            <w:pPr>
              <w:pStyle w:val="14"/>
              <w:spacing w:before="62"/>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4"/>
              <w:ind w:left="213" w:right="206"/>
              <w:rPr>
                <w:sz w:val="21"/>
              </w:rPr>
            </w:pPr>
            <w:r>
              <w:rPr>
                <w:rFonts w:ascii="Times New Roman" w:eastAsia="Times New Roman"/>
                <w:sz w:val="21"/>
              </w:rPr>
              <w:t>1,1,1,2-</w:t>
            </w:r>
            <w:r>
              <w:rPr>
                <w:sz w:val="21"/>
              </w:rPr>
              <w:t>四氯乙烷</w:t>
            </w:r>
          </w:p>
        </w:tc>
        <w:tc>
          <w:tcPr>
            <w:tcW w:w="1721" w:type="dxa"/>
          </w:tcPr>
          <w:p>
            <w:pPr>
              <w:pStyle w:val="14"/>
              <w:spacing w:before="77"/>
              <w:ind w:left="617"/>
              <w:jc w:val="left"/>
              <w:rPr>
                <w:rFonts w:ascii="Times New Roman" w:hAnsi="Times New Roman"/>
                <w:sz w:val="21"/>
              </w:rPr>
            </w:pPr>
            <w:r>
              <w:rPr>
                <w:rFonts w:ascii="Times New Roman" w:hAnsi="Times New Roman"/>
                <w:sz w:val="21"/>
              </w:rPr>
              <w:t>μg/kg</w:t>
            </w:r>
          </w:p>
        </w:tc>
        <w:tc>
          <w:tcPr>
            <w:tcW w:w="3088" w:type="dxa"/>
          </w:tcPr>
          <w:p>
            <w:pPr>
              <w:pStyle w:val="14"/>
              <w:spacing w:before="66"/>
              <w:ind w:left="683" w:right="673"/>
              <w:rPr>
                <w:sz w:val="21"/>
              </w:rPr>
            </w:pPr>
            <w:bookmarkStart w:id="953" w:name="未检出"/>
            <w:bookmarkEnd w:id="953"/>
            <w:r>
              <w:rPr>
                <w:sz w:val="21"/>
              </w:rPr>
              <w:t>未检出</w:t>
            </w:r>
          </w:p>
        </w:tc>
        <w:tc>
          <w:tcPr>
            <w:tcW w:w="1217" w:type="dxa"/>
          </w:tcPr>
          <w:p>
            <w:pPr>
              <w:pStyle w:val="14"/>
              <w:spacing w:before="64"/>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268" w:type="dxa"/>
          </w:tcPr>
          <w:p>
            <w:pPr>
              <w:pStyle w:val="14"/>
              <w:spacing w:before="62"/>
              <w:ind w:left="213" w:right="206"/>
              <w:rPr>
                <w:sz w:val="21"/>
              </w:rPr>
            </w:pPr>
            <w:r>
              <w:rPr>
                <w:rFonts w:ascii="Times New Roman" w:eastAsia="Times New Roman"/>
                <w:sz w:val="21"/>
              </w:rPr>
              <w:t>1,1,2,2-</w:t>
            </w:r>
            <w:r>
              <w:rPr>
                <w:sz w:val="21"/>
              </w:rPr>
              <w:t>四氯乙烷</w:t>
            </w:r>
          </w:p>
        </w:tc>
        <w:tc>
          <w:tcPr>
            <w:tcW w:w="1721" w:type="dxa"/>
          </w:tcPr>
          <w:p>
            <w:pPr>
              <w:pStyle w:val="14"/>
              <w:spacing w:before="76"/>
              <w:ind w:left="591"/>
              <w:jc w:val="left"/>
              <w:rPr>
                <w:rFonts w:ascii="Times New Roman"/>
                <w:sz w:val="21"/>
              </w:rPr>
            </w:pPr>
            <w:r>
              <w:rPr>
                <w:rFonts w:ascii="Times New Roman"/>
                <w:sz w:val="21"/>
              </w:rPr>
              <w:t>mg/kg</w:t>
            </w:r>
          </w:p>
        </w:tc>
        <w:tc>
          <w:tcPr>
            <w:tcW w:w="3088" w:type="dxa"/>
          </w:tcPr>
          <w:p>
            <w:pPr>
              <w:pStyle w:val="14"/>
              <w:spacing w:before="67"/>
              <w:ind w:left="683" w:right="673"/>
              <w:rPr>
                <w:sz w:val="21"/>
              </w:rPr>
            </w:pPr>
            <w:bookmarkStart w:id="954" w:name="未检出"/>
            <w:bookmarkEnd w:id="954"/>
            <w:r>
              <w:rPr>
                <w:sz w:val="21"/>
              </w:rPr>
              <w:t>未检出</w:t>
            </w:r>
          </w:p>
        </w:tc>
        <w:tc>
          <w:tcPr>
            <w:tcW w:w="1217" w:type="dxa"/>
          </w:tcPr>
          <w:p>
            <w:pPr>
              <w:pStyle w:val="14"/>
              <w:spacing w:before="62"/>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2268" w:type="dxa"/>
          </w:tcPr>
          <w:p>
            <w:pPr>
              <w:pStyle w:val="14"/>
              <w:spacing w:before="63"/>
              <w:ind w:left="213" w:right="206"/>
              <w:rPr>
                <w:sz w:val="21"/>
              </w:rPr>
            </w:pPr>
            <w:r>
              <w:rPr>
                <w:sz w:val="21"/>
              </w:rPr>
              <w:t>四氯乙烯</w:t>
            </w:r>
          </w:p>
        </w:tc>
        <w:tc>
          <w:tcPr>
            <w:tcW w:w="1721" w:type="dxa"/>
          </w:tcPr>
          <w:p>
            <w:pPr>
              <w:pStyle w:val="14"/>
              <w:spacing w:before="77"/>
              <w:ind w:left="617"/>
              <w:jc w:val="left"/>
              <w:rPr>
                <w:rFonts w:ascii="Times New Roman" w:hAnsi="Times New Roman"/>
                <w:sz w:val="21"/>
              </w:rPr>
            </w:pPr>
            <w:r>
              <w:rPr>
                <w:rFonts w:ascii="Times New Roman" w:hAnsi="Times New Roman"/>
                <w:sz w:val="21"/>
              </w:rPr>
              <w:t>μg/kg</w:t>
            </w:r>
          </w:p>
        </w:tc>
        <w:tc>
          <w:tcPr>
            <w:tcW w:w="3088" w:type="dxa"/>
          </w:tcPr>
          <w:p>
            <w:pPr>
              <w:pStyle w:val="14"/>
              <w:spacing w:before="66"/>
              <w:ind w:left="683" w:right="673"/>
              <w:rPr>
                <w:sz w:val="21"/>
              </w:rPr>
            </w:pPr>
            <w:bookmarkStart w:id="955" w:name="未检出"/>
            <w:bookmarkEnd w:id="955"/>
            <w:r>
              <w:rPr>
                <w:sz w:val="21"/>
              </w:rPr>
              <w:t>未检出</w:t>
            </w:r>
          </w:p>
        </w:tc>
        <w:tc>
          <w:tcPr>
            <w:tcW w:w="1217" w:type="dxa"/>
          </w:tcPr>
          <w:p>
            <w:pPr>
              <w:pStyle w:val="14"/>
              <w:spacing w:before="63"/>
              <w:ind w:left="376" w:right="371"/>
              <w:rPr>
                <w:sz w:val="21"/>
              </w:rPr>
            </w:pPr>
            <w:r>
              <w:rPr>
                <w:sz w:val="21"/>
              </w:rPr>
              <w:t>达标</w:t>
            </w:r>
          </w:p>
        </w:tc>
      </w:tr>
    </w:tbl>
    <w:p>
      <w:pPr>
        <w:spacing w:after="0"/>
        <w:rPr>
          <w:sz w:val="21"/>
        </w:rPr>
        <w:sectPr>
          <w:pgSz w:w="11910" w:h="16840"/>
          <w:pgMar w:top="1580" w:right="780" w:bottom="1240" w:left="1200" w:header="0" w:footer="1058" w:gutter="0"/>
        </w:sectPr>
      </w:pPr>
    </w:p>
    <w:tbl>
      <w:tblPr>
        <w:tblStyle w:val="10"/>
        <w:tblW w:w="0" w:type="auto"/>
        <w:tblInd w:w="6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68"/>
        <w:gridCol w:w="1721"/>
        <w:gridCol w:w="3088"/>
        <w:gridCol w:w="12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268" w:type="dxa"/>
          </w:tcPr>
          <w:p>
            <w:pPr>
              <w:pStyle w:val="14"/>
              <w:spacing w:before="63"/>
              <w:ind w:left="213" w:right="206"/>
              <w:rPr>
                <w:sz w:val="21"/>
              </w:rPr>
            </w:pPr>
            <w:r>
              <w:rPr>
                <w:rFonts w:ascii="Times New Roman" w:eastAsia="Times New Roman"/>
                <w:sz w:val="21"/>
              </w:rPr>
              <w:t>1,1,1-</w:t>
            </w:r>
            <w:r>
              <w:rPr>
                <w:sz w:val="21"/>
              </w:rPr>
              <w:t>三氯乙烷</w:t>
            </w:r>
          </w:p>
        </w:tc>
        <w:tc>
          <w:tcPr>
            <w:tcW w:w="1721" w:type="dxa"/>
          </w:tcPr>
          <w:p>
            <w:pPr>
              <w:pStyle w:val="14"/>
              <w:spacing w:before="77"/>
              <w:ind w:left="617"/>
              <w:jc w:val="left"/>
              <w:rPr>
                <w:rFonts w:ascii="Times New Roman" w:hAnsi="Times New Roman"/>
                <w:sz w:val="21"/>
              </w:rPr>
            </w:pPr>
            <w:r>
              <w:rPr>
                <w:rFonts w:ascii="Times New Roman" w:hAnsi="Times New Roman"/>
                <w:sz w:val="21"/>
              </w:rPr>
              <w:t>μg/kg</w:t>
            </w:r>
          </w:p>
        </w:tc>
        <w:tc>
          <w:tcPr>
            <w:tcW w:w="3088" w:type="dxa"/>
          </w:tcPr>
          <w:p>
            <w:pPr>
              <w:pStyle w:val="14"/>
              <w:spacing w:before="65"/>
              <w:ind w:left="1229"/>
              <w:jc w:val="left"/>
              <w:rPr>
                <w:sz w:val="21"/>
              </w:rPr>
            </w:pPr>
            <w:bookmarkStart w:id="956" w:name="未检出"/>
            <w:bookmarkEnd w:id="956"/>
            <w:r>
              <w:rPr>
                <w:sz w:val="21"/>
              </w:rPr>
              <w:t>未检出</w:t>
            </w:r>
          </w:p>
        </w:tc>
        <w:tc>
          <w:tcPr>
            <w:tcW w:w="1217" w:type="dxa"/>
          </w:tcPr>
          <w:p>
            <w:pPr>
              <w:pStyle w:val="14"/>
              <w:spacing w:before="63"/>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4"/>
              <w:ind w:left="213" w:right="206"/>
              <w:rPr>
                <w:sz w:val="21"/>
              </w:rPr>
            </w:pPr>
            <w:r>
              <w:rPr>
                <w:rFonts w:ascii="Times New Roman" w:eastAsia="Times New Roman"/>
                <w:sz w:val="21"/>
              </w:rPr>
              <w:t>1,1,2-</w:t>
            </w:r>
            <w:r>
              <w:rPr>
                <w:sz w:val="21"/>
              </w:rPr>
              <w:t>三氯乙烷</w:t>
            </w:r>
          </w:p>
        </w:tc>
        <w:tc>
          <w:tcPr>
            <w:tcW w:w="1721" w:type="dxa"/>
          </w:tcPr>
          <w:p>
            <w:pPr>
              <w:pStyle w:val="14"/>
              <w:spacing w:before="78"/>
              <w:ind w:left="617"/>
              <w:jc w:val="left"/>
              <w:rPr>
                <w:rFonts w:ascii="Times New Roman" w:hAnsi="Times New Roman"/>
                <w:sz w:val="21"/>
              </w:rPr>
            </w:pPr>
            <w:r>
              <w:rPr>
                <w:rFonts w:ascii="Times New Roman" w:hAnsi="Times New Roman"/>
                <w:sz w:val="21"/>
              </w:rPr>
              <w:t>μg/kg</w:t>
            </w:r>
          </w:p>
        </w:tc>
        <w:tc>
          <w:tcPr>
            <w:tcW w:w="3088" w:type="dxa"/>
          </w:tcPr>
          <w:p>
            <w:pPr>
              <w:pStyle w:val="14"/>
              <w:spacing w:before="66"/>
              <w:ind w:left="1229"/>
              <w:jc w:val="left"/>
              <w:rPr>
                <w:sz w:val="21"/>
              </w:rPr>
            </w:pPr>
            <w:bookmarkStart w:id="957" w:name="未检出"/>
            <w:bookmarkEnd w:id="957"/>
            <w:r>
              <w:rPr>
                <w:sz w:val="21"/>
              </w:rPr>
              <w:t>未检出</w:t>
            </w:r>
          </w:p>
        </w:tc>
        <w:tc>
          <w:tcPr>
            <w:tcW w:w="1217" w:type="dxa"/>
          </w:tcPr>
          <w:p>
            <w:pPr>
              <w:pStyle w:val="14"/>
              <w:spacing w:before="64"/>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3"/>
              <w:ind w:left="213" w:right="206"/>
              <w:rPr>
                <w:sz w:val="21"/>
              </w:rPr>
            </w:pPr>
            <w:r>
              <w:rPr>
                <w:sz w:val="21"/>
              </w:rPr>
              <w:t>三氯乙烯</w:t>
            </w:r>
          </w:p>
        </w:tc>
        <w:tc>
          <w:tcPr>
            <w:tcW w:w="1721" w:type="dxa"/>
          </w:tcPr>
          <w:p>
            <w:pPr>
              <w:pStyle w:val="14"/>
              <w:spacing w:before="76"/>
              <w:ind w:left="617"/>
              <w:jc w:val="left"/>
              <w:rPr>
                <w:rFonts w:ascii="Times New Roman" w:hAnsi="Times New Roman"/>
                <w:sz w:val="21"/>
              </w:rPr>
            </w:pPr>
            <w:r>
              <w:rPr>
                <w:rFonts w:ascii="Times New Roman" w:hAnsi="Times New Roman"/>
                <w:sz w:val="21"/>
              </w:rPr>
              <w:t>μg/kg</w:t>
            </w:r>
          </w:p>
        </w:tc>
        <w:tc>
          <w:tcPr>
            <w:tcW w:w="3088" w:type="dxa"/>
          </w:tcPr>
          <w:p>
            <w:pPr>
              <w:pStyle w:val="14"/>
              <w:spacing w:before="65"/>
              <w:ind w:left="1229"/>
              <w:jc w:val="left"/>
              <w:rPr>
                <w:sz w:val="21"/>
              </w:rPr>
            </w:pPr>
            <w:bookmarkStart w:id="958" w:name="未检出"/>
            <w:bookmarkEnd w:id="958"/>
            <w:r>
              <w:rPr>
                <w:sz w:val="21"/>
              </w:rPr>
              <w:t>未检出</w:t>
            </w:r>
          </w:p>
        </w:tc>
        <w:tc>
          <w:tcPr>
            <w:tcW w:w="1217" w:type="dxa"/>
          </w:tcPr>
          <w:p>
            <w:pPr>
              <w:pStyle w:val="14"/>
              <w:spacing w:before="63"/>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3"/>
              <w:ind w:left="213" w:right="206"/>
              <w:rPr>
                <w:sz w:val="21"/>
              </w:rPr>
            </w:pPr>
            <w:r>
              <w:rPr>
                <w:rFonts w:ascii="Times New Roman" w:eastAsia="Times New Roman"/>
                <w:sz w:val="21"/>
              </w:rPr>
              <w:t>1,2,3-</w:t>
            </w:r>
            <w:r>
              <w:rPr>
                <w:sz w:val="21"/>
              </w:rPr>
              <w:t>三氯丙烷</w:t>
            </w:r>
          </w:p>
        </w:tc>
        <w:tc>
          <w:tcPr>
            <w:tcW w:w="1721" w:type="dxa"/>
          </w:tcPr>
          <w:p>
            <w:pPr>
              <w:pStyle w:val="14"/>
              <w:spacing w:before="77"/>
              <w:ind w:left="617"/>
              <w:jc w:val="left"/>
              <w:rPr>
                <w:rFonts w:ascii="Times New Roman" w:hAnsi="Times New Roman"/>
                <w:sz w:val="21"/>
              </w:rPr>
            </w:pPr>
            <w:r>
              <w:rPr>
                <w:rFonts w:ascii="Times New Roman" w:hAnsi="Times New Roman"/>
                <w:sz w:val="21"/>
              </w:rPr>
              <w:t>μg/kg</w:t>
            </w:r>
          </w:p>
        </w:tc>
        <w:tc>
          <w:tcPr>
            <w:tcW w:w="3088" w:type="dxa"/>
          </w:tcPr>
          <w:p>
            <w:pPr>
              <w:pStyle w:val="14"/>
              <w:spacing w:before="66"/>
              <w:ind w:left="1229"/>
              <w:jc w:val="left"/>
              <w:rPr>
                <w:sz w:val="21"/>
              </w:rPr>
            </w:pPr>
            <w:bookmarkStart w:id="959" w:name="未检出"/>
            <w:bookmarkEnd w:id="959"/>
            <w:r>
              <w:rPr>
                <w:sz w:val="21"/>
              </w:rPr>
              <w:t>未检出</w:t>
            </w:r>
          </w:p>
        </w:tc>
        <w:tc>
          <w:tcPr>
            <w:tcW w:w="1217" w:type="dxa"/>
          </w:tcPr>
          <w:p>
            <w:pPr>
              <w:pStyle w:val="14"/>
              <w:spacing w:before="63"/>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2"/>
              <w:ind w:left="213" w:right="204"/>
              <w:rPr>
                <w:sz w:val="21"/>
              </w:rPr>
            </w:pPr>
            <w:r>
              <w:rPr>
                <w:sz w:val="21"/>
              </w:rPr>
              <w:t>氯乙烯</w:t>
            </w:r>
          </w:p>
        </w:tc>
        <w:tc>
          <w:tcPr>
            <w:tcW w:w="1721" w:type="dxa"/>
          </w:tcPr>
          <w:p>
            <w:pPr>
              <w:pStyle w:val="14"/>
              <w:spacing w:before="76"/>
              <w:ind w:left="617"/>
              <w:jc w:val="left"/>
              <w:rPr>
                <w:rFonts w:ascii="Times New Roman" w:hAnsi="Times New Roman"/>
                <w:sz w:val="21"/>
              </w:rPr>
            </w:pPr>
            <w:r>
              <w:rPr>
                <w:rFonts w:ascii="Times New Roman" w:hAnsi="Times New Roman"/>
                <w:sz w:val="21"/>
              </w:rPr>
              <w:t>μg/kg</w:t>
            </w:r>
          </w:p>
        </w:tc>
        <w:tc>
          <w:tcPr>
            <w:tcW w:w="3088" w:type="dxa"/>
          </w:tcPr>
          <w:p>
            <w:pPr>
              <w:pStyle w:val="14"/>
              <w:spacing w:before="67"/>
              <w:ind w:left="1229"/>
              <w:jc w:val="left"/>
              <w:rPr>
                <w:sz w:val="21"/>
              </w:rPr>
            </w:pPr>
            <w:bookmarkStart w:id="960" w:name="未检出"/>
            <w:bookmarkEnd w:id="960"/>
            <w:r>
              <w:rPr>
                <w:sz w:val="21"/>
              </w:rPr>
              <w:t>未检出</w:t>
            </w:r>
          </w:p>
        </w:tc>
        <w:tc>
          <w:tcPr>
            <w:tcW w:w="1217" w:type="dxa"/>
          </w:tcPr>
          <w:p>
            <w:pPr>
              <w:pStyle w:val="14"/>
              <w:spacing w:before="62"/>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268" w:type="dxa"/>
          </w:tcPr>
          <w:p>
            <w:pPr>
              <w:pStyle w:val="14"/>
              <w:spacing w:before="63"/>
              <w:ind w:left="7"/>
              <w:rPr>
                <w:sz w:val="21"/>
              </w:rPr>
            </w:pPr>
            <w:r>
              <w:rPr>
                <w:w w:val="99"/>
                <w:sz w:val="21"/>
              </w:rPr>
              <w:t>苯</w:t>
            </w:r>
          </w:p>
        </w:tc>
        <w:tc>
          <w:tcPr>
            <w:tcW w:w="1721" w:type="dxa"/>
          </w:tcPr>
          <w:p>
            <w:pPr>
              <w:pStyle w:val="14"/>
              <w:spacing w:before="77"/>
              <w:ind w:left="617"/>
              <w:jc w:val="left"/>
              <w:rPr>
                <w:rFonts w:ascii="Times New Roman" w:hAnsi="Times New Roman"/>
                <w:sz w:val="21"/>
              </w:rPr>
            </w:pPr>
            <w:r>
              <w:rPr>
                <w:rFonts w:ascii="Times New Roman" w:hAnsi="Times New Roman"/>
                <w:sz w:val="21"/>
              </w:rPr>
              <w:t>μg/kg</w:t>
            </w:r>
          </w:p>
        </w:tc>
        <w:tc>
          <w:tcPr>
            <w:tcW w:w="3088" w:type="dxa"/>
          </w:tcPr>
          <w:p>
            <w:pPr>
              <w:pStyle w:val="14"/>
              <w:spacing w:before="65"/>
              <w:ind w:left="1229"/>
              <w:jc w:val="left"/>
              <w:rPr>
                <w:sz w:val="21"/>
              </w:rPr>
            </w:pPr>
            <w:bookmarkStart w:id="961" w:name="未检出"/>
            <w:bookmarkEnd w:id="961"/>
            <w:r>
              <w:rPr>
                <w:sz w:val="21"/>
              </w:rPr>
              <w:t>未检出</w:t>
            </w:r>
          </w:p>
        </w:tc>
        <w:tc>
          <w:tcPr>
            <w:tcW w:w="1217" w:type="dxa"/>
          </w:tcPr>
          <w:p>
            <w:pPr>
              <w:pStyle w:val="14"/>
              <w:spacing w:before="63"/>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2"/>
              <w:ind w:left="210" w:right="206"/>
              <w:rPr>
                <w:sz w:val="21"/>
              </w:rPr>
            </w:pPr>
            <w:r>
              <w:rPr>
                <w:sz w:val="21"/>
              </w:rPr>
              <w:t>氯苯</w:t>
            </w:r>
          </w:p>
        </w:tc>
        <w:tc>
          <w:tcPr>
            <w:tcW w:w="1721" w:type="dxa"/>
          </w:tcPr>
          <w:p>
            <w:pPr>
              <w:pStyle w:val="14"/>
              <w:spacing w:before="76"/>
              <w:ind w:left="617"/>
              <w:jc w:val="left"/>
              <w:rPr>
                <w:rFonts w:ascii="Times New Roman" w:hAnsi="Times New Roman"/>
                <w:sz w:val="21"/>
              </w:rPr>
            </w:pPr>
            <w:r>
              <w:rPr>
                <w:rFonts w:ascii="Times New Roman" w:hAnsi="Times New Roman"/>
                <w:sz w:val="21"/>
              </w:rPr>
              <w:t>μg/kg</w:t>
            </w:r>
          </w:p>
        </w:tc>
        <w:tc>
          <w:tcPr>
            <w:tcW w:w="3088" w:type="dxa"/>
          </w:tcPr>
          <w:p>
            <w:pPr>
              <w:pStyle w:val="14"/>
              <w:spacing w:before="67"/>
              <w:ind w:left="1229"/>
              <w:jc w:val="left"/>
              <w:rPr>
                <w:sz w:val="21"/>
              </w:rPr>
            </w:pPr>
            <w:bookmarkStart w:id="962" w:name="未检出"/>
            <w:bookmarkEnd w:id="962"/>
            <w:r>
              <w:rPr>
                <w:sz w:val="21"/>
              </w:rPr>
              <w:t>未检出</w:t>
            </w:r>
          </w:p>
        </w:tc>
        <w:tc>
          <w:tcPr>
            <w:tcW w:w="1217" w:type="dxa"/>
          </w:tcPr>
          <w:p>
            <w:pPr>
              <w:pStyle w:val="14"/>
              <w:spacing w:before="62"/>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3"/>
              <w:ind w:left="213" w:right="204"/>
              <w:rPr>
                <w:sz w:val="21"/>
              </w:rPr>
            </w:pPr>
            <w:r>
              <w:rPr>
                <w:rFonts w:ascii="Times New Roman" w:eastAsia="Times New Roman"/>
                <w:sz w:val="21"/>
              </w:rPr>
              <w:t>1,2-</w:t>
            </w:r>
            <w:r>
              <w:rPr>
                <w:sz w:val="21"/>
              </w:rPr>
              <w:t>二氯苯</w:t>
            </w:r>
          </w:p>
        </w:tc>
        <w:tc>
          <w:tcPr>
            <w:tcW w:w="1721" w:type="dxa"/>
          </w:tcPr>
          <w:p>
            <w:pPr>
              <w:pStyle w:val="14"/>
              <w:spacing w:before="77"/>
              <w:ind w:left="617"/>
              <w:jc w:val="left"/>
              <w:rPr>
                <w:rFonts w:ascii="Times New Roman" w:hAnsi="Times New Roman"/>
                <w:sz w:val="21"/>
              </w:rPr>
            </w:pPr>
            <w:r>
              <w:rPr>
                <w:rFonts w:ascii="Times New Roman" w:hAnsi="Times New Roman"/>
                <w:sz w:val="21"/>
              </w:rPr>
              <w:t>μg/kg</w:t>
            </w:r>
          </w:p>
        </w:tc>
        <w:tc>
          <w:tcPr>
            <w:tcW w:w="3088" w:type="dxa"/>
          </w:tcPr>
          <w:p>
            <w:pPr>
              <w:pStyle w:val="14"/>
              <w:spacing w:before="65"/>
              <w:ind w:left="1229"/>
              <w:jc w:val="left"/>
              <w:rPr>
                <w:sz w:val="21"/>
              </w:rPr>
            </w:pPr>
            <w:bookmarkStart w:id="963" w:name="未检出"/>
            <w:bookmarkEnd w:id="963"/>
            <w:r>
              <w:rPr>
                <w:sz w:val="21"/>
              </w:rPr>
              <w:t>未检出</w:t>
            </w:r>
          </w:p>
        </w:tc>
        <w:tc>
          <w:tcPr>
            <w:tcW w:w="1217" w:type="dxa"/>
          </w:tcPr>
          <w:p>
            <w:pPr>
              <w:pStyle w:val="14"/>
              <w:spacing w:before="63"/>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4"/>
              <w:ind w:left="213" w:right="204"/>
              <w:rPr>
                <w:sz w:val="21"/>
              </w:rPr>
            </w:pPr>
            <w:r>
              <w:rPr>
                <w:rFonts w:ascii="Times New Roman" w:eastAsia="Times New Roman"/>
                <w:sz w:val="21"/>
              </w:rPr>
              <w:t>1,4-</w:t>
            </w:r>
            <w:r>
              <w:rPr>
                <w:sz w:val="21"/>
              </w:rPr>
              <w:t>二氯苯</w:t>
            </w:r>
          </w:p>
        </w:tc>
        <w:tc>
          <w:tcPr>
            <w:tcW w:w="1721" w:type="dxa"/>
          </w:tcPr>
          <w:p>
            <w:pPr>
              <w:pStyle w:val="14"/>
              <w:spacing w:before="78"/>
              <w:ind w:left="617"/>
              <w:jc w:val="left"/>
              <w:rPr>
                <w:rFonts w:ascii="Times New Roman" w:hAnsi="Times New Roman"/>
                <w:sz w:val="21"/>
              </w:rPr>
            </w:pPr>
            <w:r>
              <w:rPr>
                <w:rFonts w:ascii="Times New Roman" w:hAnsi="Times New Roman"/>
                <w:sz w:val="21"/>
              </w:rPr>
              <w:t>μg/kg</w:t>
            </w:r>
          </w:p>
        </w:tc>
        <w:tc>
          <w:tcPr>
            <w:tcW w:w="3088" w:type="dxa"/>
          </w:tcPr>
          <w:p>
            <w:pPr>
              <w:pStyle w:val="14"/>
              <w:spacing w:before="66"/>
              <w:ind w:left="1229"/>
              <w:jc w:val="left"/>
              <w:rPr>
                <w:sz w:val="21"/>
              </w:rPr>
            </w:pPr>
            <w:bookmarkStart w:id="964" w:name="未检出"/>
            <w:bookmarkEnd w:id="964"/>
            <w:r>
              <w:rPr>
                <w:sz w:val="21"/>
              </w:rPr>
              <w:t>未检出</w:t>
            </w:r>
          </w:p>
        </w:tc>
        <w:tc>
          <w:tcPr>
            <w:tcW w:w="1217" w:type="dxa"/>
          </w:tcPr>
          <w:p>
            <w:pPr>
              <w:pStyle w:val="14"/>
              <w:spacing w:before="64"/>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2"/>
              <w:ind w:left="210" w:right="206"/>
              <w:rPr>
                <w:sz w:val="21"/>
              </w:rPr>
            </w:pPr>
            <w:r>
              <w:rPr>
                <w:sz w:val="21"/>
              </w:rPr>
              <w:t>乙苯</w:t>
            </w:r>
          </w:p>
        </w:tc>
        <w:tc>
          <w:tcPr>
            <w:tcW w:w="1721" w:type="dxa"/>
          </w:tcPr>
          <w:p>
            <w:pPr>
              <w:pStyle w:val="14"/>
              <w:spacing w:before="76"/>
              <w:ind w:left="617"/>
              <w:jc w:val="left"/>
              <w:rPr>
                <w:rFonts w:ascii="Times New Roman" w:hAnsi="Times New Roman"/>
                <w:sz w:val="21"/>
              </w:rPr>
            </w:pPr>
            <w:r>
              <w:rPr>
                <w:rFonts w:ascii="Times New Roman" w:hAnsi="Times New Roman"/>
                <w:sz w:val="21"/>
              </w:rPr>
              <w:t>μg/kg</w:t>
            </w:r>
          </w:p>
        </w:tc>
        <w:tc>
          <w:tcPr>
            <w:tcW w:w="3088" w:type="dxa"/>
          </w:tcPr>
          <w:p>
            <w:pPr>
              <w:pStyle w:val="14"/>
              <w:spacing w:before="65"/>
              <w:ind w:left="1229"/>
              <w:jc w:val="left"/>
              <w:rPr>
                <w:sz w:val="21"/>
              </w:rPr>
            </w:pPr>
            <w:bookmarkStart w:id="965" w:name="未检出"/>
            <w:bookmarkEnd w:id="965"/>
            <w:r>
              <w:rPr>
                <w:sz w:val="21"/>
              </w:rPr>
              <w:t>未检出</w:t>
            </w:r>
          </w:p>
        </w:tc>
        <w:tc>
          <w:tcPr>
            <w:tcW w:w="1217" w:type="dxa"/>
          </w:tcPr>
          <w:p>
            <w:pPr>
              <w:pStyle w:val="14"/>
              <w:spacing w:before="62"/>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268" w:type="dxa"/>
          </w:tcPr>
          <w:p>
            <w:pPr>
              <w:pStyle w:val="14"/>
              <w:spacing w:before="63"/>
              <w:ind w:left="213" w:right="204"/>
              <w:rPr>
                <w:sz w:val="21"/>
              </w:rPr>
            </w:pPr>
            <w:r>
              <w:rPr>
                <w:sz w:val="21"/>
              </w:rPr>
              <w:t>苯乙烯</w:t>
            </w:r>
          </w:p>
        </w:tc>
        <w:tc>
          <w:tcPr>
            <w:tcW w:w="1721" w:type="dxa"/>
          </w:tcPr>
          <w:p>
            <w:pPr>
              <w:pStyle w:val="14"/>
              <w:spacing w:before="77"/>
              <w:ind w:left="617"/>
              <w:jc w:val="left"/>
              <w:rPr>
                <w:rFonts w:ascii="Times New Roman" w:hAnsi="Times New Roman"/>
                <w:sz w:val="21"/>
              </w:rPr>
            </w:pPr>
            <w:r>
              <w:rPr>
                <w:rFonts w:ascii="Times New Roman" w:hAnsi="Times New Roman"/>
                <w:sz w:val="21"/>
              </w:rPr>
              <w:t>μg/kg</w:t>
            </w:r>
          </w:p>
        </w:tc>
        <w:tc>
          <w:tcPr>
            <w:tcW w:w="3088" w:type="dxa"/>
          </w:tcPr>
          <w:p>
            <w:pPr>
              <w:pStyle w:val="14"/>
              <w:spacing w:before="66"/>
              <w:ind w:left="1229"/>
              <w:jc w:val="left"/>
              <w:rPr>
                <w:sz w:val="21"/>
              </w:rPr>
            </w:pPr>
            <w:bookmarkStart w:id="966" w:name="未检出"/>
            <w:bookmarkEnd w:id="966"/>
            <w:r>
              <w:rPr>
                <w:sz w:val="21"/>
              </w:rPr>
              <w:t>未检出</w:t>
            </w:r>
          </w:p>
        </w:tc>
        <w:tc>
          <w:tcPr>
            <w:tcW w:w="1217" w:type="dxa"/>
          </w:tcPr>
          <w:p>
            <w:pPr>
              <w:pStyle w:val="14"/>
              <w:spacing w:before="63"/>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2"/>
              <w:ind w:left="210" w:right="206"/>
              <w:rPr>
                <w:sz w:val="21"/>
              </w:rPr>
            </w:pPr>
            <w:r>
              <w:rPr>
                <w:sz w:val="21"/>
              </w:rPr>
              <w:t>甲苯</w:t>
            </w:r>
          </w:p>
        </w:tc>
        <w:tc>
          <w:tcPr>
            <w:tcW w:w="1721" w:type="dxa"/>
          </w:tcPr>
          <w:p>
            <w:pPr>
              <w:pStyle w:val="14"/>
              <w:spacing w:before="76"/>
              <w:ind w:left="591"/>
              <w:jc w:val="left"/>
              <w:rPr>
                <w:rFonts w:ascii="Times New Roman"/>
                <w:sz w:val="21"/>
              </w:rPr>
            </w:pPr>
            <w:r>
              <w:rPr>
                <w:rFonts w:ascii="Times New Roman"/>
                <w:sz w:val="21"/>
              </w:rPr>
              <w:t>mg/kg</w:t>
            </w:r>
          </w:p>
        </w:tc>
        <w:tc>
          <w:tcPr>
            <w:tcW w:w="3088" w:type="dxa"/>
          </w:tcPr>
          <w:p>
            <w:pPr>
              <w:pStyle w:val="14"/>
              <w:spacing w:before="67"/>
              <w:ind w:left="1229"/>
              <w:jc w:val="left"/>
              <w:rPr>
                <w:sz w:val="21"/>
              </w:rPr>
            </w:pPr>
            <w:bookmarkStart w:id="967" w:name="未检出"/>
            <w:bookmarkEnd w:id="967"/>
            <w:r>
              <w:rPr>
                <w:sz w:val="21"/>
              </w:rPr>
              <w:t>未检出</w:t>
            </w:r>
          </w:p>
        </w:tc>
        <w:tc>
          <w:tcPr>
            <w:tcW w:w="1217" w:type="dxa"/>
          </w:tcPr>
          <w:p>
            <w:pPr>
              <w:pStyle w:val="14"/>
              <w:spacing w:before="62"/>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268" w:type="dxa"/>
          </w:tcPr>
          <w:p>
            <w:pPr>
              <w:pStyle w:val="14"/>
              <w:spacing w:before="63"/>
              <w:ind w:left="213" w:right="206"/>
              <w:rPr>
                <w:sz w:val="21"/>
              </w:rPr>
            </w:pPr>
            <w:r>
              <w:rPr>
                <w:sz w:val="21"/>
              </w:rPr>
              <w:t>间二甲苯</w:t>
            </w:r>
            <w:r>
              <w:rPr>
                <w:rFonts w:ascii="Times New Roman" w:eastAsia="Times New Roman"/>
                <w:sz w:val="21"/>
              </w:rPr>
              <w:t>+</w:t>
            </w:r>
            <w:r>
              <w:rPr>
                <w:sz w:val="21"/>
              </w:rPr>
              <w:t>对二甲苯</w:t>
            </w:r>
          </w:p>
        </w:tc>
        <w:tc>
          <w:tcPr>
            <w:tcW w:w="1721" w:type="dxa"/>
          </w:tcPr>
          <w:p>
            <w:pPr>
              <w:pStyle w:val="14"/>
              <w:spacing w:before="77"/>
              <w:ind w:left="591"/>
              <w:jc w:val="left"/>
              <w:rPr>
                <w:rFonts w:ascii="Times New Roman"/>
                <w:sz w:val="21"/>
              </w:rPr>
            </w:pPr>
            <w:r>
              <w:rPr>
                <w:rFonts w:ascii="Times New Roman"/>
                <w:sz w:val="21"/>
              </w:rPr>
              <w:t>mg/kg</w:t>
            </w:r>
          </w:p>
        </w:tc>
        <w:tc>
          <w:tcPr>
            <w:tcW w:w="3088" w:type="dxa"/>
          </w:tcPr>
          <w:p>
            <w:pPr>
              <w:pStyle w:val="14"/>
              <w:spacing w:before="65"/>
              <w:ind w:left="1229"/>
              <w:jc w:val="left"/>
              <w:rPr>
                <w:sz w:val="21"/>
              </w:rPr>
            </w:pPr>
            <w:bookmarkStart w:id="968" w:name="未检出"/>
            <w:bookmarkEnd w:id="968"/>
            <w:r>
              <w:rPr>
                <w:sz w:val="21"/>
              </w:rPr>
              <w:t>未检出</w:t>
            </w:r>
          </w:p>
        </w:tc>
        <w:tc>
          <w:tcPr>
            <w:tcW w:w="1217" w:type="dxa"/>
          </w:tcPr>
          <w:p>
            <w:pPr>
              <w:pStyle w:val="14"/>
              <w:spacing w:before="63"/>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4"/>
              <w:ind w:left="213" w:right="206"/>
              <w:rPr>
                <w:sz w:val="21"/>
              </w:rPr>
            </w:pPr>
            <w:r>
              <w:rPr>
                <w:sz w:val="21"/>
              </w:rPr>
              <w:t>邻二甲苯</w:t>
            </w:r>
          </w:p>
        </w:tc>
        <w:tc>
          <w:tcPr>
            <w:tcW w:w="1721" w:type="dxa"/>
          </w:tcPr>
          <w:p>
            <w:pPr>
              <w:pStyle w:val="14"/>
              <w:spacing w:before="78"/>
              <w:ind w:left="591"/>
              <w:jc w:val="left"/>
              <w:rPr>
                <w:rFonts w:ascii="Times New Roman"/>
                <w:sz w:val="21"/>
              </w:rPr>
            </w:pPr>
            <w:r>
              <w:rPr>
                <w:rFonts w:ascii="Times New Roman"/>
                <w:sz w:val="21"/>
              </w:rPr>
              <w:t>mg/kg</w:t>
            </w:r>
          </w:p>
        </w:tc>
        <w:tc>
          <w:tcPr>
            <w:tcW w:w="3088" w:type="dxa"/>
          </w:tcPr>
          <w:p>
            <w:pPr>
              <w:pStyle w:val="14"/>
              <w:spacing w:before="66"/>
              <w:ind w:left="1229"/>
              <w:jc w:val="left"/>
              <w:rPr>
                <w:sz w:val="21"/>
              </w:rPr>
            </w:pPr>
            <w:bookmarkStart w:id="969" w:name="未检出"/>
            <w:bookmarkEnd w:id="969"/>
            <w:r>
              <w:rPr>
                <w:sz w:val="21"/>
              </w:rPr>
              <w:t>未检出</w:t>
            </w:r>
          </w:p>
        </w:tc>
        <w:tc>
          <w:tcPr>
            <w:tcW w:w="1217" w:type="dxa"/>
          </w:tcPr>
          <w:p>
            <w:pPr>
              <w:pStyle w:val="14"/>
              <w:spacing w:before="64"/>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268" w:type="dxa"/>
          </w:tcPr>
          <w:p>
            <w:pPr>
              <w:pStyle w:val="14"/>
              <w:spacing w:before="63"/>
              <w:ind w:left="213" w:right="204"/>
              <w:rPr>
                <w:sz w:val="21"/>
              </w:rPr>
            </w:pPr>
            <w:r>
              <w:rPr>
                <w:sz w:val="21"/>
              </w:rPr>
              <w:t>硝基苯</w:t>
            </w:r>
          </w:p>
        </w:tc>
        <w:tc>
          <w:tcPr>
            <w:tcW w:w="1721" w:type="dxa"/>
          </w:tcPr>
          <w:p>
            <w:pPr>
              <w:pStyle w:val="14"/>
              <w:spacing w:before="76"/>
              <w:ind w:left="591"/>
              <w:jc w:val="left"/>
              <w:rPr>
                <w:rFonts w:ascii="Times New Roman"/>
                <w:sz w:val="21"/>
              </w:rPr>
            </w:pPr>
            <w:r>
              <w:rPr>
                <w:rFonts w:ascii="Times New Roman"/>
                <w:sz w:val="21"/>
              </w:rPr>
              <w:t>mg/kg</w:t>
            </w:r>
          </w:p>
        </w:tc>
        <w:tc>
          <w:tcPr>
            <w:tcW w:w="3088" w:type="dxa"/>
          </w:tcPr>
          <w:p>
            <w:pPr>
              <w:pStyle w:val="14"/>
              <w:spacing w:before="65"/>
              <w:ind w:left="1229"/>
              <w:jc w:val="left"/>
              <w:rPr>
                <w:sz w:val="21"/>
              </w:rPr>
            </w:pPr>
            <w:bookmarkStart w:id="970" w:name="未检出"/>
            <w:bookmarkEnd w:id="970"/>
            <w:r>
              <w:rPr>
                <w:sz w:val="21"/>
              </w:rPr>
              <w:t>未检出</w:t>
            </w:r>
          </w:p>
        </w:tc>
        <w:tc>
          <w:tcPr>
            <w:tcW w:w="1217" w:type="dxa"/>
          </w:tcPr>
          <w:p>
            <w:pPr>
              <w:pStyle w:val="14"/>
              <w:spacing w:before="63"/>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4"/>
              <w:ind w:left="210" w:right="206"/>
              <w:rPr>
                <w:sz w:val="21"/>
              </w:rPr>
            </w:pPr>
            <w:r>
              <w:rPr>
                <w:sz w:val="21"/>
              </w:rPr>
              <w:t>苯胺</w:t>
            </w:r>
          </w:p>
        </w:tc>
        <w:tc>
          <w:tcPr>
            <w:tcW w:w="1721" w:type="dxa"/>
          </w:tcPr>
          <w:p>
            <w:pPr>
              <w:pStyle w:val="14"/>
              <w:spacing w:before="77"/>
              <w:ind w:left="591"/>
              <w:jc w:val="left"/>
              <w:rPr>
                <w:rFonts w:ascii="Times New Roman"/>
                <w:sz w:val="21"/>
              </w:rPr>
            </w:pPr>
            <w:r>
              <w:rPr>
                <w:rFonts w:ascii="Times New Roman"/>
                <w:sz w:val="21"/>
              </w:rPr>
              <w:t>mg/kg</w:t>
            </w:r>
          </w:p>
        </w:tc>
        <w:tc>
          <w:tcPr>
            <w:tcW w:w="3088" w:type="dxa"/>
          </w:tcPr>
          <w:p>
            <w:pPr>
              <w:pStyle w:val="14"/>
              <w:spacing w:before="66"/>
              <w:ind w:left="1229"/>
              <w:jc w:val="left"/>
              <w:rPr>
                <w:sz w:val="21"/>
              </w:rPr>
            </w:pPr>
            <w:bookmarkStart w:id="971" w:name="未检出"/>
            <w:bookmarkEnd w:id="971"/>
            <w:r>
              <w:rPr>
                <w:sz w:val="21"/>
              </w:rPr>
              <w:t>未检出</w:t>
            </w:r>
          </w:p>
        </w:tc>
        <w:tc>
          <w:tcPr>
            <w:tcW w:w="1217" w:type="dxa"/>
          </w:tcPr>
          <w:p>
            <w:pPr>
              <w:pStyle w:val="14"/>
              <w:spacing w:before="64"/>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2"/>
              <w:ind w:left="213" w:right="206"/>
              <w:rPr>
                <w:sz w:val="21"/>
              </w:rPr>
            </w:pPr>
            <w:r>
              <w:rPr>
                <w:rFonts w:ascii="Times New Roman" w:eastAsia="Times New Roman"/>
                <w:sz w:val="21"/>
              </w:rPr>
              <w:t>2-</w:t>
            </w:r>
            <w:r>
              <w:rPr>
                <w:sz w:val="21"/>
              </w:rPr>
              <w:t>氯酚</w:t>
            </w:r>
          </w:p>
        </w:tc>
        <w:tc>
          <w:tcPr>
            <w:tcW w:w="1721" w:type="dxa"/>
          </w:tcPr>
          <w:p>
            <w:pPr>
              <w:pStyle w:val="14"/>
              <w:spacing w:before="76"/>
              <w:ind w:left="591"/>
              <w:jc w:val="left"/>
              <w:rPr>
                <w:rFonts w:ascii="Times New Roman"/>
                <w:sz w:val="21"/>
              </w:rPr>
            </w:pPr>
            <w:r>
              <w:rPr>
                <w:rFonts w:ascii="Times New Roman"/>
                <w:sz w:val="21"/>
              </w:rPr>
              <w:t>mg/kg</w:t>
            </w:r>
          </w:p>
        </w:tc>
        <w:tc>
          <w:tcPr>
            <w:tcW w:w="3088" w:type="dxa"/>
          </w:tcPr>
          <w:p>
            <w:pPr>
              <w:pStyle w:val="14"/>
              <w:spacing w:before="67"/>
              <w:ind w:left="1229"/>
              <w:jc w:val="left"/>
              <w:rPr>
                <w:sz w:val="21"/>
              </w:rPr>
            </w:pPr>
            <w:bookmarkStart w:id="972" w:name="未检出"/>
            <w:bookmarkEnd w:id="972"/>
            <w:r>
              <w:rPr>
                <w:sz w:val="21"/>
              </w:rPr>
              <w:t>未检出</w:t>
            </w:r>
          </w:p>
        </w:tc>
        <w:tc>
          <w:tcPr>
            <w:tcW w:w="1217" w:type="dxa"/>
          </w:tcPr>
          <w:p>
            <w:pPr>
              <w:pStyle w:val="14"/>
              <w:spacing w:before="62"/>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268" w:type="dxa"/>
          </w:tcPr>
          <w:p>
            <w:pPr>
              <w:pStyle w:val="14"/>
              <w:spacing w:before="63"/>
              <w:ind w:left="213" w:right="206"/>
              <w:rPr>
                <w:sz w:val="21"/>
              </w:rPr>
            </w:pPr>
            <w:r>
              <w:rPr>
                <w:sz w:val="21"/>
              </w:rPr>
              <w:t>苯并</w:t>
            </w:r>
            <w:r>
              <w:rPr>
                <w:rFonts w:ascii="Times New Roman" w:eastAsia="Times New Roman"/>
                <w:sz w:val="21"/>
              </w:rPr>
              <w:t>[a]</w:t>
            </w:r>
            <w:r>
              <w:rPr>
                <w:sz w:val="21"/>
              </w:rPr>
              <w:t>蒽</w:t>
            </w:r>
          </w:p>
        </w:tc>
        <w:tc>
          <w:tcPr>
            <w:tcW w:w="1721" w:type="dxa"/>
          </w:tcPr>
          <w:p>
            <w:pPr>
              <w:pStyle w:val="14"/>
              <w:spacing w:before="77"/>
              <w:ind w:left="591"/>
              <w:jc w:val="left"/>
              <w:rPr>
                <w:rFonts w:ascii="Times New Roman"/>
                <w:sz w:val="21"/>
              </w:rPr>
            </w:pPr>
            <w:r>
              <w:rPr>
                <w:rFonts w:ascii="Times New Roman"/>
                <w:sz w:val="21"/>
              </w:rPr>
              <w:t>mg/kg</w:t>
            </w:r>
          </w:p>
        </w:tc>
        <w:tc>
          <w:tcPr>
            <w:tcW w:w="3088" w:type="dxa"/>
          </w:tcPr>
          <w:p>
            <w:pPr>
              <w:pStyle w:val="14"/>
              <w:spacing w:before="65"/>
              <w:ind w:left="1229"/>
              <w:jc w:val="left"/>
              <w:rPr>
                <w:sz w:val="21"/>
              </w:rPr>
            </w:pPr>
            <w:bookmarkStart w:id="973" w:name="未检出"/>
            <w:bookmarkEnd w:id="973"/>
            <w:r>
              <w:rPr>
                <w:sz w:val="21"/>
              </w:rPr>
              <w:t>未检出</w:t>
            </w:r>
          </w:p>
        </w:tc>
        <w:tc>
          <w:tcPr>
            <w:tcW w:w="1217" w:type="dxa"/>
          </w:tcPr>
          <w:p>
            <w:pPr>
              <w:pStyle w:val="14"/>
              <w:spacing w:before="63"/>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2"/>
              <w:ind w:left="213" w:right="206"/>
              <w:rPr>
                <w:sz w:val="21"/>
              </w:rPr>
            </w:pPr>
            <w:r>
              <w:rPr>
                <w:sz w:val="21"/>
              </w:rPr>
              <w:t>苯并</w:t>
            </w:r>
            <w:r>
              <w:rPr>
                <w:rFonts w:ascii="Times New Roman" w:eastAsia="Times New Roman"/>
                <w:sz w:val="21"/>
              </w:rPr>
              <w:t>[a]</w:t>
            </w:r>
            <w:r>
              <w:rPr>
                <w:sz w:val="21"/>
              </w:rPr>
              <w:t>芘</w:t>
            </w:r>
          </w:p>
        </w:tc>
        <w:tc>
          <w:tcPr>
            <w:tcW w:w="1721" w:type="dxa"/>
          </w:tcPr>
          <w:p>
            <w:pPr>
              <w:pStyle w:val="14"/>
              <w:spacing w:before="76"/>
              <w:ind w:left="591"/>
              <w:jc w:val="left"/>
              <w:rPr>
                <w:rFonts w:ascii="Times New Roman"/>
                <w:sz w:val="21"/>
              </w:rPr>
            </w:pPr>
            <w:r>
              <w:rPr>
                <w:rFonts w:ascii="Times New Roman"/>
                <w:sz w:val="21"/>
              </w:rPr>
              <w:t>mg/kg</w:t>
            </w:r>
          </w:p>
        </w:tc>
        <w:tc>
          <w:tcPr>
            <w:tcW w:w="3088" w:type="dxa"/>
          </w:tcPr>
          <w:p>
            <w:pPr>
              <w:pStyle w:val="14"/>
              <w:spacing w:before="66"/>
              <w:ind w:left="1229"/>
              <w:jc w:val="left"/>
              <w:rPr>
                <w:sz w:val="21"/>
              </w:rPr>
            </w:pPr>
            <w:bookmarkStart w:id="974" w:name="未检出"/>
            <w:bookmarkEnd w:id="974"/>
            <w:r>
              <w:rPr>
                <w:sz w:val="21"/>
              </w:rPr>
              <w:t>未检出</w:t>
            </w:r>
          </w:p>
        </w:tc>
        <w:tc>
          <w:tcPr>
            <w:tcW w:w="1217" w:type="dxa"/>
          </w:tcPr>
          <w:p>
            <w:pPr>
              <w:pStyle w:val="14"/>
              <w:spacing w:before="62"/>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268" w:type="dxa"/>
          </w:tcPr>
          <w:p>
            <w:pPr>
              <w:pStyle w:val="14"/>
              <w:spacing w:before="63"/>
              <w:ind w:left="213" w:right="206"/>
              <w:rPr>
                <w:sz w:val="21"/>
              </w:rPr>
            </w:pPr>
            <w:r>
              <w:rPr>
                <w:sz w:val="21"/>
              </w:rPr>
              <w:t>苯并</w:t>
            </w:r>
            <w:r>
              <w:rPr>
                <w:rFonts w:ascii="Times New Roman" w:eastAsia="Times New Roman"/>
                <w:sz w:val="21"/>
              </w:rPr>
              <w:t>[b]</w:t>
            </w:r>
            <w:r>
              <w:rPr>
                <w:sz w:val="21"/>
              </w:rPr>
              <w:t>荧蒽</w:t>
            </w:r>
          </w:p>
        </w:tc>
        <w:tc>
          <w:tcPr>
            <w:tcW w:w="1721" w:type="dxa"/>
          </w:tcPr>
          <w:p>
            <w:pPr>
              <w:pStyle w:val="14"/>
              <w:spacing w:before="77"/>
              <w:ind w:left="591"/>
              <w:jc w:val="left"/>
              <w:rPr>
                <w:rFonts w:ascii="Times New Roman"/>
                <w:sz w:val="21"/>
              </w:rPr>
            </w:pPr>
            <w:r>
              <w:rPr>
                <w:rFonts w:ascii="Times New Roman"/>
                <w:sz w:val="21"/>
              </w:rPr>
              <w:t>mg/kg</w:t>
            </w:r>
          </w:p>
        </w:tc>
        <w:tc>
          <w:tcPr>
            <w:tcW w:w="3088" w:type="dxa"/>
          </w:tcPr>
          <w:p>
            <w:pPr>
              <w:pStyle w:val="14"/>
              <w:spacing w:before="65"/>
              <w:ind w:left="1229"/>
              <w:jc w:val="left"/>
              <w:rPr>
                <w:sz w:val="21"/>
              </w:rPr>
            </w:pPr>
            <w:bookmarkStart w:id="975" w:name="未检出"/>
            <w:bookmarkEnd w:id="975"/>
            <w:r>
              <w:rPr>
                <w:sz w:val="21"/>
              </w:rPr>
              <w:t>未检出</w:t>
            </w:r>
          </w:p>
        </w:tc>
        <w:tc>
          <w:tcPr>
            <w:tcW w:w="1217" w:type="dxa"/>
          </w:tcPr>
          <w:p>
            <w:pPr>
              <w:pStyle w:val="14"/>
              <w:spacing w:before="63"/>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4"/>
              <w:ind w:left="213" w:right="206"/>
              <w:rPr>
                <w:sz w:val="21"/>
              </w:rPr>
            </w:pPr>
            <w:r>
              <w:rPr>
                <w:sz w:val="21"/>
              </w:rPr>
              <w:t>苯并</w:t>
            </w:r>
            <w:r>
              <w:rPr>
                <w:rFonts w:ascii="Times New Roman" w:eastAsia="Times New Roman"/>
                <w:sz w:val="21"/>
              </w:rPr>
              <w:t>[k]</w:t>
            </w:r>
            <w:r>
              <w:rPr>
                <w:sz w:val="21"/>
              </w:rPr>
              <w:t>荧蒽</w:t>
            </w:r>
          </w:p>
        </w:tc>
        <w:tc>
          <w:tcPr>
            <w:tcW w:w="1721" w:type="dxa"/>
          </w:tcPr>
          <w:p>
            <w:pPr>
              <w:pStyle w:val="14"/>
              <w:spacing w:before="78"/>
              <w:ind w:left="591"/>
              <w:jc w:val="left"/>
              <w:rPr>
                <w:rFonts w:ascii="Times New Roman"/>
                <w:sz w:val="21"/>
              </w:rPr>
            </w:pPr>
            <w:r>
              <w:rPr>
                <w:rFonts w:ascii="Times New Roman"/>
                <w:sz w:val="21"/>
              </w:rPr>
              <w:t>mg/kg</w:t>
            </w:r>
          </w:p>
        </w:tc>
        <w:tc>
          <w:tcPr>
            <w:tcW w:w="3088" w:type="dxa"/>
          </w:tcPr>
          <w:p>
            <w:pPr>
              <w:pStyle w:val="14"/>
              <w:spacing w:before="66"/>
              <w:ind w:left="1229"/>
              <w:jc w:val="left"/>
              <w:rPr>
                <w:sz w:val="21"/>
              </w:rPr>
            </w:pPr>
            <w:bookmarkStart w:id="976" w:name="未检出"/>
            <w:bookmarkEnd w:id="976"/>
            <w:r>
              <w:rPr>
                <w:sz w:val="21"/>
              </w:rPr>
              <w:t>未检出</w:t>
            </w:r>
          </w:p>
        </w:tc>
        <w:tc>
          <w:tcPr>
            <w:tcW w:w="1217" w:type="dxa"/>
          </w:tcPr>
          <w:p>
            <w:pPr>
              <w:pStyle w:val="14"/>
              <w:spacing w:before="64"/>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268" w:type="dxa"/>
          </w:tcPr>
          <w:p>
            <w:pPr>
              <w:pStyle w:val="14"/>
              <w:spacing w:before="62"/>
              <w:ind w:left="7"/>
              <w:rPr>
                <w:sz w:val="21"/>
              </w:rPr>
            </w:pPr>
            <w:r>
              <w:rPr>
                <w:w w:val="99"/>
                <w:sz w:val="21"/>
              </w:rPr>
              <w:t>䓛</w:t>
            </w:r>
          </w:p>
        </w:tc>
        <w:tc>
          <w:tcPr>
            <w:tcW w:w="1721" w:type="dxa"/>
          </w:tcPr>
          <w:p>
            <w:pPr>
              <w:pStyle w:val="14"/>
              <w:spacing w:before="76"/>
              <w:ind w:left="591"/>
              <w:jc w:val="left"/>
              <w:rPr>
                <w:rFonts w:ascii="Times New Roman"/>
                <w:sz w:val="21"/>
              </w:rPr>
            </w:pPr>
            <w:r>
              <w:rPr>
                <w:rFonts w:ascii="Times New Roman"/>
                <w:sz w:val="21"/>
              </w:rPr>
              <w:t>mg/kg</w:t>
            </w:r>
          </w:p>
        </w:tc>
        <w:tc>
          <w:tcPr>
            <w:tcW w:w="3088" w:type="dxa"/>
          </w:tcPr>
          <w:p>
            <w:pPr>
              <w:pStyle w:val="14"/>
              <w:spacing w:before="65"/>
              <w:ind w:left="1229"/>
              <w:jc w:val="left"/>
              <w:rPr>
                <w:sz w:val="21"/>
              </w:rPr>
            </w:pPr>
            <w:bookmarkStart w:id="977" w:name="未检出"/>
            <w:bookmarkEnd w:id="977"/>
            <w:r>
              <w:rPr>
                <w:sz w:val="21"/>
              </w:rPr>
              <w:t>未检出</w:t>
            </w:r>
          </w:p>
        </w:tc>
        <w:tc>
          <w:tcPr>
            <w:tcW w:w="1217" w:type="dxa"/>
          </w:tcPr>
          <w:p>
            <w:pPr>
              <w:pStyle w:val="14"/>
              <w:spacing w:before="62"/>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3"/>
              <w:ind w:left="213" w:right="204"/>
              <w:rPr>
                <w:sz w:val="21"/>
              </w:rPr>
            </w:pPr>
            <w:r>
              <w:rPr>
                <w:sz w:val="21"/>
              </w:rPr>
              <w:t>二苯并</w:t>
            </w:r>
            <w:r>
              <w:rPr>
                <w:rFonts w:ascii="Times New Roman" w:eastAsia="Times New Roman"/>
                <w:sz w:val="21"/>
              </w:rPr>
              <w:t>[a, h]</w:t>
            </w:r>
            <w:r>
              <w:rPr>
                <w:sz w:val="21"/>
              </w:rPr>
              <w:t>蒽</w:t>
            </w:r>
          </w:p>
        </w:tc>
        <w:tc>
          <w:tcPr>
            <w:tcW w:w="1721" w:type="dxa"/>
          </w:tcPr>
          <w:p>
            <w:pPr>
              <w:pStyle w:val="14"/>
              <w:spacing w:before="77"/>
              <w:ind w:left="591"/>
              <w:jc w:val="left"/>
              <w:rPr>
                <w:rFonts w:ascii="Times New Roman"/>
                <w:sz w:val="21"/>
              </w:rPr>
            </w:pPr>
            <w:r>
              <w:rPr>
                <w:rFonts w:ascii="Times New Roman"/>
                <w:sz w:val="21"/>
              </w:rPr>
              <w:t>mg/kg</w:t>
            </w:r>
          </w:p>
        </w:tc>
        <w:tc>
          <w:tcPr>
            <w:tcW w:w="3088" w:type="dxa"/>
          </w:tcPr>
          <w:p>
            <w:pPr>
              <w:pStyle w:val="14"/>
              <w:spacing w:before="66"/>
              <w:ind w:left="1229"/>
              <w:jc w:val="left"/>
              <w:rPr>
                <w:sz w:val="21"/>
              </w:rPr>
            </w:pPr>
            <w:bookmarkStart w:id="978" w:name="未检出"/>
            <w:bookmarkEnd w:id="978"/>
            <w:r>
              <w:rPr>
                <w:sz w:val="21"/>
              </w:rPr>
              <w:t>未检出</w:t>
            </w:r>
          </w:p>
        </w:tc>
        <w:tc>
          <w:tcPr>
            <w:tcW w:w="1217" w:type="dxa"/>
          </w:tcPr>
          <w:p>
            <w:pPr>
              <w:pStyle w:val="14"/>
              <w:spacing w:before="63"/>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2"/>
              <w:ind w:left="213" w:right="201"/>
              <w:rPr>
                <w:sz w:val="21"/>
              </w:rPr>
            </w:pPr>
            <w:r>
              <w:rPr>
                <w:sz w:val="21"/>
              </w:rPr>
              <w:t>茚并</w:t>
            </w:r>
            <w:r>
              <w:rPr>
                <w:rFonts w:ascii="Times New Roman" w:eastAsia="Times New Roman"/>
                <w:sz w:val="21"/>
              </w:rPr>
              <w:t>[1,2,3-cd]</w:t>
            </w:r>
            <w:r>
              <w:rPr>
                <w:sz w:val="21"/>
              </w:rPr>
              <w:t>芘</w:t>
            </w:r>
          </w:p>
        </w:tc>
        <w:tc>
          <w:tcPr>
            <w:tcW w:w="1721" w:type="dxa"/>
          </w:tcPr>
          <w:p>
            <w:pPr>
              <w:pStyle w:val="14"/>
              <w:spacing w:before="76"/>
              <w:ind w:left="591"/>
              <w:jc w:val="left"/>
              <w:rPr>
                <w:rFonts w:ascii="Times New Roman"/>
                <w:sz w:val="21"/>
              </w:rPr>
            </w:pPr>
            <w:r>
              <w:rPr>
                <w:rFonts w:ascii="Times New Roman"/>
                <w:sz w:val="21"/>
              </w:rPr>
              <w:t>mg/kg</w:t>
            </w:r>
          </w:p>
        </w:tc>
        <w:tc>
          <w:tcPr>
            <w:tcW w:w="3088" w:type="dxa"/>
          </w:tcPr>
          <w:p>
            <w:pPr>
              <w:pStyle w:val="14"/>
              <w:spacing w:before="67"/>
              <w:ind w:left="1229"/>
              <w:jc w:val="left"/>
              <w:rPr>
                <w:sz w:val="21"/>
              </w:rPr>
            </w:pPr>
            <w:bookmarkStart w:id="979" w:name="未检出"/>
            <w:bookmarkEnd w:id="979"/>
            <w:r>
              <w:rPr>
                <w:sz w:val="21"/>
              </w:rPr>
              <w:t>未检出</w:t>
            </w:r>
          </w:p>
        </w:tc>
        <w:tc>
          <w:tcPr>
            <w:tcW w:w="1217" w:type="dxa"/>
          </w:tcPr>
          <w:p>
            <w:pPr>
              <w:pStyle w:val="14"/>
              <w:spacing w:before="62"/>
              <w:ind w:left="376" w:right="37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68" w:type="dxa"/>
          </w:tcPr>
          <w:p>
            <w:pPr>
              <w:pStyle w:val="14"/>
              <w:spacing w:before="63"/>
              <w:ind w:left="7"/>
              <w:rPr>
                <w:sz w:val="21"/>
              </w:rPr>
            </w:pPr>
            <w:r>
              <w:rPr>
                <w:w w:val="99"/>
                <w:sz w:val="21"/>
              </w:rPr>
              <w:t>萘</w:t>
            </w:r>
          </w:p>
        </w:tc>
        <w:tc>
          <w:tcPr>
            <w:tcW w:w="1721" w:type="dxa"/>
          </w:tcPr>
          <w:p>
            <w:pPr>
              <w:pStyle w:val="14"/>
              <w:ind w:left="591"/>
              <w:jc w:val="left"/>
              <w:rPr>
                <w:rFonts w:ascii="Times New Roman"/>
                <w:sz w:val="21"/>
              </w:rPr>
            </w:pPr>
            <w:r>
              <w:rPr>
                <w:rFonts w:ascii="Times New Roman"/>
                <w:sz w:val="21"/>
              </w:rPr>
              <w:t>mg/kg</w:t>
            </w:r>
          </w:p>
        </w:tc>
        <w:tc>
          <w:tcPr>
            <w:tcW w:w="3088" w:type="dxa"/>
          </w:tcPr>
          <w:p>
            <w:pPr>
              <w:pStyle w:val="14"/>
              <w:spacing w:before="65"/>
              <w:ind w:left="1229"/>
              <w:jc w:val="left"/>
              <w:rPr>
                <w:sz w:val="21"/>
              </w:rPr>
            </w:pPr>
            <w:bookmarkStart w:id="980" w:name="未检出"/>
            <w:bookmarkEnd w:id="980"/>
            <w:r>
              <w:rPr>
                <w:sz w:val="21"/>
              </w:rPr>
              <w:t>未检出</w:t>
            </w:r>
          </w:p>
        </w:tc>
        <w:tc>
          <w:tcPr>
            <w:tcW w:w="1217" w:type="dxa"/>
          </w:tcPr>
          <w:p>
            <w:pPr>
              <w:pStyle w:val="14"/>
              <w:spacing w:before="63"/>
              <w:ind w:left="376" w:right="371"/>
              <w:rPr>
                <w:sz w:val="21"/>
              </w:rPr>
            </w:pPr>
            <w:r>
              <w:rPr>
                <w:sz w:val="21"/>
              </w:rPr>
              <w:t>达标</w:t>
            </w:r>
          </w:p>
        </w:tc>
      </w:tr>
    </w:tbl>
    <w:p>
      <w:pPr>
        <w:spacing w:before="7"/>
        <w:ind w:left="0" w:right="350" w:firstLine="0"/>
        <w:jc w:val="center"/>
        <w:rPr>
          <w:b/>
          <w:sz w:val="24"/>
        </w:rPr>
      </w:pPr>
      <w:r>
        <w:rPr>
          <w:b/>
          <w:sz w:val="24"/>
        </w:rPr>
        <w:t xml:space="preserve">表 </w:t>
      </w:r>
      <w:r>
        <w:rPr>
          <w:rFonts w:ascii="Times New Roman" w:eastAsia="Times New Roman"/>
          <w:b/>
          <w:sz w:val="24"/>
        </w:rPr>
        <w:t xml:space="preserve">11.2-4 </w:t>
      </w:r>
      <w:r>
        <w:rPr>
          <w:b/>
          <w:sz w:val="24"/>
        </w:rPr>
        <w:t>农用地土壤环境质量监测结果</w:t>
      </w:r>
    </w:p>
    <w:tbl>
      <w:tblPr>
        <w:tblStyle w:val="10"/>
        <w:tblW w:w="0" w:type="auto"/>
        <w:tblInd w:w="3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64"/>
        <w:gridCol w:w="960"/>
        <w:gridCol w:w="2576"/>
        <w:gridCol w:w="2576"/>
        <w:gridCol w:w="12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464" w:type="dxa"/>
            <w:vMerge w:val="restart"/>
          </w:tcPr>
          <w:p>
            <w:pPr>
              <w:pStyle w:val="14"/>
              <w:spacing w:before="10"/>
              <w:jc w:val="left"/>
              <w:rPr>
                <w:b/>
                <w:sz w:val="20"/>
              </w:rPr>
            </w:pPr>
          </w:p>
          <w:p>
            <w:pPr>
              <w:pStyle w:val="14"/>
              <w:ind w:left="348"/>
              <w:jc w:val="left"/>
              <w:rPr>
                <w:sz w:val="21"/>
              </w:rPr>
            </w:pPr>
            <w:bookmarkStart w:id="981" w:name="检测项目"/>
            <w:bookmarkEnd w:id="981"/>
            <w:r>
              <w:rPr>
                <w:sz w:val="21"/>
              </w:rPr>
              <w:t>检测项目</w:t>
            </w:r>
          </w:p>
        </w:tc>
        <w:tc>
          <w:tcPr>
            <w:tcW w:w="960" w:type="dxa"/>
            <w:vMerge w:val="restart"/>
          </w:tcPr>
          <w:p>
            <w:pPr>
              <w:pStyle w:val="14"/>
              <w:spacing w:before="10"/>
              <w:jc w:val="left"/>
              <w:rPr>
                <w:b/>
                <w:sz w:val="20"/>
              </w:rPr>
            </w:pPr>
          </w:p>
          <w:p>
            <w:pPr>
              <w:pStyle w:val="14"/>
              <w:ind w:left="269"/>
              <w:jc w:val="left"/>
              <w:rPr>
                <w:sz w:val="21"/>
              </w:rPr>
            </w:pPr>
            <w:r>
              <w:rPr>
                <w:sz w:val="21"/>
              </w:rPr>
              <w:t>单位</w:t>
            </w:r>
          </w:p>
        </w:tc>
        <w:tc>
          <w:tcPr>
            <w:tcW w:w="5152" w:type="dxa"/>
            <w:gridSpan w:val="2"/>
          </w:tcPr>
          <w:p>
            <w:pPr>
              <w:pStyle w:val="14"/>
              <w:spacing w:before="62"/>
              <w:ind w:left="2241" w:right="2231"/>
              <w:rPr>
                <w:sz w:val="21"/>
              </w:rPr>
            </w:pPr>
            <w:r>
              <w:rPr>
                <w:sz w:val="21"/>
              </w:rPr>
              <w:t>监测值</w:t>
            </w:r>
          </w:p>
        </w:tc>
        <w:tc>
          <w:tcPr>
            <w:tcW w:w="1220" w:type="dxa"/>
            <w:vMerge w:val="restart"/>
          </w:tcPr>
          <w:p>
            <w:pPr>
              <w:pStyle w:val="14"/>
              <w:spacing w:before="10"/>
              <w:jc w:val="left"/>
              <w:rPr>
                <w:b/>
                <w:sz w:val="20"/>
              </w:rPr>
            </w:pPr>
          </w:p>
          <w:p>
            <w:pPr>
              <w:pStyle w:val="14"/>
              <w:ind w:left="294"/>
              <w:jc w:val="left"/>
              <w:rPr>
                <w:sz w:val="21"/>
              </w:rPr>
            </w:pPr>
            <w:r>
              <w:rPr>
                <w:sz w:val="21"/>
              </w:rPr>
              <w:t>标准值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464" w:type="dxa"/>
            <w:vMerge w:val="continue"/>
            <w:tcBorders>
              <w:top w:val="nil"/>
            </w:tcBorders>
          </w:tcPr>
          <w:p>
            <w:pPr>
              <w:rPr>
                <w:sz w:val="2"/>
                <w:szCs w:val="2"/>
              </w:rPr>
            </w:pPr>
          </w:p>
        </w:tc>
        <w:tc>
          <w:tcPr>
            <w:tcW w:w="960" w:type="dxa"/>
            <w:vMerge w:val="continue"/>
            <w:tcBorders>
              <w:top w:val="nil"/>
            </w:tcBorders>
          </w:tcPr>
          <w:p>
            <w:pPr>
              <w:rPr>
                <w:sz w:val="2"/>
                <w:szCs w:val="2"/>
              </w:rPr>
            </w:pPr>
          </w:p>
        </w:tc>
        <w:tc>
          <w:tcPr>
            <w:tcW w:w="2576" w:type="dxa"/>
          </w:tcPr>
          <w:p>
            <w:pPr>
              <w:pStyle w:val="14"/>
              <w:spacing w:before="63"/>
              <w:ind w:left="111" w:right="104"/>
              <w:rPr>
                <w:rFonts w:ascii="Times New Roman" w:eastAsia="Times New Roman"/>
                <w:sz w:val="21"/>
              </w:rPr>
            </w:pPr>
            <w:r>
              <w:rPr>
                <w:sz w:val="21"/>
              </w:rPr>
              <w:t xml:space="preserve">工业场地厂址外表层样 </w:t>
            </w:r>
            <w:r>
              <w:rPr>
                <w:rFonts w:ascii="Times New Roman" w:eastAsia="Times New Roman"/>
                <w:sz w:val="21"/>
              </w:rPr>
              <w:t>1</w:t>
            </w:r>
          </w:p>
        </w:tc>
        <w:tc>
          <w:tcPr>
            <w:tcW w:w="2576" w:type="dxa"/>
          </w:tcPr>
          <w:p>
            <w:pPr>
              <w:pStyle w:val="14"/>
              <w:spacing w:before="63"/>
              <w:ind w:left="111" w:right="103"/>
              <w:rPr>
                <w:rFonts w:ascii="Times New Roman" w:eastAsia="Times New Roman"/>
                <w:sz w:val="21"/>
              </w:rPr>
            </w:pPr>
            <w:r>
              <w:rPr>
                <w:sz w:val="21"/>
              </w:rPr>
              <w:t xml:space="preserve">工业场地厂址外表层样 </w:t>
            </w:r>
            <w:r>
              <w:rPr>
                <w:rFonts w:ascii="Times New Roman" w:eastAsia="Times New Roman"/>
                <w:sz w:val="21"/>
              </w:rPr>
              <w:t>2</w:t>
            </w:r>
          </w:p>
        </w:tc>
        <w:tc>
          <w:tcPr>
            <w:tcW w:w="122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464" w:type="dxa"/>
          </w:tcPr>
          <w:p>
            <w:pPr>
              <w:pStyle w:val="14"/>
              <w:spacing w:before="62"/>
              <w:ind w:left="404" w:right="378"/>
              <w:rPr>
                <w:sz w:val="21"/>
              </w:rPr>
            </w:pPr>
            <w:bookmarkStart w:id="982" w:name="pH值"/>
            <w:bookmarkEnd w:id="982"/>
            <w:r>
              <w:rPr>
                <w:rFonts w:ascii="Times New Roman" w:eastAsia="Times New Roman"/>
                <w:sz w:val="21"/>
              </w:rPr>
              <w:t xml:space="preserve">pH </w:t>
            </w:r>
            <w:r>
              <w:rPr>
                <w:sz w:val="21"/>
              </w:rPr>
              <w:t>值</w:t>
            </w:r>
          </w:p>
        </w:tc>
        <w:tc>
          <w:tcPr>
            <w:tcW w:w="960" w:type="dxa"/>
          </w:tcPr>
          <w:p>
            <w:pPr>
              <w:pStyle w:val="14"/>
              <w:spacing w:before="62"/>
              <w:ind w:left="154" w:right="126"/>
              <w:rPr>
                <w:sz w:val="21"/>
              </w:rPr>
            </w:pPr>
            <w:bookmarkStart w:id="983" w:name="无量纲"/>
            <w:bookmarkEnd w:id="983"/>
            <w:r>
              <w:rPr>
                <w:sz w:val="21"/>
              </w:rPr>
              <w:t>无量纲</w:t>
            </w:r>
          </w:p>
        </w:tc>
        <w:tc>
          <w:tcPr>
            <w:tcW w:w="2576" w:type="dxa"/>
          </w:tcPr>
          <w:p>
            <w:pPr>
              <w:pStyle w:val="14"/>
              <w:spacing w:before="80"/>
              <w:ind w:left="111" w:right="102"/>
              <w:rPr>
                <w:rFonts w:ascii="Times New Roman"/>
                <w:sz w:val="21"/>
              </w:rPr>
            </w:pPr>
            <w:bookmarkStart w:id="984" w:name="6.94"/>
            <w:bookmarkEnd w:id="984"/>
            <w:r>
              <w:rPr>
                <w:rFonts w:ascii="Times New Roman"/>
                <w:sz w:val="21"/>
              </w:rPr>
              <w:t>6.94</w:t>
            </w:r>
          </w:p>
        </w:tc>
        <w:tc>
          <w:tcPr>
            <w:tcW w:w="2576" w:type="dxa"/>
          </w:tcPr>
          <w:p>
            <w:pPr>
              <w:pStyle w:val="14"/>
              <w:spacing w:before="80"/>
              <w:ind w:left="111" w:right="101"/>
              <w:rPr>
                <w:rFonts w:ascii="Times New Roman"/>
                <w:sz w:val="21"/>
              </w:rPr>
            </w:pPr>
            <w:bookmarkStart w:id="985" w:name="7.01"/>
            <w:bookmarkEnd w:id="985"/>
            <w:r>
              <w:rPr>
                <w:rFonts w:ascii="Times New Roman"/>
                <w:sz w:val="21"/>
              </w:rPr>
              <w:t>7.01</w:t>
            </w:r>
          </w:p>
        </w:tc>
        <w:tc>
          <w:tcPr>
            <w:tcW w:w="1220" w:type="dxa"/>
          </w:tcPr>
          <w:p>
            <w:pPr>
              <w:pStyle w:val="14"/>
              <w:spacing w:before="76"/>
              <w:ind w:right="520"/>
              <w:jc w:val="right"/>
              <w:rPr>
                <w:rFonts w:ascii="Times New Roman" w:hAnsi="Times New Roman"/>
                <w:sz w:val="21"/>
              </w:rPr>
            </w:pPr>
            <w:bookmarkStart w:id="986" w:name="─"/>
            <w:bookmarkEnd w:id="986"/>
            <w:r>
              <w:rPr>
                <w:rFonts w:ascii="Times New Roman" w:hAns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464" w:type="dxa"/>
          </w:tcPr>
          <w:p>
            <w:pPr>
              <w:pStyle w:val="14"/>
              <w:spacing w:before="63"/>
              <w:ind w:left="406" w:right="378"/>
              <w:rPr>
                <w:sz w:val="21"/>
              </w:rPr>
            </w:pPr>
            <w:bookmarkStart w:id="987" w:name="含盐量"/>
            <w:bookmarkEnd w:id="987"/>
            <w:r>
              <w:rPr>
                <w:sz w:val="21"/>
              </w:rPr>
              <w:t>含盐量</w:t>
            </w:r>
          </w:p>
        </w:tc>
        <w:tc>
          <w:tcPr>
            <w:tcW w:w="960" w:type="dxa"/>
          </w:tcPr>
          <w:p>
            <w:pPr>
              <w:pStyle w:val="14"/>
              <w:spacing w:before="77"/>
              <w:ind w:left="134" w:right="126"/>
              <w:rPr>
                <w:rFonts w:ascii="Times New Roman"/>
                <w:sz w:val="21"/>
              </w:rPr>
            </w:pPr>
            <w:bookmarkStart w:id="988" w:name="g/kg"/>
            <w:bookmarkEnd w:id="988"/>
            <w:r>
              <w:rPr>
                <w:rFonts w:ascii="Times New Roman"/>
                <w:sz w:val="21"/>
              </w:rPr>
              <w:t>g/kg</w:t>
            </w:r>
          </w:p>
        </w:tc>
        <w:tc>
          <w:tcPr>
            <w:tcW w:w="2576" w:type="dxa"/>
          </w:tcPr>
          <w:p>
            <w:pPr>
              <w:pStyle w:val="14"/>
              <w:spacing w:before="79"/>
              <w:ind w:left="111" w:right="102"/>
              <w:rPr>
                <w:rFonts w:ascii="Times New Roman"/>
                <w:sz w:val="21"/>
              </w:rPr>
            </w:pPr>
            <w:bookmarkStart w:id="989" w:name="1.4"/>
            <w:bookmarkEnd w:id="989"/>
            <w:r>
              <w:rPr>
                <w:rFonts w:ascii="Times New Roman"/>
                <w:sz w:val="21"/>
              </w:rPr>
              <w:t>1.4</w:t>
            </w:r>
          </w:p>
        </w:tc>
        <w:tc>
          <w:tcPr>
            <w:tcW w:w="2576" w:type="dxa"/>
          </w:tcPr>
          <w:p>
            <w:pPr>
              <w:pStyle w:val="14"/>
              <w:spacing w:before="79"/>
              <w:ind w:left="111" w:right="101"/>
              <w:rPr>
                <w:rFonts w:ascii="Times New Roman"/>
                <w:sz w:val="21"/>
              </w:rPr>
            </w:pPr>
            <w:bookmarkStart w:id="990" w:name="1.5"/>
            <w:bookmarkEnd w:id="990"/>
            <w:r>
              <w:rPr>
                <w:rFonts w:ascii="Times New Roman"/>
                <w:sz w:val="21"/>
              </w:rPr>
              <w:t>1.5</w:t>
            </w:r>
          </w:p>
        </w:tc>
        <w:tc>
          <w:tcPr>
            <w:tcW w:w="1220" w:type="dxa"/>
          </w:tcPr>
          <w:p>
            <w:pPr>
              <w:pStyle w:val="14"/>
              <w:spacing w:before="77"/>
              <w:ind w:right="520"/>
              <w:jc w:val="right"/>
              <w:rPr>
                <w:rFonts w:ascii="Times New Roman" w:hAnsi="Times New Roman"/>
                <w:sz w:val="21"/>
              </w:rPr>
            </w:pPr>
            <w:bookmarkStart w:id="991" w:name="─"/>
            <w:bookmarkEnd w:id="991"/>
            <w:r>
              <w:rPr>
                <w:rFonts w:ascii="Times New Roman" w:hAns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464" w:type="dxa"/>
          </w:tcPr>
          <w:p>
            <w:pPr>
              <w:pStyle w:val="14"/>
              <w:spacing w:before="64"/>
              <w:ind w:left="28"/>
              <w:rPr>
                <w:sz w:val="21"/>
              </w:rPr>
            </w:pPr>
            <w:bookmarkStart w:id="992" w:name="镉"/>
            <w:bookmarkEnd w:id="992"/>
            <w:r>
              <w:rPr>
                <w:w w:val="99"/>
                <w:sz w:val="21"/>
              </w:rPr>
              <w:t>镉</w:t>
            </w:r>
          </w:p>
        </w:tc>
        <w:tc>
          <w:tcPr>
            <w:tcW w:w="960" w:type="dxa"/>
          </w:tcPr>
          <w:p>
            <w:pPr>
              <w:pStyle w:val="14"/>
              <w:spacing w:before="78"/>
              <w:ind w:left="146" w:right="126"/>
              <w:rPr>
                <w:rFonts w:ascii="Times New Roman"/>
                <w:sz w:val="21"/>
              </w:rPr>
            </w:pPr>
            <w:bookmarkStart w:id="993" w:name="mg/kg"/>
            <w:bookmarkEnd w:id="993"/>
            <w:r>
              <w:rPr>
                <w:rFonts w:ascii="Times New Roman"/>
                <w:sz w:val="21"/>
              </w:rPr>
              <w:t>mg/kg</w:t>
            </w:r>
          </w:p>
        </w:tc>
        <w:tc>
          <w:tcPr>
            <w:tcW w:w="2576" w:type="dxa"/>
          </w:tcPr>
          <w:p>
            <w:pPr>
              <w:pStyle w:val="14"/>
              <w:spacing w:before="78"/>
              <w:ind w:left="111" w:right="102"/>
              <w:rPr>
                <w:rFonts w:ascii="Times New Roman"/>
                <w:sz w:val="21"/>
              </w:rPr>
            </w:pPr>
            <w:r>
              <w:rPr>
                <w:rFonts w:ascii="Times New Roman"/>
                <w:sz w:val="21"/>
              </w:rPr>
              <w:t>0.21</w:t>
            </w:r>
          </w:p>
        </w:tc>
        <w:tc>
          <w:tcPr>
            <w:tcW w:w="2576" w:type="dxa"/>
          </w:tcPr>
          <w:p>
            <w:pPr>
              <w:pStyle w:val="14"/>
              <w:spacing w:before="78"/>
              <w:ind w:left="111" w:right="101"/>
              <w:rPr>
                <w:rFonts w:ascii="Times New Roman"/>
                <w:sz w:val="21"/>
              </w:rPr>
            </w:pPr>
            <w:r>
              <w:rPr>
                <w:rFonts w:ascii="Times New Roman"/>
                <w:sz w:val="21"/>
              </w:rPr>
              <w:t>0.20</w:t>
            </w:r>
          </w:p>
        </w:tc>
        <w:tc>
          <w:tcPr>
            <w:tcW w:w="1220" w:type="dxa"/>
          </w:tcPr>
          <w:p>
            <w:pPr>
              <w:pStyle w:val="14"/>
              <w:spacing w:before="78"/>
              <w:ind w:right="468"/>
              <w:jc w:val="right"/>
              <w:rPr>
                <w:rFonts w:ascii="Times New Roman"/>
                <w:sz w:val="21"/>
              </w:rPr>
            </w:pPr>
            <w:bookmarkStart w:id="994" w:name="0.3"/>
            <w:bookmarkEnd w:id="994"/>
            <w:r>
              <w:rPr>
                <w:rFonts w:ascii="Times New Roman"/>
                <w:w w:val="95"/>
                <w:sz w:val="21"/>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464" w:type="dxa"/>
          </w:tcPr>
          <w:p>
            <w:pPr>
              <w:pStyle w:val="14"/>
              <w:spacing w:before="62"/>
              <w:ind w:left="28"/>
              <w:rPr>
                <w:sz w:val="21"/>
              </w:rPr>
            </w:pPr>
            <w:bookmarkStart w:id="995" w:name="汞"/>
            <w:bookmarkEnd w:id="995"/>
            <w:r>
              <w:rPr>
                <w:w w:val="99"/>
                <w:sz w:val="21"/>
              </w:rPr>
              <w:t>汞</w:t>
            </w:r>
          </w:p>
        </w:tc>
        <w:tc>
          <w:tcPr>
            <w:tcW w:w="960" w:type="dxa"/>
          </w:tcPr>
          <w:p>
            <w:pPr>
              <w:pStyle w:val="14"/>
              <w:spacing w:before="98"/>
              <w:ind w:left="134" w:right="126"/>
              <w:rPr>
                <w:rFonts w:ascii="Times New Roman"/>
                <w:sz w:val="21"/>
              </w:rPr>
            </w:pPr>
            <w:bookmarkStart w:id="996" w:name="mg/kg"/>
            <w:bookmarkEnd w:id="996"/>
            <w:r>
              <w:rPr>
                <w:rFonts w:ascii="Times New Roman"/>
                <w:sz w:val="21"/>
              </w:rPr>
              <w:t>mg/kg</w:t>
            </w:r>
          </w:p>
        </w:tc>
        <w:tc>
          <w:tcPr>
            <w:tcW w:w="2576" w:type="dxa"/>
          </w:tcPr>
          <w:p>
            <w:pPr>
              <w:pStyle w:val="14"/>
              <w:spacing w:before="76"/>
              <w:ind w:left="111" w:right="99"/>
              <w:rPr>
                <w:rFonts w:ascii="Times New Roman"/>
                <w:sz w:val="21"/>
              </w:rPr>
            </w:pPr>
            <w:r>
              <w:rPr>
                <w:rFonts w:ascii="Times New Roman"/>
                <w:sz w:val="21"/>
              </w:rPr>
              <w:t>0.065</w:t>
            </w:r>
          </w:p>
        </w:tc>
        <w:tc>
          <w:tcPr>
            <w:tcW w:w="2576" w:type="dxa"/>
          </w:tcPr>
          <w:p>
            <w:pPr>
              <w:pStyle w:val="14"/>
              <w:spacing w:before="76"/>
              <w:ind w:left="111" w:right="101"/>
              <w:rPr>
                <w:rFonts w:ascii="Times New Roman"/>
                <w:sz w:val="21"/>
              </w:rPr>
            </w:pPr>
            <w:r>
              <w:rPr>
                <w:rFonts w:ascii="Times New Roman"/>
                <w:sz w:val="21"/>
              </w:rPr>
              <w:t>0.064</w:t>
            </w:r>
          </w:p>
        </w:tc>
        <w:tc>
          <w:tcPr>
            <w:tcW w:w="1220" w:type="dxa"/>
          </w:tcPr>
          <w:p>
            <w:pPr>
              <w:pStyle w:val="14"/>
              <w:spacing w:before="76"/>
              <w:ind w:right="465"/>
              <w:jc w:val="right"/>
              <w:rPr>
                <w:rFonts w:ascii="Times New Roman"/>
                <w:sz w:val="21"/>
              </w:rPr>
            </w:pPr>
            <w:r>
              <w:rPr>
                <w:rFonts w:ascii="Times New Roman"/>
                <w:w w:val="95"/>
                <w:sz w:val="21"/>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464" w:type="dxa"/>
          </w:tcPr>
          <w:p>
            <w:pPr>
              <w:pStyle w:val="14"/>
              <w:spacing w:before="63"/>
              <w:ind w:left="28"/>
              <w:rPr>
                <w:sz w:val="21"/>
              </w:rPr>
            </w:pPr>
            <w:bookmarkStart w:id="997" w:name="砷"/>
            <w:bookmarkEnd w:id="997"/>
            <w:r>
              <w:rPr>
                <w:w w:val="99"/>
                <w:sz w:val="21"/>
              </w:rPr>
              <w:t>砷</w:t>
            </w:r>
          </w:p>
        </w:tc>
        <w:tc>
          <w:tcPr>
            <w:tcW w:w="960" w:type="dxa"/>
          </w:tcPr>
          <w:p>
            <w:pPr>
              <w:pStyle w:val="14"/>
              <w:spacing w:before="99"/>
              <w:ind w:left="134" w:right="126"/>
              <w:rPr>
                <w:rFonts w:ascii="Times New Roman"/>
                <w:sz w:val="21"/>
              </w:rPr>
            </w:pPr>
            <w:bookmarkStart w:id="998" w:name="mg/kg"/>
            <w:bookmarkEnd w:id="998"/>
            <w:r>
              <w:rPr>
                <w:rFonts w:ascii="Times New Roman"/>
                <w:sz w:val="21"/>
              </w:rPr>
              <w:t>mg/kg</w:t>
            </w:r>
          </w:p>
        </w:tc>
        <w:tc>
          <w:tcPr>
            <w:tcW w:w="2576" w:type="dxa"/>
          </w:tcPr>
          <w:p>
            <w:pPr>
              <w:pStyle w:val="14"/>
              <w:spacing w:before="77"/>
              <w:ind w:left="111" w:right="102"/>
              <w:rPr>
                <w:rFonts w:ascii="Times New Roman"/>
                <w:sz w:val="21"/>
              </w:rPr>
            </w:pPr>
            <w:r>
              <w:rPr>
                <w:rFonts w:ascii="Times New Roman"/>
                <w:sz w:val="21"/>
              </w:rPr>
              <w:t>8.77</w:t>
            </w:r>
          </w:p>
        </w:tc>
        <w:tc>
          <w:tcPr>
            <w:tcW w:w="2576" w:type="dxa"/>
          </w:tcPr>
          <w:p>
            <w:pPr>
              <w:pStyle w:val="14"/>
              <w:spacing w:before="77"/>
              <w:ind w:left="111" w:right="101"/>
              <w:rPr>
                <w:rFonts w:ascii="Times New Roman"/>
                <w:sz w:val="21"/>
              </w:rPr>
            </w:pPr>
            <w:r>
              <w:rPr>
                <w:rFonts w:ascii="Times New Roman"/>
                <w:sz w:val="21"/>
              </w:rPr>
              <w:t>8.71</w:t>
            </w:r>
          </w:p>
        </w:tc>
        <w:tc>
          <w:tcPr>
            <w:tcW w:w="1220" w:type="dxa"/>
          </w:tcPr>
          <w:p>
            <w:pPr>
              <w:pStyle w:val="14"/>
              <w:spacing w:before="77"/>
              <w:ind w:right="492"/>
              <w:jc w:val="right"/>
              <w:rPr>
                <w:rFonts w:ascii="Times New Roman"/>
                <w:sz w:val="21"/>
              </w:rPr>
            </w:pPr>
            <w:r>
              <w:rPr>
                <w:rFonts w:ascii="Times New Roman"/>
                <w:sz w:val="21"/>
              </w:rPr>
              <w:t>30</w:t>
            </w:r>
          </w:p>
        </w:tc>
      </w:tr>
    </w:tbl>
    <w:p>
      <w:pPr>
        <w:spacing w:after="0"/>
        <w:jc w:val="right"/>
        <w:rPr>
          <w:rFonts w:ascii="Times New Roman"/>
          <w:sz w:val="21"/>
        </w:rPr>
        <w:sectPr>
          <w:pgSz w:w="11910" w:h="16840"/>
          <w:pgMar w:top="1580" w:right="780" w:bottom="1320" w:left="1200" w:header="0" w:footer="1058" w:gutter="0"/>
        </w:sectPr>
      </w:pPr>
    </w:p>
    <w:tbl>
      <w:tblPr>
        <w:tblStyle w:val="10"/>
        <w:tblW w:w="0" w:type="auto"/>
        <w:tblInd w:w="3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64"/>
        <w:gridCol w:w="960"/>
        <w:gridCol w:w="2576"/>
        <w:gridCol w:w="2576"/>
        <w:gridCol w:w="12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464" w:type="dxa"/>
          </w:tcPr>
          <w:p>
            <w:pPr>
              <w:pStyle w:val="14"/>
              <w:spacing w:before="63"/>
              <w:ind w:left="28"/>
              <w:rPr>
                <w:sz w:val="21"/>
              </w:rPr>
            </w:pPr>
            <w:bookmarkStart w:id="999" w:name="铅"/>
            <w:bookmarkEnd w:id="999"/>
            <w:r>
              <w:rPr>
                <w:w w:val="99"/>
                <w:sz w:val="21"/>
              </w:rPr>
              <w:t>铅</w:t>
            </w:r>
          </w:p>
        </w:tc>
        <w:tc>
          <w:tcPr>
            <w:tcW w:w="960" w:type="dxa"/>
          </w:tcPr>
          <w:p>
            <w:pPr>
              <w:pStyle w:val="14"/>
              <w:spacing w:before="98"/>
              <w:ind w:left="134" w:right="126"/>
              <w:rPr>
                <w:rFonts w:ascii="Times New Roman"/>
                <w:sz w:val="21"/>
              </w:rPr>
            </w:pPr>
            <w:bookmarkStart w:id="1000" w:name="mg/kg"/>
            <w:bookmarkEnd w:id="1000"/>
            <w:r>
              <w:rPr>
                <w:rFonts w:ascii="Times New Roman"/>
                <w:sz w:val="21"/>
              </w:rPr>
              <w:t>mg/kg</w:t>
            </w:r>
          </w:p>
        </w:tc>
        <w:tc>
          <w:tcPr>
            <w:tcW w:w="2576" w:type="dxa"/>
          </w:tcPr>
          <w:p>
            <w:pPr>
              <w:pStyle w:val="14"/>
              <w:spacing w:before="77"/>
              <w:ind w:left="111" w:right="102"/>
              <w:rPr>
                <w:rFonts w:ascii="Times New Roman"/>
                <w:sz w:val="21"/>
              </w:rPr>
            </w:pPr>
            <w:r>
              <w:rPr>
                <w:rFonts w:ascii="Times New Roman"/>
                <w:sz w:val="21"/>
              </w:rPr>
              <w:t>34.1</w:t>
            </w:r>
          </w:p>
        </w:tc>
        <w:tc>
          <w:tcPr>
            <w:tcW w:w="2576" w:type="dxa"/>
          </w:tcPr>
          <w:p>
            <w:pPr>
              <w:pStyle w:val="14"/>
              <w:spacing w:before="77"/>
              <w:ind w:left="111" w:right="101"/>
              <w:rPr>
                <w:rFonts w:ascii="Times New Roman"/>
                <w:sz w:val="21"/>
              </w:rPr>
            </w:pPr>
            <w:r>
              <w:rPr>
                <w:rFonts w:ascii="Times New Roman"/>
                <w:sz w:val="21"/>
              </w:rPr>
              <w:t>33.4</w:t>
            </w:r>
          </w:p>
        </w:tc>
        <w:tc>
          <w:tcPr>
            <w:tcW w:w="1220" w:type="dxa"/>
          </w:tcPr>
          <w:p>
            <w:pPr>
              <w:pStyle w:val="14"/>
              <w:spacing w:before="77"/>
              <w:ind w:left="433" w:right="422"/>
              <w:rPr>
                <w:rFonts w:ascii="Times New Roman"/>
                <w:sz w:val="21"/>
              </w:rPr>
            </w:pPr>
            <w:r>
              <w:rPr>
                <w:rFonts w:ascii="Times New Roman"/>
                <w:sz w:val="21"/>
              </w:rPr>
              <w:t>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464" w:type="dxa"/>
          </w:tcPr>
          <w:p>
            <w:pPr>
              <w:pStyle w:val="14"/>
              <w:spacing w:before="64"/>
              <w:ind w:left="28"/>
              <w:rPr>
                <w:sz w:val="21"/>
              </w:rPr>
            </w:pPr>
            <w:bookmarkStart w:id="1001" w:name="铬"/>
            <w:bookmarkEnd w:id="1001"/>
            <w:r>
              <w:rPr>
                <w:w w:val="99"/>
                <w:sz w:val="21"/>
              </w:rPr>
              <w:t>铬</w:t>
            </w:r>
          </w:p>
        </w:tc>
        <w:tc>
          <w:tcPr>
            <w:tcW w:w="960" w:type="dxa"/>
          </w:tcPr>
          <w:p>
            <w:pPr>
              <w:pStyle w:val="14"/>
              <w:spacing w:before="78"/>
              <w:ind w:left="134" w:right="126"/>
              <w:rPr>
                <w:rFonts w:ascii="Times New Roman"/>
                <w:sz w:val="21"/>
              </w:rPr>
            </w:pPr>
            <w:r>
              <w:rPr>
                <w:rFonts w:ascii="Times New Roman"/>
                <w:sz w:val="21"/>
              </w:rPr>
              <w:t>mg/kg</w:t>
            </w:r>
          </w:p>
        </w:tc>
        <w:tc>
          <w:tcPr>
            <w:tcW w:w="2576" w:type="dxa"/>
          </w:tcPr>
          <w:p>
            <w:pPr>
              <w:pStyle w:val="14"/>
              <w:spacing w:before="78"/>
              <w:ind w:left="111" w:right="104"/>
              <w:rPr>
                <w:rFonts w:ascii="Times New Roman"/>
                <w:sz w:val="21"/>
              </w:rPr>
            </w:pPr>
            <w:r>
              <w:rPr>
                <w:rFonts w:ascii="Times New Roman"/>
                <w:sz w:val="21"/>
              </w:rPr>
              <w:t>64</w:t>
            </w:r>
          </w:p>
        </w:tc>
        <w:tc>
          <w:tcPr>
            <w:tcW w:w="2576" w:type="dxa"/>
          </w:tcPr>
          <w:p>
            <w:pPr>
              <w:pStyle w:val="14"/>
              <w:spacing w:before="78"/>
              <w:ind w:left="111" w:right="101"/>
              <w:rPr>
                <w:rFonts w:ascii="Times New Roman"/>
                <w:sz w:val="21"/>
              </w:rPr>
            </w:pPr>
            <w:r>
              <w:rPr>
                <w:rFonts w:ascii="Times New Roman"/>
                <w:sz w:val="21"/>
              </w:rPr>
              <w:t>62</w:t>
            </w:r>
          </w:p>
        </w:tc>
        <w:tc>
          <w:tcPr>
            <w:tcW w:w="1220" w:type="dxa"/>
          </w:tcPr>
          <w:p>
            <w:pPr>
              <w:pStyle w:val="14"/>
              <w:spacing w:before="78"/>
              <w:ind w:left="433" w:right="422"/>
              <w:rPr>
                <w:rFonts w:ascii="Times New Roman"/>
                <w:sz w:val="21"/>
              </w:rPr>
            </w:pPr>
            <w:r>
              <w:rPr>
                <w:rFonts w:ascii="Times New Roman"/>
                <w:sz w:val="21"/>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464" w:type="dxa"/>
          </w:tcPr>
          <w:p>
            <w:pPr>
              <w:pStyle w:val="14"/>
              <w:spacing w:before="63"/>
              <w:ind w:left="28"/>
              <w:rPr>
                <w:sz w:val="21"/>
              </w:rPr>
            </w:pPr>
            <w:bookmarkStart w:id="1002" w:name="铜"/>
            <w:bookmarkEnd w:id="1002"/>
            <w:r>
              <w:rPr>
                <w:w w:val="99"/>
                <w:sz w:val="21"/>
              </w:rPr>
              <w:t>铜</w:t>
            </w:r>
          </w:p>
        </w:tc>
        <w:tc>
          <w:tcPr>
            <w:tcW w:w="960" w:type="dxa"/>
          </w:tcPr>
          <w:p>
            <w:pPr>
              <w:pStyle w:val="14"/>
              <w:spacing w:before="76"/>
              <w:ind w:left="134" w:right="126"/>
              <w:rPr>
                <w:rFonts w:ascii="Times New Roman"/>
                <w:sz w:val="21"/>
              </w:rPr>
            </w:pPr>
            <w:r>
              <w:rPr>
                <w:rFonts w:ascii="Times New Roman"/>
                <w:sz w:val="21"/>
              </w:rPr>
              <w:t>mg/kg</w:t>
            </w:r>
          </w:p>
        </w:tc>
        <w:tc>
          <w:tcPr>
            <w:tcW w:w="2576" w:type="dxa"/>
          </w:tcPr>
          <w:p>
            <w:pPr>
              <w:pStyle w:val="14"/>
              <w:spacing w:before="76"/>
              <w:ind w:left="111" w:right="104"/>
              <w:rPr>
                <w:rFonts w:ascii="Times New Roman"/>
                <w:sz w:val="21"/>
              </w:rPr>
            </w:pPr>
            <w:r>
              <w:rPr>
                <w:rFonts w:ascii="Times New Roman"/>
                <w:sz w:val="21"/>
              </w:rPr>
              <w:t>19</w:t>
            </w:r>
          </w:p>
        </w:tc>
        <w:tc>
          <w:tcPr>
            <w:tcW w:w="2576" w:type="dxa"/>
          </w:tcPr>
          <w:p>
            <w:pPr>
              <w:pStyle w:val="14"/>
              <w:spacing w:before="76"/>
              <w:ind w:left="111" w:right="101"/>
              <w:rPr>
                <w:rFonts w:ascii="Times New Roman"/>
                <w:sz w:val="21"/>
              </w:rPr>
            </w:pPr>
            <w:r>
              <w:rPr>
                <w:rFonts w:ascii="Times New Roman"/>
                <w:sz w:val="21"/>
              </w:rPr>
              <w:t>19</w:t>
            </w:r>
          </w:p>
        </w:tc>
        <w:tc>
          <w:tcPr>
            <w:tcW w:w="1220" w:type="dxa"/>
          </w:tcPr>
          <w:p>
            <w:pPr>
              <w:pStyle w:val="14"/>
              <w:spacing w:before="76"/>
              <w:ind w:left="433" w:right="422"/>
              <w:rPr>
                <w:rFonts w:ascii="Times New Roman"/>
                <w:sz w:val="21"/>
              </w:rPr>
            </w:pPr>
            <w:r>
              <w:rPr>
                <w:rFonts w:ascii="Times New Roman"/>
                <w:sz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464" w:type="dxa"/>
          </w:tcPr>
          <w:p>
            <w:pPr>
              <w:pStyle w:val="14"/>
              <w:spacing w:before="63"/>
              <w:ind w:left="28"/>
              <w:rPr>
                <w:sz w:val="21"/>
              </w:rPr>
            </w:pPr>
            <w:bookmarkStart w:id="1003" w:name="镍"/>
            <w:bookmarkEnd w:id="1003"/>
            <w:r>
              <w:rPr>
                <w:w w:val="99"/>
                <w:sz w:val="21"/>
              </w:rPr>
              <w:t>镍</w:t>
            </w:r>
          </w:p>
        </w:tc>
        <w:tc>
          <w:tcPr>
            <w:tcW w:w="960" w:type="dxa"/>
          </w:tcPr>
          <w:p>
            <w:pPr>
              <w:pStyle w:val="14"/>
              <w:spacing w:before="77"/>
              <w:ind w:left="134" w:right="126"/>
              <w:rPr>
                <w:rFonts w:ascii="Times New Roman"/>
                <w:sz w:val="21"/>
              </w:rPr>
            </w:pPr>
            <w:r>
              <w:rPr>
                <w:rFonts w:ascii="Times New Roman"/>
                <w:sz w:val="21"/>
              </w:rPr>
              <w:t>mg/kg</w:t>
            </w:r>
          </w:p>
        </w:tc>
        <w:tc>
          <w:tcPr>
            <w:tcW w:w="2576" w:type="dxa"/>
          </w:tcPr>
          <w:p>
            <w:pPr>
              <w:pStyle w:val="14"/>
              <w:spacing w:before="77"/>
              <w:ind w:left="111" w:right="104"/>
              <w:rPr>
                <w:rFonts w:ascii="Times New Roman"/>
                <w:sz w:val="21"/>
              </w:rPr>
            </w:pPr>
            <w:r>
              <w:rPr>
                <w:rFonts w:ascii="Times New Roman"/>
                <w:sz w:val="21"/>
              </w:rPr>
              <w:t>28</w:t>
            </w:r>
          </w:p>
        </w:tc>
        <w:tc>
          <w:tcPr>
            <w:tcW w:w="2576" w:type="dxa"/>
          </w:tcPr>
          <w:p>
            <w:pPr>
              <w:pStyle w:val="14"/>
              <w:spacing w:before="77"/>
              <w:ind w:left="111" w:right="101"/>
              <w:rPr>
                <w:rFonts w:ascii="Times New Roman"/>
                <w:sz w:val="21"/>
              </w:rPr>
            </w:pPr>
            <w:r>
              <w:rPr>
                <w:rFonts w:ascii="Times New Roman"/>
                <w:sz w:val="21"/>
              </w:rPr>
              <w:t>28</w:t>
            </w:r>
          </w:p>
        </w:tc>
        <w:tc>
          <w:tcPr>
            <w:tcW w:w="1220" w:type="dxa"/>
          </w:tcPr>
          <w:p>
            <w:pPr>
              <w:pStyle w:val="14"/>
              <w:spacing w:before="77"/>
              <w:ind w:left="433" w:right="422"/>
              <w:rPr>
                <w:rFonts w:ascii="Times New Roman"/>
                <w:sz w:val="21"/>
              </w:rPr>
            </w:pPr>
            <w:r>
              <w:rPr>
                <w:rFonts w:ascii="Times New Roman"/>
                <w:sz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464" w:type="dxa"/>
          </w:tcPr>
          <w:p>
            <w:pPr>
              <w:pStyle w:val="14"/>
              <w:spacing w:before="62"/>
              <w:ind w:left="28"/>
              <w:rPr>
                <w:sz w:val="21"/>
              </w:rPr>
            </w:pPr>
            <w:bookmarkStart w:id="1004" w:name="锌"/>
            <w:bookmarkEnd w:id="1004"/>
            <w:r>
              <w:rPr>
                <w:w w:val="99"/>
                <w:sz w:val="21"/>
              </w:rPr>
              <w:t>锌</w:t>
            </w:r>
          </w:p>
        </w:tc>
        <w:tc>
          <w:tcPr>
            <w:tcW w:w="960" w:type="dxa"/>
          </w:tcPr>
          <w:p>
            <w:pPr>
              <w:pStyle w:val="14"/>
              <w:spacing w:before="76"/>
              <w:ind w:left="134" w:right="126"/>
              <w:rPr>
                <w:rFonts w:ascii="Times New Roman"/>
                <w:sz w:val="21"/>
              </w:rPr>
            </w:pPr>
            <w:r>
              <w:rPr>
                <w:rFonts w:ascii="Times New Roman"/>
                <w:sz w:val="21"/>
              </w:rPr>
              <w:t>mg/kg</w:t>
            </w:r>
          </w:p>
        </w:tc>
        <w:tc>
          <w:tcPr>
            <w:tcW w:w="2576" w:type="dxa"/>
          </w:tcPr>
          <w:p>
            <w:pPr>
              <w:pStyle w:val="14"/>
              <w:spacing w:before="76"/>
              <w:ind w:left="111" w:right="104"/>
              <w:rPr>
                <w:rFonts w:ascii="Times New Roman"/>
                <w:sz w:val="21"/>
              </w:rPr>
            </w:pPr>
            <w:r>
              <w:rPr>
                <w:rFonts w:ascii="Times New Roman"/>
                <w:sz w:val="21"/>
              </w:rPr>
              <w:t>93</w:t>
            </w:r>
          </w:p>
        </w:tc>
        <w:tc>
          <w:tcPr>
            <w:tcW w:w="2576" w:type="dxa"/>
          </w:tcPr>
          <w:p>
            <w:pPr>
              <w:pStyle w:val="14"/>
              <w:spacing w:before="76"/>
              <w:ind w:left="111" w:right="101"/>
              <w:rPr>
                <w:rFonts w:ascii="Times New Roman"/>
                <w:sz w:val="21"/>
              </w:rPr>
            </w:pPr>
            <w:r>
              <w:rPr>
                <w:rFonts w:ascii="Times New Roman"/>
                <w:sz w:val="21"/>
              </w:rPr>
              <w:t>94</w:t>
            </w:r>
          </w:p>
        </w:tc>
        <w:tc>
          <w:tcPr>
            <w:tcW w:w="1220" w:type="dxa"/>
          </w:tcPr>
          <w:p>
            <w:pPr>
              <w:pStyle w:val="14"/>
              <w:spacing w:before="76"/>
              <w:ind w:left="433" w:right="422"/>
              <w:rPr>
                <w:rFonts w:ascii="Times New Roman"/>
                <w:sz w:val="21"/>
              </w:rPr>
            </w:pPr>
            <w:r>
              <w:rPr>
                <w:rFonts w:ascii="Times New Roman"/>
                <w:sz w:val="21"/>
              </w:rPr>
              <w:t>250</w:t>
            </w:r>
          </w:p>
        </w:tc>
      </w:tr>
    </w:tbl>
    <w:p>
      <w:pPr>
        <w:spacing w:before="6"/>
        <w:ind w:left="0" w:right="350" w:firstLine="0"/>
        <w:jc w:val="center"/>
        <w:rPr>
          <w:b/>
          <w:sz w:val="24"/>
        </w:rPr>
      </w:pPr>
      <w:r>
        <w:rPr>
          <w:b/>
          <w:sz w:val="24"/>
        </w:rPr>
        <w:t xml:space="preserve">表 </w:t>
      </w:r>
      <w:r>
        <w:rPr>
          <w:rFonts w:ascii="Times New Roman" w:eastAsia="Times New Roman"/>
          <w:b/>
          <w:sz w:val="24"/>
        </w:rPr>
        <w:t xml:space="preserve">11.2-5 </w:t>
      </w:r>
      <w:r>
        <w:rPr>
          <w:b/>
          <w:sz w:val="24"/>
        </w:rPr>
        <w:t>农用地土壤环境质量评价结果</w:t>
      </w:r>
    </w:p>
    <w:tbl>
      <w:tblPr>
        <w:tblStyle w:val="10"/>
        <w:tblW w:w="0" w:type="auto"/>
        <w:tblInd w:w="5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1"/>
        <w:gridCol w:w="848"/>
        <w:gridCol w:w="2536"/>
        <w:gridCol w:w="2672"/>
        <w:gridCol w:w="10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401" w:type="dxa"/>
            <w:vMerge w:val="restart"/>
          </w:tcPr>
          <w:p>
            <w:pPr>
              <w:pStyle w:val="14"/>
              <w:spacing w:before="9"/>
              <w:jc w:val="left"/>
              <w:rPr>
                <w:b/>
                <w:sz w:val="20"/>
              </w:rPr>
            </w:pPr>
          </w:p>
          <w:p>
            <w:pPr>
              <w:pStyle w:val="14"/>
              <w:ind w:left="315"/>
              <w:jc w:val="left"/>
              <w:rPr>
                <w:sz w:val="21"/>
              </w:rPr>
            </w:pPr>
            <w:bookmarkStart w:id="1005" w:name="检测项目"/>
            <w:bookmarkEnd w:id="1005"/>
            <w:r>
              <w:rPr>
                <w:sz w:val="21"/>
              </w:rPr>
              <w:t>检测项目</w:t>
            </w:r>
          </w:p>
        </w:tc>
        <w:tc>
          <w:tcPr>
            <w:tcW w:w="848" w:type="dxa"/>
            <w:vMerge w:val="restart"/>
          </w:tcPr>
          <w:p>
            <w:pPr>
              <w:pStyle w:val="14"/>
              <w:spacing w:before="9"/>
              <w:jc w:val="left"/>
              <w:rPr>
                <w:b/>
                <w:sz w:val="20"/>
              </w:rPr>
            </w:pPr>
          </w:p>
          <w:p>
            <w:pPr>
              <w:pStyle w:val="14"/>
              <w:ind w:left="212"/>
              <w:jc w:val="left"/>
              <w:rPr>
                <w:sz w:val="21"/>
              </w:rPr>
            </w:pPr>
            <w:r>
              <w:rPr>
                <w:sz w:val="21"/>
              </w:rPr>
              <w:t>单位</w:t>
            </w:r>
          </w:p>
        </w:tc>
        <w:tc>
          <w:tcPr>
            <w:tcW w:w="5208" w:type="dxa"/>
            <w:gridSpan w:val="2"/>
          </w:tcPr>
          <w:p>
            <w:pPr>
              <w:pStyle w:val="14"/>
              <w:spacing w:before="64"/>
              <w:ind w:left="1971" w:right="1962"/>
              <w:rPr>
                <w:sz w:val="21"/>
              </w:rPr>
            </w:pPr>
            <w:r>
              <w:rPr>
                <w:sz w:val="21"/>
              </w:rPr>
              <w:t>占标率（</w:t>
            </w:r>
            <w:r>
              <w:rPr>
                <w:rFonts w:ascii="Times New Roman" w:eastAsia="Times New Roman"/>
                <w:sz w:val="21"/>
              </w:rPr>
              <w:t>%</w:t>
            </w:r>
            <w:r>
              <w:rPr>
                <w:sz w:val="21"/>
              </w:rPr>
              <w:t>）</w:t>
            </w:r>
          </w:p>
        </w:tc>
        <w:tc>
          <w:tcPr>
            <w:tcW w:w="1060" w:type="dxa"/>
            <w:vMerge w:val="restart"/>
          </w:tcPr>
          <w:p>
            <w:pPr>
              <w:pStyle w:val="14"/>
              <w:spacing w:before="9"/>
              <w:jc w:val="left"/>
              <w:rPr>
                <w:b/>
                <w:sz w:val="20"/>
              </w:rPr>
            </w:pPr>
          </w:p>
          <w:p>
            <w:pPr>
              <w:pStyle w:val="14"/>
              <w:ind w:left="108"/>
              <w:jc w:val="left"/>
              <w:rPr>
                <w:sz w:val="21"/>
              </w:rPr>
            </w:pPr>
            <w:r>
              <w:rPr>
                <w:sz w:val="21"/>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401" w:type="dxa"/>
            <w:vMerge w:val="continue"/>
            <w:tcBorders>
              <w:top w:val="nil"/>
            </w:tcBorders>
          </w:tcPr>
          <w:p>
            <w:pPr>
              <w:rPr>
                <w:sz w:val="2"/>
                <w:szCs w:val="2"/>
              </w:rPr>
            </w:pPr>
          </w:p>
        </w:tc>
        <w:tc>
          <w:tcPr>
            <w:tcW w:w="848" w:type="dxa"/>
            <w:vMerge w:val="continue"/>
            <w:tcBorders>
              <w:top w:val="nil"/>
            </w:tcBorders>
          </w:tcPr>
          <w:p>
            <w:pPr>
              <w:rPr>
                <w:sz w:val="2"/>
                <w:szCs w:val="2"/>
              </w:rPr>
            </w:pPr>
          </w:p>
        </w:tc>
        <w:tc>
          <w:tcPr>
            <w:tcW w:w="2536" w:type="dxa"/>
          </w:tcPr>
          <w:p>
            <w:pPr>
              <w:pStyle w:val="14"/>
              <w:spacing w:before="62"/>
              <w:ind w:left="91" w:right="85"/>
              <w:rPr>
                <w:rFonts w:ascii="Times New Roman" w:eastAsia="Times New Roman"/>
                <w:sz w:val="21"/>
              </w:rPr>
            </w:pPr>
            <w:r>
              <w:rPr>
                <w:sz w:val="21"/>
              </w:rPr>
              <w:t xml:space="preserve">工业场地厂址外表层样 </w:t>
            </w:r>
            <w:r>
              <w:rPr>
                <w:rFonts w:ascii="Times New Roman" w:eastAsia="Times New Roman"/>
                <w:sz w:val="21"/>
              </w:rPr>
              <w:t>1</w:t>
            </w:r>
          </w:p>
        </w:tc>
        <w:tc>
          <w:tcPr>
            <w:tcW w:w="2672" w:type="dxa"/>
          </w:tcPr>
          <w:p>
            <w:pPr>
              <w:pStyle w:val="14"/>
              <w:spacing w:before="62"/>
              <w:ind w:left="159" w:right="153"/>
              <w:rPr>
                <w:rFonts w:ascii="Times New Roman" w:eastAsia="Times New Roman"/>
                <w:sz w:val="21"/>
              </w:rPr>
            </w:pPr>
            <w:r>
              <w:rPr>
                <w:sz w:val="21"/>
              </w:rPr>
              <w:t xml:space="preserve">工业场地厂址外表层样 </w:t>
            </w:r>
            <w:r>
              <w:rPr>
                <w:rFonts w:ascii="Times New Roman" w:eastAsia="Times New Roman"/>
                <w:sz w:val="21"/>
              </w:rPr>
              <w:t>2</w:t>
            </w:r>
          </w:p>
        </w:tc>
        <w:tc>
          <w:tcPr>
            <w:tcW w:w="106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401" w:type="dxa"/>
          </w:tcPr>
          <w:p>
            <w:pPr>
              <w:pStyle w:val="14"/>
              <w:spacing w:before="63"/>
              <w:ind w:left="24"/>
              <w:rPr>
                <w:sz w:val="21"/>
              </w:rPr>
            </w:pPr>
            <w:bookmarkStart w:id="1006" w:name="镉"/>
            <w:bookmarkEnd w:id="1006"/>
            <w:r>
              <w:rPr>
                <w:w w:val="99"/>
                <w:sz w:val="21"/>
              </w:rPr>
              <w:t>镉</w:t>
            </w:r>
          </w:p>
        </w:tc>
        <w:tc>
          <w:tcPr>
            <w:tcW w:w="848" w:type="dxa"/>
          </w:tcPr>
          <w:p>
            <w:pPr>
              <w:pStyle w:val="14"/>
              <w:spacing w:before="99"/>
              <w:ind w:left="87" w:right="81"/>
              <w:rPr>
                <w:rFonts w:ascii="Times New Roman"/>
                <w:sz w:val="21"/>
              </w:rPr>
            </w:pPr>
            <w:bookmarkStart w:id="1007" w:name="mg/kg"/>
            <w:bookmarkEnd w:id="1007"/>
            <w:r>
              <w:rPr>
                <w:rFonts w:ascii="Times New Roman"/>
                <w:sz w:val="21"/>
              </w:rPr>
              <w:t>mg/kg</w:t>
            </w:r>
          </w:p>
        </w:tc>
        <w:tc>
          <w:tcPr>
            <w:tcW w:w="2536" w:type="dxa"/>
          </w:tcPr>
          <w:p>
            <w:pPr>
              <w:pStyle w:val="14"/>
              <w:spacing w:before="77"/>
              <w:ind w:left="91" w:right="83"/>
              <w:rPr>
                <w:rFonts w:ascii="Times New Roman"/>
                <w:sz w:val="21"/>
              </w:rPr>
            </w:pPr>
            <w:r>
              <w:rPr>
                <w:rFonts w:ascii="Times New Roman"/>
                <w:sz w:val="21"/>
              </w:rPr>
              <w:t>0.70</w:t>
            </w:r>
          </w:p>
        </w:tc>
        <w:tc>
          <w:tcPr>
            <w:tcW w:w="2672" w:type="dxa"/>
          </w:tcPr>
          <w:p>
            <w:pPr>
              <w:pStyle w:val="14"/>
              <w:spacing w:before="77"/>
              <w:ind w:left="159" w:right="151"/>
              <w:rPr>
                <w:rFonts w:ascii="Times New Roman"/>
                <w:sz w:val="21"/>
              </w:rPr>
            </w:pPr>
            <w:r>
              <w:rPr>
                <w:rFonts w:ascii="Times New Roman"/>
                <w:sz w:val="21"/>
              </w:rPr>
              <w:t>0.67</w:t>
            </w:r>
          </w:p>
        </w:tc>
        <w:tc>
          <w:tcPr>
            <w:tcW w:w="1060" w:type="dxa"/>
          </w:tcPr>
          <w:p>
            <w:pPr>
              <w:pStyle w:val="14"/>
              <w:spacing w:before="63"/>
              <w:ind w:left="218" w:right="21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401" w:type="dxa"/>
          </w:tcPr>
          <w:p>
            <w:pPr>
              <w:pStyle w:val="14"/>
              <w:spacing w:before="62"/>
              <w:ind w:left="24"/>
              <w:rPr>
                <w:sz w:val="21"/>
              </w:rPr>
            </w:pPr>
            <w:bookmarkStart w:id="1008" w:name="汞"/>
            <w:bookmarkEnd w:id="1008"/>
            <w:r>
              <w:rPr>
                <w:w w:val="99"/>
                <w:sz w:val="21"/>
              </w:rPr>
              <w:t>汞</w:t>
            </w:r>
          </w:p>
        </w:tc>
        <w:tc>
          <w:tcPr>
            <w:tcW w:w="848" w:type="dxa"/>
          </w:tcPr>
          <w:p>
            <w:pPr>
              <w:pStyle w:val="14"/>
              <w:spacing w:before="97"/>
              <w:ind w:left="87" w:right="81"/>
              <w:rPr>
                <w:rFonts w:ascii="Times New Roman"/>
                <w:sz w:val="21"/>
              </w:rPr>
            </w:pPr>
            <w:bookmarkStart w:id="1009" w:name="mg/kg"/>
            <w:bookmarkEnd w:id="1009"/>
            <w:r>
              <w:rPr>
                <w:rFonts w:ascii="Times New Roman"/>
                <w:sz w:val="21"/>
              </w:rPr>
              <w:t>mg/kg</w:t>
            </w:r>
          </w:p>
        </w:tc>
        <w:tc>
          <w:tcPr>
            <w:tcW w:w="2536" w:type="dxa"/>
          </w:tcPr>
          <w:p>
            <w:pPr>
              <w:pStyle w:val="14"/>
              <w:spacing w:before="76"/>
              <w:ind w:left="91" w:right="83"/>
              <w:rPr>
                <w:rFonts w:ascii="Times New Roman"/>
                <w:sz w:val="21"/>
              </w:rPr>
            </w:pPr>
            <w:r>
              <w:rPr>
                <w:rFonts w:ascii="Times New Roman"/>
                <w:sz w:val="21"/>
              </w:rPr>
              <w:t>0.03</w:t>
            </w:r>
          </w:p>
        </w:tc>
        <w:tc>
          <w:tcPr>
            <w:tcW w:w="2672" w:type="dxa"/>
          </w:tcPr>
          <w:p>
            <w:pPr>
              <w:pStyle w:val="14"/>
              <w:spacing w:before="76"/>
              <w:ind w:left="159" w:right="151"/>
              <w:rPr>
                <w:rFonts w:ascii="Times New Roman"/>
                <w:sz w:val="21"/>
              </w:rPr>
            </w:pPr>
            <w:r>
              <w:rPr>
                <w:rFonts w:ascii="Times New Roman"/>
                <w:sz w:val="21"/>
              </w:rPr>
              <w:t>0.03</w:t>
            </w:r>
          </w:p>
        </w:tc>
        <w:tc>
          <w:tcPr>
            <w:tcW w:w="1060" w:type="dxa"/>
          </w:tcPr>
          <w:p>
            <w:pPr>
              <w:pStyle w:val="14"/>
              <w:spacing w:before="62"/>
              <w:ind w:left="218" w:right="21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1401" w:type="dxa"/>
          </w:tcPr>
          <w:p>
            <w:pPr>
              <w:pStyle w:val="14"/>
              <w:spacing w:before="63"/>
              <w:ind w:left="24"/>
              <w:rPr>
                <w:sz w:val="21"/>
              </w:rPr>
            </w:pPr>
            <w:bookmarkStart w:id="1010" w:name="砷"/>
            <w:bookmarkEnd w:id="1010"/>
            <w:r>
              <w:rPr>
                <w:w w:val="99"/>
                <w:sz w:val="21"/>
              </w:rPr>
              <w:t>砷</w:t>
            </w:r>
          </w:p>
        </w:tc>
        <w:tc>
          <w:tcPr>
            <w:tcW w:w="848" w:type="dxa"/>
          </w:tcPr>
          <w:p>
            <w:pPr>
              <w:pStyle w:val="14"/>
              <w:spacing w:before="98"/>
              <w:ind w:left="87" w:right="81"/>
              <w:rPr>
                <w:rFonts w:ascii="Times New Roman"/>
                <w:sz w:val="21"/>
              </w:rPr>
            </w:pPr>
            <w:bookmarkStart w:id="1011" w:name="mg/kg"/>
            <w:bookmarkEnd w:id="1011"/>
            <w:r>
              <w:rPr>
                <w:rFonts w:ascii="Times New Roman"/>
                <w:sz w:val="21"/>
              </w:rPr>
              <w:t>mg/kg</w:t>
            </w:r>
          </w:p>
        </w:tc>
        <w:tc>
          <w:tcPr>
            <w:tcW w:w="2536" w:type="dxa"/>
          </w:tcPr>
          <w:p>
            <w:pPr>
              <w:pStyle w:val="14"/>
              <w:spacing w:before="77"/>
              <w:ind w:left="91" w:right="83"/>
              <w:rPr>
                <w:rFonts w:ascii="Times New Roman"/>
                <w:sz w:val="21"/>
              </w:rPr>
            </w:pPr>
            <w:r>
              <w:rPr>
                <w:rFonts w:ascii="Times New Roman"/>
                <w:sz w:val="21"/>
              </w:rPr>
              <w:t>0.29</w:t>
            </w:r>
          </w:p>
        </w:tc>
        <w:tc>
          <w:tcPr>
            <w:tcW w:w="2672" w:type="dxa"/>
          </w:tcPr>
          <w:p>
            <w:pPr>
              <w:pStyle w:val="14"/>
              <w:spacing w:before="77"/>
              <w:ind w:left="159" w:right="151"/>
              <w:rPr>
                <w:rFonts w:ascii="Times New Roman"/>
                <w:sz w:val="21"/>
              </w:rPr>
            </w:pPr>
            <w:r>
              <w:rPr>
                <w:rFonts w:ascii="Times New Roman"/>
                <w:sz w:val="21"/>
              </w:rPr>
              <w:t>0.29</w:t>
            </w:r>
          </w:p>
        </w:tc>
        <w:tc>
          <w:tcPr>
            <w:tcW w:w="1060" w:type="dxa"/>
          </w:tcPr>
          <w:p>
            <w:pPr>
              <w:pStyle w:val="14"/>
              <w:spacing w:before="63"/>
              <w:ind w:left="218" w:right="21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401" w:type="dxa"/>
          </w:tcPr>
          <w:p>
            <w:pPr>
              <w:pStyle w:val="14"/>
              <w:spacing w:before="62"/>
              <w:ind w:left="24"/>
              <w:rPr>
                <w:sz w:val="21"/>
              </w:rPr>
            </w:pPr>
            <w:bookmarkStart w:id="1012" w:name="铅"/>
            <w:bookmarkEnd w:id="1012"/>
            <w:r>
              <w:rPr>
                <w:w w:val="99"/>
                <w:sz w:val="21"/>
              </w:rPr>
              <w:t>铅</w:t>
            </w:r>
          </w:p>
        </w:tc>
        <w:tc>
          <w:tcPr>
            <w:tcW w:w="848" w:type="dxa"/>
          </w:tcPr>
          <w:p>
            <w:pPr>
              <w:pStyle w:val="14"/>
              <w:spacing w:before="97"/>
              <w:ind w:left="87" w:right="81"/>
              <w:rPr>
                <w:rFonts w:ascii="Times New Roman"/>
                <w:sz w:val="21"/>
              </w:rPr>
            </w:pPr>
            <w:bookmarkStart w:id="1013" w:name="mg/kg"/>
            <w:bookmarkEnd w:id="1013"/>
            <w:r>
              <w:rPr>
                <w:rFonts w:ascii="Times New Roman"/>
                <w:sz w:val="21"/>
              </w:rPr>
              <w:t>mg/kg</w:t>
            </w:r>
          </w:p>
        </w:tc>
        <w:tc>
          <w:tcPr>
            <w:tcW w:w="2536" w:type="dxa"/>
          </w:tcPr>
          <w:p>
            <w:pPr>
              <w:pStyle w:val="14"/>
              <w:spacing w:before="76"/>
              <w:ind w:left="91" w:right="83"/>
              <w:rPr>
                <w:rFonts w:ascii="Times New Roman"/>
                <w:sz w:val="21"/>
              </w:rPr>
            </w:pPr>
            <w:r>
              <w:rPr>
                <w:rFonts w:ascii="Times New Roman"/>
                <w:sz w:val="21"/>
              </w:rPr>
              <w:t>0.28</w:t>
            </w:r>
          </w:p>
        </w:tc>
        <w:tc>
          <w:tcPr>
            <w:tcW w:w="2672" w:type="dxa"/>
          </w:tcPr>
          <w:p>
            <w:pPr>
              <w:pStyle w:val="14"/>
              <w:spacing w:before="76"/>
              <w:ind w:left="159" w:right="151"/>
              <w:rPr>
                <w:rFonts w:ascii="Times New Roman"/>
                <w:sz w:val="21"/>
              </w:rPr>
            </w:pPr>
            <w:r>
              <w:rPr>
                <w:rFonts w:ascii="Times New Roman"/>
                <w:sz w:val="21"/>
              </w:rPr>
              <w:t>0.28</w:t>
            </w:r>
          </w:p>
        </w:tc>
        <w:tc>
          <w:tcPr>
            <w:tcW w:w="1060" w:type="dxa"/>
          </w:tcPr>
          <w:p>
            <w:pPr>
              <w:pStyle w:val="14"/>
              <w:spacing w:before="62"/>
              <w:ind w:left="218" w:right="21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401" w:type="dxa"/>
          </w:tcPr>
          <w:p>
            <w:pPr>
              <w:pStyle w:val="14"/>
              <w:spacing w:before="63"/>
              <w:ind w:left="24"/>
              <w:rPr>
                <w:sz w:val="21"/>
              </w:rPr>
            </w:pPr>
            <w:bookmarkStart w:id="1014" w:name="铬"/>
            <w:bookmarkEnd w:id="1014"/>
            <w:r>
              <w:rPr>
                <w:w w:val="99"/>
                <w:sz w:val="21"/>
              </w:rPr>
              <w:t>铬</w:t>
            </w:r>
          </w:p>
        </w:tc>
        <w:tc>
          <w:tcPr>
            <w:tcW w:w="848" w:type="dxa"/>
          </w:tcPr>
          <w:p>
            <w:pPr>
              <w:pStyle w:val="14"/>
              <w:spacing w:before="77"/>
              <w:ind w:left="87" w:right="81"/>
              <w:rPr>
                <w:rFonts w:ascii="Times New Roman"/>
                <w:sz w:val="21"/>
              </w:rPr>
            </w:pPr>
            <w:r>
              <w:rPr>
                <w:rFonts w:ascii="Times New Roman"/>
                <w:sz w:val="21"/>
              </w:rPr>
              <w:t>mg/kg</w:t>
            </w:r>
          </w:p>
        </w:tc>
        <w:tc>
          <w:tcPr>
            <w:tcW w:w="2536" w:type="dxa"/>
          </w:tcPr>
          <w:p>
            <w:pPr>
              <w:pStyle w:val="14"/>
              <w:spacing w:before="77"/>
              <w:ind w:left="91" w:right="83"/>
              <w:rPr>
                <w:rFonts w:ascii="Times New Roman"/>
                <w:sz w:val="21"/>
              </w:rPr>
            </w:pPr>
            <w:r>
              <w:rPr>
                <w:rFonts w:ascii="Times New Roman"/>
                <w:sz w:val="21"/>
              </w:rPr>
              <w:t>0.32</w:t>
            </w:r>
          </w:p>
        </w:tc>
        <w:tc>
          <w:tcPr>
            <w:tcW w:w="2672" w:type="dxa"/>
          </w:tcPr>
          <w:p>
            <w:pPr>
              <w:pStyle w:val="14"/>
              <w:spacing w:before="77"/>
              <w:ind w:left="159" w:right="151"/>
              <w:rPr>
                <w:rFonts w:ascii="Times New Roman"/>
                <w:sz w:val="21"/>
              </w:rPr>
            </w:pPr>
            <w:r>
              <w:rPr>
                <w:rFonts w:ascii="Times New Roman"/>
                <w:sz w:val="21"/>
              </w:rPr>
              <w:t>0.31</w:t>
            </w:r>
          </w:p>
        </w:tc>
        <w:tc>
          <w:tcPr>
            <w:tcW w:w="1060" w:type="dxa"/>
          </w:tcPr>
          <w:p>
            <w:pPr>
              <w:pStyle w:val="14"/>
              <w:spacing w:before="63"/>
              <w:ind w:left="218" w:right="21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401" w:type="dxa"/>
          </w:tcPr>
          <w:p>
            <w:pPr>
              <w:pStyle w:val="14"/>
              <w:spacing w:before="64"/>
              <w:ind w:left="24"/>
              <w:rPr>
                <w:sz w:val="21"/>
              </w:rPr>
            </w:pPr>
            <w:bookmarkStart w:id="1015" w:name="铜"/>
            <w:bookmarkEnd w:id="1015"/>
            <w:r>
              <w:rPr>
                <w:w w:val="99"/>
                <w:sz w:val="21"/>
              </w:rPr>
              <w:t>铜</w:t>
            </w:r>
          </w:p>
        </w:tc>
        <w:tc>
          <w:tcPr>
            <w:tcW w:w="848" w:type="dxa"/>
          </w:tcPr>
          <w:p>
            <w:pPr>
              <w:pStyle w:val="14"/>
              <w:spacing w:before="78"/>
              <w:ind w:left="87" w:right="81"/>
              <w:rPr>
                <w:rFonts w:ascii="Times New Roman"/>
                <w:sz w:val="21"/>
              </w:rPr>
            </w:pPr>
            <w:r>
              <w:rPr>
                <w:rFonts w:ascii="Times New Roman"/>
                <w:sz w:val="21"/>
              </w:rPr>
              <w:t>mg/kg</w:t>
            </w:r>
          </w:p>
        </w:tc>
        <w:tc>
          <w:tcPr>
            <w:tcW w:w="2536" w:type="dxa"/>
          </w:tcPr>
          <w:p>
            <w:pPr>
              <w:pStyle w:val="14"/>
              <w:spacing w:before="78"/>
              <w:ind w:left="91" w:right="83"/>
              <w:rPr>
                <w:rFonts w:ascii="Times New Roman"/>
                <w:sz w:val="21"/>
              </w:rPr>
            </w:pPr>
            <w:r>
              <w:rPr>
                <w:rFonts w:ascii="Times New Roman"/>
                <w:sz w:val="21"/>
              </w:rPr>
              <w:t>0.19</w:t>
            </w:r>
          </w:p>
        </w:tc>
        <w:tc>
          <w:tcPr>
            <w:tcW w:w="2672" w:type="dxa"/>
          </w:tcPr>
          <w:p>
            <w:pPr>
              <w:pStyle w:val="14"/>
              <w:spacing w:before="78"/>
              <w:ind w:left="159" w:right="151"/>
              <w:rPr>
                <w:rFonts w:ascii="Times New Roman"/>
                <w:sz w:val="21"/>
              </w:rPr>
            </w:pPr>
            <w:r>
              <w:rPr>
                <w:rFonts w:ascii="Times New Roman"/>
                <w:sz w:val="21"/>
              </w:rPr>
              <w:t>0.19</w:t>
            </w:r>
          </w:p>
        </w:tc>
        <w:tc>
          <w:tcPr>
            <w:tcW w:w="1060" w:type="dxa"/>
          </w:tcPr>
          <w:p>
            <w:pPr>
              <w:pStyle w:val="14"/>
              <w:spacing w:before="64"/>
              <w:ind w:left="218" w:right="21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401" w:type="dxa"/>
          </w:tcPr>
          <w:p>
            <w:pPr>
              <w:pStyle w:val="14"/>
              <w:spacing w:before="62"/>
              <w:ind w:left="24"/>
              <w:rPr>
                <w:sz w:val="21"/>
              </w:rPr>
            </w:pPr>
            <w:bookmarkStart w:id="1016" w:name="镍"/>
            <w:bookmarkEnd w:id="1016"/>
            <w:r>
              <w:rPr>
                <w:w w:val="99"/>
                <w:sz w:val="21"/>
              </w:rPr>
              <w:t>镍</w:t>
            </w:r>
          </w:p>
        </w:tc>
        <w:tc>
          <w:tcPr>
            <w:tcW w:w="848" w:type="dxa"/>
          </w:tcPr>
          <w:p>
            <w:pPr>
              <w:pStyle w:val="14"/>
              <w:spacing w:before="76"/>
              <w:ind w:left="87" w:right="81"/>
              <w:rPr>
                <w:rFonts w:ascii="Times New Roman"/>
                <w:sz w:val="21"/>
              </w:rPr>
            </w:pPr>
            <w:r>
              <w:rPr>
                <w:rFonts w:ascii="Times New Roman"/>
                <w:sz w:val="21"/>
              </w:rPr>
              <w:t>mg/kg</w:t>
            </w:r>
          </w:p>
        </w:tc>
        <w:tc>
          <w:tcPr>
            <w:tcW w:w="2536" w:type="dxa"/>
          </w:tcPr>
          <w:p>
            <w:pPr>
              <w:pStyle w:val="14"/>
              <w:spacing w:before="76"/>
              <w:ind w:left="91" w:right="83"/>
              <w:rPr>
                <w:rFonts w:ascii="Times New Roman"/>
                <w:sz w:val="21"/>
              </w:rPr>
            </w:pPr>
            <w:r>
              <w:rPr>
                <w:rFonts w:ascii="Times New Roman"/>
                <w:sz w:val="21"/>
              </w:rPr>
              <w:t>0.28</w:t>
            </w:r>
          </w:p>
        </w:tc>
        <w:tc>
          <w:tcPr>
            <w:tcW w:w="2672" w:type="dxa"/>
          </w:tcPr>
          <w:p>
            <w:pPr>
              <w:pStyle w:val="14"/>
              <w:spacing w:before="76"/>
              <w:ind w:left="159" w:right="151"/>
              <w:rPr>
                <w:rFonts w:ascii="Times New Roman"/>
                <w:sz w:val="21"/>
              </w:rPr>
            </w:pPr>
            <w:r>
              <w:rPr>
                <w:rFonts w:ascii="Times New Roman"/>
                <w:sz w:val="21"/>
              </w:rPr>
              <w:t>0.28</w:t>
            </w:r>
          </w:p>
        </w:tc>
        <w:tc>
          <w:tcPr>
            <w:tcW w:w="1060" w:type="dxa"/>
          </w:tcPr>
          <w:p>
            <w:pPr>
              <w:pStyle w:val="14"/>
              <w:spacing w:before="62"/>
              <w:ind w:left="218" w:right="211"/>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401" w:type="dxa"/>
          </w:tcPr>
          <w:p>
            <w:pPr>
              <w:pStyle w:val="14"/>
              <w:spacing w:before="63"/>
              <w:ind w:left="24"/>
              <w:rPr>
                <w:sz w:val="21"/>
              </w:rPr>
            </w:pPr>
            <w:bookmarkStart w:id="1017" w:name="锌"/>
            <w:bookmarkEnd w:id="1017"/>
            <w:r>
              <w:rPr>
                <w:w w:val="99"/>
                <w:sz w:val="21"/>
              </w:rPr>
              <w:t>锌</w:t>
            </w:r>
          </w:p>
        </w:tc>
        <w:tc>
          <w:tcPr>
            <w:tcW w:w="848" w:type="dxa"/>
          </w:tcPr>
          <w:p>
            <w:pPr>
              <w:pStyle w:val="14"/>
              <w:spacing w:before="77"/>
              <w:ind w:left="87" w:right="81"/>
              <w:rPr>
                <w:rFonts w:ascii="Times New Roman"/>
                <w:sz w:val="21"/>
              </w:rPr>
            </w:pPr>
            <w:r>
              <w:rPr>
                <w:rFonts w:ascii="Times New Roman"/>
                <w:sz w:val="21"/>
              </w:rPr>
              <w:t>mg/kg</w:t>
            </w:r>
          </w:p>
        </w:tc>
        <w:tc>
          <w:tcPr>
            <w:tcW w:w="2536" w:type="dxa"/>
          </w:tcPr>
          <w:p>
            <w:pPr>
              <w:pStyle w:val="14"/>
              <w:spacing w:before="80"/>
              <w:ind w:left="91" w:right="83"/>
              <w:rPr>
                <w:rFonts w:ascii="Times New Roman"/>
                <w:sz w:val="21"/>
              </w:rPr>
            </w:pPr>
            <w:bookmarkStart w:id="1018" w:name="0.37"/>
            <w:bookmarkEnd w:id="1018"/>
            <w:r>
              <w:rPr>
                <w:rFonts w:ascii="Times New Roman"/>
                <w:sz w:val="21"/>
              </w:rPr>
              <w:t>0.37</w:t>
            </w:r>
          </w:p>
        </w:tc>
        <w:tc>
          <w:tcPr>
            <w:tcW w:w="2672" w:type="dxa"/>
          </w:tcPr>
          <w:p>
            <w:pPr>
              <w:pStyle w:val="14"/>
              <w:spacing w:before="77"/>
              <w:ind w:left="159" w:right="151"/>
              <w:rPr>
                <w:rFonts w:ascii="Times New Roman"/>
                <w:sz w:val="21"/>
              </w:rPr>
            </w:pPr>
            <w:r>
              <w:rPr>
                <w:rFonts w:ascii="Times New Roman"/>
                <w:sz w:val="21"/>
              </w:rPr>
              <w:t>0.38</w:t>
            </w:r>
          </w:p>
        </w:tc>
        <w:tc>
          <w:tcPr>
            <w:tcW w:w="1060" w:type="dxa"/>
          </w:tcPr>
          <w:p>
            <w:pPr>
              <w:pStyle w:val="14"/>
              <w:spacing w:before="63"/>
              <w:ind w:left="218" w:right="211"/>
              <w:rPr>
                <w:sz w:val="21"/>
              </w:rPr>
            </w:pPr>
            <w:r>
              <w:rPr>
                <w:sz w:val="21"/>
              </w:rPr>
              <w:t>达标</w:t>
            </w:r>
          </w:p>
        </w:tc>
      </w:tr>
    </w:tbl>
    <w:p>
      <w:pPr>
        <w:pStyle w:val="6"/>
        <w:spacing w:before="1" w:line="364" w:lineRule="auto"/>
        <w:ind w:left="215" w:right="578" w:firstLine="480"/>
        <w:jc w:val="both"/>
      </w:pPr>
      <w:r>
        <w:rPr>
          <w:spacing w:val="-12"/>
        </w:rPr>
        <w:t>从土壤环境质量现状监测及评价结果来看，占地范围内土壤各监测项均可以满足《土</w:t>
      </w:r>
      <w:r>
        <w:t>壤环境质量 建设用地土壤污染风险管控标准（试行）》（</w:t>
      </w:r>
      <w:r>
        <w:rPr>
          <w:rFonts w:ascii="Times New Roman" w:eastAsia="Times New Roman"/>
        </w:rPr>
        <w:t>GB36600-2018</w:t>
      </w:r>
      <w:r>
        <w:t>）</w:t>
      </w:r>
      <w:r>
        <w:rPr>
          <w:spacing w:val="-15"/>
        </w:rPr>
        <w:t xml:space="preserve">中表 </w:t>
      </w:r>
      <w:r>
        <w:rPr>
          <w:rFonts w:ascii="Times New Roman" w:eastAsia="Times New Roman"/>
        </w:rPr>
        <w:t xml:space="preserve">1 </w:t>
      </w:r>
      <w:r>
        <w:t>筛选</w:t>
      </w:r>
      <w:r>
        <w:rPr>
          <w:spacing w:val="-8"/>
        </w:rPr>
        <w:t>值或管制值第二类用地要求；占地范围外土壤各监测项均可以满足《土壤环境质量 农用</w:t>
      </w:r>
      <w:r>
        <w:t>地土壤污染风险管控标准（试行）》（</w:t>
      </w:r>
      <w:r>
        <w:rPr>
          <w:rFonts w:ascii="Times New Roman" w:eastAsia="Times New Roman"/>
        </w:rPr>
        <w:t>GB15618-2018</w:t>
      </w:r>
      <w:r>
        <w:t>）</w:t>
      </w:r>
      <w:r>
        <w:rPr>
          <w:spacing w:val="-21"/>
        </w:rPr>
        <w:t xml:space="preserve">中表 </w:t>
      </w:r>
      <w:r>
        <w:rPr>
          <w:rFonts w:ascii="Times New Roman" w:eastAsia="Times New Roman"/>
        </w:rPr>
        <w:t xml:space="preserve">1 </w:t>
      </w:r>
      <w:r>
        <w:t>风险筛选值要求。</w:t>
      </w:r>
    </w:p>
    <w:p>
      <w:pPr>
        <w:pStyle w:val="5"/>
        <w:numPr>
          <w:ilvl w:val="3"/>
          <w:numId w:val="73"/>
        </w:numPr>
        <w:tabs>
          <w:tab w:val="left" w:pos="1044"/>
        </w:tabs>
        <w:spacing w:before="0" w:after="0" w:line="305" w:lineRule="exact"/>
        <w:ind w:left="1044" w:right="0" w:hanging="829"/>
        <w:jc w:val="both"/>
      </w:pPr>
      <w:r>
        <w:t>土壤盐化、酸化、碱化评价</w:t>
      </w:r>
    </w:p>
    <w:p>
      <w:pPr>
        <w:pStyle w:val="6"/>
        <w:spacing w:before="161" w:line="362" w:lineRule="auto"/>
        <w:ind w:left="215" w:right="573" w:firstLine="480"/>
        <w:jc w:val="both"/>
      </w:pPr>
      <w:r>
        <w:t>根据《环境影响评价技术导则 土壤环境（试行）》（</w:t>
      </w:r>
      <w:r>
        <w:rPr>
          <w:rFonts w:ascii="Times New Roman" w:eastAsia="Times New Roman"/>
        </w:rPr>
        <w:t>HJ964-2018</w:t>
      </w:r>
      <w:r>
        <w:t xml:space="preserve">）中附录 </w:t>
      </w:r>
      <w:r>
        <w:rPr>
          <w:rFonts w:ascii="Times New Roman" w:eastAsia="Times New Roman"/>
        </w:rPr>
        <w:t xml:space="preserve">D </w:t>
      </w:r>
      <w:r>
        <w:t xml:space="preserve">土壤酸化、碱化分级标准，本次监测及分析结果见表 </w:t>
      </w:r>
      <w:r>
        <w:rPr>
          <w:rFonts w:ascii="Times New Roman" w:eastAsia="Times New Roman"/>
        </w:rPr>
        <w:t>11.3-6</w:t>
      </w:r>
      <w:r>
        <w:t>。</w:t>
      </w:r>
    </w:p>
    <w:p>
      <w:pPr>
        <w:spacing w:before="3"/>
        <w:ind w:left="2966" w:right="0" w:firstLine="0"/>
        <w:jc w:val="both"/>
        <w:rPr>
          <w:b/>
          <w:sz w:val="21"/>
        </w:rPr>
      </w:pPr>
      <w:r>
        <w:rPr>
          <w:b/>
          <w:sz w:val="21"/>
        </w:rPr>
        <w:t xml:space="preserve">表 </w:t>
      </w:r>
      <w:r>
        <w:rPr>
          <w:rFonts w:ascii="Times New Roman" w:eastAsia="Times New Roman"/>
          <w:b/>
          <w:sz w:val="21"/>
        </w:rPr>
        <w:t xml:space="preserve">11.3-6 </w:t>
      </w:r>
      <w:r>
        <w:rPr>
          <w:b/>
          <w:sz w:val="21"/>
        </w:rPr>
        <w:t>土壤酸化、碱化监测结果分析</w:t>
      </w:r>
    </w:p>
    <w:p>
      <w:pPr>
        <w:pStyle w:val="6"/>
        <w:spacing w:before="11" w:after="1"/>
        <w:rPr>
          <w:b/>
          <w:sz w:val="10"/>
        </w:rPr>
      </w:pP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4"/>
        <w:gridCol w:w="1398"/>
        <w:gridCol w:w="2415"/>
        <w:gridCol w:w="1531"/>
        <w:gridCol w:w="22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2" w:hRule="atLeast"/>
        </w:trPr>
        <w:tc>
          <w:tcPr>
            <w:tcW w:w="1714" w:type="dxa"/>
          </w:tcPr>
          <w:p>
            <w:pPr>
              <w:pStyle w:val="14"/>
              <w:spacing w:line="252" w:lineRule="exact"/>
              <w:ind w:left="201" w:right="177"/>
              <w:rPr>
                <w:sz w:val="21"/>
              </w:rPr>
            </w:pPr>
            <w:bookmarkStart w:id="1019" w:name="监测点位"/>
            <w:bookmarkEnd w:id="1019"/>
            <w:r>
              <w:rPr>
                <w:sz w:val="21"/>
              </w:rPr>
              <w:t>监测点位</w:t>
            </w:r>
          </w:p>
        </w:tc>
        <w:tc>
          <w:tcPr>
            <w:tcW w:w="1398" w:type="dxa"/>
          </w:tcPr>
          <w:p>
            <w:pPr>
              <w:pStyle w:val="14"/>
              <w:spacing w:line="252" w:lineRule="exact"/>
              <w:ind w:left="162" w:right="135"/>
              <w:rPr>
                <w:sz w:val="21"/>
              </w:rPr>
            </w:pPr>
            <w:bookmarkStart w:id="1020" w:name="土壤含盐量"/>
            <w:bookmarkEnd w:id="1020"/>
            <w:r>
              <w:rPr>
                <w:sz w:val="21"/>
              </w:rPr>
              <w:t>土壤含盐量</w:t>
            </w:r>
          </w:p>
        </w:tc>
        <w:tc>
          <w:tcPr>
            <w:tcW w:w="2415" w:type="dxa"/>
          </w:tcPr>
          <w:p>
            <w:pPr>
              <w:pStyle w:val="14"/>
              <w:spacing w:line="252" w:lineRule="exact"/>
              <w:ind w:left="565" w:right="540"/>
              <w:rPr>
                <w:sz w:val="21"/>
              </w:rPr>
            </w:pPr>
            <w:bookmarkStart w:id="1021" w:name="土壤盐化分级"/>
            <w:bookmarkEnd w:id="1021"/>
            <w:r>
              <w:rPr>
                <w:sz w:val="21"/>
              </w:rPr>
              <w:t>土壤盐化分级</w:t>
            </w:r>
          </w:p>
        </w:tc>
        <w:tc>
          <w:tcPr>
            <w:tcW w:w="1531" w:type="dxa"/>
          </w:tcPr>
          <w:p>
            <w:pPr>
              <w:pStyle w:val="14"/>
              <w:spacing w:line="252" w:lineRule="exact"/>
              <w:ind w:left="283" w:right="258"/>
              <w:rPr>
                <w:sz w:val="21"/>
              </w:rPr>
            </w:pPr>
            <w:bookmarkStart w:id="1022" w:name="土壤pH值"/>
            <w:bookmarkEnd w:id="1022"/>
            <w:r>
              <w:rPr>
                <w:sz w:val="21"/>
              </w:rPr>
              <w:t>土壤</w:t>
            </w:r>
            <w:r>
              <w:rPr>
                <w:rFonts w:ascii="Times New Roman" w:eastAsia="Times New Roman"/>
                <w:sz w:val="21"/>
              </w:rPr>
              <w:t xml:space="preserve">pH </w:t>
            </w:r>
            <w:r>
              <w:rPr>
                <w:sz w:val="21"/>
              </w:rPr>
              <w:t>值</w:t>
            </w:r>
          </w:p>
        </w:tc>
        <w:tc>
          <w:tcPr>
            <w:tcW w:w="2282" w:type="dxa"/>
          </w:tcPr>
          <w:p>
            <w:pPr>
              <w:pStyle w:val="14"/>
              <w:spacing w:line="252" w:lineRule="exact"/>
              <w:ind w:left="185" w:right="157"/>
              <w:rPr>
                <w:sz w:val="21"/>
              </w:rPr>
            </w:pPr>
            <w:bookmarkStart w:id="1023" w:name="土壤酸化、碱化程度"/>
            <w:bookmarkEnd w:id="1023"/>
            <w:r>
              <w:rPr>
                <w:sz w:val="21"/>
              </w:rPr>
              <w:t>土壤酸化、碱化程度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714" w:type="dxa"/>
          </w:tcPr>
          <w:p>
            <w:pPr>
              <w:pStyle w:val="14"/>
              <w:spacing w:before="14" w:line="238" w:lineRule="exact"/>
              <w:ind w:left="201" w:right="179"/>
              <w:rPr>
                <w:rFonts w:ascii="Times New Roman"/>
                <w:sz w:val="21"/>
              </w:rPr>
            </w:pPr>
            <w:bookmarkStart w:id="1024" w:name="TR3005-20101"/>
            <w:bookmarkEnd w:id="1024"/>
            <w:r>
              <w:rPr>
                <w:rFonts w:ascii="Times New Roman"/>
                <w:sz w:val="21"/>
              </w:rPr>
              <w:t>TR3005-20101</w:t>
            </w:r>
          </w:p>
        </w:tc>
        <w:tc>
          <w:tcPr>
            <w:tcW w:w="1398" w:type="dxa"/>
          </w:tcPr>
          <w:p>
            <w:pPr>
              <w:pStyle w:val="14"/>
              <w:spacing w:before="14" w:line="238" w:lineRule="exact"/>
              <w:ind w:left="156" w:right="135"/>
              <w:rPr>
                <w:rFonts w:ascii="Times New Roman"/>
                <w:sz w:val="21"/>
              </w:rPr>
            </w:pPr>
            <w:bookmarkStart w:id="1025" w:name="1.3"/>
            <w:bookmarkEnd w:id="1025"/>
            <w:r>
              <w:rPr>
                <w:rFonts w:ascii="Times New Roman"/>
                <w:sz w:val="21"/>
              </w:rPr>
              <w:t>1.3</w:t>
            </w:r>
          </w:p>
        </w:tc>
        <w:tc>
          <w:tcPr>
            <w:tcW w:w="2415" w:type="dxa"/>
          </w:tcPr>
          <w:p>
            <w:pPr>
              <w:pStyle w:val="14"/>
              <w:spacing w:line="252" w:lineRule="exact"/>
              <w:ind w:left="565" w:right="540"/>
              <w:rPr>
                <w:sz w:val="21"/>
              </w:rPr>
            </w:pPr>
            <w:bookmarkStart w:id="1026" w:name="轻度盐化"/>
            <w:bookmarkEnd w:id="1026"/>
            <w:r>
              <w:rPr>
                <w:sz w:val="21"/>
              </w:rPr>
              <w:t>轻度盐化</w:t>
            </w:r>
          </w:p>
        </w:tc>
        <w:tc>
          <w:tcPr>
            <w:tcW w:w="1531" w:type="dxa"/>
          </w:tcPr>
          <w:p>
            <w:pPr>
              <w:pStyle w:val="14"/>
              <w:spacing w:before="14" w:line="238" w:lineRule="exact"/>
              <w:ind w:left="279" w:right="258"/>
              <w:rPr>
                <w:rFonts w:ascii="Times New Roman"/>
                <w:sz w:val="21"/>
              </w:rPr>
            </w:pPr>
            <w:bookmarkStart w:id="1027" w:name="7.07"/>
            <w:bookmarkEnd w:id="1027"/>
            <w:r>
              <w:rPr>
                <w:rFonts w:ascii="Times New Roman"/>
                <w:sz w:val="21"/>
              </w:rPr>
              <w:t>7.07</w:t>
            </w:r>
          </w:p>
        </w:tc>
        <w:tc>
          <w:tcPr>
            <w:tcW w:w="2282" w:type="dxa"/>
          </w:tcPr>
          <w:p>
            <w:pPr>
              <w:pStyle w:val="14"/>
              <w:spacing w:line="252" w:lineRule="exact"/>
              <w:ind w:left="185" w:right="157"/>
              <w:rPr>
                <w:sz w:val="21"/>
              </w:rPr>
            </w:pPr>
            <w:bookmarkStart w:id="1028" w:name="无酸化或碱化"/>
            <w:bookmarkEnd w:id="1028"/>
            <w:r>
              <w:rPr>
                <w:sz w:val="21"/>
              </w:rPr>
              <w:t>无酸化或碱化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714" w:type="dxa"/>
          </w:tcPr>
          <w:p>
            <w:pPr>
              <w:pStyle w:val="14"/>
              <w:spacing w:before="14" w:line="237" w:lineRule="exact"/>
              <w:ind w:left="201" w:right="179"/>
              <w:rPr>
                <w:rFonts w:ascii="Times New Roman"/>
                <w:sz w:val="21"/>
              </w:rPr>
            </w:pPr>
            <w:bookmarkStart w:id="1029" w:name="TR3005-20401"/>
            <w:bookmarkEnd w:id="1029"/>
            <w:r>
              <w:rPr>
                <w:rFonts w:ascii="Times New Roman"/>
                <w:sz w:val="21"/>
              </w:rPr>
              <w:t>TR3005-20401</w:t>
            </w:r>
          </w:p>
        </w:tc>
        <w:tc>
          <w:tcPr>
            <w:tcW w:w="1398" w:type="dxa"/>
          </w:tcPr>
          <w:p>
            <w:pPr>
              <w:pStyle w:val="14"/>
              <w:spacing w:before="14" w:line="237" w:lineRule="exact"/>
              <w:ind w:left="156" w:right="135"/>
              <w:rPr>
                <w:rFonts w:ascii="Times New Roman"/>
                <w:sz w:val="21"/>
              </w:rPr>
            </w:pPr>
            <w:bookmarkStart w:id="1030" w:name="1.4"/>
            <w:bookmarkEnd w:id="1030"/>
            <w:r>
              <w:rPr>
                <w:rFonts w:ascii="Times New Roman"/>
                <w:sz w:val="21"/>
              </w:rPr>
              <w:t>1.4</w:t>
            </w:r>
          </w:p>
        </w:tc>
        <w:tc>
          <w:tcPr>
            <w:tcW w:w="2415" w:type="dxa"/>
          </w:tcPr>
          <w:p>
            <w:pPr>
              <w:pStyle w:val="14"/>
              <w:spacing w:line="251" w:lineRule="exact"/>
              <w:ind w:left="565" w:right="540"/>
              <w:rPr>
                <w:sz w:val="21"/>
              </w:rPr>
            </w:pPr>
            <w:bookmarkStart w:id="1031" w:name="轻度盐化"/>
            <w:bookmarkEnd w:id="1031"/>
            <w:r>
              <w:rPr>
                <w:sz w:val="21"/>
              </w:rPr>
              <w:t>轻度盐化</w:t>
            </w:r>
          </w:p>
        </w:tc>
        <w:tc>
          <w:tcPr>
            <w:tcW w:w="1531" w:type="dxa"/>
          </w:tcPr>
          <w:p>
            <w:pPr>
              <w:pStyle w:val="14"/>
              <w:spacing w:before="14" w:line="237" w:lineRule="exact"/>
              <w:ind w:left="279" w:right="258"/>
              <w:rPr>
                <w:rFonts w:ascii="Times New Roman"/>
                <w:sz w:val="21"/>
              </w:rPr>
            </w:pPr>
            <w:bookmarkStart w:id="1032" w:name="6.94"/>
            <w:bookmarkEnd w:id="1032"/>
            <w:r>
              <w:rPr>
                <w:rFonts w:ascii="Times New Roman"/>
                <w:sz w:val="21"/>
              </w:rPr>
              <w:t>6.94</w:t>
            </w:r>
          </w:p>
        </w:tc>
        <w:tc>
          <w:tcPr>
            <w:tcW w:w="2282" w:type="dxa"/>
          </w:tcPr>
          <w:p>
            <w:pPr>
              <w:pStyle w:val="14"/>
              <w:spacing w:line="251" w:lineRule="exact"/>
              <w:ind w:left="185" w:right="157"/>
              <w:rPr>
                <w:sz w:val="21"/>
              </w:rPr>
            </w:pPr>
            <w:bookmarkStart w:id="1033" w:name="无酸化或碱化"/>
            <w:bookmarkEnd w:id="1033"/>
            <w:r>
              <w:rPr>
                <w:sz w:val="21"/>
              </w:rPr>
              <w:t>无酸化或碱化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714" w:type="dxa"/>
          </w:tcPr>
          <w:p>
            <w:pPr>
              <w:pStyle w:val="14"/>
              <w:spacing w:before="13" w:line="238" w:lineRule="exact"/>
              <w:ind w:left="201" w:right="179"/>
              <w:rPr>
                <w:rFonts w:ascii="Times New Roman"/>
                <w:sz w:val="21"/>
              </w:rPr>
            </w:pPr>
            <w:bookmarkStart w:id="1034" w:name="TR3005-20501"/>
            <w:bookmarkEnd w:id="1034"/>
            <w:r>
              <w:rPr>
                <w:rFonts w:ascii="Times New Roman"/>
                <w:sz w:val="21"/>
              </w:rPr>
              <w:t>TR3005-20501</w:t>
            </w:r>
          </w:p>
        </w:tc>
        <w:tc>
          <w:tcPr>
            <w:tcW w:w="1398" w:type="dxa"/>
          </w:tcPr>
          <w:p>
            <w:pPr>
              <w:pStyle w:val="14"/>
              <w:spacing w:before="13" w:line="238" w:lineRule="exact"/>
              <w:ind w:left="156" w:right="135"/>
              <w:rPr>
                <w:rFonts w:ascii="Times New Roman"/>
                <w:sz w:val="21"/>
              </w:rPr>
            </w:pPr>
            <w:bookmarkStart w:id="1035" w:name="1.5"/>
            <w:bookmarkEnd w:id="1035"/>
            <w:r>
              <w:rPr>
                <w:rFonts w:ascii="Times New Roman"/>
                <w:sz w:val="21"/>
              </w:rPr>
              <w:t>1.5</w:t>
            </w:r>
          </w:p>
        </w:tc>
        <w:tc>
          <w:tcPr>
            <w:tcW w:w="2415" w:type="dxa"/>
          </w:tcPr>
          <w:p>
            <w:pPr>
              <w:pStyle w:val="14"/>
              <w:spacing w:line="252" w:lineRule="exact"/>
              <w:ind w:left="565" w:right="540"/>
              <w:rPr>
                <w:sz w:val="21"/>
              </w:rPr>
            </w:pPr>
            <w:bookmarkStart w:id="1036" w:name="轻度盐化"/>
            <w:bookmarkEnd w:id="1036"/>
            <w:r>
              <w:rPr>
                <w:sz w:val="21"/>
              </w:rPr>
              <w:t>轻度盐化</w:t>
            </w:r>
          </w:p>
        </w:tc>
        <w:tc>
          <w:tcPr>
            <w:tcW w:w="1531" w:type="dxa"/>
          </w:tcPr>
          <w:p>
            <w:pPr>
              <w:pStyle w:val="14"/>
              <w:spacing w:before="13" w:line="238" w:lineRule="exact"/>
              <w:ind w:left="279" w:right="258"/>
              <w:rPr>
                <w:rFonts w:ascii="Times New Roman"/>
                <w:sz w:val="21"/>
              </w:rPr>
            </w:pPr>
            <w:bookmarkStart w:id="1037" w:name="7.01"/>
            <w:bookmarkEnd w:id="1037"/>
            <w:r>
              <w:rPr>
                <w:rFonts w:ascii="Times New Roman"/>
                <w:sz w:val="21"/>
              </w:rPr>
              <w:t>7.01</w:t>
            </w:r>
          </w:p>
        </w:tc>
        <w:tc>
          <w:tcPr>
            <w:tcW w:w="2282" w:type="dxa"/>
          </w:tcPr>
          <w:p>
            <w:pPr>
              <w:pStyle w:val="14"/>
              <w:spacing w:line="252" w:lineRule="exact"/>
              <w:ind w:left="185" w:right="157"/>
              <w:rPr>
                <w:sz w:val="21"/>
              </w:rPr>
            </w:pPr>
            <w:bookmarkStart w:id="1038" w:name="无酸化或碱化"/>
            <w:bookmarkEnd w:id="1038"/>
            <w:r>
              <w:rPr>
                <w:sz w:val="21"/>
              </w:rPr>
              <w:t>无酸化或碱化</w:t>
            </w:r>
          </w:p>
        </w:tc>
      </w:tr>
    </w:tbl>
    <w:p>
      <w:pPr>
        <w:pStyle w:val="6"/>
        <w:spacing w:before="2"/>
        <w:ind w:left="696"/>
      </w:pPr>
      <w:bookmarkStart w:id="1039" w:name="井田开采区范围内的各监测点结果表明，土壤表现为轻度盐化、无酸化或碱化。"/>
      <w:bookmarkEnd w:id="1039"/>
      <w:r>
        <w:t>井田开采区范围内的各监测点结果表明，土壤表现为轻度盐化、无酸化或碱化。</w:t>
      </w:r>
    </w:p>
    <w:p>
      <w:pPr>
        <w:pStyle w:val="4"/>
        <w:numPr>
          <w:ilvl w:val="2"/>
          <w:numId w:val="73"/>
        </w:numPr>
        <w:tabs>
          <w:tab w:val="left" w:pos="1042"/>
        </w:tabs>
        <w:spacing w:before="161" w:after="0" w:line="240" w:lineRule="auto"/>
        <w:ind w:left="1041" w:right="0" w:hanging="827"/>
        <w:jc w:val="both"/>
      </w:pPr>
      <w:bookmarkStart w:id="1040" w:name="11.3.3 工业场地土壤现状监测与评价"/>
      <w:bookmarkEnd w:id="1040"/>
      <w:bookmarkStart w:id="1041" w:name="11.3.3 工业场地土壤现状监测与评价"/>
      <w:bookmarkEnd w:id="1041"/>
      <w:r>
        <w:t>工业场地土壤现状监测与评价</w:t>
      </w:r>
    </w:p>
    <w:p>
      <w:pPr>
        <w:pStyle w:val="5"/>
        <w:numPr>
          <w:ilvl w:val="3"/>
          <w:numId w:val="73"/>
        </w:numPr>
        <w:tabs>
          <w:tab w:val="left" w:pos="1044"/>
        </w:tabs>
        <w:spacing w:before="183" w:after="0" w:line="240" w:lineRule="auto"/>
        <w:ind w:left="1044" w:right="0" w:hanging="829"/>
        <w:jc w:val="both"/>
      </w:pPr>
      <w:r>
        <w:t>监测点位及监测因子</w:t>
      </w:r>
    </w:p>
    <w:p>
      <w:pPr>
        <w:pStyle w:val="6"/>
        <w:spacing w:before="161" w:line="362" w:lineRule="auto"/>
        <w:ind w:left="696" w:right="5081"/>
      </w:pPr>
      <w:r>
        <w:t xml:space="preserve">监测点位：工业场地范围内 </w:t>
      </w:r>
      <w:r>
        <w:rPr>
          <w:rFonts w:ascii="Times New Roman" w:eastAsia="Times New Roman"/>
        </w:rPr>
        <w:t xml:space="preserve">3 </w:t>
      </w:r>
      <w:r>
        <w:t>个表层样监测因子：</w:t>
      </w:r>
    </w:p>
    <w:p>
      <w:pPr>
        <w:spacing w:after="0" w:line="362" w:lineRule="auto"/>
        <w:sectPr>
          <w:footerReference r:id="rId27" w:type="default"/>
          <w:pgSz w:w="11910" w:h="16840"/>
          <w:pgMar w:top="1580" w:right="780" w:bottom="1240" w:left="1200" w:header="0" w:footer="1058" w:gutter="0"/>
          <w:pgNumType w:start="160"/>
        </w:sectPr>
      </w:pPr>
    </w:p>
    <w:p>
      <w:pPr>
        <w:pStyle w:val="6"/>
        <w:spacing w:before="66" w:line="364" w:lineRule="auto"/>
        <w:ind w:left="215" w:right="453" w:firstLine="480"/>
      </w:pPr>
      <w:r>
        <w:rPr>
          <w:spacing w:val="-6"/>
        </w:rPr>
        <w:t xml:space="preserve">工业场地范围内 </w:t>
      </w:r>
      <w:r>
        <w:rPr>
          <w:rFonts w:ascii="Times New Roman" w:eastAsia="Times New Roman"/>
        </w:rPr>
        <w:t xml:space="preserve">1 </w:t>
      </w:r>
      <w:r>
        <w:rPr>
          <w:spacing w:val="1"/>
        </w:rPr>
        <w:t>个表层样</w:t>
      </w:r>
      <w:r>
        <w:rPr>
          <w:rFonts w:ascii="Times New Roman" w:eastAsia="Times New Roman"/>
          <w:spacing w:val="4"/>
        </w:rPr>
        <w:t>-</w:t>
      </w:r>
      <w:r>
        <w:t>建设用地：</w:t>
      </w:r>
      <w:r>
        <w:rPr>
          <w:rFonts w:ascii="Times New Roman" w:eastAsia="Times New Roman"/>
        </w:rPr>
        <w:t>pH</w:t>
      </w:r>
      <w:r>
        <w:t>、含盐量、砷、镉、六价铬、铜、铅、</w:t>
      </w:r>
      <w:r>
        <w:rPr>
          <w:spacing w:val="-10"/>
        </w:rPr>
        <w:t>汞、镍、四氯化碳、氯仿、氯甲烷、</w:t>
      </w:r>
      <w:r>
        <w:rPr>
          <w:rFonts w:ascii="Times New Roman" w:eastAsia="Times New Roman"/>
        </w:rPr>
        <w:t>1,1-</w:t>
      </w:r>
      <w:r>
        <w:rPr>
          <w:spacing w:val="-4"/>
        </w:rPr>
        <w:t>二氯乙烷、</w:t>
      </w:r>
      <w:r>
        <w:rPr>
          <w:rFonts w:ascii="Times New Roman" w:eastAsia="Times New Roman"/>
        </w:rPr>
        <w:t>1,2-</w:t>
      </w:r>
      <w:r>
        <w:rPr>
          <w:spacing w:val="-4"/>
        </w:rPr>
        <w:t>二氯乙烷、</w:t>
      </w:r>
      <w:r>
        <w:rPr>
          <w:rFonts w:ascii="Times New Roman" w:eastAsia="Times New Roman"/>
        </w:rPr>
        <w:t>1,1-</w:t>
      </w:r>
      <w:r>
        <w:rPr>
          <w:spacing w:val="-4"/>
        </w:rPr>
        <w:t>二氯乙烯、顺</w:t>
      </w:r>
      <w:r>
        <w:rPr>
          <w:rFonts w:ascii="Times New Roman" w:eastAsia="Times New Roman"/>
        </w:rPr>
        <w:t xml:space="preserve">-1,2- </w:t>
      </w:r>
      <w:r>
        <w:t>二氯乙烯、反</w:t>
      </w:r>
      <w:r>
        <w:rPr>
          <w:rFonts w:ascii="Times New Roman" w:eastAsia="Times New Roman"/>
        </w:rPr>
        <w:t>-1,2-</w:t>
      </w:r>
      <w:r>
        <w:t>二氯乙烯、二氯甲烷、</w:t>
      </w:r>
      <w:r>
        <w:rPr>
          <w:rFonts w:ascii="Times New Roman" w:eastAsia="Times New Roman"/>
        </w:rPr>
        <w:t>1,2-</w:t>
      </w:r>
      <w:r>
        <w:t>二氯丙烷、</w:t>
      </w:r>
      <w:r>
        <w:rPr>
          <w:rFonts w:ascii="Times New Roman" w:eastAsia="Times New Roman"/>
        </w:rPr>
        <w:t>1,1,1,2-</w:t>
      </w:r>
      <w:r>
        <w:t>四氯乙烷、</w:t>
      </w:r>
      <w:r>
        <w:rPr>
          <w:rFonts w:ascii="Times New Roman" w:eastAsia="Times New Roman"/>
        </w:rPr>
        <w:t>1,1,2,2-</w:t>
      </w:r>
      <w:r>
        <w:t>四氯</w:t>
      </w:r>
      <w:r>
        <w:rPr>
          <w:spacing w:val="-7"/>
        </w:rPr>
        <w:t>乙烷、四氯乙烯、</w:t>
      </w:r>
      <w:r>
        <w:rPr>
          <w:rFonts w:ascii="Times New Roman" w:eastAsia="Times New Roman"/>
        </w:rPr>
        <w:t>1,1,1-</w:t>
      </w:r>
      <w:r>
        <w:rPr>
          <w:spacing w:val="-4"/>
        </w:rPr>
        <w:t>三氯乙烷、</w:t>
      </w:r>
      <w:r>
        <w:rPr>
          <w:rFonts w:ascii="Times New Roman" w:eastAsia="Times New Roman"/>
        </w:rPr>
        <w:t>1,1,2-</w:t>
      </w:r>
      <w:r>
        <w:rPr>
          <w:spacing w:val="-6"/>
        </w:rPr>
        <w:t>三氯乙烷、三氯乙烯、</w:t>
      </w:r>
      <w:r>
        <w:rPr>
          <w:rFonts w:ascii="Times New Roman" w:eastAsia="Times New Roman"/>
        </w:rPr>
        <w:t>1,2,3-</w:t>
      </w:r>
      <w:r>
        <w:rPr>
          <w:spacing w:val="-4"/>
        </w:rPr>
        <w:t>三氯丙烷、氯乙烯、</w:t>
      </w:r>
      <w:r>
        <w:rPr>
          <w:spacing w:val="-3"/>
        </w:rPr>
        <w:t>苯、氯苯、</w:t>
      </w:r>
      <w:r>
        <w:rPr>
          <w:rFonts w:ascii="Times New Roman" w:eastAsia="Times New Roman"/>
        </w:rPr>
        <w:t>1,2-</w:t>
      </w:r>
      <w:r>
        <w:t>二氯苯、</w:t>
      </w:r>
      <w:r>
        <w:rPr>
          <w:rFonts w:ascii="Times New Roman" w:eastAsia="Times New Roman"/>
        </w:rPr>
        <w:t>1,4-</w:t>
      </w:r>
      <w:r>
        <w:t>二氯苯、乙苯、苯乙烯、甲苯、间二甲苯</w:t>
      </w:r>
      <w:r>
        <w:rPr>
          <w:rFonts w:ascii="Times New Roman" w:eastAsia="Times New Roman"/>
        </w:rPr>
        <w:t>+</w:t>
      </w:r>
      <w:r>
        <w:t>对二甲苯、邻二甲苯、硝基苯、苯胺、</w:t>
      </w:r>
      <w:r>
        <w:rPr>
          <w:rFonts w:ascii="Times New Roman" w:eastAsia="Times New Roman"/>
        </w:rPr>
        <w:t>2-</w:t>
      </w:r>
      <w:r>
        <w:t>氯酚、苯并</w:t>
      </w:r>
      <w:r>
        <w:rPr>
          <w:rFonts w:ascii="Times New Roman" w:eastAsia="Times New Roman"/>
        </w:rPr>
        <w:t>[a]</w:t>
      </w:r>
      <w:r>
        <w:t>蒽、苯并</w:t>
      </w:r>
      <w:r>
        <w:rPr>
          <w:rFonts w:ascii="Times New Roman" w:eastAsia="Times New Roman"/>
        </w:rPr>
        <w:t>[a]</w:t>
      </w:r>
      <w:r>
        <w:t>芘、苯并</w:t>
      </w:r>
      <w:r>
        <w:rPr>
          <w:rFonts w:ascii="Times New Roman" w:eastAsia="Times New Roman"/>
        </w:rPr>
        <w:t>[b]</w:t>
      </w:r>
      <w:r>
        <w:t>荧蒽、苯并</w:t>
      </w:r>
      <w:r>
        <w:rPr>
          <w:rFonts w:ascii="Times New Roman" w:eastAsia="Times New Roman"/>
        </w:rPr>
        <w:t>[k]</w:t>
      </w:r>
      <w:r>
        <w:t>荧蒽、䓛、二苯并</w:t>
      </w:r>
      <w:r>
        <w:rPr>
          <w:rFonts w:ascii="Times New Roman" w:eastAsia="Times New Roman"/>
        </w:rPr>
        <w:t>[a,h]</w:t>
      </w:r>
      <w:r>
        <w:t>蒽、茚并</w:t>
      </w:r>
      <w:r>
        <w:rPr>
          <w:rFonts w:ascii="Times New Roman" w:eastAsia="Times New Roman"/>
        </w:rPr>
        <w:t>[1,2,3-cd]</w:t>
      </w:r>
      <w:r>
        <w:t>芘、萘、石油烃（</w:t>
      </w:r>
      <w:r>
        <w:rPr>
          <w:rFonts w:ascii="Times New Roman" w:eastAsia="Times New Roman"/>
        </w:rPr>
        <w:t>C10</w:t>
      </w:r>
      <w:r>
        <w:t>～</w:t>
      </w:r>
      <w:r>
        <w:rPr>
          <w:rFonts w:ascii="Times New Roman" w:eastAsia="Times New Roman"/>
        </w:rPr>
        <w:t>C40</w:t>
      </w:r>
      <w:r>
        <w:t>）；</w:t>
      </w:r>
    </w:p>
    <w:p>
      <w:pPr>
        <w:pStyle w:val="6"/>
        <w:spacing w:line="362" w:lineRule="auto"/>
        <w:ind w:left="215" w:right="578" w:firstLine="480"/>
      </w:pPr>
      <w:r>
        <w:t xml:space="preserve">工业场地范围内 </w:t>
      </w:r>
      <w:r>
        <w:rPr>
          <w:rFonts w:ascii="Times New Roman" w:eastAsia="Times New Roman"/>
        </w:rPr>
        <w:t xml:space="preserve">2 </w:t>
      </w:r>
      <w:r>
        <w:t>个表层样</w:t>
      </w:r>
      <w:r>
        <w:rPr>
          <w:rFonts w:ascii="Times New Roman" w:eastAsia="Times New Roman"/>
        </w:rPr>
        <w:t>-</w:t>
      </w:r>
      <w:r>
        <w:t>建设用地：</w:t>
      </w:r>
      <w:r>
        <w:rPr>
          <w:rFonts w:ascii="Times New Roman" w:eastAsia="Times New Roman"/>
        </w:rPr>
        <w:t>pH</w:t>
      </w:r>
      <w:r>
        <w:t>、含盐量、砷、镉、六价铬、铅、汞、石油烃（</w:t>
      </w:r>
      <w:r>
        <w:rPr>
          <w:rFonts w:ascii="Times New Roman" w:eastAsia="Times New Roman"/>
        </w:rPr>
        <w:t>C10</w:t>
      </w:r>
      <w:r>
        <w:t>～</w:t>
      </w:r>
      <w:r>
        <w:rPr>
          <w:rFonts w:ascii="Times New Roman" w:eastAsia="Times New Roman"/>
        </w:rPr>
        <w:t>C40</w:t>
      </w:r>
      <w:r>
        <w:t>）、铬、锌。</w:t>
      </w:r>
    </w:p>
    <w:p>
      <w:pPr>
        <w:pStyle w:val="5"/>
        <w:numPr>
          <w:ilvl w:val="3"/>
          <w:numId w:val="73"/>
        </w:numPr>
        <w:tabs>
          <w:tab w:val="left" w:pos="1044"/>
        </w:tabs>
        <w:spacing w:before="0" w:after="0" w:line="240" w:lineRule="auto"/>
        <w:ind w:left="1044" w:right="0" w:hanging="829"/>
        <w:jc w:val="left"/>
      </w:pPr>
      <w:r>
        <w:t>监测采样时间及频率</w:t>
      </w:r>
    </w:p>
    <w:p>
      <w:pPr>
        <w:pStyle w:val="6"/>
        <w:spacing w:before="160"/>
        <w:ind w:left="696"/>
      </w:pPr>
      <w:r>
        <w:rPr>
          <w:rFonts w:ascii="Times New Roman" w:eastAsia="Times New Roman"/>
        </w:rPr>
        <w:t xml:space="preserve">2020 </w:t>
      </w:r>
      <w:r>
        <w:t xml:space="preserve">年 </w:t>
      </w:r>
      <w:r>
        <w:rPr>
          <w:rFonts w:ascii="Times New Roman" w:eastAsia="Times New Roman"/>
        </w:rPr>
        <w:t xml:space="preserve">05 </w:t>
      </w:r>
      <w:r>
        <w:t xml:space="preserve">月 </w:t>
      </w:r>
      <w:r>
        <w:rPr>
          <w:rFonts w:ascii="Times New Roman" w:eastAsia="Times New Roman"/>
        </w:rPr>
        <w:t xml:space="preserve">24 </w:t>
      </w:r>
      <w:r>
        <w:t xml:space="preserve">日，采样 </w:t>
      </w:r>
      <w:r>
        <w:rPr>
          <w:rFonts w:ascii="Times New Roman" w:eastAsia="Times New Roman"/>
        </w:rPr>
        <w:t xml:space="preserve">1 </w:t>
      </w:r>
      <w:r>
        <w:t>次。</w:t>
      </w:r>
    </w:p>
    <w:p>
      <w:pPr>
        <w:pStyle w:val="5"/>
        <w:numPr>
          <w:ilvl w:val="3"/>
          <w:numId w:val="73"/>
        </w:numPr>
        <w:tabs>
          <w:tab w:val="left" w:pos="1044"/>
        </w:tabs>
        <w:spacing w:before="158" w:after="0" w:line="240" w:lineRule="auto"/>
        <w:ind w:left="1044" w:right="0" w:hanging="829"/>
        <w:jc w:val="left"/>
      </w:pPr>
      <w:r>
        <w:t>监测分析方法</w:t>
      </w:r>
    </w:p>
    <w:p>
      <w:pPr>
        <w:pStyle w:val="6"/>
        <w:spacing w:before="161"/>
        <w:ind w:right="4957"/>
        <w:jc w:val="right"/>
      </w:pPr>
      <w:r>
        <w:t xml:space="preserve">土壤污染物监测分析方法详见表 </w:t>
      </w:r>
      <w:r>
        <w:rPr>
          <w:rFonts w:ascii="Times New Roman" w:eastAsia="Times New Roman"/>
        </w:rPr>
        <w:t>11.3-1</w:t>
      </w:r>
      <w:r>
        <w:t>。</w:t>
      </w:r>
    </w:p>
    <w:p>
      <w:pPr>
        <w:pStyle w:val="4"/>
        <w:numPr>
          <w:ilvl w:val="2"/>
          <w:numId w:val="73"/>
        </w:numPr>
        <w:tabs>
          <w:tab w:val="left" w:pos="972"/>
        </w:tabs>
        <w:spacing w:before="161" w:after="0" w:line="240" w:lineRule="auto"/>
        <w:ind w:left="972" w:right="5018" w:hanging="972"/>
        <w:jc w:val="right"/>
      </w:pPr>
      <w:bookmarkStart w:id="1042" w:name="11.3.4工业场地土壤环境质量现状评价"/>
      <w:bookmarkEnd w:id="1042"/>
      <w:bookmarkStart w:id="1043" w:name="11.3.4工业场地土壤环境质量现状评价"/>
      <w:bookmarkEnd w:id="1043"/>
      <w:r>
        <w:rPr>
          <w:spacing w:val="-1"/>
          <w:w w:val="95"/>
        </w:rPr>
        <w:t>工业场地土壤环境质量现状评价</w:t>
      </w:r>
    </w:p>
    <w:p>
      <w:pPr>
        <w:pStyle w:val="5"/>
        <w:numPr>
          <w:ilvl w:val="3"/>
          <w:numId w:val="73"/>
        </w:numPr>
        <w:tabs>
          <w:tab w:val="left" w:pos="1044"/>
        </w:tabs>
        <w:spacing w:before="185" w:after="0" w:line="240" w:lineRule="auto"/>
        <w:ind w:left="1044" w:right="0" w:hanging="829"/>
        <w:jc w:val="left"/>
      </w:pPr>
      <w:r>
        <w:t>评价标准</w:t>
      </w:r>
    </w:p>
    <w:p>
      <w:pPr>
        <w:pStyle w:val="6"/>
        <w:spacing w:before="158" w:line="362" w:lineRule="auto"/>
        <w:ind w:left="215" w:right="578" w:firstLine="480"/>
      </w:pPr>
      <w:r>
        <w:t>执行《土壤环境质量 建设用地土壤污染风险管控标准》（</w:t>
      </w:r>
      <w:r>
        <w:rPr>
          <w:rFonts w:ascii="Times New Roman" w:eastAsia="Times New Roman"/>
        </w:rPr>
        <w:t>GB36600-2018</w:t>
      </w:r>
      <w:r>
        <w:t>）中的第二类用地标准。</w:t>
      </w:r>
    </w:p>
    <w:p>
      <w:pPr>
        <w:pStyle w:val="5"/>
        <w:numPr>
          <w:ilvl w:val="3"/>
          <w:numId w:val="73"/>
        </w:numPr>
        <w:tabs>
          <w:tab w:val="left" w:pos="1044"/>
        </w:tabs>
        <w:spacing w:before="5" w:after="0" w:line="240" w:lineRule="auto"/>
        <w:ind w:left="1044" w:right="0" w:hanging="829"/>
        <w:jc w:val="left"/>
      </w:pPr>
      <w:r>
        <w:t>评价方法</w:t>
      </w:r>
    </w:p>
    <w:p>
      <w:pPr>
        <w:pStyle w:val="6"/>
        <w:spacing w:before="161" w:line="362" w:lineRule="auto"/>
        <w:ind w:left="215" w:right="578" w:firstLine="480"/>
      </w:pPr>
      <w:r>
        <w:t xml:space="preserve">本次土壤环境质量评价采用单因子标准指数法。单项土壤监测因子 </w:t>
      </w:r>
      <w:r>
        <w:rPr>
          <w:rFonts w:ascii="Times New Roman" w:eastAsia="Times New Roman"/>
        </w:rPr>
        <w:t xml:space="preserve">i </w:t>
      </w:r>
      <w:r>
        <w:t xml:space="preserve">在第 </w:t>
      </w:r>
      <w:r>
        <w:rPr>
          <w:rFonts w:ascii="Times New Roman" w:eastAsia="Times New Roman"/>
        </w:rPr>
        <w:t xml:space="preserve">j </w:t>
      </w:r>
      <w:r>
        <w:t>点的污染指数。</w:t>
      </w:r>
    </w:p>
    <w:p>
      <w:pPr>
        <w:pStyle w:val="6"/>
        <w:spacing w:before="1"/>
        <w:ind w:left="696"/>
        <w:rPr>
          <w:rFonts w:ascii="Times New Roman"/>
        </w:rPr>
      </w:pPr>
      <w:r>
        <w:rPr>
          <w:rFonts w:ascii="Times New Roman"/>
          <w:position w:val="2"/>
        </w:rPr>
        <w:t>Si=C</w:t>
      </w:r>
      <w:r>
        <w:rPr>
          <w:rFonts w:ascii="Times New Roman"/>
          <w:position w:val="2"/>
          <w:vertAlign w:val="subscript"/>
        </w:rPr>
        <w:t>i</w:t>
      </w:r>
      <w:r>
        <w:rPr>
          <w:rFonts w:ascii="Times New Roman"/>
          <w:position w:val="2"/>
          <w:vertAlign w:val="baseline"/>
        </w:rPr>
        <w:t>/C</w:t>
      </w:r>
      <w:r>
        <w:rPr>
          <w:rFonts w:ascii="Times New Roman"/>
          <w:position w:val="2"/>
          <w:vertAlign w:val="subscript"/>
        </w:rPr>
        <w:t>0</w:t>
      </w:r>
    </w:p>
    <w:p>
      <w:pPr>
        <w:pStyle w:val="6"/>
        <w:spacing w:before="117" w:line="362" w:lineRule="auto"/>
        <w:ind w:left="696" w:right="4622"/>
      </w:pPr>
      <w:r>
        <w:rPr>
          <w:position w:val="2"/>
        </w:rPr>
        <w:t>式中：</w:t>
      </w:r>
      <w:r>
        <w:rPr>
          <w:rFonts w:ascii="Times New Roman" w:hAnsi="Times New Roman" w:eastAsia="Times New Roman"/>
          <w:position w:val="2"/>
        </w:rPr>
        <w:t>S</w:t>
      </w:r>
      <w:r>
        <w:rPr>
          <w:rFonts w:ascii="Times New Roman" w:hAnsi="Times New Roman" w:eastAsia="Times New Roman"/>
          <w:position w:val="2"/>
          <w:vertAlign w:val="subscript"/>
        </w:rPr>
        <w:t>i</w:t>
      </w:r>
      <w:r>
        <w:rPr>
          <w:rFonts w:ascii="Times New Roman" w:hAnsi="Times New Roman" w:eastAsia="Times New Roman"/>
          <w:position w:val="2"/>
          <w:vertAlign w:val="baseline"/>
        </w:rPr>
        <w:t>—</w:t>
      </w:r>
      <w:r>
        <w:rPr>
          <w:spacing w:val="-15"/>
          <w:position w:val="2"/>
          <w:vertAlign w:val="baseline"/>
        </w:rPr>
        <w:t xml:space="preserve">土壤中 </w:t>
      </w:r>
      <w:r>
        <w:rPr>
          <w:rFonts w:ascii="Times New Roman" w:hAnsi="Times New Roman" w:eastAsia="Times New Roman"/>
          <w:position w:val="2"/>
          <w:vertAlign w:val="baseline"/>
        </w:rPr>
        <w:t xml:space="preserve">i </w:t>
      </w:r>
      <w:r>
        <w:rPr>
          <w:position w:val="2"/>
          <w:vertAlign w:val="baseline"/>
        </w:rPr>
        <w:t xml:space="preserve">污染物的污染指数； </w:t>
      </w:r>
      <w:r>
        <w:rPr>
          <w:rFonts w:ascii="Times New Roman" w:hAnsi="Times New Roman" w:eastAsia="Times New Roman"/>
          <w:position w:val="2"/>
          <w:vertAlign w:val="baseline"/>
        </w:rPr>
        <w:t>C</w:t>
      </w:r>
      <w:r>
        <w:rPr>
          <w:rFonts w:ascii="Times New Roman" w:hAnsi="Times New Roman" w:eastAsia="Times New Roman"/>
          <w:position w:val="2"/>
          <w:vertAlign w:val="subscript"/>
        </w:rPr>
        <w:t>i</w:t>
      </w:r>
      <w:r>
        <w:rPr>
          <w:rFonts w:ascii="Times New Roman" w:hAnsi="Times New Roman" w:eastAsia="Times New Roman"/>
          <w:position w:val="2"/>
          <w:vertAlign w:val="baseline"/>
        </w:rPr>
        <w:t>—</w:t>
      </w:r>
      <w:r>
        <w:rPr>
          <w:spacing w:val="-31"/>
          <w:position w:val="2"/>
          <w:vertAlign w:val="baseline"/>
        </w:rPr>
        <w:t xml:space="preserve">第 </w:t>
      </w:r>
      <w:r>
        <w:rPr>
          <w:rFonts w:ascii="Times New Roman" w:hAnsi="Times New Roman" w:eastAsia="Times New Roman"/>
          <w:position w:val="2"/>
          <w:vertAlign w:val="baseline"/>
        </w:rPr>
        <w:t>i</w:t>
      </w:r>
      <w:r>
        <w:rPr>
          <w:rFonts w:ascii="Times New Roman" w:hAnsi="Times New Roman" w:eastAsia="Times New Roman"/>
          <w:spacing w:val="58"/>
          <w:position w:val="2"/>
          <w:vertAlign w:val="baseline"/>
        </w:rPr>
        <w:t xml:space="preserve"> </w:t>
      </w:r>
      <w:r>
        <w:rPr>
          <w:position w:val="2"/>
          <w:vertAlign w:val="baseline"/>
        </w:rPr>
        <w:t>种污染物的实测浓度，（</w:t>
      </w:r>
      <w:r>
        <w:rPr>
          <w:rFonts w:ascii="Times New Roman" w:hAnsi="Times New Roman" w:eastAsia="Times New Roman"/>
          <w:position w:val="2"/>
          <w:vertAlign w:val="baseline"/>
        </w:rPr>
        <w:t>mg/L</w:t>
      </w:r>
      <w:r>
        <w:rPr>
          <w:position w:val="2"/>
          <w:vertAlign w:val="baseline"/>
        </w:rPr>
        <w:t xml:space="preserve">）； </w:t>
      </w:r>
      <w:r>
        <w:rPr>
          <w:rFonts w:ascii="Times New Roman" w:hAnsi="Times New Roman" w:eastAsia="Times New Roman"/>
          <w:position w:val="2"/>
          <w:vertAlign w:val="baseline"/>
        </w:rPr>
        <w:t>C</w:t>
      </w:r>
      <w:r>
        <w:rPr>
          <w:rFonts w:ascii="Times New Roman" w:hAnsi="Times New Roman" w:eastAsia="Times New Roman"/>
          <w:position w:val="2"/>
          <w:vertAlign w:val="subscript"/>
        </w:rPr>
        <w:t>0</w:t>
      </w:r>
      <w:r>
        <w:rPr>
          <w:rFonts w:ascii="Times New Roman" w:hAnsi="Times New Roman" w:eastAsia="Times New Roman"/>
          <w:spacing w:val="-1"/>
          <w:position w:val="2"/>
          <w:vertAlign w:val="baseline"/>
        </w:rPr>
        <w:t xml:space="preserve"> —</w:t>
      </w:r>
      <w:r>
        <w:rPr>
          <w:spacing w:val="-30"/>
          <w:position w:val="2"/>
          <w:vertAlign w:val="baseline"/>
        </w:rPr>
        <w:t xml:space="preserve">第 </w:t>
      </w:r>
      <w:r>
        <w:rPr>
          <w:rFonts w:ascii="Times New Roman" w:hAnsi="Times New Roman" w:eastAsia="Times New Roman"/>
          <w:position w:val="2"/>
          <w:vertAlign w:val="baseline"/>
        </w:rPr>
        <w:t xml:space="preserve">i </w:t>
      </w:r>
      <w:r>
        <w:rPr>
          <w:position w:val="2"/>
          <w:vertAlign w:val="baseline"/>
        </w:rPr>
        <w:t>种污染物的评价标准，（</w:t>
      </w:r>
      <w:r>
        <w:rPr>
          <w:rFonts w:ascii="Times New Roman" w:hAnsi="Times New Roman" w:eastAsia="Times New Roman"/>
          <w:position w:val="2"/>
          <w:vertAlign w:val="baseline"/>
        </w:rPr>
        <w:t>mg/L</w:t>
      </w:r>
      <w:r>
        <w:rPr>
          <w:position w:val="2"/>
          <w:vertAlign w:val="baseline"/>
        </w:rPr>
        <w:t>）</w:t>
      </w:r>
      <w:r>
        <w:rPr>
          <w:spacing w:val="-17"/>
          <w:position w:val="2"/>
          <w:vertAlign w:val="baseline"/>
        </w:rPr>
        <w:t>。</w:t>
      </w:r>
    </w:p>
    <w:p>
      <w:pPr>
        <w:pStyle w:val="6"/>
        <w:spacing w:line="362" w:lineRule="auto"/>
        <w:ind w:left="215" w:right="578" w:firstLine="480"/>
      </w:pPr>
      <w:r>
        <w:t xml:space="preserve">土壤污染因子的标准指数大于 </w:t>
      </w:r>
      <w:r>
        <w:rPr>
          <w:rFonts w:ascii="Times New Roman" w:eastAsia="Times New Roman"/>
        </w:rPr>
        <w:t>1</w:t>
      </w:r>
      <w:r>
        <w:t>，表明该污染物超过了规定的标准限值，标准指数越大，说明超标越严重。</w:t>
      </w:r>
    </w:p>
    <w:p>
      <w:pPr>
        <w:pStyle w:val="5"/>
        <w:numPr>
          <w:ilvl w:val="3"/>
          <w:numId w:val="73"/>
        </w:numPr>
        <w:tabs>
          <w:tab w:val="left" w:pos="1044"/>
        </w:tabs>
        <w:spacing w:before="4" w:after="0" w:line="240" w:lineRule="auto"/>
        <w:ind w:left="1044" w:right="0" w:hanging="829"/>
        <w:jc w:val="left"/>
      </w:pPr>
      <w:r>
        <w:t>监测结果与评价</w:t>
      </w:r>
    </w:p>
    <w:p>
      <w:pPr>
        <w:pStyle w:val="6"/>
        <w:spacing w:before="158"/>
        <w:ind w:left="696"/>
      </w:pPr>
      <w:r>
        <w:t xml:space="preserve">土壤环境质量监测结果和土壤环境质量评价结果见表 </w:t>
      </w:r>
      <w:r>
        <w:rPr>
          <w:rFonts w:ascii="Times New Roman" w:eastAsia="Times New Roman"/>
        </w:rPr>
        <w:t>11.3-7</w:t>
      </w:r>
      <w:r>
        <w:t>。</w:t>
      </w:r>
    </w:p>
    <w:p>
      <w:pPr>
        <w:pStyle w:val="5"/>
        <w:tabs>
          <w:tab w:val="left" w:pos="1147"/>
        </w:tabs>
        <w:spacing w:before="160"/>
        <w:ind w:right="352"/>
        <w:jc w:val="center"/>
      </w:pPr>
      <w:r>
        <w:t>表</w:t>
      </w:r>
      <w:r>
        <w:rPr>
          <w:spacing w:val="-61"/>
        </w:rPr>
        <w:t xml:space="preserve"> </w:t>
      </w:r>
      <w:r>
        <w:rPr>
          <w:rFonts w:ascii="Times New Roman" w:eastAsia="Times New Roman"/>
          <w:spacing w:val="-3"/>
        </w:rPr>
        <w:t>11.3-7</w:t>
      </w:r>
      <w:r>
        <w:rPr>
          <w:rFonts w:ascii="Times New Roman" w:eastAsia="Times New Roman"/>
          <w:spacing w:val="-3"/>
        </w:rPr>
        <w:tab/>
      </w:r>
      <w:r>
        <w:t>土壤环境质量监测结果</w:t>
      </w:r>
    </w:p>
    <w:p>
      <w:pPr>
        <w:spacing w:after="0"/>
        <w:jc w:val="center"/>
        <w:sectPr>
          <w:pgSz w:w="11910" w:h="16840"/>
          <w:pgMar w:top="1520" w:right="780" w:bottom="1320" w:left="1200" w:header="0" w:footer="1058" w:gutter="0"/>
        </w:sectPr>
      </w:pP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62"/>
        <w:gridCol w:w="1447"/>
        <w:gridCol w:w="1417"/>
        <w:gridCol w:w="1417"/>
        <w:gridCol w:w="1418"/>
        <w:gridCol w:w="10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562" w:type="dxa"/>
            <w:vMerge w:val="restart"/>
          </w:tcPr>
          <w:p>
            <w:pPr>
              <w:pStyle w:val="14"/>
              <w:spacing w:before="6"/>
              <w:jc w:val="left"/>
              <w:rPr>
                <w:b/>
                <w:sz w:val="26"/>
              </w:rPr>
            </w:pPr>
          </w:p>
          <w:p>
            <w:pPr>
              <w:pStyle w:val="14"/>
              <w:ind w:left="328" w:right="303"/>
              <w:rPr>
                <w:sz w:val="21"/>
              </w:rPr>
            </w:pPr>
            <w:bookmarkStart w:id="1044" w:name="检测项目"/>
            <w:bookmarkEnd w:id="1044"/>
            <w:r>
              <w:rPr>
                <w:sz w:val="21"/>
              </w:rPr>
              <w:t>检测项目</w:t>
            </w:r>
          </w:p>
        </w:tc>
        <w:tc>
          <w:tcPr>
            <w:tcW w:w="1447" w:type="dxa"/>
            <w:vMerge w:val="restart"/>
          </w:tcPr>
          <w:p>
            <w:pPr>
              <w:pStyle w:val="14"/>
              <w:spacing w:before="6"/>
              <w:jc w:val="left"/>
              <w:rPr>
                <w:b/>
                <w:sz w:val="26"/>
              </w:rPr>
            </w:pPr>
          </w:p>
          <w:p>
            <w:pPr>
              <w:pStyle w:val="14"/>
              <w:ind w:left="119" w:right="112"/>
              <w:rPr>
                <w:sz w:val="21"/>
              </w:rPr>
            </w:pPr>
            <w:r>
              <w:rPr>
                <w:sz w:val="21"/>
              </w:rPr>
              <w:t>单位</w:t>
            </w:r>
          </w:p>
        </w:tc>
        <w:tc>
          <w:tcPr>
            <w:tcW w:w="4252" w:type="dxa"/>
            <w:gridSpan w:val="3"/>
          </w:tcPr>
          <w:p>
            <w:pPr>
              <w:pStyle w:val="14"/>
              <w:spacing w:before="63"/>
              <w:ind w:left="1789" w:right="1783"/>
              <w:rPr>
                <w:sz w:val="21"/>
              </w:rPr>
            </w:pPr>
            <w:r>
              <w:rPr>
                <w:sz w:val="21"/>
              </w:rPr>
              <w:t>检测值</w:t>
            </w:r>
          </w:p>
        </w:tc>
        <w:tc>
          <w:tcPr>
            <w:tcW w:w="1083" w:type="dxa"/>
            <w:vMerge w:val="restart"/>
          </w:tcPr>
          <w:p>
            <w:pPr>
              <w:pStyle w:val="14"/>
              <w:spacing w:before="6"/>
              <w:jc w:val="left"/>
              <w:rPr>
                <w:b/>
                <w:sz w:val="26"/>
              </w:rPr>
            </w:pPr>
          </w:p>
          <w:p>
            <w:pPr>
              <w:pStyle w:val="14"/>
              <w:ind w:left="226"/>
              <w:jc w:val="left"/>
              <w:rPr>
                <w:sz w:val="21"/>
              </w:rPr>
            </w:pPr>
            <w:r>
              <w:rPr>
                <w:sz w:val="21"/>
              </w:rPr>
              <w:t>标准值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562" w:type="dxa"/>
            <w:vMerge w:val="continue"/>
            <w:tcBorders>
              <w:top w:val="nil"/>
            </w:tcBorders>
          </w:tcPr>
          <w:p>
            <w:pPr>
              <w:rPr>
                <w:sz w:val="2"/>
                <w:szCs w:val="2"/>
              </w:rPr>
            </w:pPr>
          </w:p>
        </w:tc>
        <w:tc>
          <w:tcPr>
            <w:tcW w:w="1447" w:type="dxa"/>
            <w:vMerge w:val="continue"/>
            <w:tcBorders>
              <w:top w:val="nil"/>
            </w:tcBorders>
          </w:tcPr>
          <w:p>
            <w:pPr>
              <w:rPr>
                <w:sz w:val="2"/>
                <w:szCs w:val="2"/>
              </w:rPr>
            </w:pPr>
          </w:p>
        </w:tc>
        <w:tc>
          <w:tcPr>
            <w:tcW w:w="1417" w:type="dxa"/>
          </w:tcPr>
          <w:p>
            <w:pPr>
              <w:pStyle w:val="14"/>
              <w:spacing w:before="2"/>
              <w:ind w:left="161" w:right="154"/>
              <w:rPr>
                <w:sz w:val="21"/>
              </w:rPr>
            </w:pPr>
            <w:r>
              <w:rPr>
                <w:sz w:val="21"/>
              </w:rPr>
              <w:t>工业场地表</w:t>
            </w:r>
          </w:p>
          <w:p>
            <w:pPr>
              <w:pStyle w:val="14"/>
              <w:spacing w:before="2" w:line="252" w:lineRule="exact"/>
              <w:ind w:left="161" w:right="153"/>
              <w:rPr>
                <w:rFonts w:ascii="Times New Roman" w:eastAsia="Times New Roman"/>
                <w:sz w:val="21"/>
              </w:rPr>
            </w:pPr>
            <w:r>
              <w:rPr>
                <w:sz w:val="21"/>
              </w:rPr>
              <w:t xml:space="preserve">层样 </w:t>
            </w:r>
            <w:r>
              <w:rPr>
                <w:rFonts w:ascii="Times New Roman" w:eastAsia="Times New Roman"/>
                <w:sz w:val="21"/>
              </w:rPr>
              <w:t>1</w:t>
            </w:r>
          </w:p>
        </w:tc>
        <w:tc>
          <w:tcPr>
            <w:tcW w:w="1417" w:type="dxa"/>
          </w:tcPr>
          <w:p>
            <w:pPr>
              <w:pStyle w:val="14"/>
              <w:spacing w:before="2"/>
              <w:ind w:left="160" w:right="155"/>
              <w:rPr>
                <w:sz w:val="21"/>
              </w:rPr>
            </w:pPr>
            <w:r>
              <w:rPr>
                <w:sz w:val="21"/>
              </w:rPr>
              <w:t>工业场地表</w:t>
            </w:r>
          </w:p>
          <w:p>
            <w:pPr>
              <w:pStyle w:val="14"/>
              <w:spacing w:before="2" w:line="252" w:lineRule="exact"/>
              <w:ind w:left="161" w:right="153"/>
              <w:rPr>
                <w:rFonts w:ascii="Times New Roman" w:eastAsia="Times New Roman"/>
                <w:sz w:val="21"/>
              </w:rPr>
            </w:pPr>
            <w:r>
              <w:rPr>
                <w:sz w:val="21"/>
              </w:rPr>
              <w:t xml:space="preserve">层样 </w:t>
            </w:r>
            <w:r>
              <w:rPr>
                <w:rFonts w:ascii="Times New Roman" w:eastAsia="Times New Roman"/>
                <w:sz w:val="21"/>
              </w:rPr>
              <w:t>2</w:t>
            </w:r>
          </w:p>
        </w:tc>
        <w:tc>
          <w:tcPr>
            <w:tcW w:w="1418" w:type="dxa"/>
          </w:tcPr>
          <w:p>
            <w:pPr>
              <w:pStyle w:val="14"/>
              <w:spacing w:before="2"/>
              <w:ind w:left="162" w:right="156"/>
              <w:rPr>
                <w:sz w:val="21"/>
              </w:rPr>
            </w:pPr>
            <w:r>
              <w:rPr>
                <w:sz w:val="21"/>
              </w:rPr>
              <w:t>工业场地表</w:t>
            </w:r>
          </w:p>
          <w:p>
            <w:pPr>
              <w:pStyle w:val="14"/>
              <w:spacing w:before="2" w:line="252" w:lineRule="exact"/>
              <w:ind w:left="162" w:right="154"/>
              <w:rPr>
                <w:rFonts w:ascii="Times New Roman" w:eastAsia="Times New Roman"/>
                <w:sz w:val="21"/>
              </w:rPr>
            </w:pPr>
            <w:r>
              <w:rPr>
                <w:sz w:val="21"/>
              </w:rPr>
              <w:t xml:space="preserve">层样 </w:t>
            </w:r>
            <w:r>
              <w:rPr>
                <w:rFonts w:ascii="Times New Roman" w:eastAsia="Times New Roman"/>
                <w:sz w:val="21"/>
              </w:rPr>
              <w:t>3</w:t>
            </w:r>
          </w:p>
        </w:tc>
        <w:tc>
          <w:tcPr>
            <w:tcW w:w="108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1"/>
              <w:ind w:left="328" w:right="319"/>
              <w:rPr>
                <w:sz w:val="21"/>
              </w:rPr>
            </w:pPr>
            <w:r>
              <w:rPr>
                <w:rFonts w:ascii="Times New Roman" w:eastAsia="Times New Roman"/>
                <w:sz w:val="21"/>
              </w:rPr>
              <w:t xml:space="preserve">pH </w:t>
            </w:r>
            <w:r>
              <w:rPr>
                <w:sz w:val="21"/>
              </w:rPr>
              <w:t>值</w:t>
            </w:r>
          </w:p>
        </w:tc>
        <w:tc>
          <w:tcPr>
            <w:tcW w:w="1447" w:type="dxa"/>
          </w:tcPr>
          <w:p>
            <w:pPr>
              <w:pStyle w:val="14"/>
              <w:spacing w:before="61"/>
              <w:ind w:left="119" w:right="112"/>
              <w:rPr>
                <w:sz w:val="21"/>
              </w:rPr>
            </w:pPr>
            <w:r>
              <w:rPr>
                <w:sz w:val="21"/>
              </w:rPr>
              <w:t>无量纲</w:t>
            </w:r>
          </w:p>
        </w:tc>
        <w:tc>
          <w:tcPr>
            <w:tcW w:w="1417" w:type="dxa"/>
          </w:tcPr>
          <w:p>
            <w:pPr>
              <w:pStyle w:val="14"/>
              <w:spacing w:before="80"/>
              <w:ind w:left="161" w:right="151"/>
              <w:rPr>
                <w:rFonts w:ascii="Times New Roman"/>
                <w:sz w:val="21"/>
              </w:rPr>
            </w:pPr>
            <w:bookmarkStart w:id="1045" w:name="7.07"/>
            <w:bookmarkEnd w:id="1045"/>
            <w:r>
              <w:rPr>
                <w:rFonts w:ascii="Times New Roman"/>
                <w:sz w:val="21"/>
              </w:rPr>
              <w:t>7.07</w:t>
            </w:r>
          </w:p>
        </w:tc>
        <w:tc>
          <w:tcPr>
            <w:tcW w:w="1417" w:type="dxa"/>
          </w:tcPr>
          <w:p>
            <w:pPr>
              <w:pStyle w:val="14"/>
              <w:spacing w:before="80"/>
              <w:ind w:right="511"/>
              <w:jc w:val="right"/>
              <w:rPr>
                <w:rFonts w:ascii="Times New Roman"/>
                <w:sz w:val="21"/>
              </w:rPr>
            </w:pPr>
            <w:bookmarkStart w:id="1046" w:name="7.44"/>
            <w:bookmarkEnd w:id="1046"/>
            <w:r>
              <w:rPr>
                <w:rFonts w:ascii="Times New Roman"/>
                <w:sz w:val="21"/>
              </w:rPr>
              <w:t>7.44</w:t>
            </w:r>
          </w:p>
        </w:tc>
        <w:tc>
          <w:tcPr>
            <w:tcW w:w="1418" w:type="dxa"/>
          </w:tcPr>
          <w:p>
            <w:pPr>
              <w:pStyle w:val="14"/>
              <w:spacing w:before="80"/>
              <w:ind w:left="162" w:right="154"/>
              <w:rPr>
                <w:rFonts w:ascii="Times New Roman"/>
                <w:sz w:val="21"/>
              </w:rPr>
            </w:pPr>
            <w:bookmarkStart w:id="1047" w:name="6.87"/>
            <w:bookmarkEnd w:id="1047"/>
            <w:r>
              <w:rPr>
                <w:rFonts w:ascii="Times New Roman"/>
                <w:sz w:val="21"/>
              </w:rPr>
              <w:t>6.87</w:t>
            </w:r>
          </w:p>
        </w:tc>
        <w:tc>
          <w:tcPr>
            <w:tcW w:w="1083" w:type="dxa"/>
          </w:tcPr>
          <w:p>
            <w:pPr>
              <w:pStyle w:val="14"/>
              <w:spacing w:before="75"/>
              <w:ind w:left="8"/>
              <w:rPr>
                <w:rFonts w:ascii="Times New Roman" w:hAnsi="Times New Roman"/>
                <w:sz w:val="21"/>
              </w:rPr>
            </w:pPr>
            <w:r>
              <w:rPr>
                <w:rFonts w:ascii="Times New Roman" w:hAns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2"/>
              <w:ind w:left="327" w:right="319"/>
              <w:rPr>
                <w:sz w:val="21"/>
              </w:rPr>
            </w:pPr>
            <w:r>
              <w:rPr>
                <w:sz w:val="21"/>
              </w:rPr>
              <w:t>含盐量</w:t>
            </w:r>
          </w:p>
        </w:tc>
        <w:tc>
          <w:tcPr>
            <w:tcW w:w="1447" w:type="dxa"/>
          </w:tcPr>
          <w:p>
            <w:pPr>
              <w:pStyle w:val="14"/>
              <w:spacing w:before="76"/>
              <w:ind w:left="121" w:right="112"/>
              <w:rPr>
                <w:rFonts w:ascii="Times New Roman"/>
                <w:sz w:val="21"/>
              </w:rPr>
            </w:pPr>
            <w:r>
              <w:rPr>
                <w:rFonts w:ascii="Times New Roman"/>
                <w:sz w:val="21"/>
              </w:rPr>
              <w:t>g/kg</w:t>
            </w:r>
          </w:p>
        </w:tc>
        <w:tc>
          <w:tcPr>
            <w:tcW w:w="1417" w:type="dxa"/>
          </w:tcPr>
          <w:p>
            <w:pPr>
              <w:pStyle w:val="14"/>
              <w:spacing w:before="78"/>
              <w:ind w:left="161" w:right="153"/>
              <w:rPr>
                <w:rFonts w:ascii="Times New Roman"/>
                <w:sz w:val="21"/>
              </w:rPr>
            </w:pPr>
            <w:bookmarkStart w:id="1048" w:name="1.3"/>
            <w:bookmarkEnd w:id="1048"/>
            <w:r>
              <w:rPr>
                <w:rFonts w:ascii="Times New Roman"/>
                <w:sz w:val="21"/>
              </w:rPr>
              <w:t>1.3</w:t>
            </w:r>
          </w:p>
        </w:tc>
        <w:tc>
          <w:tcPr>
            <w:tcW w:w="1417" w:type="dxa"/>
          </w:tcPr>
          <w:p>
            <w:pPr>
              <w:pStyle w:val="14"/>
              <w:spacing w:before="78"/>
              <w:ind w:right="566"/>
              <w:jc w:val="right"/>
              <w:rPr>
                <w:rFonts w:ascii="Times New Roman"/>
                <w:sz w:val="21"/>
              </w:rPr>
            </w:pPr>
            <w:bookmarkStart w:id="1049" w:name="1.3"/>
            <w:bookmarkEnd w:id="1049"/>
            <w:r>
              <w:rPr>
                <w:rFonts w:ascii="Times New Roman"/>
                <w:w w:val="95"/>
                <w:sz w:val="21"/>
              </w:rPr>
              <w:t>1.3</w:t>
            </w:r>
          </w:p>
        </w:tc>
        <w:tc>
          <w:tcPr>
            <w:tcW w:w="1418" w:type="dxa"/>
          </w:tcPr>
          <w:p>
            <w:pPr>
              <w:pStyle w:val="14"/>
              <w:spacing w:before="78"/>
              <w:ind w:left="162" w:right="154"/>
              <w:rPr>
                <w:rFonts w:ascii="Times New Roman"/>
                <w:sz w:val="21"/>
              </w:rPr>
            </w:pPr>
            <w:bookmarkStart w:id="1050" w:name="1.8"/>
            <w:bookmarkEnd w:id="1050"/>
            <w:r>
              <w:rPr>
                <w:rFonts w:ascii="Times New Roman"/>
                <w:sz w:val="21"/>
              </w:rPr>
              <w:t>1.8</w:t>
            </w:r>
          </w:p>
        </w:tc>
        <w:tc>
          <w:tcPr>
            <w:tcW w:w="1083" w:type="dxa"/>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3"/>
              <w:ind w:left="6"/>
              <w:rPr>
                <w:sz w:val="21"/>
              </w:rPr>
            </w:pPr>
            <w:r>
              <w:rPr>
                <w:w w:val="99"/>
                <w:sz w:val="21"/>
              </w:rPr>
              <w:t>砷</w:t>
            </w:r>
          </w:p>
        </w:tc>
        <w:tc>
          <w:tcPr>
            <w:tcW w:w="1447" w:type="dxa"/>
          </w:tcPr>
          <w:p>
            <w:pPr>
              <w:pStyle w:val="14"/>
              <w:spacing w:before="96"/>
              <w:ind w:left="116" w:right="112"/>
              <w:rPr>
                <w:rFonts w:ascii="Times New Roman"/>
                <w:sz w:val="21"/>
              </w:rPr>
            </w:pPr>
            <w:bookmarkStart w:id="1051" w:name="mg/kg"/>
            <w:bookmarkEnd w:id="1051"/>
            <w:r>
              <w:rPr>
                <w:rFonts w:ascii="Times New Roman"/>
                <w:sz w:val="21"/>
              </w:rPr>
              <w:t>mg/kg</w:t>
            </w:r>
          </w:p>
        </w:tc>
        <w:tc>
          <w:tcPr>
            <w:tcW w:w="1417" w:type="dxa"/>
          </w:tcPr>
          <w:p>
            <w:pPr>
              <w:pStyle w:val="14"/>
              <w:spacing w:before="79"/>
              <w:ind w:left="161" w:right="151"/>
              <w:rPr>
                <w:rFonts w:ascii="Times New Roman"/>
                <w:sz w:val="21"/>
              </w:rPr>
            </w:pPr>
            <w:bookmarkStart w:id="1052" w:name="7.91"/>
            <w:bookmarkEnd w:id="1052"/>
            <w:r>
              <w:rPr>
                <w:rFonts w:ascii="Times New Roman"/>
                <w:sz w:val="21"/>
              </w:rPr>
              <w:t>7.91</w:t>
            </w:r>
          </w:p>
        </w:tc>
        <w:tc>
          <w:tcPr>
            <w:tcW w:w="1417" w:type="dxa"/>
          </w:tcPr>
          <w:p>
            <w:pPr>
              <w:pStyle w:val="14"/>
              <w:spacing w:before="79"/>
              <w:ind w:right="511"/>
              <w:jc w:val="right"/>
              <w:rPr>
                <w:rFonts w:ascii="Times New Roman"/>
                <w:sz w:val="21"/>
              </w:rPr>
            </w:pPr>
            <w:bookmarkStart w:id="1053" w:name="7.40"/>
            <w:bookmarkEnd w:id="1053"/>
            <w:r>
              <w:rPr>
                <w:rFonts w:ascii="Times New Roman"/>
                <w:sz w:val="21"/>
              </w:rPr>
              <w:t>7.40</w:t>
            </w:r>
          </w:p>
        </w:tc>
        <w:tc>
          <w:tcPr>
            <w:tcW w:w="1418" w:type="dxa"/>
          </w:tcPr>
          <w:p>
            <w:pPr>
              <w:pStyle w:val="14"/>
              <w:spacing w:before="79"/>
              <w:ind w:left="162" w:right="154"/>
              <w:rPr>
                <w:rFonts w:ascii="Times New Roman"/>
                <w:sz w:val="21"/>
              </w:rPr>
            </w:pPr>
            <w:bookmarkStart w:id="1054" w:name="8.01"/>
            <w:bookmarkEnd w:id="1054"/>
            <w:r>
              <w:rPr>
                <w:rFonts w:ascii="Times New Roman"/>
                <w:sz w:val="21"/>
              </w:rPr>
              <w:t>8.01</w:t>
            </w:r>
          </w:p>
        </w:tc>
        <w:tc>
          <w:tcPr>
            <w:tcW w:w="1083" w:type="dxa"/>
          </w:tcPr>
          <w:p>
            <w:pPr>
              <w:pStyle w:val="14"/>
              <w:spacing w:before="77"/>
              <w:ind w:left="308" w:right="301"/>
              <w:rPr>
                <w:rFonts w:ascii="Times New Roman"/>
                <w:sz w:val="21"/>
              </w:rPr>
            </w:pPr>
            <w:r>
              <w:rPr>
                <w:rFonts w:ascii="Times New Roman"/>
                <w:sz w:val="21"/>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1"/>
              <w:ind w:left="6"/>
              <w:rPr>
                <w:sz w:val="21"/>
              </w:rPr>
            </w:pPr>
            <w:r>
              <w:rPr>
                <w:w w:val="99"/>
                <w:sz w:val="21"/>
              </w:rPr>
              <w:t>镉</w:t>
            </w:r>
          </w:p>
        </w:tc>
        <w:tc>
          <w:tcPr>
            <w:tcW w:w="1447" w:type="dxa"/>
          </w:tcPr>
          <w:p>
            <w:pPr>
              <w:pStyle w:val="14"/>
              <w:spacing w:before="97"/>
              <w:ind w:left="116" w:right="112"/>
              <w:rPr>
                <w:rFonts w:ascii="Times New Roman"/>
                <w:sz w:val="21"/>
              </w:rPr>
            </w:pPr>
            <w:bookmarkStart w:id="1055" w:name="mg/kg"/>
            <w:bookmarkEnd w:id="1055"/>
            <w:r>
              <w:rPr>
                <w:rFonts w:ascii="Times New Roman"/>
                <w:sz w:val="21"/>
              </w:rPr>
              <w:t>mg/kg</w:t>
            </w:r>
          </w:p>
        </w:tc>
        <w:tc>
          <w:tcPr>
            <w:tcW w:w="1417" w:type="dxa"/>
          </w:tcPr>
          <w:p>
            <w:pPr>
              <w:pStyle w:val="14"/>
              <w:spacing w:before="78"/>
              <w:ind w:left="161" w:right="151"/>
              <w:rPr>
                <w:rFonts w:ascii="Times New Roman"/>
                <w:sz w:val="21"/>
              </w:rPr>
            </w:pPr>
            <w:bookmarkStart w:id="1056" w:name="0.72"/>
            <w:bookmarkEnd w:id="1056"/>
            <w:r>
              <w:rPr>
                <w:rFonts w:ascii="Times New Roman"/>
                <w:sz w:val="21"/>
              </w:rPr>
              <w:t>0.72</w:t>
            </w:r>
          </w:p>
        </w:tc>
        <w:tc>
          <w:tcPr>
            <w:tcW w:w="1417" w:type="dxa"/>
          </w:tcPr>
          <w:p>
            <w:pPr>
              <w:pStyle w:val="14"/>
              <w:spacing w:before="78"/>
              <w:ind w:right="511"/>
              <w:jc w:val="right"/>
              <w:rPr>
                <w:rFonts w:ascii="Times New Roman"/>
                <w:sz w:val="21"/>
              </w:rPr>
            </w:pPr>
            <w:bookmarkStart w:id="1057" w:name="0.12"/>
            <w:bookmarkEnd w:id="1057"/>
            <w:r>
              <w:rPr>
                <w:rFonts w:ascii="Times New Roman"/>
                <w:sz w:val="21"/>
              </w:rPr>
              <w:t>0.12</w:t>
            </w:r>
          </w:p>
        </w:tc>
        <w:tc>
          <w:tcPr>
            <w:tcW w:w="1418" w:type="dxa"/>
          </w:tcPr>
          <w:p>
            <w:pPr>
              <w:pStyle w:val="14"/>
              <w:spacing w:before="78"/>
              <w:ind w:left="162" w:right="150"/>
              <w:rPr>
                <w:rFonts w:ascii="Times New Roman"/>
                <w:sz w:val="21"/>
              </w:rPr>
            </w:pPr>
            <w:bookmarkStart w:id="1058" w:name="0.11"/>
            <w:bookmarkEnd w:id="1058"/>
            <w:r>
              <w:rPr>
                <w:rFonts w:ascii="Times New Roman"/>
                <w:sz w:val="21"/>
              </w:rPr>
              <w:t>0.11</w:t>
            </w:r>
          </w:p>
        </w:tc>
        <w:tc>
          <w:tcPr>
            <w:tcW w:w="1083" w:type="dxa"/>
          </w:tcPr>
          <w:p>
            <w:pPr>
              <w:pStyle w:val="14"/>
              <w:spacing w:before="75"/>
              <w:ind w:left="308" w:right="301"/>
              <w:rPr>
                <w:rFonts w:ascii="Times New Roman"/>
                <w:sz w:val="21"/>
              </w:rPr>
            </w:pPr>
            <w:r>
              <w:rPr>
                <w:rFonts w:ascii="Times New Roman"/>
                <w:sz w:val="21"/>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562" w:type="dxa"/>
          </w:tcPr>
          <w:p>
            <w:pPr>
              <w:pStyle w:val="14"/>
              <w:spacing w:before="63"/>
              <w:ind w:left="327" w:right="319"/>
              <w:rPr>
                <w:sz w:val="21"/>
              </w:rPr>
            </w:pPr>
            <w:r>
              <w:rPr>
                <w:sz w:val="21"/>
              </w:rPr>
              <w:t>六价铬</w:t>
            </w:r>
          </w:p>
        </w:tc>
        <w:tc>
          <w:tcPr>
            <w:tcW w:w="1447" w:type="dxa"/>
          </w:tcPr>
          <w:p>
            <w:pPr>
              <w:pStyle w:val="14"/>
              <w:spacing w:before="96"/>
              <w:ind w:left="116" w:right="112"/>
              <w:rPr>
                <w:rFonts w:ascii="Times New Roman"/>
                <w:sz w:val="21"/>
              </w:rPr>
            </w:pPr>
            <w:bookmarkStart w:id="1059" w:name="mg/kg"/>
            <w:bookmarkEnd w:id="1059"/>
            <w:r>
              <w:rPr>
                <w:rFonts w:ascii="Times New Roman"/>
                <w:sz w:val="21"/>
              </w:rPr>
              <w:t>mg/kg</w:t>
            </w:r>
          </w:p>
        </w:tc>
        <w:tc>
          <w:tcPr>
            <w:tcW w:w="1417" w:type="dxa"/>
          </w:tcPr>
          <w:p>
            <w:pPr>
              <w:pStyle w:val="14"/>
              <w:spacing w:before="79"/>
              <w:ind w:left="161" w:right="154"/>
              <w:rPr>
                <w:rFonts w:ascii="Times New Roman"/>
                <w:sz w:val="21"/>
              </w:rPr>
            </w:pPr>
            <w:bookmarkStart w:id="1060" w:name="2L"/>
            <w:bookmarkEnd w:id="1060"/>
            <w:r>
              <w:rPr>
                <w:rFonts w:ascii="Times New Roman"/>
                <w:sz w:val="21"/>
              </w:rPr>
              <w:t>2L</w:t>
            </w:r>
          </w:p>
        </w:tc>
        <w:tc>
          <w:tcPr>
            <w:tcW w:w="1417" w:type="dxa"/>
          </w:tcPr>
          <w:p>
            <w:pPr>
              <w:pStyle w:val="14"/>
              <w:spacing w:before="76"/>
              <w:ind w:right="511"/>
              <w:jc w:val="right"/>
              <w:rPr>
                <w:rFonts w:ascii="Times New Roman"/>
                <w:sz w:val="21"/>
              </w:rPr>
            </w:pPr>
            <w:r>
              <w:rPr>
                <w:rFonts w:ascii="Times New Roman"/>
                <w:sz w:val="21"/>
              </w:rPr>
              <w:t>2.36</w:t>
            </w:r>
          </w:p>
        </w:tc>
        <w:tc>
          <w:tcPr>
            <w:tcW w:w="1418" w:type="dxa"/>
          </w:tcPr>
          <w:p>
            <w:pPr>
              <w:pStyle w:val="14"/>
              <w:spacing w:before="79"/>
              <w:ind w:left="162" w:right="155"/>
              <w:rPr>
                <w:rFonts w:ascii="Times New Roman"/>
                <w:sz w:val="21"/>
              </w:rPr>
            </w:pPr>
            <w:bookmarkStart w:id="1061" w:name="2L"/>
            <w:bookmarkEnd w:id="1061"/>
            <w:r>
              <w:rPr>
                <w:rFonts w:ascii="Times New Roman"/>
                <w:sz w:val="21"/>
              </w:rPr>
              <w:t>2L</w:t>
            </w:r>
          </w:p>
        </w:tc>
        <w:tc>
          <w:tcPr>
            <w:tcW w:w="1083" w:type="dxa"/>
          </w:tcPr>
          <w:p>
            <w:pPr>
              <w:pStyle w:val="14"/>
              <w:spacing w:before="76"/>
              <w:ind w:left="308" w:right="301"/>
              <w:rPr>
                <w:rFonts w:ascii="Times New Roman"/>
                <w:sz w:val="21"/>
              </w:rPr>
            </w:pPr>
            <w:r>
              <w:rPr>
                <w:rFonts w:ascii="Times New Roman"/>
                <w:sz w:val="21"/>
              </w:rPr>
              <w:t>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1"/>
              <w:ind w:left="6"/>
              <w:rPr>
                <w:sz w:val="21"/>
              </w:rPr>
            </w:pPr>
            <w:r>
              <w:rPr>
                <w:w w:val="99"/>
                <w:sz w:val="21"/>
              </w:rPr>
              <w:t>铜</w:t>
            </w:r>
          </w:p>
        </w:tc>
        <w:tc>
          <w:tcPr>
            <w:tcW w:w="1447" w:type="dxa"/>
          </w:tcPr>
          <w:p>
            <w:pPr>
              <w:pStyle w:val="14"/>
              <w:spacing w:before="97"/>
              <w:ind w:left="116" w:right="112"/>
              <w:rPr>
                <w:rFonts w:ascii="Times New Roman"/>
                <w:sz w:val="21"/>
              </w:rPr>
            </w:pPr>
            <w:bookmarkStart w:id="1062" w:name="mg/kg"/>
            <w:bookmarkEnd w:id="1062"/>
            <w:r>
              <w:rPr>
                <w:rFonts w:ascii="Times New Roman"/>
                <w:sz w:val="21"/>
              </w:rPr>
              <w:t>mg/kg</w:t>
            </w:r>
          </w:p>
        </w:tc>
        <w:tc>
          <w:tcPr>
            <w:tcW w:w="1417" w:type="dxa"/>
          </w:tcPr>
          <w:p>
            <w:pPr>
              <w:pStyle w:val="14"/>
              <w:spacing w:before="80"/>
              <w:ind w:left="161" w:right="153"/>
              <w:rPr>
                <w:rFonts w:ascii="Times New Roman"/>
                <w:sz w:val="21"/>
              </w:rPr>
            </w:pPr>
            <w:bookmarkStart w:id="1063" w:name="50"/>
            <w:bookmarkEnd w:id="1063"/>
            <w:r>
              <w:rPr>
                <w:rFonts w:ascii="Times New Roman"/>
                <w:sz w:val="21"/>
              </w:rPr>
              <w:t>50</w:t>
            </w:r>
          </w:p>
        </w:tc>
        <w:tc>
          <w:tcPr>
            <w:tcW w:w="1417" w:type="dxa"/>
          </w:tcPr>
          <w:p>
            <w:pPr>
              <w:pStyle w:val="14"/>
              <w:spacing w:before="75"/>
              <w:ind w:left="7"/>
              <w:rPr>
                <w:rFonts w:ascii="Times New Roman"/>
                <w:sz w:val="21"/>
              </w:rPr>
            </w:pPr>
            <w:r>
              <w:rPr>
                <w:rFonts w:ascii="Times New Roman"/>
                <w:w w:val="99"/>
                <w:sz w:val="21"/>
              </w:rPr>
              <w:t>/</w:t>
            </w:r>
          </w:p>
        </w:tc>
        <w:tc>
          <w:tcPr>
            <w:tcW w:w="1418" w:type="dxa"/>
          </w:tcPr>
          <w:p>
            <w:pPr>
              <w:pStyle w:val="14"/>
              <w:spacing w:before="75"/>
              <w:ind w:left="9"/>
              <w:rPr>
                <w:rFonts w:ascii="Times New Roman"/>
                <w:sz w:val="21"/>
              </w:rPr>
            </w:pPr>
            <w:r>
              <w:rPr>
                <w:rFonts w:ascii="Times New Roman"/>
                <w:w w:val="99"/>
                <w:sz w:val="21"/>
              </w:rPr>
              <w:t>/</w:t>
            </w:r>
          </w:p>
        </w:tc>
        <w:tc>
          <w:tcPr>
            <w:tcW w:w="1083" w:type="dxa"/>
          </w:tcPr>
          <w:p>
            <w:pPr>
              <w:pStyle w:val="14"/>
              <w:spacing w:before="75"/>
              <w:ind w:right="267"/>
              <w:jc w:val="right"/>
              <w:rPr>
                <w:rFonts w:ascii="Times New Roman"/>
                <w:sz w:val="21"/>
              </w:rPr>
            </w:pPr>
            <w:r>
              <w:rPr>
                <w:rFonts w:ascii="Times New Roman"/>
                <w:w w:val="95"/>
                <w:sz w:val="21"/>
              </w:rPr>
              <w:t>18000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2"/>
              <w:ind w:left="6"/>
              <w:rPr>
                <w:sz w:val="21"/>
              </w:rPr>
            </w:pPr>
            <w:r>
              <w:rPr>
                <w:w w:val="99"/>
                <w:sz w:val="21"/>
              </w:rPr>
              <w:t>铅</w:t>
            </w:r>
          </w:p>
        </w:tc>
        <w:tc>
          <w:tcPr>
            <w:tcW w:w="1447" w:type="dxa"/>
          </w:tcPr>
          <w:p>
            <w:pPr>
              <w:pStyle w:val="14"/>
              <w:spacing w:before="76"/>
              <w:ind w:left="116" w:right="112"/>
              <w:rPr>
                <w:rFonts w:ascii="Times New Roman"/>
                <w:sz w:val="21"/>
              </w:rPr>
            </w:pPr>
            <w:r>
              <w:rPr>
                <w:rFonts w:ascii="Times New Roman"/>
                <w:sz w:val="21"/>
              </w:rPr>
              <w:t>mg/kg</w:t>
            </w:r>
          </w:p>
        </w:tc>
        <w:tc>
          <w:tcPr>
            <w:tcW w:w="1417" w:type="dxa"/>
          </w:tcPr>
          <w:p>
            <w:pPr>
              <w:pStyle w:val="14"/>
              <w:spacing w:before="78"/>
              <w:ind w:left="161" w:right="151"/>
              <w:rPr>
                <w:rFonts w:ascii="Times New Roman"/>
                <w:sz w:val="21"/>
              </w:rPr>
            </w:pPr>
            <w:bookmarkStart w:id="1064" w:name="54.5"/>
            <w:bookmarkEnd w:id="1064"/>
            <w:r>
              <w:rPr>
                <w:rFonts w:ascii="Times New Roman"/>
                <w:sz w:val="21"/>
              </w:rPr>
              <w:t>54.5</w:t>
            </w:r>
          </w:p>
        </w:tc>
        <w:tc>
          <w:tcPr>
            <w:tcW w:w="1417" w:type="dxa"/>
          </w:tcPr>
          <w:p>
            <w:pPr>
              <w:pStyle w:val="14"/>
              <w:spacing w:before="78"/>
              <w:ind w:right="511"/>
              <w:jc w:val="right"/>
              <w:rPr>
                <w:rFonts w:ascii="Times New Roman"/>
                <w:sz w:val="21"/>
              </w:rPr>
            </w:pPr>
            <w:bookmarkStart w:id="1065" w:name="31.9"/>
            <w:bookmarkEnd w:id="1065"/>
            <w:r>
              <w:rPr>
                <w:rFonts w:ascii="Times New Roman"/>
                <w:sz w:val="21"/>
              </w:rPr>
              <w:t>31.9</w:t>
            </w:r>
          </w:p>
        </w:tc>
        <w:tc>
          <w:tcPr>
            <w:tcW w:w="1418" w:type="dxa"/>
          </w:tcPr>
          <w:p>
            <w:pPr>
              <w:pStyle w:val="14"/>
              <w:spacing w:before="78"/>
              <w:ind w:left="162" w:right="154"/>
              <w:rPr>
                <w:rFonts w:ascii="Times New Roman"/>
                <w:sz w:val="21"/>
              </w:rPr>
            </w:pPr>
            <w:bookmarkStart w:id="1066" w:name="32.2"/>
            <w:bookmarkEnd w:id="1066"/>
            <w:r>
              <w:rPr>
                <w:rFonts w:ascii="Times New Roman"/>
                <w:sz w:val="21"/>
              </w:rPr>
              <w:t>32.2</w:t>
            </w:r>
          </w:p>
        </w:tc>
        <w:tc>
          <w:tcPr>
            <w:tcW w:w="1083" w:type="dxa"/>
          </w:tcPr>
          <w:p>
            <w:pPr>
              <w:pStyle w:val="14"/>
              <w:spacing w:before="76"/>
              <w:ind w:left="308" w:right="301"/>
              <w:rPr>
                <w:rFonts w:ascii="Times New Roman"/>
                <w:sz w:val="21"/>
              </w:rPr>
            </w:pPr>
            <w:r>
              <w:rPr>
                <w:rFonts w:ascii="Times New Roman"/>
                <w:sz w:val="21"/>
              </w:rPr>
              <w:t>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1"/>
              <w:ind w:left="6"/>
              <w:rPr>
                <w:sz w:val="21"/>
              </w:rPr>
            </w:pPr>
            <w:r>
              <w:rPr>
                <w:w w:val="99"/>
                <w:sz w:val="21"/>
              </w:rPr>
              <w:t>汞</w:t>
            </w:r>
          </w:p>
        </w:tc>
        <w:tc>
          <w:tcPr>
            <w:tcW w:w="1447" w:type="dxa"/>
          </w:tcPr>
          <w:p>
            <w:pPr>
              <w:pStyle w:val="14"/>
              <w:spacing w:before="75"/>
              <w:ind w:left="116" w:right="112"/>
              <w:rPr>
                <w:rFonts w:ascii="Times New Roman"/>
                <w:sz w:val="21"/>
              </w:rPr>
            </w:pPr>
            <w:r>
              <w:rPr>
                <w:rFonts w:ascii="Times New Roman"/>
                <w:sz w:val="21"/>
              </w:rPr>
              <w:t>mg/kg</w:t>
            </w:r>
          </w:p>
        </w:tc>
        <w:tc>
          <w:tcPr>
            <w:tcW w:w="1417" w:type="dxa"/>
          </w:tcPr>
          <w:p>
            <w:pPr>
              <w:pStyle w:val="14"/>
              <w:spacing w:before="79"/>
              <w:ind w:left="161" w:right="153"/>
              <w:rPr>
                <w:rFonts w:ascii="Times New Roman"/>
                <w:sz w:val="21"/>
              </w:rPr>
            </w:pPr>
            <w:bookmarkStart w:id="1067" w:name="0.125"/>
            <w:bookmarkEnd w:id="1067"/>
            <w:r>
              <w:rPr>
                <w:rFonts w:ascii="Times New Roman"/>
                <w:sz w:val="21"/>
              </w:rPr>
              <w:t>0.125</w:t>
            </w:r>
          </w:p>
        </w:tc>
        <w:tc>
          <w:tcPr>
            <w:tcW w:w="1417" w:type="dxa"/>
          </w:tcPr>
          <w:p>
            <w:pPr>
              <w:pStyle w:val="14"/>
              <w:spacing w:before="79"/>
              <w:ind w:right="463"/>
              <w:jc w:val="right"/>
              <w:rPr>
                <w:rFonts w:ascii="Times New Roman"/>
                <w:sz w:val="21"/>
              </w:rPr>
            </w:pPr>
            <w:bookmarkStart w:id="1068" w:name="0.118"/>
            <w:bookmarkEnd w:id="1068"/>
            <w:r>
              <w:rPr>
                <w:rFonts w:ascii="Times New Roman"/>
                <w:w w:val="95"/>
                <w:sz w:val="21"/>
              </w:rPr>
              <w:t>0.118</w:t>
            </w:r>
          </w:p>
        </w:tc>
        <w:tc>
          <w:tcPr>
            <w:tcW w:w="1418" w:type="dxa"/>
          </w:tcPr>
          <w:p>
            <w:pPr>
              <w:pStyle w:val="14"/>
              <w:spacing w:before="79"/>
              <w:ind w:left="162" w:right="152"/>
              <w:rPr>
                <w:rFonts w:ascii="Times New Roman"/>
                <w:sz w:val="21"/>
              </w:rPr>
            </w:pPr>
            <w:bookmarkStart w:id="1069" w:name="0.126"/>
            <w:bookmarkEnd w:id="1069"/>
            <w:r>
              <w:rPr>
                <w:rFonts w:ascii="Times New Roman"/>
                <w:sz w:val="21"/>
              </w:rPr>
              <w:t>0.126</w:t>
            </w:r>
          </w:p>
        </w:tc>
        <w:tc>
          <w:tcPr>
            <w:tcW w:w="1083" w:type="dxa"/>
          </w:tcPr>
          <w:p>
            <w:pPr>
              <w:pStyle w:val="14"/>
              <w:spacing w:before="75"/>
              <w:ind w:left="308" w:right="301"/>
              <w:rPr>
                <w:rFonts w:ascii="Times New Roman"/>
                <w:sz w:val="21"/>
              </w:rPr>
            </w:pPr>
            <w:r>
              <w:rPr>
                <w:rFonts w:ascii="Times New Roman"/>
                <w:sz w:val="21"/>
              </w:rPr>
              <w:t>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2"/>
              <w:ind w:left="6"/>
              <w:rPr>
                <w:sz w:val="21"/>
              </w:rPr>
            </w:pPr>
            <w:r>
              <w:rPr>
                <w:w w:val="99"/>
                <w:sz w:val="21"/>
              </w:rPr>
              <w:t>镍</w:t>
            </w:r>
          </w:p>
        </w:tc>
        <w:tc>
          <w:tcPr>
            <w:tcW w:w="1447" w:type="dxa"/>
          </w:tcPr>
          <w:p>
            <w:pPr>
              <w:pStyle w:val="14"/>
              <w:spacing w:before="76"/>
              <w:ind w:left="116" w:right="112"/>
              <w:rPr>
                <w:rFonts w:ascii="Times New Roman"/>
                <w:sz w:val="21"/>
              </w:rPr>
            </w:pPr>
            <w:r>
              <w:rPr>
                <w:rFonts w:ascii="Times New Roman"/>
                <w:sz w:val="21"/>
              </w:rPr>
              <w:t>mg/kg</w:t>
            </w:r>
          </w:p>
        </w:tc>
        <w:tc>
          <w:tcPr>
            <w:tcW w:w="1417" w:type="dxa"/>
          </w:tcPr>
          <w:p>
            <w:pPr>
              <w:pStyle w:val="14"/>
              <w:spacing w:before="78"/>
              <w:ind w:left="161" w:right="153"/>
              <w:rPr>
                <w:rFonts w:ascii="Times New Roman"/>
                <w:sz w:val="21"/>
              </w:rPr>
            </w:pPr>
            <w:bookmarkStart w:id="1070" w:name="56"/>
            <w:bookmarkEnd w:id="1070"/>
            <w:r>
              <w:rPr>
                <w:rFonts w:ascii="Times New Roman"/>
                <w:sz w:val="21"/>
              </w:rPr>
              <w:t>56</w:t>
            </w:r>
          </w:p>
        </w:tc>
        <w:tc>
          <w:tcPr>
            <w:tcW w:w="1417" w:type="dxa"/>
          </w:tcPr>
          <w:p>
            <w:pPr>
              <w:pStyle w:val="14"/>
              <w:spacing w:before="76"/>
              <w:ind w:left="7"/>
              <w:rPr>
                <w:rFonts w:ascii="Times New Roman"/>
                <w:sz w:val="21"/>
              </w:rPr>
            </w:pPr>
            <w:r>
              <w:rPr>
                <w:rFonts w:ascii="Times New Roman"/>
                <w:w w:val="99"/>
                <w:sz w:val="21"/>
              </w:rPr>
              <w:t>/</w:t>
            </w:r>
          </w:p>
        </w:tc>
        <w:tc>
          <w:tcPr>
            <w:tcW w:w="1418" w:type="dxa"/>
          </w:tcPr>
          <w:p>
            <w:pPr>
              <w:pStyle w:val="14"/>
              <w:spacing w:before="76"/>
              <w:ind w:left="9"/>
              <w:rPr>
                <w:rFonts w:ascii="Times New Roman"/>
                <w:sz w:val="21"/>
              </w:rPr>
            </w:pPr>
            <w:r>
              <w:rPr>
                <w:rFonts w:ascii="Times New Roman"/>
                <w:w w:val="99"/>
                <w:sz w:val="21"/>
              </w:rPr>
              <w:t>/</w:t>
            </w:r>
          </w:p>
        </w:tc>
        <w:tc>
          <w:tcPr>
            <w:tcW w:w="1083" w:type="dxa"/>
          </w:tcPr>
          <w:p>
            <w:pPr>
              <w:pStyle w:val="14"/>
              <w:spacing w:before="76"/>
              <w:ind w:left="308" w:right="301"/>
              <w:rPr>
                <w:rFonts w:ascii="Times New Roman"/>
                <w:sz w:val="21"/>
              </w:rPr>
            </w:pPr>
            <w:r>
              <w:rPr>
                <w:rFonts w:ascii="Times New Roman"/>
                <w:sz w:val="21"/>
              </w:rPr>
              <w:t>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562" w:type="dxa"/>
          </w:tcPr>
          <w:p>
            <w:pPr>
              <w:pStyle w:val="14"/>
              <w:spacing w:before="63"/>
              <w:ind w:left="325" w:right="319"/>
              <w:rPr>
                <w:sz w:val="21"/>
              </w:rPr>
            </w:pPr>
            <w:r>
              <w:rPr>
                <w:sz w:val="21"/>
              </w:rPr>
              <w:t>四氯化碳</w:t>
            </w:r>
          </w:p>
        </w:tc>
        <w:tc>
          <w:tcPr>
            <w:tcW w:w="1447" w:type="dxa"/>
          </w:tcPr>
          <w:p>
            <w:pPr>
              <w:pStyle w:val="14"/>
              <w:spacing w:before="77"/>
              <w:ind w:left="118" w:right="112"/>
              <w:rPr>
                <w:rFonts w:ascii="Times New Roman" w:hAnsi="Times New Roman"/>
                <w:sz w:val="21"/>
              </w:rPr>
            </w:pPr>
            <w:r>
              <w:rPr>
                <w:rFonts w:ascii="Times New Roman" w:hAnsi="Times New Roman"/>
                <w:sz w:val="21"/>
              </w:rPr>
              <w:t>μg/kg</w:t>
            </w:r>
          </w:p>
        </w:tc>
        <w:tc>
          <w:tcPr>
            <w:tcW w:w="1417" w:type="dxa"/>
          </w:tcPr>
          <w:p>
            <w:pPr>
              <w:pStyle w:val="14"/>
              <w:spacing w:before="79"/>
              <w:ind w:left="161" w:right="151"/>
              <w:rPr>
                <w:rFonts w:ascii="Times New Roman"/>
                <w:sz w:val="21"/>
              </w:rPr>
            </w:pPr>
            <w:bookmarkStart w:id="1071" w:name="&lt;2"/>
            <w:bookmarkEnd w:id="1071"/>
            <w:r>
              <w:rPr>
                <w:rFonts w:ascii="Times New Roman"/>
                <w:sz w:val="21"/>
              </w:rPr>
              <w:t>&lt;2</w:t>
            </w:r>
          </w:p>
        </w:tc>
        <w:tc>
          <w:tcPr>
            <w:tcW w:w="1417" w:type="dxa"/>
          </w:tcPr>
          <w:p>
            <w:pPr>
              <w:pStyle w:val="14"/>
              <w:spacing w:before="77"/>
              <w:ind w:left="7"/>
              <w:rPr>
                <w:rFonts w:ascii="Times New Roman"/>
                <w:sz w:val="21"/>
              </w:rPr>
            </w:pPr>
            <w:r>
              <w:rPr>
                <w:rFonts w:ascii="Times New Roman"/>
                <w:w w:val="99"/>
                <w:sz w:val="21"/>
              </w:rPr>
              <w:t>/</w:t>
            </w:r>
          </w:p>
        </w:tc>
        <w:tc>
          <w:tcPr>
            <w:tcW w:w="1418" w:type="dxa"/>
          </w:tcPr>
          <w:p>
            <w:pPr>
              <w:pStyle w:val="14"/>
              <w:spacing w:before="77"/>
              <w:ind w:left="9"/>
              <w:rPr>
                <w:rFonts w:ascii="Times New Roman"/>
                <w:sz w:val="21"/>
              </w:rPr>
            </w:pPr>
            <w:r>
              <w:rPr>
                <w:rFonts w:ascii="Times New Roman"/>
                <w:w w:val="99"/>
                <w:sz w:val="21"/>
              </w:rPr>
              <w:t>/</w:t>
            </w:r>
          </w:p>
        </w:tc>
        <w:tc>
          <w:tcPr>
            <w:tcW w:w="1083" w:type="dxa"/>
          </w:tcPr>
          <w:p>
            <w:pPr>
              <w:pStyle w:val="14"/>
              <w:spacing w:before="77"/>
              <w:ind w:left="329"/>
              <w:jc w:val="left"/>
              <w:rPr>
                <w:rFonts w:ascii="Times New Roman"/>
                <w:sz w:val="21"/>
              </w:rPr>
            </w:pPr>
            <w:r>
              <w:rPr>
                <w:rFonts w:ascii="Times New Roman"/>
                <w:sz w:val="21"/>
              </w:rPr>
              <w:t>2800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1"/>
              <w:ind w:left="327" w:right="319"/>
              <w:rPr>
                <w:sz w:val="21"/>
              </w:rPr>
            </w:pPr>
            <w:r>
              <w:rPr>
                <w:sz w:val="21"/>
              </w:rPr>
              <w:t>氯甲烷</w:t>
            </w:r>
          </w:p>
        </w:tc>
        <w:tc>
          <w:tcPr>
            <w:tcW w:w="1447" w:type="dxa"/>
          </w:tcPr>
          <w:p>
            <w:pPr>
              <w:pStyle w:val="14"/>
              <w:spacing w:before="75"/>
              <w:ind w:left="118" w:right="112"/>
              <w:rPr>
                <w:rFonts w:ascii="Times New Roman" w:hAnsi="Times New Roman"/>
                <w:sz w:val="21"/>
              </w:rPr>
            </w:pPr>
            <w:r>
              <w:rPr>
                <w:rFonts w:ascii="Times New Roman" w:hAnsi="Times New Roman"/>
                <w:sz w:val="21"/>
              </w:rPr>
              <w:t>μg/kg</w:t>
            </w:r>
          </w:p>
        </w:tc>
        <w:tc>
          <w:tcPr>
            <w:tcW w:w="1417" w:type="dxa"/>
          </w:tcPr>
          <w:p>
            <w:pPr>
              <w:pStyle w:val="14"/>
              <w:spacing w:before="78"/>
              <w:ind w:left="161" w:right="151"/>
              <w:rPr>
                <w:rFonts w:ascii="Times New Roman"/>
                <w:sz w:val="21"/>
              </w:rPr>
            </w:pPr>
            <w:bookmarkStart w:id="1072" w:name="&lt;3"/>
            <w:bookmarkEnd w:id="1072"/>
            <w:r>
              <w:rPr>
                <w:rFonts w:ascii="Times New Roman"/>
                <w:sz w:val="21"/>
              </w:rPr>
              <w:t>&lt;3</w:t>
            </w:r>
          </w:p>
        </w:tc>
        <w:tc>
          <w:tcPr>
            <w:tcW w:w="1417" w:type="dxa"/>
          </w:tcPr>
          <w:p>
            <w:pPr>
              <w:pStyle w:val="14"/>
              <w:spacing w:before="75"/>
              <w:ind w:left="7"/>
              <w:rPr>
                <w:rFonts w:ascii="Times New Roman"/>
                <w:sz w:val="21"/>
              </w:rPr>
            </w:pPr>
            <w:r>
              <w:rPr>
                <w:rFonts w:ascii="Times New Roman"/>
                <w:w w:val="99"/>
                <w:sz w:val="21"/>
              </w:rPr>
              <w:t>/</w:t>
            </w:r>
          </w:p>
        </w:tc>
        <w:tc>
          <w:tcPr>
            <w:tcW w:w="1418" w:type="dxa"/>
          </w:tcPr>
          <w:p>
            <w:pPr>
              <w:pStyle w:val="14"/>
              <w:spacing w:before="75"/>
              <w:ind w:left="9"/>
              <w:rPr>
                <w:rFonts w:ascii="Times New Roman"/>
                <w:sz w:val="21"/>
              </w:rPr>
            </w:pPr>
            <w:r>
              <w:rPr>
                <w:rFonts w:ascii="Times New Roman"/>
                <w:w w:val="99"/>
                <w:sz w:val="21"/>
              </w:rPr>
              <w:t>/</w:t>
            </w:r>
          </w:p>
        </w:tc>
        <w:tc>
          <w:tcPr>
            <w:tcW w:w="1083" w:type="dxa"/>
          </w:tcPr>
          <w:p>
            <w:pPr>
              <w:pStyle w:val="14"/>
              <w:spacing w:before="75"/>
              <w:ind w:right="267"/>
              <w:jc w:val="right"/>
              <w:rPr>
                <w:rFonts w:ascii="Times New Roman"/>
                <w:sz w:val="21"/>
              </w:rPr>
            </w:pPr>
            <w:r>
              <w:rPr>
                <w:rFonts w:ascii="Times New Roman"/>
                <w:w w:val="95"/>
                <w:sz w:val="21"/>
              </w:rPr>
              <w:t>37000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562" w:type="dxa"/>
          </w:tcPr>
          <w:p>
            <w:pPr>
              <w:pStyle w:val="14"/>
              <w:spacing w:before="62"/>
              <w:ind w:left="327" w:right="319"/>
              <w:rPr>
                <w:sz w:val="21"/>
              </w:rPr>
            </w:pPr>
            <w:r>
              <w:rPr>
                <w:sz w:val="21"/>
              </w:rPr>
              <w:t>氯仿</w:t>
            </w:r>
          </w:p>
        </w:tc>
        <w:tc>
          <w:tcPr>
            <w:tcW w:w="1447" w:type="dxa"/>
          </w:tcPr>
          <w:p>
            <w:pPr>
              <w:pStyle w:val="14"/>
              <w:spacing w:before="76"/>
              <w:ind w:left="118" w:right="112"/>
              <w:rPr>
                <w:rFonts w:ascii="Times New Roman" w:hAnsi="Times New Roman"/>
                <w:sz w:val="21"/>
              </w:rPr>
            </w:pPr>
            <w:r>
              <w:rPr>
                <w:rFonts w:ascii="Times New Roman" w:hAnsi="Times New Roman"/>
                <w:sz w:val="21"/>
              </w:rPr>
              <w:t>μg/kg</w:t>
            </w:r>
          </w:p>
        </w:tc>
        <w:tc>
          <w:tcPr>
            <w:tcW w:w="1417" w:type="dxa"/>
          </w:tcPr>
          <w:p>
            <w:pPr>
              <w:pStyle w:val="14"/>
              <w:spacing w:before="79"/>
              <w:ind w:left="161" w:right="151"/>
              <w:rPr>
                <w:rFonts w:ascii="Times New Roman"/>
                <w:sz w:val="21"/>
              </w:rPr>
            </w:pPr>
            <w:bookmarkStart w:id="1073" w:name="&lt;2"/>
            <w:bookmarkEnd w:id="1073"/>
            <w:r>
              <w:rPr>
                <w:rFonts w:ascii="Times New Roman"/>
                <w:sz w:val="21"/>
              </w:rPr>
              <w:t>&lt;2</w:t>
            </w:r>
          </w:p>
        </w:tc>
        <w:tc>
          <w:tcPr>
            <w:tcW w:w="1417" w:type="dxa"/>
          </w:tcPr>
          <w:p>
            <w:pPr>
              <w:pStyle w:val="14"/>
              <w:spacing w:before="76"/>
              <w:ind w:left="7"/>
              <w:rPr>
                <w:rFonts w:ascii="Times New Roman"/>
                <w:sz w:val="21"/>
              </w:rPr>
            </w:pPr>
            <w:r>
              <w:rPr>
                <w:rFonts w:ascii="Times New Roman"/>
                <w:w w:val="99"/>
                <w:sz w:val="21"/>
              </w:rPr>
              <w:t>/</w:t>
            </w:r>
          </w:p>
        </w:tc>
        <w:tc>
          <w:tcPr>
            <w:tcW w:w="1418" w:type="dxa"/>
          </w:tcPr>
          <w:p>
            <w:pPr>
              <w:pStyle w:val="14"/>
              <w:spacing w:before="76"/>
              <w:ind w:left="9"/>
              <w:rPr>
                <w:rFonts w:ascii="Times New Roman"/>
                <w:sz w:val="21"/>
              </w:rPr>
            </w:pPr>
            <w:r>
              <w:rPr>
                <w:rFonts w:ascii="Times New Roman"/>
                <w:w w:val="99"/>
                <w:sz w:val="21"/>
              </w:rPr>
              <w:t>/</w:t>
            </w:r>
          </w:p>
        </w:tc>
        <w:tc>
          <w:tcPr>
            <w:tcW w:w="1083" w:type="dxa"/>
          </w:tcPr>
          <w:p>
            <w:pPr>
              <w:pStyle w:val="14"/>
              <w:spacing w:before="76"/>
              <w:ind w:left="308" w:right="301"/>
              <w:rPr>
                <w:rFonts w:ascii="Times New Roman"/>
                <w:sz w:val="21"/>
              </w:rPr>
            </w:pPr>
            <w:r>
              <w:rPr>
                <w:rFonts w:ascii="Times New Roman"/>
                <w:sz w:val="21"/>
              </w:rPr>
              <w:t>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1"/>
              <w:ind w:left="325" w:right="319"/>
              <w:rPr>
                <w:sz w:val="21"/>
              </w:rPr>
            </w:pPr>
            <w:r>
              <w:rPr>
                <w:rFonts w:ascii="Times New Roman" w:eastAsia="Times New Roman"/>
                <w:sz w:val="21"/>
              </w:rPr>
              <w:t>1,1-</w:t>
            </w:r>
            <w:r>
              <w:rPr>
                <w:sz w:val="21"/>
              </w:rPr>
              <w:t>二氯乙烷</w:t>
            </w:r>
          </w:p>
        </w:tc>
        <w:tc>
          <w:tcPr>
            <w:tcW w:w="1447" w:type="dxa"/>
          </w:tcPr>
          <w:p>
            <w:pPr>
              <w:pStyle w:val="14"/>
              <w:spacing w:before="75"/>
              <w:ind w:left="118" w:right="112"/>
              <w:rPr>
                <w:rFonts w:ascii="Times New Roman" w:hAnsi="Times New Roman"/>
                <w:sz w:val="21"/>
              </w:rPr>
            </w:pPr>
            <w:r>
              <w:rPr>
                <w:rFonts w:ascii="Times New Roman" w:hAnsi="Times New Roman"/>
                <w:sz w:val="21"/>
              </w:rPr>
              <w:t>μg/kg</w:t>
            </w:r>
          </w:p>
        </w:tc>
        <w:tc>
          <w:tcPr>
            <w:tcW w:w="1417" w:type="dxa"/>
          </w:tcPr>
          <w:p>
            <w:pPr>
              <w:pStyle w:val="14"/>
              <w:spacing w:before="80"/>
              <w:ind w:left="161" w:right="151"/>
              <w:rPr>
                <w:rFonts w:ascii="Times New Roman"/>
                <w:sz w:val="21"/>
              </w:rPr>
            </w:pPr>
            <w:bookmarkStart w:id="1074" w:name="&lt;2"/>
            <w:bookmarkEnd w:id="1074"/>
            <w:r>
              <w:rPr>
                <w:rFonts w:ascii="Times New Roman"/>
                <w:sz w:val="21"/>
              </w:rPr>
              <w:t>&lt;2</w:t>
            </w:r>
          </w:p>
        </w:tc>
        <w:tc>
          <w:tcPr>
            <w:tcW w:w="1417" w:type="dxa"/>
          </w:tcPr>
          <w:p>
            <w:pPr>
              <w:pStyle w:val="14"/>
              <w:spacing w:before="75"/>
              <w:ind w:left="7"/>
              <w:rPr>
                <w:rFonts w:ascii="Times New Roman"/>
                <w:sz w:val="21"/>
              </w:rPr>
            </w:pPr>
            <w:r>
              <w:rPr>
                <w:rFonts w:ascii="Times New Roman"/>
                <w:w w:val="99"/>
                <w:sz w:val="21"/>
              </w:rPr>
              <w:t>/</w:t>
            </w:r>
          </w:p>
        </w:tc>
        <w:tc>
          <w:tcPr>
            <w:tcW w:w="1418" w:type="dxa"/>
          </w:tcPr>
          <w:p>
            <w:pPr>
              <w:pStyle w:val="14"/>
              <w:spacing w:before="75"/>
              <w:ind w:left="9"/>
              <w:rPr>
                <w:rFonts w:ascii="Times New Roman"/>
                <w:sz w:val="21"/>
              </w:rPr>
            </w:pPr>
            <w:r>
              <w:rPr>
                <w:rFonts w:ascii="Times New Roman"/>
                <w:w w:val="99"/>
                <w:sz w:val="21"/>
              </w:rPr>
              <w:t>/</w:t>
            </w:r>
          </w:p>
        </w:tc>
        <w:tc>
          <w:tcPr>
            <w:tcW w:w="1083" w:type="dxa"/>
          </w:tcPr>
          <w:p>
            <w:pPr>
              <w:pStyle w:val="14"/>
              <w:spacing w:before="75"/>
              <w:ind w:left="329"/>
              <w:jc w:val="left"/>
              <w:rPr>
                <w:rFonts w:ascii="Times New Roman"/>
                <w:sz w:val="21"/>
              </w:rPr>
            </w:pPr>
            <w:r>
              <w:rPr>
                <w:rFonts w:ascii="Times New Roman"/>
                <w:sz w:val="21"/>
              </w:rPr>
              <w:t>9000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562" w:type="dxa"/>
          </w:tcPr>
          <w:p>
            <w:pPr>
              <w:pStyle w:val="14"/>
              <w:spacing w:before="62"/>
              <w:ind w:left="325" w:right="319"/>
              <w:rPr>
                <w:sz w:val="21"/>
              </w:rPr>
            </w:pPr>
            <w:r>
              <w:rPr>
                <w:rFonts w:ascii="Times New Roman" w:eastAsia="Times New Roman"/>
                <w:sz w:val="21"/>
              </w:rPr>
              <w:t>1,2-</w:t>
            </w:r>
            <w:r>
              <w:rPr>
                <w:sz w:val="21"/>
              </w:rPr>
              <w:t>二氯乙烷</w:t>
            </w:r>
          </w:p>
        </w:tc>
        <w:tc>
          <w:tcPr>
            <w:tcW w:w="1447" w:type="dxa"/>
          </w:tcPr>
          <w:p>
            <w:pPr>
              <w:pStyle w:val="14"/>
              <w:spacing w:before="76"/>
              <w:ind w:left="118" w:right="112"/>
              <w:rPr>
                <w:rFonts w:ascii="Times New Roman" w:hAnsi="Times New Roman"/>
                <w:sz w:val="21"/>
              </w:rPr>
            </w:pPr>
            <w:r>
              <w:rPr>
                <w:rFonts w:ascii="Times New Roman" w:hAnsi="Times New Roman"/>
                <w:sz w:val="21"/>
              </w:rPr>
              <w:t>μg/kg</w:t>
            </w:r>
          </w:p>
        </w:tc>
        <w:tc>
          <w:tcPr>
            <w:tcW w:w="1417" w:type="dxa"/>
          </w:tcPr>
          <w:p>
            <w:pPr>
              <w:pStyle w:val="14"/>
              <w:spacing w:before="78"/>
              <w:ind w:left="161" w:right="151"/>
              <w:rPr>
                <w:rFonts w:ascii="Times New Roman"/>
                <w:sz w:val="21"/>
              </w:rPr>
            </w:pPr>
            <w:bookmarkStart w:id="1075" w:name="&lt;3"/>
            <w:bookmarkEnd w:id="1075"/>
            <w:r>
              <w:rPr>
                <w:rFonts w:ascii="Times New Roman"/>
                <w:sz w:val="21"/>
              </w:rPr>
              <w:t>&lt;3</w:t>
            </w:r>
          </w:p>
        </w:tc>
        <w:tc>
          <w:tcPr>
            <w:tcW w:w="1417" w:type="dxa"/>
          </w:tcPr>
          <w:p>
            <w:pPr>
              <w:pStyle w:val="14"/>
              <w:spacing w:before="76"/>
              <w:ind w:left="7"/>
              <w:rPr>
                <w:rFonts w:ascii="Times New Roman"/>
                <w:sz w:val="21"/>
              </w:rPr>
            </w:pPr>
            <w:r>
              <w:rPr>
                <w:rFonts w:ascii="Times New Roman"/>
                <w:w w:val="99"/>
                <w:sz w:val="21"/>
              </w:rPr>
              <w:t>/</w:t>
            </w:r>
          </w:p>
        </w:tc>
        <w:tc>
          <w:tcPr>
            <w:tcW w:w="1418" w:type="dxa"/>
          </w:tcPr>
          <w:p>
            <w:pPr>
              <w:pStyle w:val="14"/>
              <w:spacing w:before="76"/>
              <w:ind w:left="9"/>
              <w:rPr>
                <w:rFonts w:ascii="Times New Roman"/>
                <w:sz w:val="21"/>
              </w:rPr>
            </w:pPr>
            <w:r>
              <w:rPr>
                <w:rFonts w:ascii="Times New Roman"/>
                <w:w w:val="99"/>
                <w:sz w:val="21"/>
              </w:rPr>
              <w:t>/</w:t>
            </w:r>
          </w:p>
        </w:tc>
        <w:tc>
          <w:tcPr>
            <w:tcW w:w="1083" w:type="dxa"/>
          </w:tcPr>
          <w:p>
            <w:pPr>
              <w:pStyle w:val="14"/>
              <w:spacing w:before="76"/>
              <w:ind w:left="329"/>
              <w:jc w:val="left"/>
              <w:rPr>
                <w:rFonts w:ascii="Times New Roman"/>
                <w:sz w:val="21"/>
              </w:rPr>
            </w:pPr>
            <w:r>
              <w:rPr>
                <w:rFonts w:ascii="Times New Roman"/>
                <w:sz w:val="21"/>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3"/>
              <w:ind w:left="325" w:right="319"/>
              <w:rPr>
                <w:sz w:val="21"/>
              </w:rPr>
            </w:pPr>
            <w:r>
              <w:rPr>
                <w:rFonts w:ascii="Times New Roman" w:eastAsia="Times New Roman"/>
                <w:sz w:val="21"/>
              </w:rPr>
              <w:t>1,1-</w:t>
            </w:r>
            <w:r>
              <w:rPr>
                <w:sz w:val="21"/>
              </w:rPr>
              <w:t>二氯乙烯</w:t>
            </w:r>
          </w:p>
        </w:tc>
        <w:tc>
          <w:tcPr>
            <w:tcW w:w="1447" w:type="dxa"/>
          </w:tcPr>
          <w:p>
            <w:pPr>
              <w:pStyle w:val="14"/>
              <w:spacing w:before="77"/>
              <w:ind w:left="118" w:right="112"/>
              <w:rPr>
                <w:rFonts w:ascii="Times New Roman" w:hAnsi="Times New Roman"/>
                <w:sz w:val="21"/>
              </w:rPr>
            </w:pPr>
            <w:r>
              <w:rPr>
                <w:rFonts w:ascii="Times New Roman" w:hAnsi="Times New Roman"/>
                <w:sz w:val="21"/>
              </w:rPr>
              <w:t>μg/kg</w:t>
            </w:r>
          </w:p>
        </w:tc>
        <w:tc>
          <w:tcPr>
            <w:tcW w:w="1417" w:type="dxa"/>
          </w:tcPr>
          <w:p>
            <w:pPr>
              <w:pStyle w:val="14"/>
              <w:spacing w:before="79"/>
              <w:ind w:left="161" w:right="151"/>
              <w:rPr>
                <w:rFonts w:ascii="Times New Roman"/>
                <w:sz w:val="21"/>
              </w:rPr>
            </w:pPr>
            <w:bookmarkStart w:id="1076" w:name="&lt;2"/>
            <w:bookmarkEnd w:id="1076"/>
            <w:r>
              <w:rPr>
                <w:rFonts w:ascii="Times New Roman"/>
                <w:sz w:val="21"/>
              </w:rPr>
              <w:t>&lt;2</w:t>
            </w:r>
          </w:p>
        </w:tc>
        <w:tc>
          <w:tcPr>
            <w:tcW w:w="1417" w:type="dxa"/>
          </w:tcPr>
          <w:p>
            <w:pPr>
              <w:pStyle w:val="14"/>
              <w:spacing w:before="77"/>
              <w:ind w:left="7"/>
              <w:rPr>
                <w:rFonts w:ascii="Times New Roman"/>
                <w:sz w:val="21"/>
              </w:rPr>
            </w:pPr>
            <w:r>
              <w:rPr>
                <w:rFonts w:ascii="Times New Roman"/>
                <w:w w:val="99"/>
                <w:sz w:val="21"/>
              </w:rPr>
              <w:t>/</w:t>
            </w:r>
          </w:p>
        </w:tc>
        <w:tc>
          <w:tcPr>
            <w:tcW w:w="1418" w:type="dxa"/>
          </w:tcPr>
          <w:p>
            <w:pPr>
              <w:pStyle w:val="14"/>
              <w:spacing w:before="77"/>
              <w:ind w:left="9"/>
              <w:rPr>
                <w:rFonts w:ascii="Times New Roman"/>
                <w:sz w:val="21"/>
              </w:rPr>
            </w:pPr>
            <w:r>
              <w:rPr>
                <w:rFonts w:ascii="Times New Roman"/>
                <w:w w:val="99"/>
                <w:sz w:val="21"/>
              </w:rPr>
              <w:t>/</w:t>
            </w:r>
          </w:p>
        </w:tc>
        <w:tc>
          <w:tcPr>
            <w:tcW w:w="1083" w:type="dxa"/>
          </w:tcPr>
          <w:p>
            <w:pPr>
              <w:pStyle w:val="14"/>
              <w:spacing w:before="77"/>
              <w:ind w:right="267"/>
              <w:jc w:val="right"/>
              <w:rPr>
                <w:rFonts w:ascii="Times New Roman"/>
                <w:sz w:val="21"/>
              </w:rPr>
            </w:pPr>
            <w:r>
              <w:rPr>
                <w:rFonts w:ascii="Times New Roman"/>
                <w:w w:val="95"/>
                <w:sz w:val="21"/>
              </w:rPr>
              <w:t>66000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2"/>
              <w:ind w:left="327" w:right="319"/>
              <w:rPr>
                <w:sz w:val="21"/>
              </w:rPr>
            </w:pPr>
            <w:r>
              <w:rPr>
                <w:sz w:val="21"/>
              </w:rPr>
              <w:t>顺</w:t>
            </w:r>
            <w:r>
              <w:rPr>
                <w:rFonts w:ascii="Times New Roman" w:eastAsia="Times New Roman"/>
                <w:sz w:val="21"/>
              </w:rPr>
              <w:t>-1,2-</w:t>
            </w:r>
            <w:r>
              <w:rPr>
                <w:sz w:val="21"/>
              </w:rPr>
              <w:t>二氯乙烯</w:t>
            </w:r>
          </w:p>
        </w:tc>
        <w:tc>
          <w:tcPr>
            <w:tcW w:w="1447" w:type="dxa"/>
          </w:tcPr>
          <w:p>
            <w:pPr>
              <w:pStyle w:val="14"/>
              <w:spacing w:before="75"/>
              <w:ind w:left="118" w:right="112"/>
              <w:rPr>
                <w:rFonts w:ascii="Times New Roman" w:hAnsi="Times New Roman"/>
                <w:sz w:val="21"/>
              </w:rPr>
            </w:pPr>
            <w:r>
              <w:rPr>
                <w:rFonts w:ascii="Times New Roman" w:hAnsi="Times New Roman"/>
                <w:sz w:val="21"/>
              </w:rPr>
              <w:t>μg/kg</w:t>
            </w:r>
          </w:p>
        </w:tc>
        <w:tc>
          <w:tcPr>
            <w:tcW w:w="1417" w:type="dxa"/>
          </w:tcPr>
          <w:p>
            <w:pPr>
              <w:pStyle w:val="14"/>
              <w:spacing w:before="78"/>
              <w:ind w:left="161" w:right="151"/>
              <w:rPr>
                <w:rFonts w:ascii="Times New Roman"/>
                <w:sz w:val="21"/>
              </w:rPr>
            </w:pPr>
            <w:bookmarkStart w:id="1077" w:name="&lt;3"/>
            <w:bookmarkEnd w:id="1077"/>
            <w:r>
              <w:rPr>
                <w:rFonts w:ascii="Times New Roman"/>
                <w:sz w:val="21"/>
              </w:rPr>
              <w:t>&lt;3</w:t>
            </w:r>
          </w:p>
        </w:tc>
        <w:tc>
          <w:tcPr>
            <w:tcW w:w="1417" w:type="dxa"/>
          </w:tcPr>
          <w:p>
            <w:pPr>
              <w:pStyle w:val="14"/>
              <w:spacing w:before="75"/>
              <w:ind w:left="7"/>
              <w:rPr>
                <w:rFonts w:ascii="Times New Roman"/>
                <w:sz w:val="21"/>
              </w:rPr>
            </w:pPr>
            <w:r>
              <w:rPr>
                <w:rFonts w:ascii="Times New Roman"/>
                <w:w w:val="99"/>
                <w:sz w:val="21"/>
              </w:rPr>
              <w:t>/</w:t>
            </w:r>
          </w:p>
        </w:tc>
        <w:tc>
          <w:tcPr>
            <w:tcW w:w="1418" w:type="dxa"/>
          </w:tcPr>
          <w:p>
            <w:pPr>
              <w:pStyle w:val="14"/>
              <w:spacing w:before="75"/>
              <w:ind w:left="9"/>
              <w:rPr>
                <w:rFonts w:ascii="Times New Roman"/>
                <w:sz w:val="21"/>
              </w:rPr>
            </w:pPr>
            <w:r>
              <w:rPr>
                <w:rFonts w:ascii="Times New Roman"/>
                <w:w w:val="99"/>
                <w:sz w:val="21"/>
              </w:rPr>
              <w:t>/</w:t>
            </w:r>
          </w:p>
        </w:tc>
        <w:tc>
          <w:tcPr>
            <w:tcW w:w="1083" w:type="dxa"/>
          </w:tcPr>
          <w:p>
            <w:pPr>
              <w:pStyle w:val="14"/>
              <w:spacing w:before="75"/>
              <w:ind w:right="214"/>
              <w:jc w:val="right"/>
              <w:rPr>
                <w:rFonts w:ascii="Times New Roman"/>
                <w:sz w:val="21"/>
              </w:rPr>
            </w:pPr>
            <w:r>
              <w:rPr>
                <w:rFonts w:ascii="Times New Roman"/>
                <w:w w:val="95"/>
                <w:sz w:val="21"/>
              </w:rPr>
              <w:t>596000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562" w:type="dxa"/>
          </w:tcPr>
          <w:p>
            <w:pPr>
              <w:pStyle w:val="14"/>
              <w:spacing w:before="62"/>
              <w:ind w:left="327" w:right="319"/>
              <w:rPr>
                <w:sz w:val="21"/>
              </w:rPr>
            </w:pPr>
            <w:r>
              <w:rPr>
                <w:sz w:val="21"/>
              </w:rPr>
              <w:t>反</w:t>
            </w:r>
            <w:r>
              <w:rPr>
                <w:rFonts w:ascii="Times New Roman" w:eastAsia="Times New Roman"/>
                <w:sz w:val="21"/>
              </w:rPr>
              <w:t>-1,2-</w:t>
            </w:r>
            <w:r>
              <w:rPr>
                <w:sz w:val="21"/>
              </w:rPr>
              <w:t>二氯乙烯</w:t>
            </w:r>
          </w:p>
        </w:tc>
        <w:tc>
          <w:tcPr>
            <w:tcW w:w="1447" w:type="dxa"/>
          </w:tcPr>
          <w:p>
            <w:pPr>
              <w:pStyle w:val="14"/>
              <w:spacing w:before="76"/>
              <w:ind w:left="118" w:right="112"/>
              <w:rPr>
                <w:rFonts w:ascii="Times New Roman" w:hAnsi="Times New Roman"/>
                <w:sz w:val="21"/>
              </w:rPr>
            </w:pPr>
            <w:r>
              <w:rPr>
                <w:rFonts w:ascii="Times New Roman" w:hAnsi="Times New Roman"/>
                <w:sz w:val="21"/>
              </w:rPr>
              <w:t>μg/kg</w:t>
            </w:r>
          </w:p>
        </w:tc>
        <w:tc>
          <w:tcPr>
            <w:tcW w:w="1417" w:type="dxa"/>
          </w:tcPr>
          <w:p>
            <w:pPr>
              <w:pStyle w:val="14"/>
              <w:spacing w:before="79"/>
              <w:ind w:left="161" w:right="151"/>
              <w:rPr>
                <w:rFonts w:ascii="Times New Roman"/>
                <w:sz w:val="21"/>
              </w:rPr>
            </w:pPr>
            <w:bookmarkStart w:id="1078" w:name="&lt;3"/>
            <w:bookmarkEnd w:id="1078"/>
            <w:r>
              <w:rPr>
                <w:rFonts w:ascii="Times New Roman"/>
                <w:sz w:val="21"/>
              </w:rPr>
              <w:t>&lt;3</w:t>
            </w:r>
          </w:p>
        </w:tc>
        <w:tc>
          <w:tcPr>
            <w:tcW w:w="1417" w:type="dxa"/>
          </w:tcPr>
          <w:p>
            <w:pPr>
              <w:pStyle w:val="14"/>
              <w:spacing w:before="76"/>
              <w:ind w:left="7"/>
              <w:rPr>
                <w:rFonts w:ascii="Times New Roman"/>
                <w:sz w:val="21"/>
              </w:rPr>
            </w:pPr>
            <w:r>
              <w:rPr>
                <w:rFonts w:ascii="Times New Roman"/>
                <w:w w:val="99"/>
                <w:sz w:val="21"/>
              </w:rPr>
              <w:t>/</w:t>
            </w:r>
          </w:p>
        </w:tc>
        <w:tc>
          <w:tcPr>
            <w:tcW w:w="1418" w:type="dxa"/>
          </w:tcPr>
          <w:p>
            <w:pPr>
              <w:pStyle w:val="14"/>
              <w:spacing w:before="76"/>
              <w:ind w:left="9"/>
              <w:rPr>
                <w:rFonts w:ascii="Times New Roman"/>
                <w:sz w:val="21"/>
              </w:rPr>
            </w:pPr>
            <w:r>
              <w:rPr>
                <w:rFonts w:ascii="Times New Roman"/>
                <w:w w:val="99"/>
                <w:sz w:val="21"/>
              </w:rPr>
              <w:t>/</w:t>
            </w:r>
          </w:p>
        </w:tc>
        <w:tc>
          <w:tcPr>
            <w:tcW w:w="1083" w:type="dxa"/>
          </w:tcPr>
          <w:p>
            <w:pPr>
              <w:pStyle w:val="14"/>
              <w:spacing w:before="76"/>
              <w:ind w:right="267"/>
              <w:jc w:val="right"/>
              <w:rPr>
                <w:rFonts w:ascii="Times New Roman"/>
                <w:sz w:val="21"/>
              </w:rPr>
            </w:pPr>
            <w:r>
              <w:rPr>
                <w:rFonts w:ascii="Times New Roman"/>
                <w:w w:val="95"/>
                <w:sz w:val="21"/>
              </w:rPr>
              <w:t>54000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1"/>
              <w:ind w:left="325" w:right="319"/>
              <w:rPr>
                <w:sz w:val="21"/>
              </w:rPr>
            </w:pPr>
            <w:r>
              <w:rPr>
                <w:sz w:val="21"/>
              </w:rPr>
              <w:t>二氯甲烷</w:t>
            </w:r>
          </w:p>
        </w:tc>
        <w:tc>
          <w:tcPr>
            <w:tcW w:w="1447" w:type="dxa"/>
          </w:tcPr>
          <w:p>
            <w:pPr>
              <w:pStyle w:val="14"/>
              <w:spacing w:before="75"/>
              <w:ind w:left="118" w:right="112"/>
              <w:rPr>
                <w:rFonts w:ascii="Times New Roman" w:hAnsi="Times New Roman"/>
                <w:sz w:val="21"/>
              </w:rPr>
            </w:pPr>
            <w:r>
              <w:rPr>
                <w:rFonts w:ascii="Times New Roman" w:hAnsi="Times New Roman"/>
                <w:sz w:val="21"/>
              </w:rPr>
              <w:t>μg/kg</w:t>
            </w:r>
          </w:p>
        </w:tc>
        <w:tc>
          <w:tcPr>
            <w:tcW w:w="1417" w:type="dxa"/>
          </w:tcPr>
          <w:p>
            <w:pPr>
              <w:pStyle w:val="14"/>
              <w:spacing w:before="80"/>
              <w:ind w:left="161" w:right="151"/>
              <w:rPr>
                <w:rFonts w:ascii="Times New Roman"/>
                <w:sz w:val="21"/>
              </w:rPr>
            </w:pPr>
            <w:bookmarkStart w:id="1079" w:name="&lt;3"/>
            <w:bookmarkEnd w:id="1079"/>
            <w:r>
              <w:rPr>
                <w:rFonts w:ascii="Times New Roman"/>
                <w:sz w:val="21"/>
              </w:rPr>
              <w:t>&lt;3</w:t>
            </w:r>
          </w:p>
        </w:tc>
        <w:tc>
          <w:tcPr>
            <w:tcW w:w="1417" w:type="dxa"/>
          </w:tcPr>
          <w:p>
            <w:pPr>
              <w:pStyle w:val="14"/>
              <w:spacing w:before="75"/>
              <w:ind w:left="7"/>
              <w:rPr>
                <w:rFonts w:ascii="Times New Roman"/>
                <w:sz w:val="21"/>
              </w:rPr>
            </w:pPr>
            <w:r>
              <w:rPr>
                <w:rFonts w:ascii="Times New Roman"/>
                <w:w w:val="99"/>
                <w:sz w:val="21"/>
              </w:rPr>
              <w:t>/</w:t>
            </w:r>
          </w:p>
        </w:tc>
        <w:tc>
          <w:tcPr>
            <w:tcW w:w="1418" w:type="dxa"/>
          </w:tcPr>
          <w:p>
            <w:pPr>
              <w:pStyle w:val="14"/>
              <w:spacing w:before="75"/>
              <w:ind w:left="9"/>
              <w:rPr>
                <w:rFonts w:ascii="Times New Roman"/>
                <w:sz w:val="21"/>
              </w:rPr>
            </w:pPr>
            <w:r>
              <w:rPr>
                <w:rFonts w:ascii="Times New Roman"/>
                <w:w w:val="99"/>
                <w:sz w:val="21"/>
              </w:rPr>
              <w:t>/</w:t>
            </w:r>
          </w:p>
        </w:tc>
        <w:tc>
          <w:tcPr>
            <w:tcW w:w="1083" w:type="dxa"/>
          </w:tcPr>
          <w:p>
            <w:pPr>
              <w:pStyle w:val="14"/>
              <w:spacing w:before="75"/>
              <w:ind w:right="214"/>
              <w:jc w:val="right"/>
              <w:rPr>
                <w:rFonts w:ascii="Times New Roman"/>
                <w:sz w:val="21"/>
              </w:rPr>
            </w:pPr>
            <w:r>
              <w:rPr>
                <w:rFonts w:ascii="Times New Roman"/>
                <w:w w:val="95"/>
                <w:sz w:val="21"/>
              </w:rPr>
              <w:t>616000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2"/>
              <w:ind w:left="325" w:right="319"/>
              <w:rPr>
                <w:sz w:val="21"/>
              </w:rPr>
            </w:pPr>
            <w:r>
              <w:rPr>
                <w:rFonts w:ascii="Times New Roman" w:eastAsia="Times New Roman"/>
                <w:sz w:val="21"/>
              </w:rPr>
              <w:t>1,2-</w:t>
            </w:r>
            <w:r>
              <w:rPr>
                <w:sz w:val="21"/>
              </w:rPr>
              <w:t>二氯丙烷</w:t>
            </w:r>
          </w:p>
        </w:tc>
        <w:tc>
          <w:tcPr>
            <w:tcW w:w="1447" w:type="dxa"/>
          </w:tcPr>
          <w:p>
            <w:pPr>
              <w:pStyle w:val="14"/>
              <w:spacing w:before="76"/>
              <w:ind w:left="118" w:right="112"/>
              <w:rPr>
                <w:rFonts w:ascii="Times New Roman" w:hAnsi="Times New Roman"/>
                <w:sz w:val="21"/>
              </w:rPr>
            </w:pPr>
            <w:r>
              <w:rPr>
                <w:rFonts w:ascii="Times New Roman" w:hAnsi="Times New Roman"/>
                <w:sz w:val="21"/>
              </w:rPr>
              <w:t>μg/kg</w:t>
            </w:r>
          </w:p>
        </w:tc>
        <w:tc>
          <w:tcPr>
            <w:tcW w:w="1417" w:type="dxa"/>
          </w:tcPr>
          <w:p>
            <w:pPr>
              <w:pStyle w:val="14"/>
              <w:spacing w:before="78"/>
              <w:ind w:left="161" w:right="151"/>
              <w:rPr>
                <w:rFonts w:ascii="Times New Roman"/>
                <w:sz w:val="21"/>
              </w:rPr>
            </w:pPr>
            <w:bookmarkStart w:id="1080" w:name="&lt;2"/>
            <w:bookmarkEnd w:id="1080"/>
            <w:r>
              <w:rPr>
                <w:rFonts w:ascii="Times New Roman"/>
                <w:sz w:val="21"/>
              </w:rPr>
              <w:t>&lt;2</w:t>
            </w:r>
          </w:p>
        </w:tc>
        <w:tc>
          <w:tcPr>
            <w:tcW w:w="1417" w:type="dxa"/>
          </w:tcPr>
          <w:p>
            <w:pPr>
              <w:pStyle w:val="14"/>
              <w:spacing w:before="76"/>
              <w:ind w:left="7"/>
              <w:rPr>
                <w:rFonts w:ascii="Times New Roman"/>
                <w:sz w:val="21"/>
              </w:rPr>
            </w:pPr>
            <w:r>
              <w:rPr>
                <w:rFonts w:ascii="Times New Roman"/>
                <w:w w:val="99"/>
                <w:sz w:val="21"/>
              </w:rPr>
              <w:t>/</w:t>
            </w:r>
          </w:p>
        </w:tc>
        <w:tc>
          <w:tcPr>
            <w:tcW w:w="1418" w:type="dxa"/>
          </w:tcPr>
          <w:p>
            <w:pPr>
              <w:pStyle w:val="14"/>
              <w:spacing w:before="76"/>
              <w:ind w:left="9"/>
              <w:rPr>
                <w:rFonts w:ascii="Times New Roman"/>
                <w:sz w:val="21"/>
              </w:rPr>
            </w:pPr>
            <w:r>
              <w:rPr>
                <w:rFonts w:ascii="Times New Roman"/>
                <w:w w:val="99"/>
                <w:sz w:val="21"/>
              </w:rPr>
              <w:t>/</w:t>
            </w:r>
          </w:p>
        </w:tc>
        <w:tc>
          <w:tcPr>
            <w:tcW w:w="1083" w:type="dxa"/>
          </w:tcPr>
          <w:p>
            <w:pPr>
              <w:pStyle w:val="14"/>
              <w:spacing w:before="76"/>
              <w:ind w:left="329"/>
              <w:jc w:val="left"/>
              <w:rPr>
                <w:rFonts w:ascii="Times New Roman"/>
                <w:sz w:val="21"/>
              </w:rPr>
            </w:pPr>
            <w:r>
              <w:rPr>
                <w:rFonts w:ascii="Times New Roman"/>
                <w:sz w:val="21"/>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1"/>
              <w:ind w:left="327" w:right="319"/>
              <w:rPr>
                <w:sz w:val="21"/>
              </w:rPr>
            </w:pPr>
            <w:r>
              <w:rPr>
                <w:rFonts w:ascii="Times New Roman" w:eastAsia="Times New Roman"/>
                <w:sz w:val="21"/>
              </w:rPr>
              <w:t>1,1,1,2-</w:t>
            </w:r>
            <w:r>
              <w:rPr>
                <w:sz w:val="21"/>
              </w:rPr>
              <w:t>四氯乙烷</w:t>
            </w:r>
          </w:p>
        </w:tc>
        <w:tc>
          <w:tcPr>
            <w:tcW w:w="1447" w:type="dxa"/>
          </w:tcPr>
          <w:p>
            <w:pPr>
              <w:pStyle w:val="14"/>
              <w:spacing w:before="75"/>
              <w:ind w:left="118" w:right="112"/>
              <w:rPr>
                <w:rFonts w:ascii="Times New Roman" w:hAnsi="Times New Roman"/>
                <w:sz w:val="21"/>
              </w:rPr>
            </w:pPr>
            <w:r>
              <w:rPr>
                <w:rFonts w:ascii="Times New Roman" w:hAnsi="Times New Roman"/>
                <w:sz w:val="21"/>
              </w:rPr>
              <w:t>μg/kg</w:t>
            </w:r>
          </w:p>
        </w:tc>
        <w:tc>
          <w:tcPr>
            <w:tcW w:w="1417" w:type="dxa"/>
          </w:tcPr>
          <w:p>
            <w:pPr>
              <w:pStyle w:val="14"/>
              <w:spacing w:before="79"/>
              <w:ind w:left="161" w:right="151"/>
              <w:rPr>
                <w:rFonts w:ascii="Times New Roman"/>
                <w:sz w:val="21"/>
              </w:rPr>
            </w:pPr>
            <w:bookmarkStart w:id="1081" w:name="&lt;3"/>
            <w:bookmarkEnd w:id="1081"/>
            <w:r>
              <w:rPr>
                <w:rFonts w:ascii="Times New Roman"/>
                <w:sz w:val="21"/>
              </w:rPr>
              <w:t>&lt;3</w:t>
            </w:r>
          </w:p>
        </w:tc>
        <w:tc>
          <w:tcPr>
            <w:tcW w:w="1417" w:type="dxa"/>
          </w:tcPr>
          <w:p>
            <w:pPr>
              <w:pStyle w:val="14"/>
              <w:spacing w:before="75"/>
              <w:ind w:left="7"/>
              <w:rPr>
                <w:rFonts w:ascii="Times New Roman"/>
                <w:sz w:val="21"/>
              </w:rPr>
            </w:pPr>
            <w:r>
              <w:rPr>
                <w:rFonts w:ascii="Times New Roman"/>
                <w:w w:val="99"/>
                <w:sz w:val="21"/>
              </w:rPr>
              <w:t>/</w:t>
            </w:r>
          </w:p>
        </w:tc>
        <w:tc>
          <w:tcPr>
            <w:tcW w:w="1418" w:type="dxa"/>
          </w:tcPr>
          <w:p>
            <w:pPr>
              <w:pStyle w:val="14"/>
              <w:spacing w:before="75"/>
              <w:ind w:left="9"/>
              <w:rPr>
                <w:rFonts w:ascii="Times New Roman"/>
                <w:sz w:val="21"/>
              </w:rPr>
            </w:pPr>
            <w:r>
              <w:rPr>
                <w:rFonts w:ascii="Times New Roman"/>
                <w:w w:val="99"/>
                <w:sz w:val="21"/>
              </w:rPr>
              <w:t>/</w:t>
            </w:r>
          </w:p>
        </w:tc>
        <w:tc>
          <w:tcPr>
            <w:tcW w:w="1083" w:type="dxa"/>
          </w:tcPr>
          <w:p>
            <w:pPr>
              <w:pStyle w:val="14"/>
              <w:spacing w:before="75"/>
              <w:ind w:right="267"/>
              <w:jc w:val="right"/>
              <w:rPr>
                <w:rFonts w:ascii="Times New Roman"/>
                <w:sz w:val="21"/>
              </w:rPr>
            </w:pPr>
            <w:r>
              <w:rPr>
                <w:rFonts w:ascii="Times New Roman"/>
                <w:w w:val="95"/>
                <w:sz w:val="21"/>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562" w:type="dxa"/>
          </w:tcPr>
          <w:p>
            <w:pPr>
              <w:pStyle w:val="14"/>
              <w:spacing w:before="62"/>
              <w:ind w:left="327" w:right="319"/>
              <w:rPr>
                <w:sz w:val="21"/>
              </w:rPr>
            </w:pPr>
            <w:r>
              <w:rPr>
                <w:rFonts w:ascii="Times New Roman" w:eastAsia="Times New Roman"/>
                <w:sz w:val="21"/>
              </w:rPr>
              <w:t>1,1,2,2-</w:t>
            </w:r>
            <w:r>
              <w:rPr>
                <w:sz w:val="21"/>
              </w:rPr>
              <w:t>四氯乙烷</w:t>
            </w:r>
          </w:p>
        </w:tc>
        <w:tc>
          <w:tcPr>
            <w:tcW w:w="1447" w:type="dxa"/>
          </w:tcPr>
          <w:p>
            <w:pPr>
              <w:pStyle w:val="14"/>
              <w:spacing w:before="97"/>
              <w:ind w:left="118" w:right="112"/>
              <w:rPr>
                <w:rFonts w:ascii="Times New Roman" w:hAnsi="Times New Roman"/>
                <w:sz w:val="21"/>
              </w:rPr>
            </w:pPr>
            <w:bookmarkStart w:id="1082" w:name="μg/kg"/>
            <w:bookmarkEnd w:id="1082"/>
            <w:r>
              <w:rPr>
                <w:rFonts w:ascii="Times New Roman" w:hAnsi="Times New Roman"/>
                <w:sz w:val="21"/>
              </w:rPr>
              <w:t>μg/kg</w:t>
            </w:r>
          </w:p>
        </w:tc>
        <w:tc>
          <w:tcPr>
            <w:tcW w:w="1417" w:type="dxa"/>
          </w:tcPr>
          <w:p>
            <w:pPr>
              <w:pStyle w:val="14"/>
              <w:spacing w:before="97"/>
              <w:ind w:left="161" w:right="151"/>
              <w:rPr>
                <w:rFonts w:ascii="Times New Roman"/>
                <w:sz w:val="21"/>
              </w:rPr>
            </w:pPr>
            <w:bookmarkStart w:id="1083" w:name="&lt;3"/>
            <w:bookmarkEnd w:id="1083"/>
            <w:r>
              <w:rPr>
                <w:rFonts w:ascii="Times New Roman"/>
                <w:sz w:val="21"/>
              </w:rPr>
              <w:t>&lt;3</w:t>
            </w:r>
          </w:p>
        </w:tc>
        <w:tc>
          <w:tcPr>
            <w:tcW w:w="1417" w:type="dxa"/>
          </w:tcPr>
          <w:p>
            <w:pPr>
              <w:pStyle w:val="14"/>
              <w:spacing w:before="76"/>
              <w:ind w:left="7"/>
              <w:rPr>
                <w:rFonts w:ascii="Times New Roman"/>
                <w:sz w:val="21"/>
              </w:rPr>
            </w:pPr>
            <w:r>
              <w:rPr>
                <w:rFonts w:ascii="Times New Roman"/>
                <w:w w:val="99"/>
                <w:sz w:val="21"/>
              </w:rPr>
              <w:t>/</w:t>
            </w:r>
          </w:p>
        </w:tc>
        <w:tc>
          <w:tcPr>
            <w:tcW w:w="1418" w:type="dxa"/>
          </w:tcPr>
          <w:p>
            <w:pPr>
              <w:pStyle w:val="14"/>
              <w:spacing w:before="76"/>
              <w:ind w:left="9"/>
              <w:rPr>
                <w:rFonts w:ascii="Times New Roman"/>
                <w:sz w:val="21"/>
              </w:rPr>
            </w:pPr>
            <w:r>
              <w:rPr>
                <w:rFonts w:ascii="Times New Roman"/>
                <w:w w:val="99"/>
                <w:sz w:val="21"/>
              </w:rPr>
              <w:t>/</w:t>
            </w:r>
          </w:p>
        </w:tc>
        <w:tc>
          <w:tcPr>
            <w:tcW w:w="1083" w:type="dxa"/>
          </w:tcPr>
          <w:p>
            <w:pPr>
              <w:pStyle w:val="14"/>
              <w:spacing w:before="76"/>
              <w:ind w:left="329"/>
              <w:jc w:val="left"/>
              <w:rPr>
                <w:rFonts w:ascii="Times New Roman"/>
                <w:sz w:val="21"/>
              </w:rPr>
            </w:pPr>
            <w:r>
              <w:rPr>
                <w:rFonts w:ascii="Times New Roman"/>
                <w:sz w:val="21"/>
              </w:rPr>
              <w:t>6800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3"/>
              <w:ind w:left="325" w:right="319"/>
              <w:rPr>
                <w:sz w:val="21"/>
              </w:rPr>
            </w:pPr>
            <w:r>
              <w:rPr>
                <w:sz w:val="21"/>
              </w:rPr>
              <w:t>四氯乙烯</w:t>
            </w:r>
          </w:p>
        </w:tc>
        <w:tc>
          <w:tcPr>
            <w:tcW w:w="1447" w:type="dxa"/>
          </w:tcPr>
          <w:p>
            <w:pPr>
              <w:pStyle w:val="14"/>
              <w:spacing w:before="96"/>
              <w:ind w:left="118" w:right="112"/>
              <w:rPr>
                <w:rFonts w:ascii="Times New Roman" w:hAnsi="Times New Roman"/>
                <w:sz w:val="21"/>
              </w:rPr>
            </w:pPr>
            <w:bookmarkStart w:id="1084" w:name="μg/kg"/>
            <w:bookmarkEnd w:id="1084"/>
            <w:r>
              <w:rPr>
                <w:rFonts w:ascii="Times New Roman" w:hAnsi="Times New Roman"/>
                <w:sz w:val="21"/>
              </w:rPr>
              <w:t>μg/kg</w:t>
            </w:r>
          </w:p>
        </w:tc>
        <w:tc>
          <w:tcPr>
            <w:tcW w:w="1417" w:type="dxa"/>
          </w:tcPr>
          <w:p>
            <w:pPr>
              <w:pStyle w:val="14"/>
              <w:spacing w:before="96"/>
              <w:ind w:left="161" w:right="151"/>
              <w:rPr>
                <w:rFonts w:ascii="Times New Roman"/>
                <w:sz w:val="21"/>
              </w:rPr>
            </w:pPr>
            <w:bookmarkStart w:id="1085" w:name="&lt;2"/>
            <w:bookmarkEnd w:id="1085"/>
            <w:r>
              <w:rPr>
                <w:rFonts w:ascii="Times New Roman"/>
                <w:sz w:val="21"/>
              </w:rPr>
              <w:t>&lt;2</w:t>
            </w:r>
          </w:p>
        </w:tc>
        <w:tc>
          <w:tcPr>
            <w:tcW w:w="1417" w:type="dxa"/>
          </w:tcPr>
          <w:p>
            <w:pPr>
              <w:pStyle w:val="14"/>
              <w:spacing w:before="77"/>
              <w:ind w:left="7"/>
              <w:rPr>
                <w:rFonts w:ascii="Times New Roman"/>
                <w:sz w:val="21"/>
              </w:rPr>
            </w:pPr>
            <w:r>
              <w:rPr>
                <w:rFonts w:ascii="Times New Roman"/>
                <w:w w:val="99"/>
                <w:sz w:val="21"/>
              </w:rPr>
              <w:t>/</w:t>
            </w:r>
          </w:p>
        </w:tc>
        <w:tc>
          <w:tcPr>
            <w:tcW w:w="1418" w:type="dxa"/>
          </w:tcPr>
          <w:p>
            <w:pPr>
              <w:pStyle w:val="14"/>
              <w:spacing w:before="77"/>
              <w:ind w:left="9"/>
              <w:rPr>
                <w:rFonts w:ascii="Times New Roman"/>
                <w:sz w:val="21"/>
              </w:rPr>
            </w:pPr>
            <w:r>
              <w:rPr>
                <w:rFonts w:ascii="Times New Roman"/>
                <w:w w:val="99"/>
                <w:sz w:val="21"/>
              </w:rPr>
              <w:t>/</w:t>
            </w:r>
          </w:p>
        </w:tc>
        <w:tc>
          <w:tcPr>
            <w:tcW w:w="1083" w:type="dxa"/>
          </w:tcPr>
          <w:p>
            <w:pPr>
              <w:pStyle w:val="14"/>
              <w:spacing w:before="77"/>
              <w:ind w:right="267"/>
              <w:jc w:val="right"/>
              <w:rPr>
                <w:rFonts w:ascii="Times New Roman"/>
                <w:sz w:val="21"/>
              </w:rPr>
            </w:pPr>
            <w:r>
              <w:rPr>
                <w:rFonts w:ascii="Times New Roman"/>
                <w:w w:val="95"/>
                <w:sz w:val="21"/>
              </w:rPr>
              <w:t>53000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1"/>
              <w:ind w:left="325" w:right="319"/>
              <w:rPr>
                <w:sz w:val="21"/>
              </w:rPr>
            </w:pPr>
            <w:r>
              <w:rPr>
                <w:rFonts w:ascii="Times New Roman" w:eastAsia="Times New Roman"/>
                <w:sz w:val="21"/>
              </w:rPr>
              <w:t>1,1,1-</w:t>
            </w:r>
            <w:r>
              <w:rPr>
                <w:sz w:val="21"/>
              </w:rPr>
              <w:t>三氯乙烷</w:t>
            </w:r>
          </w:p>
        </w:tc>
        <w:tc>
          <w:tcPr>
            <w:tcW w:w="1447" w:type="dxa"/>
          </w:tcPr>
          <w:p>
            <w:pPr>
              <w:pStyle w:val="14"/>
              <w:spacing w:before="97"/>
              <w:ind w:left="118" w:right="112"/>
              <w:rPr>
                <w:rFonts w:ascii="Times New Roman" w:hAnsi="Times New Roman"/>
                <w:sz w:val="21"/>
              </w:rPr>
            </w:pPr>
            <w:bookmarkStart w:id="1086" w:name="μg/kg"/>
            <w:bookmarkEnd w:id="1086"/>
            <w:r>
              <w:rPr>
                <w:rFonts w:ascii="Times New Roman" w:hAnsi="Times New Roman"/>
                <w:sz w:val="21"/>
              </w:rPr>
              <w:t>μg/kg</w:t>
            </w:r>
          </w:p>
        </w:tc>
        <w:tc>
          <w:tcPr>
            <w:tcW w:w="1417" w:type="dxa"/>
          </w:tcPr>
          <w:p>
            <w:pPr>
              <w:pStyle w:val="14"/>
              <w:spacing w:before="97"/>
              <w:ind w:left="161" w:right="151"/>
              <w:rPr>
                <w:rFonts w:ascii="Times New Roman"/>
                <w:sz w:val="21"/>
              </w:rPr>
            </w:pPr>
            <w:bookmarkStart w:id="1087" w:name="&lt;2"/>
            <w:bookmarkEnd w:id="1087"/>
            <w:r>
              <w:rPr>
                <w:rFonts w:ascii="Times New Roman"/>
                <w:sz w:val="21"/>
              </w:rPr>
              <w:t>&lt;2</w:t>
            </w:r>
          </w:p>
        </w:tc>
        <w:tc>
          <w:tcPr>
            <w:tcW w:w="1417" w:type="dxa"/>
          </w:tcPr>
          <w:p>
            <w:pPr>
              <w:pStyle w:val="14"/>
              <w:spacing w:before="75"/>
              <w:ind w:left="7"/>
              <w:rPr>
                <w:rFonts w:ascii="Times New Roman"/>
                <w:sz w:val="21"/>
              </w:rPr>
            </w:pPr>
            <w:r>
              <w:rPr>
                <w:rFonts w:ascii="Times New Roman"/>
                <w:w w:val="99"/>
                <w:sz w:val="21"/>
              </w:rPr>
              <w:t>/</w:t>
            </w:r>
          </w:p>
        </w:tc>
        <w:tc>
          <w:tcPr>
            <w:tcW w:w="1418" w:type="dxa"/>
          </w:tcPr>
          <w:p>
            <w:pPr>
              <w:pStyle w:val="14"/>
              <w:spacing w:before="75"/>
              <w:ind w:left="9"/>
              <w:rPr>
                <w:rFonts w:ascii="Times New Roman"/>
                <w:sz w:val="21"/>
              </w:rPr>
            </w:pPr>
            <w:r>
              <w:rPr>
                <w:rFonts w:ascii="Times New Roman"/>
                <w:w w:val="99"/>
                <w:sz w:val="21"/>
              </w:rPr>
              <w:t>/</w:t>
            </w:r>
          </w:p>
        </w:tc>
        <w:tc>
          <w:tcPr>
            <w:tcW w:w="1083" w:type="dxa"/>
          </w:tcPr>
          <w:p>
            <w:pPr>
              <w:pStyle w:val="14"/>
              <w:spacing w:before="75"/>
              <w:ind w:right="214"/>
              <w:jc w:val="right"/>
              <w:rPr>
                <w:rFonts w:ascii="Times New Roman"/>
                <w:sz w:val="21"/>
              </w:rPr>
            </w:pPr>
            <w:r>
              <w:rPr>
                <w:rFonts w:ascii="Times New Roman"/>
                <w:w w:val="95"/>
                <w:sz w:val="21"/>
              </w:rPr>
              <w:t>840000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2"/>
              <w:ind w:left="325" w:right="319"/>
              <w:rPr>
                <w:sz w:val="21"/>
              </w:rPr>
            </w:pPr>
            <w:r>
              <w:rPr>
                <w:rFonts w:ascii="Times New Roman" w:eastAsia="Times New Roman"/>
                <w:sz w:val="21"/>
              </w:rPr>
              <w:t>1,1,2-</w:t>
            </w:r>
            <w:r>
              <w:rPr>
                <w:sz w:val="21"/>
              </w:rPr>
              <w:t>三氯乙烷</w:t>
            </w:r>
          </w:p>
        </w:tc>
        <w:tc>
          <w:tcPr>
            <w:tcW w:w="1447" w:type="dxa"/>
          </w:tcPr>
          <w:p>
            <w:pPr>
              <w:pStyle w:val="14"/>
              <w:spacing w:before="98"/>
              <w:ind w:left="118" w:right="112"/>
              <w:rPr>
                <w:rFonts w:ascii="Times New Roman" w:hAnsi="Times New Roman"/>
                <w:sz w:val="21"/>
              </w:rPr>
            </w:pPr>
            <w:bookmarkStart w:id="1088" w:name="μg/kg"/>
            <w:bookmarkEnd w:id="1088"/>
            <w:r>
              <w:rPr>
                <w:rFonts w:ascii="Times New Roman" w:hAnsi="Times New Roman"/>
                <w:sz w:val="21"/>
              </w:rPr>
              <w:t>μg/kg</w:t>
            </w:r>
          </w:p>
        </w:tc>
        <w:tc>
          <w:tcPr>
            <w:tcW w:w="1417" w:type="dxa"/>
          </w:tcPr>
          <w:p>
            <w:pPr>
              <w:pStyle w:val="14"/>
              <w:spacing w:before="98"/>
              <w:ind w:left="161" w:right="151"/>
              <w:rPr>
                <w:rFonts w:ascii="Times New Roman"/>
                <w:sz w:val="21"/>
              </w:rPr>
            </w:pPr>
            <w:bookmarkStart w:id="1089" w:name="&lt;2"/>
            <w:bookmarkEnd w:id="1089"/>
            <w:r>
              <w:rPr>
                <w:rFonts w:ascii="Times New Roman"/>
                <w:sz w:val="21"/>
              </w:rPr>
              <w:t>&lt;2</w:t>
            </w:r>
          </w:p>
        </w:tc>
        <w:tc>
          <w:tcPr>
            <w:tcW w:w="1417" w:type="dxa"/>
          </w:tcPr>
          <w:p>
            <w:pPr>
              <w:pStyle w:val="14"/>
              <w:spacing w:before="76"/>
              <w:ind w:left="7"/>
              <w:rPr>
                <w:rFonts w:ascii="Times New Roman"/>
                <w:sz w:val="21"/>
              </w:rPr>
            </w:pPr>
            <w:r>
              <w:rPr>
                <w:rFonts w:ascii="Times New Roman"/>
                <w:w w:val="99"/>
                <w:sz w:val="21"/>
              </w:rPr>
              <w:t>/</w:t>
            </w:r>
          </w:p>
        </w:tc>
        <w:tc>
          <w:tcPr>
            <w:tcW w:w="1418" w:type="dxa"/>
          </w:tcPr>
          <w:p>
            <w:pPr>
              <w:pStyle w:val="14"/>
              <w:spacing w:before="76"/>
              <w:ind w:left="9"/>
              <w:rPr>
                <w:rFonts w:ascii="Times New Roman"/>
                <w:sz w:val="21"/>
              </w:rPr>
            </w:pPr>
            <w:r>
              <w:rPr>
                <w:rFonts w:ascii="Times New Roman"/>
                <w:w w:val="99"/>
                <w:sz w:val="21"/>
              </w:rPr>
              <w:t>/</w:t>
            </w:r>
          </w:p>
        </w:tc>
        <w:tc>
          <w:tcPr>
            <w:tcW w:w="1083" w:type="dxa"/>
          </w:tcPr>
          <w:p>
            <w:pPr>
              <w:pStyle w:val="14"/>
              <w:spacing w:before="76"/>
              <w:ind w:left="308" w:right="301"/>
              <w:rPr>
                <w:rFonts w:ascii="Times New Roman"/>
                <w:sz w:val="21"/>
              </w:rPr>
            </w:pPr>
            <w:r>
              <w:rPr>
                <w:rFonts w:ascii="Times New Roman"/>
                <w:sz w:val="21"/>
              </w:rPr>
              <w:t>280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1"/>
              <w:ind w:left="325" w:right="319"/>
              <w:rPr>
                <w:sz w:val="21"/>
              </w:rPr>
            </w:pPr>
            <w:r>
              <w:rPr>
                <w:sz w:val="21"/>
              </w:rPr>
              <w:t>三氯乙烯</w:t>
            </w:r>
          </w:p>
        </w:tc>
        <w:tc>
          <w:tcPr>
            <w:tcW w:w="1447" w:type="dxa"/>
          </w:tcPr>
          <w:p>
            <w:pPr>
              <w:pStyle w:val="14"/>
              <w:spacing w:before="96"/>
              <w:ind w:left="118" w:right="112"/>
              <w:rPr>
                <w:rFonts w:ascii="Times New Roman" w:hAnsi="Times New Roman"/>
                <w:sz w:val="21"/>
              </w:rPr>
            </w:pPr>
            <w:bookmarkStart w:id="1090" w:name="μg/kg"/>
            <w:bookmarkEnd w:id="1090"/>
            <w:r>
              <w:rPr>
                <w:rFonts w:ascii="Times New Roman" w:hAnsi="Times New Roman"/>
                <w:sz w:val="21"/>
              </w:rPr>
              <w:t>μg/kg</w:t>
            </w:r>
          </w:p>
        </w:tc>
        <w:tc>
          <w:tcPr>
            <w:tcW w:w="1417" w:type="dxa"/>
          </w:tcPr>
          <w:p>
            <w:pPr>
              <w:pStyle w:val="14"/>
              <w:spacing w:before="96"/>
              <w:ind w:left="161" w:right="151"/>
              <w:rPr>
                <w:rFonts w:ascii="Times New Roman"/>
                <w:sz w:val="21"/>
              </w:rPr>
            </w:pPr>
            <w:bookmarkStart w:id="1091" w:name="&lt;2"/>
            <w:bookmarkEnd w:id="1091"/>
            <w:r>
              <w:rPr>
                <w:rFonts w:ascii="Times New Roman"/>
                <w:sz w:val="21"/>
              </w:rPr>
              <w:t>&lt;2</w:t>
            </w:r>
          </w:p>
        </w:tc>
        <w:tc>
          <w:tcPr>
            <w:tcW w:w="1417" w:type="dxa"/>
          </w:tcPr>
          <w:p>
            <w:pPr>
              <w:pStyle w:val="14"/>
              <w:spacing w:before="75"/>
              <w:ind w:left="7"/>
              <w:rPr>
                <w:rFonts w:ascii="Times New Roman"/>
                <w:sz w:val="21"/>
              </w:rPr>
            </w:pPr>
            <w:r>
              <w:rPr>
                <w:rFonts w:ascii="Times New Roman"/>
                <w:w w:val="99"/>
                <w:sz w:val="21"/>
              </w:rPr>
              <w:t>/</w:t>
            </w:r>
          </w:p>
        </w:tc>
        <w:tc>
          <w:tcPr>
            <w:tcW w:w="1418" w:type="dxa"/>
          </w:tcPr>
          <w:p>
            <w:pPr>
              <w:pStyle w:val="14"/>
              <w:spacing w:before="75"/>
              <w:ind w:left="9"/>
              <w:rPr>
                <w:rFonts w:ascii="Times New Roman"/>
                <w:sz w:val="21"/>
              </w:rPr>
            </w:pPr>
            <w:r>
              <w:rPr>
                <w:rFonts w:ascii="Times New Roman"/>
                <w:w w:val="99"/>
                <w:sz w:val="21"/>
              </w:rPr>
              <w:t>/</w:t>
            </w:r>
          </w:p>
        </w:tc>
        <w:tc>
          <w:tcPr>
            <w:tcW w:w="1083" w:type="dxa"/>
          </w:tcPr>
          <w:p>
            <w:pPr>
              <w:pStyle w:val="14"/>
              <w:spacing w:before="75"/>
              <w:ind w:left="308" w:right="301"/>
              <w:rPr>
                <w:rFonts w:ascii="Times New Roman"/>
                <w:sz w:val="21"/>
              </w:rPr>
            </w:pPr>
            <w:r>
              <w:rPr>
                <w:rFonts w:ascii="Times New Roman"/>
                <w:sz w:val="21"/>
              </w:rPr>
              <w:t>280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562" w:type="dxa"/>
          </w:tcPr>
          <w:p>
            <w:pPr>
              <w:pStyle w:val="14"/>
              <w:spacing w:before="62"/>
              <w:ind w:left="325" w:right="319"/>
              <w:rPr>
                <w:sz w:val="21"/>
              </w:rPr>
            </w:pPr>
            <w:r>
              <w:rPr>
                <w:rFonts w:ascii="Times New Roman" w:eastAsia="Times New Roman"/>
                <w:sz w:val="21"/>
              </w:rPr>
              <w:t>1,2,3-</w:t>
            </w:r>
            <w:r>
              <w:rPr>
                <w:sz w:val="21"/>
              </w:rPr>
              <w:t>三氯丙烷</w:t>
            </w:r>
          </w:p>
        </w:tc>
        <w:tc>
          <w:tcPr>
            <w:tcW w:w="1447" w:type="dxa"/>
          </w:tcPr>
          <w:p>
            <w:pPr>
              <w:pStyle w:val="14"/>
              <w:spacing w:before="97"/>
              <w:ind w:left="118" w:right="112"/>
              <w:rPr>
                <w:rFonts w:ascii="Times New Roman" w:hAnsi="Times New Roman"/>
                <w:sz w:val="21"/>
              </w:rPr>
            </w:pPr>
            <w:bookmarkStart w:id="1092" w:name="μg/kg"/>
            <w:bookmarkEnd w:id="1092"/>
            <w:r>
              <w:rPr>
                <w:rFonts w:ascii="Times New Roman" w:hAnsi="Times New Roman"/>
                <w:sz w:val="21"/>
              </w:rPr>
              <w:t>μg/kg</w:t>
            </w:r>
          </w:p>
        </w:tc>
        <w:tc>
          <w:tcPr>
            <w:tcW w:w="1417" w:type="dxa"/>
          </w:tcPr>
          <w:p>
            <w:pPr>
              <w:pStyle w:val="14"/>
              <w:spacing w:before="97"/>
              <w:ind w:left="161" w:right="151"/>
              <w:rPr>
                <w:rFonts w:ascii="Times New Roman"/>
                <w:sz w:val="21"/>
              </w:rPr>
            </w:pPr>
            <w:bookmarkStart w:id="1093" w:name="&lt;3"/>
            <w:bookmarkEnd w:id="1093"/>
            <w:r>
              <w:rPr>
                <w:rFonts w:ascii="Times New Roman"/>
                <w:sz w:val="21"/>
              </w:rPr>
              <w:t>&lt;3</w:t>
            </w:r>
          </w:p>
        </w:tc>
        <w:tc>
          <w:tcPr>
            <w:tcW w:w="1417" w:type="dxa"/>
          </w:tcPr>
          <w:p>
            <w:pPr>
              <w:pStyle w:val="14"/>
              <w:spacing w:before="76"/>
              <w:ind w:left="7"/>
              <w:rPr>
                <w:rFonts w:ascii="Times New Roman"/>
                <w:sz w:val="21"/>
              </w:rPr>
            </w:pPr>
            <w:r>
              <w:rPr>
                <w:rFonts w:ascii="Times New Roman"/>
                <w:w w:val="99"/>
                <w:sz w:val="21"/>
              </w:rPr>
              <w:t>/</w:t>
            </w:r>
          </w:p>
        </w:tc>
        <w:tc>
          <w:tcPr>
            <w:tcW w:w="1418" w:type="dxa"/>
          </w:tcPr>
          <w:p>
            <w:pPr>
              <w:pStyle w:val="14"/>
              <w:spacing w:before="76"/>
              <w:ind w:left="9"/>
              <w:rPr>
                <w:rFonts w:ascii="Times New Roman"/>
                <w:sz w:val="21"/>
              </w:rPr>
            </w:pPr>
            <w:r>
              <w:rPr>
                <w:rFonts w:ascii="Times New Roman"/>
                <w:w w:val="99"/>
                <w:sz w:val="21"/>
              </w:rPr>
              <w:t>/</w:t>
            </w:r>
          </w:p>
        </w:tc>
        <w:tc>
          <w:tcPr>
            <w:tcW w:w="1083" w:type="dxa"/>
          </w:tcPr>
          <w:p>
            <w:pPr>
              <w:pStyle w:val="14"/>
              <w:spacing w:before="76"/>
              <w:ind w:left="308" w:right="301"/>
              <w:rPr>
                <w:rFonts w:ascii="Times New Roman"/>
                <w:sz w:val="21"/>
              </w:rPr>
            </w:pPr>
            <w:r>
              <w:rPr>
                <w:rFonts w:ascii="Times New Roman"/>
                <w:sz w:val="21"/>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3"/>
              <w:ind w:left="327" w:right="319"/>
              <w:rPr>
                <w:sz w:val="21"/>
              </w:rPr>
            </w:pPr>
            <w:r>
              <w:rPr>
                <w:sz w:val="21"/>
              </w:rPr>
              <w:t>氯乙烯</w:t>
            </w:r>
          </w:p>
        </w:tc>
        <w:tc>
          <w:tcPr>
            <w:tcW w:w="1447" w:type="dxa"/>
          </w:tcPr>
          <w:p>
            <w:pPr>
              <w:pStyle w:val="14"/>
              <w:spacing w:before="96"/>
              <w:ind w:left="118" w:right="112"/>
              <w:rPr>
                <w:rFonts w:ascii="Times New Roman" w:hAnsi="Times New Roman"/>
                <w:sz w:val="21"/>
              </w:rPr>
            </w:pPr>
            <w:bookmarkStart w:id="1094" w:name="μg/kg"/>
            <w:bookmarkEnd w:id="1094"/>
            <w:r>
              <w:rPr>
                <w:rFonts w:ascii="Times New Roman" w:hAnsi="Times New Roman"/>
                <w:sz w:val="21"/>
              </w:rPr>
              <w:t>μg/kg</w:t>
            </w:r>
          </w:p>
        </w:tc>
        <w:tc>
          <w:tcPr>
            <w:tcW w:w="1417" w:type="dxa"/>
          </w:tcPr>
          <w:p>
            <w:pPr>
              <w:pStyle w:val="14"/>
              <w:spacing w:before="96"/>
              <w:ind w:left="161" w:right="151"/>
              <w:rPr>
                <w:rFonts w:ascii="Times New Roman"/>
                <w:sz w:val="21"/>
              </w:rPr>
            </w:pPr>
            <w:bookmarkStart w:id="1095" w:name="&lt;2"/>
            <w:bookmarkEnd w:id="1095"/>
            <w:r>
              <w:rPr>
                <w:rFonts w:ascii="Times New Roman"/>
                <w:sz w:val="21"/>
              </w:rPr>
              <w:t>&lt;2</w:t>
            </w:r>
          </w:p>
        </w:tc>
        <w:tc>
          <w:tcPr>
            <w:tcW w:w="1417" w:type="dxa"/>
          </w:tcPr>
          <w:p>
            <w:pPr>
              <w:pStyle w:val="14"/>
              <w:spacing w:before="77"/>
              <w:ind w:left="7"/>
              <w:rPr>
                <w:rFonts w:ascii="Times New Roman"/>
                <w:sz w:val="21"/>
              </w:rPr>
            </w:pPr>
            <w:r>
              <w:rPr>
                <w:rFonts w:ascii="Times New Roman"/>
                <w:w w:val="99"/>
                <w:sz w:val="21"/>
              </w:rPr>
              <w:t>/</w:t>
            </w:r>
          </w:p>
        </w:tc>
        <w:tc>
          <w:tcPr>
            <w:tcW w:w="1418" w:type="dxa"/>
          </w:tcPr>
          <w:p>
            <w:pPr>
              <w:pStyle w:val="14"/>
              <w:spacing w:before="77"/>
              <w:ind w:left="9"/>
              <w:rPr>
                <w:rFonts w:ascii="Times New Roman"/>
                <w:sz w:val="21"/>
              </w:rPr>
            </w:pPr>
            <w:r>
              <w:rPr>
                <w:rFonts w:ascii="Times New Roman"/>
                <w:w w:val="99"/>
                <w:sz w:val="21"/>
              </w:rPr>
              <w:t>/</w:t>
            </w:r>
          </w:p>
        </w:tc>
        <w:tc>
          <w:tcPr>
            <w:tcW w:w="1083" w:type="dxa"/>
          </w:tcPr>
          <w:p>
            <w:pPr>
              <w:pStyle w:val="14"/>
              <w:spacing w:before="77"/>
              <w:ind w:left="308" w:right="301"/>
              <w:rPr>
                <w:rFonts w:ascii="Times New Roman"/>
                <w:sz w:val="21"/>
              </w:rPr>
            </w:pPr>
            <w:r>
              <w:rPr>
                <w:rFonts w:ascii="Times New Roman"/>
                <w:sz w:val="21"/>
              </w:rPr>
              <w:t>430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2"/>
              <w:ind w:left="6"/>
              <w:rPr>
                <w:sz w:val="21"/>
              </w:rPr>
            </w:pPr>
            <w:r>
              <w:rPr>
                <w:w w:val="99"/>
                <w:sz w:val="21"/>
              </w:rPr>
              <w:t>苯</w:t>
            </w:r>
          </w:p>
        </w:tc>
        <w:tc>
          <w:tcPr>
            <w:tcW w:w="1447" w:type="dxa"/>
          </w:tcPr>
          <w:p>
            <w:pPr>
              <w:pStyle w:val="14"/>
              <w:spacing w:before="97"/>
              <w:ind w:left="116" w:right="112"/>
              <w:rPr>
                <w:rFonts w:ascii="Times New Roman"/>
                <w:sz w:val="21"/>
              </w:rPr>
            </w:pPr>
            <w:bookmarkStart w:id="1096" w:name="mg/kg"/>
            <w:bookmarkEnd w:id="1096"/>
            <w:r>
              <w:rPr>
                <w:rFonts w:ascii="Times New Roman"/>
                <w:sz w:val="21"/>
              </w:rPr>
              <w:t>mg/kg</w:t>
            </w:r>
          </w:p>
        </w:tc>
        <w:tc>
          <w:tcPr>
            <w:tcW w:w="1417" w:type="dxa"/>
          </w:tcPr>
          <w:p>
            <w:pPr>
              <w:pStyle w:val="14"/>
              <w:spacing w:before="97"/>
              <w:ind w:left="161" w:right="151"/>
              <w:rPr>
                <w:rFonts w:ascii="Times New Roman"/>
                <w:sz w:val="21"/>
              </w:rPr>
            </w:pPr>
            <w:bookmarkStart w:id="1097" w:name="&lt;0.01"/>
            <w:bookmarkEnd w:id="1097"/>
            <w:r>
              <w:rPr>
                <w:rFonts w:ascii="Times New Roman"/>
                <w:sz w:val="21"/>
              </w:rPr>
              <w:t>&lt;0.01</w:t>
            </w:r>
          </w:p>
        </w:tc>
        <w:tc>
          <w:tcPr>
            <w:tcW w:w="1417" w:type="dxa"/>
          </w:tcPr>
          <w:p>
            <w:pPr>
              <w:pStyle w:val="14"/>
              <w:spacing w:before="75"/>
              <w:ind w:left="7"/>
              <w:rPr>
                <w:rFonts w:ascii="Times New Roman"/>
                <w:sz w:val="21"/>
              </w:rPr>
            </w:pPr>
            <w:r>
              <w:rPr>
                <w:rFonts w:ascii="Times New Roman"/>
                <w:w w:val="99"/>
                <w:sz w:val="21"/>
              </w:rPr>
              <w:t>/</w:t>
            </w:r>
          </w:p>
        </w:tc>
        <w:tc>
          <w:tcPr>
            <w:tcW w:w="1418" w:type="dxa"/>
          </w:tcPr>
          <w:p>
            <w:pPr>
              <w:pStyle w:val="14"/>
              <w:spacing w:before="75"/>
              <w:ind w:left="9"/>
              <w:rPr>
                <w:rFonts w:ascii="Times New Roman"/>
                <w:sz w:val="21"/>
              </w:rPr>
            </w:pPr>
            <w:r>
              <w:rPr>
                <w:rFonts w:ascii="Times New Roman"/>
                <w:w w:val="99"/>
                <w:sz w:val="21"/>
              </w:rPr>
              <w:t>/</w:t>
            </w:r>
          </w:p>
        </w:tc>
        <w:tc>
          <w:tcPr>
            <w:tcW w:w="1083" w:type="dxa"/>
          </w:tcPr>
          <w:p>
            <w:pPr>
              <w:pStyle w:val="14"/>
              <w:spacing w:before="75"/>
              <w:ind w:left="7"/>
              <w:rPr>
                <w:rFonts w:ascii="Times New Roman"/>
                <w:sz w:val="21"/>
              </w:rPr>
            </w:pPr>
            <w:r>
              <w:rPr>
                <w:rFonts w:ascii="Times New Roman"/>
                <w:w w:val="99"/>
                <w:sz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2"/>
              <w:ind w:left="327" w:right="319"/>
              <w:rPr>
                <w:sz w:val="21"/>
              </w:rPr>
            </w:pPr>
            <w:r>
              <w:rPr>
                <w:sz w:val="21"/>
              </w:rPr>
              <w:t>氯苯</w:t>
            </w:r>
          </w:p>
        </w:tc>
        <w:tc>
          <w:tcPr>
            <w:tcW w:w="1447" w:type="dxa"/>
          </w:tcPr>
          <w:p>
            <w:pPr>
              <w:pStyle w:val="14"/>
              <w:spacing w:before="96"/>
              <w:ind w:left="118" w:right="112"/>
              <w:rPr>
                <w:rFonts w:ascii="Times New Roman" w:hAnsi="Times New Roman"/>
                <w:sz w:val="21"/>
              </w:rPr>
            </w:pPr>
            <w:bookmarkStart w:id="1098" w:name="μg/kg"/>
            <w:bookmarkEnd w:id="1098"/>
            <w:r>
              <w:rPr>
                <w:rFonts w:ascii="Times New Roman" w:hAnsi="Times New Roman"/>
                <w:sz w:val="21"/>
              </w:rPr>
              <w:t>μg/kg</w:t>
            </w:r>
          </w:p>
        </w:tc>
        <w:tc>
          <w:tcPr>
            <w:tcW w:w="1417" w:type="dxa"/>
          </w:tcPr>
          <w:p>
            <w:pPr>
              <w:pStyle w:val="14"/>
              <w:spacing w:before="96"/>
              <w:ind w:left="161" w:right="151"/>
              <w:rPr>
                <w:rFonts w:ascii="Times New Roman"/>
                <w:sz w:val="21"/>
              </w:rPr>
            </w:pPr>
            <w:bookmarkStart w:id="1099" w:name="&lt;1.1"/>
            <w:bookmarkEnd w:id="1099"/>
            <w:r>
              <w:rPr>
                <w:rFonts w:ascii="Times New Roman"/>
                <w:sz w:val="21"/>
              </w:rPr>
              <w:t>&lt;1.1</w:t>
            </w:r>
          </w:p>
        </w:tc>
        <w:tc>
          <w:tcPr>
            <w:tcW w:w="1417" w:type="dxa"/>
          </w:tcPr>
          <w:p>
            <w:pPr>
              <w:pStyle w:val="14"/>
              <w:spacing w:before="76"/>
              <w:ind w:left="7"/>
              <w:rPr>
                <w:rFonts w:ascii="Times New Roman"/>
                <w:sz w:val="21"/>
              </w:rPr>
            </w:pPr>
            <w:r>
              <w:rPr>
                <w:rFonts w:ascii="Times New Roman"/>
                <w:w w:val="99"/>
                <w:sz w:val="21"/>
              </w:rPr>
              <w:t>/</w:t>
            </w:r>
          </w:p>
        </w:tc>
        <w:tc>
          <w:tcPr>
            <w:tcW w:w="1418" w:type="dxa"/>
          </w:tcPr>
          <w:p>
            <w:pPr>
              <w:pStyle w:val="14"/>
              <w:spacing w:before="76"/>
              <w:ind w:left="9"/>
              <w:rPr>
                <w:rFonts w:ascii="Times New Roman"/>
                <w:sz w:val="21"/>
              </w:rPr>
            </w:pPr>
            <w:r>
              <w:rPr>
                <w:rFonts w:ascii="Times New Roman"/>
                <w:w w:val="99"/>
                <w:sz w:val="21"/>
              </w:rPr>
              <w:t>/</w:t>
            </w:r>
          </w:p>
        </w:tc>
        <w:tc>
          <w:tcPr>
            <w:tcW w:w="1083" w:type="dxa"/>
          </w:tcPr>
          <w:p>
            <w:pPr>
              <w:pStyle w:val="14"/>
              <w:spacing w:before="76"/>
              <w:ind w:right="214"/>
              <w:jc w:val="right"/>
              <w:rPr>
                <w:rFonts w:ascii="Times New Roman"/>
                <w:sz w:val="21"/>
              </w:rPr>
            </w:pPr>
            <w:r>
              <w:rPr>
                <w:rFonts w:ascii="Times New Roman"/>
                <w:w w:val="95"/>
                <w:sz w:val="21"/>
              </w:rPr>
              <w:t>270000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1"/>
              <w:ind w:left="327" w:right="319"/>
              <w:rPr>
                <w:sz w:val="21"/>
              </w:rPr>
            </w:pPr>
            <w:r>
              <w:rPr>
                <w:rFonts w:ascii="Times New Roman" w:eastAsia="Times New Roman"/>
                <w:sz w:val="21"/>
              </w:rPr>
              <w:t>1,2-</w:t>
            </w:r>
            <w:r>
              <w:rPr>
                <w:sz w:val="21"/>
              </w:rPr>
              <w:t>二氯苯</w:t>
            </w:r>
          </w:p>
        </w:tc>
        <w:tc>
          <w:tcPr>
            <w:tcW w:w="1447" w:type="dxa"/>
          </w:tcPr>
          <w:p>
            <w:pPr>
              <w:pStyle w:val="14"/>
              <w:spacing w:before="97"/>
              <w:ind w:left="118" w:right="112"/>
              <w:rPr>
                <w:rFonts w:ascii="Times New Roman" w:hAnsi="Times New Roman"/>
                <w:sz w:val="21"/>
              </w:rPr>
            </w:pPr>
            <w:bookmarkStart w:id="1100" w:name="μg/kg"/>
            <w:bookmarkEnd w:id="1100"/>
            <w:r>
              <w:rPr>
                <w:rFonts w:ascii="Times New Roman" w:hAnsi="Times New Roman"/>
                <w:sz w:val="21"/>
              </w:rPr>
              <w:t>μg/kg</w:t>
            </w:r>
          </w:p>
        </w:tc>
        <w:tc>
          <w:tcPr>
            <w:tcW w:w="1417" w:type="dxa"/>
          </w:tcPr>
          <w:p>
            <w:pPr>
              <w:pStyle w:val="14"/>
              <w:spacing w:before="97"/>
              <w:ind w:left="161" w:right="151"/>
              <w:rPr>
                <w:rFonts w:ascii="Times New Roman"/>
                <w:sz w:val="21"/>
              </w:rPr>
            </w:pPr>
            <w:bookmarkStart w:id="1101" w:name="&lt;1.0"/>
            <w:bookmarkEnd w:id="1101"/>
            <w:r>
              <w:rPr>
                <w:rFonts w:ascii="Times New Roman"/>
                <w:sz w:val="21"/>
              </w:rPr>
              <w:t>&lt;1.0</w:t>
            </w:r>
          </w:p>
        </w:tc>
        <w:tc>
          <w:tcPr>
            <w:tcW w:w="1417" w:type="dxa"/>
          </w:tcPr>
          <w:p>
            <w:pPr>
              <w:pStyle w:val="14"/>
              <w:spacing w:before="75"/>
              <w:ind w:left="7"/>
              <w:rPr>
                <w:rFonts w:ascii="Times New Roman"/>
                <w:sz w:val="21"/>
              </w:rPr>
            </w:pPr>
            <w:r>
              <w:rPr>
                <w:rFonts w:ascii="Times New Roman"/>
                <w:w w:val="99"/>
                <w:sz w:val="21"/>
              </w:rPr>
              <w:t>/</w:t>
            </w:r>
          </w:p>
        </w:tc>
        <w:tc>
          <w:tcPr>
            <w:tcW w:w="1418" w:type="dxa"/>
          </w:tcPr>
          <w:p>
            <w:pPr>
              <w:pStyle w:val="14"/>
              <w:spacing w:before="75"/>
              <w:ind w:left="9"/>
              <w:rPr>
                <w:rFonts w:ascii="Times New Roman"/>
                <w:sz w:val="21"/>
              </w:rPr>
            </w:pPr>
            <w:r>
              <w:rPr>
                <w:rFonts w:ascii="Times New Roman"/>
                <w:w w:val="99"/>
                <w:sz w:val="21"/>
              </w:rPr>
              <w:t>/</w:t>
            </w:r>
          </w:p>
        </w:tc>
        <w:tc>
          <w:tcPr>
            <w:tcW w:w="1083" w:type="dxa"/>
          </w:tcPr>
          <w:p>
            <w:pPr>
              <w:pStyle w:val="14"/>
              <w:spacing w:before="75"/>
              <w:ind w:right="214"/>
              <w:jc w:val="right"/>
              <w:rPr>
                <w:rFonts w:ascii="Times New Roman"/>
                <w:sz w:val="21"/>
              </w:rPr>
            </w:pPr>
            <w:r>
              <w:rPr>
                <w:rFonts w:ascii="Times New Roman"/>
                <w:w w:val="95"/>
                <w:sz w:val="21"/>
              </w:rPr>
              <w:t>560000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2562" w:type="dxa"/>
          </w:tcPr>
          <w:p>
            <w:pPr>
              <w:pStyle w:val="14"/>
              <w:spacing w:before="62"/>
              <w:ind w:left="327" w:right="319"/>
              <w:rPr>
                <w:sz w:val="21"/>
              </w:rPr>
            </w:pPr>
            <w:r>
              <w:rPr>
                <w:rFonts w:ascii="Times New Roman" w:eastAsia="Times New Roman"/>
                <w:sz w:val="21"/>
              </w:rPr>
              <w:t>1,4-</w:t>
            </w:r>
            <w:r>
              <w:rPr>
                <w:sz w:val="21"/>
              </w:rPr>
              <w:t>二氯苯</w:t>
            </w:r>
          </w:p>
        </w:tc>
        <w:tc>
          <w:tcPr>
            <w:tcW w:w="1447" w:type="dxa"/>
          </w:tcPr>
          <w:p>
            <w:pPr>
              <w:pStyle w:val="14"/>
              <w:spacing w:before="76"/>
              <w:ind w:left="118" w:right="112"/>
              <w:rPr>
                <w:rFonts w:ascii="Times New Roman" w:hAnsi="Times New Roman"/>
                <w:sz w:val="21"/>
              </w:rPr>
            </w:pPr>
            <w:r>
              <w:rPr>
                <w:rFonts w:ascii="Times New Roman" w:hAnsi="Times New Roman"/>
                <w:sz w:val="21"/>
              </w:rPr>
              <w:t>μg/kg</w:t>
            </w:r>
          </w:p>
        </w:tc>
        <w:tc>
          <w:tcPr>
            <w:tcW w:w="1417" w:type="dxa"/>
          </w:tcPr>
          <w:p>
            <w:pPr>
              <w:pStyle w:val="14"/>
              <w:spacing w:before="78"/>
              <w:ind w:left="161" w:right="151"/>
              <w:rPr>
                <w:rFonts w:ascii="Times New Roman"/>
                <w:sz w:val="21"/>
              </w:rPr>
            </w:pPr>
            <w:bookmarkStart w:id="1102" w:name="&lt;1.2"/>
            <w:bookmarkEnd w:id="1102"/>
            <w:r>
              <w:rPr>
                <w:rFonts w:ascii="Times New Roman"/>
                <w:sz w:val="21"/>
              </w:rPr>
              <w:t>&lt;1.2</w:t>
            </w:r>
          </w:p>
        </w:tc>
        <w:tc>
          <w:tcPr>
            <w:tcW w:w="1417" w:type="dxa"/>
          </w:tcPr>
          <w:p>
            <w:pPr>
              <w:pStyle w:val="14"/>
              <w:spacing w:before="76"/>
              <w:ind w:left="7"/>
              <w:rPr>
                <w:rFonts w:ascii="Times New Roman"/>
                <w:sz w:val="21"/>
              </w:rPr>
            </w:pPr>
            <w:r>
              <w:rPr>
                <w:rFonts w:ascii="Times New Roman"/>
                <w:w w:val="99"/>
                <w:sz w:val="21"/>
              </w:rPr>
              <w:t>/</w:t>
            </w:r>
          </w:p>
        </w:tc>
        <w:tc>
          <w:tcPr>
            <w:tcW w:w="1418" w:type="dxa"/>
          </w:tcPr>
          <w:p>
            <w:pPr>
              <w:pStyle w:val="14"/>
              <w:spacing w:before="76"/>
              <w:ind w:left="9"/>
              <w:rPr>
                <w:rFonts w:ascii="Times New Roman"/>
                <w:sz w:val="21"/>
              </w:rPr>
            </w:pPr>
            <w:r>
              <w:rPr>
                <w:rFonts w:ascii="Times New Roman"/>
                <w:w w:val="99"/>
                <w:sz w:val="21"/>
              </w:rPr>
              <w:t>/</w:t>
            </w:r>
          </w:p>
        </w:tc>
        <w:tc>
          <w:tcPr>
            <w:tcW w:w="1083" w:type="dxa"/>
          </w:tcPr>
          <w:p>
            <w:pPr>
              <w:pStyle w:val="14"/>
              <w:spacing w:before="76"/>
              <w:ind w:right="267"/>
              <w:jc w:val="right"/>
              <w:rPr>
                <w:rFonts w:ascii="Times New Roman"/>
                <w:sz w:val="21"/>
              </w:rPr>
            </w:pPr>
            <w:r>
              <w:rPr>
                <w:rFonts w:ascii="Times New Roman"/>
                <w:w w:val="95"/>
                <w:sz w:val="21"/>
              </w:rPr>
              <w:t>20000</w:t>
            </w:r>
          </w:p>
        </w:tc>
      </w:tr>
    </w:tbl>
    <w:p>
      <w:pPr>
        <w:spacing w:after="0"/>
        <w:jc w:val="right"/>
        <w:rPr>
          <w:rFonts w:ascii="Times New Roman"/>
          <w:sz w:val="21"/>
        </w:rPr>
        <w:sectPr>
          <w:pgSz w:w="11910" w:h="16840"/>
          <w:pgMar w:top="1580" w:right="780" w:bottom="1240" w:left="1200" w:header="0" w:footer="1058" w:gutter="0"/>
        </w:sectPr>
      </w:pP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62"/>
        <w:gridCol w:w="1447"/>
        <w:gridCol w:w="1417"/>
        <w:gridCol w:w="1417"/>
        <w:gridCol w:w="1418"/>
        <w:gridCol w:w="10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562" w:type="dxa"/>
          </w:tcPr>
          <w:p>
            <w:pPr>
              <w:pStyle w:val="14"/>
              <w:spacing w:before="63"/>
              <w:ind w:left="327" w:right="319"/>
              <w:rPr>
                <w:sz w:val="21"/>
              </w:rPr>
            </w:pPr>
            <w:r>
              <w:rPr>
                <w:sz w:val="21"/>
              </w:rPr>
              <w:t>乙苯</w:t>
            </w:r>
          </w:p>
        </w:tc>
        <w:tc>
          <w:tcPr>
            <w:tcW w:w="1447" w:type="dxa"/>
          </w:tcPr>
          <w:p>
            <w:pPr>
              <w:pStyle w:val="14"/>
              <w:spacing w:before="77"/>
              <w:ind w:right="447"/>
              <w:jc w:val="right"/>
              <w:rPr>
                <w:rFonts w:ascii="Times New Roman"/>
                <w:sz w:val="21"/>
              </w:rPr>
            </w:pPr>
            <w:r>
              <w:rPr>
                <w:rFonts w:ascii="Times New Roman"/>
                <w:w w:val="95"/>
                <w:sz w:val="21"/>
              </w:rPr>
              <w:t>mg/kg</w:t>
            </w:r>
          </w:p>
        </w:tc>
        <w:tc>
          <w:tcPr>
            <w:tcW w:w="1417" w:type="dxa"/>
          </w:tcPr>
          <w:p>
            <w:pPr>
              <w:pStyle w:val="14"/>
              <w:spacing w:before="79"/>
              <w:ind w:left="412"/>
              <w:jc w:val="left"/>
              <w:rPr>
                <w:rFonts w:ascii="Times New Roman"/>
                <w:sz w:val="21"/>
              </w:rPr>
            </w:pPr>
            <w:bookmarkStart w:id="1103" w:name="&lt;0.006"/>
            <w:bookmarkEnd w:id="1103"/>
            <w:r>
              <w:rPr>
                <w:rFonts w:ascii="Times New Roman"/>
                <w:sz w:val="21"/>
              </w:rPr>
              <w:t>&lt;0.006</w:t>
            </w:r>
          </w:p>
        </w:tc>
        <w:tc>
          <w:tcPr>
            <w:tcW w:w="1417" w:type="dxa"/>
          </w:tcPr>
          <w:p>
            <w:pPr>
              <w:pStyle w:val="14"/>
              <w:spacing w:before="77"/>
              <w:ind w:left="7"/>
              <w:rPr>
                <w:rFonts w:ascii="Times New Roman"/>
                <w:sz w:val="21"/>
              </w:rPr>
            </w:pPr>
            <w:r>
              <w:rPr>
                <w:rFonts w:ascii="Times New Roman"/>
                <w:w w:val="99"/>
                <w:sz w:val="21"/>
              </w:rPr>
              <w:t>/</w:t>
            </w:r>
          </w:p>
        </w:tc>
        <w:tc>
          <w:tcPr>
            <w:tcW w:w="1418" w:type="dxa"/>
          </w:tcPr>
          <w:p>
            <w:pPr>
              <w:pStyle w:val="14"/>
              <w:spacing w:before="77"/>
              <w:ind w:left="9"/>
              <w:rPr>
                <w:rFonts w:ascii="Times New Roman"/>
                <w:sz w:val="21"/>
              </w:rPr>
            </w:pPr>
            <w:r>
              <w:rPr>
                <w:rFonts w:ascii="Times New Roman"/>
                <w:w w:val="99"/>
                <w:sz w:val="21"/>
              </w:rPr>
              <w:t>/</w:t>
            </w:r>
          </w:p>
        </w:tc>
        <w:tc>
          <w:tcPr>
            <w:tcW w:w="1083" w:type="dxa"/>
          </w:tcPr>
          <w:p>
            <w:pPr>
              <w:pStyle w:val="14"/>
              <w:spacing w:before="77"/>
              <w:ind w:left="308" w:right="301"/>
              <w:rPr>
                <w:rFonts w:ascii="Times New Roman"/>
                <w:sz w:val="21"/>
              </w:rPr>
            </w:pPr>
            <w:r>
              <w:rPr>
                <w:rFonts w:ascii="Times New Roman"/>
                <w:sz w:val="21"/>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4"/>
              <w:ind w:left="327" w:right="319"/>
              <w:rPr>
                <w:sz w:val="21"/>
              </w:rPr>
            </w:pPr>
            <w:r>
              <w:rPr>
                <w:sz w:val="21"/>
              </w:rPr>
              <w:t>苯乙烯</w:t>
            </w:r>
          </w:p>
        </w:tc>
        <w:tc>
          <w:tcPr>
            <w:tcW w:w="1447" w:type="dxa"/>
          </w:tcPr>
          <w:p>
            <w:pPr>
              <w:pStyle w:val="14"/>
              <w:spacing w:before="97"/>
              <w:ind w:right="447"/>
              <w:jc w:val="right"/>
              <w:rPr>
                <w:rFonts w:ascii="Times New Roman"/>
                <w:sz w:val="21"/>
              </w:rPr>
            </w:pPr>
            <w:bookmarkStart w:id="1104" w:name="mg/kg"/>
            <w:bookmarkEnd w:id="1104"/>
            <w:r>
              <w:rPr>
                <w:rFonts w:ascii="Times New Roman"/>
                <w:w w:val="95"/>
                <w:sz w:val="21"/>
              </w:rPr>
              <w:t>mg/kg</w:t>
            </w:r>
          </w:p>
        </w:tc>
        <w:tc>
          <w:tcPr>
            <w:tcW w:w="1417" w:type="dxa"/>
          </w:tcPr>
          <w:p>
            <w:pPr>
              <w:pStyle w:val="14"/>
              <w:spacing w:before="80"/>
              <w:ind w:left="412"/>
              <w:jc w:val="left"/>
              <w:rPr>
                <w:rFonts w:ascii="Times New Roman"/>
                <w:sz w:val="21"/>
              </w:rPr>
            </w:pPr>
            <w:bookmarkStart w:id="1105" w:name="&lt;0.002"/>
            <w:bookmarkEnd w:id="1105"/>
            <w:r>
              <w:rPr>
                <w:rFonts w:ascii="Times New Roman"/>
                <w:sz w:val="21"/>
              </w:rPr>
              <w:t>&lt;0.002</w:t>
            </w:r>
          </w:p>
        </w:tc>
        <w:tc>
          <w:tcPr>
            <w:tcW w:w="1417" w:type="dxa"/>
          </w:tcPr>
          <w:p>
            <w:pPr>
              <w:pStyle w:val="14"/>
              <w:spacing w:before="78"/>
              <w:ind w:left="7"/>
              <w:rPr>
                <w:rFonts w:ascii="Times New Roman"/>
                <w:sz w:val="21"/>
              </w:rPr>
            </w:pPr>
            <w:r>
              <w:rPr>
                <w:rFonts w:ascii="Times New Roman"/>
                <w:w w:val="99"/>
                <w:sz w:val="21"/>
              </w:rPr>
              <w:t>/</w:t>
            </w:r>
          </w:p>
        </w:tc>
        <w:tc>
          <w:tcPr>
            <w:tcW w:w="1418" w:type="dxa"/>
          </w:tcPr>
          <w:p>
            <w:pPr>
              <w:pStyle w:val="14"/>
              <w:spacing w:before="78"/>
              <w:ind w:left="9"/>
              <w:rPr>
                <w:rFonts w:ascii="Times New Roman"/>
                <w:sz w:val="21"/>
              </w:rPr>
            </w:pPr>
            <w:r>
              <w:rPr>
                <w:rFonts w:ascii="Times New Roman"/>
                <w:w w:val="99"/>
                <w:sz w:val="21"/>
              </w:rPr>
              <w:t>/</w:t>
            </w:r>
          </w:p>
        </w:tc>
        <w:tc>
          <w:tcPr>
            <w:tcW w:w="1083" w:type="dxa"/>
          </w:tcPr>
          <w:p>
            <w:pPr>
              <w:pStyle w:val="14"/>
              <w:spacing w:before="78"/>
              <w:ind w:left="308" w:right="301"/>
              <w:rPr>
                <w:rFonts w:ascii="Times New Roman"/>
                <w:sz w:val="21"/>
              </w:rPr>
            </w:pPr>
            <w:r>
              <w:rPr>
                <w:rFonts w:ascii="Times New Roman"/>
                <w:sz w:val="21"/>
              </w:rPr>
              <w:t>1290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2562" w:type="dxa"/>
          </w:tcPr>
          <w:p>
            <w:pPr>
              <w:pStyle w:val="14"/>
              <w:spacing w:before="106"/>
              <w:ind w:left="327" w:right="319"/>
              <w:rPr>
                <w:sz w:val="21"/>
              </w:rPr>
            </w:pPr>
            <w:r>
              <w:rPr>
                <w:sz w:val="21"/>
              </w:rPr>
              <w:t>甲苯</w:t>
            </w:r>
          </w:p>
        </w:tc>
        <w:tc>
          <w:tcPr>
            <w:tcW w:w="1447" w:type="dxa"/>
          </w:tcPr>
          <w:p>
            <w:pPr>
              <w:pStyle w:val="14"/>
              <w:spacing w:before="141"/>
              <w:ind w:right="447"/>
              <w:jc w:val="right"/>
              <w:rPr>
                <w:rFonts w:ascii="Times New Roman"/>
                <w:sz w:val="21"/>
              </w:rPr>
            </w:pPr>
            <w:bookmarkStart w:id="1106" w:name="mg/kg"/>
            <w:bookmarkEnd w:id="1106"/>
            <w:r>
              <w:rPr>
                <w:rFonts w:ascii="Times New Roman"/>
                <w:w w:val="95"/>
                <w:sz w:val="21"/>
              </w:rPr>
              <w:t>mg/kg</w:t>
            </w:r>
          </w:p>
        </w:tc>
        <w:tc>
          <w:tcPr>
            <w:tcW w:w="1417" w:type="dxa"/>
          </w:tcPr>
          <w:p>
            <w:pPr>
              <w:pStyle w:val="14"/>
              <w:spacing w:before="122"/>
              <w:ind w:left="412"/>
              <w:jc w:val="left"/>
              <w:rPr>
                <w:rFonts w:ascii="Times New Roman"/>
                <w:sz w:val="21"/>
              </w:rPr>
            </w:pPr>
            <w:bookmarkStart w:id="1107" w:name="&lt;0.006"/>
            <w:bookmarkEnd w:id="1107"/>
            <w:r>
              <w:rPr>
                <w:rFonts w:ascii="Times New Roman"/>
                <w:sz w:val="21"/>
              </w:rPr>
              <w:t>&lt;0.006</w:t>
            </w:r>
          </w:p>
        </w:tc>
        <w:tc>
          <w:tcPr>
            <w:tcW w:w="1417" w:type="dxa"/>
          </w:tcPr>
          <w:p>
            <w:pPr>
              <w:pStyle w:val="14"/>
              <w:spacing w:before="120"/>
              <w:ind w:left="7"/>
              <w:rPr>
                <w:rFonts w:ascii="Times New Roman"/>
                <w:sz w:val="21"/>
              </w:rPr>
            </w:pPr>
            <w:r>
              <w:rPr>
                <w:rFonts w:ascii="Times New Roman"/>
                <w:w w:val="99"/>
                <w:sz w:val="21"/>
              </w:rPr>
              <w:t>/</w:t>
            </w:r>
          </w:p>
        </w:tc>
        <w:tc>
          <w:tcPr>
            <w:tcW w:w="1418" w:type="dxa"/>
          </w:tcPr>
          <w:p>
            <w:pPr>
              <w:pStyle w:val="14"/>
              <w:ind w:left="9"/>
              <w:rPr>
                <w:rFonts w:ascii="Times New Roman"/>
                <w:sz w:val="21"/>
              </w:rPr>
            </w:pPr>
            <w:r>
              <w:rPr>
                <w:rFonts w:ascii="Times New Roman"/>
                <w:w w:val="99"/>
                <w:sz w:val="21"/>
              </w:rPr>
              <w:t>/</w:t>
            </w:r>
          </w:p>
        </w:tc>
        <w:tc>
          <w:tcPr>
            <w:tcW w:w="1083" w:type="dxa"/>
          </w:tcPr>
          <w:p>
            <w:pPr>
              <w:pStyle w:val="14"/>
              <w:spacing w:before="120"/>
              <w:ind w:left="308" w:right="301"/>
              <w:rPr>
                <w:rFonts w:ascii="Times New Roman"/>
                <w:sz w:val="21"/>
              </w:rPr>
            </w:pPr>
            <w:r>
              <w:rPr>
                <w:rFonts w:ascii="Times New Roman"/>
                <w:sz w:val="21"/>
              </w:rPr>
              <w:t>1200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2"/>
              <w:ind w:left="325" w:right="319"/>
              <w:rPr>
                <w:sz w:val="21"/>
              </w:rPr>
            </w:pPr>
            <w:r>
              <w:rPr>
                <w:sz w:val="21"/>
              </w:rPr>
              <w:t>间二甲苯</w:t>
            </w:r>
          </w:p>
        </w:tc>
        <w:tc>
          <w:tcPr>
            <w:tcW w:w="1447" w:type="dxa"/>
          </w:tcPr>
          <w:p>
            <w:pPr>
              <w:pStyle w:val="14"/>
              <w:spacing w:before="97"/>
              <w:ind w:right="447"/>
              <w:jc w:val="right"/>
              <w:rPr>
                <w:rFonts w:ascii="Times New Roman"/>
                <w:sz w:val="21"/>
              </w:rPr>
            </w:pPr>
            <w:bookmarkStart w:id="1108" w:name="mg/kg"/>
            <w:bookmarkEnd w:id="1108"/>
            <w:r>
              <w:rPr>
                <w:rFonts w:ascii="Times New Roman"/>
                <w:w w:val="95"/>
                <w:sz w:val="21"/>
              </w:rPr>
              <w:t>mg/kg</w:t>
            </w:r>
          </w:p>
        </w:tc>
        <w:tc>
          <w:tcPr>
            <w:tcW w:w="1417" w:type="dxa"/>
          </w:tcPr>
          <w:p>
            <w:pPr>
              <w:pStyle w:val="14"/>
              <w:spacing w:before="78"/>
              <w:ind w:left="412"/>
              <w:jc w:val="left"/>
              <w:rPr>
                <w:rFonts w:ascii="Times New Roman"/>
                <w:sz w:val="21"/>
              </w:rPr>
            </w:pPr>
            <w:bookmarkStart w:id="1109" w:name="&lt;0.009"/>
            <w:bookmarkEnd w:id="1109"/>
            <w:r>
              <w:rPr>
                <w:rFonts w:ascii="Times New Roman"/>
                <w:sz w:val="21"/>
              </w:rPr>
              <w:t>&lt;0.009</w:t>
            </w:r>
          </w:p>
        </w:tc>
        <w:tc>
          <w:tcPr>
            <w:tcW w:w="1417" w:type="dxa"/>
          </w:tcPr>
          <w:p>
            <w:pPr>
              <w:pStyle w:val="14"/>
              <w:spacing w:before="75"/>
              <w:ind w:left="7"/>
              <w:rPr>
                <w:rFonts w:ascii="Times New Roman"/>
                <w:sz w:val="21"/>
              </w:rPr>
            </w:pPr>
            <w:r>
              <w:rPr>
                <w:rFonts w:ascii="Times New Roman"/>
                <w:w w:val="99"/>
                <w:sz w:val="21"/>
              </w:rPr>
              <w:t>/</w:t>
            </w:r>
          </w:p>
        </w:tc>
        <w:tc>
          <w:tcPr>
            <w:tcW w:w="1418" w:type="dxa"/>
          </w:tcPr>
          <w:p>
            <w:pPr>
              <w:pStyle w:val="14"/>
              <w:spacing w:before="75"/>
              <w:ind w:left="9"/>
              <w:rPr>
                <w:rFonts w:ascii="Times New Roman"/>
                <w:sz w:val="21"/>
              </w:rPr>
            </w:pPr>
            <w:r>
              <w:rPr>
                <w:rFonts w:ascii="Times New Roman"/>
                <w:w w:val="99"/>
                <w:sz w:val="21"/>
              </w:rPr>
              <w:t>/</w:t>
            </w:r>
          </w:p>
        </w:tc>
        <w:tc>
          <w:tcPr>
            <w:tcW w:w="1083" w:type="dxa"/>
          </w:tcPr>
          <w:p>
            <w:pPr>
              <w:pStyle w:val="14"/>
              <w:spacing w:before="75"/>
              <w:ind w:left="308" w:right="301"/>
              <w:rPr>
                <w:rFonts w:ascii="Times New Roman"/>
                <w:sz w:val="21"/>
              </w:rPr>
            </w:pPr>
            <w:r>
              <w:rPr>
                <w:rFonts w:ascii="Times New Roman"/>
                <w:sz w:val="21"/>
              </w:rPr>
              <w:t>570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3"/>
              <w:ind w:left="325" w:right="319"/>
              <w:rPr>
                <w:sz w:val="21"/>
              </w:rPr>
            </w:pPr>
            <w:r>
              <w:rPr>
                <w:sz w:val="21"/>
              </w:rPr>
              <w:t>对二甲苯</w:t>
            </w:r>
          </w:p>
        </w:tc>
        <w:tc>
          <w:tcPr>
            <w:tcW w:w="1447" w:type="dxa"/>
          </w:tcPr>
          <w:p>
            <w:pPr>
              <w:pStyle w:val="14"/>
              <w:spacing w:before="96"/>
              <w:ind w:right="447"/>
              <w:jc w:val="right"/>
              <w:rPr>
                <w:rFonts w:ascii="Times New Roman"/>
                <w:sz w:val="21"/>
              </w:rPr>
            </w:pPr>
            <w:bookmarkStart w:id="1110" w:name="mg/kg"/>
            <w:bookmarkEnd w:id="1110"/>
            <w:r>
              <w:rPr>
                <w:rFonts w:ascii="Times New Roman"/>
                <w:w w:val="95"/>
                <w:sz w:val="21"/>
              </w:rPr>
              <w:t>mg/kg</w:t>
            </w:r>
          </w:p>
        </w:tc>
        <w:tc>
          <w:tcPr>
            <w:tcW w:w="1417" w:type="dxa"/>
          </w:tcPr>
          <w:p>
            <w:pPr>
              <w:pStyle w:val="14"/>
              <w:spacing w:before="79"/>
              <w:ind w:left="412"/>
              <w:jc w:val="left"/>
              <w:rPr>
                <w:rFonts w:ascii="Times New Roman"/>
                <w:sz w:val="21"/>
              </w:rPr>
            </w:pPr>
            <w:bookmarkStart w:id="1111" w:name="&lt;0.009"/>
            <w:bookmarkEnd w:id="1111"/>
            <w:r>
              <w:rPr>
                <w:rFonts w:ascii="Times New Roman"/>
                <w:sz w:val="21"/>
              </w:rPr>
              <w:t>&lt;0.009</w:t>
            </w:r>
          </w:p>
        </w:tc>
        <w:tc>
          <w:tcPr>
            <w:tcW w:w="1417" w:type="dxa"/>
          </w:tcPr>
          <w:p>
            <w:pPr>
              <w:pStyle w:val="14"/>
              <w:spacing w:before="76"/>
              <w:ind w:left="7"/>
              <w:rPr>
                <w:rFonts w:ascii="Times New Roman"/>
                <w:sz w:val="21"/>
              </w:rPr>
            </w:pPr>
            <w:r>
              <w:rPr>
                <w:rFonts w:ascii="Times New Roman"/>
                <w:w w:val="99"/>
                <w:sz w:val="21"/>
              </w:rPr>
              <w:t>/</w:t>
            </w:r>
          </w:p>
        </w:tc>
        <w:tc>
          <w:tcPr>
            <w:tcW w:w="1418" w:type="dxa"/>
          </w:tcPr>
          <w:p>
            <w:pPr>
              <w:pStyle w:val="14"/>
              <w:spacing w:before="76"/>
              <w:ind w:left="9"/>
              <w:rPr>
                <w:rFonts w:ascii="Times New Roman"/>
                <w:sz w:val="21"/>
              </w:rPr>
            </w:pPr>
            <w:r>
              <w:rPr>
                <w:rFonts w:ascii="Times New Roman"/>
                <w:w w:val="99"/>
                <w:sz w:val="21"/>
              </w:rPr>
              <w:t>/</w:t>
            </w:r>
          </w:p>
        </w:tc>
        <w:tc>
          <w:tcPr>
            <w:tcW w:w="1083" w:type="dxa"/>
          </w:tcPr>
          <w:p>
            <w:pPr>
              <w:pStyle w:val="14"/>
              <w:spacing w:before="76"/>
              <w:ind w:left="308" w:right="301"/>
              <w:rPr>
                <w:rFonts w:ascii="Times New Roman"/>
                <w:sz w:val="21"/>
              </w:rPr>
            </w:pPr>
            <w:r>
              <w:rPr>
                <w:rFonts w:ascii="Times New Roman"/>
                <w:sz w:val="21"/>
              </w:rPr>
              <w:t>570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1"/>
              <w:ind w:left="325" w:right="319"/>
              <w:rPr>
                <w:sz w:val="21"/>
              </w:rPr>
            </w:pPr>
            <w:r>
              <w:rPr>
                <w:sz w:val="21"/>
              </w:rPr>
              <w:t>邻二甲苯</w:t>
            </w:r>
          </w:p>
        </w:tc>
        <w:tc>
          <w:tcPr>
            <w:tcW w:w="1447" w:type="dxa"/>
          </w:tcPr>
          <w:p>
            <w:pPr>
              <w:pStyle w:val="14"/>
              <w:spacing w:before="75"/>
              <w:ind w:right="447"/>
              <w:jc w:val="right"/>
              <w:rPr>
                <w:rFonts w:ascii="Times New Roman"/>
                <w:sz w:val="21"/>
              </w:rPr>
            </w:pPr>
            <w:r>
              <w:rPr>
                <w:rFonts w:ascii="Times New Roman"/>
                <w:w w:val="95"/>
                <w:sz w:val="21"/>
              </w:rPr>
              <w:t>mg/kg</w:t>
            </w:r>
          </w:p>
        </w:tc>
        <w:tc>
          <w:tcPr>
            <w:tcW w:w="1417" w:type="dxa"/>
          </w:tcPr>
          <w:p>
            <w:pPr>
              <w:pStyle w:val="14"/>
              <w:spacing w:before="80"/>
              <w:ind w:left="412"/>
              <w:jc w:val="left"/>
              <w:rPr>
                <w:rFonts w:ascii="Times New Roman"/>
                <w:sz w:val="21"/>
              </w:rPr>
            </w:pPr>
            <w:bookmarkStart w:id="1112" w:name="&lt;0.002"/>
            <w:bookmarkEnd w:id="1112"/>
            <w:r>
              <w:rPr>
                <w:rFonts w:ascii="Times New Roman"/>
                <w:sz w:val="21"/>
              </w:rPr>
              <w:t>&lt;0.002</w:t>
            </w:r>
          </w:p>
        </w:tc>
        <w:tc>
          <w:tcPr>
            <w:tcW w:w="1417" w:type="dxa"/>
          </w:tcPr>
          <w:p>
            <w:pPr>
              <w:pStyle w:val="14"/>
              <w:spacing w:before="75"/>
              <w:ind w:left="7"/>
              <w:rPr>
                <w:rFonts w:ascii="Times New Roman"/>
                <w:sz w:val="21"/>
              </w:rPr>
            </w:pPr>
            <w:r>
              <w:rPr>
                <w:rFonts w:ascii="Times New Roman"/>
                <w:w w:val="99"/>
                <w:sz w:val="21"/>
              </w:rPr>
              <w:t>/</w:t>
            </w:r>
          </w:p>
        </w:tc>
        <w:tc>
          <w:tcPr>
            <w:tcW w:w="1418" w:type="dxa"/>
          </w:tcPr>
          <w:p>
            <w:pPr>
              <w:pStyle w:val="14"/>
              <w:spacing w:before="75"/>
              <w:ind w:left="9"/>
              <w:rPr>
                <w:rFonts w:ascii="Times New Roman"/>
                <w:sz w:val="21"/>
              </w:rPr>
            </w:pPr>
            <w:r>
              <w:rPr>
                <w:rFonts w:ascii="Times New Roman"/>
                <w:w w:val="99"/>
                <w:sz w:val="21"/>
              </w:rPr>
              <w:t>/</w:t>
            </w:r>
          </w:p>
        </w:tc>
        <w:tc>
          <w:tcPr>
            <w:tcW w:w="1083" w:type="dxa"/>
          </w:tcPr>
          <w:p>
            <w:pPr>
              <w:pStyle w:val="14"/>
              <w:spacing w:before="75"/>
              <w:ind w:left="308" w:right="301"/>
              <w:rPr>
                <w:rFonts w:ascii="Times New Roman"/>
                <w:sz w:val="21"/>
              </w:rPr>
            </w:pPr>
            <w:r>
              <w:rPr>
                <w:rFonts w:ascii="Times New Roman"/>
                <w:sz w:val="21"/>
              </w:rPr>
              <w:t>640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2"/>
              <w:ind w:left="327" w:right="319"/>
              <w:rPr>
                <w:sz w:val="21"/>
              </w:rPr>
            </w:pPr>
            <w:r>
              <w:rPr>
                <w:sz w:val="21"/>
              </w:rPr>
              <w:t>硝基苯</w:t>
            </w:r>
          </w:p>
        </w:tc>
        <w:tc>
          <w:tcPr>
            <w:tcW w:w="1447" w:type="dxa"/>
          </w:tcPr>
          <w:p>
            <w:pPr>
              <w:pStyle w:val="14"/>
              <w:spacing w:before="76"/>
              <w:ind w:right="447"/>
              <w:jc w:val="right"/>
              <w:rPr>
                <w:rFonts w:ascii="Times New Roman"/>
                <w:sz w:val="21"/>
              </w:rPr>
            </w:pPr>
            <w:r>
              <w:rPr>
                <w:rFonts w:ascii="Times New Roman"/>
                <w:w w:val="95"/>
                <w:sz w:val="21"/>
              </w:rPr>
              <w:t>mg/kg</w:t>
            </w:r>
          </w:p>
        </w:tc>
        <w:tc>
          <w:tcPr>
            <w:tcW w:w="1417" w:type="dxa"/>
          </w:tcPr>
          <w:p>
            <w:pPr>
              <w:pStyle w:val="14"/>
              <w:spacing w:before="78"/>
              <w:ind w:left="465"/>
              <w:jc w:val="left"/>
              <w:rPr>
                <w:rFonts w:ascii="Times New Roman"/>
                <w:sz w:val="21"/>
              </w:rPr>
            </w:pPr>
            <w:bookmarkStart w:id="1113" w:name="&lt;0.09"/>
            <w:bookmarkEnd w:id="1113"/>
            <w:r>
              <w:rPr>
                <w:rFonts w:ascii="Times New Roman"/>
                <w:sz w:val="21"/>
              </w:rPr>
              <w:t>&lt;0.09</w:t>
            </w:r>
          </w:p>
        </w:tc>
        <w:tc>
          <w:tcPr>
            <w:tcW w:w="1417" w:type="dxa"/>
          </w:tcPr>
          <w:p>
            <w:pPr>
              <w:pStyle w:val="14"/>
              <w:spacing w:before="76"/>
              <w:ind w:left="7"/>
              <w:rPr>
                <w:rFonts w:ascii="Times New Roman"/>
                <w:sz w:val="21"/>
              </w:rPr>
            </w:pPr>
            <w:r>
              <w:rPr>
                <w:rFonts w:ascii="Times New Roman"/>
                <w:w w:val="99"/>
                <w:sz w:val="21"/>
              </w:rPr>
              <w:t>/</w:t>
            </w:r>
          </w:p>
        </w:tc>
        <w:tc>
          <w:tcPr>
            <w:tcW w:w="1418" w:type="dxa"/>
          </w:tcPr>
          <w:p>
            <w:pPr>
              <w:pStyle w:val="14"/>
              <w:spacing w:before="76"/>
              <w:ind w:left="9"/>
              <w:rPr>
                <w:rFonts w:ascii="Times New Roman"/>
                <w:sz w:val="21"/>
              </w:rPr>
            </w:pPr>
            <w:r>
              <w:rPr>
                <w:rFonts w:ascii="Times New Roman"/>
                <w:w w:val="99"/>
                <w:sz w:val="21"/>
              </w:rPr>
              <w:t>/</w:t>
            </w:r>
          </w:p>
        </w:tc>
        <w:tc>
          <w:tcPr>
            <w:tcW w:w="1083" w:type="dxa"/>
          </w:tcPr>
          <w:p>
            <w:pPr>
              <w:pStyle w:val="14"/>
              <w:spacing w:before="76"/>
              <w:ind w:left="308" w:right="301"/>
              <w:rPr>
                <w:rFonts w:ascii="Times New Roman"/>
                <w:sz w:val="21"/>
              </w:rPr>
            </w:pPr>
            <w:r>
              <w:rPr>
                <w:rFonts w:ascii="Times New Roman"/>
                <w:sz w:val="21"/>
              </w:rPr>
              <w:t>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562" w:type="dxa"/>
          </w:tcPr>
          <w:p>
            <w:pPr>
              <w:pStyle w:val="14"/>
              <w:spacing w:before="61"/>
              <w:ind w:left="327" w:right="319"/>
              <w:rPr>
                <w:sz w:val="21"/>
              </w:rPr>
            </w:pPr>
            <w:r>
              <w:rPr>
                <w:sz w:val="21"/>
              </w:rPr>
              <w:t>苯胺</w:t>
            </w:r>
          </w:p>
        </w:tc>
        <w:tc>
          <w:tcPr>
            <w:tcW w:w="1447" w:type="dxa"/>
          </w:tcPr>
          <w:p>
            <w:pPr>
              <w:pStyle w:val="14"/>
              <w:spacing w:before="75"/>
              <w:ind w:right="447"/>
              <w:jc w:val="right"/>
              <w:rPr>
                <w:rFonts w:ascii="Times New Roman"/>
                <w:sz w:val="21"/>
              </w:rPr>
            </w:pPr>
            <w:r>
              <w:rPr>
                <w:rFonts w:ascii="Times New Roman"/>
                <w:w w:val="95"/>
                <w:sz w:val="21"/>
              </w:rPr>
              <w:t>mg/kg</w:t>
            </w:r>
          </w:p>
        </w:tc>
        <w:tc>
          <w:tcPr>
            <w:tcW w:w="1417" w:type="dxa"/>
          </w:tcPr>
          <w:p>
            <w:pPr>
              <w:pStyle w:val="14"/>
              <w:spacing w:before="79"/>
              <w:ind w:left="465"/>
              <w:jc w:val="left"/>
              <w:rPr>
                <w:rFonts w:ascii="Times New Roman"/>
                <w:sz w:val="21"/>
              </w:rPr>
            </w:pPr>
            <w:bookmarkStart w:id="1114" w:name="&lt;0.37"/>
            <w:bookmarkEnd w:id="1114"/>
            <w:r>
              <w:rPr>
                <w:rFonts w:ascii="Times New Roman"/>
                <w:sz w:val="21"/>
              </w:rPr>
              <w:t>&lt;0.37</w:t>
            </w:r>
          </w:p>
        </w:tc>
        <w:tc>
          <w:tcPr>
            <w:tcW w:w="1417" w:type="dxa"/>
          </w:tcPr>
          <w:p>
            <w:pPr>
              <w:pStyle w:val="14"/>
              <w:spacing w:before="75"/>
              <w:ind w:left="7"/>
              <w:rPr>
                <w:rFonts w:ascii="Times New Roman"/>
                <w:sz w:val="21"/>
              </w:rPr>
            </w:pPr>
            <w:r>
              <w:rPr>
                <w:rFonts w:ascii="Times New Roman"/>
                <w:w w:val="99"/>
                <w:sz w:val="21"/>
              </w:rPr>
              <w:t>/</w:t>
            </w:r>
          </w:p>
        </w:tc>
        <w:tc>
          <w:tcPr>
            <w:tcW w:w="1418" w:type="dxa"/>
          </w:tcPr>
          <w:p>
            <w:pPr>
              <w:pStyle w:val="14"/>
              <w:spacing w:before="75"/>
              <w:ind w:left="9"/>
              <w:rPr>
                <w:rFonts w:ascii="Times New Roman"/>
                <w:sz w:val="21"/>
              </w:rPr>
            </w:pPr>
            <w:r>
              <w:rPr>
                <w:rFonts w:ascii="Times New Roman"/>
                <w:w w:val="99"/>
                <w:sz w:val="21"/>
              </w:rPr>
              <w:t>/</w:t>
            </w:r>
          </w:p>
        </w:tc>
        <w:tc>
          <w:tcPr>
            <w:tcW w:w="1083" w:type="dxa"/>
          </w:tcPr>
          <w:p>
            <w:pPr>
              <w:pStyle w:val="14"/>
              <w:spacing w:before="75"/>
              <w:ind w:left="308" w:right="301"/>
              <w:rPr>
                <w:rFonts w:ascii="Times New Roman"/>
                <w:sz w:val="21"/>
              </w:rPr>
            </w:pPr>
            <w:r>
              <w:rPr>
                <w:rFonts w:ascii="Times New Roman"/>
                <w:sz w:val="21"/>
              </w:rPr>
              <w:t>260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2"/>
              <w:ind w:left="6"/>
              <w:rPr>
                <w:sz w:val="21"/>
              </w:rPr>
            </w:pPr>
            <w:r>
              <w:rPr>
                <w:w w:val="99"/>
                <w:sz w:val="21"/>
              </w:rPr>
              <w:t>萘</w:t>
            </w:r>
          </w:p>
        </w:tc>
        <w:tc>
          <w:tcPr>
            <w:tcW w:w="1447" w:type="dxa"/>
          </w:tcPr>
          <w:p>
            <w:pPr>
              <w:pStyle w:val="14"/>
              <w:spacing w:before="76"/>
              <w:ind w:right="447"/>
              <w:jc w:val="right"/>
              <w:rPr>
                <w:rFonts w:ascii="Times New Roman"/>
                <w:sz w:val="21"/>
              </w:rPr>
            </w:pPr>
            <w:r>
              <w:rPr>
                <w:rFonts w:ascii="Times New Roman"/>
                <w:w w:val="95"/>
                <w:sz w:val="21"/>
              </w:rPr>
              <w:t>mg/kg</w:t>
            </w:r>
          </w:p>
        </w:tc>
        <w:tc>
          <w:tcPr>
            <w:tcW w:w="1417" w:type="dxa"/>
          </w:tcPr>
          <w:p>
            <w:pPr>
              <w:pStyle w:val="14"/>
              <w:spacing w:before="78"/>
              <w:ind w:left="465"/>
              <w:jc w:val="left"/>
              <w:rPr>
                <w:rFonts w:ascii="Times New Roman"/>
                <w:sz w:val="21"/>
              </w:rPr>
            </w:pPr>
            <w:bookmarkStart w:id="1115" w:name="&lt;0.09"/>
            <w:bookmarkEnd w:id="1115"/>
            <w:r>
              <w:rPr>
                <w:rFonts w:ascii="Times New Roman"/>
                <w:sz w:val="21"/>
              </w:rPr>
              <w:t>&lt;0.09</w:t>
            </w:r>
          </w:p>
        </w:tc>
        <w:tc>
          <w:tcPr>
            <w:tcW w:w="1417" w:type="dxa"/>
          </w:tcPr>
          <w:p>
            <w:pPr>
              <w:pStyle w:val="14"/>
              <w:spacing w:before="76"/>
              <w:ind w:left="7"/>
              <w:rPr>
                <w:rFonts w:ascii="Times New Roman"/>
                <w:sz w:val="21"/>
              </w:rPr>
            </w:pPr>
            <w:r>
              <w:rPr>
                <w:rFonts w:ascii="Times New Roman"/>
                <w:w w:val="99"/>
                <w:sz w:val="21"/>
              </w:rPr>
              <w:t>/</w:t>
            </w:r>
          </w:p>
        </w:tc>
        <w:tc>
          <w:tcPr>
            <w:tcW w:w="1418" w:type="dxa"/>
          </w:tcPr>
          <w:p>
            <w:pPr>
              <w:pStyle w:val="14"/>
              <w:spacing w:before="76"/>
              <w:ind w:left="9"/>
              <w:rPr>
                <w:rFonts w:ascii="Times New Roman"/>
                <w:sz w:val="21"/>
              </w:rPr>
            </w:pPr>
            <w:r>
              <w:rPr>
                <w:rFonts w:ascii="Times New Roman"/>
                <w:w w:val="99"/>
                <w:sz w:val="21"/>
              </w:rPr>
              <w:t>/</w:t>
            </w:r>
          </w:p>
        </w:tc>
        <w:tc>
          <w:tcPr>
            <w:tcW w:w="1083" w:type="dxa"/>
          </w:tcPr>
          <w:p>
            <w:pPr>
              <w:pStyle w:val="14"/>
              <w:spacing w:before="76"/>
              <w:ind w:left="308" w:right="301"/>
              <w:rPr>
                <w:rFonts w:ascii="Times New Roman"/>
                <w:sz w:val="21"/>
              </w:rPr>
            </w:pPr>
            <w:r>
              <w:rPr>
                <w:rFonts w:ascii="Times New Roman"/>
                <w:sz w:val="21"/>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562" w:type="dxa"/>
          </w:tcPr>
          <w:p>
            <w:pPr>
              <w:pStyle w:val="14"/>
              <w:spacing w:before="63"/>
              <w:ind w:left="325" w:right="319"/>
              <w:rPr>
                <w:sz w:val="21"/>
              </w:rPr>
            </w:pPr>
            <w:r>
              <w:rPr>
                <w:rFonts w:ascii="Times New Roman" w:eastAsia="Times New Roman"/>
                <w:sz w:val="21"/>
              </w:rPr>
              <w:t>2-</w:t>
            </w:r>
            <w:r>
              <w:rPr>
                <w:sz w:val="21"/>
              </w:rPr>
              <w:t>氯酚</w:t>
            </w:r>
          </w:p>
        </w:tc>
        <w:tc>
          <w:tcPr>
            <w:tcW w:w="1447" w:type="dxa"/>
          </w:tcPr>
          <w:p>
            <w:pPr>
              <w:pStyle w:val="14"/>
              <w:spacing w:before="77"/>
              <w:ind w:right="447"/>
              <w:jc w:val="right"/>
              <w:rPr>
                <w:rFonts w:ascii="Times New Roman"/>
                <w:sz w:val="21"/>
              </w:rPr>
            </w:pPr>
            <w:r>
              <w:rPr>
                <w:rFonts w:ascii="Times New Roman"/>
                <w:w w:val="95"/>
                <w:sz w:val="21"/>
              </w:rPr>
              <w:t>mg/kg</w:t>
            </w:r>
          </w:p>
        </w:tc>
        <w:tc>
          <w:tcPr>
            <w:tcW w:w="1417" w:type="dxa"/>
          </w:tcPr>
          <w:p>
            <w:pPr>
              <w:pStyle w:val="14"/>
              <w:spacing w:before="79"/>
              <w:ind w:left="465"/>
              <w:jc w:val="left"/>
              <w:rPr>
                <w:rFonts w:ascii="Times New Roman"/>
                <w:sz w:val="21"/>
              </w:rPr>
            </w:pPr>
            <w:bookmarkStart w:id="1116" w:name="&lt;0.06"/>
            <w:bookmarkEnd w:id="1116"/>
            <w:r>
              <w:rPr>
                <w:rFonts w:ascii="Times New Roman"/>
                <w:sz w:val="21"/>
              </w:rPr>
              <w:t>&lt;0.06</w:t>
            </w:r>
          </w:p>
        </w:tc>
        <w:tc>
          <w:tcPr>
            <w:tcW w:w="1417" w:type="dxa"/>
          </w:tcPr>
          <w:p>
            <w:pPr>
              <w:pStyle w:val="14"/>
              <w:spacing w:before="77"/>
              <w:ind w:left="7"/>
              <w:rPr>
                <w:rFonts w:ascii="Times New Roman"/>
                <w:sz w:val="21"/>
              </w:rPr>
            </w:pPr>
            <w:r>
              <w:rPr>
                <w:rFonts w:ascii="Times New Roman"/>
                <w:w w:val="99"/>
                <w:sz w:val="21"/>
              </w:rPr>
              <w:t>/</w:t>
            </w:r>
          </w:p>
        </w:tc>
        <w:tc>
          <w:tcPr>
            <w:tcW w:w="1418" w:type="dxa"/>
          </w:tcPr>
          <w:p>
            <w:pPr>
              <w:pStyle w:val="14"/>
              <w:spacing w:before="77"/>
              <w:ind w:left="9"/>
              <w:rPr>
                <w:rFonts w:ascii="Times New Roman"/>
                <w:sz w:val="21"/>
              </w:rPr>
            </w:pPr>
            <w:r>
              <w:rPr>
                <w:rFonts w:ascii="Times New Roman"/>
                <w:w w:val="99"/>
                <w:sz w:val="21"/>
              </w:rPr>
              <w:t>/</w:t>
            </w:r>
          </w:p>
        </w:tc>
        <w:tc>
          <w:tcPr>
            <w:tcW w:w="1083" w:type="dxa"/>
          </w:tcPr>
          <w:p>
            <w:pPr>
              <w:pStyle w:val="14"/>
              <w:spacing w:before="77"/>
              <w:ind w:left="308" w:right="301"/>
              <w:rPr>
                <w:rFonts w:ascii="Times New Roman"/>
                <w:sz w:val="21"/>
              </w:rPr>
            </w:pPr>
            <w:r>
              <w:rPr>
                <w:rFonts w:ascii="Times New Roman"/>
                <w:sz w:val="21"/>
              </w:rPr>
              <w:t>2256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1"/>
              <w:ind w:left="328" w:right="317"/>
              <w:rPr>
                <w:sz w:val="21"/>
              </w:rPr>
            </w:pPr>
            <w:r>
              <w:rPr>
                <w:sz w:val="21"/>
              </w:rPr>
              <w:t>苯并</w:t>
            </w:r>
            <w:r>
              <w:rPr>
                <w:rFonts w:ascii="Times New Roman" w:eastAsia="Times New Roman"/>
                <w:sz w:val="21"/>
              </w:rPr>
              <w:t>[a]</w:t>
            </w:r>
            <w:r>
              <w:rPr>
                <w:sz w:val="21"/>
              </w:rPr>
              <w:t>蒽</w:t>
            </w:r>
          </w:p>
        </w:tc>
        <w:tc>
          <w:tcPr>
            <w:tcW w:w="1447" w:type="dxa"/>
          </w:tcPr>
          <w:p>
            <w:pPr>
              <w:pStyle w:val="14"/>
              <w:spacing w:before="75"/>
              <w:ind w:right="447"/>
              <w:jc w:val="right"/>
              <w:rPr>
                <w:rFonts w:ascii="Times New Roman"/>
                <w:sz w:val="21"/>
              </w:rPr>
            </w:pPr>
            <w:r>
              <w:rPr>
                <w:rFonts w:ascii="Times New Roman"/>
                <w:w w:val="95"/>
                <w:sz w:val="21"/>
              </w:rPr>
              <w:t>mg/kg</w:t>
            </w:r>
          </w:p>
        </w:tc>
        <w:tc>
          <w:tcPr>
            <w:tcW w:w="1417" w:type="dxa"/>
          </w:tcPr>
          <w:p>
            <w:pPr>
              <w:pStyle w:val="14"/>
              <w:spacing w:before="78"/>
              <w:ind w:left="465"/>
              <w:jc w:val="left"/>
              <w:rPr>
                <w:rFonts w:ascii="Times New Roman"/>
                <w:sz w:val="21"/>
              </w:rPr>
            </w:pPr>
            <w:bookmarkStart w:id="1117" w:name="&lt;0.12"/>
            <w:bookmarkEnd w:id="1117"/>
            <w:r>
              <w:rPr>
                <w:rFonts w:ascii="Times New Roman"/>
                <w:sz w:val="21"/>
              </w:rPr>
              <w:t>&lt;0.12</w:t>
            </w:r>
          </w:p>
        </w:tc>
        <w:tc>
          <w:tcPr>
            <w:tcW w:w="1417" w:type="dxa"/>
          </w:tcPr>
          <w:p>
            <w:pPr>
              <w:pStyle w:val="14"/>
              <w:spacing w:before="75"/>
              <w:ind w:left="7"/>
              <w:rPr>
                <w:rFonts w:ascii="Times New Roman"/>
                <w:sz w:val="21"/>
              </w:rPr>
            </w:pPr>
            <w:r>
              <w:rPr>
                <w:rFonts w:ascii="Times New Roman"/>
                <w:w w:val="99"/>
                <w:sz w:val="21"/>
              </w:rPr>
              <w:t>/</w:t>
            </w:r>
          </w:p>
        </w:tc>
        <w:tc>
          <w:tcPr>
            <w:tcW w:w="1418" w:type="dxa"/>
          </w:tcPr>
          <w:p>
            <w:pPr>
              <w:pStyle w:val="14"/>
              <w:spacing w:before="75"/>
              <w:ind w:left="9"/>
              <w:rPr>
                <w:rFonts w:ascii="Times New Roman"/>
                <w:sz w:val="21"/>
              </w:rPr>
            </w:pPr>
            <w:r>
              <w:rPr>
                <w:rFonts w:ascii="Times New Roman"/>
                <w:w w:val="99"/>
                <w:sz w:val="21"/>
              </w:rPr>
              <w:t>/</w:t>
            </w:r>
          </w:p>
        </w:tc>
        <w:tc>
          <w:tcPr>
            <w:tcW w:w="1083" w:type="dxa"/>
          </w:tcPr>
          <w:p>
            <w:pPr>
              <w:pStyle w:val="14"/>
              <w:spacing w:before="75"/>
              <w:ind w:left="308" w:right="301"/>
              <w:rPr>
                <w:rFonts w:ascii="Times New Roman"/>
                <w:sz w:val="21"/>
              </w:rPr>
            </w:pPr>
            <w:r>
              <w:rPr>
                <w:rFonts w:ascii="Times New Roman"/>
                <w:sz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2"/>
              <w:ind w:left="328" w:right="317"/>
              <w:rPr>
                <w:sz w:val="21"/>
              </w:rPr>
            </w:pPr>
            <w:r>
              <w:rPr>
                <w:sz w:val="21"/>
              </w:rPr>
              <w:t>苯并</w:t>
            </w:r>
            <w:r>
              <w:rPr>
                <w:rFonts w:ascii="Times New Roman" w:eastAsia="Times New Roman"/>
                <w:sz w:val="21"/>
              </w:rPr>
              <w:t>[a]</w:t>
            </w:r>
            <w:r>
              <w:rPr>
                <w:sz w:val="21"/>
              </w:rPr>
              <w:t>芘</w:t>
            </w:r>
          </w:p>
        </w:tc>
        <w:tc>
          <w:tcPr>
            <w:tcW w:w="1447" w:type="dxa"/>
          </w:tcPr>
          <w:p>
            <w:pPr>
              <w:pStyle w:val="14"/>
              <w:spacing w:before="76"/>
              <w:ind w:right="447"/>
              <w:jc w:val="right"/>
              <w:rPr>
                <w:rFonts w:ascii="Times New Roman"/>
                <w:sz w:val="21"/>
              </w:rPr>
            </w:pPr>
            <w:r>
              <w:rPr>
                <w:rFonts w:ascii="Times New Roman"/>
                <w:w w:val="95"/>
                <w:sz w:val="21"/>
              </w:rPr>
              <w:t>mg/kg</w:t>
            </w:r>
          </w:p>
        </w:tc>
        <w:tc>
          <w:tcPr>
            <w:tcW w:w="1417" w:type="dxa"/>
          </w:tcPr>
          <w:p>
            <w:pPr>
              <w:pStyle w:val="14"/>
              <w:spacing w:before="79"/>
              <w:ind w:left="465"/>
              <w:jc w:val="left"/>
              <w:rPr>
                <w:rFonts w:ascii="Times New Roman"/>
                <w:sz w:val="21"/>
              </w:rPr>
            </w:pPr>
            <w:bookmarkStart w:id="1118" w:name="&lt;0.17"/>
            <w:bookmarkEnd w:id="1118"/>
            <w:r>
              <w:rPr>
                <w:rFonts w:ascii="Times New Roman"/>
                <w:sz w:val="21"/>
              </w:rPr>
              <w:t>&lt;0.17</w:t>
            </w:r>
          </w:p>
        </w:tc>
        <w:tc>
          <w:tcPr>
            <w:tcW w:w="1417" w:type="dxa"/>
          </w:tcPr>
          <w:p>
            <w:pPr>
              <w:pStyle w:val="14"/>
              <w:spacing w:before="76"/>
              <w:ind w:left="7"/>
              <w:rPr>
                <w:rFonts w:ascii="Times New Roman"/>
                <w:sz w:val="21"/>
              </w:rPr>
            </w:pPr>
            <w:r>
              <w:rPr>
                <w:rFonts w:ascii="Times New Roman"/>
                <w:w w:val="99"/>
                <w:sz w:val="21"/>
              </w:rPr>
              <w:t>/</w:t>
            </w:r>
          </w:p>
        </w:tc>
        <w:tc>
          <w:tcPr>
            <w:tcW w:w="1418" w:type="dxa"/>
          </w:tcPr>
          <w:p>
            <w:pPr>
              <w:pStyle w:val="14"/>
              <w:spacing w:before="76"/>
              <w:ind w:left="9"/>
              <w:rPr>
                <w:rFonts w:ascii="Times New Roman"/>
                <w:sz w:val="21"/>
              </w:rPr>
            </w:pPr>
            <w:r>
              <w:rPr>
                <w:rFonts w:ascii="Times New Roman"/>
                <w:w w:val="99"/>
                <w:sz w:val="21"/>
              </w:rPr>
              <w:t>/</w:t>
            </w:r>
          </w:p>
        </w:tc>
        <w:tc>
          <w:tcPr>
            <w:tcW w:w="1083" w:type="dxa"/>
          </w:tcPr>
          <w:p>
            <w:pPr>
              <w:pStyle w:val="14"/>
              <w:spacing w:before="76"/>
              <w:ind w:left="308" w:right="301"/>
              <w:rPr>
                <w:rFonts w:ascii="Times New Roman"/>
                <w:sz w:val="21"/>
              </w:rPr>
            </w:pPr>
            <w:r>
              <w:rPr>
                <w:rFonts w:ascii="Times New Roman"/>
                <w:sz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562" w:type="dxa"/>
          </w:tcPr>
          <w:p>
            <w:pPr>
              <w:pStyle w:val="14"/>
              <w:spacing w:before="61"/>
              <w:ind w:left="325" w:right="319"/>
              <w:rPr>
                <w:sz w:val="21"/>
              </w:rPr>
            </w:pPr>
            <w:r>
              <w:rPr>
                <w:sz w:val="21"/>
              </w:rPr>
              <w:t>苯并</w:t>
            </w:r>
            <w:r>
              <w:rPr>
                <w:rFonts w:ascii="Times New Roman" w:eastAsia="Times New Roman"/>
                <w:sz w:val="21"/>
              </w:rPr>
              <w:t>[b]</w:t>
            </w:r>
            <w:r>
              <w:rPr>
                <w:sz w:val="21"/>
              </w:rPr>
              <w:t>荧蒽</w:t>
            </w:r>
          </w:p>
        </w:tc>
        <w:tc>
          <w:tcPr>
            <w:tcW w:w="1447" w:type="dxa"/>
          </w:tcPr>
          <w:p>
            <w:pPr>
              <w:pStyle w:val="14"/>
              <w:spacing w:before="75"/>
              <w:ind w:right="447"/>
              <w:jc w:val="right"/>
              <w:rPr>
                <w:rFonts w:ascii="Times New Roman"/>
                <w:sz w:val="21"/>
              </w:rPr>
            </w:pPr>
            <w:r>
              <w:rPr>
                <w:rFonts w:ascii="Times New Roman"/>
                <w:w w:val="95"/>
                <w:sz w:val="21"/>
              </w:rPr>
              <w:t>mg/kg</w:t>
            </w:r>
          </w:p>
        </w:tc>
        <w:tc>
          <w:tcPr>
            <w:tcW w:w="1417" w:type="dxa"/>
          </w:tcPr>
          <w:p>
            <w:pPr>
              <w:pStyle w:val="14"/>
              <w:spacing w:before="80"/>
              <w:ind w:left="465"/>
              <w:jc w:val="left"/>
              <w:rPr>
                <w:rFonts w:ascii="Times New Roman"/>
                <w:sz w:val="21"/>
              </w:rPr>
            </w:pPr>
            <w:bookmarkStart w:id="1119" w:name="&lt;0.17"/>
            <w:bookmarkEnd w:id="1119"/>
            <w:r>
              <w:rPr>
                <w:rFonts w:ascii="Times New Roman"/>
                <w:sz w:val="21"/>
              </w:rPr>
              <w:t>&lt;0.17</w:t>
            </w:r>
          </w:p>
        </w:tc>
        <w:tc>
          <w:tcPr>
            <w:tcW w:w="1417" w:type="dxa"/>
          </w:tcPr>
          <w:p>
            <w:pPr>
              <w:pStyle w:val="14"/>
              <w:spacing w:before="75"/>
              <w:ind w:left="7"/>
              <w:rPr>
                <w:rFonts w:ascii="Times New Roman"/>
                <w:sz w:val="21"/>
              </w:rPr>
            </w:pPr>
            <w:r>
              <w:rPr>
                <w:rFonts w:ascii="Times New Roman"/>
                <w:w w:val="99"/>
                <w:sz w:val="21"/>
              </w:rPr>
              <w:t>/</w:t>
            </w:r>
          </w:p>
        </w:tc>
        <w:tc>
          <w:tcPr>
            <w:tcW w:w="1418" w:type="dxa"/>
          </w:tcPr>
          <w:p>
            <w:pPr>
              <w:pStyle w:val="14"/>
              <w:spacing w:before="75"/>
              <w:ind w:left="9"/>
              <w:rPr>
                <w:rFonts w:ascii="Times New Roman"/>
                <w:sz w:val="21"/>
              </w:rPr>
            </w:pPr>
            <w:r>
              <w:rPr>
                <w:rFonts w:ascii="Times New Roman"/>
                <w:w w:val="99"/>
                <w:sz w:val="21"/>
              </w:rPr>
              <w:t>/</w:t>
            </w:r>
          </w:p>
        </w:tc>
        <w:tc>
          <w:tcPr>
            <w:tcW w:w="1083" w:type="dxa"/>
          </w:tcPr>
          <w:p>
            <w:pPr>
              <w:pStyle w:val="14"/>
              <w:spacing w:before="75"/>
              <w:ind w:left="308" w:right="301"/>
              <w:rPr>
                <w:rFonts w:ascii="Times New Roman"/>
                <w:sz w:val="21"/>
              </w:rPr>
            </w:pPr>
            <w:r>
              <w:rPr>
                <w:rFonts w:ascii="Times New Roman"/>
                <w:sz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2"/>
              <w:ind w:left="325" w:right="319"/>
              <w:rPr>
                <w:sz w:val="21"/>
              </w:rPr>
            </w:pPr>
            <w:r>
              <w:rPr>
                <w:sz w:val="21"/>
              </w:rPr>
              <w:t>苯并</w:t>
            </w:r>
            <w:r>
              <w:rPr>
                <w:rFonts w:ascii="Times New Roman" w:eastAsia="Times New Roman"/>
                <w:sz w:val="21"/>
              </w:rPr>
              <w:t>[k]</w:t>
            </w:r>
            <w:r>
              <w:rPr>
                <w:sz w:val="21"/>
              </w:rPr>
              <w:t>荧蒽</w:t>
            </w:r>
          </w:p>
        </w:tc>
        <w:tc>
          <w:tcPr>
            <w:tcW w:w="1447" w:type="dxa"/>
          </w:tcPr>
          <w:p>
            <w:pPr>
              <w:pStyle w:val="14"/>
              <w:spacing w:before="76"/>
              <w:ind w:right="447"/>
              <w:jc w:val="right"/>
              <w:rPr>
                <w:rFonts w:ascii="Times New Roman"/>
                <w:sz w:val="21"/>
              </w:rPr>
            </w:pPr>
            <w:r>
              <w:rPr>
                <w:rFonts w:ascii="Times New Roman"/>
                <w:w w:val="95"/>
                <w:sz w:val="21"/>
              </w:rPr>
              <w:t>mg/kg</w:t>
            </w:r>
          </w:p>
        </w:tc>
        <w:tc>
          <w:tcPr>
            <w:tcW w:w="1417" w:type="dxa"/>
          </w:tcPr>
          <w:p>
            <w:pPr>
              <w:pStyle w:val="14"/>
              <w:spacing w:before="78"/>
              <w:ind w:left="470"/>
              <w:jc w:val="left"/>
              <w:rPr>
                <w:rFonts w:ascii="Times New Roman"/>
                <w:sz w:val="21"/>
              </w:rPr>
            </w:pPr>
            <w:bookmarkStart w:id="1120" w:name="&lt;0.11"/>
            <w:bookmarkEnd w:id="1120"/>
            <w:r>
              <w:rPr>
                <w:rFonts w:ascii="Times New Roman"/>
                <w:sz w:val="21"/>
              </w:rPr>
              <w:t>&lt;0.11</w:t>
            </w:r>
          </w:p>
        </w:tc>
        <w:tc>
          <w:tcPr>
            <w:tcW w:w="1417" w:type="dxa"/>
          </w:tcPr>
          <w:p>
            <w:pPr>
              <w:pStyle w:val="14"/>
              <w:spacing w:before="76"/>
              <w:ind w:left="7"/>
              <w:rPr>
                <w:rFonts w:ascii="Times New Roman"/>
                <w:sz w:val="21"/>
              </w:rPr>
            </w:pPr>
            <w:r>
              <w:rPr>
                <w:rFonts w:ascii="Times New Roman"/>
                <w:w w:val="99"/>
                <w:sz w:val="21"/>
              </w:rPr>
              <w:t>/</w:t>
            </w:r>
          </w:p>
        </w:tc>
        <w:tc>
          <w:tcPr>
            <w:tcW w:w="1418" w:type="dxa"/>
          </w:tcPr>
          <w:p>
            <w:pPr>
              <w:pStyle w:val="14"/>
              <w:spacing w:before="76"/>
              <w:ind w:left="9"/>
              <w:rPr>
                <w:rFonts w:ascii="Times New Roman"/>
                <w:sz w:val="21"/>
              </w:rPr>
            </w:pPr>
            <w:r>
              <w:rPr>
                <w:rFonts w:ascii="Times New Roman"/>
                <w:w w:val="99"/>
                <w:sz w:val="21"/>
              </w:rPr>
              <w:t>/</w:t>
            </w:r>
          </w:p>
        </w:tc>
        <w:tc>
          <w:tcPr>
            <w:tcW w:w="1083" w:type="dxa"/>
          </w:tcPr>
          <w:p>
            <w:pPr>
              <w:pStyle w:val="14"/>
              <w:spacing w:before="76"/>
              <w:ind w:left="308" w:right="301"/>
              <w:rPr>
                <w:rFonts w:ascii="Times New Roman"/>
                <w:sz w:val="21"/>
              </w:rPr>
            </w:pPr>
            <w:r>
              <w:rPr>
                <w:rFonts w:ascii="Times New Roman"/>
                <w:sz w:val="21"/>
              </w:rPr>
              <w:t>151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562" w:type="dxa"/>
          </w:tcPr>
          <w:p>
            <w:pPr>
              <w:pStyle w:val="14"/>
              <w:spacing w:before="63"/>
              <w:ind w:left="6"/>
              <w:rPr>
                <w:sz w:val="21"/>
              </w:rPr>
            </w:pPr>
            <w:r>
              <w:rPr>
                <w:w w:val="99"/>
                <w:sz w:val="21"/>
              </w:rPr>
              <w:t>䓛</w:t>
            </w:r>
          </w:p>
        </w:tc>
        <w:tc>
          <w:tcPr>
            <w:tcW w:w="1447" w:type="dxa"/>
          </w:tcPr>
          <w:p>
            <w:pPr>
              <w:pStyle w:val="14"/>
              <w:spacing w:before="77"/>
              <w:ind w:right="447"/>
              <w:jc w:val="right"/>
              <w:rPr>
                <w:rFonts w:ascii="Times New Roman"/>
                <w:sz w:val="21"/>
              </w:rPr>
            </w:pPr>
            <w:r>
              <w:rPr>
                <w:rFonts w:ascii="Times New Roman"/>
                <w:w w:val="95"/>
                <w:sz w:val="21"/>
              </w:rPr>
              <w:t>mg/kg</w:t>
            </w:r>
          </w:p>
        </w:tc>
        <w:tc>
          <w:tcPr>
            <w:tcW w:w="1417" w:type="dxa"/>
          </w:tcPr>
          <w:p>
            <w:pPr>
              <w:pStyle w:val="14"/>
              <w:spacing w:before="79"/>
              <w:ind w:left="465"/>
              <w:jc w:val="left"/>
              <w:rPr>
                <w:rFonts w:ascii="Times New Roman"/>
                <w:sz w:val="21"/>
              </w:rPr>
            </w:pPr>
            <w:bookmarkStart w:id="1121" w:name="&lt;0.14"/>
            <w:bookmarkEnd w:id="1121"/>
            <w:r>
              <w:rPr>
                <w:rFonts w:ascii="Times New Roman"/>
                <w:sz w:val="21"/>
              </w:rPr>
              <w:t>&lt;0.14</w:t>
            </w:r>
          </w:p>
        </w:tc>
        <w:tc>
          <w:tcPr>
            <w:tcW w:w="1417" w:type="dxa"/>
          </w:tcPr>
          <w:p>
            <w:pPr>
              <w:pStyle w:val="14"/>
              <w:spacing w:before="77"/>
              <w:ind w:left="7"/>
              <w:rPr>
                <w:rFonts w:ascii="Times New Roman"/>
                <w:sz w:val="21"/>
              </w:rPr>
            </w:pPr>
            <w:r>
              <w:rPr>
                <w:rFonts w:ascii="Times New Roman"/>
                <w:w w:val="99"/>
                <w:sz w:val="21"/>
              </w:rPr>
              <w:t>/</w:t>
            </w:r>
          </w:p>
        </w:tc>
        <w:tc>
          <w:tcPr>
            <w:tcW w:w="1418" w:type="dxa"/>
          </w:tcPr>
          <w:p>
            <w:pPr>
              <w:pStyle w:val="14"/>
              <w:spacing w:before="77"/>
              <w:ind w:left="9"/>
              <w:rPr>
                <w:rFonts w:ascii="Times New Roman"/>
                <w:sz w:val="21"/>
              </w:rPr>
            </w:pPr>
            <w:r>
              <w:rPr>
                <w:rFonts w:ascii="Times New Roman"/>
                <w:w w:val="99"/>
                <w:sz w:val="21"/>
              </w:rPr>
              <w:t>/</w:t>
            </w:r>
          </w:p>
        </w:tc>
        <w:tc>
          <w:tcPr>
            <w:tcW w:w="1083" w:type="dxa"/>
          </w:tcPr>
          <w:p>
            <w:pPr>
              <w:pStyle w:val="14"/>
              <w:spacing w:before="77"/>
              <w:ind w:left="308" w:right="301"/>
              <w:rPr>
                <w:rFonts w:ascii="Times New Roman"/>
                <w:sz w:val="21"/>
              </w:rPr>
            </w:pPr>
            <w:r>
              <w:rPr>
                <w:rFonts w:ascii="Times New Roman"/>
                <w:sz w:val="21"/>
              </w:rPr>
              <w:t>1293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1"/>
              <w:ind w:left="328" w:right="317"/>
              <w:rPr>
                <w:sz w:val="21"/>
              </w:rPr>
            </w:pPr>
            <w:r>
              <w:rPr>
                <w:sz w:val="21"/>
              </w:rPr>
              <w:t>茚并</w:t>
            </w:r>
            <w:r>
              <w:rPr>
                <w:rFonts w:ascii="Times New Roman" w:eastAsia="Times New Roman"/>
                <w:sz w:val="21"/>
              </w:rPr>
              <w:t>[1,2,3-cd]</w:t>
            </w:r>
            <w:r>
              <w:rPr>
                <w:sz w:val="21"/>
              </w:rPr>
              <w:t>芘</w:t>
            </w:r>
          </w:p>
        </w:tc>
        <w:tc>
          <w:tcPr>
            <w:tcW w:w="1447" w:type="dxa"/>
          </w:tcPr>
          <w:p>
            <w:pPr>
              <w:pStyle w:val="14"/>
              <w:spacing w:before="75"/>
              <w:ind w:right="447"/>
              <w:jc w:val="right"/>
              <w:rPr>
                <w:rFonts w:ascii="Times New Roman"/>
                <w:sz w:val="21"/>
              </w:rPr>
            </w:pPr>
            <w:r>
              <w:rPr>
                <w:rFonts w:ascii="Times New Roman"/>
                <w:w w:val="95"/>
                <w:sz w:val="21"/>
              </w:rPr>
              <w:t>mg/kg</w:t>
            </w:r>
          </w:p>
        </w:tc>
        <w:tc>
          <w:tcPr>
            <w:tcW w:w="1417" w:type="dxa"/>
          </w:tcPr>
          <w:p>
            <w:pPr>
              <w:pStyle w:val="14"/>
              <w:spacing w:before="78"/>
              <w:ind w:left="465"/>
              <w:jc w:val="left"/>
              <w:rPr>
                <w:rFonts w:ascii="Times New Roman"/>
                <w:sz w:val="21"/>
              </w:rPr>
            </w:pPr>
            <w:bookmarkStart w:id="1122" w:name="&lt;0.13"/>
            <w:bookmarkEnd w:id="1122"/>
            <w:r>
              <w:rPr>
                <w:rFonts w:ascii="Times New Roman"/>
                <w:sz w:val="21"/>
              </w:rPr>
              <w:t>&lt;0.13</w:t>
            </w:r>
          </w:p>
        </w:tc>
        <w:tc>
          <w:tcPr>
            <w:tcW w:w="1417" w:type="dxa"/>
          </w:tcPr>
          <w:p>
            <w:pPr>
              <w:pStyle w:val="14"/>
              <w:spacing w:before="75"/>
              <w:ind w:left="7"/>
              <w:rPr>
                <w:rFonts w:ascii="Times New Roman"/>
                <w:sz w:val="21"/>
              </w:rPr>
            </w:pPr>
            <w:r>
              <w:rPr>
                <w:rFonts w:ascii="Times New Roman"/>
                <w:w w:val="99"/>
                <w:sz w:val="21"/>
              </w:rPr>
              <w:t>/</w:t>
            </w:r>
          </w:p>
        </w:tc>
        <w:tc>
          <w:tcPr>
            <w:tcW w:w="1418" w:type="dxa"/>
          </w:tcPr>
          <w:p>
            <w:pPr>
              <w:pStyle w:val="14"/>
              <w:spacing w:before="75"/>
              <w:ind w:left="9"/>
              <w:rPr>
                <w:rFonts w:ascii="Times New Roman"/>
                <w:sz w:val="21"/>
              </w:rPr>
            </w:pPr>
            <w:r>
              <w:rPr>
                <w:rFonts w:ascii="Times New Roman"/>
                <w:w w:val="99"/>
                <w:sz w:val="21"/>
              </w:rPr>
              <w:t>/</w:t>
            </w:r>
          </w:p>
        </w:tc>
        <w:tc>
          <w:tcPr>
            <w:tcW w:w="1083" w:type="dxa"/>
          </w:tcPr>
          <w:p>
            <w:pPr>
              <w:pStyle w:val="14"/>
              <w:spacing w:before="75"/>
              <w:ind w:left="308" w:right="301"/>
              <w:rPr>
                <w:rFonts w:ascii="Times New Roman"/>
                <w:sz w:val="21"/>
              </w:rPr>
            </w:pPr>
            <w:r>
              <w:rPr>
                <w:rFonts w:ascii="Times New Roman"/>
                <w:sz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562" w:type="dxa"/>
          </w:tcPr>
          <w:p>
            <w:pPr>
              <w:pStyle w:val="14"/>
              <w:spacing w:before="63"/>
              <w:ind w:left="328" w:right="319"/>
              <w:rPr>
                <w:sz w:val="21"/>
              </w:rPr>
            </w:pPr>
            <w:r>
              <w:rPr>
                <w:sz w:val="21"/>
              </w:rPr>
              <w:t>二苯并</w:t>
            </w:r>
            <w:r>
              <w:rPr>
                <w:rFonts w:ascii="Times New Roman" w:eastAsia="Times New Roman"/>
                <w:sz w:val="21"/>
              </w:rPr>
              <w:t>[a</w:t>
            </w:r>
            <w:r>
              <w:rPr>
                <w:sz w:val="21"/>
              </w:rPr>
              <w:t>，</w:t>
            </w:r>
            <w:r>
              <w:rPr>
                <w:rFonts w:ascii="Times New Roman" w:eastAsia="Times New Roman"/>
                <w:sz w:val="21"/>
              </w:rPr>
              <w:t>h]</w:t>
            </w:r>
            <w:r>
              <w:rPr>
                <w:sz w:val="21"/>
              </w:rPr>
              <w:t>蒽</w:t>
            </w:r>
          </w:p>
        </w:tc>
        <w:tc>
          <w:tcPr>
            <w:tcW w:w="1447" w:type="dxa"/>
          </w:tcPr>
          <w:p>
            <w:pPr>
              <w:pStyle w:val="14"/>
              <w:spacing w:before="76"/>
              <w:ind w:right="447"/>
              <w:jc w:val="right"/>
              <w:rPr>
                <w:rFonts w:ascii="Times New Roman"/>
                <w:sz w:val="21"/>
              </w:rPr>
            </w:pPr>
            <w:r>
              <w:rPr>
                <w:rFonts w:ascii="Times New Roman"/>
                <w:w w:val="95"/>
                <w:sz w:val="21"/>
              </w:rPr>
              <w:t>mg/kg</w:t>
            </w:r>
          </w:p>
        </w:tc>
        <w:tc>
          <w:tcPr>
            <w:tcW w:w="1417" w:type="dxa"/>
          </w:tcPr>
          <w:p>
            <w:pPr>
              <w:pStyle w:val="14"/>
              <w:spacing w:before="79"/>
              <w:ind w:left="465"/>
              <w:jc w:val="left"/>
              <w:rPr>
                <w:rFonts w:ascii="Times New Roman"/>
                <w:sz w:val="21"/>
              </w:rPr>
            </w:pPr>
            <w:bookmarkStart w:id="1123" w:name="&lt;0.13"/>
            <w:bookmarkEnd w:id="1123"/>
            <w:r>
              <w:rPr>
                <w:rFonts w:ascii="Times New Roman"/>
                <w:sz w:val="21"/>
              </w:rPr>
              <w:t>&lt;0.13</w:t>
            </w:r>
          </w:p>
        </w:tc>
        <w:tc>
          <w:tcPr>
            <w:tcW w:w="1417" w:type="dxa"/>
          </w:tcPr>
          <w:p>
            <w:pPr>
              <w:pStyle w:val="14"/>
              <w:spacing w:before="76"/>
              <w:ind w:left="7"/>
              <w:rPr>
                <w:rFonts w:ascii="Times New Roman"/>
                <w:sz w:val="21"/>
              </w:rPr>
            </w:pPr>
            <w:r>
              <w:rPr>
                <w:rFonts w:ascii="Times New Roman"/>
                <w:w w:val="99"/>
                <w:sz w:val="21"/>
              </w:rPr>
              <w:t>/</w:t>
            </w:r>
          </w:p>
        </w:tc>
        <w:tc>
          <w:tcPr>
            <w:tcW w:w="1418" w:type="dxa"/>
          </w:tcPr>
          <w:p>
            <w:pPr>
              <w:pStyle w:val="14"/>
              <w:spacing w:before="76"/>
              <w:ind w:left="9"/>
              <w:rPr>
                <w:rFonts w:ascii="Times New Roman"/>
                <w:sz w:val="21"/>
              </w:rPr>
            </w:pPr>
            <w:r>
              <w:rPr>
                <w:rFonts w:ascii="Times New Roman"/>
                <w:w w:val="99"/>
                <w:sz w:val="21"/>
              </w:rPr>
              <w:t>/</w:t>
            </w:r>
          </w:p>
        </w:tc>
        <w:tc>
          <w:tcPr>
            <w:tcW w:w="1083" w:type="dxa"/>
          </w:tcPr>
          <w:p>
            <w:pPr>
              <w:pStyle w:val="14"/>
              <w:spacing w:before="76"/>
              <w:ind w:left="308" w:right="301"/>
              <w:rPr>
                <w:rFonts w:ascii="Times New Roman"/>
                <w:sz w:val="21"/>
              </w:rPr>
            </w:pPr>
            <w:r>
              <w:rPr>
                <w:rFonts w:ascii="Times New Roman"/>
                <w:sz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2" w:type="dxa"/>
          </w:tcPr>
          <w:p>
            <w:pPr>
              <w:pStyle w:val="14"/>
              <w:spacing w:before="61"/>
              <w:ind w:left="328" w:right="319"/>
              <w:rPr>
                <w:sz w:val="21"/>
              </w:rPr>
            </w:pPr>
            <w:r>
              <w:rPr>
                <w:sz w:val="21"/>
              </w:rPr>
              <w:t>石油烃（</w:t>
            </w:r>
            <w:r>
              <w:rPr>
                <w:rFonts w:ascii="Times New Roman" w:eastAsia="Times New Roman"/>
                <w:sz w:val="21"/>
              </w:rPr>
              <w:t>C10~C40</w:t>
            </w:r>
            <w:r>
              <w:rPr>
                <w:sz w:val="21"/>
              </w:rPr>
              <w:t>）</w:t>
            </w:r>
          </w:p>
        </w:tc>
        <w:tc>
          <w:tcPr>
            <w:tcW w:w="1447" w:type="dxa"/>
          </w:tcPr>
          <w:p>
            <w:pPr>
              <w:pStyle w:val="14"/>
              <w:spacing w:before="75"/>
              <w:ind w:right="447"/>
              <w:jc w:val="right"/>
              <w:rPr>
                <w:rFonts w:ascii="Times New Roman"/>
                <w:sz w:val="21"/>
              </w:rPr>
            </w:pPr>
            <w:r>
              <w:rPr>
                <w:rFonts w:ascii="Times New Roman"/>
                <w:w w:val="95"/>
                <w:sz w:val="21"/>
              </w:rPr>
              <w:t>mg/kg</w:t>
            </w:r>
          </w:p>
        </w:tc>
        <w:tc>
          <w:tcPr>
            <w:tcW w:w="1417" w:type="dxa"/>
          </w:tcPr>
          <w:p>
            <w:pPr>
              <w:pStyle w:val="14"/>
              <w:spacing w:before="80"/>
              <w:ind w:left="161" w:right="151"/>
              <w:rPr>
                <w:rFonts w:ascii="Times New Roman"/>
                <w:sz w:val="21"/>
              </w:rPr>
            </w:pPr>
            <w:bookmarkStart w:id="1124" w:name="&lt;6"/>
            <w:bookmarkEnd w:id="1124"/>
            <w:r>
              <w:rPr>
                <w:rFonts w:ascii="Times New Roman"/>
                <w:sz w:val="21"/>
              </w:rPr>
              <w:t>&lt;6</w:t>
            </w:r>
          </w:p>
        </w:tc>
        <w:tc>
          <w:tcPr>
            <w:tcW w:w="1417" w:type="dxa"/>
          </w:tcPr>
          <w:p>
            <w:pPr>
              <w:pStyle w:val="14"/>
              <w:spacing w:before="80"/>
              <w:ind w:left="161" w:right="153"/>
              <w:rPr>
                <w:rFonts w:ascii="Times New Roman"/>
                <w:sz w:val="21"/>
              </w:rPr>
            </w:pPr>
            <w:bookmarkStart w:id="1125" w:name="&lt;6"/>
            <w:bookmarkEnd w:id="1125"/>
            <w:r>
              <w:rPr>
                <w:rFonts w:ascii="Times New Roman"/>
                <w:sz w:val="21"/>
              </w:rPr>
              <w:t>&lt;6</w:t>
            </w:r>
          </w:p>
        </w:tc>
        <w:tc>
          <w:tcPr>
            <w:tcW w:w="1418" w:type="dxa"/>
          </w:tcPr>
          <w:p>
            <w:pPr>
              <w:pStyle w:val="14"/>
              <w:spacing w:before="80"/>
              <w:ind w:left="162" w:right="154"/>
              <w:rPr>
                <w:rFonts w:ascii="Times New Roman"/>
                <w:sz w:val="21"/>
              </w:rPr>
            </w:pPr>
            <w:bookmarkStart w:id="1126" w:name="&lt;6"/>
            <w:bookmarkEnd w:id="1126"/>
            <w:r>
              <w:rPr>
                <w:rFonts w:ascii="Times New Roman"/>
                <w:sz w:val="21"/>
              </w:rPr>
              <w:t>&lt;6</w:t>
            </w:r>
          </w:p>
        </w:tc>
        <w:tc>
          <w:tcPr>
            <w:tcW w:w="1083" w:type="dxa"/>
          </w:tcPr>
          <w:p>
            <w:pPr>
              <w:pStyle w:val="14"/>
              <w:spacing w:before="75"/>
              <w:ind w:left="308" w:right="301"/>
              <w:rPr>
                <w:rFonts w:ascii="Times New Roman"/>
                <w:sz w:val="21"/>
              </w:rPr>
            </w:pPr>
            <w:r>
              <w:rPr>
                <w:rFonts w:ascii="Times New Roman"/>
                <w:sz w:val="21"/>
              </w:rPr>
              <w:t>4500</w:t>
            </w:r>
          </w:p>
        </w:tc>
      </w:tr>
    </w:tbl>
    <w:p>
      <w:pPr>
        <w:spacing w:after="0"/>
        <w:rPr>
          <w:rFonts w:ascii="Times New Roman"/>
          <w:sz w:val="21"/>
        </w:rPr>
        <w:sectPr>
          <w:pgSz w:w="11910" w:h="16840"/>
          <w:pgMar w:top="1580" w:right="780" w:bottom="1240" w:left="1200" w:header="0" w:footer="1058" w:gutter="0"/>
        </w:sectPr>
      </w:pPr>
    </w:p>
    <w:p>
      <w:pPr>
        <w:spacing w:before="5"/>
        <w:ind w:left="215" w:right="0" w:firstLine="0"/>
        <w:jc w:val="left"/>
        <w:rPr>
          <w:b/>
          <w:sz w:val="18"/>
        </w:rPr>
      </w:pPr>
      <w:r>
        <w:rPr>
          <w:b/>
          <w:sz w:val="18"/>
        </w:rPr>
        <w:t>注：</w:t>
      </w:r>
      <w:r>
        <w:rPr>
          <w:rFonts w:ascii="Times New Roman" w:hAnsi="Times New Roman" w:eastAsia="Times New Roman"/>
          <w:b/>
          <w:sz w:val="18"/>
        </w:rPr>
        <w:t>“</w:t>
      </w:r>
      <w:r>
        <w:rPr>
          <w:rFonts w:ascii="Times New Roman" w:hAnsi="Times New Roman" w:eastAsia="Times New Roman"/>
          <w:sz w:val="18"/>
        </w:rPr>
        <w:t>&lt;</w:t>
      </w:r>
      <w:r>
        <w:rPr>
          <w:rFonts w:ascii="Times New Roman" w:hAnsi="Times New Roman" w:eastAsia="Times New Roman"/>
          <w:b/>
          <w:sz w:val="18"/>
        </w:rPr>
        <w:t>”</w:t>
      </w:r>
      <w:r>
        <w:rPr>
          <w:b/>
          <w:sz w:val="18"/>
        </w:rPr>
        <w:t>代表低于检出限</w:t>
      </w:r>
    </w:p>
    <w:p>
      <w:pPr>
        <w:pStyle w:val="6"/>
        <w:spacing w:before="9"/>
        <w:rPr>
          <w:b/>
          <w:sz w:val="27"/>
        </w:rPr>
      </w:pPr>
      <w:r>
        <w:br w:type="column"/>
      </w:r>
    </w:p>
    <w:p>
      <w:pPr>
        <w:pStyle w:val="5"/>
        <w:tabs>
          <w:tab w:val="left" w:pos="1363"/>
        </w:tabs>
        <w:spacing w:before="1"/>
        <w:ind w:left="215"/>
      </w:pPr>
      <w:r>
        <w:t>表</w:t>
      </w:r>
      <w:r>
        <w:rPr>
          <w:spacing w:val="-61"/>
        </w:rPr>
        <w:t xml:space="preserve"> </w:t>
      </w:r>
      <w:r>
        <w:rPr>
          <w:rFonts w:ascii="Times New Roman" w:eastAsia="Times New Roman"/>
          <w:spacing w:val="-3"/>
        </w:rPr>
        <w:t>11.3-8</w:t>
      </w:r>
      <w:r>
        <w:rPr>
          <w:rFonts w:ascii="Times New Roman" w:eastAsia="Times New Roman"/>
          <w:spacing w:val="-3"/>
        </w:rPr>
        <w:tab/>
      </w:r>
      <w:r>
        <w:t>土壤环境质量评价结果</w:t>
      </w:r>
    </w:p>
    <w:p>
      <w:pPr>
        <w:spacing w:after="0"/>
        <w:sectPr>
          <w:type w:val="continuous"/>
          <w:pgSz w:w="11910" w:h="16840"/>
          <w:pgMar w:top="1580" w:right="780" w:bottom="280" w:left="1200" w:header="720" w:footer="720" w:gutter="0"/>
          <w:cols w:equalWidth="0" w:num="2">
            <w:col w:w="2164" w:space="627"/>
            <w:col w:w="7139"/>
          </w:cols>
        </w:sectPr>
      </w:pP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56"/>
        <w:gridCol w:w="1367"/>
        <w:gridCol w:w="1579"/>
        <w:gridCol w:w="1579"/>
        <w:gridCol w:w="1580"/>
        <w:gridCol w:w="10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156" w:type="dxa"/>
            <w:vMerge w:val="restart"/>
          </w:tcPr>
          <w:p>
            <w:pPr>
              <w:pStyle w:val="14"/>
              <w:spacing w:before="6"/>
              <w:jc w:val="left"/>
              <w:rPr>
                <w:b/>
                <w:sz w:val="26"/>
              </w:rPr>
            </w:pPr>
          </w:p>
          <w:p>
            <w:pPr>
              <w:pStyle w:val="14"/>
              <w:ind w:left="694"/>
              <w:jc w:val="left"/>
              <w:rPr>
                <w:sz w:val="21"/>
              </w:rPr>
            </w:pPr>
            <w:bookmarkStart w:id="1127" w:name="检测项目"/>
            <w:bookmarkEnd w:id="1127"/>
            <w:r>
              <w:rPr>
                <w:sz w:val="21"/>
              </w:rPr>
              <w:t>检测项目</w:t>
            </w:r>
          </w:p>
        </w:tc>
        <w:tc>
          <w:tcPr>
            <w:tcW w:w="1367" w:type="dxa"/>
            <w:vMerge w:val="restart"/>
          </w:tcPr>
          <w:p>
            <w:pPr>
              <w:pStyle w:val="14"/>
              <w:spacing w:before="6"/>
              <w:jc w:val="left"/>
              <w:rPr>
                <w:b/>
                <w:sz w:val="26"/>
              </w:rPr>
            </w:pPr>
          </w:p>
          <w:p>
            <w:pPr>
              <w:pStyle w:val="14"/>
              <w:ind w:left="452" w:right="445"/>
              <w:rPr>
                <w:sz w:val="21"/>
              </w:rPr>
            </w:pPr>
            <w:r>
              <w:rPr>
                <w:sz w:val="21"/>
              </w:rPr>
              <w:t>单位</w:t>
            </w:r>
          </w:p>
        </w:tc>
        <w:tc>
          <w:tcPr>
            <w:tcW w:w="4738" w:type="dxa"/>
            <w:gridSpan w:val="3"/>
          </w:tcPr>
          <w:p>
            <w:pPr>
              <w:pStyle w:val="14"/>
              <w:spacing w:before="63"/>
              <w:ind w:left="1735" w:right="1728"/>
              <w:rPr>
                <w:sz w:val="21"/>
              </w:rPr>
            </w:pPr>
            <w:r>
              <w:rPr>
                <w:sz w:val="21"/>
              </w:rPr>
              <w:t>占标率（</w:t>
            </w:r>
            <w:r>
              <w:rPr>
                <w:rFonts w:ascii="Times New Roman" w:eastAsia="Times New Roman"/>
                <w:sz w:val="21"/>
              </w:rPr>
              <w:t>%</w:t>
            </w:r>
            <w:r>
              <w:rPr>
                <w:sz w:val="21"/>
              </w:rPr>
              <w:t>）</w:t>
            </w:r>
          </w:p>
        </w:tc>
        <w:tc>
          <w:tcPr>
            <w:tcW w:w="1083" w:type="dxa"/>
            <w:vMerge w:val="restart"/>
          </w:tcPr>
          <w:p>
            <w:pPr>
              <w:pStyle w:val="14"/>
              <w:spacing w:before="6"/>
              <w:jc w:val="left"/>
              <w:rPr>
                <w:b/>
                <w:sz w:val="26"/>
              </w:rPr>
            </w:pPr>
          </w:p>
          <w:p>
            <w:pPr>
              <w:pStyle w:val="14"/>
              <w:ind w:left="120"/>
              <w:jc w:val="left"/>
              <w:rPr>
                <w:sz w:val="21"/>
              </w:rPr>
            </w:pPr>
            <w:r>
              <w:rPr>
                <w:sz w:val="21"/>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156" w:type="dxa"/>
            <w:vMerge w:val="continue"/>
            <w:tcBorders>
              <w:top w:val="nil"/>
            </w:tcBorders>
          </w:tcPr>
          <w:p>
            <w:pPr>
              <w:rPr>
                <w:sz w:val="2"/>
                <w:szCs w:val="2"/>
              </w:rPr>
            </w:pPr>
          </w:p>
        </w:tc>
        <w:tc>
          <w:tcPr>
            <w:tcW w:w="1367" w:type="dxa"/>
            <w:vMerge w:val="continue"/>
            <w:tcBorders>
              <w:top w:val="nil"/>
            </w:tcBorders>
          </w:tcPr>
          <w:p>
            <w:pPr>
              <w:rPr>
                <w:sz w:val="2"/>
                <w:szCs w:val="2"/>
              </w:rPr>
            </w:pPr>
          </w:p>
        </w:tc>
        <w:tc>
          <w:tcPr>
            <w:tcW w:w="1579" w:type="dxa"/>
          </w:tcPr>
          <w:p>
            <w:pPr>
              <w:pStyle w:val="14"/>
              <w:spacing w:before="1" w:line="270" w:lineRule="atLeast"/>
              <w:ind w:left="606" w:right="149" w:hanging="447"/>
              <w:jc w:val="left"/>
              <w:rPr>
                <w:rFonts w:ascii="Times New Roman" w:eastAsia="Times New Roman"/>
                <w:sz w:val="21"/>
              </w:rPr>
            </w:pPr>
            <w:r>
              <w:rPr>
                <w:sz w:val="21"/>
              </w:rPr>
              <w:t xml:space="preserve">工业场地表层样 </w:t>
            </w:r>
            <w:r>
              <w:rPr>
                <w:rFonts w:ascii="Times New Roman" w:eastAsia="Times New Roman"/>
                <w:sz w:val="21"/>
              </w:rPr>
              <w:t>1</w:t>
            </w:r>
          </w:p>
        </w:tc>
        <w:tc>
          <w:tcPr>
            <w:tcW w:w="1579" w:type="dxa"/>
          </w:tcPr>
          <w:p>
            <w:pPr>
              <w:pStyle w:val="14"/>
              <w:spacing w:before="1" w:line="270" w:lineRule="atLeast"/>
              <w:ind w:left="606" w:right="151" w:hanging="449"/>
              <w:jc w:val="left"/>
              <w:rPr>
                <w:rFonts w:ascii="Times New Roman" w:eastAsia="Times New Roman"/>
                <w:sz w:val="21"/>
              </w:rPr>
            </w:pPr>
            <w:r>
              <w:rPr>
                <w:sz w:val="21"/>
              </w:rPr>
              <w:t xml:space="preserve">工业场地表层样 </w:t>
            </w:r>
            <w:r>
              <w:rPr>
                <w:rFonts w:ascii="Times New Roman" w:eastAsia="Times New Roman"/>
                <w:sz w:val="21"/>
              </w:rPr>
              <w:t>2</w:t>
            </w:r>
          </w:p>
        </w:tc>
        <w:tc>
          <w:tcPr>
            <w:tcW w:w="1580" w:type="dxa"/>
          </w:tcPr>
          <w:p>
            <w:pPr>
              <w:pStyle w:val="14"/>
              <w:spacing w:before="1" w:line="270" w:lineRule="atLeast"/>
              <w:ind w:left="606" w:right="150" w:hanging="447"/>
              <w:jc w:val="left"/>
              <w:rPr>
                <w:rFonts w:ascii="Times New Roman" w:eastAsia="Times New Roman"/>
                <w:sz w:val="21"/>
              </w:rPr>
            </w:pPr>
            <w:r>
              <w:rPr>
                <w:sz w:val="21"/>
              </w:rPr>
              <w:t xml:space="preserve">工业场地表层样 </w:t>
            </w:r>
            <w:r>
              <w:rPr>
                <w:rFonts w:ascii="Times New Roman" w:eastAsia="Times New Roman"/>
                <w:sz w:val="21"/>
              </w:rPr>
              <w:t>3</w:t>
            </w:r>
          </w:p>
        </w:tc>
        <w:tc>
          <w:tcPr>
            <w:tcW w:w="108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4"/>
              <w:ind w:left="9"/>
              <w:rPr>
                <w:sz w:val="21"/>
              </w:rPr>
            </w:pPr>
            <w:r>
              <w:rPr>
                <w:w w:val="99"/>
                <w:sz w:val="21"/>
              </w:rPr>
              <w:t>砷</w:t>
            </w:r>
          </w:p>
        </w:tc>
        <w:tc>
          <w:tcPr>
            <w:tcW w:w="1367" w:type="dxa"/>
          </w:tcPr>
          <w:p>
            <w:pPr>
              <w:pStyle w:val="14"/>
              <w:spacing w:before="77"/>
              <w:ind w:right="405"/>
              <w:jc w:val="right"/>
              <w:rPr>
                <w:rFonts w:ascii="Times New Roman"/>
                <w:sz w:val="21"/>
              </w:rPr>
            </w:pPr>
            <w:r>
              <w:rPr>
                <w:rFonts w:ascii="Times New Roman"/>
                <w:sz w:val="21"/>
              </w:rPr>
              <w:t>mg/kg</w:t>
            </w:r>
          </w:p>
        </w:tc>
        <w:tc>
          <w:tcPr>
            <w:tcW w:w="1579" w:type="dxa"/>
          </w:tcPr>
          <w:p>
            <w:pPr>
              <w:pStyle w:val="14"/>
              <w:spacing w:before="77"/>
              <w:ind w:left="453" w:right="444"/>
              <w:rPr>
                <w:rFonts w:ascii="Times New Roman"/>
                <w:sz w:val="21"/>
              </w:rPr>
            </w:pPr>
            <w:r>
              <w:rPr>
                <w:rFonts w:ascii="Times New Roman"/>
                <w:sz w:val="21"/>
              </w:rPr>
              <w:t>0.132</w:t>
            </w:r>
          </w:p>
        </w:tc>
        <w:tc>
          <w:tcPr>
            <w:tcW w:w="1579" w:type="dxa"/>
          </w:tcPr>
          <w:p>
            <w:pPr>
              <w:pStyle w:val="14"/>
              <w:spacing w:before="77"/>
              <w:ind w:left="453" w:right="444"/>
              <w:rPr>
                <w:rFonts w:ascii="Times New Roman"/>
                <w:sz w:val="21"/>
              </w:rPr>
            </w:pPr>
            <w:r>
              <w:rPr>
                <w:rFonts w:ascii="Times New Roman"/>
                <w:sz w:val="21"/>
              </w:rPr>
              <w:t>0.123</w:t>
            </w:r>
          </w:p>
        </w:tc>
        <w:tc>
          <w:tcPr>
            <w:tcW w:w="1580" w:type="dxa"/>
          </w:tcPr>
          <w:p>
            <w:pPr>
              <w:pStyle w:val="14"/>
              <w:spacing w:before="77"/>
              <w:ind w:left="137" w:right="126"/>
              <w:rPr>
                <w:rFonts w:ascii="Times New Roman"/>
                <w:sz w:val="21"/>
              </w:rPr>
            </w:pPr>
            <w:r>
              <w:rPr>
                <w:rFonts w:ascii="Times New Roman"/>
                <w:sz w:val="21"/>
              </w:rPr>
              <w:t>0.134</w:t>
            </w:r>
          </w:p>
        </w:tc>
        <w:tc>
          <w:tcPr>
            <w:tcW w:w="1083" w:type="dxa"/>
          </w:tcPr>
          <w:p>
            <w:pPr>
              <w:pStyle w:val="14"/>
              <w:spacing w:before="64"/>
              <w:ind w:left="307" w:right="30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156" w:type="dxa"/>
          </w:tcPr>
          <w:p>
            <w:pPr>
              <w:pStyle w:val="14"/>
              <w:spacing w:before="62"/>
              <w:ind w:left="9"/>
              <w:rPr>
                <w:sz w:val="21"/>
              </w:rPr>
            </w:pPr>
            <w:r>
              <w:rPr>
                <w:w w:val="99"/>
                <w:sz w:val="21"/>
              </w:rPr>
              <w:t>镉</w:t>
            </w:r>
          </w:p>
        </w:tc>
        <w:tc>
          <w:tcPr>
            <w:tcW w:w="1367" w:type="dxa"/>
          </w:tcPr>
          <w:p>
            <w:pPr>
              <w:pStyle w:val="14"/>
              <w:spacing w:before="76"/>
              <w:ind w:right="405"/>
              <w:jc w:val="right"/>
              <w:rPr>
                <w:rFonts w:ascii="Times New Roman"/>
                <w:sz w:val="21"/>
              </w:rPr>
            </w:pPr>
            <w:r>
              <w:rPr>
                <w:rFonts w:ascii="Times New Roman"/>
                <w:sz w:val="21"/>
              </w:rPr>
              <w:t>mg/kg</w:t>
            </w:r>
          </w:p>
        </w:tc>
        <w:tc>
          <w:tcPr>
            <w:tcW w:w="1579" w:type="dxa"/>
          </w:tcPr>
          <w:p>
            <w:pPr>
              <w:pStyle w:val="14"/>
              <w:spacing w:before="76"/>
              <w:ind w:left="453" w:right="444"/>
              <w:rPr>
                <w:rFonts w:ascii="Times New Roman"/>
                <w:sz w:val="21"/>
              </w:rPr>
            </w:pPr>
            <w:r>
              <w:rPr>
                <w:rFonts w:ascii="Times New Roman"/>
                <w:sz w:val="21"/>
              </w:rPr>
              <w:t>0.011</w:t>
            </w:r>
          </w:p>
        </w:tc>
        <w:tc>
          <w:tcPr>
            <w:tcW w:w="1579" w:type="dxa"/>
          </w:tcPr>
          <w:p>
            <w:pPr>
              <w:pStyle w:val="14"/>
              <w:spacing w:before="76"/>
              <w:ind w:left="453" w:right="444"/>
              <w:rPr>
                <w:rFonts w:ascii="Times New Roman"/>
                <w:sz w:val="21"/>
              </w:rPr>
            </w:pPr>
            <w:r>
              <w:rPr>
                <w:rFonts w:ascii="Times New Roman"/>
                <w:sz w:val="21"/>
              </w:rPr>
              <w:t>0.002</w:t>
            </w:r>
          </w:p>
        </w:tc>
        <w:tc>
          <w:tcPr>
            <w:tcW w:w="1580" w:type="dxa"/>
          </w:tcPr>
          <w:p>
            <w:pPr>
              <w:pStyle w:val="14"/>
              <w:spacing w:before="76"/>
              <w:ind w:left="137" w:right="126"/>
              <w:rPr>
                <w:rFonts w:ascii="Times New Roman"/>
                <w:sz w:val="21"/>
              </w:rPr>
            </w:pPr>
            <w:r>
              <w:rPr>
                <w:rFonts w:ascii="Times New Roman"/>
                <w:sz w:val="21"/>
              </w:rPr>
              <w:t>0.002</w:t>
            </w:r>
          </w:p>
        </w:tc>
        <w:tc>
          <w:tcPr>
            <w:tcW w:w="1083" w:type="dxa"/>
          </w:tcPr>
          <w:p>
            <w:pPr>
              <w:pStyle w:val="14"/>
              <w:spacing w:before="62"/>
              <w:ind w:left="307" w:right="30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2156" w:type="dxa"/>
          </w:tcPr>
          <w:p>
            <w:pPr>
              <w:pStyle w:val="14"/>
              <w:spacing w:before="63"/>
              <w:ind w:left="156" w:right="150"/>
              <w:rPr>
                <w:sz w:val="21"/>
              </w:rPr>
            </w:pPr>
            <w:r>
              <w:rPr>
                <w:sz w:val="21"/>
              </w:rPr>
              <w:t>六价铬</w:t>
            </w:r>
          </w:p>
        </w:tc>
        <w:tc>
          <w:tcPr>
            <w:tcW w:w="1367" w:type="dxa"/>
          </w:tcPr>
          <w:p>
            <w:pPr>
              <w:pStyle w:val="14"/>
              <w:spacing w:before="77"/>
              <w:ind w:right="405"/>
              <w:jc w:val="right"/>
              <w:rPr>
                <w:rFonts w:ascii="Times New Roman"/>
                <w:sz w:val="21"/>
              </w:rPr>
            </w:pPr>
            <w:r>
              <w:rPr>
                <w:rFonts w:ascii="Times New Roman"/>
                <w:sz w:val="21"/>
              </w:rPr>
              <w:t>mg/kg</w:t>
            </w:r>
          </w:p>
        </w:tc>
        <w:tc>
          <w:tcPr>
            <w:tcW w:w="1579" w:type="dxa"/>
          </w:tcPr>
          <w:p>
            <w:pPr>
              <w:pStyle w:val="14"/>
              <w:spacing w:before="63"/>
              <w:ind w:left="453" w:right="445"/>
              <w:rPr>
                <w:sz w:val="21"/>
              </w:rPr>
            </w:pPr>
            <w:r>
              <w:rPr>
                <w:sz w:val="21"/>
              </w:rPr>
              <w:t>未检出</w:t>
            </w:r>
          </w:p>
        </w:tc>
        <w:tc>
          <w:tcPr>
            <w:tcW w:w="1579" w:type="dxa"/>
          </w:tcPr>
          <w:p>
            <w:pPr>
              <w:pStyle w:val="14"/>
              <w:spacing w:before="77"/>
              <w:ind w:left="453" w:right="444"/>
              <w:rPr>
                <w:rFonts w:ascii="Times New Roman"/>
                <w:sz w:val="21"/>
              </w:rPr>
            </w:pPr>
            <w:r>
              <w:rPr>
                <w:rFonts w:ascii="Times New Roman"/>
                <w:sz w:val="21"/>
              </w:rPr>
              <w:t>0.414</w:t>
            </w:r>
          </w:p>
        </w:tc>
        <w:tc>
          <w:tcPr>
            <w:tcW w:w="1580" w:type="dxa"/>
          </w:tcPr>
          <w:p>
            <w:pPr>
              <w:pStyle w:val="14"/>
              <w:spacing w:before="63"/>
              <w:ind w:left="137" w:right="129"/>
              <w:rPr>
                <w:sz w:val="21"/>
              </w:rPr>
            </w:pPr>
            <w:r>
              <w:rPr>
                <w:sz w:val="21"/>
              </w:rPr>
              <w:t>未检出</w:t>
            </w:r>
          </w:p>
        </w:tc>
        <w:tc>
          <w:tcPr>
            <w:tcW w:w="1083" w:type="dxa"/>
          </w:tcPr>
          <w:p>
            <w:pPr>
              <w:pStyle w:val="14"/>
              <w:spacing w:before="63"/>
              <w:ind w:left="307" w:right="30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2"/>
              <w:ind w:left="9"/>
              <w:rPr>
                <w:sz w:val="21"/>
              </w:rPr>
            </w:pPr>
            <w:r>
              <w:rPr>
                <w:w w:val="99"/>
                <w:sz w:val="21"/>
              </w:rPr>
              <w:t>铜</w:t>
            </w:r>
          </w:p>
        </w:tc>
        <w:tc>
          <w:tcPr>
            <w:tcW w:w="1367" w:type="dxa"/>
          </w:tcPr>
          <w:p>
            <w:pPr>
              <w:pStyle w:val="14"/>
              <w:spacing w:before="76"/>
              <w:ind w:right="405"/>
              <w:jc w:val="right"/>
              <w:rPr>
                <w:rFonts w:ascii="Times New Roman"/>
                <w:sz w:val="21"/>
              </w:rPr>
            </w:pPr>
            <w:r>
              <w:rPr>
                <w:rFonts w:ascii="Times New Roman"/>
                <w:sz w:val="21"/>
              </w:rPr>
              <w:t>mg/kg</w:t>
            </w:r>
          </w:p>
        </w:tc>
        <w:tc>
          <w:tcPr>
            <w:tcW w:w="1579" w:type="dxa"/>
          </w:tcPr>
          <w:p>
            <w:pPr>
              <w:pStyle w:val="14"/>
              <w:spacing w:before="76"/>
              <w:ind w:left="453" w:right="444"/>
              <w:rPr>
                <w:rFonts w:ascii="Times New Roman"/>
                <w:sz w:val="21"/>
              </w:rPr>
            </w:pPr>
            <w:r>
              <w:rPr>
                <w:rFonts w:ascii="Times New Roman"/>
                <w:sz w:val="21"/>
              </w:rPr>
              <w:t>0.003</w:t>
            </w:r>
          </w:p>
        </w:tc>
        <w:tc>
          <w:tcPr>
            <w:tcW w:w="1579" w:type="dxa"/>
          </w:tcPr>
          <w:p>
            <w:pPr>
              <w:pStyle w:val="14"/>
              <w:spacing w:before="76"/>
              <w:ind w:left="9"/>
              <w:rPr>
                <w:rFonts w:ascii="Times New Roman"/>
                <w:sz w:val="21"/>
              </w:rPr>
            </w:pPr>
            <w:r>
              <w:rPr>
                <w:rFonts w:ascii="Times New Roman"/>
                <w:w w:val="99"/>
                <w:sz w:val="21"/>
              </w:rPr>
              <w:t>/</w:t>
            </w:r>
          </w:p>
        </w:tc>
        <w:tc>
          <w:tcPr>
            <w:tcW w:w="1580" w:type="dxa"/>
          </w:tcPr>
          <w:p>
            <w:pPr>
              <w:pStyle w:val="14"/>
              <w:spacing w:before="76"/>
              <w:ind w:left="8"/>
              <w:rPr>
                <w:rFonts w:ascii="Times New Roman"/>
                <w:sz w:val="21"/>
              </w:rPr>
            </w:pPr>
            <w:r>
              <w:rPr>
                <w:rFonts w:ascii="Times New Roman"/>
                <w:w w:val="99"/>
                <w:sz w:val="21"/>
              </w:rPr>
              <w:t>/</w:t>
            </w:r>
          </w:p>
        </w:tc>
        <w:tc>
          <w:tcPr>
            <w:tcW w:w="1083" w:type="dxa"/>
          </w:tcPr>
          <w:p>
            <w:pPr>
              <w:pStyle w:val="14"/>
              <w:spacing w:before="62"/>
              <w:ind w:left="307" w:right="30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3"/>
              <w:ind w:left="9"/>
              <w:rPr>
                <w:sz w:val="21"/>
              </w:rPr>
            </w:pPr>
            <w:r>
              <w:rPr>
                <w:w w:val="99"/>
                <w:sz w:val="21"/>
              </w:rPr>
              <w:t>铅</w:t>
            </w:r>
          </w:p>
        </w:tc>
        <w:tc>
          <w:tcPr>
            <w:tcW w:w="1367" w:type="dxa"/>
          </w:tcPr>
          <w:p>
            <w:pPr>
              <w:pStyle w:val="14"/>
              <w:spacing w:before="77"/>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77"/>
              <w:ind w:left="453" w:right="444"/>
              <w:rPr>
                <w:rFonts w:ascii="Times New Roman"/>
                <w:sz w:val="21"/>
              </w:rPr>
            </w:pPr>
            <w:r>
              <w:rPr>
                <w:rFonts w:ascii="Times New Roman"/>
                <w:sz w:val="21"/>
              </w:rPr>
              <w:t>0.068</w:t>
            </w:r>
          </w:p>
        </w:tc>
        <w:tc>
          <w:tcPr>
            <w:tcW w:w="1579" w:type="dxa"/>
          </w:tcPr>
          <w:p>
            <w:pPr>
              <w:pStyle w:val="14"/>
              <w:spacing w:before="77"/>
              <w:ind w:left="453" w:right="444"/>
              <w:rPr>
                <w:rFonts w:ascii="Times New Roman"/>
                <w:sz w:val="21"/>
              </w:rPr>
            </w:pPr>
            <w:r>
              <w:rPr>
                <w:rFonts w:ascii="Times New Roman"/>
                <w:sz w:val="21"/>
              </w:rPr>
              <w:t>0.040</w:t>
            </w:r>
          </w:p>
        </w:tc>
        <w:tc>
          <w:tcPr>
            <w:tcW w:w="1580" w:type="dxa"/>
          </w:tcPr>
          <w:p>
            <w:pPr>
              <w:pStyle w:val="14"/>
              <w:spacing w:before="77"/>
              <w:ind w:left="137" w:right="126"/>
              <w:rPr>
                <w:rFonts w:ascii="Times New Roman"/>
                <w:sz w:val="21"/>
              </w:rPr>
            </w:pPr>
            <w:r>
              <w:rPr>
                <w:rFonts w:ascii="Times New Roman"/>
                <w:sz w:val="21"/>
              </w:rPr>
              <w:t>0.040</w:t>
            </w:r>
          </w:p>
        </w:tc>
        <w:tc>
          <w:tcPr>
            <w:tcW w:w="1083" w:type="dxa"/>
          </w:tcPr>
          <w:p>
            <w:pPr>
              <w:pStyle w:val="14"/>
              <w:spacing w:before="63"/>
              <w:ind w:left="307" w:right="30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156" w:type="dxa"/>
          </w:tcPr>
          <w:p>
            <w:pPr>
              <w:pStyle w:val="14"/>
              <w:spacing w:before="62"/>
              <w:ind w:left="9"/>
              <w:rPr>
                <w:sz w:val="21"/>
              </w:rPr>
            </w:pPr>
            <w:r>
              <w:rPr>
                <w:w w:val="99"/>
                <w:sz w:val="21"/>
              </w:rPr>
              <w:t>汞</w:t>
            </w:r>
          </w:p>
        </w:tc>
        <w:tc>
          <w:tcPr>
            <w:tcW w:w="1367" w:type="dxa"/>
          </w:tcPr>
          <w:p>
            <w:pPr>
              <w:pStyle w:val="14"/>
              <w:spacing w:before="76"/>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76"/>
              <w:ind w:left="453" w:right="444"/>
              <w:rPr>
                <w:rFonts w:ascii="Times New Roman"/>
                <w:sz w:val="21"/>
              </w:rPr>
            </w:pPr>
            <w:r>
              <w:rPr>
                <w:rFonts w:ascii="Times New Roman"/>
                <w:sz w:val="21"/>
              </w:rPr>
              <w:t>0.003</w:t>
            </w:r>
          </w:p>
        </w:tc>
        <w:tc>
          <w:tcPr>
            <w:tcW w:w="1579" w:type="dxa"/>
          </w:tcPr>
          <w:p>
            <w:pPr>
              <w:pStyle w:val="14"/>
              <w:spacing w:before="76"/>
              <w:ind w:left="453" w:right="444"/>
              <w:rPr>
                <w:rFonts w:ascii="Times New Roman"/>
                <w:sz w:val="21"/>
              </w:rPr>
            </w:pPr>
            <w:r>
              <w:rPr>
                <w:rFonts w:ascii="Times New Roman"/>
                <w:sz w:val="21"/>
              </w:rPr>
              <w:t>0.003</w:t>
            </w:r>
          </w:p>
        </w:tc>
        <w:tc>
          <w:tcPr>
            <w:tcW w:w="1580" w:type="dxa"/>
          </w:tcPr>
          <w:p>
            <w:pPr>
              <w:pStyle w:val="14"/>
              <w:spacing w:before="76"/>
              <w:ind w:left="137" w:right="126"/>
              <w:rPr>
                <w:rFonts w:ascii="Times New Roman"/>
                <w:sz w:val="21"/>
              </w:rPr>
            </w:pPr>
            <w:r>
              <w:rPr>
                <w:rFonts w:ascii="Times New Roman"/>
                <w:sz w:val="21"/>
              </w:rPr>
              <w:t>0.003</w:t>
            </w:r>
          </w:p>
        </w:tc>
        <w:tc>
          <w:tcPr>
            <w:tcW w:w="1083" w:type="dxa"/>
          </w:tcPr>
          <w:p>
            <w:pPr>
              <w:pStyle w:val="14"/>
              <w:spacing w:before="62"/>
              <w:ind w:left="307" w:right="30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3"/>
              <w:ind w:left="9"/>
              <w:rPr>
                <w:sz w:val="21"/>
              </w:rPr>
            </w:pPr>
            <w:r>
              <w:rPr>
                <w:w w:val="99"/>
                <w:sz w:val="21"/>
              </w:rPr>
              <w:t>镍</w:t>
            </w:r>
          </w:p>
        </w:tc>
        <w:tc>
          <w:tcPr>
            <w:tcW w:w="1367" w:type="dxa"/>
          </w:tcPr>
          <w:p>
            <w:pPr>
              <w:pStyle w:val="14"/>
              <w:spacing w:before="77"/>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77"/>
              <w:ind w:left="453" w:right="444"/>
              <w:rPr>
                <w:rFonts w:ascii="Times New Roman"/>
                <w:sz w:val="21"/>
              </w:rPr>
            </w:pPr>
            <w:r>
              <w:rPr>
                <w:rFonts w:ascii="Times New Roman"/>
                <w:sz w:val="21"/>
              </w:rPr>
              <w:t>0.062</w:t>
            </w:r>
          </w:p>
        </w:tc>
        <w:tc>
          <w:tcPr>
            <w:tcW w:w="1579" w:type="dxa"/>
          </w:tcPr>
          <w:p>
            <w:pPr>
              <w:pStyle w:val="14"/>
              <w:spacing w:before="77"/>
              <w:ind w:left="9"/>
              <w:rPr>
                <w:rFonts w:ascii="Times New Roman"/>
                <w:sz w:val="21"/>
              </w:rPr>
            </w:pPr>
            <w:r>
              <w:rPr>
                <w:rFonts w:ascii="Times New Roman"/>
                <w:w w:val="99"/>
                <w:sz w:val="21"/>
              </w:rPr>
              <w:t>/</w:t>
            </w:r>
          </w:p>
        </w:tc>
        <w:tc>
          <w:tcPr>
            <w:tcW w:w="1580" w:type="dxa"/>
          </w:tcPr>
          <w:p>
            <w:pPr>
              <w:pStyle w:val="14"/>
              <w:spacing w:before="77"/>
              <w:ind w:left="8"/>
              <w:rPr>
                <w:rFonts w:ascii="Times New Roman"/>
                <w:sz w:val="21"/>
              </w:rPr>
            </w:pPr>
            <w:r>
              <w:rPr>
                <w:rFonts w:ascii="Times New Roman"/>
                <w:w w:val="99"/>
                <w:sz w:val="21"/>
              </w:rPr>
              <w:t>/</w:t>
            </w:r>
          </w:p>
        </w:tc>
        <w:tc>
          <w:tcPr>
            <w:tcW w:w="1083" w:type="dxa"/>
          </w:tcPr>
          <w:p>
            <w:pPr>
              <w:pStyle w:val="14"/>
              <w:spacing w:before="63"/>
              <w:ind w:left="307" w:right="30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4"/>
              <w:ind w:left="156" w:right="147"/>
              <w:rPr>
                <w:sz w:val="21"/>
              </w:rPr>
            </w:pPr>
            <w:r>
              <w:rPr>
                <w:sz w:val="21"/>
              </w:rPr>
              <w:t>四氯化碳</w:t>
            </w:r>
          </w:p>
        </w:tc>
        <w:tc>
          <w:tcPr>
            <w:tcW w:w="1367" w:type="dxa"/>
          </w:tcPr>
          <w:p>
            <w:pPr>
              <w:pStyle w:val="14"/>
              <w:spacing w:before="78"/>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66"/>
              <w:ind w:left="453" w:right="445"/>
              <w:rPr>
                <w:sz w:val="21"/>
              </w:rPr>
            </w:pPr>
            <w:bookmarkStart w:id="1128" w:name="未检出"/>
            <w:bookmarkEnd w:id="1128"/>
            <w:r>
              <w:rPr>
                <w:sz w:val="21"/>
              </w:rPr>
              <w:t>未检出</w:t>
            </w:r>
          </w:p>
        </w:tc>
        <w:tc>
          <w:tcPr>
            <w:tcW w:w="1579" w:type="dxa"/>
          </w:tcPr>
          <w:p>
            <w:pPr>
              <w:pStyle w:val="14"/>
              <w:spacing w:before="78"/>
              <w:ind w:left="9"/>
              <w:rPr>
                <w:rFonts w:ascii="Times New Roman"/>
                <w:sz w:val="21"/>
              </w:rPr>
            </w:pPr>
            <w:r>
              <w:rPr>
                <w:rFonts w:ascii="Times New Roman"/>
                <w:w w:val="99"/>
                <w:sz w:val="21"/>
              </w:rPr>
              <w:t>/</w:t>
            </w:r>
          </w:p>
        </w:tc>
        <w:tc>
          <w:tcPr>
            <w:tcW w:w="1580" w:type="dxa"/>
          </w:tcPr>
          <w:p>
            <w:pPr>
              <w:pStyle w:val="14"/>
              <w:spacing w:before="78"/>
              <w:ind w:left="8"/>
              <w:rPr>
                <w:rFonts w:ascii="Times New Roman"/>
                <w:sz w:val="21"/>
              </w:rPr>
            </w:pPr>
            <w:r>
              <w:rPr>
                <w:rFonts w:ascii="Times New Roman"/>
                <w:w w:val="99"/>
                <w:sz w:val="21"/>
              </w:rPr>
              <w:t>/</w:t>
            </w:r>
          </w:p>
        </w:tc>
        <w:tc>
          <w:tcPr>
            <w:tcW w:w="1083" w:type="dxa"/>
          </w:tcPr>
          <w:p>
            <w:pPr>
              <w:pStyle w:val="14"/>
              <w:spacing w:before="64"/>
              <w:ind w:left="307" w:right="30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2"/>
              <w:ind w:left="156" w:right="150"/>
              <w:rPr>
                <w:sz w:val="21"/>
              </w:rPr>
            </w:pPr>
            <w:r>
              <w:rPr>
                <w:sz w:val="21"/>
              </w:rPr>
              <w:t>氯仿</w:t>
            </w:r>
          </w:p>
        </w:tc>
        <w:tc>
          <w:tcPr>
            <w:tcW w:w="1367" w:type="dxa"/>
          </w:tcPr>
          <w:p>
            <w:pPr>
              <w:pStyle w:val="14"/>
              <w:spacing w:before="76"/>
              <w:ind w:right="405"/>
              <w:jc w:val="right"/>
              <w:rPr>
                <w:rFonts w:ascii="Times New Roman"/>
                <w:sz w:val="21"/>
              </w:rPr>
            </w:pPr>
            <w:r>
              <w:rPr>
                <w:rFonts w:ascii="Times New Roman"/>
                <w:sz w:val="21"/>
              </w:rPr>
              <w:t>mg/kg</w:t>
            </w:r>
          </w:p>
        </w:tc>
        <w:tc>
          <w:tcPr>
            <w:tcW w:w="1579" w:type="dxa"/>
          </w:tcPr>
          <w:p>
            <w:pPr>
              <w:pStyle w:val="14"/>
              <w:spacing w:before="65"/>
              <w:ind w:left="453" w:right="445"/>
              <w:rPr>
                <w:sz w:val="21"/>
              </w:rPr>
            </w:pPr>
            <w:bookmarkStart w:id="1129" w:name="未检出"/>
            <w:bookmarkEnd w:id="1129"/>
            <w:r>
              <w:rPr>
                <w:sz w:val="21"/>
              </w:rPr>
              <w:t>未检出</w:t>
            </w:r>
          </w:p>
        </w:tc>
        <w:tc>
          <w:tcPr>
            <w:tcW w:w="1579" w:type="dxa"/>
          </w:tcPr>
          <w:p>
            <w:pPr>
              <w:pStyle w:val="14"/>
              <w:spacing w:before="76"/>
              <w:ind w:left="9"/>
              <w:rPr>
                <w:rFonts w:ascii="Times New Roman"/>
                <w:sz w:val="21"/>
              </w:rPr>
            </w:pPr>
            <w:r>
              <w:rPr>
                <w:rFonts w:ascii="Times New Roman"/>
                <w:w w:val="99"/>
                <w:sz w:val="21"/>
              </w:rPr>
              <w:t>/</w:t>
            </w:r>
          </w:p>
        </w:tc>
        <w:tc>
          <w:tcPr>
            <w:tcW w:w="1580" w:type="dxa"/>
          </w:tcPr>
          <w:p>
            <w:pPr>
              <w:pStyle w:val="14"/>
              <w:spacing w:before="76"/>
              <w:ind w:left="8"/>
              <w:rPr>
                <w:rFonts w:ascii="Times New Roman"/>
                <w:sz w:val="21"/>
              </w:rPr>
            </w:pPr>
            <w:r>
              <w:rPr>
                <w:rFonts w:ascii="Times New Roman"/>
                <w:w w:val="99"/>
                <w:sz w:val="21"/>
              </w:rPr>
              <w:t>/</w:t>
            </w:r>
          </w:p>
        </w:tc>
        <w:tc>
          <w:tcPr>
            <w:tcW w:w="1083" w:type="dxa"/>
          </w:tcPr>
          <w:p>
            <w:pPr>
              <w:pStyle w:val="14"/>
              <w:spacing w:before="62"/>
              <w:ind w:left="307" w:right="30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3"/>
              <w:ind w:left="156" w:right="150"/>
              <w:rPr>
                <w:sz w:val="21"/>
              </w:rPr>
            </w:pPr>
            <w:r>
              <w:rPr>
                <w:sz w:val="21"/>
              </w:rPr>
              <w:t>氯甲烷</w:t>
            </w:r>
          </w:p>
        </w:tc>
        <w:tc>
          <w:tcPr>
            <w:tcW w:w="1367" w:type="dxa"/>
          </w:tcPr>
          <w:p>
            <w:pPr>
              <w:pStyle w:val="14"/>
              <w:spacing w:before="77"/>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66"/>
              <w:ind w:left="453" w:right="445"/>
              <w:rPr>
                <w:sz w:val="21"/>
              </w:rPr>
            </w:pPr>
            <w:bookmarkStart w:id="1130" w:name="未检出"/>
            <w:bookmarkEnd w:id="1130"/>
            <w:r>
              <w:rPr>
                <w:sz w:val="21"/>
              </w:rPr>
              <w:t>未检出</w:t>
            </w:r>
          </w:p>
        </w:tc>
        <w:tc>
          <w:tcPr>
            <w:tcW w:w="1579" w:type="dxa"/>
          </w:tcPr>
          <w:p>
            <w:pPr>
              <w:pStyle w:val="14"/>
              <w:spacing w:before="77"/>
              <w:ind w:left="9"/>
              <w:rPr>
                <w:rFonts w:ascii="Times New Roman"/>
                <w:sz w:val="21"/>
              </w:rPr>
            </w:pPr>
            <w:r>
              <w:rPr>
                <w:rFonts w:ascii="Times New Roman"/>
                <w:w w:val="99"/>
                <w:sz w:val="21"/>
              </w:rPr>
              <w:t>/</w:t>
            </w:r>
          </w:p>
        </w:tc>
        <w:tc>
          <w:tcPr>
            <w:tcW w:w="1580" w:type="dxa"/>
          </w:tcPr>
          <w:p>
            <w:pPr>
              <w:pStyle w:val="14"/>
              <w:spacing w:before="77"/>
              <w:ind w:left="8"/>
              <w:rPr>
                <w:rFonts w:ascii="Times New Roman"/>
                <w:sz w:val="21"/>
              </w:rPr>
            </w:pPr>
            <w:r>
              <w:rPr>
                <w:rFonts w:ascii="Times New Roman"/>
                <w:w w:val="99"/>
                <w:sz w:val="21"/>
              </w:rPr>
              <w:t>/</w:t>
            </w:r>
          </w:p>
        </w:tc>
        <w:tc>
          <w:tcPr>
            <w:tcW w:w="1083" w:type="dxa"/>
          </w:tcPr>
          <w:p>
            <w:pPr>
              <w:pStyle w:val="14"/>
              <w:spacing w:before="63"/>
              <w:ind w:left="307" w:right="30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2156" w:type="dxa"/>
          </w:tcPr>
          <w:p>
            <w:pPr>
              <w:pStyle w:val="14"/>
              <w:spacing w:before="62"/>
              <w:ind w:left="156" w:right="150"/>
              <w:rPr>
                <w:sz w:val="21"/>
              </w:rPr>
            </w:pPr>
            <w:r>
              <w:rPr>
                <w:rFonts w:ascii="Times New Roman" w:eastAsia="Times New Roman"/>
                <w:sz w:val="21"/>
              </w:rPr>
              <w:t>1,1-</w:t>
            </w:r>
            <w:r>
              <w:rPr>
                <w:sz w:val="21"/>
              </w:rPr>
              <w:t>二氯乙烷</w:t>
            </w:r>
          </w:p>
        </w:tc>
        <w:tc>
          <w:tcPr>
            <w:tcW w:w="1367" w:type="dxa"/>
          </w:tcPr>
          <w:p>
            <w:pPr>
              <w:pStyle w:val="14"/>
              <w:spacing w:before="76"/>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67"/>
              <w:ind w:left="453" w:right="445"/>
              <w:rPr>
                <w:sz w:val="21"/>
              </w:rPr>
            </w:pPr>
            <w:bookmarkStart w:id="1131" w:name="未检出"/>
            <w:bookmarkEnd w:id="1131"/>
            <w:r>
              <w:rPr>
                <w:sz w:val="21"/>
              </w:rPr>
              <w:t>未检出</w:t>
            </w:r>
          </w:p>
        </w:tc>
        <w:tc>
          <w:tcPr>
            <w:tcW w:w="1579" w:type="dxa"/>
          </w:tcPr>
          <w:p>
            <w:pPr>
              <w:pStyle w:val="14"/>
              <w:spacing w:before="76"/>
              <w:ind w:left="9"/>
              <w:rPr>
                <w:rFonts w:ascii="Times New Roman"/>
                <w:sz w:val="21"/>
              </w:rPr>
            </w:pPr>
            <w:r>
              <w:rPr>
                <w:rFonts w:ascii="Times New Roman"/>
                <w:w w:val="99"/>
                <w:sz w:val="21"/>
              </w:rPr>
              <w:t>/</w:t>
            </w:r>
          </w:p>
        </w:tc>
        <w:tc>
          <w:tcPr>
            <w:tcW w:w="1580" w:type="dxa"/>
          </w:tcPr>
          <w:p>
            <w:pPr>
              <w:pStyle w:val="14"/>
              <w:spacing w:before="76"/>
              <w:ind w:left="8"/>
              <w:rPr>
                <w:rFonts w:ascii="Times New Roman"/>
                <w:sz w:val="21"/>
              </w:rPr>
            </w:pPr>
            <w:r>
              <w:rPr>
                <w:rFonts w:ascii="Times New Roman"/>
                <w:w w:val="99"/>
                <w:sz w:val="21"/>
              </w:rPr>
              <w:t>/</w:t>
            </w:r>
          </w:p>
        </w:tc>
        <w:tc>
          <w:tcPr>
            <w:tcW w:w="1083" w:type="dxa"/>
          </w:tcPr>
          <w:p>
            <w:pPr>
              <w:pStyle w:val="14"/>
              <w:spacing w:before="62"/>
              <w:ind w:left="307" w:right="303"/>
              <w:rPr>
                <w:sz w:val="21"/>
              </w:rPr>
            </w:pPr>
            <w:r>
              <w:rPr>
                <w:sz w:val="21"/>
              </w:rPr>
              <w:t>达标</w:t>
            </w:r>
          </w:p>
        </w:tc>
      </w:tr>
    </w:tbl>
    <w:p>
      <w:pPr>
        <w:spacing w:after="0"/>
        <w:rPr>
          <w:sz w:val="21"/>
        </w:rPr>
        <w:sectPr>
          <w:type w:val="continuous"/>
          <w:pgSz w:w="11910" w:h="16840"/>
          <w:pgMar w:top="1580" w:right="780" w:bottom="280" w:left="1200" w:header="720" w:footer="720" w:gutter="0"/>
        </w:sectPr>
      </w:pP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56"/>
        <w:gridCol w:w="1367"/>
        <w:gridCol w:w="1579"/>
        <w:gridCol w:w="1579"/>
        <w:gridCol w:w="1580"/>
        <w:gridCol w:w="10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156" w:type="dxa"/>
          </w:tcPr>
          <w:p>
            <w:pPr>
              <w:pStyle w:val="14"/>
              <w:spacing w:before="63"/>
              <w:ind w:left="156" w:right="150"/>
              <w:rPr>
                <w:sz w:val="21"/>
              </w:rPr>
            </w:pPr>
            <w:r>
              <w:rPr>
                <w:rFonts w:ascii="Times New Roman" w:eastAsia="Times New Roman"/>
                <w:sz w:val="21"/>
              </w:rPr>
              <w:t>1,2-</w:t>
            </w:r>
            <w:r>
              <w:rPr>
                <w:sz w:val="21"/>
              </w:rPr>
              <w:t>二氯乙烷</w:t>
            </w:r>
          </w:p>
        </w:tc>
        <w:tc>
          <w:tcPr>
            <w:tcW w:w="1367" w:type="dxa"/>
          </w:tcPr>
          <w:p>
            <w:pPr>
              <w:pStyle w:val="14"/>
              <w:spacing w:before="77"/>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65"/>
              <w:ind w:left="453" w:right="445"/>
              <w:rPr>
                <w:sz w:val="21"/>
              </w:rPr>
            </w:pPr>
            <w:bookmarkStart w:id="1132" w:name="未检出"/>
            <w:bookmarkEnd w:id="1132"/>
            <w:r>
              <w:rPr>
                <w:sz w:val="21"/>
              </w:rPr>
              <w:t>未检出</w:t>
            </w:r>
          </w:p>
        </w:tc>
        <w:tc>
          <w:tcPr>
            <w:tcW w:w="1579" w:type="dxa"/>
          </w:tcPr>
          <w:p>
            <w:pPr>
              <w:pStyle w:val="14"/>
              <w:spacing w:before="77"/>
              <w:ind w:left="9"/>
              <w:rPr>
                <w:rFonts w:ascii="Times New Roman"/>
                <w:sz w:val="21"/>
              </w:rPr>
            </w:pPr>
            <w:r>
              <w:rPr>
                <w:rFonts w:ascii="Times New Roman"/>
                <w:w w:val="99"/>
                <w:sz w:val="21"/>
              </w:rPr>
              <w:t>/</w:t>
            </w:r>
          </w:p>
        </w:tc>
        <w:tc>
          <w:tcPr>
            <w:tcW w:w="1580" w:type="dxa"/>
          </w:tcPr>
          <w:p>
            <w:pPr>
              <w:pStyle w:val="14"/>
              <w:spacing w:before="77"/>
              <w:ind w:left="760"/>
              <w:jc w:val="left"/>
              <w:rPr>
                <w:rFonts w:ascii="Times New Roman"/>
                <w:sz w:val="21"/>
              </w:rPr>
            </w:pPr>
            <w:r>
              <w:rPr>
                <w:rFonts w:ascii="Times New Roman"/>
                <w:w w:val="99"/>
                <w:sz w:val="21"/>
              </w:rPr>
              <w:t>/</w:t>
            </w:r>
          </w:p>
        </w:tc>
        <w:tc>
          <w:tcPr>
            <w:tcW w:w="1083" w:type="dxa"/>
          </w:tcPr>
          <w:p>
            <w:pPr>
              <w:pStyle w:val="14"/>
              <w:spacing w:before="63"/>
              <w:ind w:left="307" w:right="30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4"/>
              <w:ind w:left="156" w:right="150"/>
              <w:rPr>
                <w:sz w:val="21"/>
              </w:rPr>
            </w:pPr>
            <w:r>
              <w:rPr>
                <w:rFonts w:ascii="Times New Roman" w:eastAsia="Times New Roman"/>
                <w:sz w:val="21"/>
              </w:rPr>
              <w:t>1,1-</w:t>
            </w:r>
            <w:r>
              <w:rPr>
                <w:sz w:val="21"/>
              </w:rPr>
              <w:t>二氯乙烯</w:t>
            </w:r>
          </w:p>
        </w:tc>
        <w:tc>
          <w:tcPr>
            <w:tcW w:w="1367" w:type="dxa"/>
          </w:tcPr>
          <w:p>
            <w:pPr>
              <w:pStyle w:val="14"/>
              <w:spacing w:before="78"/>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66"/>
              <w:ind w:left="453" w:right="445"/>
              <w:rPr>
                <w:sz w:val="21"/>
              </w:rPr>
            </w:pPr>
            <w:bookmarkStart w:id="1133" w:name="未检出"/>
            <w:bookmarkEnd w:id="1133"/>
            <w:r>
              <w:rPr>
                <w:sz w:val="21"/>
              </w:rPr>
              <w:t>未检出</w:t>
            </w:r>
          </w:p>
        </w:tc>
        <w:tc>
          <w:tcPr>
            <w:tcW w:w="1579" w:type="dxa"/>
          </w:tcPr>
          <w:p>
            <w:pPr>
              <w:pStyle w:val="14"/>
              <w:spacing w:before="78"/>
              <w:ind w:left="9"/>
              <w:rPr>
                <w:rFonts w:ascii="Times New Roman"/>
                <w:sz w:val="21"/>
              </w:rPr>
            </w:pPr>
            <w:r>
              <w:rPr>
                <w:rFonts w:ascii="Times New Roman"/>
                <w:w w:val="99"/>
                <w:sz w:val="21"/>
              </w:rPr>
              <w:t>/</w:t>
            </w:r>
          </w:p>
        </w:tc>
        <w:tc>
          <w:tcPr>
            <w:tcW w:w="1580" w:type="dxa"/>
          </w:tcPr>
          <w:p>
            <w:pPr>
              <w:pStyle w:val="14"/>
              <w:spacing w:before="78"/>
              <w:ind w:left="760"/>
              <w:jc w:val="left"/>
              <w:rPr>
                <w:rFonts w:ascii="Times New Roman"/>
                <w:sz w:val="21"/>
              </w:rPr>
            </w:pPr>
            <w:r>
              <w:rPr>
                <w:rFonts w:ascii="Times New Roman"/>
                <w:w w:val="99"/>
                <w:sz w:val="21"/>
              </w:rPr>
              <w:t>/</w:t>
            </w:r>
          </w:p>
        </w:tc>
        <w:tc>
          <w:tcPr>
            <w:tcW w:w="1083" w:type="dxa"/>
          </w:tcPr>
          <w:p>
            <w:pPr>
              <w:pStyle w:val="14"/>
              <w:spacing w:before="64"/>
              <w:ind w:left="307" w:right="30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3"/>
              <w:ind w:left="156" w:right="150"/>
              <w:rPr>
                <w:sz w:val="21"/>
              </w:rPr>
            </w:pPr>
            <w:r>
              <w:rPr>
                <w:sz w:val="21"/>
              </w:rPr>
              <w:t>顺</w:t>
            </w:r>
            <w:r>
              <w:rPr>
                <w:rFonts w:ascii="Times New Roman" w:eastAsia="Times New Roman"/>
                <w:sz w:val="21"/>
              </w:rPr>
              <w:t>-1,2-</w:t>
            </w:r>
            <w:r>
              <w:rPr>
                <w:sz w:val="21"/>
              </w:rPr>
              <w:t>二氯乙烯</w:t>
            </w:r>
          </w:p>
        </w:tc>
        <w:tc>
          <w:tcPr>
            <w:tcW w:w="1367" w:type="dxa"/>
          </w:tcPr>
          <w:p>
            <w:pPr>
              <w:pStyle w:val="14"/>
              <w:spacing w:before="76"/>
              <w:ind w:right="405"/>
              <w:jc w:val="right"/>
              <w:rPr>
                <w:rFonts w:ascii="Times New Roman"/>
                <w:sz w:val="21"/>
              </w:rPr>
            </w:pPr>
            <w:r>
              <w:rPr>
                <w:rFonts w:ascii="Times New Roman"/>
                <w:sz w:val="21"/>
              </w:rPr>
              <w:t>mg/kg</w:t>
            </w:r>
          </w:p>
        </w:tc>
        <w:tc>
          <w:tcPr>
            <w:tcW w:w="1579" w:type="dxa"/>
          </w:tcPr>
          <w:p>
            <w:pPr>
              <w:pStyle w:val="14"/>
              <w:spacing w:before="65"/>
              <w:ind w:left="453" w:right="445"/>
              <w:rPr>
                <w:sz w:val="21"/>
              </w:rPr>
            </w:pPr>
            <w:bookmarkStart w:id="1134" w:name="未检出"/>
            <w:bookmarkEnd w:id="1134"/>
            <w:r>
              <w:rPr>
                <w:sz w:val="21"/>
              </w:rPr>
              <w:t>未检出</w:t>
            </w:r>
          </w:p>
        </w:tc>
        <w:tc>
          <w:tcPr>
            <w:tcW w:w="1579" w:type="dxa"/>
          </w:tcPr>
          <w:p>
            <w:pPr>
              <w:pStyle w:val="14"/>
              <w:spacing w:before="76"/>
              <w:ind w:left="9"/>
              <w:rPr>
                <w:rFonts w:ascii="Times New Roman"/>
                <w:sz w:val="21"/>
              </w:rPr>
            </w:pPr>
            <w:r>
              <w:rPr>
                <w:rFonts w:ascii="Times New Roman"/>
                <w:w w:val="99"/>
                <w:sz w:val="21"/>
              </w:rPr>
              <w:t>/</w:t>
            </w:r>
          </w:p>
        </w:tc>
        <w:tc>
          <w:tcPr>
            <w:tcW w:w="1580" w:type="dxa"/>
          </w:tcPr>
          <w:p>
            <w:pPr>
              <w:pStyle w:val="14"/>
              <w:spacing w:before="76"/>
              <w:ind w:left="760"/>
              <w:jc w:val="left"/>
              <w:rPr>
                <w:rFonts w:ascii="Times New Roman"/>
                <w:sz w:val="21"/>
              </w:rPr>
            </w:pPr>
            <w:r>
              <w:rPr>
                <w:rFonts w:ascii="Times New Roman"/>
                <w:w w:val="99"/>
                <w:sz w:val="21"/>
              </w:rPr>
              <w:t>/</w:t>
            </w:r>
          </w:p>
        </w:tc>
        <w:tc>
          <w:tcPr>
            <w:tcW w:w="1083" w:type="dxa"/>
          </w:tcPr>
          <w:p>
            <w:pPr>
              <w:pStyle w:val="14"/>
              <w:spacing w:before="63"/>
              <w:ind w:left="307" w:right="30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3"/>
              <w:ind w:left="156" w:right="150"/>
              <w:rPr>
                <w:sz w:val="21"/>
              </w:rPr>
            </w:pPr>
            <w:r>
              <w:rPr>
                <w:sz w:val="21"/>
              </w:rPr>
              <w:t>反</w:t>
            </w:r>
            <w:r>
              <w:rPr>
                <w:rFonts w:ascii="Times New Roman" w:eastAsia="Times New Roman"/>
                <w:sz w:val="21"/>
              </w:rPr>
              <w:t>-1,2-</w:t>
            </w:r>
            <w:r>
              <w:rPr>
                <w:sz w:val="21"/>
              </w:rPr>
              <w:t>二氯乙烯</w:t>
            </w:r>
          </w:p>
        </w:tc>
        <w:tc>
          <w:tcPr>
            <w:tcW w:w="1367" w:type="dxa"/>
          </w:tcPr>
          <w:p>
            <w:pPr>
              <w:pStyle w:val="14"/>
              <w:spacing w:before="77"/>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66"/>
              <w:ind w:left="453" w:right="445"/>
              <w:rPr>
                <w:sz w:val="21"/>
              </w:rPr>
            </w:pPr>
            <w:bookmarkStart w:id="1135" w:name="未检出"/>
            <w:bookmarkEnd w:id="1135"/>
            <w:r>
              <w:rPr>
                <w:sz w:val="21"/>
              </w:rPr>
              <w:t>未检出</w:t>
            </w:r>
          </w:p>
        </w:tc>
        <w:tc>
          <w:tcPr>
            <w:tcW w:w="1579" w:type="dxa"/>
          </w:tcPr>
          <w:p>
            <w:pPr>
              <w:pStyle w:val="14"/>
              <w:spacing w:before="77"/>
              <w:ind w:left="9"/>
              <w:rPr>
                <w:rFonts w:ascii="Times New Roman"/>
                <w:sz w:val="21"/>
              </w:rPr>
            </w:pPr>
            <w:r>
              <w:rPr>
                <w:rFonts w:ascii="Times New Roman"/>
                <w:w w:val="99"/>
                <w:sz w:val="21"/>
              </w:rPr>
              <w:t>/</w:t>
            </w:r>
          </w:p>
        </w:tc>
        <w:tc>
          <w:tcPr>
            <w:tcW w:w="1580" w:type="dxa"/>
          </w:tcPr>
          <w:p>
            <w:pPr>
              <w:pStyle w:val="14"/>
              <w:spacing w:before="77"/>
              <w:ind w:left="760"/>
              <w:jc w:val="left"/>
              <w:rPr>
                <w:rFonts w:ascii="Times New Roman"/>
                <w:sz w:val="21"/>
              </w:rPr>
            </w:pPr>
            <w:r>
              <w:rPr>
                <w:rFonts w:ascii="Times New Roman"/>
                <w:w w:val="99"/>
                <w:sz w:val="21"/>
              </w:rPr>
              <w:t>/</w:t>
            </w:r>
          </w:p>
        </w:tc>
        <w:tc>
          <w:tcPr>
            <w:tcW w:w="1083" w:type="dxa"/>
          </w:tcPr>
          <w:p>
            <w:pPr>
              <w:pStyle w:val="14"/>
              <w:spacing w:before="63"/>
              <w:ind w:left="307" w:right="30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2"/>
              <w:ind w:left="156" w:right="147"/>
              <w:rPr>
                <w:sz w:val="21"/>
              </w:rPr>
            </w:pPr>
            <w:r>
              <w:rPr>
                <w:sz w:val="21"/>
              </w:rPr>
              <w:t>二氯甲烷</w:t>
            </w:r>
          </w:p>
        </w:tc>
        <w:tc>
          <w:tcPr>
            <w:tcW w:w="1367" w:type="dxa"/>
          </w:tcPr>
          <w:p>
            <w:pPr>
              <w:pStyle w:val="14"/>
              <w:spacing w:before="76"/>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67"/>
              <w:ind w:left="453" w:right="445"/>
              <w:rPr>
                <w:sz w:val="21"/>
              </w:rPr>
            </w:pPr>
            <w:bookmarkStart w:id="1136" w:name="未检出"/>
            <w:bookmarkEnd w:id="1136"/>
            <w:r>
              <w:rPr>
                <w:sz w:val="21"/>
              </w:rPr>
              <w:t>未检出</w:t>
            </w:r>
          </w:p>
        </w:tc>
        <w:tc>
          <w:tcPr>
            <w:tcW w:w="1579" w:type="dxa"/>
          </w:tcPr>
          <w:p>
            <w:pPr>
              <w:pStyle w:val="14"/>
              <w:spacing w:before="76"/>
              <w:ind w:left="9"/>
              <w:rPr>
                <w:rFonts w:ascii="Times New Roman"/>
                <w:sz w:val="21"/>
              </w:rPr>
            </w:pPr>
            <w:r>
              <w:rPr>
                <w:rFonts w:ascii="Times New Roman"/>
                <w:w w:val="99"/>
                <w:sz w:val="21"/>
              </w:rPr>
              <w:t>/</w:t>
            </w:r>
          </w:p>
        </w:tc>
        <w:tc>
          <w:tcPr>
            <w:tcW w:w="1580" w:type="dxa"/>
          </w:tcPr>
          <w:p>
            <w:pPr>
              <w:pStyle w:val="14"/>
              <w:spacing w:before="76"/>
              <w:ind w:left="760"/>
              <w:jc w:val="left"/>
              <w:rPr>
                <w:rFonts w:ascii="Times New Roman"/>
                <w:sz w:val="21"/>
              </w:rPr>
            </w:pPr>
            <w:r>
              <w:rPr>
                <w:rFonts w:ascii="Times New Roman"/>
                <w:w w:val="99"/>
                <w:sz w:val="21"/>
              </w:rPr>
              <w:t>/</w:t>
            </w:r>
          </w:p>
        </w:tc>
        <w:tc>
          <w:tcPr>
            <w:tcW w:w="1083" w:type="dxa"/>
          </w:tcPr>
          <w:p>
            <w:pPr>
              <w:pStyle w:val="14"/>
              <w:spacing w:before="62"/>
              <w:ind w:left="307" w:right="30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156" w:type="dxa"/>
          </w:tcPr>
          <w:p>
            <w:pPr>
              <w:pStyle w:val="14"/>
              <w:spacing w:before="63"/>
              <w:ind w:left="156" w:right="150"/>
              <w:rPr>
                <w:sz w:val="21"/>
              </w:rPr>
            </w:pPr>
            <w:r>
              <w:rPr>
                <w:rFonts w:ascii="Times New Roman" w:eastAsia="Times New Roman"/>
                <w:sz w:val="21"/>
              </w:rPr>
              <w:t>1,2-</w:t>
            </w:r>
            <w:r>
              <w:rPr>
                <w:sz w:val="21"/>
              </w:rPr>
              <w:t>二氯丙烷</w:t>
            </w:r>
          </w:p>
        </w:tc>
        <w:tc>
          <w:tcPr>
            <w:tcW w:w="1367" w:type="dxa"/>
          </w:tcPr>
          <w:p>
            <w:pPr>
              <w:pStyle w:val="14"/>
              <w:spacing w:before="77"/>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65"/>
              <w:ind w:left="453" w:right="445"/>
              <w:rPr>
                <w:sz w:val="21"/>
              </w:rPr>
            </w:pPr>
            <w:bookmarkStart w:id="1137" w:name="未检出"/>
            <w:bookmarkEnd w:id="1137"/>
            <w:r>
              <w:rPr>
                <w:sz w:val="21"/>
              </w:rPr>
              <w:t>未检出</w:t>
            </w:r>
          </w:p>
        </w:tc>
        <w:tc>
          <w:tcPr>
            <w:tcW w:w="1579" w:type="dxa"/>
          </w:tcPr>
          <w:p>
            <w:pPr>
              <w:pStyle w:val="14"/>
              <w:spacing w:before="77"/>
              <w:ind w:left="9"/>
              <w:rPr>
                <w:rFonts w:ascii="Times New Roman"/>
                <w:sz w:val="21"/>
              </w:rPr>
            </w:pPr>
            <w:r>
              <w:rPr>
                <w:rFonts w:ascii="Times New Roman"/>
                <w:w w:val="99"/>
                <w:sz w:val="21"/>
              </w:rPr>
              <w:t>/</w:t>
            </w:r>
          </w:p>
        </w:tc>
        <w:tc>
          <w:tcPr>
            <w:tcW w:w="1580" w:type="dxa"/>
          </w:tcPr>
          <w:p>
            <w:pPr>
              <w:pStyle w:val="14"/>
              <w:spacing w:before="77"/>
              <w:ind w:left="760"/>
              <w:jc w:val="left"/>
              <w:rPr>
                <w:rFonts w:ascii="Times New Roman"/>
                <w:sz w:val="21"/>
              </w:rPr>
            </w:pPr>
            <w:r>
              <w:rPr>
                <w:rFonts w:ascii="Times New Roman"/>
                <w:w w:val="99"/>
                <w:sz w:val="21"/>
              </w:rPr>
              <w:t>/</w:t>
            </w:r>
          </w:p>
        </w:tc>
        <w:tc>
          <w:tcPr>
            <w:tcW w:w="1083" w:type="dxa"/>
          </w:tcPr>
          <w:p>
            <w:pPr>
              <w:pStyle w:val="14"/>
              <w:spacing w:before="63"/>
              <w:ind w:left="307" w:right="30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2"/>
              <w:ind w:left="156" w:right="147"/>
              <w:rPr>
                <w:sz w:val="21"/>
              </w:rPr>
            </w:pPr>
            <w:r>
              <w:rPr>
                <w:rFonts w:ascii="Times New Roman" w:eastAsia="Times New Roman"/>
                <w:sz w:val="21"/>
              </w:rPr>
              <w:t>1,1,1,2-</w:t>
            </w:r>
            <w:r>
              <w:rPr>
                <w:sz w:val="21"/>
              </w:rPr>
              <w:t>四氯乙烷</w:t>
            </w:r>
          </w:p>
        </w:tc>
        <w:tc>
          <w:tcPr>
            <w:tcW w:w="1367" w:type="dxa"/>
          </w:tcPr>
          <w:p>
            <w:pPr>
              <w:pStyle w:val="14"/>
              <w:spacing w:before="76"/>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67"/>
              <w:ind w:left="453" w:right="445"/>
              <w:rPr>
                <w:sz w:val="21"/>
              </w:rPr>
            </w:pPr>
            <w:bookmarkStart w:id="1138" w:name="未检出"/>
            <w:bookmarkEnd w:id="1138"/>
            <w:r>
              <w:rPr>
                <w:sz w:val="21"/>
              </w:rPr>
              <w:t>未检出</w:t>
            </w:r>
          </w:p>
        </w:tc>
        <w:tc>
          <w:tcPr>
            <w:tcW w:w="1579" w:type="dxa"/>
          </w:tcPr>
          <w:p>
            <w:pPr>
              <w:pStyle w:val="14"/>
              <w:spacing w:before="76"/>
              <w:ind w:left="9"/>
              <w:rPr>
                <w:rFonts w:ascii="Times New Roman"/>
                <w:sz w:val="21"/>
              </w:rPr>
            </w:pPr>
            <w:r>
              <w:rPr>
                <w:rFonts w:ascii="Times New Roman"/>
                <w:w w:val="99"/>
                <w:sz w:val="21"/>
              </w:rPr>
              <w:t>/</w:t>
            </w:r>
          </w:p>
        </w:tc>
        <w:tc>
          <w:tcPr>
            <w:tcW w:w="1580" w:type="dxa"/>
          </w:tcPr>
          <w:p>
            <w:pPr>
              <w:pStyle w:val="14"/>
              <w:spacing w:before="76"/>
              <w:ind w:left="760"/>
              <w:jc w:val="left"/>
              <w:rPr>
                <w:rFonts w:ascii="Times New Roman"/>
                <w:sz w:val="21"/>
              </w:rPr>
            </w:pPr>
            <w:r>
              <w:rPr>
                <w:rFonts w:ascii="Times New Roman"/>
                <w:w w:val="99"/>
                <w:sz w:val="21"/>
              </w:rPr>
              <w:t>/</w:t>
            </w:r>
          </w:p>
        </w:tc>
        <w:tc>
          <w:tcPr>
            <w:tcW w:w="1083" w:type="dxa"/>
          </w:tcPr>
          <w:p>
            <w:pPr>
              <w:pStyle w:val="14"/>
              <w:spacing w:before="62"/>
              <w:ind w:left="307" w:right="30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3"/>
              <w:ind w:left="156" w:right="147"/>
              <w:rPr>
                <w:sz w:val="21"/>
              </w:rPr>
            </w:pPr>
            <w:r>
              <w:rPr>
                <w:rFonts w:ascii="Times New Roman" w:eastAsia="Times New Roman"/>
                <w:sz w:val="21"/>
              </w:rPr>
              <w:t>1,1,2,2-</w:t>
            </w:r>
            <w:r>
              <w:rPr>
                <w:sz w:val="21"/>
              </w:rPr>
              <w:t>四氯乙烷</w:t>
            </w:r>
          </w:p>
        </w:tc>
        <w:tc>
          <w:tcPr>
            <w:tcW w:w="1367" w:type="dxa"/>
          </w:tcPr>
          <w:p>
            <w:pPr>
              <w:pStyle w:val="14"/>
              <w:spacing w:before="77"/>
              <w:ind w:right="405"/>
              <w:jc w:val="right"/>
              <w:rPr>
                <w:rFonts w:ascii="Times New Roman"/>
                <w:sz w:val="21"/>
              </w:rPr>
            </w:pPr>
            <w:r>
              <w:rPr>
                <w:rFonts w:ascii="Times New Roman"/>
                <w:sz w:val="21"/>
              </w:rPr>
              <w:t>mg/kg</w:t>
            </w:r>
          </w:p>
        </w:tc>
        <w:tc>
          <w:tcPr>
            <w:tcW w:w="1579" w:type="dxa"/>
          </w:tcPr>
          <w:p>
            <w:pPr>
              <w:pStyle w:val="14"/>
              <w:spacing w:before="65"/>
              <w:ind w:left="453" w:right="445"/>
              <w:rPr>
                <w:sz w:val="21"/>
              </w:rPr>
            </w:pPr>
            <w:bookmarkStart w:id="1139" w:name="未检出"/>
            <w:bookmarkEnd w:id="1139"/>
            <w:r>
              <w:rPr>
                <w:sz w:val="21"/>
              </w:rPr>
              <w:t>未检出</w:t>
            </w:r>
          </w:p>
        </w:tc>
        <w:tc>
          <w:tcPr>
            <w:tcW w:w="1579" w:type="dxa"/>
          </w:tcPr>
          <w:p>
            <w:pPr>
              <w:pStyle w:val="14"/>
              <w:spacing w:before="77"/>
              <w:ind w:left="9"/>
              <w:rPr>
                <w:rFonts w:ascii="Times New Roman"/>
                <w:sz w:val="21"/>
              </w:rPr>
            </w:pPr>
            <w:r>
              <w:rPr>
                <w:rFonts w:ascii="Times New Roman"/>
                <w:w w:val="99"/>
                <w:sz w:val="21"/>
              </w:rPr>
              <w:t>/</w:t>
            </w:r>
          </w:p>
        </w:tc>
        <w:tc>
          <w:tcPr>
            <w:tcW w:w="1580" w:type="dxa"/>
          </w:tcPr>
          <w:p>
            <w:pPr>
              <w:pStyle w:val="14"/>
              <w:spacing w:before="77"/>
              <w:ind w:left="760"/>
              <w:jc w:val="left"/>
              <w:rPr>
                <w:rFonts w:ascii="Times New Roman"/>
                <w:sz w:val="21"/>
              </w:rPr>
            </w:pPr>
            <w:r>
              <w:rPr>
                <w:rFonts w:ascii="Times New Roman"/>
                <w:w w:val="99"/>
                <w:sz w:val="21"/>
              </w:rPr>
              <w:t>/</w:t>
            </w:r>
          </w:p>
        </w:tc>
        <w:tc>
          <w:tcPr>
            <w:tcW w:w="1083" w:type="dxa"/>
          </w:tcPr>
          <w:p>
            <w:pPr>
              <w:pStyle w:val="14"/>
              <w:spacing w:before="63"/>
              <w:ind w:left="307" w:right="30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4"/>
              <w:ind w:left="156" w:right="147"/>
              <w:rPr>
                <w:sz w:val="21"/>
              </w:rPr>
            </w:pPr>
            <w:r>
              <w:rPr>
                <w:sz w:val="21"/>
              </w:rPr>
              <w:t>四氯乙烯</w:t>
            </w:r>
          </w:p>
        </w:tc>
        <w:tc>
          <w:tcPr>
            <w:tcW w:w="1367" w:type="dxa"/>
          </w:tcPr>
          <w:p>
            <w:pPr>
              <w:pStyle w:val="14"/>
              <w:spacing w:before="78"/>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66"/>
              <w:ind w:left="453" w:right="445"/>
              <w:rPr>
                <w:sz w:val="21"/>
              </w:rPr>
            </w:pPr>
            <w:bookmarkStart w:id="1140" w:name="未检出"/>
            <w:bookmarkEnd w:id="1140"/>
            <w:r>
              <w:rPr>
                <w:sz w:val="21"/>
              </w:rPr>
              <w:t>未检出</w:t>
            </w:r>
          </w:p>
        </w:tc>
        <w:tc>
          <w:tcPr>
            <w:tcW w:w="1579" w:type="dxa"/>
          </w:tcPr>
          <w:p>
            <w:pPr>
              <w:pStyle w:val="14"/>
              <w:spacing w:before="78"/>
              <w:ind w:left="9"/>
              <w:rPr>
                <w:rFonts w:ascii="Times New Roman"/>
                <w:sz w:val="21"/>
              </w:rPr>
            </w:pPr>
            <w:r>
              <w:rPr>
                <w:rFonts w:ascii="Times New Roman"/>
                <w:w w:val="99"/>
                <w:sz w:val="21"/>
              </w:rPr>
              <w:t>/</w:t>
            </w:r>
          </w:p>
        </w:tc>
        <w:tc>
          <w:tcPr>
            <w:tcW w:w="1580" w:type="dxa"/>
          </w:tcPr>
          <w:p>
            <w:pPr>
              <w:pStyle w:val="14"/>
              <w:spacing w:before="78"/>
              <w:ind w:left="760"/>
              <w:jc w:val="left"/>
              <w:rPr>
                <w:rFonts w:ascii="Times New Roman"/>
                <w:sz w:val="21"/>
              </w:rPr>
            </w:pPr>
            <w:r>
              <w:rPr>
                <w:rFonts w:ascii="Times New Roman"/>
                <w:w w:val="99"/>
                <w:sz w:val="21"/>
              </w:rPr>
              <w:t>/</w:t>
            </w:r>
          </w:p>
        </w:tc>
        <w:tc>
          <w:tcPr>
            <w:tcW w:w="1083" w:type="dxa"/>
          </w:tcPr>
          <w:p>
            <w:pPr>
              <w:pStyle w:val="14"/>
              <w:spacing w:before="64"/>
              <w:ind w:left="307" w:right="30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2"/>
              <w:ind w:left="156" w:right="147"/>
              <w:rPr>
                <w:sz w:val="21"/>
              </w:rPr>
            </w:pPr>
            <w:r>
              <w:rPr>
                <w:rFonts w:ascii="Times New Roman" w:eastAsia="Times New Roman"/>
                <w:sz w:val="21"/>
              </w:rPr>
              <w:t>1,1,1-</w:t>
            </w:r>
            <w:r>
              <w:rPr>
                <w:sz w:val="21"/>
              </w:rPr>
              <w:t>三氯乙烷</w:t>
            </w:r>
          </w:p>
        </w:tc>
        <w:tc>
          <w:tcPr>
            <w:tcW w:w="1367" w:type="dxa"/>
          </w:tcPr>
          <w:p>
            <w:pPr>
              <w:pStyle w:val="14"/>
              <w:spacing w:before="76"/>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65"/>
              <w:ind w:left="453" w:right="445"/>
              <w:rPr>
                <w:sz w:val="21"/>
              </w:rPr>
            </w:pPr>
            <w:bookmarkStart w:id="1141" w:name="未检出"/>
            <w:bookmarkEnd w:id="1141"/>
            <w:r>
              <w:rPr>
                <w:sz w:val="21"/>
              </w:rPr>
              <w:t>未检出</w:t>
            </w:r>
          </w:p>
        </w:tc>
        <w:tc>
          <w:tcPr>
            <w:tcW w:w="1579" w:type="dxa"/>
          </w:tcPr>
          <w:p>
            <w:pPr>
              <w:pStyle w:val="14"/>
              <w:spacing w:before="76"/>
              <w:ind w:left="9"/>
              <w:rPr>
                <w:rFonts w:ascii="Times New Roman"/>
                <w:sz w:val="21"/>
              </w:rPr>
            </w:pPr>
            <w:r>
              <w:rPr>
                <w:rFonts w:ascii="Times New Roman"/>
                <w:w w:val="99"/>
                <w:sz w:val="21"/>
              </w:rPr>
              <w:t>/</w:t>
            </w:r>
          </w:p>
        </w:tc>
        <w:tc>
          <w:tcPr>
            <w:tcW w:w="1580" w:type="dxa"/>
          </w:tcPr>
          <w:p>
            <w:pPr>
              <w:pStyle w:val="14"/>
              <w:spacing w:before="76"/>
              <w:ind w:left="760"/>
              <w:jc w:val="left"/>
              <w:rPr>
                <w:rFonts w:ascii="Times New Roman"/>
                <w:sz w:val="21"/>
              </w:rPr>
            </w:pPr>
            <w:r>
              <w:rPr>
                <w:rFonts w:ascii="Times New Roman"/>
                <w:w w:val="99"/>
                <w:sz w:val="21"/>
              </w:rPr>
              <w:t>/</w:t>
            </w:r>
          </w:p>
        </w:tc>
        <w:tc>
          <w:tcPr>
            <w:tcW w:w="1083" w:type="dxa"/>
          </w:tcPr>
          <w:p>
            <w:pPr>
              <w:pStyle w:val="14"/>
              <w:spacing w:before="62"/>
              <w:ind w:left="307" w:right="30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156" w:type="dxa"/>
          </w:tcPr>
          <w:p>
            <w:pPr>
              <w:pStyle w:val="14"/>
              <w:spacing w:before="63"/>
              <w:ind w:left="156" w:right="147"/>
              <w:rPr>
                <w:sz w:val="21"/>
              </w:rPr>
            </w:pPr>
            <w:r>
              <w:rPr>
                <w:rFonts w:ascii="Times New Roman" w:eastAsia="Times New Roman"/>
                <w:sz w:val="21"/>
              </w:rPr>
              <w:t>1,1,2-</w:t>
            </w:r>
            <w:r>
              <w:rPr>
                <w:sz w:val="21"/>
              </w:rPr>
              <w:t>三氯乙烷</w:t>
            </w:r>
          </w:p>
        </w:tc>
        <w:tc>
          <w:tcPr>
            <w:tcW w:w="1367" w:type="dxa"/>
          </w:tcPr>
          <w:p>
            <w:pPr>
              <w:pStyle w:val="14"/>
              <w:spacing w:before="77"/>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66"/>
              <w:ind w:left="453" w:right="445"/>
              <w:rPr>
                <w:sz w:val="21"/>
              </w:rPr>
            </w:pPr>
            <w:bookmarkStart w:id="1142" w:name="未检出"/>
            <w:bookmarkEnd w:id="1142"/>
            <w:r>
              <w:rPr>
                <w:sz w:val="21"/>
              </w:rPr>
              <w:t>未检出</w:t>
            </w:r>
          </w:p>
        </w:tc>
        <w:tc>
          <w:tcPr>
            <w:tcW w:w="1579" w:type="dxa"/>
          </w:tcPr>
          <w:p>
            <w:pPr>
              <w:pStyle w:val="14"/>
              <w:spacing w:before="77"/>
              <w:ind w:left="9"/>
              <w:rPr>
                <w:rFonts w:ascii="Times New Roman"/>
                <w:sz w:val="21"/>
              </w:rPr>
            </w:pPr>
            <w:r>
              <w:rPr>
                <w:rFonts w:ascii="Times New Roman"/>
                <w:w w:val="99"/>
                <w:sz w:val="21"/>
              </w:rPr>
              <w:t>/</w:t>
            </w:r>
          </w:p>
        </w:tc>
        <w:tc>
          <w:tcPr>
            <w:tcW w:w="1580" w:type="dxa"/>
          </w:tcPr>
          <w:p>
            <w:pPr>
              <w:pStyle w:val="14"/>
              <w:spacing w:before="77"/>
              <w:ind w:left="760"/>
              <w:jc w:val="left"/>
              <w:rPr>
                <w:rFonts w:ascii="Times New Roman"/>
                <w:sz w:val="21"/>
              </w:rPr>
            </w:pPr>
            <w:r>
              <w:rPr>
                <w:rFonts w:ascii="Times New Roman"/>
                <w:w w:val="99"/>
                <w:sz w:val="21"/>
              </w:rPr>
              <w:t>/</w:t>
            </w:r>
          </w:p>
        </w:tc>
        <w:tc>
          <w:tcPr>
            <w:tcW w:w="1083" w:type="dxa"/>
          </w:tcPr>
          <w:p>
            <w:pPr>
              <w:pStyle w:val="14"/>
              <w:spacing w:before="63"/>
              <w:ind w:left="307" w:right="30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2"/>
              <w:ind w:left="156" w:right="147"/>
              <w:rPr>
                <w:sz w:val="21"/>
              </w:rPr>
            </w:pPr>
            <w:r>
              <w:rPr>
                <w:sz w:val="21"/>
              </w:rPr>
              <w:t>三氯乙烯</w:t>
            </w:r>
          </w:p>
        </w:tc>
        <w:tc>
          <w:tcPr>
            <w:tcW w:w="1367" w:type="dxa"/>
          </w:tcPr>
          <w:p>
            <w:pPr>
              <w:pStyle w:val="14"/>
              <w:spacing w:before="76"/>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67"/>
              <w:ind w:left="453" w:right="445"/>
              <w:rPr>
                <w:sz w:val="21"/>
              </w:rPr>
            </w:pPr>
            <w:bookmarkStart w:id="1143" w:name="未检出"/>
            <w:bookmarkEnd w:id="1143"/>
            <w:r>
              <w:rPr>
                <w:sz w:val="21"/>
              </w:rPr>
              <w:t>未检出</w:t>
            </w:r>
          </w:p>
        </w:tc>
        <w:tc>
          <w:tcPr>
            <w:tcW w:w="1579" w:type="dxa"/>
          </w:tcPr>
          <w:p>
            <w:pPr>
              <w:pStyle w:val="14"/>
              <w:spacing w:before="76"/>
              <w:ind w:left="9"/>
              <w:rPr>
                <w:rFonts w:ascii="Times New Roman"/>
                <w:sz w:val="21"/>
              </w:rPr>
            </w:pPr>
            <w:r>
              <w:rPr>
                <w:rFonts w:ascii="Times New Roman"/>
                <w:w w:val="99"/>
                <w:sz w:val="21"/>
              </w:rPr>
              <w:t>/</w:t>
            </w:r>
          </w:p>
        </w:tc>
        <w:tc>
          <w:tcPr>
            <w:tcW w:w="1580" w:type="dxa"/>
          </w:tcPr>
          <w:p>
            <w:pPr>
              <w:pStyle w:val="14"/>
              <w:spacing w:before="76"/>
              <w:ind w:left="760"/>
              <w:jc w:val="left"/>
              <w:rPr>
                <w:rFonts w:ascii="Times New Roman"/>
                <w:sz w:val="21"/>
              </w:rPr>
            </w:pPr>
            <w:r>
              <w:rPr>
                <w:rFonts w:ascii="Times New Roman"/>
                <w:w w:val="99"/>
                <w:sz w:val="21"/>
              </w:rPr>
              <w:t>/</w:t>
            </w:r>
          </w:p>
        </w:tc>
        <w:tc>
          <w:tcPr>
            <w:tcW w:w="1083" w:type="dxa"/>
          </w:tcPr>
          <w:p>
            <w:pPr>
              <w:pStyle w:val="14"/>
              <w:spacing w:before="62"/>
              <w:ind w:left="307" w:right="30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156" w:type="dxa"/>
          </w:tcPr>
          <w:p>
            <w:pPr>
              <w:pStyle w:val="14"/>
              <w:spacing w:before="63"/>
              <w:ind w:left="156" w:right="147"/>
              <w:rPr>
                <w:sz w:val="21"/>
              </w:rPr>
            </w:pPr>
            <w:r>
              <w:rPr>
                <w:rFonts w:ascii="Times New Roman" w:eastAsia="Times New Roman"/>
                <w:sz w:val="21"/>
              </w:rPr>
              <w:t>1,2,3-</w:t>
            </w:r>
            <w:r>
              <w:rPr>
                <w:sz w:val="21"/>
              </w:rPr>
              <w:t>三氯丙烷</w:t>
            </w:r>
          </w:p>
        </w:tc>
        <w:tc>
          <w:tcPr>
            <w:tcW w:w="1367" w:type="dxa"/>
          </w:tcPr>
          <w:p>
            <w:pPr>
              <w:pStyle w:val="14"/>
              <w:spacing w:before="77"/>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65"/>
              <w:ind w:left="453" w:right="445"/>
              <w:rPr>
                <w:sz w:val="21"/>
              </w:rPr>
            </w:pPr>
            <w:bookmarkStart w:id="1144" w:name="未检出"/>
            <w:bookmarkEnd w:id="1144"/>
            <w:r>
              <w:rPr>
                <w:sz w:val="21"/>
              </w:rPr>
              <w:t>未检出</w:t>
            </w:r>
          </w:p>
        </w:tc>
        <w:tc>
          <w:tcPr>
            <w:tcW w:w="1579" w:type="dxa"/>
          </w:tcPr>
          <w:p>
            <w:pPr>
              <w:pStyle w:val="14"/>
              <w:spacing w:before="77"/>
              <w:ind w:left="9"/>
              <w:rPr>
                <w:rFonts w:ascii="Times New Roman"/>
                <w:sz w:val="21"/>
              </w:rPr>
            </w:pPr>
            <w:r>
              <w:rPr>
                <w:rFonts w:ascii="Times New Roman"/>
                <w:w w:val="99"/>
                <w:sz w:val="21"/>
              </w:rPr>
              <w:t>/</w:t>
            </w:r>
          </w:p>
        </w:tc>
        <w:tc>
          <w:tcPr>
            <w:tcW w:w="1580" w:type="dxa"/>
          </w:tcPr>
          <w:p>
            <w:pPr>
              <w:pStyle w:val="14"/>
              <w:spacing w:before="77"/>
              <w:ind w:left="760"/>
              <w:jc w:val="left"/>
              <w:rPr>
                <w:rFonts w:ascii="Times New Roman"/>
                <w:sz w:val="21"/>
              </w:rPr>
            </w:pPr>
            <w:r>
              <w:rPr>
                <w:rFonts w:ascii="Times New Roman"/>
                <w:w w:val="99"/>
                <w:sz w:val="21"/>
              </w:rPr>
              <w:t>/</w:t>
            </w:r>
          </w:p>
        </w:tc>
        <w:tc>
          <w:tcPr>
            <w:tcW w:w="1083" w:type="dxa"/>
          </w:tcPr>
          <w:p>
            <w:pPr>
              <w:pStyle w:val="14"/>
              <w:spacing w:before="63"/>
              <w:ind w:left="307" w:right="30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4"/>
              <w:ind w:left="156" w:right="150"/>
              <w:rPr>
                <w:sz w:val="21"/>
              </w:rPr>
            </w:pPr>
            <w:r>
              <w:rPr>
                <w:sz w:val="21"/>
              </w:rPr>
              <w:t>氯乙烯</w:t>
            </w:r>
          </w:p>
        </w:tc>
        <w:tc>
          <w:tcPr>
            <w:tcW w:w="1367" w:type="dxa"/>
          </w:tcPr>
          <w:p>
            <w:pPr>
              <w:pStyle w:val="14"/>
              <w:spacing w:before="78"/>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66"/>
              <w:ind w:left="453" w:right="445"/>
              <w:rPr>
                <w:sz w:val="21"/>
              </w:rPr>
            </w:pPr>
            <w:bookmarkStart w:id="1145" w:name="未检出"/>
            <w:bookmarkEnd w:id="1145"/>
            <w:r>
              <w:rPr>
                <w:sz w:val="21"/>
              </w:rPr>
              <w:t>未检出</w:t>
            </w:r>
          </w:p>
        </w:tc>
        <w:tc>
          <w:tcPr>
            <w:tcW w:w="1579" w:type="dxa"/>
          </w:tcPr>
          <w:p>
            <w:pPr>
              <w:pStyle w:val="14"/>
              <w:spacing w:before="78"/>
              <w:ind w:left="9"/>
              <w:rPr>
                <w:rFonts w:ascii="Times New Roman"/>
                <w:sz w:val="21"/>
              </w:rPr>
            </w:pPr>
            <w:r>
              <w:rPr>
                <w:rFonts w:ascii="Times New Roman"/>
                <w:w w:val="99"/>
                <w:sz w:val="21"/>
              </w:rPr>
              <w:t>/</w:t>
            </w:r>
          </w:p>
        </w:tc>
        <w:tc>
          <w:tcPr>
            <w:tcW w:w="1580" w:type="dxa"/>
          </w:tcPr>
          <w:p>
            <w:pPr>
              <w:pStyle w:val="14"/>
              <w:spacing w:before="78"/>
              <w:ind w:left="760"/>
              <w:jc w:val="left"/>
              <w:rPr>
                <w:rFonts w:ascii="Times New Roman"/>
                <w:sz w:val="21"/>
              </w:rPr>
            </w:pPr>
            <w:r>
              <w:rPr>
                <w:rFonts w:ascii="Times New Roman"/>
                <w:w w:val="99"/>
                <w:sz w:val="21"/>
              </w:rPr>
              <w:t>/</w:t>
            </w:r>
          </w:p>
        </w:tc>
        <w:tc>
          <w:tcPr>
            <w:tcW w:w="1083" w:type="dxa"/>
          </w:tcPr>
          <w:p>
            <w:pPr>
              <w:pStyle w:val="14"/>
              <w:spacing w:before="64"/>
              <w:ind w:left="307" w:right="30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156" w:type="dxa"/>
          </w:tcPr>
          <w:p>
            <w:pPr>
              <w:pStyle w:val="14"/>
              <w:spacing w:before="63"/>
              <w:ind w:left="9"/>
              <w:rPr>
                <w:sz w:val="21"/>
              </w:rPr>
            </w:pPr>
            <w:r>
              <w:rPr>
                <w:w w:val="99"/>
                <w:sz w:val="21"/>
              </w:rPr>
              <w:t>苯</w:t>
            </w:r>
          </w:p>
        </w:tc>
        <w:tc>
          <w:tcPr>
            <w:tcW w:w="1367" w:type="dxa"/>
          </w:tcPr>
          <w:p>
            <w:pPr>
              <w:pStyle w:val="14"/>
              <w:spacing w:before="76"/>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65"/>
              <w:ind w:left="453" w:right="445"/>
              <w:rPr>
                <w:sz w:val="21"/>
              </w:rPr>
            </w:pPr>
            <w:bookmarkStart w:id="1146" w:name="未检出"/>
            <w:bookmarkEnd w:id="1146"/>
            <w:r>
              <w:rPr>
                <w:sz w:val="21"/>
              </w:rPr>
              <w:t>未检出</w:t>
            </w:r>
          </w:p>
        </w:tc>
        <w:tc>
          <w:tcPr>
            <w:tcW w:w="1579" w:type="dxa"/>
          </w:tcPr>
          <w:p>
            <w:pPr>
              <w:pStyle w:val="14"/>
              <w:spacing w:before="76"/>
              <w:ind w:left="9"/>
              <w:rPr>
                <w:rFonts w:ascii="Times New Roman"/>
                <w:sz w:val="21"/>
              </w:rPr>
            </w:pPr>
            <w:r>
              <w:rPr>
                <w:rFonts w:ascii="Times New Roman"/>
                <w:w w:val="99"/>
                <w:sz w:val="21"/>
              </w:rPr>
              <w:t>/</w:t>
            </w:r>
          </w:p>
        </w:tc>
        <w:tc>
          <w:tcPr>
            <w:tcW w:w="1580" w:type="dxa"/>
          </w:tcPr>
          <w:p>
            <w:pPr>
              <w:pStyle w:val="14"/>
              <w:spacing w:before="76"/>
              <w:ind w:left="760"/>
              <w:jc w:val="left"/>
              <w:rPr>
                <w:rFonts w:ascii="Times New Roman"/>
                <w:sz w:val="21"/>
              </w:rPr>
            </w:pPr>
            <w:r>
              <w:rPr>
                <w:rFonts w:ascii="Times New Roman"/>
                <w:w w:val="99"/>
                <w:sz w:val="21"/>
              </w:rPr>
              <w:t>/</w:t>
            </w:r>
          </w:p>
        </w:tc>
        <w:tc>
          <w:tcPr>
            <w:tcW w:w="1083" w:type="dxa"/>
          </w:tcPr>
          <w:p>
            <w:pPr>
              <w:pStyle w:val="14"/>
              <w:spacing w:before="63"/>
              <w:ind w:left="307" w:right="30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4"/>
              <w:ind w:left="156" w:right="150"/>
              <w:rPr>
                <w:sz w:val="21"/>
              </w:rPr>
            </w:pPr>
            <w:r>
              <w:rPr>
                <w:sz w:val="21"/>
              </w:rPr>
              <w:t>氯苯</w:t>
            </w:r>
          </w:p>
        </w:tc>
        <w:tc>
          <w:tcPr>
            <w:tcW w:w="1367" w:type="dxa"/>
          </w:tcPr>
          <w:p>
            <w:pPr>
              <w:pStyle w:val="14"/>
              <w:spacing w:before="77"/>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66"/>
              <w:ind w:left="453" w:right="445"/>
              <w:rPr>
                <w:sz w:val="21"/>
              </w:rPr>
            </w:pPr>
            <w:bookmarkStart w:id="1147" w:name="未检出"/>
            <w:bookmarkEnd w:id="1147"/>
            <w:r>
              <w:rPr>
                <w:sz w:val="21"/>
              </w:rPr>
              <w:t>未检出</w:t>
            </w:r>
          </w:p>
        </w:tc>
        <w:tc>
          <w:tcPr>
            <w:tcW w:w="1579" w:type="dxa"/>
          </w:tcPr>
          <w:p>
            <w:pPr>
              <w:pStyle w:val="14"/>
              <w:spacing w:before="77"/>
              <w:ind w:left="9"/>
              <w:rPr>
                <w:rFonts w:ascii="Times New Roman"/>
                <w:sz w:val="21"/>
              </w:rPr>
            </w:pPr>
            <w:r>
              <w:rPr>
                <w:rFonts w:ascii="Times New Roman"/>
                <w:w w:val="99"/>
                <w:sz w:val="21"/>
              </w:rPr>
              <w:t>/</w:t>
            </w:r>
          </w:p>
        </w:tc>
        <w:tc>
          <w:tcPr>
            <w:tcW w:w="1580" w:type="dxa"/>
          </w:tcPr>
          <w:p>
            <w:pPr>
              <w:pStyle w:val="14"/>
              <w:spacing w:before="77"/>
              <w:ind w:left="760"/>
              <w:jc w:val="left"/>
              <w:rPr>
                <w:rFonts w:ascii="Times New Roman"/>
                <w:sz w:val="21"/>
              </w:rPr>
            </w:pPr>
            <w:r>
              <w:rPr>
                <w:rFonts w:ascii="Times New Roman"/>
                <w:w w:val="99"/>
                <w:sz w:val="21"/>
              </w:rPr>
              <w:t>/</w:t>
            </w:r>
          </w:p>
        </w:tc>
        <w:tc>
          <w:tcPr>
            <w:tcW w:w="1083" w:type="dxa"/>
          </w:tcPr>
          <w:p>
            <w:pPr>
              <w:pStyle w:val="14"/>
              <w:spacing w:before="64"/>
              <w:ind w:left="307" w:right="30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2"/>
              <w:ind w:left="156" w:right="150"/>
              <w:rPr>
                <w:sz w:val="21"/>
              </w:rPr>
            </w:pPr>
            <w:r>
              <w:rPr>
                <w:rFonts w:ascii="Times New Roman" w:eastAsia="Times New Roman"/>
                <w:sz w:val="21"/>
              </w:rPr>
              <w:t>1,2-</w:t>
            </w:r>
            <w:r>
              <w:rPr>
                <w:sz w:val="21"/>
              </w:rPr>
              <w:t>二氯苯</w:t>
            </w:r>
          </w:p>
        </w:tc>
        <w:tc>
          <w:tcPr>
            <w:tcW w:w="1367" w:type="dxa"/>
          </w:tcPr>
          <w:p>
            <w:pPr>
              <w:pStyle w:val="14"/>
              <w:spacing w:before="76"/>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67"/>
              <w:ind w:left="453" w:right="445"/>
              <w:rPr>
                <w:sz w:val="21"/>
              </w:rPr>
            </w:pPr>
            <w:bookmarkStart w:id="1148" w:name="未检出"/>
            <w:bookmarkEnd w:id="1148"/>
            <w:r>
              <w:rPr>
                <w:sz w:val="21"/>
              </w:rPr>
              <w:t>未检出</w:t>
            </w:r>
          </w:p>
        </w:tc>
        <w:tc>
          <w:tcPr>
            <w:tcW w:w="1579" w:type="dxa"/>
          </w:tcPr>
          <w:p>
            <w:pPr>
              <w:pStyle w:val="14"/>
              <w:spacing w:before="76"/>
              <w:ind w:left="9"/>
              <w:rPr>
                <w:rFonts w:ascii="Times New Roman"/>
                <w:sz w:val="21"/>
              </w:rPr>
            </w:pPr>
            <w:r>
              <w:rPr>
                <w:rFonts w:ascii="Times New Roman"/>
                <w:w w:val="99"/>
                <w:sz w:val="21"/>
              </w:rPr>
              <w:t>/</w:t>
            </w:r>
          </w:p>
        </w:tc>
        <w:tc>
          <w:tcPr>
            <w:tcW w:w="1580" w:type="dxa"/>
          </w:tcPr>
          <w:p>
            <w:pPr>
              <w:pStyle w:val="14"/>
              <w:spacing w:before="76"/>
              <w:ind w:left="760"/>
              <w:jc w:val="left"/>
              <w:rPr>
                <w:rFonts w:ascii="Times New Roman"/>
                <w:sz w:val="21"/>
              </w:rPr>
            </w:pPr>
            <w:r>
              <w:rPr>
                <w:rFonts w:ascii="Times New Roman"/>
                <w:w w:val="99"/>
                <w:sz w:val="21"/>
              </w:rPr>
              <w:t>/</w:t>
            </w:r>
          </w:p>
        </w:tc>
        <w:tc>
          <w:tcPr>
            <w:tcW w:w="1083" w:type="dxa"/>
          </w:tcPr>
          <w:p>
            <w:pPr>
              <w:pStyle w:val="14"/>
              <w:spacing w:before="62"/>
              <w:ind w:left="307" w:right="30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156" w:type="dxa"/>
          </w:tcPr>
          <w:p>
            <w:pPr>
              <w:pStyle w:val="14"/>
              <w:spacing w:before="63"/>
              <w:ind w:left="156" w:right="150"/>
              <w:rPr>
                <w:sz w:val="21"/>
              </w:rPr>
            </w:pPr>
            <w:r>
              <w:rPr>
                <w:rFonts w:ascii="Times New Roman" w:eastAsia="Times New Roman"/>
                <w:sz w:val="21"/>
              </w:rPr>
              <w:t>1,4-</w:t>
            </w:r>
            <w:r>
              <w:rPr>
                <w:sz w:val="21"/>
              </w:rPr>
              <w:t>二氯苯</w:t>
            </w:r>
          </w:p>
        </w:tc>
        <w:tc>
          <w:tcPr>
            <w:tcW w:w="1367" w:type="dxa"/>
          </w:tcPr>
          <w:p>
            <w:pPr>
              <w:pStyle w:val="14"/>
              <w:spacing w:before="77"/>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65"/>
              <w:ind w:left="453" w:right="445"/>
              <w:rPr>
                <w:sz w:val="21"/>
              </w:rPr>
            </w:pPr>
            <w:bookmarkStart w:id="1149" w:name="未检出"/>
            <w:bookmarkEnd w:id="1149"/>
            <w:r>
              <w:rPr>
                <w:sz w:val="21"/>
              </w:rPr>
              <w:t>未检出</w:t>
            </w:r>
          </w:p>
        </w:tc>
        <w:tc>
          <w:tcPr>
            <w:tcW w:w="1579" w:type="dxa"/>
          </w:tcPr>
          <w:p>
            <w:pPr>
              <w:pStyle w:val="14"/>
              <w:spacing w:before="77"/>
              <w:ind w:left="9"/>
              <w:rPr>
                <w:rFonts w:ascii="Times New Roman"/>
                <w:sz w:val="21"/>
              </w:rPr>
            </w:pPr>
            <w:r>
              <w:rPr>
                <w:rFonts w:ascii="Times New Roman"/>
                <w:w w:val="99"/>
                <w:sz w:val="21"/>
              </w:rPr>
              <w:t>/</w:t>
            </w:r>
          </w:p>
        </w:tc>
        <w:tc>
          <w:tcPr>
            <w:tcW w:w="1580" w:type="dxa"/>
          </w:tcPr>
          <w:p>
            <w:pPr>
              <w:pStyle w:val="14"/>
              <w:spacing w:before="77"/>
              <w:ind w:left="760"/>
              <w:jc w:val="left"/>
              <w:rPr>
                <w:rFonts w:ascii="Times New Roman"/>
                <w:sz w:val="21"/>
              </w:rPr>
            </w:pPr>
            <w:r>
              <w:rPr>
                <w:rFonts w:ascii="Times New Roman"/>
                <w:w w:val="99"/>
                <w:sz w:val="21"/>
              </w:rPr>
              <w:t>/</w:t>
            </w:r>
          </w:p>
        </w:tc>
        <w:tc>
          <w:tcPr>
            <w:tcW w:w="1083" w:type="dxa"/>
          </w:tcPr>
          <w:p>
            <w:pPr>
              <w:pStyle w:val="14"/>
              <w:spacing w:before="63"/>
              <w:ind w:left="307" w:right="30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2"/>
              <w:ind w:left="156" w:right="150"/>
              <w:rPr>
                <w:sz w:val="21"/>
              </w:rPr>
            </w:pPr>
            <w:r>
              <w:rPr>
                <w:sz w:val="21"/>
              </w:rPr>
              <w:t>乙苯</w:t>
            </w:r>
          </w:p>
        </w:tc>
        <w:tc>
          <w:tcPr>
            <w:tcW w:w="1367" w:type="dxa"/>
          </w:tcPr>
          <w:p>
            <w:pPr>
              <w:pStyle w:val="14"/>
              <w:spacing w:before="76"/>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66"/>
              <w:ind w:left="453" w:right="445"/>
              <w:rPr>
                <w:sz w:val="21"/>
              </w:rPr>
            </w:pPr>
            <w:bookmarkStart w:id="1150" w:name="未检出"/>
            <w:bookmarkEnd w:id="1150"/>
            <w:r>
              <w:rPr>
                <w:sz w:val="21"/>
              </w:rPr>
              <w:t>未检出</w:t>
            </w:r>
          </w:p>
        </w:tc>
        <w:tc>
          <w:tcPr>
            <w:tcW w:w="1579" w:type="dxa"/>
          </w:tcPr>
          <w:p>
            <w:pPr>
              <w:pStyle w:val="14"/>
              <w:spacing w:before="76"/>
              <w:ind w:left="9"/>
              <w:rPr>
                <w:rFonts w:ascii="Times New Roman"/>
                <w:sz w:val="21"/>
              </w:rPr>
            </w:pPr>
            <w:r>
              <w:rPr>
                <w:rFonts w:ascii="Times New Roman"/>
                <w:w w:val="99"/>
                <w:sz w:val="21"/>
              </w:rPr>
              <w:t>/</w:t>
            </w:r>
          </w:p>
        </w:tc>
        <w:tc>
          <w:tcPr>
            <w:tcW w:w="1580" w:type="dxa"/>
          </w:tcPr>
          <w:p>
            <w:pPr>
              <w:pStyle w:val="14"/>
              <w:spacing w:before="76"/>
              <w:ind w:left="760"/>
              <w:jc w:val="left"/>
              <w:rPr>
                <w:rFonts w:ascii="Times New Roman"/>
                <w:sz w:val="21"/>
              </w:rPr>
            </w:pPr>
            <w:r>
              <w:rPr>
                <w:rFonts w:ascii="Times New Roman"/>
                <w:w w:val="99"/>
                <w:sz w:val="21"/>
              </w:rPr>
              <w:t>/</w:t>
            </w:r>
          </w:p>
        </w:tc>
        <w:tc>
          <w:tcPr>
            <w:tcW w:w="1083" w:type="dxa"/>
          </w:tcPr>
          <w:p>
            <w:pPr>
              <w:pStyle w:val="14"/>
              <w:spacing w:before="62"/>
              <w:ind w:left="307" w:right="30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156" w:type="dxa"/>
          </w:tcPr>
          <w:p>
            <w:pPr>
              <w:pStyle w:val="14"/>
              <w:spacing w:before="63"/>
              <w:ind w:left="156" w:right="150"/>
              <w:rPr>
                <w:sz w:val="21"/>
              </w:rPr>
            </w:pPr>
            <w:r>
              <w:rPr>
                <w:sz w:val="21"/>
              </w:rPr>
              <w:t>苯乙烯</w:t>
            </w:r>
          </w:p>
        </w:tc>
        <w:tc>
          <w:tcPr>
            <w:tcW w:w="1367" w:type="dxa"/>
          </w:tcPr>
          <w:p>
            <w:pPr>
              <w:pStyle w:val="14"/>
              <w:spacing w:before="77"/>
              <w:ind w:right="431"/>
              <w:jc w:val="right"/>
              <w:rPr>
                <w:rFonts w:ascii="Times New Roman" w:hAnsi="Times New Roman"/>
                <w:sz w:val="21"/>
              </w:rPr>
            </w:pPr>
            <w:r>
              <w:rPr>
                <w:rFonts w:ascii="Times New Roman" w:hAnsi="Times New Roman"/>
                <w:w w:val="95"/>
                <w:sz w:val="21"/>
              </w:rPr>
              <w:t>μg/kg</w:t>
            </w:r>
          </w:p>
        </w:tc>
        <w:tc>
          <w:tcPr>
            <w:tcW w:w="1579" w:type="dxa"/>
          </w:tcPr>
          <w:p>
            <w:pPr>
              <w:pStyle w:val="14"/>
              <w:spacing w:before="65"/>
              <w:ind w:left="453" w:right="445"/>
              <w:rPr>
                <w:sz w:val="21"/>
              </w:rPr>
            </w:pPr>
            <w:bookmarkStart w:id="1151" w:name="未检出"/>
            <w:bookmarkEnd w:id="1151"/>
            <w:r>
              <w:rPr>
                <w:sz w:val="21"/>
              </w:rPr>
              <w:t>未检出</w:t>
            </w:r>
          </w:p>
        </w:tc>
        <w:tc>
          <w:tcPr>
            <w:tcW w:w="1579" w:type="dxa"/>
          </w:tcPr>
          <w:p>
            <w:pPr>
              <w:pStyle w:val="14"/>
              <w:spacing w:before="77"/>
              <w:ind w:left="9"/>
              <w:rPr>
                <w:rFonts w:ascii="Times New Roman"/>
                <w:sz w:val="21"/>
              </w:rPr>
            </w:pPr>
            <w:r>
              <w:rPr>
                <w:rFonts w:ascii="Times New Roman"/>
                <w:w w:val="99"/>
                <w:sz w:val="21"/>
              </w:rPr>
              <w:t>/</w:t>
            </w:r>
          </w:p>
        </w:tc>
        <w:tc>
          <w:tcPr>
            <w:tcW w:w="1580" w:type="dxa"/>
          </w:tcPr>
          <w:p>
            <w:pPr>
              <w:pStyle w:val="14"/>
              <w:spacing w:before="77"/>
              <w:ind w:left="760"/>
              <w:jc w:val="left"/>
              <w:rPr>
                <w:rFonts w:ascii="Times New Roman"/>
                <w:sz w:val="21"/>
              </w:rPr>
            </w:pPr>
            <w:r>
              <w:rPr>
                <w:rFonts w:ascii="Times New Roman"/>
                <w:w w:val="99"/>
                <w:sz w:val="21"/>
              </w:rPr>
              <w:t>/</w:t>
            </w:r>
          </w:p>
        </w:tc>
        <w:tc>
          <w:tcPr>
            <w:tcW w:w="1083" w:type="dxa"/>
          </w:tcPr>
          <w:p>
            <w:pPr>
              <w:pStyle w:val="14"/>
              <w:spacing w:before="63"/>
              <w:ind w:left="307" w:right="30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4"/>
              <w:ind w:left="156" w:right="150"/>
              <w:rPr>
                <w:sz w:val="21"/>
              </w:rPr>
            </w:pPr>
            <w:r>
              <w:rPr>
                <w:sz w:val="21"/>
              </w:rPr>
              <w:t>甲苯</w:t>
            </w:r>
          </w:p>
        </w:tc>
        <w:tc>
          <w:tcPr>
            <w:tcW w:w="1367" w:type="dxa"/>
          </w:tcPr>
          <w:p>
            <w:pPr>
              <w:pStyle w:val="14"/>
              <w:spacing w:before="78"/>
              <w:ind w:right="405"/>
              <w:jc w:val="right"/>
              <w:rPr>
                <w:rFonts w:ascii="Times New Roman"/>
                <w:sz w:val="21"/>
              </w:rPr>
            </w:pPr>
            <w:r>
              <w:rPr>
                <w:rFonts w:ascii="Times New Roman"/>
                <w:sz w:val="21"/>
              </w:rPr>
              <w:t>mg/kg</w:t>
            </w:r>
          </w:p>
        </w:tc>
        <w:tc>
          <w:tcPr>
            <w:tcW w:w="1579" w:type="dxa"/>
          </w:tcPr>
          <w:p>
            <w:pPr>
              <w:pStyle w:val="14"/>
              <w:spacing w:before="66"/>
              <w:ind w:left="453" w:right="445"/>
              <w:rPr>
                <w:sz w:val="21"/>
              </w:rPr>
            </w:pPr>
            <w:bookmarkStart w:id="1152" w:name="未检出"/>
            <w:bookmarkEnd w:id="1152"/>
            <w:r>
              <w:rPr>
                <w:sz w:val="21"/>
              </w:rPr>
              <w:t>未检出</w:t>
            </w:r>
          </w:p>
        </w:tc>
        <w:tc>
          <w:tcPr>
            <w:tcW w:w="1579" w:type="dxa"/>
          </w:tcPr>
          <w:p>
            <w:pPr>
              <w:pStyle w:val="14"/>
              <w:spacing w:before="78"/>
              <w:ind w:left="9"/>
              <w:rPr>
                <w:rFonts w:ascii="Times New Roman"/>
                <w:sz w:val="21"/>
              </w:rPr>
            </w:pPr>
            <w:r>
              <w:rPr>
                <w:rFonts w:ascii="Times New Roman"/>
                <w:w w:val="99"/>
                <w:sz w:val="21"/>
              </w:rPr>
              <w:t>/</w:t>
            </w:r>
          </w:p>
        </w:tc>
        <w:tc>
          <w:tcPr>
            <w:tcW w:w="1580" w:type="dxa"/>
          </w:tcPr>
          <w:p>
            <w:pPr>
              <w:pStyle w:val="14"/>
              <w:spacing w:before="78"/>
              <w:ind w:left="760"/>
              <w:jc w:val="left"/>
              <w:rPr>
                <w:rFonts w:ascii="Times New Roman"/>
                <w:sz w:val="21"/>
              </w:rPr>
            </w:pPr>
            <w:r>
              <w:rPr>
                <w:rFonts w:ascii="Times New Roman"/>
                <w:w w:val="99"/>
                <w:sz w:val="21"/>
              </w:rPr>
              <w:t>/</w:t>
            </w:r>
          </w:p>
        </w:tc>
        <w:tc>
          <w:tcPr>
            <w:tcW w:w="1083" w:type="dxa"/>
          </w:tcPr>
          <w:p>
            <w:pPr>
              <w:pStyle w:val="14"/>
              <w:spacing w:before="64"/>
              <w:ind w:left="307" w:right="30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156" w:type="dxa"/>
          </w:tcPr>
          <w:p>
            <w:pPr>
              <w:pStyle w:val="14"/>
              <w:spacing w:before="62"/>
              <w:ind w:left="156" w:right="150"/>
              <w:rPr>
                <w:sz w:val="21"/>
              </w:rPr>
            </w:pPr>
            <w:r>
              <w:rPr>
                <w:sz w:val="21"/>
              </w:rPr>
              <w:t>间二甲苯</w:t>
            </w:r>
            <w:r>
              <w:rPr>
                <w:rFonts w:ascii="Times New Roman" w:eastAsia="Times New Roman"/>
                <w:sz w:val="21"/>
              </w:rPr>
              <w:t>+</w:t>
            </w:r>
            <w:r>
              <w:rPr>
                <w:sz w:val="21"/>
              </w:rPr>
              <w:t>对二甲苯</w:t>
            </w:r>
          </w:p>
        </w:tc>
        <w:tc>
          <w:tcPr>
            <w:tcW w:w="1367" w:type="dxa"/>
          </w:tcPr>
          <w:p>
            <w:pPr>
              <w:pStyle w:val="14"/>
              <w:spacing w:before="76"/>
              <w:ind w:right="405"/>
              <w:jc w:val="right"/>
              <w:rPr>
                <w:rFonts w:ascii="Times New Roman"/>
                <w:sz w:val="21"/>
              </w:rPr>
            </w:pPr>
            <w:r>
              <w:rPr>
                <w:rFonts w:ascii="Times New Roman"/>
                <w:sz w:val="21"/>
              </w:rPr>
              <w:t>mg/kg</w:t>
            </w:r>
          </w:p>
        </w:tc>
        <w:tc>
          <w:tcPr>
            <w:tcW w:w="1579" w:type="dxa"/>
          </w:tcPr>
          <w:p>
            <w:pPr>
              <w:pStyle w:val="14"/>
              <w:spacing w:before="65"/>
              <w:ind w:left="453" w:right="445"/>
              <w:rPr>
                <w:sz w:val="21"/>
              </w:rPr>
            </w:pPr>
            <w:bookmarkStart w:id="1153" w:name="未检出"/>
            <w:bookmarkEnd w:id="1153"/>
            <w:r>
              <w:rPr>
                <w:sz w:val="21"/>
              </w:rPr>
              <w:t>未检出</w:t>
            </w:r>
          </w:p>
        </w:tc>
        <w:tc>
          <w:tcPr>
            <w:tcW w:w="1579" w:type="dxa"/>
          </w:tcPr>
          <w:p>
            <w:pPr>
              <w:pStyle w:val="14"/>
              <w:spacing w:before="76"/>
              <w:ind w:left="9"/>
              <w:rPr>
                <w:rFonts w:ascii="Times New Roman"/>
                <w:sz w:val="21"/>
              </w:rPr>
            </w:pPr>
            <w:r>
              <w:rPr>
                <w:rFonts w:ascii="Times New Roman"/>
                <w:w w:val="99"/>
                <w:sz w:val="21"/>
              </w:rPr>
              <w:t>/</w:t>
            </w:r>
          </w:p>
        </w:tc>
        <w:tc>
          <w:tcPr>
            <w:tcW w:w="1580" w:type="dxa"/>
          </w:tcPr>
          <w:p>
            <w:pPr>
              <w:pStyle w:val="14"/>
              <w:spacing w:before="76"/>
              <w:ind w:left="760"/>
              <w:jc w:val="left"/>
              <w:rPr>
                <w:rFonts w:ascii="Times New Roman"/>
                <w:sz w:val="21"/>
              </w:rPr>
            </w:pPr>
            <w:r>
              <w:rPr>
                <w:rFonts w:ascii="Times New Roman"/>
                <w:w w:val="99"/>
                <w:sz w:val="21"/>
              </w:rPr>
              <w:t>/</w:t>
            </w:r>
          </w:p>
        </w:tc>
        <w:tc>
          <w:tcPr>
            <w:tcW w:w="1083" w:type="dxa"/>
          </w:tcPr>
          <w:p>
            <w:pPr>
              <w:pStyle w:val="14"/>
              <w:spacing w:before="62"/>
              <w:ind w:left="307" w:right="30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3"/>
              <w:ind w:left="156" w:right="147"/>
              <w:rPr>
                <w:sz w:val="21"/>
              </w:rPr>
            </w:pPr>
            <w:r>
              <w:rPr>
                <w:sz w:val="21"/>
              </w:rPr>
              <w:t>邻二甲苯</w:t>
            </w:r>
          </w:p>
        </w:tc>
        <w:tc>
          <w:tcPr>
            <w:tcW w:w="1367" w:type="dxa"/>
          </w:tcPr>
          <w:p>
            <w:pPr>
              <w:pStyle w:val="14"/>
              <w:spacing w:before="77"/>
              <w:ind w:right="405"/>
              <w:jc w:val="right"/>
              <w:rPr>
                <w:rFonts w:ascii="Times New Roman"/>
                <w:sz w:val="21"/>
              </w:rPr>
            </w:pPr>
            <w:r>
              <w:rPr>
                <w:rFonts w:ascii="Times New Roman"/>
                <w:sz w:val="21"/>
              </w:rPr>
              <w:t>mg/kg</w:t>
            </w:r>
          </w:p>
        </w:tc>
        <w:tc>
          <w:tcPr>
            <w:tcW w:w="1579" w:type="dxa"/>
          </w:tcPr>
          <w:p>
            <w:pPr>
              <w:pStyle w:val="14"/>
              <w:spacing w:before="66"/>
              <w:ind w:left="453" w:right="445"/>
              <w:rPr>
                <w:sz w:val="21"/>
              </w:rPr>
            </w:pPr>
            <w:bookmarkStart w:id="1154" w:name="未检出"/>
            <w:bookmarkEnd w:id="1154"/>
            <w:r>
              <w:rPr>
                <w:sz w:val="21"/>
              </w:rPr>
              <w:t>未检出</w:t>
            </w:r>
          </w:p>
        </w:tc>
        <w:tc>
          <w:tcPr>
            <w:tcW w:w="1579" w:type="dxa"/>
          </w:tcPr>
          <w:p>
            <w:pPr>
              <w:pStyle w:val="14"/>
              <w:spacing w:before="77"/>
              <w:ind w:left="9"/>
              <w:rPr>
                <w:rFonts w:ascii="Times New Roman"/>
                <w:sz w:val="21"/>
              </w:rPr>
            </w:pPr>
            <w:r>
              <w:rPr>
                <w:rFonts w:ascii="Times New Roman"/>
                <w:w w:val="99"/>
                <w:sz w:val="21"/>
              </w:rPr>
              <w:t>/</w:t>
            </w:r>
          </w:p>
        </w:tc>
        <w:tc>
          <w:tcPr>
            <w:tcW w:w="1580" w:type="dxa"/>
          </w:tcPr>
          <w:p>
            <w:pPr>
              <w:pStyle w:val="14"/>
              <w:spacing w:before="77"/>
              <w:ind w:left="760"/>
              <w:jc w:val="left"/>
              <w:rPr>
                <w:rFonts w:ascii="Times New Roman"/>
                <w:sz w:val="21"/>
              </w:rPr>
            </w:pPr>
            <w:r>
              <w:rPr>
                <w:rFonts w:ascii="Times New Roman"/>
                <w:w w:val="99"/>
                <w:sz w:val="21"/>
              </w:rPr>
              <w:t>/</w:t>
            </w:r>
          </w:p>
        </w:tc>
        <w:tc>
          <w:tcPr>
            <w:tcW w:w="1083" w:type="dxa"/>
          </w:tcPr>
          <w:p>
            <w:pPr>
              <w:pStyle w:val="14"/>
              <w:spacing w:before="63"/>
              <w:ind w:left="307" w:right="30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2"/>
              <w:ind w:left="156" w:right="150"/>
              <w:rPr>
                <w:sz w:val="21"/>
              </w:rPr>
            </w:pPr>
            <w:r>
              <w:rPr>
                <w:sz w:val="21"/>
              </w:rPr>
              <w:t>硝基苯</w:t>
            </w:r>
          </w:p>
        </w:tc>
        <w:tc>
          <w:tcPr>
            <w:tcW w:w="1367" w:type="dxa"/>
          </w:tcPr>
          <w:p>
            <w:pPr>
              <w:pStyle w:val="14"/>
              <w:spacing w:before="76"/>
              <w:ind w:right="405"/>
              <w:jc w:val="right"/>
              <w:rPr>
                <w:rFonts w:ascii="Times New Roman"/>
                <w:sz w:val="21"/>
              </w:rPr>
            </w:pPr>
            <w:r>
              <w:rPr>
                <w:rFonts w:ascii="Times New Roman"/>
                <w:sz w:val="21"/>
              </w:rPr>
              <w:t>mg/kg</w:t>
            </w:r>
          </w:p>
        </w:tc>
        <w:tc>
          <w:tcPr>
            <w:tcW w:w="1579" w:type="dxa"/>
          </w:tcPr>
          <w:p>
            <w:pPr>
              <w:pStyle w:val="14"/>
              <w:spacing w:before="67"/>
              <w:ind w:left="453" w:right="445"/>
              <w:rPr>
                <w:sz w:val="21"/>
              </w:rPr>
            </w:pPr>
            <w:bookmarkStart w:id="1155" w:name="未检出"/>
            <w:bookmarkEnd w:id="1155"/>
            <w:r>
              <w:rPr>
                <w:sz w:val="21"/>
              </w:rPr>
              <w:t>未检出</w:t>
            </w:r>
          </w:p>
        </w:tc>
        <w:tc>
          <w:tcPr>
            <w:tcW w:w="1579" w:type="dxa"/>
          </w:tcPr>
          <w:p>
            <w:pPr>
              <w:pStyle w:val="14"/>
              <w:spacing w:before="76"/>
              <w:ind w:left="9"/>
              <w:rPr>
                <w:rFonts w:ascii="Times New Roman"/>
                <w:sz w:val="21"/>
              </w:rPr>
            </w:pPr>
            <w:r>
              <w:rPr>
                <w:rFonts w:ascii="Times New Roman"/>
                <w:w w:val="99"/>
                <w:sz w:val="21"/>
              </w:rPr>
              <w:t>/</w:t>
            </w:r>
          </w:p>
        </w:tc>
        <w:tc>
          <w:tcPr>
            <w:tcW w:w="1580" w:type="dxa"/>
          </w:tcPr>
          <w:p>
            <w:pPr>
              <w:pStyle w:val="14"/>
              <w:spacing w:before="76"/>
              <w:ind w:left="760"/>
              <w:jc w:val="left"/>
              <w:rPr>
                <w:rFonts w:ascii="Times New Roman"/>
                <w:sz w:val="21"/>
              </w:rPr>
            </w:pPr>
            <w:r>
              <w:rPr>
                <w:rFonts w:ascii="Times New Roman"/>
                <w:w w:val="99"/>
                <w:sz w:val="21"/>
              </w:rPr>
              <w:t>/</w:t>
            </w:r>
          </w:p>
        </w:tc>
        <w:tc>
          <w:tcPr>
            <w:tcW w:w="1083" w:type="dxa"/>
          </w:tcPr>
          <w:p>
            <w:pPr>
              <w:pStyle w:val="14"/>
              <w:spacing w:before="62"/>
              <w:ind w:left="307" w:right="30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3"/>
              <w:ind w:left="156" w:right="150"/>
              <w:rPr>
                <w:sz w:val="21"/>
              </w:rPr>
            </w:pPr>
            <w:r>
              <w:rPr>
                <w:sz w:val="21"/>
              </w:rPr>
              <w:t>苯胺</w:t>
            </w:r>
          </w:p>
        </w:tc>
        <w:tc>
          <w:tcPr>
            <w:tcW w:w="1367" w:type="dxa"/>
          </w:tcPr>
          <w:p>
            <w:pPr>
              <w:pStyle w:val="14"/>
              <w:spacing w:before="77"/>
              <w:ind w:right="405"/>
              <w:jc w:val="right"/>
              <w:rPr>
                <w:rFonts w:ascii="Times New Roman"/>
                <w:sz w:val="21"/>
              </w:rPr>
            </w:pPr>
            <w:r>
              <w:rPr>
                <w:rFonts w:ascii="Times New Roman"/>
                <w:sz w:val="21"/>
              </w:rPr>
              <w:t>mg/kg</w:t>
            </w:r>
          </w:p>
        </w:tc>
        <w:tc>
          <w:tcPr>
            <w:tcW w:w="1579" w:type="dxa"/>
          </w:tcPr>
          <w:p>
            <w:pPr>
              <w:pStyle w:val="14"/>
              <w:spacing w:before="65"/>
              <w:ind w:left="453" w:right="445"/>
              <w:rPr>
                <w:sz w:val="21"/>
              </w:rPr>
            </w:pPr>
            <w:bookmarkStart w:id="1156" w:name="未检出"/>
            <w:bookmarkEnd w:id="1156"/>
            <w:r>
              <w:rPr>
                <w:sz w:val="21"/>
              </w:rPr>
              <w:t>未检出</w:t>
            </w:r>
          </w:p>
        </w:tc>
        <w:tc>
          <w:tcPr>
            <w:tcW w:w="1579" w:type="dxa"/>
          </w:tcPr>
          <w:p>
            <w:pPr>
              <w:pStyle w:val="14"/>
              <w:spacing w:before="77"/>
              <w:ind w:left="9"/>
              <w:rPr>
                <w:rFonts w:ascii="Times New Roman"/>
                <w:sz w:val="21"/>
              </w:rPr>
            </w:pPr>
            <w:r>
              <w:rPr>
                <w:rFonts w:ascii="Times New Roman"/>
                <w:w w:val="99"/>
                <w:sz w:val="21"/>
              </w:rPr>
              <w:t>/</w:t>
            </w:r>
          </w:p>
        </w:tc>
        <w:tc>
          <w:tcPr>
            <w:tcW w:w="1580" w:type="dxa"/>
          </w:tcPr>
          <w:p>
            <w:pPr>
              <w:pStyle w:val="14"/>
              <w:spacing w:before="77"/>
              <w:ind w:left="760"/>
              <w:jc w:val="left"/>
              <w:rPr>
                <w:rFonts w:ascii="Times New Roman"/>
                <w:sz w:val="21"/>
              </w:rPr>
            </w:pPr>
            <w:r>
              <w:rPr>
                <w:rFonts w:ascii="Times New Roman"/>
                <w:w w:val="99"/>
                <w:sz w:val="21"/>
              </w:rPr>
              <w:t>/</w:t>
            </w:r>
          </w:p>
        </w:tc>
        <w:tc>
          <w:tcPr>
            <w:tcW w:w="1083" w:type="dxa"/>
          </w:tcPr>
          <w:p>
            <w:pPr>
              <w:pStyle w:val="14"/>
              <w:spacing w:before="63"/>
              <w:ind w:left="307" w:right="30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4"/>
              <w:ind w:left="156" w:right="150"/>
              <w:rPr>
                <w:sz w:val="21"/>
              </w:rPr>
            </w:pPr>
            <w:r>
              <w:rPr>
                <w:rFonts w:ascii="Times New Roman" w:eastAsia="Times New Roman"/>
                <w:sz w:val="21"/>
              </w:rPr>
              <w:t>2-</w:t>
            </w:r>
            <w:r>
              <w:rPr>
                <w:sz w:val="21"/>
              </w:rPr>
              <w:t>氯酚</w:t>
            </w:r>
          </w:p>
        </w:tc>
        <w:tc>
          <w:tcPr>
            <w:tcW w:w="1367" w:type="dxa"/>
          </w:tcPr>
          <w:p>
            <w:pPr>
              <w:pStyle w:val="14"/>
              <w:spacing w:before="78"/>
              <w:ind w:right="405"/>
              <w:jc w:val="right"/>
              <w:rPr>
                <w:rFonts w:ascii="Times New Roman"/>
                <w:sz w:val="21"/>
              </w:rPr>
            </w:pPr>
            <w:r>
              <w:rPr>
                <w:rFonts w:ascii="Times New Roman"/>
                <w:sz w:val="21"/>
              </w:rPr>
              <w:t>mg/kg</w:t>
            </w:r>
          </w:p>
        </w:tc>
        <w:tc>
          <w:tcPr>
            <w:tcW w:w="1579" w:type="dxa"/>
          </w:tcPr>
          <w:p>
            <w:pPr>
              <w:pStyle w:val="14"/>
              <w:spacing w:before="66"/>
              <w:ind w:left="453" w:right="445"/>
              <w:rPr>
                <w:sz w:val="21"/>
              </w:rPr>
            </w:pPr>
            <w:bookmarkStart w:id="1157" w:name="未检出"/>
            <w:bookmarkEnd w:id="1157"/>
            <w:r>
              <w:rPr>
                <w:sz w:val="21"/>
              </w:rPr>
              <w:t>未检出</w:t>
            </w:r>
          </w:p>
        </w:tc>
        <w:tc>
          <w:tcPr>
            <w:tcW w:w="1579" w:type="dxa"/>
          </w:tcPr>
          <w:p>
            <w:pPr>
              <w:pStyle w:val="14"/>
              <w:spacing w:before="78"/>
              <w:ind w:left="9"/>
              <w:rPr>
                <w:rFonts w:ascii="Times New Roman"/>
                <w:sz w:val="21"/>
              </w:rPr>
            </w:pPr>
            <w:r>
              <w:rPr>
                <w:rFonts w:ascii="Times New Roman"/>
                <w:w w:val="99"/>
                <w:sz w:val="21"/>
              </w:rPr>
              <w:t>/</w:t>
            </w:r>
          </w:p>
        </w:tc>
        <w:tc>
          <w:tcPr>
            <w:tcW w:w="1580" w:type="dxa"/>
          </w:tcPr>
          <w:p>
            <w:pPr>
              <w:pStyle w:val="14"/>
              <w:spacing w:before="78"/>
              <w:ind w:left="760"/>
              <w:jc w:val="left"/>
              <w:rPr>
                <w:rFonts w:ascii="Times New Roman"/>
                <w:sz w:val="21"/>
              </w:rPr>
            </w:pPr>
            <w:r>
              <w:rPr>
                <w:rFonts w:ascii="Times New Roman"/>
                <w:w w:val="99"/>
                <w:sz w:val="21"/>
              </w:rPr>
              <w:t>/</w:t>
            </w:r>
          </w:p>
        </w:tc>
        <w:tc>
          <w:tcPr>
            <w:tcW w:w="1083" w:type="dxa"/>
          </w:tcPr>
          <w:p>
            <w:pPr>
              <w:pStyle w:val="14"/>
              <w:spacing w:before="64"/>
              <w:ind w:left="307" w:right="30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156" w:type="dxa"/>
          </w:tcPr>
          <w:p>
            <w:pPr>
              <w:pStyle w:val="14"/>
              <w:spacing w:before="62"/>
              <w:ind w:left="156" w:right="147"/>
              <w:rPr>
                <w:sz w:val="21"/>
              </w:rPr>
            </w:pPr>
            <w:r>
              <w:rPr>
                <w:sz w:val="21"/>
              </w:rPr>
              <w:t>苯并</w:t>
            </w:r>
            <w:r>
              <w:rPr>
                <w:rFonts w:ascii="Times New Roman" w:eastAsia="Times New Roman"/>
                <w:sz w:val="21"/>
              </w:rPr>
              <w:t>[a]</w:t>
            </w:r>
            <w:r>
              <w:rPr>
                <w:sz w:val="21"/>
              </w:rPr>
              <w:t>蒽</w:t>
            </w:r>
          </w:p>
        </w:tc>
        <w:tc>
          <w:tcPr>
            <w:tcW w:w="1367" w:type="dxa"/>
          </w:tcPr>
          <w:p>
            <w:pPr>
              <w:pStyle w:val="14"/>
              <w:spacing w:before="76"/>
              <w:ind w:right="405"/>
              <w:jc w:val="right"/>
              <w:rPr>
                <w:rFonts w:ascii="Times New Roman"/>
                <w:sz w:val="21"/>
              </w:rPr>
            </w:pPr>
            <w:r>
              <w:rPr>
                <w:rFonts w:ascii="Times New Roman"/>
                <w:sz w:val="21"/>
              </w:rPr>
              <w:t>mg/kg</w:t>
            </w:r>
          </w:p>
        </w:tc>
        <w:tc>
          <w:tcPr>
            <w:tcW w:w="1579" w:type="dxa"/>
          </w:tcPr>
          <w:p>
            <w:pPr>
              <w:pStyle w:val="14"/>
              <w:spacing w:before="65"/>
              <w:ind w:left="453" w:right="445"/>
              <w:rPr>
                <w:sz w:val="21"/>
              </w:rPr>
            </w:pPr>
            <w:bookmarkStart w:id="1158" w:name="未检出"/>
            <w:bookmarkEnd w:id="1158"/>
            <w:r>
              <w:rPr>
                <w:sz w:val="21"/>
              </w:rPr>
              <w:t>未检出</w:t>
            </w:r>
          </w:p>
        </w:tc>
        <w:tc>
          <w:tcPr>
            <w:tcW w:w="1579" w:type="dxa"/>
          </w:tcPr>
          <w:p>
            <w:pPr>
              <w:pStyle w:val="14"/>
              <w:spacing w:before="76"/>
              <w:ind w:left="9"/>
              <w:rPr>
                <w:rFonts w:ascii="Times New Roman"/>
                <w:sz w:val="21"/>
              </w:rPr>
            </w:pPr>
            <w:r>
              <w:rPr>
                <w:rFonts w:ascii="Times New Roman"/>
                <w:w w:val="99"/>
                <w:sz w:val="21"/>
              </w:rPr>
              <w:t>/</w:t>
            </w:r>
          </w:p>
        </w:tc>
        <w:tc>
          <w:tcPr>
            <w:tcW w:w="1580" w:type="dxa"/>
          </w:tcPr>
          <w:p>
            <w:pPr>
              <w:pStyle w:val="14"/>
              <w:spacing w:before="76"/>
              <w:ind w:left="760"/>
              <w:jc w:val="left"/>
              <w:rPr>
                <w:rFonts w:ascii="Times New Roman"/>
                <w:sz w:val="21"/>
              </w:rPr>
            </w:pPr>
            <w:r>
              <w:rPr>
                <w:rFonts w:ascii="Times New Roman"/>
                <w:w w:val="99"/>
                <w:sz w:val="21"/>
              </w:rPr>
              <w:t>/</w:t>
            </w:r>
          </w:p>
        </w:tc>
        <w:tc>
          <w:tcPr>
            <w:tcW w:w="1083" w:type="dxa"/>
          </w:tcPr>
          <w:p>
            <w:pPr>
              <w:pStyle w:val="14"/>
              <w:spacing w:before="62"/>
              <w:ind w:left="307" w:right="30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4"/>
              <w:ind w:left="156" w:right="147"/>
              <w:rPr>
                <w:sz w:val="21"/>
              </w:rPr>
            </w:pPr>
            <w:r>
              <w:rPr>
                <w:sz w:val="21"/>
              </w:rPr>
              <w:t>苯并</w:t>
            </w:r>
            <w:r>
              <w:rPr>
                <w:rFonts w:ascii="Times New Roman" w:eastAsia="Times New Roman"/>
                <w:sz w:val="21"/>
              </w:rPr>
              <w:t>[a]</w:t>
            </w:r>
            <w:r>
              <w:rPr>
                <w:sz w:val="21"/>
              </w:rPr>
              <w:t>芘</w:t>
            </w:r>
          </w:p>
        </w:tc>
        <w:tc>
          <w:tcPr>
            <w:tcW w:w="1367" w:type="dxa"/>
          </w:tcPr>
          <w:p>
            <w:pPr>
              <w:pStyle w:val="14"/>
              <w:spacing w:before="77"/>
              <w:ind w:right="405"/>
              <w:jc w:val="right"/>
              <w:rPr>
                <w:rFonts w:ascii="Times New Roman"/>
                <w:sz w:val="21"/>
              </w:rPr>
            </w:pPr>
            <w:r>
              <w:rPr>
                <w:rFonts w:ascii="Times New Roman"/>
                <w:sz w:val="21"/>
              </w:rPr>
              <w:t>mg/kg</w:t>
            </w:r>
          </w:p>
        </w:tc>
        <w:tc>
          <w:tcPr>
            <w:tcW w:w="1579" w:type="dxa"/>
          </w:tcPr>
          <w:p>
            <w:pPr>
              <w:pStyle w:val="14"/>
              <w:spacing w:before="66"/>
              <w:ind w:left="453" w:right="445"/>
              <w:rPr>
                <w:sz w:val="21"/>
              </w:rPr>
            </w:pPr>
            <w:bookmarkStart w:id="1159" w:name="未检出"/>
            <w:bookmarkEnd w:id="1159"/>
            <w:r>
              <w:rPr>
                <w:sz w:val="21"/>
              </w:rPr>
              <w:t>未检出</w:t>
            </w:r>
          </w:p>
        </w:tc>
        <w:tc>
          <w:tcPr>
            <w:tcW w:w="1579" w:type="dxa"/>
          </w:tcPr>
          <w:p>
            <w:pPr>
              <w:pStyle w:val="14"/>
              <w:spacing w:before="77"/>
              <w:ind w:left="9"/>
              <w:rPr>
                <w:rFonts w:ascii="Times New Roman"/>
                <w:sz w:val="21"/>
              </w:rPr>
            </w:pPr>
            <w:r>
              <w:rPr>
                <w:rFonts w:ascii="Times New Roman"/>
                <w:w w:val="99"/>
                <w:sz w:val="21"/>
              </w:rPr>
              <w:t>/</w:t>
            </w:r>
          </w:p>
        </w:tc>
        <w:tc>
          <w:tcPr>
            <w:tcW w:w="1580" w:type="dxa"/>
          </w:tcPr>
          <w:p>
            <w:pPr>
              <w:pStyle w:val="14"/>
              <w:spacing w:before="77"/>
              <w:ind w:left="760"/>
              <w:jc w:val="left"/>
              <w:rPr>
                <w:rFonts w:ascii="Times New Roman"/>
                <w:sz w:val="21"/>
              </w:rPr>
            </w:pPr>
            <w:r>
              <w:rPr>
                <w:rFonts w:ascii="Times New Roman"/>
                <w:w w:val="99"/>
                <w:sz w:val="21"/>
              </w:rPr>
              <w:t>/</w:t>
            </w:r>
          </w:p>
        </w:tc>
        <w:tc>
          <w:tcPr>
            <w:tcW w:w="1083" w:type="dxa"/>
          </w:tcPr>
          <w:p>
            <w:pPr>
              <w:pStyle w:val="14"/>
              <w:spacing w:before="64"/>
              <w:ind w:left="307" w:right="30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2"/>
              <w:ind w:left="156" w:right="150"/>
              <w:rPr>
                <w:sz w:val="21"/>
              </w:rPr>
            </w:pPr>
            <w:r>
              <w:rPr>
                <w:sz w:val="21"/>
              </w:rPr>
              <w:t>苯并</w:t>
            </w:r>
            <w:r>
              <w:rPr>
                <w:rFonts w:ascii="Times New Roman" w:eastAsia="Times New Roman"/>
                <w:sz w:val="21"/>
              </w:rPr>
              <w:t>[b]</w:t>
            </w:r>
            <w:r>
              <w:rPr>
                <w:sz w:val="21"/>
              </w:rPr>
              <w:t>荧蒽</w:t>
            </w:r>
          </w:p>
        </w:tc>
        <w:tc>
          <w:tcPr>
            <w:tcW w:w="1367" w:type="dxa"/>
          </w:tcPr>
          <w:p>
            <w:pPr>
              <w:pStyle w:val="14"/>
              <w:spacing w:before="76"/>
              <w:ind w:right="405"/>
              <w:jc w:val="right"/>
              <w:rPr>
                <w:rFonts w:ascii="Times New Roman"/>
                <w:sz w:val="21"/>
              </w:rPr>
            </w:pPr>
            <w:r>
              <w:rPr>
                <w:rFonts w:ascii="Times New Roman"/>
                <w:sz w:val="21"/>
              </w:rPr>
              <w:t>mg/kg</w:t>
            </w:r>
          </w:p>
        </w:tc>
        <w:tc>
          <w:tcPr>
            <w:tcW w:w="1579" w:type="dxa"/>
          </w:tcPr>
          <w:p>
            <w:pPr>
              <w:pStyle w:val="14"/>
              <w:spacing w:before="67"/>
              <w:ind w:left="453" w:right="445"/>
              <w:rPr>
                <w:sz w:val="21"/>
              </w:rPr>
            </w:pPr>
            <w:bookmarkStart w:id="1160" w:name="未检出"/>
            <w:bookmarkEnd w:id="1160"/>
            <w:r>
              <w:rPr>
                <w:sz w:val="21"/>
              </w:rPr>
              <w:t>未检出</w:t>
            </w:r>
          </w:p>
        </w:tc>
        <w:tc>
          <w:tcPr>
            <w:tcW w:w="1579" w:type="dxa"/>
          </w:tcPr>
          <w:p>
            <w:pPr>
              <w:pStyle w:val="14"/>
              <w:spacing w:before="76"/>
              <w:ind w:left="9"/>
              <w:rPr>
                <w:rFonts w:ascii="Times New Roman"/>
                <w:sz w:val="21"/>
              </w:rPr>
            </w:pPr>
            <w:r>
              <w:rPr>
                <w:rFonts w:ascii="Times New Roman"/>
                <w:w w:val="99"/>
                <w:sz w:val="21"/>
              </w:rPr>
              <w:t>/</w:t>
            </w:r>
          </w:p>
        </w:tc>
        <w:tc>
          <w:tcPr>
            <w:tcW w:w="1580" w:type="dxa"/>
          </w:tcPr>
          <w:p>
            <w:pPr>
              <w:pStyle w:val="14"/>
              <w:spacing w:before="76"/>
              <w:ind w:left="760"/>
              <w:jc w:val="left"/>
              <w:rPr>
                <w:rFonts w:ascii="Times New Roman"/>
                <w:sz w:val="21"/>
              </w:rPr>
            </w:pPr>
            <w:r>
              <w:rPr>
                <w:rFonts w:ascii="Times New Roman"/>
                <w:w w:val="99"/>
                <w:sz w:val="21"/>
              </w:rPr>
              <w:t>/</w:t>
            </w:r>
          </w:p>
        </w:tc>
        <w:tc>
          <w:tcPr>
            <w:tcW w:w="1083" w:type="dxa"/>
          </w:tcPr>
          <w:p>
            <w:pPr>
              <w:pStyle w:val="14"/>
              <w:spacing w:before="62"/>
              <w:ind w:left="307" w:right="30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3"/>
              <w:ind w:left="156" w:right="150"/>
              <w:rPr>
                <w:sz w:val="21"/>
              </w:rPr>
            </w:pPr>
            <w:r>
              <w:rPr>
                <w:sz w:val="21"/>
              </w:rPr>
              <w:t>苯并</w:t>
            </w:r>
            <w:r>
              <w:rPr>
                <w:rFonts w:ascii="Times New Roman" w:eastAsia="Times New Roman"/>
                <w:sz w:val="21"/>
              </w:rPr>
              <w:t>[k]</w:t>
            </w:r>
            <w:r>
              <w:rPr>
                <w:sz w:val="21"/>
              </w:rPr>
              <w:t>荧蒽</w:t>
            </w:r>
          </w:p>
        </w:tc>
        <w:tc>
          <w:tcPr>
            <w:tcW w:w="1367" w:type="dxa"/>
          </w:tcPr>
          <w:p>
            <w:pPr>
              <w:pStyle w:val="14"/>
              <w:spacing w:before="77"/>
              <w:ind w:right="405"/>
              <w:jc w:val="right"/>
              <w:rPr>
                <w:rFonts w:ascii="Times New Roman"/>
                <w:sz w:val="21"/>
              </w:rPr>
            </w:pPr>
            <w:r>
              <w:rPr>
                <w:rFonts w:ascii="Times New Roman"/>
                <w:sz w:val="21"/>
              </w:rPr>
              <w:t>mg/kg</w:t>
            </w:r>
          </w:p>
        </w:tc>
        <w:tc>
          <w:tcPr>
            <w:tcW w:w="1579" w:type="dxa"/>
          </w:tcPr>
          <w:p>
            <w:pPr>
              <w:pStyle w:val="14"/>
              <w:spacing w:before="66"/>
              <w:ind w:left="453" w:right="445"/>
              <w:rPr>
                <w:sz w:val="21"/>
              </w:rPr>
            </w:pPr>
            <w:bookmarkStart w:id="1161" w:name="未检出"/>
            <w:bookmarkEnd w:id="1161"/>
            <w:r>
              <w:rPr>
                <w:sz w:val="21"/>
              </w:rPr>
              <w:t>未检出</w:t>
            </w:r>
          </w:p>
        </w:tc>
        <w:tc>
          <w:tcPr>
            <w:tcW w:w="1579" w:type="dxa"/>
          </w:tcPr>
          <w:p>
            <w:pPr>
              <w:pStyle w:val="14"/>
              <w:spacing w:before="77"/>
              <w:ind w:left="9"/>
              <w:rPr>
                <w:rFonts w:ascii="Times New Roman"/>
                <w:sz w:val="21"/>
              </w:rPr>
            </w:pPr>
            <w:r>
              <w:rPr>
                <w:rFonts w:ascii="Times New Roman"/>
                <w:w w:val="99"/>
                <w:sz w:val="21"/>
              </w:rPr>
              <w:t>/</w:t>
            </w:r>
          </w:p>
        </w:tc>
        <w:tc>
          <w:tcPr>
            <w:tcW w:w="1580" w:type="dxa"/>
          </w:tcPr>
          <w:p>
            <w:pPr>
              <w:pStyle w:val="14"/>
              <w:spacing w:before="77"/>
              <w:ind w:left="760"/>
              <w:jc w:val="left"/>
              <w:rPr>
                <w:rFonts w:ascii="Times New Roman"/>
                <w:sz w:val="21"/>
              </w:rPr>
            </w:pPr>
            <w:r>
              <w:rPr>
                <w:rFonts w:ascii="Times New Roman"/>
                <w:w w:val="99"/>
                <w:sz w:val="21"/>
              </w:rPr>
              <w:t>/</w:t>
            </w:r>
          </w:p>
        </w:tc>
        <w:tc>
          <w:tcPr>
            <w:tcW w:w="1083" w:type="dxa"/>
          </w:tcPr>
          <w:p>
            <w:pPr>
              <w:pStyle w:val="14"/>
              <w:spacing w:before="63"/>
              <w:ind w:left="307" w:right="30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56" w:type="dxa"/>
          </w:tcPr>
          <w:p>
            <w:pPr>
              <w:pStyle w:val="14"/>
              <w:spacing w:before="62"/>
              <w:ind w:left="9"/>
              <w:rPr>
                <w:sz w:val="21"/>
              </w:rPr>
            </w:pPr>
            <w:r>
              <w:rPr>
                <w:w w:val="99"/>
                <w:sz w:val="21"/>
              </w:rPr>
              <w:t>䓛</w:t>
            </w:r>
          </w:p>
        </w:tc>
        <w:tc>
          <w:tcPr>
            <w:tcW w:w="1367" w:type="dxa"/>
          </w:tcPr>
          <w:p>
            <w:pPr>
              <w:pStyle w:val="14"/>
              <w:spacing w:before="76"/>
              <w:ind w:right="405"/>
              <w:jc w:val="right"/>
              <w:rPr>
                <w:rFonts w:ascii="Times New Roman"/>
                <w:sz w:val="21"/>
              </w:rPr>
            </w:pPr>
            <w:r>
              <w:rPr>
                <w:rFonts w:ascii="Times New Roman"/>
                <w:sz w:val="21"/>
              </w:rPr>
              <w:t>mg/kg</w:t>
            </w:r>
          </w:p>
        </w:tc>
        <w:tc>
          <w:tcPr>
            <w:tcW w:w="1579" w:type="dxa"/>
          </w:tcPr>
          <w:p>
            <w:pPr>
              <w:pStyle w:val="14"/>
              <w:spacing w:before="66"/>
              <w:ind w:left="453" w:right="445"/>
              <w:rPr>
                <w:sz w:val="21"/>
              </w:rPr>
            </w:pPr>
            <w:bookmarkStart w:id="1162" w:name="未检出"/>
            <w:bookmarkEnd w:id="1162"/>
            <w:r>
              <w:rPr>
                <w:sz w:val="21"/>
              </w:rPr>
              <w:t>未检出</w:t>
            </w:r>
          </w:p>
        </w:tc>
        <w:tc>
          <w:tcPr>
            <w:tcW w:w="1579" w:type="dxa"/>
          </w:tcPr>
          <w:p>
            <w:pPr>
              <w:pStyle w:val="14"/>
              <w:spacing w:before="76"/>
              <w:ind w:left="9"/>
              <w:rPr>
                <w:rFonts w:ascii="Times New Roman"/>
                <w:sz w:val="21"/>
              </w:rPr>
            </w:pPr>
            <w:r>
              <w:rPr>
                <w:rFonts w:ascii="Times New Roman"/>
                <w:w w:val="99"/>
                <w:sz w:val="21"/>
              </w:rPr>
              <w:t>/</w:t>
            </w:r>
          </w:p>
        </w:tc>
        <w:tc>
          <w:tcPr>
            <w:tcW w:w="1580" w:type="dxa"/>
          </w:tcPr>
          <w:p>
            <w:pPr>
              <w:pStyle w:val="14"/>
              <w:spacing w:before="76"/>
              <w:ind w:left="760"/>
              <w:jc w:val="left"/>
              <w:rPr>
                <w:rFonts w:ascii="Times New Roman"/>
                <w:sz w:val="21"/>
              </w:rPr>
            </w:pPr>
            <w:r>
              <w:rPr>
                <w:rFonts w:ascii="Times New Roman"/>
                <w:w w:val="99"/>
                <w:sz w:val="21"/>
              </w:rPr>
              <w:t>/</w:t>
            </w:r>
          </w:p>
        </w:tc>
        <w:tc>
          <w:tcPr>
            <w:tcW w:w="1083" w:type="dxa"/>
          </w:tcPr>
          <w:p>
            <w:pPr>
              <w:pStyle w:val="14"/>
              <w:spacing w:before="62"/>
              <w:ind w:left="307" w:right="30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156" w:type="dxa"/>
          </w:tcPr>
          <w:p>
            <w:pPr>
              <w:pStyle w:val="14"/>
              <w:spacing w:before="63"/>
              <w:ind w:left="156" w:right="145"/>
              <w:rPr>
                <w:sz w:val="21"/>
              </w:rPr>
            </w:pPr>
            <w:r>
              <w:rPr>
                <w:sz w:val="21"/>
              </w:rPr>
              <w:t>二苯并</w:t>
            </w:r>
            <w:r>
              <w:rPr>
                <w:rFonts w:ascii="Times New Roman" w:eastAsia="Times New Roman"/>
                <w:sz w:val="21"/>
              </w:rPr>
              <w:t>[a, h]</w:t>
            </w:r>
            <w:r>
              <w:rPr>
                <w:sz w:val="21"/>
              </w:rPr>
              <w:t>蒽</w:t>
            </w:r>
          </w:p>
        </w:tc>
        <w:tc>
          <w:tcPr>
            <w:tcW w:w="1367" w:type="dxa"/>
          </w:tcPr>
          <w:p>
            <w:pPr>
              <w:pStyle w:val="14"/>
              <w:spacing w:before="77"/>
              <w:ind w:right="405"/>
              <w:jc w:val="right"/>
              <w:rPr>
                <w:rFonts w:ascii="Times New Roman"/>
                <w:sz w:val="21"/>
              </w:rPr>
            </w:pPr>
            <w:r>
              <w:rPr>
                <w:rFonts w:ascii="Times New Roman"/>
                <w:sz w:val="21"/>
              </w:rPr>
              <w:t>mg/kg</w:t>
            </w:r>
          </w:p>
        </w:tc>
        <w:tc>
          <w:tcPr>
            <w:tcW w:w="1579" w:type="dxa"/>
          </w:tcPr>
          <w:p>
            <w:pPr>
              <w:pStyle w:val="14"/>
              <w:spacing w:before="65"/>
              <w:ind w:left="453" w:right="445"/>
              <w:rPr>
                <w:sz w:val="21"/>
              </w:rPr>
            </w:pPr>
            <w:bookmarkStart w:id="1163" w:name="未检出"/>
            <w:bookmarkEnd w:id="1163"/>
            <w:r>
              <w:rPr>
                <w:sz w:val="21"/>
              </w:rPr>
              <w:t>未检出</w:t>
            </w:r>
          </w:p>
        </w:tc>
        <w:tc>
          <w:tcPr>
            <w:tcW w:w="1579" w:type="dxa"/>
          </w:tcPr>
          <w:p>
            <w:pPr>
              <w:pStyle w:val="14"/>
              <w:spacing w:before="77"/>
              <w:ind w:left="9"/>
              <w:rPr>
                <w:rFonts w:ascii="Times New Roman"/>
                <w:sz w:val="21"/>
              </w:rPr>
            </w:pPr>
            <w:r>
              <w:rPr>
                <w:rFonts w:ascii="Times New Roman"/>
                <w:w w:val="99"/>
                <w:sz w:val="21"/>
              </w:rPr>
              <w:t>/</w:t>
            </w:r>
          </w:p>
        </w:tc>
        <w:tc>
          <w:tcPr>
            <w:tcW w:w="1580" w:type="dxa"/>
          </w:tcPr>
          <w:p>
            <w:pPr>
              <w:pStyle w:val="14"/>
              <w:spacing w:before="77"/>
              <w:ind w:left="760"/>
              <w:jc w:val="left"/>
              <w:rPr>
                <w:rFonts w:ascii="Times New Roman"/>
                <w:sz w:val="21"/>
              </w:rPr>
            </w:pPr>
            <w:r>
              <w:rPr>
                <w:rFonts w:ascii="Times New Roman"/>
                <w:w w:val="99"/>
                <w:sz w:val="21"/>
              </w:rPr>
              <w:t>/</w:t>
            </w:r>
          </w:p>
        </w:tc>
        <w:tc>
          <w:tcPr>
            <w:tcW w:w="1083" w:type="dxa"/>
          </w:tcPr>
          <w:p>
            <w:pPr>
              <w:pStyle w:val="14"/>
              <w:spacing w:before="63"/>
              <w:ind w:left="307" w:right="303"/>
              <w:rPr>
                <w:sz w:val="21"/>
              </w:rPr>
            </w:pPr>
            <w:r>
              <w:rPr>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2156" w:type="dxa"/>
          </w:tcPr>
          <w:p>
            <w:pPr>
              <w:pStyle w:val="14"/>
              <w:spacing w:before="64"/>
              <w:ind w:left="156" w:right="142"/>
              <w:rPr>
                <w:sz w:val="21"/>
              </w:rPr>
            </w:pPr>
            <w:r>
              <w:rPr>
                <w:sz w:val="21"/>
              </w:rPr>
              <w:t>茚并</w:t>
            </w:r>
            <w:r>
              <w:rPr>
                <w:rFonts w:ascii="Times New Roman" w:eastAsia="Times New Roman"/>
                <w:sz w:val="21"/>
              </w:rPr>
              <w:t>[1,2,3-cd]</w:t>
            </w:r>
            <w:r>
              <w:rPr>
                <w:sz w:val="21"/>
              </w:rPr>
              <w:t>芘</w:t>
            </w:r>
          </w:p>
        </w:tc>
        <w:tc>
          <w:tcPr>
            <w:tcW w:w="1367" w:type="dxa"/>
          </w:tcPr>
          <w:p>
            <w:pPr>
              <w:pStyle w:val="14"/>
              <w:spacing w:before="78"/>
              <w:ind w:right="405"/>
              <w:jc w:val="right"/>
              <w:rPr>
                <w:rFonts w:ascii="Times New Roman"/>
                <w:sz w:val="21"/>
              </w:rPr>
            </w:pPr>
            <w:r>
              <w:rPr>
                <w:rFonts w:ascii="Times New Roman"/>
                <w:sz w:val="21"/>
              </w:rPr>
              <w:t>mg/kg</w:t>
            </w:r>
          </w:p>
        </w:tc>
        <w:tc>
          <w:tcPr>
            <w:tcW w:w="1579" w:type="dxa"/>
          </w:tcPr>
          <w:p>
            <w:pPr>
              <w:pStyle w:val="14"/>
              <w:spacing w:before="66"/>
              <w:ind w:left="453" w:right="445"/>
              <w:rPr>
                <w:sz w:val="21"/>
              </w:rPr>
            </w:pPr>
            <w:bookmarkStart w:id="1164" w:name="未检出"/>
            <w:bookmarkEnd w:id="1164"/>
            <w:r>
              <w:rPr>
                <w:sz w:val="21"/>
              </w:rPr>
              <w:t>未检出</w:t>
            </w:r>
          </w:p>
        </w:tc>
        <w:tc>
          <w:tcPr>
            <w:tcW w:w="1579" w:type="dxa"/>
          </w:tcPr>
          <w:p>
            <w:pPr>
              <w:pStyle w:val="14"/>
              <w:spacing w:before="78"/>
              <w:ind w:left="9"/>
              <w:rPr>
                <w:rFonts w:ascii="Times New Roman"/>
                <w:sz w:val="21"/>
              </w:rPr>
            </w:pPr>
            <w:r>
              <w:rPr>
                <w:rFonts w:ascii="Times New Roman"/>
                <w:w w:val="99"/>
                <w:sz w:val="21"/>
              </w:rPr>
              <w:t>/</w:t>
            </w:r>
          </w:p>
        </w:tc>
        <w:tc>
          <w:tcPr>
            <w:tcW w:w="1580" w:type="dxa"/>
          </w:tcPr>
          <w:p>
            <w:pPr>
              <w:pStyle w:val="14"/>
              <w:spacing w:before="78"/>
              <w:ind w:left="760"/>
              <w:jc w:val="left"/>
              <w:rPr>
                <w:rFonts w:ascii="Times New Roman"/>
                <w:sz w:val="21"/>
              </w:rPr>
            </w:pPr>
            <w:r>
              <w:rPr>
                <w:rFonts w:ascii="Times New Roman"/>
                <w:w w:val="99"/>
                <w:sz w:val="21"/>
              </w:rPr>
              <w:t>/</w:t>
            </w:r>
          </w:p>
        </w:tc>
        <w:tc>
          <w:tcPr>
            <w:tcW w:w="1083" w:type="dxa"/>
          </w:tcPr>
          <w:p>
            <w:pPr>
              <w:pStyle w:val="14"/>
              <w:spacing w:before="64"/>
              <w:ind w:left="307" w:right="303"/>
              <w:rPr>
                <w:sz w:val="21"/>
              </w:rPr>
            </w:pPr>
            <w:r>
              <w:rPr>
                <w:sz w:val="21"/>
              </w:rPr>
              <w:t>达标</w:t>
            </w:r>
          </w:p>
        </w:tc>
      </w:tr>
    </w:tbl>
    <w:p>
      <w:pPr>
        <w:spacing w:after="0"/>
        <w:rPr>
          <w:sz w:val="21"/>
        </w:rPr>
        <w:sectPr>
          <w:pgSz w:w="11910" w:h="16840"/>
          <w:pgMar w:top="1580" w:right="780" w:bottom="1240" w:left="1200" w:header="0" w:footer="1058" w:gutter="0"/>
        </w:sectPr>
      </w:pPr>
    </w:p>
    <w:tbl>
      <w:tblPr>
        <w:tblStyle w:val="10"/>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56"/>
        <w:gridCol w:w="1367"/>
        <w:gridCol w:w="1579"/>
        <w:gridCol w:w="1579"/>
        <w:gridCol w:w="1580"/>
        <w:gridCol w:w="10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156" w:type="dxa"/>
          </w:tcPr>
          <w:p>
            <w:pPr>
              <w:pStyle w:val="14"/>
              <w:spacing w:before="63"/>
              <w:ind w:left="9"/>
              <w:rPr>
                <w:sz w:val="21"/>
              </w:rPr>
            </w:pPr>
            <w:r>
              <w:rPr>
                <w:w w:val="99"/>
                <w:sz w:val="21"/>
              </w:rPr>
              <w:t>萘</w:t>
            </w:r>
          </w:p>
        </w:tc>
        <w:tc>
          <w:tcPr>
            <w:tcW w:w="1367" w:type="dxa"/>
          </w:tcPr>
          <w:p>
            <w:pPr>
              <w:pStyle w:val="14"/>
              <w:ind w:left="415"/>
              <w:jc w:val="left"/>
              <w:rPr>
                <w:rFonts w:ascii="Times New Roman"/>
                <w:sz w:val="21"/>
              </w:rPr>
            </w:pPr>
            <w:r>
              <w:rPr>
                <w:rFonts w:ascii="Times New Roman"/>
                <w:sz w:val="21"/>
              </w:rPr>
              <w:t>mg/kg</w:t>
            </w:r>
          </w:p>
        </w:tc>
        <w:tc>
          <w:tcPr>
            <w:tcW w:w="1579" w:type="dxa"/>
          </w:tcPr>
          <w:p>
            <w:pPr>
              <w:pStyle w:val="14"/>
              <w:spacing w:before="65"/>
              <w:ind w:left="474"/>
              <w:jc w:val="left"/>
              <w:rPr>
                <w:sz w:val="21"/>
              </w:rPr>
            </w:pPr>
            <w:bookmarkStart w:id="1165" w:name="未检出"/>
            <w:bookmarkEnd w:id="1165"/>
            <w:r>
              <w:rPr>
                <w:sz w:val="21"/>
              </w:rPr>
              <w:t>未检出</w:t>
            </w:r>
          </w:p>
        </w:tc>
        <w:tc>
          <w:tcPr>
            <w:tcW w:w="1579" w:type="dxa"/>
          </w:tcPr>
          <w:p>
            <w:pPr>
              <w:pStyle w:val="14"/>
              <w:spacing w:before="77"/>
              <w:ind w:left="9"/>
              <w:rPr>
                <w:rFonts w:ascii="Times New Roman"/>
                <w:sz w:val="21"/>
              </w:rPr>
            </w:pPr>
            <w:r>
              <w:rPr>
                <w:rFonts w:ascii="Times New Roman"/>
                <w:w w:val="99"/>
                <w:sz w:val="21"/>
              </w:rPr>
              <w:t>/</w:t>
            </w:r>
          </w:p>
        </w:tc>
        <w:tc>
          <w:tcPr>
            <w:tcW w:w="1580" w:type="dxa"/>
          </w:tcPr>
          <w:p>
            <w:pPr>
              <w:pStyle w:val="14"/>
              <w:spacing w:before="77"/>
              <w:ind w:left="8"/>
              <w:rPr>
                <w:rFonts w:ascii="Times New Roman"/>
                <w:sz w:val="21"/>
              </w:rPr>
            </w:pPr>
            <w:r>
              <w:rPr>
                <w:rFonts w:ascii="Times New Roman"/>
                <w:w w:val="99"/>
                <w:sz w:val="21"/>
              </w:rPr>
              <w:t>/</w:t>
            </w:r>
          </w:p>
        </w:tc>
        <w:tc>
          <w:tcPr>
            <w:tcW w:w="1083" w:type="dxa"/>
          </w:tcPr>
          <w:p>
            <w:pPr>
              <w:pStyle w:val="14"/>
              <w:spacing w:before="63"/>
              <w:ind w:left="329"/>
              <w:jc w:val="left"/>
              <w:rPr>
                <w:sz w:val="21"/>
              </w:rPr>
            </w:pPr>
            <w:r>
              <w:rPr>
                <w:sz w:val="21"/>
              </w:rPr>
              <w:t>达标</w:t>
            </w:r>
          </w:p>
        </w:tc>
      </w:tr>
    </w:tbl>
    <w:p>
      <w:pPr>
        <w:pStyle w:val="6"/>
        <w:spacing w:before="7" w:line="362" w:lineRule="auto"/>
        <w:ind w:left="215" w:right="577" w:firstLine="480"/>
        <w:jc w:val="both"/>
      </w:pPr>
      <w:r>
        <w:rPr>
          <w:spacing w:val="-11"/>
        </w:rPr>
        <w:t>监测结果表明，工业场地内各监测点各项指标均能达到《土壤环境质量 建设用地土</w:t>
      </w:r>
      <w:r>
        <w:rPr>
          <w:spacing w:val="-1"/>
        </w:rPr>
        <w:t>壤污染风险管控标准</w:t>
      </w:r>
      <w:r>
        <w:rPr>
          <w:spacing w:val="-3"/>
        </w:rPr>
        <w:t>（</w:t>
      </w:r>
      <w:r>
        <w:t>试行</w:t>
      </w:r>
      <w:r>
        <w:rPr>
          <w:spacing w:val="-5"/>
        </w:rPr>
        <w:t>）</w:t>
      </w:r>
      <w:r>
        <w:rPr>
          <w:spacing w:val="-15"/>
        </w:rPr>
        <w:t>》</w:t>
      </w:r>
      <w:r>
        <w:t>（</w:t>
      </w:r>
      <w:r>
        <w:rPr>
          <w:rFonts w:ascii="Times New Roman" w:eastAsia="Times New Roman"/>
        </w:rPr>
        <w:t>GB36600-2018</w:t>
      </w:r>
      <w:r>
        <w:t>）</w:t>
      </w:r>
      <w:r>
        <w:rPr>
          <w:spacing w:val="-2"/>
        </w:rPr>
        <w:t>第二类用地筛选值标准。土壤环境质</w:t>
      </w:r>
      <w:r>
        <w:t>量良好。</w:t>
      </w:r>
    </w:p>
    <w:p>
      <w:pPr>
        <w:pStyle w:val="3"/>
        <w:numPr>
          <w:ilvl w:val="1"/>
          <w:numId w:val="73"/>
        </w:numPr>
        <w:tabs>
          <w:tab w:val="left" w:pos="893"/>
        </w:tabs>
        <w:spacing w:before="6" w:after="0" w:line="240" w:lineRule="auto"/>
        <w:ind w:left="892" w:right="0" w:hanging="678"/>
        <w:jc w:val="left"/>
      </w:pPr>
      <w:bookmarkStart w:id="1166" w:name="_TOC_250000"/>
      <w:bookmarkEnd w:id="1166"/>
      <w:r>
        <w:t>项目施工期土壤环境影响分析</w:t>
      </w:r>
    </w:p>
    <w:p>
      <w:pPr>
        <w:pStyle w:val="6"/>
        <w:spacing w:before="199" w:line="364" w:lineRule="auto"/>
        <w:ind w:left="215" w:right="580" w:firstLine="480"/>
        <w:jc w:val="both"/>
      </w:pPr>
      <w:r>
        <w:t>施工期对土壤的影响主要是表土扰动，施工期间的污废水排放，固体废物堆存，及施工设备漏油等，造成污染物进入土壤环境。项目施工期间采取的措施主要是对表土进行了剥离和单独堆存，用于工业场地内的植被恢复。施工人员生活污水排入防渗旱厕定期清掏。固体废物应分类安全处置；施工期机械要勤加保养，防止漏油。采取上述措施后，建设期生产、生活污水基本不会对土壤环境造成影响。</w:t>
      </w:r>
    </w:p>
    <w:p>
      <w:pPr>
        <w:pStyle w:val="3"/>
        <w:numPr>
          <w:ilvl w:val="1"/>
          <w:numId w:val="73"/>
        </w:numPr>
        <w:tabs>
          <w:tab w:val="left" w:pos="816"/>
        </w:tabs>
        <w:spacing w:before="0" w:after="0" w:line="383" w:lineRule="exact"/>
        <w:ind w:left="816" w:right="0" w:hanging="601"/>
        <w:jc w:val="left"/>
      </w:pPr>
      <w:bookmarkStart w:id="1167" w:name="_bookmark65"/>
      <w:bookmarkEnd w:id="1167"/>
      <w:bookmarkStart w:id="1168" w:name="_bookmark65"/>
      <w:bookmarkEnd w:id="1168"/>
      <w:bookmarkStart w:id="1169" w:name="11.5运营期土壤环境影响分析"/>
      <w:bookmarkEnd w:id="1169"/>
      <w:r>
        <w:t>运营期土壤环境影响分析</w:t>
      </w:r>
    </w:p>
    <w:p>
      <w:pPr>
        <w:pStyle w:val="6"/>
        <w:spacing w:before="199" w:line="364" w:lineRule="auto"/>
        <w:ind w:left="215" w:right="580" w:firstLine="480"/>
        <w:jc w:val="both"/>
      </w:pPr>
      <w:r>
        <w:t>土壤是复杂的三相共存体系，其污染物质主要通过被污染大气的沉降、工业废水的漫流和入渗、以及固体废物通过大气迁移、扩散、沉降或降水淋溶、地表径流等而进入土壤环境。本次土壤环境评价工作等级为三级，不进行进一步预测分析，仅采用定向描述进行简单分析。</w:t>
      </w:r>
    </w:p>
    <w:p>
      <w:pPr>
        <w:pStyle w:val="13"/>
        <w:numPr>
          <w:ilvl w:val="0"/>
          <w:numId w:val="74"/>
        </w:numPr>
        <w:tabs>
          <w:tab w:val="left" w:pos="1297"/>
        </w:tabs>
        <w:spacing w:before="0" w:after="0" w:line="305" w:lineRule="exact"/>
        <w:ind w:left="1297" w:right="0" w:hanging="601"/>
        <w:jc w:val="left"/>
        <w:rPr>
          <w:sz w:val="24"/>
        </w:rPr>
      </w:pPr>
      <w:r>
        <w:rPr>
          <w:sz w:val="24"/>
        </w:rPr>
        <w:t>污染源分析</w:t>
      </w:r>
    </w:p>
    <w:p>
      <w:pPr>
        <w:pStyle w:val="6"/>
        <w:spacing w:before="160" w:line="364" w:lineRule="auto"/>
        <w:ind w:left="215" w:right="578" w:firstLine="480"/>
        <w:jc w:val="both"/>
      </w:pPr>
      <w:r>
        <w:rPr>
          <w:spacing w:val="-1"/>
        </w:rPr>
        <w:t>本项目运营期时期主要污染源来自于煤开采、储运等生产过程中产生的废水、废气</w:t>
      </w:r>
      <w:r>
        <w:rPr>
          <w:spacing w:val="-10"/>
        </w:rPr>
        <w:t>和固体废物等污染物，会对土壤环境产生负面影响。 废水主要来自于生产过程中的井下</w:t>
      </w:r>
      <w:r>
        <w:rPr>
          <w:spacing w:val="-1"/>
        </w:rPr>
        <w:t>涌水、生活过程中的污水排放；废气主要来源于采暖洗浴锅炉及热风炉废气、煤炭场内</w:t>
      </w:r>
      <w:r>
        <w:rPr>
          <w:spacing w:val="-2"/>
        </w:rPr>
        <w:t>储存和输送及煤矸石临时堆存产生的粉尘；固体废物主要来源锅炉灰渣、污泥、生活垃</w:t>
      </w:r>
      <w:r>
        <w:t>圾及矸石。</w:t>
      </w:r>
    </w:p>
    <w:p>
      <w:pPr>
        <w:pStyle w:val="13"/>
        <w:numPr>
          <w:ilvl w:val="0"/>
          <w:numId w:val="74"/>
        </w:numPr>
        <w:tabs>
          <w:tab w:val="left" w:pos="1297"/>
        </w:tabs>
        <w:spacing w:before="0" w:after="0" w:line="303" w:lineRule="exact"/>
        <w:ind w:left="1297" w:right="0" w:hanging="601"/>
        <w:jc w:val="left"/>
        <w:rPr>
          <w:sz w:val="24"/>
        </w:rPr>
      </w:pPr>
      <w:r>
        <w:rPr>
          <w:sz w:val="24"/>
        </w:rPr>
        <w:t>影响分析</w:t>
      </w:r>
    </w:p>
    <w:p>
      <w:pPr>
        <w:pStyle w:val="6"/>
        <w:spacing w:before="161" w:line="364" w:lineRule="auto"/>
        <w:ind w:left="215" w:right="577" w:firstLine="480"/>
        <w:jc w:val="both"/>
      </w:pPr>
      <w:r>
        <w:t>本项目各功能区均采取</w:t>
      </w:r>
      <w:r>
        <w:rPr>
          <w:rFonts w:ascii="Times New Roman" w:hAnsi="Times New Roman" w:eastAsia="Times New Roman"/>
        </w:rPr>
        <w:t>“</w:t>
      </w:r>
      <w:r>
        <w:t>源头控制</w:t>
      </w:r>
      <w:r>
        <w:rPr>
          <w:rFonts w:ascii="Times New Roman" w:hAnsi="Times New Roman" w:eastAsia="Times New Roman"/>
        </w:rPr>
        <w:t>”</w:t>
      </w:r>
      <w:r>
        <w:t>、</w:t>
      </w:r>
      <w:r>
        <w:rPr>
          <w:rFonts w:ascii="Times New Roman" w:hAnsi="Times New Roman" w:eastAsia="Times New Roman"/>
        </w:rPr>
        <w:t>“</w:t>
      </w:r>
      <w:r>
        <w:t>分区防控</w:t>
      </w:r>
      <w:r>
        <w:rPr>
          <w:rFonts w:ascii="Times New Roman" w:hAnsi="Times New Roman" w:eastAsia="Times New Roman"/>
        </w:rPr>
        <w:t>”</w:t>
      </w:r>
      <w:r>
        <w:t>的防渗措施，可以有效保证污染物</w:t>
      </w:r>
      <w:r>
        <w:rPr>
          <w:spacing w:val="-6"/>
        </w:rPr>
        <w:t>不会进入土壤环境，防止污染土壤。项目产生的固体废物均在室内堆放，满足</w:t>
      </w:r>
      <w:r>
        <w:rPr>
          <w:rFonts w:ascii="Times New Roman" w:hAnsi="Times New Roman" w:eastAsia="Times New Roman"/>
        </w:rPr>
        <w:t>“</w:t>
      </w:r>
      <w:r>
        <w:rPr>
          <w:spacing w:val="-11"/>
        </w:rPr>
        <w:t>防风、防</w:t>
      </w:r>
      <w:r>
        <w:rPr>
          <w:spacing w:val="-6"/>
        </w:rPr>
        <w:t>雨、防晒</w:t>
      </w:r>
      <w:r>
        <w:rPr>
          <w:rFonts w:ascii="Times New Roman" w:hAnsi="Times New Roman" w:eastAsia="Times New Roman"/>
        </w:rPr>
        <w:t>”</w:t>
      </w:r>
      <w:r>
        <w:rPr>
          <w:spacing w:val="-9"/>
        </w:rPr>
        <w:t>的要求，经收集后均进行妥善处理，不直接排入土壤环境。整个过程基本上可</w:t>
      </w:r>
      <w:r>
        <w:rPr>
          <w:spacing w:val="-1"/>
        </w:rPr>
        <w:t>以杜绝固体废物接触土壤，且建设项目场地地面会做硬化处理，对土壤环境不会造成影响。运营期产生的废气、废水、固体废物等污染物均有妥善的处理、处置措施严格执行</w:t>
      </w:r>
      <w:r>
        <w:t>各项环保措施，则各种污染物对土壤环境的影响均处于可接受范围内。</w:t>
      </w:r>
    </w:p>
    <w:p>
      <w:pPr>
        <w:spacing w:after="0" w:line="364" w:lineRule="auto"/>
        <w:jc w:val="both"/>
        <w:sectPr>
          <w:pgSz w:w="11910" w:h="16840"/>
          <w:pgMar w:top="1580" w:right="780" w:bottom="1240" w:left="1200" w:header="0" w:footer="1058" w:gutter="0"/>
        </w:sect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10"/>
        <w:rPr>
          <w:sz w:val="29"/>
        </w:rPr>
      </w:pPr>
    </w:p>
    <w:p>
      <w:pPr>
        <w:pStyle w:val="2"/>
        <w:numPr>
          <w:ilvl w:val="0"/>
          <w:numId w:val="62"/>
        </w:numPr>
        <w:tabs>
          <w:tab w:val="left" w:pos="3022"/>
        </w:tabs>
        <w:spacing w:before="61" w:after="0" w:line="240" w:lineRule="auto"/>
        <w:ind w:left="3021" w:right="360" w:hanging="3022"/>
        <w:jc w:val="left"/>
      </w:pPr>
      <w:bookmarkStart w:id="1170" w:name="_bookmark66"/>
      <w:bookmarkEnd w:id="1170"/>
      <w:bookmarkStart w:id="1171" w:name="_bookmark66"/>
      <w:bookmarkEnd w:id="1171"/>
      <w:bookmarkStart w:id="1172" w:name="12.清洁生产与循环经济分析"/>
      <w:bookmarkEnd w:id="1172"/>
      <w:r>
        <w:t>清洁生产与循环经济分析</w:t>
      </w:r>
    </w:p>
    <w:p>
      <w:pPr>
        <w:pStyle w:val="6"/>
        <w:rPr>
          <w:b/>
          <w:sz w:val="32"/>
        </w:rPr>
      </w:pPr>
    </w:p>
    <w:p>
      <w:pPr>
        <w:pStyle w:val="3"/>
        <w:numPr>
          <w:ilvl w:val="1"/>
          <w:numId w:val="75"/>
        </w:numPr>
        <w:tabs>
          <w:tab w:val="left" w:pos="816"/>
        </w:tabs>
        <w:spacing w:before="0" w:after="0" w:line="240" w:lineRule="auto"/>
        <w:ind w:left="816" w:right="0" w:hanging="601"/>
        <w:jc w:val="left"/>
      </w:pPr>
      <w:bookmarkStart w:id="1173" w:name="_bookmark67"/>
      <w:bookmarkEnd w:id="1173"/>
      <w:bookmarkStart w:id="1174" w:name="12.1循环经济分析"/>
      <w:bookmarkEnd w:id="1174"/>
      <w:bookmarkStart w:id="1175" w:name="_bookmark67"/>
      <w:bookmarkEnd w:id="1175"/>
      <w:r>
        <w:t>循环经济分析</w:t>
      </w:r>
    </w:p>
    <w:p>
      <w:pPr>
        <w:pStyle w:val="6"/>
        <w:spacing w:before="199"/>
        <w:ind w:left="696"/>
      </w:pPr>
      <w:r>
        <w:rPr>
          <w:rFonts w:ascii="Times New Roman" w:eastAsia="Times New Roman"/>
        </w:rPr>
        <w:t xml:space="preserve">2008 </w:t>
      </w:r>
      <w:r>
        <w:t xml:space="preserve">年 </w:t>
      </w:r>
      <w:r>
        <w:rPr>
          <w:rFonts w:ascii="Times New Roman" w:eastAsia="Times New Roman"/>
        </w:rPr>
        <w:t xml:space="preserve">8 </w:t>
      </w:r>
      <w:r>
        <w:t xml:space="preserve">月 </w:t>
      </w:r>
      <w:r>
        <w:rPr>
          <w:rFonts w:ascii="Times New Roman" w:eastAsia="Times New Roman"/>
        </w:rPr>
        <w:t xml:space="preserve">29 </w:t>
      </w:r>
      <w:r>
        <w:t>日，第十一届全国人民代表大会常务委员会第四次会议通过了《中</w:t>
      </w:r>
    </w:p>
    <w:p>
      <w:pPr>
        <w:pStyle w:val="6"/>
        <w:spacing w:before="158" w:line="364" w:lineRule="auto"/>
        <w:ind w:left="215" w:right="457"/>
      </w:pPr>
      <w:r>
        <w:rPr>
          <w:spacing w:val="-8"/>
        </w:rPr>
        <w:t xml:space="preserve">华人民共和国循环经济促进法》，自 </w:t>
      </w:r>
      <w:r>
        <w:rPr>
          <w:rFonts w:ascii="Times New Roman" w:hAnsi="Times New Roman" w:eastAsia="Times New Roman"/>
        </w:rPr>
        <w:t xml:space="preserve">2009 </w:t>
      </w:r>
      <w:r>
        <w:rPr>
          <w:spacing w:val="-30"/>
        </w:rPr>
        <w:t xml:space="preserve">年 </w:t>
      </w:r>
      <w:r>
        <w:rPr>
          <w:rFonts w:ascii="Times New Roman" w:hAnsi="Times New Roman" w:eastAsia="Times New Roman"/>
        </w:rPr>
        <w:t xml:space="preserve">1 </w:t>
      </w:r>
      <w:r>
        <w:rPr>
          <w:spacing w:val="-30"/>
        </w:rPr>
        <w:t xml:space="preserve">月 </w:t>
      </w:r>
      <w:r>
        <w:rPr>
          <w:rFonts w:ascii="Times New Roman" w:hAnsi="Times New Roman" w:eastAsia="Times New Roman"/>
        </w:rPr>
        <w:t xml:space="preserve">1 </w:t>
      </w:r>
      <w:r>
        <w:rPr>
          <w:spacing w:val="-7"/>
        </w:rPr>
        <w:t>日起实施。其中第九条规定：企业事</w:t>
      </w:r>
      <w:r>
        <w:rPr>
          <w:spacing w:val="-15"/>
        </w:rPr>
        <w:t xml:space="preserve">业单位应当建立健全管理制度，采取措施，降低资源消耗，减少废物的产生量和排放量， </w:t>
      </w:r>
      <w:r>
        <w:rPr>
          <w:spacing w:val="-5"/>
        </w:rPr>
        <w:t>提高废物的再利用和资源化水平。煤炭企业作为煤炭生产单位，长期受到</w:t>
      </w:r>
      <w:r>
        <w:rPr>
          <w:rFonts w:ascii="Times New Roman" w:hAnsi="Times New Roman" w:eastAsia="Times New Roman"/>
        </w:rPr>
        <w:t>“</w:t>
      </w:r>
      <w:r>
        <w:rPr>
          <w:spacing w:val="-6"/>
        </w:rPr>
        <w:t>高度开采、高</w:t>
      </w:r>
      <w:r>
        <w:rPr>
          <w:spacing w:val="-7"/>
        </w:rPr>
        <w:t>度排放、低度利用</w:t>
      </w:r>
      <w:r>
        <w:rPr>
          <w:rFonts w:ascii="Times New Roman" w:hAnsi="Times New Roman" w:eastAsia="Times New Roman"/>
        </w:rPr>
        <w:t>”</w:t>
      </w:r>
      <w:r>
        <w:t>的</w:t>
      </w:r>
      <w:r>
        <w:rPr>
          <w:rFonts w:ascii="Times New Roman" w:hAnsi="Times New Roman" w:eastAsia="Times New Roman"/>
        </w:rPr>
        <w:t>“</w:t>
      </w:r>
      <w:r>
        <w:t>两高一低</w:t>
      </w:r>
      <w:r>
        <w:rPr>
          <w:rFonts w:ascii="Times New Roman" w:hAnsi="Times New Roman" w:eastAsia="Times New Roman"/>
        </w:rPr>
        <w:t>”</w:t>
      </w:r>
      <w:r>
        <w:rPr>
          <w:spacing w:val="-5"/>
        </w:rPr>
        <w:t>生产模式的影响，资源浪费严重，生态环境遭到极大破坏，严重阻碍了资源的可持续利用和企业的可持续发展。大力发展循环经济，推进煤炭企业生产方式转变，走资源利用率高、安全有保障、经济效益好、环境污染少的可持续发展之路，符合科学发展观和可持续发展理念的经济增长模式，成为新时期煤炭企业的必然选择。</w:t>
      </w:r>
    </w:p>
    <w:p>
      <w:pPr>
        <w:spacing w:after="0" w:line="364" w:lineRule="auto"/>
        <w:sectPr>
          <w:pgSz w:w="11910" w:h="16840"/>
          <w:pgMar w:top="1580" w:right="780" w:bottom="1320" w:left="1200" w:header="0" w:footer="1058" w:gutter="0"/>
        </w:sectPr>
      </w:pPr>
    </w:p>
    <w:p>
      <w:pPr>
        <w:pStyle w:val="4"/>
        <w:numPr>
          <w:ilvl w:val="2"/>
          <w:numId w:val="75"/>
        </w:numPr>
        <w:tabs>
          <w:tab w:val="left" w:pos="987"/>
        </w:tabs>
        <w:spacing w:before="47" w:after="0" w:line="240" w:lineRule="auto"/>
        <w:ind w:left="986" w:right="0" w:hanging="772"/>
        <w:jc w:val="left"/>
      </w:pPr>
      <w:bookmarkStart w:id="1176" w:name="12.1.1煤炭企业实现循环经济生产模式的基本思路"/>
      <w:bookmarkEnd w:id="1176"/>
      <w:bookmarkStart w:id="1177" w:name="12.1.1煤炭企业实现循环经济生产模式的基本思路"/>
      <w:bookmarkEnd w:id="1177"/>
      <w:r>
        <w:t>煤炭企业实现循环经济生产模式的基本思路</w:t>
      </w:r>
    </w:p>
    <w:p>
      <w:pPr>
        <w:pStyle w:val="6"/>
        <w:spacing w:before="185" w:line="364" w:lineRule="auto"/>
        <w:ind w:left="215" w:right="580" w:firstLine="480"/>
        <w:jc w:val="right"/>
      </w:pPr>
      <w:r>
        <w:t>煤炭企业是煤炭生产的主体，其活动包括从煤炭资源开采到产品加工，从组织生产到产品销售，以及废弃物产生的全过程。因此，煤炭企业内部循环经济的实施，要根据煤炭产品的生命周期，煤炭开采、煤产品加工、煤炭利用及废弃的各个阶段，推行清洁生产，节能降耗，减少产品和服务中物料和能源的使用量，实现污染物排放的最小化。在煤炭开采过程中，采用合理的开采顺序、方法和选矿工艺。在开采主要矿种的同</w:t>
      </w:r>
    </w:p>
    <w:p>
      <w:pPr>
        <w:pStyle w:val="6"/>
        <w:spacing w:line="364" w:lineRule="auto"/>
        <w:ind w:left="215" w:right="580"/>
        <w:jc w:val="both"/>
      </w:pPr>
      <w:r>
        <w:t>时：应当对具有工业价值的共生和伴生矿实行综合开采、合理利用；对必须同时采出而暂时不能利用的矿产，以及含有有用组分的尾矿，应当采取保护措施，防止资源损失和生态破坏。</w:t>
      </w:r>
    </w:p>
    <w:p>
      <w:pPr>
        <w:pStyle w:val="6"/>
        <w:spacing w:line="364" w:lineRule="auto"/>
        <w:ind w:left="215" w:right="580" w:firstLine="480"/>
        <w:jc w:val="both"/>
      </w:pPr>
      <w:r>
        <w:t>在煤炭生产加工和利用方面，煤炭企业应积极实施洁净煤战略，加强选煤厂配套建设，提高原煤洗选率，有效控制煤炭在利用之前可能排放的污染物，提高煤质，减少煤炭运输过程中的能源消耗。</w:t>
      </w:r>
    </w:p>
    <w:p>
      <w:pPr>
        <w:pStyle w:val="6"/>
        <w:spacing w:line="364" w:lineRule="auto"/>
        <w:ind w:left="215" w:right="580" w:firstLine="480"/>
        <w:jc w:val="both"/>
      </w:pPr>
      <w:r>
        <w:drawing>
          <wp:anchor distT="0" distB="0" distL="0" distR="0" simplePos="0" relativeHeight="1024" behindDoc="0" locked="0" layoutInCell="1" allowOverlap="1">
            <wp:simplePos x="0" y="0"/>
            <wp:positionH relativeFrom="page">
              <wp:posOffset>1073150</wp:posOffset>
            </wp:positionH>
            <wp:positionV relativeFrom="paragraph">
              <wp:posOffset>954405</wp:posOffset>
            </wp:positionV>
            <wp:extent cx="5485130" cy="2784475"/>
            <wp:effectExtent l="0" t="0" r="0" b="0"/>
            <wp:wrapTopAndBottom/>
            <wp:docPr id="7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43.jpeg"/>
                    <pic:cNvPicPr>
                      <a:picLocks noChangeAspect="1"/>
                    </pic:cNvPicPr>
                  </pic:nvPicPr>
                  <pic:blipFill>
                    <a:blip r:embed="rId79" cstate="print"/>
                    <a:stretch>
                      <a:fillRect/>
                    </a:stretch>
                  </pic:blipFill>
                  <pic:spPr>
                    <a:xfrm>
                      <a:off x="0" y="0"/>
                      <a:ext cx="5484850" cy="2784348"/>
                    </a:xfrm>
                    <a:prstGeom prst="rect">
                      <a:avLst/>
                    </a:prstGeom>
                  </pic:spPr>
                </pic:pic>
              </a:graphicData>
            </a:graphic>
          </wp:anchor>
        </w:drawing>
      </w:r>
      <w:r>
        <w:t>在废弃物处理再利用方面，对产生的粉煤灰、煤矸石、尾矿、废石、废料、废气等工业废物进行综合利用，最大限度地循环使用煤炭开采加工过程中的一切物质资源，实现废弃物资源化，保护和改善生态环境。</w:t>
      </w:r>
    </w:p>
    <w:p>
      <w:pPr>
        <w:spacing w:before="0"/>
        <w:ind w:left="0" w:right="352" w:firstLine="0"/>
        <w:jc w:val="center"/>
        <w:rPr>
          <w:b/>
          <w:sz w:val="21"/>
        </w:rPr>
      </w:pPr>
      <w:r>
        <w:rPr>
          <w:b/>
          <w:sz w:val="21"/>
        </w:rPr>
        <w:t xml:space="preserve">图 </w:t>
      </w:r>
      <w:r>
        <w:rPr>
          <w:rFonts w:ascii="Calibri" w:eastAsia="Calibri"/>
          <w:b/>
          <w:sz w:val="21"/>
        </w:rPr>
        <w:t xml:space="preserve">12.1-1 </w:t>
      </w:r>
      <w:r>
        <w:rPr>
          <w:b/>
          <w:sz w:val="21"/>
        </w:rPr>
        <w:t>煤炭企业循环经济生产模式图</w:t>
      </w:r>
    </w:p>
    <w:p>
      <w:pPr>
        <w:pStyle w:val="4"/>
        <w:numPr>
          <w:ilvl w:val="2"/>
          <w:numId w:val="75"/>
        </w:numPr>
        <w:tabs>
          <w:tab w:val="left" w:pos="1056"/>
        </w:tabs>
        <w:spacing w:before="4" w:after="0" w:line="240" w:lineRule="auto"/>
        <w:ind w:left="1056" w:right="0" w:hanging="841"/>
        <w:jc w:val="left"/>
      </w:pPr>
      <w:bookmarkStart w:id="1178" w:name="12.1.2 本项目可实施的循环经济生产项目"/>
      <w:bookmarkEnd w:id="1178"/>
      <w:bookmarkStart w:id="1179" w:name="12.1.2 本项目可实施的循环经济生产项目"/>
      <w:bookmarkEnd w:id="1179"/>
      <w:r>
        <w:t>本项目可实施的循环经济生产项目</w:t>
      </w:r>
    </w:p>
    <w:p>
      <w:pPr>
        <w:pStyle w:val="6"/>
        <w:spacing w:before="185"/>
        <w:ind w:left="696"/>
      </w:pPr>
      <w:r>
        <w:rPr>
          <w:rFonts w:ascii="Times New Roman" w:eastAsia="Times New Roman"/>
        </w:rPr>
        <w:t>1</w:t>
      </w:r>
      <w:r>
        <w:t>、污废水的综合利用</w:t>
      </w:r>
    </w:p>
    <w:p>
      <w:pPr>
        <w:pStyle w:val="13"/>
        <w:numPr>
          <w:ilvl w:val="3"/>
          <w:numId w:val="75"/>
        </w:numPr>
        <w:tabs>
          <w:tab w:val="left" w:pos="1297"/>
        </w:tabs>
        <w:spacing w:before="158" w:after="0" w:line="240" w:lineRule="auto"/>
        <w:ind w:left="1297" w:right="0" w:hanging="601"/>
        <w:jc w:val="left"/>
        <w:rPr>
          <w:sz w:val="24"/>
        </w:rPr>
      </w:pPr>
      <w:r>
        <w:rPr>
          <w:sz w:val="24"/>
        </w:rPr>
        <w:t>矿井涌水综合利用</w:t>
      </w:r>
    </w:p>
    <w:p>
      <w:pPr>
        <w:pStyle w:val="6"/>
        <w:spacing w:before="161"/>
        <w:ind w:left="696"/>
      </w:pPr>
      <w:r>
        <w:t xml:space="preserve">矿井水正常涌水量 </w:t>
      </w:r>
      <w:r>
        <w:rPr>
          <w:rFonts w:ascii="Times New Roman" w:eastAsia="Times New Roman"/>
        </w:rPr>
        <w:t>1824m</w:t>
      </w:r>
      <w:r>
        <w:rPr>
          <w:rFonts w:ascii="Times New Roman" w:eastAsia="Times New Roman"/>
          <w:position w:val="8"/>
          <w:sz w:val="15"/>
        </w:rPr>
        <w:t>3</w:t>
      </w:r>
      <w:r>
        <w:rPr>
          <w:rFonts w:ascii="Times New Roman" w:eastAsia="Times New Roman"/>
        </w:rPr>
        <w:t>/d</w:t>
      </w:r>
      <w:r>
        <w:t xml:space="preserve">，矿井水处理站处理能力为 </w:t>
      </w:r>
      <w:r>
        <w:rPr>
          <w:rFonts w:ascii="Times New Roman" w:eastAsia="Times New Roman"/>
        </w:rPr>
        <w:t>3720m</w:t>
      </w:r>
      <w:r>
        <w:rPr>
          <w:rFonts w:ascii="Times New Roman" w:eastAsia="Times New Roman"/>
          <w:position w:val="8"/>
          <w:sz w:val="15"/>
        </w:rPr>
        <w:t>3</w:t>
      </w:r>
      <w:r>
        <w:rPr>
          <w:rFonts w:ascii="Times New Roman" w:eastAsia="Times New Roman"/>
        </w:rPr>
        <w:t>/d</w:t>
      </w:r>
      <w:r>
        <w:t>，部分回用于工业</w:t>
      </w:r>
    </w:p>
    <w:p>
      <w:pPr>
        <w:spacing w:after="0"/>
        <w:sectPr>
          <w:pgSz w:w="11910" w:h="16840"/>
          <w:pgMar w:top="1540" w:right="780" w:bottom="1320" w:left="1200" w:header="0" w:footer="1058" w:gutter="0"/>
        </w:sectPr>
      </w:pPr>
    </w:p>
    <w:p>
      <w:pPr>
        <w:pStyle w:val="6"/>
        <w:spacing w:before="46"/>
        <w:ind w:left="215"/>
      </w:pPr>
      <w:r>
        <w:t>广场和井下用水等，剩余部分达标排入矿区附近排水水渠，最终汇入扁石河。</w:t>
      </w:r>
    </w:p>
    <w:p>
      <w:pPr>
        <w:pStyle w:val="13"/>
        <w:numPr>
          <w:ilvl w:val="3"/>
          <w:numId w:val="75"/>
        </w:numPr>
        <w:tabs>
          <w:tab w:val="left" w:pos="1297"/>
        </w:tabs>
        <w:spacing w:before="158" w:after="0" w:line="240" w:lineRule="auto"/>
        <w:ind w:left="1297" w:right="0" w:hanging="601"/>
        <w:jc w:val="left"/>
        <w:rPr>
          <w:sz w:val="24"/>
        </w:rPr>
      </w:pPr>
      <w:r>
        <w:rPr>
          <w:sz w:val="24"/>
        </w:rPr>
        <w:t>生活污水处理综合利用</w:t>
      </w:r>
    </w:p>
    <w:p>
      <w:pPr>
        <w:pStyle w:val="6"/>
        <w:spacing w:before="160"/>
        <w:ind w:left="696"/>
      </w:pPr>
      <w:r>
        <w:t xml:space="preserve">生活污水经污水处理装置处理，处理规模为 </w:t>
      </w:r>
      <w:r>
        <w:rPr>
          <w:rFonts w:ascii="Times New Roman" w:eastAsia="Times New Roman"/>
        </w:rPr>
        <w:t>360m</w:t>
      </w:r>
      <w:r>
        <w:rPr>
          <w:rFonts w:ascii="Times New Roman" w:eastAsia="Times New Roman"/>
          <w:position w:val="8"/>
          <w:sz w:val="15"/>
        </w:rPr>
        <w:t>3</w:t>
      </w:r>
      <w:r>
        <w:rPr>
          <w:rFonts w:ascii="Times New Roman" w:eastAsia="Times New Roman"/>
        </w:rPr>
        <w:t>/d</w:t>
      </w:r>
      <w:r>
        <w:t>，处理后全部回用不外排。</w:t>
      </w:r>
    </w:p>
    <w:p>
      <w:pPr>
        <w:pStyle w:val="6"/>
        <w:spacing w:before="159" w:line="364" w:lineRule="auto"/>
        <w:ind w:left="215" w:right="501" w:firstLine="566"/>
      </w:pPr>
      <w:r>
        <w:t>设计中认真贯彻国家有关节水技术政策和技术标准，在给水排水设计上进行优化。矿井生产供水水源采用处理后的井下涌水，井下涌水经提升后进入地面井下水处理站调节水池，经混凝沉淀</w:t>
      </w:r>
      <w:r>
        <w:rPr>
          <w:rFonts w:ascii="Times New Roman" w:eastAsia="Times New Roman"/>
        </w:rPr>
        <w:t>+</w:t>
      </w:r>
      <w:r>
        <w:t>过虑处理后的井下水作为井下消防洒水，后期考虑在混凝沉淀</w:t>
      </w:r>
      <w:r>
        <w:rPr>
          <w:rFonts w:ascii="Times New Roman" w:eastAsia="Times New Roman"/>
        </w:rPr>
        <w:t>+</w:t>
      </w:r>
      <w:r>
        <w:t>过虑处理的基础上进行深度处理后（活性炭过虑</w:t>
      </w:r>
      <w:r>
        <w:rPr>
          <w:rFonts w:ascii="Times New Roman" w:eastAsia="Times New Roman"/>
        </w:rPr>
        <w:t>+</w:t>
      </w:r>
      <w:r>
        <w:t>保安过虑</w:t>
      </w:r>
      <w:r>
        <w:rPr>
          <w:rFonts w:ascii="Times New Roman" w:eastAsia="Times New Roman"/>
        </w:rPr>
        <w:t>+</w:t>
      </w:r>
      <w:r>
        <w:t>超滤）的井下涌水用作矿井工业场地生活用水。采用高效节水型新工艺、新技术，设备及器材的选型上尽量采用技术先进、性能优越、高效、节能、新型的产品。</w:t>
      </w:r>
    </w:p>
    <w:p>
      <w:pPr>
        <w:pStyle w:val="6"/>
        <w:spacing w:line="304" w:lineRule="exact"/>
        <w:ind w:left="696"/>
      </w:pPr>
      <w:r>
        <w:rPr>
          <w:rFonts w:ascii="Times New Roman" w:eastAsia="Times New Roman"/>
        </w:rPr>
        <w:t>2</w:t>
      </w:r>
      <w:r>
        <w:t>、固体废物的综合利用</w:t>
      </w:r>
    </w:p>
    <w:p>
      <w:pPr>
        <w:pStyle w:val="6"/>
        <w:spacing w:before="160" w:line="364" w:lineRule="auto"/>
        <w:ind w:left="215" w:right="580" w:firstLine="480"/>
        <w:jc w:val="both"/>
      </w:pPr>
      <w:r>
        <w:t>前期产生的矸石主要用于修路和工业场地的平整，后期矸石主要用于填充采空区及塌陷区、修路和制砖。固体废物的资源化利用缓解了矸石大量堆放压站土地现象，在综合利用不畅时，则运往矸石场地临时堆存，在条件允许情况下，周转场矸石及时清运， 避免长期堆存，产生扬尘。</w:t>
      </w:r>
    </w:p>
    <w:p>
      <w:pPr>
        <w:pStyle w:val="6"/>
        <w:spacing w:before="2"/>
        <w:rPr>
          <w:sz w:val="33"/>
        </w:rPr>
      </w:pPr>
    </w:p>
    <w:p>
      <w:pPr>
        <w:pStyle w:val="3"/>
        <w:numPr>
          <w:ilvl w:val="1"/>
          <w:numId w:val="75"/>
        </w:numPr>
        <w:tabs>
          <w:tab w:val="left" w:pos="893"/>
        </w:tabs>
        <w:spacing w:before="0" w:after="0" w:line="240" w:lineRule="auto"/>
        <w:ind w:left="892" w:right="0" w:hanging="678"/>
        <w:jc w:val="left"/>
      </w:pPr>
      <w:bookmarkStart w:id="1180" w:name="12.2 清洁生产水平分析"/>
      <w:bookmarkEnd w:id="1180"/>
      <w:bookmarkStart w:id="1181" w:name="_bookmark68"/>
      <w:bookmarkEnd w:id="1181"/>
      <w:bookmarkStart w:id="1182" w:name="_bookmark68"/>
      <w:bookmarkEnd w:id="1182"/>
      <w:r>
        <w:t>清洁生产水平分析</w:t>
      </w:r>
    </w:p>
    <w:p>
      <w:pPr>
        <w:pStyle w:val="6"/>
        <w:spacing w:before="199" w:line="364" w:lineRule="auto"/>
        <w:ind w:left="215" w:right="457" w:firstLine="480"/>
      </w:pPr>
      <w:r>
        <w:t>清洁生产是一个系统工程，是对生产全过程以及产品的整个生命周期采取污染预防的综合措施。清洁生产技术的实施；首先必须技术上可行；其次要达到节能、降耗、减</w:t>
      </w:r>
      <w:r>
        <w:rPr>
          <w:spacing w:val="-11"/>
        </w:rPr>
        <w:t xml:space="preserve">污的目标，满足环境保护法规的要求；第三是在经济上能够获利，做到经济效益最大化， </w:t>
      </w:r>
      <w:r>
        <w:t>充分体现经济效益、环境效益和社会效益的高度统一。</w:t>
      </w:r>
    </w:p>
    <w:p>
      <w:pPr>
        <w:pStyle w:val="6"/>
        <w:spacing w:line="305" w:lineRule="exact"/>
        <w:ind w:left="696"/>
      </w:pPr>
      <w:r>
        <w:t>清洁生产的内容包括：</w:t>
      </w:r>
    </w:p>
    <w:p>
      <w:pPr>
        <w:pStyle w:val="13"/>
        <w:numPr>
          <w:ilvl w:val="0"/>
          <w:numId w:val="76"/>
        </w:numPr>
        <w:tabs>
          <w:tab w:val="left" w:pos="1297"/>
        </w:tabs>
        <w:spacing w:before="160" w:after="0" w:line="362" w:lineRule="auto"/>
        <w:ind w:left="215" w:right="469" w:firstLine="480"/>
        <w:jc w:val="left"/>
        <w:rPr>
          <w:sz w:val="24"/>
        </w:rPr>
      </w:pPr>
      <w:r>
        <w:rPr>
          <w:spacing w:val="-1"/>
          <w:sz w:val="24"/>
        </w:rPr>
        <w:t>清洁的能源，包括常规能源的清洁利用、可再生能源的利用、新能源的利用、</w:t>
      </w:r>
      <w:r>
        <w:rPr>
          <w:sz w:val="24"/>
        </w:rPr>
        <w:t>节能技术；</w:t>
      </w:r>
    </w:p>
    <w:p>
      <w:pPr>
        <w:pStyle w:val="13"/>
        <w:numPr>
          <w:ilvl w:val="0"/>
          <w:numId w:val="76"/>
        </w:numPr>
        <w:tabs>
          <w:tab w:val="left" w:pos="1297"/>
        </w:tabs>
        <w:spacing w:before="5" w:after="0" w:line="364" w:lineRule="auto"/>
        <w:ind w:left="215" w:right="578" w:firstLine="480"/>
        <w:jc w:val="both"/>
        <w:rPr>
          <w:sz w:val="24"/>
        </w:rPr>
      </w:pPr>
      <w:r>
        <w:rPr>
          <w:spacing w:val="-7"/>
          <w:sz w:val="24"/>
        </w:rPr>
        <w:t>清洁的生产过程，尽量少用或不用有毒有害的原料、有毒有害的中间产品、</w:t>
      </w:r>
      <w:r>
        <w:rPr>
          <w:spacing w:val="-4"/>
          <w:sz w:val="24"/>
        </w:rPr>
        <w:t>减少生产过程中的各种危险因素、少废或无废的工艺和高效的设备、物料的再循环</w:t>
      </w:r>
      <w:r>
        <w:rPr>
          <w:sz w:val="24"/>
        </w:rPr>
        <w:t>（厂</w:t>
      </w:r>
      <w:r>
        <w:rPr>
          <w:spacing w:val="-7"/>
          <w:sz w:val="24"/>
        </w:rPr>
        <w:t>内外</w:t>
      </w:r>
      <w:r>
        <w:rPr>
          <w:sz w:val="24"/>
        </w:rPr>
        <w:t>）、简便可靠的操作和控制、完善的管理；</w:t>
      </w:r>
    </w:p>
    <w:p>
      <w:pPr>
        <w:pStyle w:val="13"/>
        <w:numPr>
          <w:ilvl w:val="0"/>
          <w:numId w:val="76"/>
        </w:numPr>
        <w:tabs>
          <w:tab w:val="left" w:pos="1297"/>
        </w:tabs>
        <w:spacing w:before="0" w:after="0" w:line="364" w:lineRule="auto"/>
        <w:ind w:left="215" w:right="458" w:firstLine="480"/>
        <w:jc w:val="left"/>
        <w:rPr>
          <w:sz w:val="24"/>
        </w:rPr>
      </w:pPr>
      <w:r>
        <w:rPr>
          <w:spacing w:val="-12"/>
          <w:sz w:val="24"/>
        </w:rPr>
        <w:t>清洁的产品，节约原料和能源并少用昂贵和稀缺的原料、利用二次资源作原料</w:t>
      </w:r>
      <w:r>
        <w:rPr>
          <w:spacing w:val="-4"/>
          <w:sz w:val="24"/>
        </w:rPr>
        <w:t>、产品在使用过程中以及使用后不会危害人体健康和生态环境、易于回收复用和再生、合理包装、合理的使用功能和使用寿命、易处置和易降解；</w:t>
      </w:r>
    </w:p>
    <w:p>
      <w:pPr>
        <w:spacing w:after="0" w:line="364" w:lineRule="auto"/>
        <w:jc w:val="left"/>
        <w:rPr>
          <w:sz w:val="24"/>
        </w:rPr>
        <w:sectPr>
          <w:pgSz w:w="11910" w:h="16840"/>
          <w:pgMar w:top="1540" w:right="780" w:bottom="1320" w:left="1200" w:header="0" w:footer="1058" w:gutter="0"/>
        </w:sectPr>
      </w:pPr>
    </w:p>
    <w:p>
      <w:pPr>
        <w:pStyle w:val="6"/>
        <w:spacing w:before="46" w:line="364" w:lineRule="auto"/>
        <w:ind w:left="215" w:right="458" w:firstLine="480"/>
      </w:pPr>
      <w:r>
        <w:t>清洁生产的基本要求是：符合国家环保、产业政策要求，采用国内外先进的煤炭洗</w:t>
      </w:r>
      <w:r>
        <w:rPr>
          <w:spacing w:val="-12"/>
        </w:rPr>
        <w:t>选、煤泥水闭路循环、煤炭贮运生产工艺和技术设备。符合国家、地方和行业有关法律、</w:t>
      </w:r>
      <w:r>
        <w:t>法规、规范、产业政策、技术标准要求，污染物排放达到国家和地方排放标准、满足污染物总量控制和排污许可证管理要求。</w:t>
      </w:r>
    </w:p>
    <w:p>
      <w:pPr>
        <w:pStyle w:val="6"/>
        <w:spacing w:line="364" w:lineRule="auto"/>
        <w:ind w:left="215" w:right="578" w:firstLine="480"/>
        <w:jc w:val="both"/>
      </w:pPr>
      <w:r>
        <w:rPr>
          <w:rFonts w:ascii="Times New Roman" w:hAnsi="Times New Roman" w:eastAsia="Times New Roman"/>
        </w:rPr>
        <w:t xml:space="preserve">2019 </w:t>
      </w:r>
      <w:r>
        <w:rPr>
          <w:spacing w:val="-30"/>
        </w:rPr>
        <w:t xml:space="preserve">年 </w:t>
      </w:r>
      <w:r>
        <w:rPr>
          <w:rFonts w:ascii="Times New Roman" w:hAnsi="Times New Roman" w:eastAsia="Times New Roman"/>
        </w:rPr>
        <w:t xml:space="preserve">9 </w:t>
      </w:r>
      <w:r>
        <w:rPr>
          <w:spacing w:val="-20"/>
        </w:rPr>
        <w:t>月，国家发展和改革委员会、生态环境部、工业和信息化部联合发布了《煤</w:t>
      </w:r>
      <w:r>
        <w:rPr>
          <w:spacing w:val="-1"/>
        </w:rPr>
        <w:t>炭采选业清洁生产评价指标体系》，该指标体系将清洁生产指标分为五类，即生产工艺及装备指标、资源能源消耗指标、资源综合利用指标、生态环境指标和清洁生产管理指标。该指标体系依据综合评价所得分值将清洁生产等级划分为三级，Ⅰ级为国际清洁生</w:t>
      </w:r>
      <w:r>
        <w:t>产领先水平，Ⅱ级为国内清洁生产先进水平，Ⅲ级为国内清洁生产一般水平。</w:t>
      </w:r>
    </w:p>
    <w:p>
      <w:pPr>
        <w:pStyle w:val="6"/>
        <w:spacing w:line="303" w:lineRule="exact"/>
        <w:ind w:left="696"/>
      </w:pPr>
      <w:r>
        <w:t>对比情况见下表。</w:t>
      </w:r>
    </w:p>
    <w:p>
      <w:pPr>
        <w:pStyle w:val="6"/>
        <w:spacing w:before="158"/>
        <w:ind w:left="696"/>
      </w:pPr>
      <w:r>
        <w:t xml:space="preserve">对比情况见表 </w:t>
      </w:r>
      <w:r>
        <w:rPr>
          <w:rFonts w:ascii="Times New Roman" w:eastAsia="Times New Roman"/>
        </w:rPr>
        <w:t>12.2-1</w:t>
      </w:r>
      <w:r>
        <w:t>。</w:t>
      </w:r>
    </w:p>
    <w:p>
      <w:pPr>
        <w:spacing w:after="0"/>
        <w:sectPr>
          <w:pgSz w:w="11910" w:h="16840"/>
          <w:pgMar w:top="1540" w:right="780" w:bottom="1320" w:left="1200" w:header="0" w:footer="1058" w:gutter="0"/>
        </w:sectPr>
      </w:pPr>
    </w:p>
    <w:p>
      <w:pPr>
        <w:pStyle w:val="6"/>
        <w:spacing w:before="8"/>
        <w:rPr>
          <w:sz w:val="18"/>
        </w:rPr>
      </w:pPr>
    </w:p>
    <w:p>
      <w:pPr>
        <w:pStyle w:val="5"/>
        <w:spacing w:before="74"/>
        <w:ind w:left="5038" w:right="4546"/>
        <w:jc w:val="center"/>
      </w:pPr>
      <w:r>
        <w:t xml:space="preserve">表 </w:t>
      </w:r>
      <w:r>
        <w:rPr>
          <w:rFonts w:ascii="Times New Roman" w:eastAsia="Times New Roman"/>
        </w:rPr>
        <w:t xml:space="preserve">12.2-1 </w:t>
      </w:r>
      <w:r>
        <w:t>煤炭采选业清洁生产评价指标体系</w:t>
      </w:r>
    </w:p>
    <w:p>
      <w:pPr>
        <w:pStyle w:val="6"/>
        <w:spacing w:before="5"/>
        <w:rPr>
          <w:b/>
          <w:sz w:val="12"/>
        </w:rPr>
      </w:pPr>
    </w:p>
    <w:tbl>
      <w:tblPr>
        <w:tblStyle w:val="10"/>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72"/>
        <w:gridCol w:w="1090"/>
        <w:gridCol w:w="1068"/>
        <w:gridCol w:w="1818"/>
        <w:gridCol w:w="835"/>
        <w:gridCol w:w="933"/>
        <w:gridCol w:w="2641"/>
        <w:gridCol w:w="1879"/>
        <w:gridCol w:w="2021"/>
        <w:gridCol w:w="11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572" w:type="dxa"/>
            <w:tcBorders>
              <w:bottom w:val="single" w:color="000000" w:sz="4" w:space="0"/>
              <w:right w:val="single" w:color="000000" w:sz="4" w:space="0"/>
            </w:tcBorders>
          </w:tcPr>
          <w:p>
            <w:pPr>
              <w:pStyle w:val="14"/>
              <w:spacing w:before="164"/>
              <w:ind w:left="56" w:right="41"/>
              <w:rPr>
                <w:sz w:val="21"/>
              </w:rPr>
            </w:pPr>
            <w:r>
              <w:rPr>
                <w:sz w:val="21"/>
              </w:rPr>
              <w:t>序号</w:t>
            </w:r>
          </w:p>
        </w:tc>
        <w:tc>
          <w:tcPr>
            <w:tcW w:w="1090" w:type="dxa"/>
            <w:tcBorders>
              <w:left w:val="single" w:color="000000" w:sz="4" w:space="0"/>
              <w:bottom w:val="single" w:color="000000" w:sz="4" w:space="0"/>
              <w:right w:val="single" w:color="000000" w:sz="4" w:space="0"/>
            </w:tcBorders>
          </w:tcPr>
          <w:p>
            <w:pPr>
              <w:pStyle w:val="14"/>
              <w:spacing w:before="1"/>
              <w:ind w:left="16"/>
              <w:rPr>
                <w:sz w:val="21"/>
              </w:rPr>
            </w:pPr>
            <w:r>
              <w:rPr>
                <w:sz w:val="21"/>
              </w:rPr>
              <w:t>一级指标指</w:t>
            </w:r>
          </w:p>
          <w:p>
            <w:pPr>
              <w:pStyle w:val="14"/>
              <w:spacing w:before="57"/>
              <w:ind w:left="18"/>
              <w:rPr>
                <w:sz w:val="21"/>
              </w:rPr>
            </w:pPr>
            <w:r>
              <w:rPr>
                <w:sz w:val="21"/>
              </w:rPr>
              <w:t>标项</w:t>
            </w:r>
          </w:p>
        </w:tc>
        <w:tc>
          <w:tcPr>
            <w:tcW w:w="1068" w:type="dxa"/>
            <w:tcBorders>
              <w:left w:val="single" w:color="000000" w:sz="4" w:space="0"/>
              <w:bottom w:val="single" w:color="000000" w:sz="4" w:space="0"/>
              <w:right w:val="single" w:color="000000" w:sz="4" w:space="0"/>
            </w:tcBorders>
          </w:tcPr>
          <w:p>
            <w:pPr>
              <w:pStyle w:val="14"/>
              <w:spacing w:before="1"/>
              <w:ind w:left="13" w:right="-15"/>
              <w:rPr>
                <w:sz w:val="21"/>
              </w:rPr>
            </w:pPr>
            <w:r>
              <w:rPr>
                <w:sz w:val="21"/>
              </w:rPr>
              <w:t>一级指标权</w:t>
            </w:r>
          </w:p>
          <w:p>
            <w:pPr>
              <w:pStyle w:val="14"/>
              <w:spacing w:before="57"/>
              <w:ind w:left="306" w:right="290"/>
              <w:rPr>
                <w:sz w:val="21"/>
              </w:rPr>
            </w:pPr>
            <w:r>
              <w:rPr>
                <w:sz w:val="21"/>
              </w:rPr>
              <w:t>重值</w:t>
            </w:r>
          </w:p>
        </w:tc>
        <w:tc>
          <w:tcPr>
            <w:tcW w:w="1818" w:type="dxa"/>
            <w:tcBorders>
              <w:left w:val="single" w:color="000000" w:sz="4" w:space="0"/>
              <w:bottom w:val="single" w:color="000000" w:sz="4" w:space="0"/>
              <w:right w:val="single" w:color="000000" w:sz="4" w:space="0"/>
            </w:tcBorders>
          </w:tcPr>
          <w:p>
            <w:pPr>
              <w:pStyle w:val="14"/>
              <w:spacing w:before="164"/>
              <w:ind w:left="43" w:right="24"/>
              <w:rPr>
                <w:sz w:val="21"/>
              </w:rPr>
            </w:pPr>
            <w:r>
              <w:rPr>
                <w:sz w:val="21"/>
              </w:rPr>
              <w:t>二级指标指标项</w:t>
            </w:r>
          </w:p>
        </w:tc>
        <w:tc>
          <w:tcPr>
            <w:tcW w:w="835" w:type="dxa"/>
            <w:tcBorders>
              <w:left w:val="single" w:color="000000" w:sz="4" w:space="0"/>
              <w:bottom w:val="single" w:color="000000" w:sz="4" w:space="0"/>
              <w:right w:val="single" w:color="000000" w:sz="4" w:space="0"/>
            </w:tcBorders>
          </w:tcPr>
          <w:p>
            <w:pPr>
              <w:pStyle w:val="14"/>
              <w:spacing w:before="164"/>
              <w:ind w:left="190" w:right="174"/>
              <w:rPr>
                <w:sz w:val="21"/>
              </w:rPr>
            </w:pPr>
            <w:r>
              <w:rPr>
                <w:sz w:val="21"/>
              </w:rPr>
              <w:t>单位</w:t>
            </w:r>
          </w:p>
        </w:tc>
        <w:tc>
          <w:tcPr>
            <w:tcW w:w="933" w:type="dxa"/>
            <w:tcBorders>
              <w:left w:val="single" w:color="000000" w:sz="4" w:space="0"/>
              <w:bottom w:val="single" w:color="000000" w:sz="4" w:space="0"/>
              <w:right w:val="single" w:color="000000" w:sz="4" w:space="0"/>
            </w:tcBorders>
          </w:tcPr>
          <w:p>
            <w:pPr>
              <w:pStyle w:val="14"/>
              <w:spacing w:before="1"/>
              <w:ind w:left="51"/>
              <w:jc w:val="left"/>
              <w:rPr>
                <w:sz w:val="21"/>
              </w:rPr>
            </w:pPr>
            <w:r>
              <w:rPr>
                <w:w w:val="95"/>
                <w:sz w:val="21"/>
              </w:rPr>
              <w:t>二级指标</w:t>
            </w:r>
          </w:p>
          <w:p>
            <w:pPr>
              <w:pStyle w:val="14"/>
              <w:spacing w:before="57"/>
              <w:ind w:left="51"/>
              <w:jc w:val="left"/>
              <w:rPr>
                <w:sz w:val="21"/>
              </w:rPr>
            </w:pPr>
            <w:r>
              <w:rPr>
                <w:w w:val="95"/>
                <w:sz w:val="21"/>
              </w:rPr>
              <w:t>分权重值</w:t>
            </w:r>
          </w:p>
        </w:tc>
        <w:tc>
          <w:tcPr>
            <w:tcW w:w="2641" w:type="dxa"/>
            <w:tcBorders>
              <w:left w:val="single" w:color="000000" w:sz="4" w:space="0"/>
              <w:bottom w:val="single" w:color="000000" w:sz="4" w:space="0"/>
              <w:right w:val="single" w:color="000000" w:sz="4" w:space="0"/>
            </w:tcBorders>
          </w:tcPr>
          <w:p>
            <w:pPr>
              <w:pStyle w:val="14"/>
              <w:spacing w:before="164"/>
              <w:ind w:left="778" w:right="762"/>
              <w:rPr>
                <w:sz w:val="21"/>
              </w:rPr>
            </w:pPr>
            <w:r>
              <w:rPr>
                <w:sz w:val="21"/>
              </w:rPr>
              <w:t>Ⅰ级基准值</w:t>
            </w:r>
          </w:p>
        </w:tc>
        <w:tc>
          <w:tcPr>
            <w:tcW w:w="1879" w:type="dxa"/>
            <w:tcBorders>
              <w:left w:val="single" w:color="000000" w:sz="4" w:space="0"/>
              <w:bottom w:val="single" w:color="000000" w:sz="4" w:space="0"/>
              <w:right w:val="single" w:color="000000" w:sz="4" w:space="0"/>
            </w:tcBorders>
          </w:tcPr>
          <w:p>
            <w:pPr>
              <w:pStyle w:val="14"/>
              <w:spacing w:before="164"/>
              <w:ind w:left="397" w:right="382"/>
              <w:rPr>
                <w:sz w:val="21"/>
              </w:rPr>
            </w:pPr>
            <w:r>
              <w:rPr>
                <w:sz w:val="21"/>
              </w:rPr>
              <w:t>Ⅱ级基准值</w:t>
            </w:r>
          </w:p>
        </w:tc>
        <w:tc>
          <w:tcPr>
            <w:tcW w:w="2021" w:type="dxa"/>
            <w:tcBorders>
              <w:left w:val="single" w:color="000000" w:sz="4" w:space="0"/>
              <w:bottom w:val="single" w:color="000000" w:sz="4" w:space="0"/>
              <w:right w:val="single" w:color="000000" w:sz="4" w:space="0"/>
            </w:tcBorders>
          </w:tcPr>
          <w:p>
            <w:pPr>
              <w:pStyle w:val="14"/>
              <w:spacing w:before="164"/>
              <w:ind w:left="468" w:right="453"/>
              <w:rPr>
                <w:sz w:val="21"/>
              </w:rPr>
            </w:pPr>
            <w:r>
              <w:rPr>
                <w:sz w:val="21"/>
              </w:rPr>
              <w:t>Ⅲ级基准值</w:t>
            </w:r>
          </w:p>
        </w:tc>
        <w:tc>
          <w:tcPr>
            <w:tcW w:w="1165" w:type="dxa"/>
            <w:tcBorders>
              <w:left w:val="single" w:color="000000" w:sz="4" w:space="0"/>
              <w:bottom w:val="single" w:color="000000" w:sz="4" w:space="0"/>
            </w:tcBorders>
          </w:tcPr>
          <w:p>
            <w:pPr>
              <w:pStyle w:val="14"/>
              <w:spacing w:before="1"/>
              <w:ind w:left="22" w:right="5"/>
              <w:rPr>
                <w:sz w:val="21"/>
              </w:rPr>
            </w:pPr>
            <w:r>
              <w:rPr>
                <w:sz w:val="21"/>
              </w:rPr>
              <w:t>本煤矿扩建</w:t>
            </w:r>
          </w:p>
          <w:p>
            <w:pPr>
              <w:pStyle w:val="14"/>
              <w:spacing w:before="57"/>
              <w:ind w:left="19"/>
              <w:rPr>
                <w:sz w:val="21"/>
              </w:rPr>
            </w:pPr>
            <w:r>
              <w:rPr>
                <w:w w:val="99"/>
                <w:sz w:val="21"/>
              </w:rPr>
              <w:t>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572" w:type="dxa"/>
            <w:tcBorders>
              <w:top w:val="single" w:color="000000" w:sz="4" w:space="0"/>
              <w:bottom w:val="single" w:color="000000" w:sz="4" w:space="0"/>
              <w:right w:val="single" w:color="000000" w:sz="4" w:space="0"/>
            </w:tcBorders>
          </w:tcPr>
          <w:p>
            <w:pPr>
              <w:pStyle w:val="14"/>
              <w:spacing w:before="181"/>
              <w:ind w:left="18"/>
              <w:rPr>
                <w:rFonts w:ascii="Times New Roman"/>
                <w:sz w:val="21"/>
              </w:rPr>
            </w:pPr>
            <w:r>
              <w:rPr>
                <w:rFonts w:ascii="Times New Roman"/>
                <w:w w:val="99"/>
                <w:sz w:val="21"/>
              </w:rPr>
              <w:t>1</w:t>
            </w:r>
          </w:p>
        </w:tc>
        <w:tc>
          <w:tcPr>
            <w:tcW w:w="1090" w:type="dxa"/>
            <w:vMerge w:val="restart"/>
            <w:tcBorders>
              <w:top w:val="single" w:color="000000" w:sz="4" w:space="0"/>
              <w:left w:val="single" w:color="000000" w:sz="4" w:space="0"/>
              <w:right w:val="single" w:color="000000" w:sz="4" w:space="0"/>
            </w:tcBorders>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11"/>
              <w:jc w:val="left"/>
              <w:rPr>
                <w:b/>
                <w:sz w:val="28"/>
              </w:rPr>
            </w:pPr>
          </w:p>
          <w:p>
            <w:pPr>
              <w:pStyle w:val="14"/>
              <w:spacing w:line="290" w:lineRule="auto"/>
              <w:ind w:left="23" w:right="5"/>
              <w:rPr>
                <w:sz w:val="21"/>
              </w:rPr>
            </w:pPr>
            <w:r>
              <w:rPr>
                <w:sz w:val="21"/>
              </w:rPr>
              <w:t>（一）生产工艺及装备指标</w:t>
            </w:r>
          </w:p>
        </w:tc>
        <w:tc>
          <w:tcPr>
            <w:tcW w:w="1068" w:type="dxa"/>
            <w:vMerge w:val="restart"/>
            <w:tcBorders>
              <w:top w:val="single" w:color="000000" w:sz="4" w:space="0"/>
              <w:left w:val="single" w:color="000000" w:sz="4" w:space="0"/>
              <w:right w:val="single" w:color="000000" w:sz="4" w:space="0"/>
            </w:tcBorders>
          </w:tcPr>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spacing w:before="10"/>
              <w:jc w:val="left"/>
              <w:rPr>
                <w:b/>
                <w:sz w:val="31"/>
              </w:rPr>
            </w:pPr>
          </w:p>
          <w:p>
            <w:pPr>
              <w:pStyle w:val="14"/>
              <w:spacing w:before="1"/>
              <w:ind w:left="354"/>
              <w:jc w:val="left"/>
              <w:rPr>
                <w:rFonts w:ascii="Times New Roman"/>
                <w:sz w:val="21"/>
              </w:rPr>
            </w:pPr>
            <w:r>
              <w:rPr>
                <w:rFonts w:ascii="Times New Roman"/>
                <w:sz w:val="21"/>
              </w:rPr>
              <w:t>0.25</w:t>
            </w:r>
          </w:p>
        </w:tc>
        <w:tc>
          <w:tcPr>
            <w:tcW w:w="1818" w:type="dxa"/>
            <w:tcBorders>
              <w:top w:val="single" w:color="000000" w:sz="4" w:space="0"/>
              <w:left w:val="single" w:color="000000" w:sz="4" w:space="0"/>
              <w:bottom w:val="single" w:color="000000" w:sz="4" w:space="0"/>
              <w:right w:val="single" w:color="000000" w:sz="4" w:space="0"/>
            </w:tcBorders>
          </w:tcPr>
          <w:p>
            <w:pPr>
              <w:pStyle w:val="14"/>
              <w:spacing w:line="268" w:lineRule="exact"/>
              <w:ind w:left="41" w:right="24"/>
              <w:rPr>
                <w:sz w:val="21"/>
              </w:rPr>
            </w:pPr>
            <w:r>
              <w:rPr>
                <w:rFonts w:ascii="Times New Roman" w:eastAsia="Times New Roman"/>
                <w:w w:val="95"/>
                <w:sz w:val="21"/>
              </w:rPr>
              <w:t>*</w:t>
            </w:r>
            <w:r>
              <w:rPr>
                <w:w w:val="95"/>
                <w:sz w:val="21"/>
              </w:rPr>
              <w:t>煤矿机械化掘进比</w:t>
            </w:r>
          </w:p>
          <w:p>
            <w:pPr>
              <w:pStyle w:val="14"/>
              <w:spacing w:before="57"/>
              <w:ind w:left="17"/>
              <w:rPr>
                <w:sz w:val="21"/>
              </w:rPr>
            </w:pPr>
            <w:r>
              <w:rPr>
                <w:w w:val="99"/>
                <w:sz w:val="21"/>
              </w:rPr>
              <w:t>例</w:t>
            </w:r>
          </w:p>
        </w:tc>
        <w:tc>
          <w:tcPr>
            <w:tcW w:w="835" w:type="dxa"/>
            <w:tcBorders>
              <w:top w:val="single" w:color="000000" w:sz="4" w:space="0"/>
              <w:left w:val="single" w:color="000000" w:sz="4" w:space="0"/>
              <w:bottom w:val="single" w:color="000000" w:sz="4" w:space="0"/>
              <w:right w:val="single" w:color="000000" w:sz="4" w:space="0"/>
            </w:tcBorders>
          </w:tcPr>
          <w:p>
            <w:pPr>
              <w:pStyle w:val="14"/>
              <w:spacing w:before="181"/>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4"/>
              <w:spacing w:before="181"/>
              <w:ind w:left="286"/>
              <w:jc w:val="left"/>
              <w:rPr>
                <w:rFonts w:ascii="Times New Roman"/>
                <w:sz w:val="21"/>
              </w:rPr>
            </w:pPr>
            <w:r>
              <w:rPr>
                <w:rFonts w:ascii="Times New Roman"/>
                <w:sz w:val="21"/>
              </w:rPr>
              <w:t>0.08</w:t>
            </w:r>
          </w:p>
        </w:tc>
        <w:tc>
          <w:tcPr>
            <w:tcW w:w="2641" w:type="dxa"/>
            <w:tcBorders>
              <w:top w:val="single" w:color="000000" w:sz="4" w:space="0"/>
              <w:left w:val="single" w:color="000000" w:sz="4" w:space="0"/>
              <w:bottom w:val="single" w:color="000000" w:sz="4" w:space="0"/>
              <w:right w:val="single" w:color="000000" w:sz="4" w:space="0"/>
            </w:tcBorders>
          </w:tcPr>
          <w:p>
            <w:pPr>
              <w:pStyle w:val="14"/>
              <w:spacing w:before="181"/>
              <w:ind w:left="778" w:right="758"/>
              <w:rPr>
                <w:rFonts w:ascii="Times New Roman" w:hAnsi="Times New Roman"/>
                <w:sz w:val="21"/>
              </w:rPr>
            </w:pPr>
            <w:r>
              <w:rPr>
                <w:rFonts w:ascii="Times New Roman" w:hAnsi="Times New Roman"/>
                <w:sz w:val="21"/>
              </w:rPr>
              <w:t>≥90</w:t>
            </w:r>
          </w:p>
        </w:tc>
        <w:tc>
          <w:tcPr>
            <w:tcW w:w="1879" w:type="dxa"/>
            <w:tcBorders>
              <w:top w:val="single" w:color="000000" w:sz="4" w:space="0"/>
              <w:left w:val="single" w:color="000000" w:sz="4" w:space="0"/>
              <w:bottom w:val="single" w:color="000000" w:sz="4" w:space="0"/>
              <w:right w:val="single" w:color="000000" w:sz="4" w:space="0"/>
            </w:tcBorders>
          </w:tcPr>
          <w:p>
            <w:pPr>
              <w:pStyle w:val="14"/>
              <w:spacing w:before="181"/>
              <w:ind w:left="397" w:right="380"/>
              <w:rPr>
                <w:rFonts w:ascii="Times New Roman" w:hAnsi="Times New Roman"/>
                <w:sz w:val="21"/>
              </w:rPr>
            </w:pPr>
            <w:r>
              <w:rPr>
                <w:rFonts w:ascii="Times New Roman" w:hAnsi="Times New Roman"/>
                <w:sz w:val="21"/>
              </w:rPr>
              <w:t>≥85</w:t>
            </w:r>
          </w:p>
        </w:tc>
        <w:tc>
          <w:tcPr>
            <w:tcW w:w="2021" w:type="dxa"/>
            <w:tcBorders>
              <w:top w:val="single" w:color="000000" w:sz="4" w:space="0"/>
              <w:left w:val="single" w:color="000000" w:sz="4" w:space="0"/>
              <w:bottom w:val="single" w:color="000000" w:sz="4" w:space="0"/>
              <w:right w:val="single" w:color="000000" w:sz="4" w:space="0"/>
            </w:tcBorders>
          </w:tcPr>
          <w:p>
            <w:pPr>
              <w:pStyle w:val="14"/>
              <w:spacing w:before="181"/>
              <w:ind w:left="468" w:right="449"/>
              <w:rPr>
                <w:rFonts w:ascii="Times New Roman" w:hAnsi="Times New Roman"/>
                <w:sz w:val="21"/>
              </w:rPr>
            </w:pPr>
            <w:r>
              <w:rPr>
                <w:rFonts w:ascii="Times New Roman" w:hAnsi="Times New Roman"/>
                <w:sz w:val="21"/>
              </w:rPr>
              <w:t>≥80</w:t>
            </w:r>
          </w:p>
        </w:tc>
        <w:tc>
          <w:tcPr>
            <w:tcW w:w="1165" w:type="dxa"/>
            <w:tcBorders>
              <w:top w:val="single" w:color="000000" w:sz="4" w:space="0"/>
              <w:left w:val="single" w:color="000000" w:sz="4" w:space="0"/>
              <w:bottom w:val="single" w:color="000000" w:sz="4" w:space="0"/>
            </w:tcBorders>
          </w:tcPr>
          <w:p>
            <w:pPr>
              <w:pStyle w:val="14"/>
              <w:spacing w:before="181"/>
              <w:ind w:right="402"/>
              <w:jc w:val="right"/>
              <w:rPr>
                <w:rFonts w:ascii="Times New Roman" w:hAnsi="Times New Roman"/>
                <w:sz w:val="21"/>
              </w:rPr>
            </w:pPr>
            <w:r>
              <w:rPr>
                <w:rFonts w:ascii="Times New Roman" w:hAnsi="Times New Roman"/>
                <w:w w:val="95"/>
                <w:sz w:val="21"/>
              </w:rPr>
              <w:t>≥85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3" w:hRule="atLeast"/>
        </w:trPr>
        <w:tc>
          <w:tcPr>
            <w:tcW w:w="572" w:type="dxa"/>
            <w:tcBorders>
              <w:top w:val="single" w:color="000000" w:sz="4" w:space="0"/>
              <w:bottom w:val="single" w:color="000000" w:sz="4" w:space="0"/>
              <w:right w:val="single" w:color="000000" w:sz="4" w:space="0"/>
            </w:tcBorders>
          </w:tcPr>
          <w:p>
            <w:pPr>
              <w:pStyle w:val="14"/>
              <w:spacing w:before="175"/>
              <w:ind w:left="18"/>
              <w:rPr>
                <w:rFonts w:ascii="Times New Roman"/>
                <w:sz w:val="21"/>
              </w:rPr>
            </w:pPr>
            <w:r>
              <w:rPr>
                <w:rFonts w:ascii="Times New Roman"/>
                <w:w w:val="99"/>
                <w:sz w:val="21"/>
              </w:rPr>
              <w:t>2</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bottom w:val="single" w:color="000000" w:sz="4" w:space="0"/>
              <w:right w:val="single" w:color="000000" w:sz="4" w:space="0"/>
            </w:tcBorders>
          </w:tcPr>
          <w:p>
            <w:pPr>
              <w:pStyle w:val="14"/>
              <w:spacing w:line="265" w:lineRule="exact"/>
              <w:ind w:left="41" w:right="24"/>
              <w:rPr>
                <w:sz w:val="21"/>
              </w:rPr>
            </w:pPr>
            <w:r>
              <w:rPr>
                <w:rFonts w:ascii="Times New Roman" w:eastAsia="Times New Roman"/>
                <w:w w:val="95"/>
                <w:sz w:val="21"/>
              </w:rPr>
              <w:t>*</w:t>
            </w:r>
            <w:r>
              <w:rPr>
                <w:w w:val="95"/>
                <w:sz w:val="21"/>
              </w:rPr>
              <w:t>煤矿机械化采煤比</w:t>
            </w:r>
          </w:p>
          <w:p>
            <w:pPr>
              <w:pStyle w:val="14"/>
              <w:spacing w:before="57"/>
              <w:ind w:left="17"/>
              <w:rPr>
                <w:sz w:val="21"/>
              </w:rPr>
            </w:pPr>
            <w:r>
              <w:rPr>
                <w:w w:val="99"/>
                <w:sz w:val="21"/>
              </w:rPr>
              <w:t>例</w:t>
            </w:r>
          </w:p>
        </w:tc>
        <w:tc>
          <w:tcPr>
            <w:tcW w:w="835" w:type="dxa"/>
            <w:tcBorders>
              <w:top w:val="single" w:color="000000" w:sz="4" w:space="0"/>
              <w:left w:val="single" w:color="000000" w:sz="4" w:space="0"/>
              <w:bottom w:val="single" w:color="000000" w:sz="4" w:space="0"/>
              <w:right w:val="single" w:color="000000" w:sz="4" w:space="0"/>
            </w:tcBorders>
          </w:tcPr>
          <w:p>
            <w:pPr>
              <w:pStyle w:val="14"/>
              <w:spacing w:before="175"/>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4"/>
              <w:spacing w:before="175"/>
              <w:ind w:left="286"/>
              <w:jc w:val="left"/>
              <w:rPr>
                <w:rFonts w:ascii="Times New Roman"/>
                <w:sz w:val="21"/>
              </w:rPr>
            </w:pPr>
            <w:r>
              <w:rPr>
                <w:rFonts w:ascii="Times New Roman"/>
                <w:sz w:val="21"/>
              </w:rPr>
              <w:t>0.08</w:t>
            </w:r>
          </w:p>
        </w:tc>
        <w:tc>
          <w:tcPr>
            <w:tcW w:w="2641" w:type="dxa"/>
            <w:tcBorders>
              <w:top w:val="single" w:color="000000" w:sz="4" w:space="0"/>
              <w:left w:val="single" w:color="000000" w:sz="4" w:space="0"/>
              <w:bottom w:val="single" w:color="000000" w:sz="4" w:space="0"/>
              <w:right w:val="single" w:color="000000" w:sz="4" w:space="0"/>
            </w:tcBorders>
          </w:tcPr>
          <w:p>
            <w:pPr>
              <w:pStyle w:val="14"/>
              <w:spacing w:before="175"/>
              <w:ind w:left="778" w:right="758"/>
              <w:rPr>
                <w:rFonts w:ascii="Times New Roman" w:hAnsi="Times New Roman"/>
                <w:sz w:val="21"/>
              </w:rPr>
            </w:pPr>
            <w:r>
              <w:rPr>
                <w:rFonts w:ascii="Times New Roman" w:hAnsi="Times New Roman"/>
                <w:sz w:val="21"/>
              </w:rPr>
              <w:t>≥95</w:t>
            </w:r>
          </w:p>
        </w:tc>
        <w:tc>
          <w:tcPr>
            <w:tcW w:w="1879" w:type="dxa"/>
            <w:tcBorders>
              <w:top w:val="single" w:color="000000" w:sz="4" w:space="0"/>
              <w:left w:val="single" w:color="000000" w:sz="4" w:space="0"/>
              <w:bottom w:val="single" w:color="000000" w:sz="4" w:space="0"/>
              <w:right w:val="single" w:color="000000" w:sz="4" w:space="0"/>
            </w:tcBorders>
          </w:tcPr>
          <w:p>
            <w:pPr>
              <w:pStyle w:val="14"/>
              <w:spacing w:before="175"/>
              <w:ind w:left="397" w:right="380"/>
              <w:rPr>
                <w:rFonts w:ascii="Times New Roman" w:hAnsi="Times New Roman"/>
                <w:sz w:val="21"/>
              </w:rPr>
            </w:pPr>
            <w:r>
              <w:rPr>
                <w:rFonts w:ascii="Times New Roman" w:hAnsi="Times New Roman"/>
                <w:sz w:val="21"/>
              </w:rPr>
              <w:t>≥90</w:t>
            </w:r>
          </w:p>
        </w:tc>
        <w:tc>
          <w:tcPr>
            <w:tcW w:w="2021" w:type="dxa"/>
            <w:tcBorders>
              <w:top w:val="single" w:color="000000" w:sz="4" w:space="0"/>
              <w:left w:val="single" w:color="000000" w:sz="4" w:space="0"/>
              <w:bottom w:val="single" w:color="000000" w:sz="4" w:space="0"/>
              <w:right w:val="single" w:color="000000" w:sz="4" w:space="0"/>
            </w:tcBorders>
          </w:tcPr>
          <w:p>
            <w:pPr>
              <w:pStyle w:val="14"/>
              <w:spacing w:before="175"/>
              <w:ind w:left="468" w:right="449"/>
              <w:rPr>
                <w:rFonts w:ascii="Times New Roman" w:hAnsi="Times New Roman"/>
                <w:sz w:val="21"/>
              </w:rPr>
            </w:pPr>
            <w:r>
              <w:rPr>
                <w:rFonts w:ascii="Times New Roman" w:hAnsi="Times New Roman"/>
                <w:sz w:val="21"/>
              </w:rPr>
              <w:t>≥85</w:t>
            </w:r>
          </w:p>
        </w:tc>
        <w:tc>
          <w:tcPr>
            <w:tcW w:w="1165" w:type="dxa"/>
            <w:tcBorders>
              <w:top w:val="single" w:color="000000" w:sz="4" w:space="0"/>
              <w:left w:val="single" w:color="000000" w:sz="4" w:space="0"/>
              <w:bottom w:val="single" w:color="000000" w:sz="4" w:space="0"/>
            </w:tcBorders>
          </w:tcPr>
          <w:p>
            <w:pPr>
              <w:pStyle w:val="14"/>
              <w:spacing w:before="175"/>
              <w:ind w:right="402"/>
              <w:jc w:val="right"/>
              <w:rPr>
                <w:rFonts w:ascii="Times New Roman" w:hAnsi="Times New Roman"/>
                <w:sz w:val="21"/>
              </w:rPr>
            </w:pPr>
            <w:r>
              <w:rPr>
                <w:rFonts w:ascii="Times New Roman" w:hAnsi="Times New Roman"/>
                <w:w w:val="95"/>
                <w:sz w:val="21"/>
              </w:rPr>
              <w:t>≥90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77" w:hRule="atLeast"/>
        </w:trPr>
        <w:tc>
          <w:tcPr>
            <w:tcW w:w="572" w:type="dxa"/>
            <w:tcBorders>
              <w:top w:val="single" w:color="000000" w:sz="4" w:space="0"/>
              <w:bottom w:val="single" w:color="000000" w:sz="4" w:space="0"/>
              <w:right w:val="single" w:color="000000" w:sz="4" w:space="0"/>
            </w:tcBorders>
          </w:tcPr>
          <w:p>
            <w:pPr>
              <w:pStyle w:val="14"/>
              <w:jc w:val="left"/>
              <w:rPr>
                <w:b/>
                <w:sz w:val="22"/>
              </w:rPr>
            </w:pPr>
          </w:p>
          <w:p>
            <w:pPr>
              <w:pStyle w:val="14"/>
              <w:jc w:val="left"/>
              <w:rPr>
                <w:b/>
                <w:sz w:val="22"/>
              </w:rPr>
            </w:pPr>
          </w:p>
          <w:p>
            <w:pPr>
              <w:pStyle w:val="14"/>
              <w:jc w:val="left"/>
              <w:rPr>
                <w:b/>
                <w:sz w:val="22"/>
              </w:rPr>
            </w:pPr>
          </w:p>
          <w:p>
            <w:pPr>
              <w:pStyle w:val="14"/>
              <w:spacing w:before="146"/>
              <w:ind w:left="18"/>
              <w:rPr>
                <w:rFonts w:ascii="Times New Roman"/>
                <w:sz w:val="21"/>
              </w:rPr>
            </w:pPr>
            <w:r>
              <w:rPr>
                <w:rFonts w:ascii="Times New Roman"/>
                <w:w w:val="99"/>
                <w:sz w:val="21"/>
              </w:rPr>
              <w:t>3</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bottom w:val="single" w:color="000000" w:sz="4" w:space="0"/>
              <w:right w:val="single" w:color="000000" w:sz="4" w:space="0"/>
            </w:tcBorders>
          </w:tcPr>
          <w:p>
            <w:pPr>
              <w:pStyle w:val="14"/>
              <w:jc w:val="left"/>
              <w:rPr>
                <w:b/>
                <w:sz w:val="20"/>
              </w:rPr>
            </w:pPr>
          </w:p>
          <w:p>
            <w:pPr>
              <w:pStyle w:val="14"/>
              <w:jc w:val="left"/>
              <w:rPr>
                <w:b/>
                <w:sz w:val="20"/>
              </w:rPr>
            </w:pPr>
          </w:p>
          <w:p>
            <w:pPr>
              <w:pStyle w:val="14"/>
              <w:spacing w:before="3"/>
              <w:jc w:val="left"/>
              <w:rPr>
                <w:b/>
                <w:sz w:val="23"/>
              </w:rPr>
            </w:pPr>
          </w:p>
          <w:p>
            <w:pPr>
              <w:pStyle w:val="14"/>
              <w:spacing w:line="290" w:lineRule="auto"/>
              <w:ind w:left="599" w:right="54" w:hanging="526"/>
              <w:jc w:val="left"/>
              <w:rPr>
                <w:sz w:val="21"/>
              </w:rPr>
            </w:pPr>
            <w:r>
              <w:rPr>
                <w:sz w:val="21"/>
              </w:rPr>
              <w:t>井下煤炭输送工艺及装备</w:t>
            </w:r>
          </w:p>
        </w:tc>
        <w:tc>
          <w:tcPr>
            <w:tcW w:w="835" w:type="dxa"/>
            <w:tcBorders>
              <w:top w:val="single" w:color="000000" w:sz="4" w:space="0"/>
              <w:left w:val="single" w:color="000000" w:sz="4" w:space="0"/>
              <w:bottom w:val="single" w:color="000000" w:sz="4" w:space="0"/>
              <w:right w:val="single" w:color="000000" w:sz="4" w:space="0"/>
            </w:tcBorders>
          </w:tcPr>
          <w:p>
            <w:pPr>
              <w:pStyle w:val="14"/>
              <w:jc w:val="left"/>
              <w:rPr>
                <w:b/>
                <w:sz w:val="20"/>
              </w:rPr>
            </w:pPr>
          </w:p>
          <w:p>
            <w:pPr>
              <w:pStyle w:val="14"/>
              <w:jc w:val="left"/>
              <w:rPr>
                <w:b/>
                <w:sz w:val="20"/>
              </w:rPr>
            </w:pPr>
          </w:p>
          <w:p>
            <w:pPr>
              <w:pStyle w:val="14"/>
              <w:jc w:val="left"/>
              <w:rPr>
                <w:b/>
                <w:sz w:val="20"/>
              </w:rPr>
            </w:pPr>
          </w:p>
          <w:p>
            <w:pPr>
              <w:pStyle w:val="14"/>
              <w:spacing w:before="2"/>
              <w:jc w:val="left"/>
              <w:rPr>
                <w:b/>
                <w:sz w:val="16"/>
              </w:rPr>
            </w:pPr>
          </w:p>
          <w:p>
            <w:pPr>
              <w:pStyle w:val="14"/>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4"/>
              <w:jc w:val="left"/>
              <w:rPr>
                <w:b/>
                <w:sz w:val="22"/>
              </w:rPr>
            </w:pPr>
          </w:p>
          <w:p>
            <w:pPr>
              <w:pStyle w:val="14"/>
              <w:jc w:val="left"/>
              <w:rPr>
                <w:b/>
                <w:sz w:val="22"/>
              </w:rPr>
            </w:pPr>
          </w:p>
          <w:p>
            <w:pPr>
              <w:pStyle w:val="14"/>
              <w:jc w:val="left"/>
              <w:rPr>
                <w:b/>
                <w:sz w:val="22"/>
              </w:rPr>
            </w:pPr>
          </w:p>
          <w:p>
            <w:pPr>
              <w:pStyle w:val="14"/>
              <w:spacing w:before="146"/>
              <w:ind w:left="286"/>
              <w:jc w:val="left"/>
              <w:rPr>
                <w:rFonts w:ascii="Times New Roman"/>
                <w:sz w:val="21"/>
              </w:rPr>
            </w:pPr>
            <w:r>
              <w:rPr>
                <w:rFonts w:ascii="Times New Roman"/>
                <w:sz w:val="21"/>
              </w:rPr>
              <w:t>0.04</w:t>
            </w:r>
          </w:p>
        </w:tc>
        <w:tc>
          <w:tcPr>
            <w:tcW w:w="2641" w:type="dxa"/>
            <w:tcBorders>
              <w:top w:val="single" w:color="000000" w:sz="4" w:space="0"/>
              <w:left w:val="single" w:color="000000" w:sz="4" w:space="0"/>
              <w:bottom w:val="single" w:color="000000" w:sz="4" w:space="0"/>
              <w:right w:val="single" w:color="000000" w:sz="4" w:space="0"/>
            </w:tcBorders>
          </w:tcPr>
          <w:p>
            <w:pPr>
              <w:pStyle w:val="14"/>
              <w:jc w:val="left"/>
              <w:rPr>
                <w:b/>
                <w:sz w:val="20"/>
              </w:rPr>
            </w:pPr>
          </w:p>
          <w:p>
            <w:pPr>
              <w:pStyle w:val="14"/>
              <w:jc w:val="left"/>
              <w:rPr>
                <w:b/>
                <w:sz w:val="20"/>
              </w:rPr>
            </w:pPr>
          </w:p>
          <w:p>
            <w:pPr>
              <w:pStyle w:val="14"/>
              <w:spacing w:before="134" w:line="292" w:lineRule="auto"/>
              <w:ind w:left="8" w:right="-15"/>
              <w:jc w:val="both"/>
              <w:rPr>
                <w:sz w:val="21"/>
              </w:rPr>
            </w:pPr>
            <w:r>
              <w:rPr>
                <w:w w:val="95"/>
                <w:sz w:val="21"/>
              </w:rPr>
              <w:t>长距离井下至井口带式输送</w:t>
            </w:r>
            <w:r>
              <w:rPr>
                <w:sz w:val="21"/>
              </w:rPr>
              <w:t>机连续运输（实现集控）立井采用机车牵引矿车运输</w:t>
            </w:r>
          </w:p>
        </w:tc>
        <w:tc>
          <w:tcPr>
            <w:tcW w:w="1879" w:type="dxa"/>
            <w:tcBorders>
              <w:top w:val="single" w:color="000000" w:sz="4" w:space="0"/>
              <w:left w:val="single" w:color="000000" w:sz="4" w:space="0"/>
              <w:bottom w:val="single" w:color="000000" w:sz="4" w:space="0"/>
              <w:right w:val="single" w:color="000000" w:sz="4" w:space="0"/>
            </w:tcBorders>
          </w:tcPr>
          <w:p>
            <w:pPr>
              <w:pStyle w:val="14"/>
              <w:jc w:val="left"/>
              <w:rPr>
                <w:b/>
                <w:sz w:val="20"/>
              </w:rPr>
            </w:pPr>
          </w:p>
          <w:p>
            <w:pPr>
              <w:pStyle w:val="14"/>
              <w:jc w:val="left"/>
              <w:rPr>
                <w:b/>
                <w:sz w:val="20"/>
              </w:rPr>
            </w:pPr>
          </w:p>
          <w:p>
            <w:pPr>
              <w:pStyle w:val="14"/>
              <w:spacing w:before="134" w:line="292" w:lineRule="auto"/>
              <w:ind w:left="9" w:right="-15"/>
              <w:jc w:val="both"/>
              <w:rPr>
                <w:sz w:val="21"/>
              </w:rPr>
            </w:pPr>
            <w:r>
              <w:rPr>
                <w:w w:val="95"/>
                <w:sz w:val="21"/>
              </w:rPr>
              <w:t>采区采用带式输送</w:t>
            </w:r>
            <w:r>
              <w:rPr>
                <w:sz w:val="21"/>
              </w:rPr>
              <w:t>机，井下大巷采用机车牵引矿车运输</w:t>
            </w:r>
          </w:p>
        </w:tc>
        <w:tc>
          <w:tcPr>
            <w:tcW w:w="2021" w:type="dxa"/>
            <w:tcBorders>
              <w:top w:val="single" w:color="000000" w:sz="4" w:space="0"/>
              <w:left w:val="single" w:color="000000" w:sz="4" w:space="0"/>
              <w:bottom w:val="single" w:color="000000" w:sz="4" w:space="0"/>
              <w:right w:val="single" w:color="000000" w:sz="4" w:space="0"/>
            </w:tcBorders>
          </w:tcPr>
          <w:p>
            <w:pPr>
              <w:pStyle w:val="14"/>
              <w:jc w:val="left"/>
              <w:rPr>
                <w:b/>
                <w:sz w:val="20"/>
              </w:rPr>
            </w:pPr>
          </w:p>
          <w:p>
            <w:pPr>
              <w:pStyle w:val="14"/>
              <w:jc w:val="left"/>
              <w:rPr>
                <w:b/>
                <w:sz w:val="20"/>
              </w:rPr>
            </w:pPr>
          </w:p>
          <w:p>
            <w:pPr>
              <w:pStyle w:val="14"/>
              <w:spacing w:before="3"/>
              <w:jc w:val="left"/>
              <w:rPr>
                <w:b/>
                <w:sz w:val="23"/>
              </w:rPr>
            </w:pPr>
          </w:p>
          <w:p>
            <w:pPr>
              <w:pStyle w:val="14"/>
              <w:spacing w:line="290" w:lineRule="auto"/>
              <w:ind w:left="10" w:right="-15"/>
              <w:jc w:val="left"/>
              <w:rPr>
                <w:sz w:val="21"/>
              </w:rPr>
            </w:pPr>
            <w:r>
              <w:rPr>
                <w:spacing w:val="12"/>
                <w:w w:val="95"/>
                <w:sz w:val="21"/>
              </w:rPr>
              <w:t>采用以矿车为主的运</w:t>
            </w:r>
            <w:r>
              <w:rPr>
                <w:spacing w:val="12"/>
                <w:sz w:val="21"/>
              </w:rPr>
              <w:t>输方式</w:t>
            </w:r>
          </w:p>
        </w:tc>
        <w:tc>
          <w:tcPr>
            <w:tcW w:w="1165" w:type="dxa"/>
            <w:tcBorders>
              <w:top w:val="single" w:color="000000" w:sz="4" w:space="0"/>
              <w:left w:val="single" w:color="000000" w:sz="4" w:space="0"/>
              <w:bottom w:val="single" w:color="000000" w:sz="4" w:space="0"/>
            </w:tcBorders>
          </w:tcPr>
          <w:p>
            <w:pPr>
              <w:pStyle w:val="14"/>
              <w:spacing w:line="290" w:lineRule="auto"/>
              <w:ind w:left="60" w:right="38"/>
              <w:rPr>
                <w:sz w:val="21"/>
              </w:rPr>
            </w:pPr>
            <w:r>
              <w:rPr>
                <w:spacing w:val="-3"/>
                <w:sz w:val="21"/>
              </w:rPr>
              <w:t>井下煤炭采用皮带连续</w:t>
            </w:r>
            <w:r>
              <w:rPr>
                <w:sz w:val="21"/>
              </w:rPr>
              <w:t xml:space="preserve">化运输方 </w:t>
            </w:r>
            <w:r>
              <w:rPr>
                <w:spacing w:val="-3"/>
                <w:sz w:val="21"/>
              </w:rPr>
              <w:t>式，辅助采用电机车牵</w:t>
            </w:r>
            <w:r>
              <w:rPr>
                <w:sz w:val="21"/>
              </w:rPr>
              <w:t>引矿车运</w:t>
            </w:r>
          </w:p>
          <w:p>
            <w:pPr>
              <w:pStyle w:val="14"/>
              <w:spacing w:before="1"/>
              <w:ind w:left="22" w:right="5"/>
              <w:rPr>
                <w:sz w:val="21"/>
              </w:rPr>
            </w:pPr>
            <w:r>
              <w:rPr>
                <w:sz w:val="21"/>
              </w:rPr>
              <w:t>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1" w:hRule="atLeast"/>
        </w:trPr>
        <w:tc>
          <w:tcPr>
            <w:tcW w:w="572" w:type="dxa"/>
            <w:tcBorders>
              <w:top w:val="single" w:color="000000" w:sz="4" w:space="0"/>
              <w:right w:val="single" w:color="000000" w:sz="4" w:space="0"/>
            </w:tcBorders>
          </w:tcPr>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ind w:left="18"/>
              <w:rPr>
                <w:rFonts w:ascii="Times New Roman"/>
                <w:sz w:val="21"/>
              </w:rPr>
            </w:pPr>
            <w:r>
              <w:rPr>
                <w:rFonts w:ascii="Times New Roman"/>
                <w:w w:val="99"/>
                <w:sz w:val="21"/>
              </w:rPr>
              <w:t>4</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right w:val="single" w:color="000000" w:sz="4" w:space="0"/>
            </w:tcBorders>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163"/>
              <w:ind w:left="38" w:right="24"/>
              <w:rPr>
                <w:sz w:val="21"/>
              </w:rPr>
            </w:pPr>
            <w:r>
              <w:rPr>
                <w:sz w:val="21"/>
              </w:rPr>
              <w:t>井巷支护工艺</w:t>
            </w:r>
          </w:p>
        </w:tc>
        <w:tc>
          <w:tcPr>
            <w:tcW w:w="835" w:type="dxa"/>
            <w:tcBorders>
              <w:top w:val="single" w:color="000000" w:sz="4" w:space="0"/>
              <w:left w:val="single" w:color="000000" w:sz="4" w:space="0"/>
              <w:right w:val="single" w:color="000000" w:sz="4" w:space="0"/>
            </w:tcBorders>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163"/>
              <w:ind w:left="18"/>
              <w:rPr>
                <w:sz w:val="21"/>
              </w:rPr>
            </w:pPr>
            <w:r>
              <w:rPr>
                <w:w w:val="99"/>
                <w:sz w:val="21"/>
              </w:rPr>
              <w:t>━</w:t>
            </w:r>
          </w:p>
        </w:tc>
        <w:tc>
          <w:tcPr>
            <w:tcW w:w="933" w:type="dxa"/>
            <w:tcBorders>
              <w:top w:val="single" w:color="000000" w:sz="4" w:space="0"/>
              <w:left w:val="single" w:color="000000" w:sz="4" w:space="0"/>
              <w:right w:val="single" w:color="000000" w:sz="4" w:space="0"/>
            </w:tcBorders>
          </w:tcPr>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jc w:val="left"/>
              <w:rPr>
                <w:b/>
                <w:sz w:val="22"/>
              </w:rPr>
            </w:pPr>
          </w:p>
          <w:p>
            <w:pPr>
              <w:pStyle w:val="14"/>
              <w:ind w:left="286"/>
              <w:jc w:val="left"/>
              <w:rPr>
                <w:rFonts w:ascii="Times New Roman"/>
                <w:sz w:val="21"/>
              </w:rPr>
            </w:pPr>
            <w:r>
              <w:rPr>
                <w:rFonts w:ascii="Times New Roman"/>
                <w:sz w:val="21"/>
              </w:rPr>
              <w:t>0.04</w:t>
            </w:r>
          </w:p>
        </w:tc>
        <w:tc>
          <w:tcPr>
            <w:tcW w:w="2641" w:type="dxa"/>
            <w:tcBorders>
              <w:top w:val="single" w:color="000000" w:sz="4" w:space="0"/>
              <w:left w:val="single" w:color="000000" w:sz="4" w:space="0"/>
              <w:right w:val="single" w:color="000000" w:sz="4" w:space="0"/>
            </w:tcBorders>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7"/>
              <w:jc w:val="left"/>
              <w:rPr>
                <w:b/>
                <w:sz w:val="21"/>
              </w:rPr>
            </w:pPr>
          </w:p>
          <w:p>
            <w:pPr>
              <w:pStyle w:val="14"/>
              <w:spacing w:before="1" w:line="292" w:lineRule="auto"/>
              <w:ind w:left="8" w:right="-15"/>
              <w:jc w:val="both"/>
              <w:rPr>
                <w:sz w:val="21"/>
              </w:rPr>
            </w:pPr>
            <w:r>
              <w:rPr>
                <w:spacing w:val="-10"/>
                <w:sz w:val="21"/>
              </w:rPr>
              <w:t>井筒岩巷光爆锚喷、锚杆、锚</w:t>
            </w:r>
            <w:r>
              <w:rPr>
                <w:spacing w:val="-15"/>
                <w:sz w:val="21"/>
              </w:rPr>
              <w:t>索等支护技术，煤巷采用锚网喷或锚网、锚索支护；斜井明</w:t>
            </w:r>
            <w:r>
              <w:rPr>
                <w:spacing w:val="8"/>
                <w:w w:val="95"/>
                <w:sz w:val="21"/>
              </w:rPr>
              <w:t>槽开挖段及立井井筒采用砌</w:t>
            </w:r>
            <w:r>
              <w:rPr>
                <w:spacing w:val="8"/>
                <w:sz w:val="21"/>
              </w:rPr>
              <w:t>壁支护</w:t>
            </w:r>
          </w:p>
        </w:tc>
        <w:tc>
          <w:tcPr>
            <w:tcW w:w="3900" w:type="dxa"/>
            <w:gridSpan w:val="2"/>
            <w:tcBorders>
              <w:top w:val="single" w:color="000000" w:sz="4" w:space="0"/>
              <w:left w:val="single" w:color="000000" w:sz="4" w:space="0"/>
              <w:right w:val="single" w:color="000000" w:sz="4" w:space="0"/>
            </w:tcBorders>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4"/>
              <w:jc w:val="left"/>
              <w:rPr>
                <w:b/>
                <w:sz w:val="14"/>
              </w:rPr>
            </w:pPr>
          </w:p>
          <w:p>
            <w:pPr>
              <w:pStyle w:val="14"/>
              <w:spacing w:line="292" w:lineRule="auto"/>
              <w:ind w:left="9" w:right="-15"/>
              <w:jc w:val="both"/>
              <w:rPr>
                <w:sz w:val="21"/>
              </w:rPr>
            </w:pPr>
            <w:r>
              <w:rPr>
                <w:spacing w:val="6"/>
                <w:w w:val="95"/>
                <w:sz w:val="21"/>
              </w:rPr>
              <w:t>大部分井筒岩巷和大巷采用光爆锚喷、锚</w:t>
            </w:r>
            <w:r>
              <w:rPr>
                <w:spacing w:val="-11"/>
                <w:w w:val="95"/>
                <w:sz w:val="21"/>
              </w:rPr>
              <w:t>杆、锚索等支护技术，部分井筒及大巷采用</w:t>
            </w:r>
            <w:r>
              <w:rPr>
                <w:spacing w:val="-13"/>
                <w:sz w:val="21"/>
              </w:rPr>
              <w:t>砌壁支护。采区巷道采用锚杆、锚索、网喷支护或金属棚支护。</w:t>
            </w:r>
          </w:p>
        </w:tc>
        <w:tc>
          <w:tcPr>
            <w:tcW w:w="1165" w:type="dxa"/>
            <w:tcBorders>
              <w:top w:val="single" w:color="000000" w:sz="4" w:space="0"/>
              <w:left w:val="single" w:color="000000" w:sz="4" w:space="0"/>
            </w:tcBorders>
          </w:tcPr>
          <w:p>
            <w:pPr>
              <w:pStyle w:val="14"/>
              <w:spacing w:line="290" w:lineRule="auto"/>
              <w:ind w:left="9" w:right="-15" w:firstLine="2"/>
              <w:rPr>
                <w:sz w:val="21"/>
              </w:rPr>
            </w:pPr>
            <w:r>
              <w:rPr>
                <w:sz w:val="21"/>
              </w:rPr>
              <w:t xml:space="preserve">岩巷支护以锚网喷加锚索支护为  </w:t>
            </w:r>
            <w:r>
              <w:rPr>
                <w:spacing w:val="-27"/>
                <w:w w:val="95"/>
                <w:sz w:val="21"/>
              </w:rPr>
              <w:t>主，煤巷</w:t>
            </w:r>
            <w:r>
              <w:rPr>
                <w:w w:val="95"/>
                <w:sz w:val="21"/>
              </w:rPr>
              <w:t>（顺</w:t>
            </w:r>
            <w:r>
              <w:rPr>
                <w:sz w:val="21"/>
              </w:rPr>
              <w:t>槽）以锚杆支护为主， 对地质构造复杂、围岩破碎段采用</w:t>
            </w:r>
            <w:r>
              <w:rPr>
                <w:rFonts w:ascii="Times New Roman" w:eastAsia="Times New Roman"/>
                <w:sz w:val="21"/>
              </w:rPr>
              <w:t>U</w:t>
            </w:r>
            <w:r>
              <w:rPr>
                <w:rFonts w:ascii="Times New Roman" w:eastAsia="Times New Roman"/>
                <w:spacing w:val="-6"/>
                <w:sz w:val="21"/>
              </w:rPr>
              <w:t xml:space="preserve"> </w:t>
            </w:r>
            <w:r>
              <w:rPr>
                <w:spacing w:val="-22"/>
                <w:sz w:val="21"/>
              </w:rPr>
              <w:t>型钢、锚注等加强支  护；大硐室</w:t>
            </w:r>
          </w:p>
          <w:p>
            <w:pPr>
              <w:pStyle w:val="14"/>
              <w:spacing w:before="11"/>
              <w:ind w:left="24" w:right="5"/>
              <w:rPr>
                <w:sz w:val="21"/>
              </w:rPr>
            </w:pPr>
            <w:r>
              <w:rPr>
                <w:w w:val="95"/>
                <w:sz w:val="21"/>
              </w:rPr>
              <w:t>采用锚网喷</w:t>
            </w:r>
          </w:p>
        </w:tc>
      </w:tr>
    </w:tbl>
    <w:p>
      <w:pPr>
        <w:spacing w:after="0"/>
        <w:rPr>
          <w:sz w:val="21"/>
        </w:rPr>
        <w:sectPr>
          <w:footerReference r:id="rId28" w:type="default"/>
          <w:pgSz w:w="16840" w:h="11910" w:orient="landscape"/>
          <w:pgMar w:top="1100" w:right="1280" w:bottom="800" w:left="1280" w:header="0" w:footer="605" w:gutter="0"/>
          <w:pgNumType w:start="170"/>
        </w:sectPr>
      </w:pPr>
    </w:p>
    <w:p>
      <w:pPr>
        <w:pStyle w:val="6"/>
        <w:spacing w:before="7"/>
        <w:rPr>
          <w:b/>
          <w:sz w:val="20"/>
        </w:rPr>
      </w:pPr>
    </w:p>
    <w:p>
      <w:pPr>
        <w:spacing w:after="0"/>
        <w:rPr>
          <w:sz w:val="20"/>
        </w:rPr>
        <w:sectPr>
          <w:pgSz w:w="16840" w:h="11910" w:orient="landscape"/>
          <w:pgMar w:top="1100" w:right="1280" w:bottom="880" w:left="1280" w:header="0" w:footer="605" w:gutter="0"/>
        </w:sectPr>
      </w:pPr>
    </w:p>
    <w:p>
      <w:pPr>
        <w:spacing w:before="70" w:line="216" w:lineRule="exact"/>
        <w:ind w:left="719" w:right="0" w:firstLine="0"/>
        <w:jc w:val="left"/>
        <w:rPr>
          <w:sz w:val="21"/>
        </w:rPr>
      </w:pPr>
      <w:r>
        <w:rPr>
          <w:sz w:val="21"/>
        </w:rPr>
        <w:t>一级指标指一级指标权</w:t>
      </w:r>
    </w:p>
    <w:p>
      <w:pPr>
        <w:spacing w:before="0" w:line="138" w:lineRule="exact"/>
        <w:ind w:left="205" w:right="0" w:firstLine="0"/>
        <w:jc w:val="left"/>
        <w:rPr>
          <w:sz w:val="21"/>
        </w:rPr>
      </w:pPr>
      <w:r>
        <w:rPr>
          <w:sz w:val="21"/>
        </w:rPr>
        <w:t>序号</w:t>
      </w:r>
    </w:p>
    <w:p>
      <w:pPr>
        <w:pStyle w:val="6"/>
        <w:spacing w:before="3"/>
        <w:rPr>
          <w:sz w:val="18"/>
        </w:rPr>
      </w:pPr>
      <w:r>
        <w:br w:type="column"/>
      </w:r>
    </w:p>
    <w:p>
      <w:pPr>
        <w:spacing w:before="0" w:line="191" w:lineRule="exact"/>
        <w:ind w:left="144" w:right="0" w:firstLine="0"/>
        <w:jc w:val="left"/>
        <w:rPr>
          <w:sz w:val="21"/>
        </w:rPr>
      </w:pPr>
      <w:r>
        <w:rPr>
          <w:sz w:val="21"/>
        </w:rPr>
        <w:t>二级指标指标项</w:t>
      </w:r>
    </w:p>
    <w:p>
      <w:pPr>
        <w:spacing w:before="70" w:line="216" w:lineRule="exact"/>
        <w:ind w:left="880" w:right="0" w:firstLine="0"/>
        <w:jc w:val="left"/>
        <w:rPr>
          <w:sz w:val="21"/>
        </w:rPr>
      </w:pPr>
      <w:r>
        <w:br w:type="column"/>
      </w:r>
      <w:r>
        <w:rPr>
          <w:sz w:val="21"/>
        </w:rPr>
        <w:t>二级指标</w:t>
      </w:r>
    </w:p>
    <w:p>
      <w:pPr>
        <w:spacing w:before="0" w:line="138" w:lineRule="exact"/>
        <w:ind w:left="205" w:right="0" w:firstLine="0"/>
        <w:jc w:val="left"/>
        <w:rPr>
          <w:sz w:val="21"/>
        </w:rPr>
      </w:pPr>
      <w:r>
        <w:rPr>
          <w:sz w:val="21"/>
        </w:rPr>
        <w:t>单位</w:t>
      </w:r>
    </w:p>
    <w:p>
      <w:pPr>
        <w:pStyle w:val="6"/>
        <w:spacing w:before="3"/>
        <w:rPr>
          <w:sz w:val="18"/>
        </w:rPr>
      </w:pPr>
      <w:r>
        <w:br w:type="column"/>
      </w:r>
    </w:p>
    <w:p>
      <w:pPr>
        <w:spacing w:before="0" w:line="191" w:lineRule="exact"/>
        <w:ind w:left="205" w:right="0" w:firstLine="0"/>
        <w:jc w:val="left"/>
        <w:rPr>
          <w:sz w:val="21"/>
        </w:rPr>
      </w:pPr>
      <w:r>
        <w:rPr>
          <w:sz w:val="21"/>
        </w:rPr>
        <w:t>Ⅰ级基准值</w:t>
      </w:r>
    </w:p>
    <w:p>
      <w:pPr>
        <w:pStyle w:val="6"/>
        <w:spacing w:before="3"/>
        <w:rPr>
          <w:sz w:val="18"/>
        </w:rPr>
      </w:pPr>
      <w:r>
        <w:br w:type="column"/>
      </w:r>
    </w:p>
    <w:p>
      <w:pPr>
        <w:spacing w:before="0" w:line="191" w:lineRule="exact"/>
        <w:ind w:left="205" w:right="0" w:firstLine="0"/>
        <w:jc w:val="left"/>
        <w:rPr>
          <w:sz w:val="21"/>
        </w:rPr>
      </w:pPr>
      <w:r>
        <w:rPr>
          <w:sz w:val="21"/>
        </w:rPr>
        <w:t>Ⅱ级基准值</w:t>
      </w:r>
    </w:p>
    <w:p>
      <w:pPr>
        <w:pStyle w:val="6"/>
        <w:spacing w:before="3"/>
        <w:rPr>
          <w:sz w:val="18"/>
        </w:rPr>
      </w:pPr>
      <w:r>
        <w:br w:type="column"/>
      </w:r>
    </w:p>
    <w:p>
      <w:pPr>
        <w:spacing w:before="0" w:line="191" w:lineRule="exact"/>
        <w:ind w:left="205" w:right="0" w:firstLine="0"/>
        <w:jc w:val="left"/>
        <w:rPr>
          <w:sz w:val="21"/>
        </w:rPr>
      </w:pPr>
      <w:r>
        <w:rPr>
          <w:sz w:val="21"/>
        </w:rPr>
        <w:t>Ⅲ级基准值</w:t>
      </w:r>
    </w:p>
    <w:p>
      <w:pPr>
        <w:spacing w:before="70"/>
        <w:ind w:left="205" w:right="0" w:firstLine="0"/>
        <w:jc w:val="left"/>
        <w:rPr>
          <w:sz w:val="21"/>
        </w:rPr>
      </w:pPr>
      <w:r>
        <w:br w:type="column"/>
      </w:r>
      <w:r>
        <w:rPr>
          <w:sz w:val="21"/>
        </w:rPr>
        <w:t>本煤矿扩建</w:t>
      </w:r>
    </w:p>
    <w:p>
      <w:pPr>
        <w:spacing w:after="0"/>
        <w:jc w:val="left"/>
        <w:rPr>
          <w:sz w:val="21"/>
        </w:rPr>
        <w:sectPr>
          <w:type w:val="continuous"/>
          <w:pgSz w:w="16840" w:h="11910" w:orient="landscape"/>
          <w:pgMar w:top="1580" w:right="1280" w:bottom="280" w:left="1280" w:header="720" w:footer="720" w:gutter="0"/>
          <w:cols w:equalWidth="0" w:num="7">
            <w:col w:w="2849" w:space="40"/>
            <w:col w:w="1654" w:space="134"/>
            <w:col w:w="1758" w:space="599"/>
            <w:col w:w="1293" w:space="966"/>
            <w:col w:w="1295" w:space="656"/>
            <w:col w:w="1293" w:space="299"/>
            <w:col w:w="1444"/>
          </w:cols>
        </w:sectPr>
      </w:pPr>
    </w:p>
    <w:p>
      <w:pPr>
        <w:tabs>
          <w:tab w:val="left" w:pos="2113"/>
        </w:tabs>
        <w:spacing w:before="0" w:line="239" w:lineRule="exact"/>
        <w:ind w:left="1036" w:right="0" w:firstLine="0"/>
        <w:jc w:val="left"/>
        <w:rPr>
          <w:sz w:val="21"/>
        </w:rPr>
      </w:pPr>
      <w:r>
        <w:rPr>
          <w:sz w:val="21"/>
        </w:rPr>
        <w:t>标项</w:t>
      </w:r>
      <w:r>
        <w:rPr>
          <w:sz w:val="21"/>
        </w:rPr>
        <w:tab/>
      </w:r>
      <w:r>
        <w:rPr>
          <w:sz w:val="21"/>
        </w:rPr>
        <w:t>重值</w:t>
      </w:r>
    </w:p>
    <w:p>
      <w:pPr>
        <w:spacing w:before="0" w:line="239" w:lineRule="exact"/>
        <w:ind w:left="1036" w:right="0" w:firstLine="0"/>
        <w:jc w:val="left"/>
        <w:rPr>
          <w:sz w:val="21"/>
        </w:rPr>
      </w:pPr>
      <w:r>
        <w:br w:type="column"/>
      </w:r>
      <w:r>
        <w:rPr>
          <w:spacing w:val="-5"/>
          <w:sz w:val="21"/>
        </w:rPr>
        <w:t>分权重值</w:t>
      </w:r>
    </w:p>
    <w:p>
      <w:pPr>
        <w:pStyle w:val="6"/>
        <w:rPr>
          <w:sz w:val="20"/>
        </w:rPr>
      </w:pPr>
      <w:r>
        <w:br w:type="column"/>
      </w:r>
    </w:p>
    <w:p>
      <w:pPr>
        <w:pStyle w:val="6"/>
        <w:rPr>
          <w:sz w:val="20"/>
        </w:rPr>
      </w:pPr>
    </w:p>
    <w:p>
      <w:pPr>
        <w:pStyle w:val="6"/>
        <w:rPr>
          <w:sz w:val="20"/>
        </w:rPr>
      </w:pPr>
    </w:p>
    <w:p>
      <w:pPr>
        <w:spacing w:before="153" w:line="320" w:lineRule="atLeast"/>
        <w:ind w:left="12" w:right="0" w:firstLine="0"/>
        <w:jc w:val="left"/>
        <w:rPr>
          <w:sz w:val="21"/>
        </w:rPr>
      </w:pPr>
      <w:r>
        <w:rPr>
          <w:sz w:val="21"/>
        </w:rPr>
        <w:t>对于重要的含水层通过充填开采或离层注浆等措施进行</w:t>
      </w:r>
    </w:p>
    <w:p>
      <w:pPr>
        <w:pStyle w:val="6"/>
        <w:rPr>
          <w:sz w:val="20"/>
        </w:rPr>
      </w:pPr>
      <w:r>
        <w:br w:type="column"/>
      </w:r>
    </w:p>
    <w:p>
      <w:pPr>
        <w:pStyle w:val="6"/>
        <w:rPr>
          <w:sz w:val="20"/>
        </w:rPr>
      </w:pPr>
    </w:p>
    <w:p>
      <w:pPr>
        <w:pStyle w:val="6"/>
        <w:rPr>
          <w:sz w:val="20"/>
        </w:rPr>
      </w:pPr>
    </w:p>
    <w:p>
      <w:pPr>
        <w:pStyle w:val="6"/>
        <w:spacing w:before="6"/>
        <w:rPr>
          <w:sz w:val="28"/>
        </w:rPr>
      </w:pPr>
    </w:p>
    <w:p>
      <w:pPr>
        <w:spacing w:before="0"/>
        <w:ind w:left="-29" w:right="0" w:firstLine="0"/>
        <w:jc w:val="left"/>
        <w:rPr>
          <w:sz w:val="21"/>
        </w:rPr>
      </w:pPr>
      <w:r>
        <w:rPr>
          <w:spacing w:val="-10"/>
          <w:sz w:val="21"/>
        </w:rPr>
        <w:t>顶板垮落法管理采空区，对于重要的含水层</w:t>
      </w:r>
    </w:p>
    <w:p>
      <w:pPr>
        <w:spacing w:before="0" w:line="239" w:lineRule="exact"/>
        <w:ind w:left="22" w:right="185" w:firstLine="0"/>
        <w:jc w:val="center"/>
        <w:rPr>
          <w:sz w:val="21"/>
        </w:rPr>
      </w:pPr>
      <w:r>
        <w:br w:type="column"/>
      </w:r>
      <w:r>
        <w:rPr>
          <w:sz w:val="21"/>
        </w:rPr>
        <w:t>后</w:t>
      </w:r>
    </w:p>
    <w:p>
      <w:pPr>
        <w:spacing w:before="69" w:line="290" w:lineRule="auto"/>
        <w:ind w:left="22" w:right="186" w:firstLine="0"/>
        <w:jc w:val="center"/>
        <w:rPr>
          <w:sz w:val="21"/>
        </w:rPr>
      </w:pPr>
      <w:r>
        <w:rPr>
          <w:sz w:val="21"/>
        </w:rPr>
        <w:t>加钢筋混凝土支护。</w:t>
      </w:r>
    </w:p>
    <w:p>
      <w:pPr>
        <w:pStyle w:val="6"/>
        <w:spacing w:before="4"/>
        <w:rPr>
          <w:sz w:val="26"/>
        </w:rPr>
      </w:pPr>
    </w:p>
    <w:p>
      <w:pPr>
        <w:spacing w:before="1" w:line="192" w:lineRule="exact"/>
        <w:ind w:left="4" w:right="167" w:firstLine="0"/>
        <w:jc w:val="center"/>
        <w:rPr>
          <w:sz w:val="21"/>
        </w:rPr>
      </w:pPr>
      <w:r>
        <w:rPr>
          <w:sz w:val="21"/>
        </w:rPr>
        <w:t>顶板垮落法</w:t>
      </w:r>
    </w:p>
    <w:p>
      <w:pPr>
        <w:spacing w:after="0" w:line="192" w:lineRule="exact"/>
        <w:jc w:val="center"/>
        <w:rPr>
          <w:sz w:val="21"/>
        </w:rPr>
        <w:sectPr>
          <w:type w:val="continuous"/>
          <w:pgSz w:w="16840" w:h="11910" w:orient="landscape"/>
          <w:pgMar w:top="1580" w:right="1280" w:bottom="280" w:left="1280" w:header="720" w:footer="720" w:gutter="0"/>
          <w:cols w:equalWidth="0" w:num="5">
            <w:col w:w="2572" w:space="1950"/>
            <w:col w:w="1874" w:space="39"/>
            <w:col w:w="2644" w:space="40"/>
            <w:col w:w="3861" w:space="39"/>
            <w:col w:w="1261"/>
          </w:cols>
        </w:sectPr>
      </w:pPr>
    </w:p>
    <w:p>
      <w:pPr>
        <w:tabs>
          <w:tab w:val="left" w:pos="2862"/>
          <w:tab w:val="left" w:pos="4988"/>
        </w:tabs>
        <w:spacing w:before="0" w:line="172" w:lineRule="exact"/>
        <w:ind w:left="364" w:right="0" w:firstLine="0"/>
        <w:jc w:val="left"/>
        <w:rPr>
          <w:sz w:val="21"/>
        </w:rPr>
      </w:pPr>
      <w:r>
        <w:rPr>
          <w:rFonts w:ascii="Times New Roman" w:hAnsi="Times New Roman" w:eastAsia="Times New Roman"/>
          <w:sz w:val="21"/>
        </w:rPr>
        <w:t>5</w:t>
      </w:r>
      <w:r>
        <w:rPr>
          <w:rFonts w:ascii="Times New Roman" w:hAnsi="Times New Roman" w:eastAsia="Times New Roman"/>
          <w:sz w:val="21"/>
        </w:rPr>
        <w:tab/>
      </w:r>
      <w:r>
        <w:rPr>
          <w:sz w:val="21"/>
        </w:rPr>
        <w:t>采空区处理（防灾）</w:t>
      </w:r>
      <w:r>
        <w:rPr>
          <w:sz w:val="21"/>
        </w:rPr>
        <w:tab/>
      </w:r>
      <w:r>
        <w:rPr>
          <w:sz w:val="21"/>
        </w:rPr>
        <w:t>━</w:t>
      </w:r>
    </w:p>
    <w:p>
      <w:pPr>
        <w:spacing w:before="0" w:line="159" w:lineRule="exact"/>
        <w:ind w:left="363" w:right="0" w:firstLine="0"/>
        <w:jc w:val="left"/>
        <w:rPr>
          <w:rFonts w:ascii="Times New Roman"/>
          <w:sz w:val="21"/>
        </w:rPr>
      </w:pPr>
      <w:r>
        <w:br w:type="column"/>
      </w:r>
      <w:r>
        <w:rPr>
          <w:rFonts w:ascii="Times New Roman"/>
          <w:sz w:val="21"/>
        </w:rPr>
        <w:t>0.08</w:t>
      </w:r>
    </w:p>
    <w:p>
      <w:pPr>
        <w:spacing w:before="64" w:line="290" w:lineRule="auto"/>
        <w:ind w:left="246" w:right="0" w:firstLine="0"/>
        <w:jc w:val="left"/>
        <w:rPr>
          <w:rFonts w:ascii="Times New Roman" w:eastAsia="Times New Roman"/>
          <w:sz w:val="21"/>
        </w:rPr>
      </w:pPr>
      <w:r>
        <w:br w:type="column"/>
      </w:r>
      <w:r>
        <w:rPr>
          <w:spacing w:val="-17"/>
          <w:sz w:val="21"/>
        </w:rPr>
        <w:t>保护，并取得较好效果的。</w:t>
      </w:r>
      <w:r>
        <w:rPr>
          <w:rFonts w:ascii="Times New Roman" w:eastAsia="Times New Roman"/>
          <w:sz w:val="21"/>
        </w:rPr>
        <w:t>(</w:t>
      </w:r>
      <w:r>
        <w:rPr>
          <w:spacing w:val="-13"/>
          <w:sz w:val="21"/>
        </w:rPr>
        <w:t>防</w:t>
      </w:r>
      <w:r>
        <w:rPr>
          <w:sz w:val="21"/>
        </w:rPr>
        <w:t>火、冲击地压</w:t>
      </w:r>
      <w:r>
        <w:rPr>
          <w:rFonts w:ascii="Times New Roman" w:eastAsia="Times New Roman"/>
          <w:sz w:val="21"/>
        </w:rPr>
        <w:t>)</w:t>
      </w:r>
    </w:p>
    <w:p>
      <w:pPr>
        <w:spacing w:before="0" w:line="115" w:lineRule="exact"/>
        <w:ind w:left="-31" w:right="0" w:firstLine="0"/>
        <w:jc w:val="left"/>
        <w:rPr>
          <w:sz w:val="21"/>
        </w:rPr>
      </w:pPr>
      <w:r>
        <w:br w:type="column"/>
      </w:r>
      <w:r>
        <w:rPr>
          <w:sz w:val="21"/>
        </w:rPr>
        <w:t>通过充填开采或离层注浆等措施进行保护，</w:t>
      </w:r>
    </w:p>
    <w:p>
      <w:pPr>
        <w:spacing w:before="0" w:line="164" w:lineRule="exact"/>
        <w:ind w:left="3919" w:right="0" w:firstLine="0"/>
        <w:jc w:val="left"/>
        <w:rPr>
          <w:sz w:val="21"/>
        </w:rPr>
      </w:pPr>
      <w:r>
        <w:rPr>
          <w:sz w:val="21"/>
        </w:rPr>
        <w:t>管理采空区</w:t>
      </w:r>
    </w:p>
    <w:p>
      <w:pPr>
        <w:spacing w:before="0" w:line="217" w:lineRule="exact"/>
        <w:ind w:left="-31" w:right="0" w:firstLine="0"/>
        <w:jc w:val="left"/>
        <w:rPr>
          <w:sz w:val="21"/>
        </w:rPr>
      </w:pPr>
      <w:r>
        <w:rPr>
          <w:sz w:val="21"/>
        </w:rPr>
        <w:t>并取得一般效果的。</w:t>
      </w:r>
    </w:p>
    <w:p>
      <w:pPr>
        <w:spacing w:after="0" w:line="217" w:lineRule="exact"/>
        <w:jc w:val="left"/>
        <w:rPr>
          <w:sz w:val="21"/>
        </w:rPr>
        <w:sectPr>
          <w:type w:val="continuous"/>
          <w:pgSz w:w="16840" w:h="11910" w:orient="landscape"/>
          <w:pgMar w:top="1580" w:right="1280" w:bottom="280" w:left="1280" w:header="720" w:footer="720" w:gutter="0"/>
          <w:cols w:equalWidth="0" w:num="4">
            <w:col w:w="5238" w:space="190"/>
            <w:col w:w="733" w:space="40"/>
            <w:col w:w="2880" w:space="40"/>
            <w:col w:w="5159"/>
          </w:cols>
        </w:sectPr>
      </w:pPr>
    </w:p>
    <w:p>
      <w:pPr>
        <w:spacing w:before="11" w:line="217" w:lineRule="exact"/>
        <w:ind w:left="2927" w:right="0" w:firstLine="0"/>
        <w:jc w:val="left"/>
        <w:rPr>
          <w:sz w:val="21"/>
        </w:rPr>
      </w:pPr>
      <w:r>
        <w:rPr>
          <w:sz w:val="21"/>
        </w:rPr>
        <w:t>贮煤设施工艺及装</w:t>
      </w:r>
    </w:p>
    <w:p>
      <w:pPr>
        <w:tabs>
          <w:tab w:val="left" w:pos="4988"/>
        </w:tabs>
        <w:spacing w:before="0" w:line="139" w:lineRule="exact"/>
        <w:ind w:left="364" w:right="0" w:firstLine="0"/>
        <w:jc w:val="left"/>
        <w:rPr>
          <w:sz w:val="21"/>
        </w:rPr>
      </w:pPr>
      <w:r>
        <w:rPr>
          <w:rFonts w:ascii="Times New Roman" w:hAnsi="Times New Roman"/>
          <w:sz w:val="21"/>
        </w:rPr>
        <w:t>6</w:t>
      </w:r>
      <w:r>
        <w:rPr>
          <w:rFonts w:ascii="Times New Roman" w:hAnsi="Times New Roman"/>
          <w:sz w:val="21"/>
        </w:rPr>
        <w:tab/>
      </w:r>
      <w:r>
        <w:rPr>
          <w:sz w:val="21"/>
        </w:rPr>
        <w:t>━</w:t>
      </w:r>
    </w:p>
    <w:p>
      <w:pPr>
        <w:spacing w:before="190" w:line="177" w:lineRule="exact"/>
        <w:ind w:left="363" w:right="0" w:firstLine="0"/>
        <w:jc w:val="left"/>
        <w:rPr>
          <w:rFonts w:ascii="Times New Roman"/>
          <w:sz w:val="21"/>
        </w:rPr>
      </w:pPr>
      <w:r>
        <w:br w:type="column"/>
      </w:r>
      <w:r>
        <w:rPr>
          <w:rFonts w:ascii="Times New Roman"/>
          <w:sz w:val="21"/>
        </w:rPr>
        <w:t>0.08</w:t>
      </w:r>
    </w:p>
    <w:p>
      <w:pPr>
        <w:spacing w:before="11" w:line="216" w:lineRule="exact"/>
        <w:ind w:left="246" w:right="0" w:firstLine="0"/>
        <w:jc w:val="left"/>
        <w:rPr>
          <w:sz w:val="21"/>
        </w:rPr>
      </w:pPr>
      <w:r>
        <w:br w:type="column"/>
      </w:r>
      <w:r>
        <w:rPr>
          <w:sz w:val="21"/>
        </w:rPr>
        <w:t>原煤进筒仓或全封闭的贮煤储煤场设有挡风抑尘措施和洒水喷淋装置，</w:t>
      </w:r>
    </w:p>
    <w:p>
      <w:pPr>
        <w:spacing w:before="0" w:line="141" w:lineRule="exact"/>
        <w:ind w:left="6839" w:right="0" w:firstLine="0"/>
        <w:jc w:val="left"/>
        <w:rPr>
          <w:sz w:val="21"/>
        </w:rPr>
      </w:pPr>
      <w:r>
        <w:rPr>
          <w:sz w:val="21"/>
        </w:rPr>
        <w:t>全封闭煤仓</w:t>
      </w:r>
    </w:p>
    <w:p>
      <w:pPr>
        <w:spacing w:after="0" w:line="141" w:lineRule="exact"/>
        <w:jc w:val="left"/>
        <w:rPr>
          <w:sz w:val="21"/>
        </w:rPr>
        <w:sectPr>
          <w:type w:val="continuous"/>
          <w:pgSz w:w="16840" w:h="11910" w:orient="landscape"/>
          <w:pgMar w:top="1580" w:right="1280" w:bottom="280" w:left="1280" w:header="720" w:footer="720" w:gutter="0"/>
          <w:cols w:equalWidth="0" w:num="3">
            <w:col w:w="5238" w:space="190"/>
            <w:col w:w="733" w:space="40"/>
            <w:col w:w="8079"/>
          </w:cols>
        </w:sectPr>
      </w:pPr>
    </w:p>
    <w:p>
      <w:pPr>
        <w:spacing w:before="0" w:line="239" w:lineRule="exact"/>
        <w:ind w:left="3661" w:right="0" w:firstLine="0"/>
        <w:jc w:val="left"/>
        <w:rPr>
          <w:sz w:val="21"/>
        </w:rPr>
      </w:pPr>
      <w:r>
        <w:rPr>
          <w:w w:val="99"/>
          <w:sz w:val="21"/>
        </w:rPr>
        <w:t>备</w:t>
      </w:r>
    </w:p>
    <w:p>
      <w:pPr>
        <w:tabs>
          <w:tab w:val="left" w:pos="3241"/>
        </w:tabs>
        <w:spacing w:before="79"/>
        <w:ind w:left="364" w:right="0" w:firstLine="0"/>
        <w:jc w:val="left"/>
        <w:rPr>
          <w:sz w:val="21"/>
        </w:rPr>
      </w:pPr>
      <w:r>
        <w:rPr>
          <w:rFonts w:ascii="Times New Roman" w:eastAsia="Times New Roman"/>
          <w:sz w:val="21"/>
        </w:rPr>
        <w:t>7</w:t>
      </w:r>
      <w:r>
        <w:rPr>
          <w:rFonts w:ascii="Times New Roman" w:eastAsia="Times New Roman"/>
          <w:sz w:val="21"/>
        </w:rPr>
        <w:tab/>
      </w:r>
      <w:r>
        <w:rPr>
          <w:sz w:val="21"/>
        </w:rPr>
        <w:t>原煤入选率</w:t>
      </w:r>
    </w:p>
    <w:p>
      <w:pPr>
        <w:spacing w:before="0" w:line="239" w:lineRule="exact"/>
        <w:ind w:left="0" w:right="38" w:firstLine="0"/>
        <w:jc w:val="right"/>
        <w:rPr>
          <w:sz w:val="21"/>
        </w:rPr>
      </w:pPr>
      <w:r>
        <w:br w:type="column"/>
      </w:r>
      <w:r>
        <w:rPr>
          <w:w w:val="95"/>
          <w:sz w:val="21"/>
        </w:rPr>
        <w:t>场</w:t>
      </w:r>
    </w:p>
    <w:p>
      <w:pPr>
        <w:tabs>
          <w:tab w:val="left" w:pos="1203"/>
        </w:tabs>
        <w:spacing w:before="93"/>
        <w:ind w:left="363" w:right="0" w:firstLine="0"/>
        <w:jc w:val="left"/>
        <w:rPr>
          <w:rFonts w:ascii="Times New Roman"/>
          <w:sz w:val="21"/>
        </w:rPr>
      </w:pPr>
      <w:r>
        <w:rPr>
          <w:rFonts w:ascii="Times New Roman"/>
          <w:sz w:val="21"/>
        </w:rPr>
        <w:t>%</w:t>
      </w:r>
      <w:r>
        <w:rPr>
          <w:rFonts w:ascii="Times New Roman"/>
          <w:sz w:val="21"/>
        </w:rPr>
        <w:tab/>
      </w:r>
      <w:r>
        <w:rPr>
          <w:rFonts w:ascii="Times New Roman"/>
          <w:sz w:val="21"/>
        </w:rPr>
        <w:t>0.1</w:t>
      </w:r>
    </w:p>
    <w:p>
      <w:pPr>
        <w:pStyle w:val="6"/>
        <w:spacing w:before="9"/>
        <w:rPr>
          <w:rFonts w:ascii="Times New Roman"/>
          <w:sz w:val="28"/>
        </w:rPr>
      </w:pPr>
      <w:r>
        <w:br w:type="column"/>
      </w:r>
    </w:p>
    <w:p>
      <w:pPr>
        <w:spacing w:before="1"/>
        <w:ind w:left="363" w:right="0" w:firstLine="0"/>
        <w:jc w:val="left"/>
        <w:rPr>
          <w:rFonts w:ascii="Times New Roman"/>
          <w:sz w:val="21"/>
        </w:rPr>
      </w:pPr>
      <w:r>
        <w:rPr>
          <w:rFonts w:ascii="Times New Roman"/>
          <w:sz w:val="21"/>
        </w:rPr>
        <w:t>100</w:t>
      </w:r>
    </w:p>
    <w:p>
      <w:pPr>
        <w:spacing w:before="0" w:line="239" w:lineRule="exact"/>
        <w:ind w:left="363" w:right="0" w:firstLine="0"/>
        <w:jc w:val="left"/>
        <w:rPr>
          <w:sz w:val="21"/>
        </w:rPr>
      </w:pPr>
      <w:r>
        <w:br w:type="column"/>
      </w:r>
      <w:r>
        <w:rPr>
          <w:sz w:val="21"/>
        </w:rPr>
        <w:t>上层有棚顶或苫盖</w:t>
      </w:r>
    </w:p>
    <w:p>
      <w:pPr>
        <w:tabs>
          <w:tab w:val="left" w:pos="3085"/>
        </w:tabs>
        <w:spacing w:before="93"/>
        <w:ind w:left="1134" w:right="0" w:firstLine="0"/>
        <w:jc w:val="left"/>
        <w:rPr>
          <w:rFonts w:ascii="Times New Roman" w:hAnsi="Times New Roman"/>
          <w:sz w:val="21"/>
        </w:rPr>
      </w:pPr>
      <w:r>
        <w:rPr>
          <w:rFonts w:ascii="Times New Roman" w:hAnsi="Times New Roman"/>
          <w:sz w:val="21"/>
        </w:rPr>
        <w:t>≥90</w:t>
      </w:r>
      <w:r>
        <w:rPr>
          <w:rFonts w:ascii="Times New Roman" w:hAnsi="Times New Roman"/>
          <w:sz w:val="21"/>
        </w:rPr>
        <w:tab/>
      </w:r>
      <w:r>
        <w:rPr>
          <w:rFonts w:ascii="Times New Roman" w:hAnsi="Times New Roman"/>
          <w:sz w:val="21"/>
        </w:rPr>
        <w:t>≥80</w:t>
      </w:r>
    </w:p>
    <w:p>
      <w:pPr>
        <w:spacing w:before="86"/>
        <w:ind w:left="2243" w:right="0" w:firstLine="0"/>
        <w:jc w:val="left"/>
        <w:rPr>
          <w:sz w:val="21"/>
        </w:rPr>
      </w:pPr>
      <w:r>
        <w:rPr>
          <w:sz w:val="24"/>
        </w:rPr>
        <w:t>由</w:t>
      </w:r>
      <w:r>
        <w:rPr>
          <w:sz w:val="21"/>
        </w:rPr>
        <w:t>箱车或矿车将原煤</w:t>
      </w:r>
    </w:p>
    <w:p>
      <w:pPr>
        <w:pStyle w:val="6"/>
        <w:spacing w:before="11"/>
        <w:rPr>
          <w:sz w:val="25"/>
        </w:rPr>
      </w:pPr>
      <w:r>
        <w:br w:type="column"/>
      </w:r>
    </w:p>
    <w:p>
      <w:pPr>
        <w:spacing w:before="0"/>
        <w:ind w:left="364" w:right="0" w:firstLine="0"/>
        <w:jc w:val="left"/>
        <w:rPr>
          <w:rFonts w:ascii="Times New Roman"/>
          <w:sz w:val="21"/>
        </w:rPr>
      </w:pPr>
      <w:r>
        <w:rPr>
          <w:rFonts w:ascii="Times New Roman"/>
          <w:sz w:val="21"/>
        </w:rPr>
        <w:t>100</w:t>
      </w:r>
    </w:p>
    <w:p>
      <w:pPr>
        <w:spacing w:after="0"/>
        <w:jc w:val="left"/>
        <w:rPr>
          <w:rFonts w:ascii="Times New Roman"/>
          <w:sz w:val="21"/>
        </w:rPr>
        <w:sectPr>
          <w:type w:val="continuous"/>
          <w:pgSz w:w="16840" w:h="11910" w:orient="landscape"/>
          <w:pgMar w:top="1580" w:right="1280" w:bottom="280" w:left="1280" w:header="720" w:footer="720" w:gutter="0"/>
          <w:cols w:equalWidth="0" w:num="5">
            <w:col w:w="4331" w:space="311"/>
            <w:col w:w="2056" w:space="545"/>
            <w:col w:w="720" w:space="763"/>
            <w:col w:w="4253" w:space="65"/>
            <w:col w:w="1236"/>
          </w:cols>
        </w:sectPr>
      </w:pPr>
    </w:p>
    <w:p>
      <w:pPr>
        <w:spacing w:before="85" w:line="217" w:lineRule="exact"/>
        <w:ind w:left="2917" w:right="0" w:firstLine="0"/>
        <w:jc w:val="left"/>
        <w:rPr>
          <w:sz w:val="21"/>
        </w:rPr>
      </w:pPr>
      <w:r>
        <w:rPr>
          <w:sz w:val="21"/>
        </w:rPr>
        <w:t>原煤运 矿井型选煤</w:t>
      </w:r>
    </w:p>
    <w:p>
      <w:pPr>
        <w:tabs>
          <w:tab w:val="left" w:pos="4988"/>
        </w:tabs>
        <w:spacing w:before="0" w:line="118" w:lineRule="exact"/>
        <w:ind w:left="364" w:right="0" w:firstLine="0"/>
        <w:jc w:val="left"/>
        <w:rPr>
          <w:sz w:val="21"/>
        </w:rPr>
      </w:pPr>
      <w:r>
        <w:rPr>
          <w:rFonts w:ascii="Times New Roman" w:hAnsi="Times New Roman"/>
          <w:sz w:val="21"/>
        </w:rPr>
        <w:t>8</w:t>
      </w:r>
      <w:r>
        <w:rPr>
          <w:rFonts w:ascii="Times New Roman" w:hAnsi="Times New Roman"/>
          <w:sz w:val="21"/>
        </w:rPr>
        <w:tab/>
      </w:r>
      <w:r>
        <w:rPr>
          <w:sz w:val="21"/>
        </w:rPr>
        <w:t>━</w:t>
      </w:r>
    </w:p>
    <w:p>
      <w:pPr>
        <w:pStyle w:val="6"/>
        <w:spacing w:before="8"/>
        <w:rPr>
          <w:sz w:val="20"/>
        </w:rPr>
      </w:pPr>
      <w:r>
        <w:br w:type="column"/>
      </w:r>
    </w:p>
    <w:p>
      <w:pPr>
        <w:spacing w:before="0" w:line="156" w:lineRule="exact"/>
        <w:ind w:left="363" w:right="0" w:firstLine="0"/>
        <w:jc w:val="left"/>
        <w:rPr>
          <w:rFonts w:ascii="Times New Roman"/>
          <w:sz w:val="21"/>
        </w:rPr>
      </w:pPr>
      <w:r>
        <w:rPr>
          <w:rFonts w:ascii="Times New Roman"/>
          <w:sz w:val="21"/>
        </w:rPr>
        <w:t>0.08</w:t>
      </w:r>
    </w:p>
    <w:p>
      <w:pPr>
        <w:spacing w:before="65" w:line="244" w:lineRule="exact"/>
        <w:ind w:left="246" w:right="0" w:firstLine="0"/>
        <w:jc w:val="left"/>
        <w:rPr>
          <w:sz w:val="21"/>
        </w:rPr>
      </w:pPr>
      <w:r>
        <w:br w:type="column"/>
      </w:r>
      <w:r>
        <w:rPr>
          <w:sz w:val="21"/>
        </w:rPr>
        <w:t>由封闭皮带运输机将原煤直接运进矿井选煤厂全</w:t>
      </w:r>
      <w:r>
        <w:rPr>
          <w:position w:val="2"/>
          <w:sz w:val="21"/>
        </w:rPr>
        <w:t>运进矿井选煤厂全面</w:t>
      </w:r>
    </w:p>
    <w:p>
      <w:pPr>
        <w:spacing w:before="0" w:line="111" w:lineRule="exact"/>
        <w:ind w:left="0" w:right="682" w:firstLine="0"/>
        <w:jc w:val="right"/>
        <w:rPr>
          <w:rFonts w:ascii="Times New Roman"/>
          <w:sz w:val="21"/>
        </w:rPr>
      </w:pPr>
      <w:r>
        <w:rPr>
          <w:rFonts w:ascii="Times New Roman"/>
          <w:w w:val="99"/>
          <w:sz w:val="21"/>
        </w:rPr>
        <w:t>/</w:t>
      </w:r>
    </w:p>
    <w:p>
      <w:pPr>
        <w:spacing w:after="0" w:line="111" w:lineRule="exact"/>
        <w:jc w:val="right"/>
        <w:rPr>
          <w:rFonts w:ascii="Times New Roman"/>
          <w:sz w:val="21"/>
        </w:rPr>
        <w:sectPr>
          <w:type w:val="continuous"/>
          <w:pgSz w:w="16840" w:h="11910" w:orient="landscape"/>
          <w:pgMar w:top="1580" w:right="1280" w:bottom="280" w:left="1280" w:header="720" w:footer="720" w:gutter="0"/>
          <w:cols w:equalWidth="0" w:num="3">
            <w:col w:w="5238" w:space="190"/>
            <w:col w:w="733" w:space="40"/>
            <w:col w:w="8079"/>
          </w:cols>
        </w:sectPr>
      </w:pPr>
    </w:p>
    <w:p>
      <w:pPr>
        <w:tabs>
          <w:tab w:val="left" w:pos="4035"/>
          <w:tab w:val="left" w:pos="6447"/>
          <w:tab w:val="left" w:pos="10969"/>
        </w:tabs>
        <w:spacing w:before="0" w:line="258" w:lineRule="exact"/>
        <w:ind w:left="3128" w:right="0" w:firstLine="0"/>
        <w:jc w:val="left"/>
        <w:rPr>
          <w:sz w:val="21"/>
        </w:rPr>
      </w:pPr>
      <w:r>
        <w:rPr>
          <w:sz w:val="21"/>
        </w:rPr>
        <w:t>输</w:t>
      </w:r>
      <w:r>
        <w:rPr>
          <w:sz w:val="21"/>
        </w:rPr>
        <w:tab/>
      </w:r>
      <w:r>
        <w:rPr>
          <w:sz w:val="21"/>
        </w:rPr>
        <w:t>厂</w:t>
      </w:r>
      <w:r>
        <w:rPr>
          <w:sz w:val="21"/>
        </w:rPr>
        <w:tab/>
      </w:r>
      <w:r>
        <w:rPr>
          <w:sz w:val="21"/>
        </w:rPr>
        <w:t>封闭的贮煤设施</w:t>
      </w:r>
      <w:r>
        <w:rPr>
          <w:sz w:val="21"/>
        </w:rPr>
        <w:tab/>
      </w:r>
      <w:r>
        <w:rPr>
          <w:position w:val="2"/>
          <w:sz w:val="21"/>
        </w:rPr>
        <w:t>防尘的贮煤设施</w:t>
      </w:r>
    </w:p>
    <w:p>
      <w:pPr>
        <w:pStyle w:val="6"/>
        <w:rPr>
          <w:sz w:val="20"/>
        </w:rPr>
      </w:pPr>
    </w:p>
    <w:p>
      <w:pPr>
        <w:spacing w:after="0"/>
        <w:rPr>
          <w:sz w:val="20"/>
        </w:rPr>
        <w:sectPr>
          <w:type w:val="continuous"/>
          <w:pgSz w:w="16840" w:h="11910" w:orient="landscape"/>
          <w:pgMar w:top="1580" w:right="1280" w:bottom="280" w:left="1280" w:header="720" w:footer="720" w:gutter="0"/>
        </w:sectPr>
      </w:pPr>
    </w:p>
    <w:p>
      <w:pPr>
        <w:pStyle w:val="6"/>
        <w:rPr>
          <w:sz w:val="22"/>
        </w:rPr>
      </w:pPr>
    </w:p>
    <w:p>
      <w:pPr>
        <w:pStyle w:val="6"/>
        <w:spacing w:before="9"/>
        <w:rPr>
          <w:sz w:val="32"/>
        </w:rPr>
      </w:pPr>
    </w:p>
    <w:p>
      <w:pPr>
        <w:pStyle w:val="13"/>
        <w:numPr>
          <w:ilvl w:val="0"/>
          <w:numId w:val="77"/>
        </w:numPr>
        <w:tabs>
          <w:tab w:val="left" w:pos="3347"/>
          <w:tab w:val="left" w:pos="3348"/>
        </w:tabs>
        <w:spacing w:before="0" w:after="0" w:line="240" w:lineRule="auto"/>
        <w:ind w:left="3347" w:right="0" w:hanging="2984"/>
        <w:jc w:val="left"/>
        <w:rPr>
          <w:sz w:val="21"/>
        </w:rPr>
      </w:pPr>
      <w:r>
        <w:rPr>
          <w:sz w:val="21"/>
        </w:rPr>
        <w:t>粉尘控制</w:t>
      </w:r>
    </w:p>
    <w:p>
      <w:pPr>
        <w:pStyle w:val="6"/>
        <w:rPr>
          <w:sz w:val="22"/>
        </w:rPr>
      </w:pPr>
      <w:r>
        <w:br w:type="column"/>
      </w:r>
    </w:p>
    <w:p>
      <w:pPr>
        <w:pStyle w:val="6"/>
        <w:spacing w:before="9"/>
        <w:rPr>
          <w:sz w:val="32"/>
        </w:rPr>
      </w:pPr>
    </w:p>
    <w:p>
      <w:pPr>
        <w:tabs>
          <w:tab w:val="left" w:pos="1220"/>
        </w:tabs>
        <w:spacing w:before="0"/>
        <w:ind w:left="363" w:right="0" w:firstLine="0"/>
        <w:jc w:val="left"/>
        <w:rPr>
          <w:rFonts w:ascii="Times New Roman" w:hAnsi="Times New Roman"/>
          <w:sz w:val="21"/>
        </w:rPr>
      </w:pPr>
      <w:r>
        <w:rPr>
          <w:sz w:val="21"/>
        </w:rPr>
        <w:t>━</w:t>
      </w:r>
      <w:r>
        <w:rPr>
          <w:sz w:val="21"/>
        </w:rPr>
        <w:tab/>
      </w:r>
      <w:r>
        <w:rPr>
          <w:rFonts w:ascii="Times New Roman" w:hAnsi="Times New Roman"/>
          <w:spacing w:val="-7"/>
          <w:sz w:val="21"/>
        </w:rPr>
        <w:t>0.1</w:t>
      </w:r>
    </w:p>
    <w:p>
      <w:pPr>
        <w:pStyle w:val="6"/>
        <w:spacing w:before="11"/>
        <w:rPr>
          <w:rFonts w:ascii="Times New Roman"/>
          <w:sz w:val="17"/>
        </w:rPr>
      </w:pPr>
      <w:r>
        <w:br w:type="column"/>
      </w:r>
    </w:p>
    <w:p>
      <w:pPr>
        <w:spacing w:before="0" w:line="290" w:lineRule="auto"/>
        <w:ind w:left="299" w:right="0" w:firstLine="0"/>
        <w:jc w:val="both"/>
        <w:rPr>
          <w:sz w:val="21"/>
        </w:rPr>
      </w:pPr>
      <w:r>
        <w:rPr>
          <w:w w:val="95"/>
          <w:sz w:val="21"/>
        </w:rPr>
        <w:t>原煤分级筛、破碎机等干法作分级筛及相关转载 业及相关转载环节全部封闭环节设集尘罩，带式 作业，并设有集尘系统，车间输送机设喷雾除尘</w:t>
      </w:r>
    </w:p>
    <w:p>
      <w:pPr>
        <w:pStyle w:val="6"/>
        <w:spacing w:before="6"/>
        <w:rPr>
          <w:sz w:val="22"/>
        </w:rPr>
      </w:pPr>
      <w:r>
        <w:br w:type="column"/>
      </w:r>
    </w:p>
    <w:p>
      <w:pPr>
        <w:spacing w:before="0" w:line="146" w:lineRule="auto"/>
        <w:ind w:left="-29" w:right="186" w:firstLine="2071"/>
        <w:jc w:val="left"/>
        <w:rPr>
          <w:sz w:val="21"/>
        </w:rPr>
      </w:pPr>
      <w:r>
        <w:rPr>
          <w:sz w:val="21"/>
        </w:rPr>
        <w:t>本项目无破破碎机、带式输送机、</w:t>
      </w:r>
    </w:p>
    <w:p>
      <w:pPr>
        <w:spacing w:before="0" w:line="132" w:lineRule="exact"/>
        <w:ind w:left="2043" w:right="0" w:firstLine="0"/>
        <w:jc w:val="left"/>
        <w:rPr>
          <w:sz w:val="21"/>
        </w:rPr>
      </w:pPr>
      <w:r>
        <w:rPr>
          <w:sz w:val="21"/>
        </w:rPr>
        <w:t>碎工序，原</w:t>
      </w:r>
    </w:p>
    <w:p>
      <w:pPr>
        <w:spacing w:before="0" w:line="163" w:lineRule="exact"/>
        <w:ind w:left="-29" w:right="0" w:firstLine="0"/>
        <w:jc w:val="left"/>
        <w:rPr>
          <w:sz w:val="21"/>
        </w:rPr>
      </w:pPr>
      <w:r>
        <w:rPr>
          <w:sz w:val="21"/>
        </w:rPr>
        <w:t>转载点等设喷雾降尘</w:t>
      </w:r>
    </w:p>
    <w:p>
      <w:pPr>
        <w:spacing w:before="0" w:line="163" w:lineRule="exact"/>
        <w:ind w:left="2043" w:right="0" w:firstLine="0"/>
        <w:jc w:val="left"/>
        <w:rPr>
          <w:sz w:val="21"/>
        </w:rPr>
      </w:pPr>
      <w:r>
        <w:rPr>
          <w:sz w:val="21"/>
        </w:rPr>
        <w:t>煤分级筛封</w:t>
      </w:r>
    </w:p>
    <w:p>
      <w:pPr>
        <w:spacing w:before="0" w:line="143" w:lineRule="exact"/>
        <w:ind w:left="-29" w:right="0" w:firstLine="0"/>
        <w:jc w:val="left"/>
        <w:rPr>
          <w:sz w:val="21"/>
        </w:rPr>
      </w:pPr>
      <w:r>
        <w:rPr>
          <w:sz w:val="21"/>
        </w:rPr>
        <w:t>系统</w:t>
      </w:r>
    </w:p>
    <w:p>
      <w:pPr>
        <w:spacing w:after="0" w:line="143" w:lineRule="exact"/>
        <w:jc w:val="left"/>
        <w:rPr>
          <w:sz w:val="21"/>
        </w:rPr>
        <w:sectPr>
          <w:type w:val="continuous"/>
          <w:pgSz w:w="16840" w:h="11910" w:orient="landscape"/>
          <w:pgMar w:top="1580" w:right="1280" w:bottom="280" w:left="1280" w:header="720" w:footer="720" w:gutter="0"/>
          <w:cols w:equalWidth="0" w:num="4">
            <w:col w:w="4225" w:space="399"/>
            <w:col w:w="1484" w:space="40"/>
            <w:col w:w="4810" w:space="40"/>
            <w:col w:w="3282"/>
          </w:cols>
        </w:sectPr>
      </w:pPr>
    </w:p>
    <w:p>
      <w:pPr>
        <w:tabs>
          <w:tab w:val="left" w:pos="2642"/>
        </w:tabs>
        <w:spacing w:before="0" w:line="239" w:lineRule="exact"/>
        <w:ind w:left="0" w:right="0" w:firstLine="0"/>
        <w:jc w:val="right"/>
        <w:rPr>
          <w:sz w:val="21"/>
        </w:rPr>
      </w:pPr>
      <w:r>
        <w:rPr>
          <w:sz w:val="21"/>
        </w:rPr>
        <w:t>有机械通风措施</w:t>
      </w:r>
      <w:r>
        <w:rPr>
          <w:sz w:val="21"/>
        </w:rPr>
        <w:tab/>
      </w:r>
      <w:r>
        <w:rPr>
          <w:spacing w:val="-1"/>
          <w:w w:val="95"/>
          <w:sz w:val="21"/>
        </w:rPr>
        <w:t>系</w:t>
      </w:r>
      <w:r>
        <w:rPr>
          <w:w w:val="95"/>
          <w:sz w:val="21"/>
        </w:rPr>
        <w:t>统</w:t>
      </w:r>
    </w:p>
    <w:p>
      <w:pPr>
        <w:spacing w:before="0" w:line="239" w:lineRule="exact"/>
        <w:ind w:left="3575" w:right="273" w:firstLine="0"/>
        <w:jc w:val="center"/>
        <w:rPr>
          <w:sz w:val="21"/>
        </w:rPr>
      </w:pPr>
      <w:r>
        <w:br w:type="column"/>
      </w:r>
      <w:r>
        <w:rPr>
          <w:sz w:val="21"/>
        </w:rPr>
        <w:t>闭作业</w:t>
      </w:r>
    </w:p>
    <w:p>
      <w:pPr>
        <w:spacing w:before="67" w:line="194" w:lineRule="exact"/>
        <w:ind w:left="3575" w:right="276" w:firstLine="0"/>
        <w:jc w:val="center"/>
        <w:rPr>
          <w:sz w:val="21"/>
        </w:rPr>
      </w:pPr>
      <w:r>
        <w:rPr>
          <w:sz w:val="21"/>
        </w:rPr>
        <w:t>全封闭煤</w:t>
      </w:r>
    </w:p>
    <w:p>
      <w:pPr>
        <w:spacing w:after="0" w:line="194" w:lineRule="exact"/>
        <w:jc w:val="center"/>
        <w:rPr>
          <w:sz w:val="21"/>
        </w:rPr>
        <w:sectPr>
          <w:type w:val="continuous"/>
          <w:pgSz w:w="16840" w:h="11910" w:orient="landscape"/>
          <w:pgMar w:top="1580" w:right="1280" w:bottom="280" w:left="1280" w:header="720" w:footer="720" w:gutter="0"/>
          <w:cols w:equalWidth="0" w:num="2">
            <w:col w:w="9509" w:space="40"/>
            <w:col w:w="4731"/>
          </w:cols>
        </w:sectPr>
      </w:pPr>
    </w:p>
    <w:p>
      <w:pPr>
        <w:spacing w:before="0" w:line="186" w:lineRule="exact"/>
        <w:ind w:left="6448" w:right="0" w:firstLine="0"/>
        <w:jc w:val="left"/>
        <w:rPr>
          <w:sz w:val="21"/>
        </w:rPr>
      </w:pPr>
      <w:r>
        <w:rPr>
          <w:sz w:val="21"/>
        </w:rPr>
        <w:t>存于封闭的储存设施。运输有存于半封闭且配有洒水喷淋装置的储存场。</w:t>
      </w:r>
    </w:p>
    <w:p>
      <w:pPr>
        <w:spacing w:before="0" w:line="139" w:lineRule="exact"/>
        <w:ind w:left="13040" w:right="0" w:firstLine="0"/>
        <w:jc w:val="left"/>
        <w:rPr>
          <w:sz w:val="21"/>
        </w:rPr>
      </w:pPr>
      <w:r>
        <w:rPr>
          <w:sz w:val="21"/>
        </w:rPr>
        <w:t>仓，汽车公</w:t>
      </w:r>
    </w:p>
    <w:p>
      <w:pPr>
        <w:spacing w:after="0" w:line="139" w:lineRule="exact"/>
        <w:jc w:val="left"/>
        <w:rPr>
          <w:sz w:val="21"/>
        </w:rPr>
        <w:sectPr>
          <w:type w:val="continuous"/>
          <w:pgSz w:w="16840" w:h="11910" w:orient="landscape"/>
          <w:pgMar w:top="1580" w:right="1280" w:bottom="280" w:left="1280" w:header="720" w:footer="720" w:gutter="0"/>
        </w:sectPr>
      </w:pPr>
    </w:p>
    <w:p>
      <w:pPr>
        <w:spacing w:before="139"/>
        <w:ind w:left="0" w:right="0" w:firstLine="0"/>
        <w:jc w:val="right"/>
        <w:rPr>
          <w:sz w:val="21"/>
        </w:rPr>
      </w:pPr>
      <w:r>
        <mc:AlternateContent>
          <mc:Choice Requires="wpg">
            <w:drawing>
              <wp:anchor distT="0" distB="0" distL="114300" distR="114300" simplePos="0" relativeHeight="214253568" behindDoc="1" locked="0" layoutInCell="1" allowOverlap="1">
                <wp:simplePos x="0" y="0"/>
                <wp:positionH relativeFrom="page">
                  <wp:posOffset>887730</wp:posOffset>
                </wp:positionH>
                <wp:positionV relativeFrom="page">
                  <wp:posOffset>899795</wp:posOffset>
                </wp:positionV>
                <wp:extent cx="8916670" cy="5563870"/>
                <wp:effectExtent l="0" t="0" r="17780" b="17780"/>
                <wp:wrapNone/>
                <wp:docPr id="95" name="组合 211"/>
                <wp:cNvGraphicFramePr/>
                <a:graphic xmlns:a="http://schemas.openxmlformats.org/drawingml/2006/main">
                  <a:graphicData uri="http://schemas.microsoft.com/office/word/2010/wordprocessingGroup">
                    <wpg:wgp>
                      <wpg:cNvGrpSpPr/>
                      <wpg:grpSpPr>
                        <a:xfrm>
                          <a:off x="0" y="0"/>
                          <a:ext cx="8916670" cy="5563870"/>
                          <a:chOff x="1398" y="1418"/>
                          <a:chExt cx="14042" cy="8762"/>
                        </a:xfrm>
                      </wpg:grpSpPr>
                      <wps:wsp>
                        <wps:cNvPr id="89" name="任意多边形 212"/>
                        <wps:cNvSpPr/>
                        <wps:spPr>
                          <a:xfrm>
                            <a:off x="1398" y="1736"/>
                            <a:ext cx="14042" cy="8742"/>
                          </a:xfrm>
                          <a:custGeom>
                            <a:avLst/>
                            <a:gdLst/>
                            <a:ahLst/>
                            <a:cxnLst/>
                            <a:pathLst>
                              <a:path w="14042" h="8742">
                                <a:moveTo>
                                  <a:pt x="0" y="-308"/>
                                </a:moveTo>
                                <a:lnTo>
                                  <a:pt x="14042" y="-308"/>
                                </a:lnTo>
                                <a:moveTo>
                                  <a:pt x="0" y="8434"/>
                                </a:moveTo>
                                <a:lnTo>
                                  <a:pt x="14042" y="8434"/>
                                </a:lnTo>
                              </a:path>
                            </a:pathLst>
                          </a:custGeom>
                          <a:noFill/>
                          <a:ln w="12192" cap="flat" cmpd="sng">
                            <a:solidFill>
                              <a:srgbClr val="000000"/>
                            </a:solidFill>
                            <a:prstDash val="solid"/>
                            <a:headEnd type="none" w="med" len="med"/>
                            <a:tailEnd type="none" w="med" len="med"/>
                          </a:ln>
                        </wps:spPr>
                        <wps:bodyPr upright="1"/>
                      </wps:wsp>
                      <wps:wsp>
                        <wps:cNvPr id="90" name="任意多边形 213"/>
                        <wps:cNvSpPr/>
                        <wps:spPr>
                          <a:xfrm>
                            <a:off x="1417" y="4047"/>
                            <a:ext cx="14003" cy="5762"/>
                          </a:xfrm>
                          <a:custGeom>
                            <a:avLst/>
                            <a:gdLst/>
                            <a:ahLst/>
                            <a:cxnLst/>
                            <a:pathLst>
                              <a:path w="14003" h="5762">
                                <a:moveTo>
                                  <a:pt x="0" y="-1950"/>
                                </a:moveTo>
                                <a:lnTo>
                                  <a:pt x="14002" y="-1950"/>
                                </a:lnTo>
                                <a:moveTo>
                                  <a:pt x="0" y="-1287"/>
                                </a:moveTo>
                                <a:lnTo>
                                  <a:pt x="567" y="-1287"/>
                                </a:lnTo>
                                <a:moveTo>
                                  <a:pt x="0" y="31"/>
                                </a:moveTo>
                                <a:lnTo>
                                  <a:pt x="567" y="31"/>
                                </a:lnTo>
                                <a:moveTo>
                                  <a:pt x="0" y="694"/>
                                </a:moveTo>
                                <a:lnTo>
                                  <a:pt x="567" y="694"/>
                                </a:lnTo>
                                <a:moveTo>
                                  <a:pt x="0" y="1044"/>
                                </a:moveTo>
                                <a:lnTo>
                                  <a:pt x="567" y="1044"/>
                                </a:lnTo>
                                <a:moveTo>
                                  <a:pt x="0" y="2495"/>
                                </a:moveTo>
                                <a:lnTo>
                                  <a:pt x="567" y="2495"/>
                                </a:lnTo>
                                <a:moveTo>
                                  <a:pt x="0" y="3812"/>
                                </a:moveTo>
                                <a:lnTo>
                                  <a:pt x="567" y="3812"/>
                                </a:lnTo>
                              </a:path>
                            </a:pathLst>
                          </a:custGeom>
                          <a:noFill/>
                          <a:ln w="6096" cap="flat" cmpd="sng">
                            <a:solidFill>
                              <a:srgbClr val="000000"/>
                            </a:solidFill>
                            <a:prstDash val="solid"/>
                            <a:headEnd type="none" w="med" len="med"/>
                            <a:tailEnd type="none" w="med" len="med"/>
                          </a:ln>
                        </wps:spPr>
                        <wps:bodyPr upright="1"/>
                      </wps:wsp>
                      <wps:wsp>
                        <wps:cNvPr id="91" name="直线 214"/>
                        <wps:cNvSpPr/>
                        <wps:spPr>
                          <a:xfrm>
                            <a:off x="1408" y="1418"/>
                            <a:ext cx="0" cy="8761"/>
                          </a:xfrm>
                          <a:prstGeom prst="line">
                            <a:avLst/>
                          </a:prstGeom>
                          <a:ln w="12192" cap="flat" cmpd="sng">
                            <a:solidFill>
                              <a:srgbClr val="000000"/>
                            </a:solidFill>
                            <a:prstDash val="solid"/>
                            <a:headEnd type="none" w="med" len="med"/>
                            <a:tailEnd type="none" w="med" len="med"/>
                          </a:ln>
                        </wps:spPr>
                        <wps:bodyPr upright="1"/>
                      </wps:wsp>
                      <wps:wsp>
                        <wps:cNvPr id="92" name="任意多边形 215"/>
                        <wps:cNvSpPr/>
                        <wps:spPr>
                          <a:xfrm>
                            <a:off x="4133" y="2729"/>
                            <a:ext cx="11288" cy="6417"/>
                          </a:xfrm>
                          <a:custGeom>
                            <a:avLst/>
                            <a:gdLst/>
                            <a:ahLst/>
                            <a:cxnLst/>
                            <a:pathLst>
                              <a:path w="11288" h="6417">
                                <a:moveTo>
                                  <a:pt x="0" y="31"/>
                                </a:moveTo>
                                <a:lnTo>
                                  <a:pt x="11287" y="31"/>
                                </a:lnTo>
                                <a:moveTo>
                                  <a:pt x="0" y="1349"/>
                                </a:moveTo>
                                <a:lnTo>
                                  <a:pt x="11287" y="1349"/>
                                </a:lnTo>
                                <a:moveTo>
                                  <a:pt x="0" y="2012"/>
                                </a:moveTo>
                                <a:lnTo>
                                  <a:pt x="11287" y="2012"/>
                                </a:lnTo>
                                <a:moveTo>
                                  <a:pt x="0" y="2362"/>
                                </a:moveTo>
                                <a:lnTo>
                                  <a:pt x="11287" y="2362"/>
                                </a:lnTo>
                                <a:moveTo>
                                  <a:pt x="0" y="3813"/>
                                </a:moveTo>
                                <a:lnTo>
                                  <a:pt x="11287" y="3813"/>
                                </a:lnTo>
                                <a:moveTo>
                                  <a:pt x="0" y="5130"/>
                                </a:moveTo>
                                <a:lnTo>
                                  <a:pt x="11287" y="5130"/>
                                </a:lnTo>
                                <a:moveTo>
                                  <a:pt x="750" y="6448"/>
                                </a:moveTo>
                                <a:lnTo>
                                  <a:pt x="11287" y="6448"/>
                                </a:lnTo>
                              </a:path>
                            </a:pathLst>
                          </a:custGeom>
                          <a:noFill/>
                          <a:ln w="6096" cap="flat" cmpd="sng">
                            <a:solidFill>
                              <a:srgbClr val="000000"/>
                            </a:solidFill>
                            <a:prstDash val="solid"/>
                            <a:headEnd type="none" w="med" len="med"/>
                            <a:tailEnd type="none" w="med" len="med"/>
                          </a:ln>
                        </wps:spPr>
                        <wps:bodyPr upright="1"/>
                      </wps:wsp>
                      <wps:wsp>
                        <wps:cNvPr id="93" name="直线 216"/>
                        <wps:cNvSpPr/>
                        <wps:spPr>
                          <a:xfrm>
                            <a:off x="15430" y="1437"/>
                            <a:ext cx="0" cy="8742"/>
                          </a:xfrm>
                          <a:prstGeom prst="line">
                            <a:avLst/>
                          </a:prstGeom>
                          <a:ln w="12192" cap="flat" cmpd="sng">
                            <a:solidFill>
                              <a:srgbClr val="000000"/>
                            </a:solidFill>
                            <a:prstDash val="solid"/>
                            <a:headEnd type="none" w="med" len="med"/>
                            <a:tailEnd type="none" w="med" len="med"/>
                          </a:ln>
                        </wps:spPr>
                        <wps:bodyPr upright="1"/>
                      </wps:wsp>
                      <wps:wsp>
                        <wps:cNvPr id="94" name="任意多边形 217"/>
                        <wps:cNvSpPr/>
                        <wps:spPr>
                          <a:xfrm>
                            <a:off x="1980" y="1746"/>
                            <a:ext cx="12285" cy="8723"/>
                          </a:xfrm>
                          <a:custGeom>
                            <a:avLst/>
                            <a:gdLst/>
                            <a:ahLst/>
                            <a:cxnLst/>
                            <a:pathLst>
                              <a:path w="12285" h="8723">
                                <a:moveTo>
                                  <a:pt x="0" y="-309"/>
                                </a:moveTo>
                                <a:lnTo>
                                  <a:pt x="0" y="8414"/>
                                </a:lnTo>
                                <a:moveTo>
                                  <a:pt x="1090" y="-309"/>
                                </a:moveTo>
                                <a:lnTo>
                                  <a:pt x="1090" y="8414"/>
                                </a:lnTo>
                                <a:moveTo>
                                  <a:pt x="2158" y="-309"/>
                                </a:moveTo>
                                <a:lnTo>
                                  <a:pt x="2158" y="8414"/>
                                </a:lnTo>
                                <a:moveTo>
                                  <a:pt x="2908" y="3340"/>
                                </a:moveTo>
                                <a:lnTo>
                                  <a:pt x="2908" y="4791"/>
                                </a:lnTo>
                                <a:moveTo>
                                  <a:pt x="2908" y="6108"/>
                                </a:moveTo>
                                <a:lnTo>
                                  <a:pt x="2908" y="8414"/>
                                </a:lnTo>
                                <a:moveTo>
                                  <a:pt x="3976" y="-309"/>
                                </a:moveTo>
                                <a:lnTo>
                                  <a:pt x="3976" y="8414"/>
                                </a:lnTo>
                                <a:moveTo>
                                  <a:pt x="4811" y="-309"/>
                                </a:moveTo>
                                <a:lnTo>
                                  <a:pt x="4811" y="8414"/>
                                </a:lnTo>
                                <a:moveTo>
                                  <a:pt x="5744" y="-309"/>
                                </a:moveTo>
                                <a:lnTo>
                                  <a:pt x="5744" y="8414"/>
                                </a:lnTo>
                                <a:moveTo>
                                  <a:pt x="8385" y="-309"/>
                                </a:moveTo>
                                <a:lnTo>
                                  <a:pt x="8385" y="3340"/>
                                </a:lnTo>
                                <a:moveTo>
                                  <a:pt x="8385" y="4791"/>
                                </a:moveTo>
                                <a:lnTo>
                                  <a:pt x="8385" y="7426"/>
                                </a:lnTo>
                                <a:moveTo>
                                  <a:pt x="10264" y="-309"/>
                                </a:moveTo>
                                <a:lnTo>
                                  <a:pt x="10264" y="346"/>
                                </a:lnTo>
                                <a:moveTo>
                                  <a:pt x="10264" y="2990"/>
                                </a:moveTo>
                                <a:lnTo>
                                  <a:pt x="10264" y="6108"/>
                                </a:lnTo>
                                <a:moveTo>
                                  <a:pt x="12285" y="-309"/>
                                </a:moveTo>
                                <a:lnTo>
                                  <a:pt x="12285" y="8414"/>
                                </a:lnTo>
                              </a:path>
                            </a:pathLst>
                          </a:custGeom>
                          <a:noFill/>
                          <a:ln w="6096" cap="flat" cmpd="sng">
                            <a:solidFill>
                              <a:srgbClr val="000000"/>
                            </a:solidFill>
                            <a:prstDash val="solid"/>
                            <a:headEnd type="none" w="med" len="med"/>
                            <a:tailEnd type="none" w="med" len="med"/>
                          </a:ln>
                        </wps:spPr>
                        <wps:bodyPr upright="1"/>
                      </wps:wsp>
                    </wpg:wgp>
                  </a:graphicData>
                </a:graphic>
              </wp:anchor>
            </w:drawing>
          </mc:Choice>
          <mc:Fallback>
            <w:pict>
              <v:group id="组合 211" o:spid="_x0000_s1026" o:spt="203" style="position:absolute;left:0pt;margin-left:69.9pt;margin-top:70.85pt;height:438.1pt;width:702.1pt;mso-position-horizontal-relative:page;mso-position-vertical-relative:page;z-index:-289062912;mso-width-relative:page;mso-height-relative:page;" coordorigin="1398,1418" coordsize="14042,8762" o:gfxdata="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">
                <o:lock v:ext="edit" aspectratio="f"/>
                <v:shape id="任意多边形 212" o:spid="_x0000_s1026" o:spt="100" style="position:absolute;left:1398;top:1736;height:8742;width:14042;" filled="f" stroked="t" coordsize="14042,8742" o:gfxdata="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FXr4A&#10;AADbAAAADwAAAAAAAAABACAAAAAiAAAAZHJzL2Rvd25yZXYueG1sUEsBAhQAFAAAAAgAh07iQDMv&#10;BZ47AAAAOQAAABAAAAAAAAAAAQAgAAAADQEAAGRycy9zaGFwZXhtbC54bWxQSwUGAAAAAAYABgBb&#10;AQAAtwMAAAAA&#10;" path="m0,-308l14042,-308m0,8434l14042,8434e">
                  <v:fill on="f" focussize="0,0"/>
                  <v:stroke weight="0.96pt" color="#000000" joinstyle="round"/>
                  <v:imagedata o:title=""/>
                  <o:lock v:ext="edit" aspectratio="f"/>
                </v:shape>
                <v:shape id="任意多边形 213" o:spid="_x0000_s1026" o:spt="100" style="position:absolute;left:1417;top:4047;height:5762;width:14003;" filled="f" stroked="t" coordsize="14003,5762" o:gfxdata="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P6+tbsAAADb&#10;AAAADwAAAAAAAAABACAAAAAiAAAAZHJzL2Rvd25yZXYueG1sUEsBAhQAFAAAAAgAh07iQDMvBZ47&#10;AAAAOQAAABAAAAAAAAAAAQAgAAAACgEAAGRycy9zaGFwZXhtbC54bWxQSwUGAAAAAAYABgBbAQAA&#10;tAMAAAAA&#10;" path="m0,-1950l14002,-1950m0,-1287l567,-1287m0,31l567,31m0,694l567,694m0,1044l567,1044m0,2495l567,2495m0,3812l567,3812e">
                  <v:fill on="f" focussize="0,0"/>
                  <v:stroke weight="0.48pt" color="#000000" joinstyle="round"/>
                  <v:imagedata o:title=""/>
                  <o:lock v:ext="edit" aspectratio="f"/>
                </v:shape>
                <v:line id="直线 214" o:spid="_x0000_s1026" o:spt="20" style="position:absolute;left:1408;top:1418;height:8761;width:0;" filled="f" stroked="t" coordsize="21600,21600" o:gfxdata="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JDNIvQAA&#10;ANs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shape id="任意多边形 215" o:spid="_x0000_s1026" o:spt="100" style="position:absolute;left:4133;top:2729;height:6417;width:11288;" filled="f" stroked="t" coordsize="11288,6417" o:gfxdata="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Rh74A&#10;AADbAAAADwAAAAAAAAABACAAAAAiAAAAZHJzL2Rvd25yZXYueG1sUEsBAhQAFAAAAAgAh07iQDMv&#10;BZ47AAAAOQAAABAAAAAAAAAAAQAgAAAADQEAAGRycy9zaGFwZXhtbC54bWxQSwUGAAAAAAYABgBb&#10;AQAAtwMAAAAA&#10;" path="m0,31l11287,31m0,1349l11287,1349m0,2012l11287,2012m0,2362l11287,2362m0,3813l11287,3813m0,5130l11287,5130m750,6448l11287,6448e">
                  <v:fill on="f" focussize="0,0"/>
                  <v:stroke weight="0.48pt" color="#000000" joinstyle="round"/>
                  <v:imagedata o:title=""/>
                  <o:lock v:ext="edit" aspectratio="f"/>
                </v:shape>
                <v:line id="直线 216" o:spid="_x0000_s1026" o:spt="20" style="position:absolute;left:15430;top:1437;height:8742;width:0;" filled="f" stroked="t" coordsize="21600,21600" o:gfxdata="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oIpL4A&#10;AADb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shape id="任意多边形 217" o:spid="_x0000_s1026" o:spt="100" style="position:absolute;left:1980;top:1746;height:8723;width:12285;" filled="f" stroked="t" coordsize="12285,8723" o:gfxdata="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SmGXvQAA&#10;ANsAAAAPAAAAAAAAAAEAIAAAACIAAABkcnMvZG93bnJldi54bWxQSwECFAAUAAAACACHTuJAMy8F&#10;njsAAAA5AAAAEAAAAAAAAAABACAAAAAMAQAAZHJzL3NoYXBleG1sLnhtbFBLBQYAAAAABgAGAFsB&#10;AAC2AwAAAAA=&#10;" path="m0,-309l0,8414m1090,-309l1090,8414m2158,-309l2158,8414m2908,3340l2908,4791m2908,6108l2908,8414m3976,-309l3976,8414m4811,-309l4811,8414m5744,-309l5744,8414m8385,-309l8385,3340m8385,4791l8385,7426m10264,-309l10264,346m10264,2990l10264,6108m12285,-309l12285,8414e">
                  <v:fill on="f" focussize="0,0"/>
                  <v:stroke weight="0.48pt" color="#000000" joinstyle="round"/>
                  <v:imagedata o:title=""/>
                  <o:lock v:ext="edit" aspectratio="f"/>
                </v:shape>
              </v:group>
            </w:pict>
          </mc:Fallback>
        </mc:AlternateContent>
      </w:r>
      <w:r>
        <w:rPr>
          <w:w w:val="95"/>
          <w:sz w:val="21"/>
        </w:rPr>
        <w:t>产品的</w:t>
      </w:r>
    </w:p>
    <w:p>
      <w:pPr>
        <w:pStyle w:val="13"/>
        <w:numPr>
          <w:ilvl w:val="0"/>
          <w:numId w:val="77"/>
        </w:numPr>
        <w:tabs>
          <w:tab w:val="left" w:pos="2606"/>
          <w:tab w:val="left" w:pos="2607"/>
        </w:tabs>
        <w:spacing w:before="62" w:after="0" w:line="240" w:lineRule="auto"/>
        <w:ind w:left="2917" w:right="0" w:hanging="2918"/>
        <w:jc w:val="right"/>
        <w:rPr>
          <w:sz w:val="21"/>
        </w:rPr>
      </w:pPr>
      <w:r>
        <w:rPr>
          <w:w w:val="95"/>
          <w:sz w:val="21"/>
        </w:rPr>
        <w:t>储运方</w:t>
      </w:r>
    </w:p>
    <w:p>
      <w:pPr>
        <w:spacing w:before="53"/>
        <w:ind w:left="0" w:right="206" w:firstLine="0"/>
        <w:jc w:val="right"/>
        <w:rPr>
          <w:sz w:val="21"/>
        </w:rPr>
      </w:pPr>
      <w:r>
        <w:rPr>
          <w:w w:val="99"/>
          <w:sz w:val="21"/>
        </w:rPr>
        <w:t>式</w:t>
      </w:r>
    </w:p>
    <w:p>
      <w:pPr>
        <w:tabs>
          <w:tab w:val="left" w:pos="1402"/>
        </w:tabs>
        <w:spacing w:before="0" w:line="240" w:lineRule="exact"/>
        <w:ind w:left="27" w:right="0" w:firstLine="0"/>
        <w:jc w:val="left"/>
        <w:rPr>
          <w:sz w:val="21"/>
        </w:rPr>
      </w:pPr>
      <w:r>
        <w:br w:type="column"/>
      </w:r>
      <w:r>
        <w:rPr>
          <w:sz w:val="21"/>
        </w:rPr>
        <w:t>精煤、中煤</w:t>
      </w:r>
      <w:r>
        <w:rPr>
          <w:sz w:val="21"/>
        </w:rPr>
        <w:tab/>
      </w:r>
      <w:r>
        <w:rPr>
          <w:sz w:val="21"/>
        </w:rPr>
        <w:t>━</w:t>
      </w:r>
    </w:p>
    <w:p>
      <w:pPr>
        <w:pStyle w:val="6"/>
        <w:rPr>
          <w:sz w:val="20"/>
        </w:rPr>
      </w:pPr>
    </w:p>
    <w:p>
      <w:pPr>
        <w:pStyle w:val="6"/>
        <w:rPr>
          <w:sz w:val="20"/>
        </w:rPr>
      </w:pPr>
    </w:p>
    <w:p>
      <w:pPr>
        <w:pStyle w:val="6"/>
        <w:spacing w:before="4"/>
        <w:rPr>
          <w:sz w:val="16"/>
        </w:rPr>
      </w:pPr>
    </w:p>
    <w:p>
      <w:pPr>
        <w:spacing w:before="0" w:line="216" w:lineRule="exact"/>
        <w:ind w:left="27" w:right="0" w:firstLine="0"/>
        <w:jc w:val="left"/>
        <w:rPr>
          <w:sz w:val="21"/>
        </w:rPr>
      </w:pPr>
      <w:r>
        <w:rPr>
          <w:sz w:val="21"/>
        </w:rPr>
        <w:t>煤矸石、煤</w:t>
      </w:r>
    </w:p>
    <w:p>
      <w:pPr>
        <w:spacing w:before="0" w:line="163" w:lineRule="exact"/>
        <w:ind w:left="1402" w:right="0" w:firstLine="0"/>
        <w:jc w:val="left"/>
        <w:rPr>
          <w:sz w:val="21"/>
        </w:rPr>
      </w:pPr>
      <w:r>
        <w:rPr>
          <w:w w:val="99"/>
          <w:sz w:val="21"/>
        </w:rPr>
        <w:t>━</w:t>
      </w:r>
    </w:p>
    <w:p>
      <w:pPr>
        <w:spacing w:before="0" w:line="216" w:lineRule="exact"/>
        <w:ind w:left="27" w:right="0" w:firstLine="0"/>
        <w:jc w:val="left"/>
        <w:rPr>
          <w:sz w:val="21"/>
        </w:rPr>
      </w:pPr>
      <w:r>
        <w:rPr>
          <w:w w:val="99"/>
          <w:sz w:val="21"/>
        </w:rPr>
        <w:t>泥</w:t>
      </w:r>
    </w:p>
    <w:p>
      <w:pPr>
        <w:spacing w:before="0" w:line="232" w:lineRule="exact"/>
        <w:ind w:left="311" w:right="0" w:firstLine="0"/>
        <w:jc w:val="left"/>
        <w:rPr>
          <w:rFonts w:ascii="Times New Roman"/>
          <w:sz w:val="21"/>
        </w:rPr>
      </w:pPr>
      <w:r>
        <w:br w:type="column"/>
      </w:r>
      <w:r>
        <w:rPr>
          <w:rFonts w:ascii="Times New Roman"/>
          <w:sz w:val="21"/>
        </w:rPr>
        <w:t>0.06</w:t>
      </w:r>
    </w:p>
    <w:p>
      <w:pPr>
        <w:pStyle w:val="6"/>
        <w:rPr>
          <w:rFonts w:ascii="Times New Roman"/>
          <w:sz w:val="22"/>
        </w:rPr>
      </w:pPr>
    </w:p>
    <w:p>
      <w:pPr>
        <w:pStyle w:val="6"/>
        <w:rPr>
          <w:rFonts w:ascii="Times New Roman"/>
          <w:sz w:val="22"/>
        </w:rPr>
      </w:pPr>
    </w:p>
    <w:p>
      <w:pPr>
        <w:pStyle w:val="6"/>
        <w:rPr>
          <w:rFonts w:ascii="Times New Roman"/>
          <w:sz w:val="22"/>
        </w:rPr>
      </w:pPr>
    </w:p>
    <w:p>
      <w:pPr>
        <w:spacing w:before="151"/>
        <w:ind w:left="311" w:right="0" w:firstLine="0"/>
        <w:jc w:val="left"/>
        <w:rPr>
          <w:rFonts w:ascii="Times New Roman"/>
          <w:sz w:val="21"/>
        </w:rPr>
      </w:pPr>
      <w:r>
        <w:rPr>
          <w:rFonts w:ascii="Times New Roman"/>
          <w:sz w:val="21"/>
        </w:rPr>
        <w:t>0.06</w:t>
      </w:r>
    </w:p>
    <w:p>
      <w:pPr>
        <w:spacing w:before="0" w:line="240" w:lineRule="exact"/>
        <w:ind w:left="246" w:right="0" w:firstLine="0"/>
        <w:jc w:val="left"/>
        <w:rPr>
          <w:sz w:val="21"/>
        </w:rPr>
      </w:pPr>
      <w:r>
        <w:br w:type="column"/>
      </w:r>
      <w:r>
        <w:rPr>
          <w:w w:val="95"/>
          <w:sz w:val="21"/>
        </w:rPr>
        <w:t>铁路专用线及铁路快速装车运输有铁路专用线、铁路快速装车系统，汽</w:t>
      </w:r>
    </w:p>
    <w:p>
      <w:pPr>
        <w:tabs>
          <w:tab w:val="left" w:pos="2889"/>
        </w:tabs>
        <w:spacing w:before="57"/>
        <w:ind w:left="246" w:right="0" w:firstLine="0"/>
        <w:jc w:val="left"/>
        <w:rPr>
          <w:sz w:val="21"/>
        </w:rPr>
      </w:pPr>
      <w:r>
        <w:rPr>
          <w:sz w:val="21"/>
        </w:rPr>
        <w:t>系统</w:t>
      </w:r>
      <w:r>
        <w:rPr>
          <w:sz w:val="21"/>
        </w:rPr>
        <w:tab/>
      </w:r>
      <w:r>
        <w:rPr>
          <w:sz w:val="21"/>
        </w:rPr>
        <w:t>车公路外运采用全封闭车厢</w:t>
      </w:r>
    </w:p>
    <w:p>
      <w:pPr>
        <w:pStyle w:val="6"/>
        <w:rPr>
          <w:sz w:val="20"/>
        </w:rPr>
      </w:pPr>
    </w:p>
    <w:p>
      <w:pPr>
        <w:spacing w:before="140" w:line="290" w:lineRule="auto"/>
        <w:ind w:left="246" w:right="0" w:firstLine="0"/>
        <w:jc w:val="left"/>
        <w:rPr>
          <w:sz w:val="21"/>
        </w:rPr>
      </w:pPr>
      <w:r>
        <w:rPr>
          <w:sz w:val="21"/>
        </w:rPr>
        <w:t>首先考虑综合利用，不能利用的暂时存于封闭或半封闭的储存设施，地面不设立永久矸石山，煤矸石、煤泥外运采用全封闭车厢</w:t>
      </w:r>
    </w:p>
    <w:p>
      <w:pPr>
        <w:spacing w:before="134" w:line="292" w:lineRule="auto"/>
        <w:ind w:left="22" w:right="186" w:firstLine="0"/>
        <w:jc w:val="both"/>
        <w:rPr>
          <w:sz w:val="21"/>
        </w:rPr>
      </w:pPr>
      <w:r>
        <w:br w:type="column"/>
      </w:r>
      <w:r>
        <w:rPr>
          <w:sz w:val="21"/>
        </w:rPr>
        <w:t>路外运采用全封闭车厢不设立永久矸石山，矸石暂存于煤</w:t>
      </w:r>
    </w:p>
    <w:p>
      <w:pPr>
        <w:spacing w:after="0" w:line="292" w:lineRule="auto"/>
        <w:jc w:val="both"/>
        <w:rPr>
          <w:sz w:val="21"/>
        </w:rPr>
        <w:sectPr>
          <w:type w:val="continuous"/>
          <w:pgSz w:w="16840" w:h="11910" w:orient="landscape"/>
          <w:pgMar w:top="1580" w:right="1280" w:bottom="280" w:left="1280" w:header="720" w:footer="720" w:gutter="0"/>
          <w:cols w:equalWidth="0" w:num="5">
            <w:col w:w="3547" w:space="40"/>
            <w:col w:w="1652" w:space="243"/>
            <w:col w:w="680" w:space="39"/>
            <w:col w:w="6778" w:space="40"/>
            <w:col w:w="1261"/>
          </w:cols>
        </w:sectPr>
      </w:pPr>
    </w:p>
    <w:p>
      <w:pPr>
        <w:pStyle w:val="6"/>
        <w:spacing w:before="1"/>
        <w:rPr>
          <w:rFonts w:ascii="Times New Roman"/>
          <w:sz w:val="27"/>
        </w:rPr>
      </w:pPr>
    </w:p>
    <w:tbl>
      <w:tblPr>
        <w:tblStyle w:val="10"/>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72"/>
        <w:gridCol w:w="1090"/>
        <w:gridCol w:w="1068"/>
        <w:gridCol w:w="750"/>
        <w:gridCol w:w="1068"/>
        <w:gridCol w:w="835"/>
        <w:gridCol w:w="933"/>
        <w:gridCol w:w="2641"/>
        <w:gridCol w:w="1879"/>
        <w:gridCol w:w="2021"/>
        <w:gridCol w:w="11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572" w:type="dxa"/>
            <w:tcBorders>
              <w:bottom w:val="single" w:color="000000" w:sz="4" w:space="0"/>
              <w:right w:val="single" w:color="000000" w:sz="4" w:space="0"/>
            </w:tcBorders>
          </w:tcPr>
          <w:p>
            <w:pPr>
              <w:pStyle w:val="14"/>
              <w:spacing w:before="165"/>
              <w:ind w:left="56" w:right="41"/>
              <w:rPr>
                <w:sz w:val="21"/>
              </w:rPr>
            </w:pPr>
            <w:r>
              <w:rPr>
                <w:sz w:val="21"/>
              </w:rPr>
              <w:t>序号</w:t>
            </w:r>
          </w:p>
        </w:tc>
        <w:tc>
          <w:tcPr>
            <w:tcW w:w="1090" w:type="dxa"/>
            <w:tcBorders>
              <w:left w:val="single" w:color="000000" w:sz="4" w:space="0"/>
              <w:bottom w:val="single" w:color="000000" w:sz="4" w:space="0"/>
              <w:right w:val="single" w:color="000000" w:sz="4" w:space="0"/>
            </w:tcBorders>
          </w:tcPr>
          <w:p>
            <w:pPr>
              <w:pStyle w:val="14"/>
              <w:spacing w:before="2"/>
              <w:ind w:left="16"/>
              <w:rPr>
                <w:sz w:val="21"/>
              </w:rPr>
            </w:pPr>
            <w:r>
              <w:rPr>
                <w:sz w:val="21"/>
              </w:rPr>
              <w:t>一级指标指</w:t>
            </w:r>
          </w:p>
          <w:p>
            <w:pPr>
              <w:pStyle w:val="14"/>
              <w:spacing w:before="55"/>
              <w:ind w:left="18"/>
              <w:rPr>
                <w:sz w:val="21"/>
              </w:rPr>
            </w:pPr>
            <w:r>
              <w:rPr>
                <w:sz w:val="21"/>
              </w:rPr>
              <w:t>标项</w:t>
            </w:r>
          </w:p>
        </w:tc>
        <w:tc>
          <w:tcPr>
            <w:tcW w:w="1068" w:type="dxa"/>
            <w:tcBorders>
              <w:left w:val="single" w:color="000000" w:sz="4" w:space="0"/>
              <w:bottom w:val="single" w:color="000000" w:sz="4" w:space="0"/>
              <w:right w:val="single" w:color="000000" w:sz="4" w:space="0"/>
            </w:tcBorders>
          </w:tcPr>
          <w:p>
            <w:pPr>
              <w:pStyle w:val="14"/>
              <w:spacing w:before="2"/>
              <w:ind w:left="13" w:right="-15"/>
              <w:rPr>
                <w:sz w:val="21"/>
              </w:rPr>
            </w:pPr>
            <w:r>
              <w:rPr>
                <w:sz w:val="21"/>
              </w:rPr>
              <w:t>一级指标权</w:t>
            </w:r>
          </w:p>
          <w:p>
            <w:pPr>
              <w:pStyle w:val="14"/>
              <w:spacing w:before="55"/>
              <w:ind w:left="306" w:right="290"/>
              <w:rPr>
                <w:sz w:val="21"/>
              </w:rPr>
            </w:pPr>
            <w:r>
              <w:rPr>
                <w:sz w:val="21"/>
              </w:rPr>
              <w:t>重值</w:t>
            </w:r>
          </w:p>
        </w:tc>
        <w:tc>
          <w:tcPr>
            <w:tcW w:w="1818" w:type="dxa"/>
            <w:gridSpan w:val="2"/>
            <w:tcBorders>
              <w:left w:val="single" w:color="000000" w:sz="4" w:space="0"/>
              <w:bottom w:val="single" w:color="000000" w:sz="4" w:space="0"/>
              <w:right w:val="single" w:color="000000" w:sz="4" w:space="0"/>
            </w:tcBorders>
          </w:tcPr>
          <w:p>
            <w:pPr>
              <w:pStyle w:val="14"/>
              <w:spacing w:before="165"/>
              <w:ind w:left="179"/>
              <w:jc w:val="left"/>
              <w:rPr>
                <w:sz w:val="21"/>
              </w:rPr>
            </w:pPr>
            <w:r>
              <w:rPr>
                <w:sz w:val="21"/>
              </w:rPr>
              <w:t>二级指标指标项</w:t>
            </w:r>
          </w:p>
        </w:tc>
        <w:tc>
          <w:tcPr>
            <w:tcW w:w="835" w:type="dxa"/>
            <w:tcBorders>
              <w:left w:val="single" w:color="000000" w:sz="4" w:space="0"/>
              <w:bottom w:val="single" w:color="000000" w:sz="4" w:space="0"/>
              <w:right w:val="single" w:color="000000" w:sz="4" w:space="0"/>
            </w:tcBorders>
          </w:tcPr>
          <w:p>
            <w:pPr>
              <w:pStyle w:val="14"/>
              <w:spacing w:before="165"/>
              <w:ind w:right="193"/>
              <w:jc w:val="right"/>
              <w:rPr>
                <w:sz w:val="21"/>
              </w:rPr>
            </w:pPr>
            <w:r>
              <w:rPr>
                <w:w w:val="95"/>
                <w:sz w:val="21"/>
              </w:rPr>
              <w:t>单位</w:t>
            </w:r>
          </w:p>
        </w:tc>
        <w:tc>
          <w:tcPr>
            <w:tcW w:w="933" w:type="dxa"/>
            <w:tcBorders>
              <w:left w:val="single" w:color="000000" w:sz="4" w:space="0"/>
              <w:bottom w:val="single" w:color="000000" w:sz="4" w:space="0"/>
              <w:right w:val="single" w:color="000000" w:sz="4" w:space="0"/>
            </w:tcBorders>
          </w:tcPr>
          <w:p>
            <w:pPr>
              <w:pStyle w:val="14"/>
              <w:spacing w:before="2"/>
              <w:ind w:left="51"/>
              <w:jc w:val="left"/>
              <w:rPr>
                <w:sz w:val="21"/>
              </w:rPr>
            </w:pPr>
            <w:r>
              <w:rPr>
                <w:w w:val="95"/>
                <w:sz w:val="21"/>
              </w:rPr>
              <w:t>二级指标</w:t>
            </w:r>
          </w:p>
          <w:p>
            <w:pPr>
              <w:pStyle w:val="14"/>
              <w:spacing w:before="55"/>
              <w:ind w:left="51"/>
              <w:jc w:val="left"/>
              <w:rPr>
                <w:sz w:val="21"/>
              </w:rPr>
            </w:pPr>
            <w:r>
              <w:rPr>
                <w:w w:val="95"/>
                <w:sz w:val="21"/>
              </w:rPr>
              <w:t>分权重值</w:t>
            </w:r>
          </w:p>
        </w:tc>
        <w:tc>
          <w:tcPr>
            <w:tcW w:w="2641" w:type="dxa"/>
            <w:tcBorders>
              <w:left w:val="single" w:color="000000" w:sz="4" w:space="0"/>
              <w:bottom w:val="single" w:color="000000" w:sz="4" w:space="0"/>
              <w:right w:val="single" w:color="000000" w:sz="4" w:space="0"/>
            </w:tcBorders>
          </w:tcPr>
          <w:p>
            <w:pPr>
              <w:pStyle w:val="14"/>
              <w:spacing w:before="165"/>
              <w:ind w:left="800"/>
              <w:jc w:val="left"/>
              <w:rPr>
                <w:sz w:val="21"/>
              </w:rPr>
            </w:pPr>
            <w:r>
              <w:rPr>
                <w:sz w:val="21"/>
              </w:rPr>
              <w:t>Ⅰ级基准值</w:t>
            </w:r>
          </w:p>
        </w:tc>
        <w:tc>
          <w:tcPr>
            <w:tcW w:w="1879" w:type="dxa"/>
            <w:tcBorders>
              <w:left w:val="single" w:color="000000" w:sz="4" w:space="0"/>
              <w:bottom w:val="single" w:color="000000" w:sz="4" w:space="0"/>
              <w:right w:val="single" w:color="000000" w:sz="4" w:space="0"/>
            </w:tcBorders>
          </w:tcPr>
          <w:p>
            <w:pPr>
              <w:pStyle w:val="14"/>
              <w:spacing w:before="165"/>
              <w:ind w:left="397" w:right="382"/>
              <w:rPr>
                <w:sz w:val="21"/>
              </w:rPr>
            </w:pPr>
            <w:r>
              <w:rPr>
                <w:sz w:val="21"/>
              </w:rPr>
              <w:t>Ⅱ级基准值</w:t>
            </w:r>
          </w:p>
        </w:tc>
        <w:tc>
          <w:tcPr>
            <w:tcW w:w="2021" w:type="dxa"/>
            <w:tcBorders>
              <w:left w:val="single" w:color="000000" w:sz="4" w:space="0"/>
              <w:bottom w:val="single" w:color="000000" w:sz="4" w:space="0"/>
              <w:right w:val="single" w:color="000000" w:sz="4" w:space="0"/>
            </w:tcBorders>
          </w:tcPr>
          <w:p>
            <w:pPr>
              <w:pStyle w:val="14"/>
              <w:spacing w:before="165"/>
              <w:ind w:left="468" w:right="453"/>
              <w:rPr>
                <w:sz w:val="21"/>
              </w:rPr>
            </w:pPr>
            <w:r>
              <w:rPr>
                <w:sz w:val="21"/>
              </w:rPr>
              <w:t>Ⅲ级基准值</w:t>
            </w:r>
          </w:p>
        </w:tc>
        <w:tc>
          <w:tcPr>
            <w:tcW w:w="1165" w:type="dxa"/>
            <w:tcBorders>
              <w:left w:val="single" w:color="000000" w:sz="4" w:space="0"/>
              <w:bottom w:val="single" w:color="000000" w:sz="4" w:space="0"/>
            </w:tcBorders>
          </w:tcPr>
          <w:p>
            <w:pPr>
              <w:pStyle w:val="14"/>
              <w:spacing w:before="2"/>
              <w:ind w:left="22" w:right="5"/>
              <w:rPr>
                <w:sz w:val="21"/>
              </w:rPr>
            </w:pPr>
            <w:r>
              <w:rPr>
                <w:sz w:val="21"/>
              </w:rPr>
              <w:t>本煤矿扩建</w:t>
            </w:r>
          </w:p>
          <w:p>
            <w:pPr>
              <w:pStyle w:val="14"/>
              <w:spacing w:before="55"/>
              <w:ind w:left="19"/>
              <w:rPr>
                <w:sz w:val="21"/>
              </w:rPr>
            </w:pPr>
            <w:r>
              <w:rPr>
                <w:w w:val="99"/>
                <w:sz w:val="21"/>
              </w:rPr>
              <w:t>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86" w:hRule="atLeast"/>
        </w:trPr>
        <w:tc>
          <w:tcPr>
            <w:tcW w:w="572" w:type="dxa"/>
            <w:tcBorders>
              <w:top w:val="single" w:color="000000" w:sz="4" w:space="0"/>
              <w:bottom w:val="single" w:color="000000" w:sz="4" w:space="0"/>
              <w:right w:val="single" w:color="000000" w:sz="4" w:space="0"/>
            </w:tcBorders>
          </w:tcPr>
          <w:p>
            <w:pPr>
              <w:pStyle w:val="14"/>
              <w:jc w:val="left"/>
              <w:rPr>
                <w:rFonts w:ascii="Times New Roman"/>
                <w:sz w:val="20"/>
              </w:rPr>
            </w:pPr>
          </w:p>
        </w:tc>
        <w:tc>
          <w:tcPr>
            <w:tcW w:w="1090" w:type="dxa"/>
            <w:vMerge w:val="restart"/>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068" w:type="dxa"/>
            <w:vMerge w:val="restart"/>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750"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068"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835"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933"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6541" w:type="dxa"/>
            <w:gridSpan w:val="3"/>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165" w:type="dxa"/>
            <w:tcBorders>
              <w:top w:val="single" w:color="000000" w:sz="4" w:space="0"/>
              <w:left w:val="single" w:color="000000" w:sz="4" w:space="0"/>
              <w:bottom w:val="single" w:color="000000" w:sz="4" w:space="0"/>
            </w:tcBorders>
          </w:tcPr>
          <w:p>
            <w:pPr>
              <w:pStyle w:val="14"/>
              <w:spacing w:line="290" w:lineRule="auto"/>
              <w:ind w:left="60" w:right="38" w:hanging="5"/>
              <w:rPr>
                <w:sz w:val="21"/>
              </w:rPr>
            </w:pPr>
            <w:r>
              <w:rPr>
                <w:sz w:val="21"/>
              </w:rPr>
              <w:t xml:space="preserve">矸石暂存 </w:t>
            </w:r>
            <w:r>
              <w:rPr>
                <w:spacing w:val="-3"/>
                <w:sz w:val="21"/>
              </w:rPr>
              <w:t>厂，用来平</w:t>
            </w:r>
            <w:r>
              <w:rPr>
                <w:sz w:val="21"/>
              </w:rPr>
              <w:t xml:space="preserve">整工业场 </w:t>
            </w:r>
            <w:r>
              <w:rPr>
                <w:spacing w:val="-3"/>
                <w:sz w:val="21"/>
              </w:rPr>
              <w:t>地；用作公路的路基石料；用于填</w:t>
            </w:r>
          </w:p>
          <w:p>
            <w:pPr>
              <w:pStyle w:val="14"/>
              <w:spacing w:before="8"/>
              <w:ind w:left="22" w:right="5"/>
              <w:rPr>
                <w:sz w:val="21"/>
              </w:rPr>
            </w:pPr>
            <w:r>
              <w:rPr>
                <w:sz w:val="21"/>
              </w:rPr>
              <w:t>沟造地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7" w:hRule="atLeast"/>
        </w:trPr>
        <w:tc>
          <w:tcPr>
            <w:tcW w:w="572" w:type="dxa"/>
            <w:tcBorders>
              <w:top w:val="single" w:color="000000" w:sz="4" w:space="0"/>
              <w:bottom w:val="single" w:color="000000" w:sz="4" w:space="0"/>
              <w:right w:val="single" w:color="000000" w:sz="4" w:space="0"/>
            </w:tcBorders>
          </w:tcPr>
          <w:p>
            <w:pPr>
              <w:pStyle w:val="14"/>
              <w:jc w:val="left"/>
              <w:rPr>
                <w:rFonts w:ascii="Times New Roman"/>
                <w:sz w:val="22"/>
              </w:rPr>
            </w:pPr>
          </w:p>
          <w:p>
            <w:pPr>
              <w:pStyle w:val="14"/>
              <w:spacing w:before="2"/>
              <w:jc w:val="left"/>
              <w:rPr>
                <w:rFonts w:ascii="Times New Roman"/>
                <w:sz w:val="22"/>
              </w:rPr>
            </w:pPr>
          </w:p>
          <w:p>
            <w:pPr>
              <w:pStyle w:val="14"/>
              <w:ind w:left="56" w:right="38"/>
              <w:rPr>
                <w:rFonts w:ascii="Times New Roman"/>
                <w:sz w:val="21"/>
              </w:rPr>
            </w:pPr>
            <w:r>
              <w:rPr>
                <w:rFonts w:ascii="Times New Roman"/>
                <w:sz w:val="21"/>
              </w:rPr>
              <w:t>11</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p>
            <w:pPr>
              <w:pStyle w:val="14"/>
              <w:spacing w:before="9"/>
              <w:jc w:val="left"/>
              <w:rPr>
                <w:rFonts w:ascii="Times New Roman"/>
                <w:sz w:val="22"/>
              </w:rPr>
            </w:pPr>
          </w:p>
          <w:p>
            <w:pPr>
              <w:pStyle w:val="14"/>
              <w:ind w:left="282"/>
              <w:jc w:val="left"/>
              <w:rPr>
                <w:sz w:val="21"/>
              </w:rPr>
            </w:pPr>
            <w:r>
              <w:rPr>
                <w:sz w:val="21"/>
              </w:rPr>
              <w:t>选煤工艺装备</w:t>
            </w:r>
          </w:p>
        </w:tc>
        <w:tc>
          <w:tcPr>
            <w:tcW w:w="835"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p>
            <w:pPr>
              <w:pStyle w:val="14"/>
              <w:spacing w:before="9"/>
              <w:jc w:val="left"/>
              <w:rPr>
                <w:rFonts w:ascii="Times New Roman"/>
                <w:sz w:val="22"/>
              </w:rPr>
            </w:pPr>
          </w:p>
          <w:p>
            <w:pPr>
              <w:pStyle w:val="14"/>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2"/>
              </w:rPr>
            </w:pPr>
          </w:p>
          <w:p>
            <w:pPr>
              <w:pStyle w:val="14"/>
              <w:spacing w:before="2"/>
              <w:jc w:val="left"/>
              <w:rPr>
                <w:rFonts w:ascii="Times New Roman"/>
                <w:sz w:val="22"/>
              </w:rPr>
            </w:pPr>
          </w:p>
          <w:p>
            <w:pPr>
              <w:pStyle w:val="14"/>
              <w:ind w:left="266" w:right="248"/>
              <w:rPr>
                <w:rFonts w:ascii="Times New Roman"/>
                <w:sz w:val="21"/>
              </w:rPr>
            </w:pPr>
            <w:r>
              <w:rPr>
                <w:rFonts w:ascii="Times New Roman"/>
                <w:sz w:val="21"/>
              </w:rPr>
              <w:t>0.08</w:t>
            </w:r>
          </w:p>
        </w:tc>
        <w:tc>
          <w:tcPr>
            <w:tcW w:w="4520" w:type="dxa"/>
            <w:gridSpan w:val="2"/>
            <w:tcBorders>
              <w:top w:val="single" w:color="000000" w:sz="4" w:space="0"/>
              <w:left w:val="single" w:color="000000" w:sz="4" w:space="0"/>
              <w:bottom w:val="single" w:color="000000" w:sz="4" w:space="0"/>
              <w:right w:val="single" w:color="000000" w:sz="4" w:space="0"/>
            </w:tcBorders>
          </w:tcPr>
          <w:p>
            <w:pPr>
              <w:pStyle w:val="14"/>
              <w:spacing w:before="4"/>
              <w:jc w:val="left"/>
              <w:rPr>
                <w:rFonts w:ascii="Times New Roman"/>
                <w:sz w:val="28"/>
              </w:rPr>
            </w:pPr>
          </w:p>
          <w:p>
            <w:pPr>
              <w:pStyle w:val="14"/>
              <w:spacing w:line="290" w:lineRule="auto"/>
              <w:ind w:left="8" w:right="-15"/>
              <w:jc w:val="left"/>
              <w:rPr>
                <w:sz w:val="21"/>
              </w:rPr>
            </w:pPr>
            <w:r>
              <w:rPr>
                <w:spacing w:val="3"/>
                <w:w w:val="95"/>
                <w:sz w:val="21"/>
              </w:rPr>
              <w:t xml:space="preserve">采用先进的选煤工艺和设备，实现数量、质量自 </w:t>
            </w:r>
            <w:r>
              <w:rPr>
                <w:spacing w:val="3"/>
                <w:sz w:val="21"/>
              </w:rPr>
              <w:t>动监测控制和信息化管理</w:t>
            </w:r>
          </w:p>
        </w:tc>
        <w:tc>
          <w:tcPr>
            <w:tcW w:w="2021" w:type="dxa"/>
            <w:tcBorders>
              <w:top w:val="single" w:color="000000" w:sz="4" w:space="0"/>
              <w:left w:val="single" w:color="000000" w:sz="4" w:space="0"/>
              <w:bottom w:val="single" w:color="000000" w:sz="4" w:space="0"/>
              <w:right w:val="single" w:color="000000" w:sz="4" w:space="0"/>
            </w:tcBorders>
          </w:tcPr>
          <w:p>
            <w:pPr>
              <w:pStyle w:val="14"/>
              <w:spacing w:line="290" w:lineRule="auto"/>
              <w:ind w:left="10" w:right="-15"/>
              <w:jc w:val="both"/>
              <w:rPr>
                <w:sz w:val="21"/>
              </w:rPr>
            </w:pPr>
            <w:r>
              <w:rPr>
                <w:w w:val="95"/>
                <w:sz w:val="21"/>
              </w:rPr>
              <w:t>采用成熟的选煤工艺和设备，实现单元作业操作程序自动化，设有</w:t>
            </w:r>
          </w:p>
          <w:p>
            <w:pPr>
              <w:pStyle w:val="14"/>
              <w:spacing w:before="5"/>
              <w:ind w:left="10"/>
              <w:jc w:val="left"/>
              <w:rPr>
                <w:sz w:val="21"/>
              </w:rPr>
            </w:pPr>
            <w:r>
              <w:rPr>
                <w:sz w:val="21"/>
              </w:rPr>
              <w:t>全过程自动控制手段</w:t>
            </w:r>
          </w:p>
        </w:tc>
        <w:tc>
          <w:tcPr>
            <w:tcW w:w="1165" w:type="dxa"/>
            <w:tcBorders>
              <w:top w:val="single" w:color="000000" w:sz="4" w:space="0"/>
              <w:left w:val="single" w:color="000000" w:sz="4" w:space="0"/>
              <w:bottom w:val="single" w:color="000000" w:sz="4" w:space="0"/>
            </w:tcBorders>
          </w:tcPr>
          <w:p>
            <w:pPr>
              <w:pStyle w:val="14"/>
              <w:jc w:val="left"/>
              <w:rPr>
                <w:rFonts w:ascii="Times New Roman"/>
                <w:sz w:val="22"/>
              </w:rPr>
            </w:pPr>
          </w:p>
          <w:p>
            <w:pPr>
              <w:pStyle w:val="14"/>
              <w:spacing w:before="2"/>
              <w:jc w:val="left"/>
              <w:rPr>
                <w:rFonts w:ascii="Times New Roman"/>
                <w:sz w:val="22"/>
              </w:rPr>
            </w:pPr>
          </w:p>
          <w:p>
            <w:pPr>
              <w:pStyle w:val="14"/>
              <w:ind w:left="17"/>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72" w:type="dxa"/>
            <w:tcBorders>
              <w:top w:val="single" w:color="000000" w:sz="4" w:space="0"/>
              <w:bottom w:val="single" w:color="000000" w:sz="4" w:space="0"/>
              <w:right w:val="single" w:color="000000" w:sz="4" w:space="0"/>
            </w:tcBorders>
          </w:tcPr>
          <w:p>
            <w:pPr>
              <w:pStyle w:val="14"/>
              <w:spacing w:before="23"/>
              <w:ind w:left="56" w:right="38"/>
              <w:rPr>
                <w:rFonts w:ascii="Times New Roman"/>
                <w:sz w:val="21"/>
              </w:rPr>
            </w:pPr>
            <w:r>
              <w:rPr>
                <w:rFonts w:ascii="Times New Roman"/>
                <w:sz w:val="21"/>
              </w:rPr>
              <w:t>12</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4"/>
              <w:spacing w:before="7"/>
              <w:ind w:left="388"/>
              <w:jc w:val="left"/>
              <w:rPr>
                <w:sz w:val="21"/>
              </w:rPr>
            </w:pPr>
            <w:r>
              <w:rPr>
                <w:sz w:val="21"/>
              </w:rPr>
              <w:t>煤泥水管理</w:t>
            </w:r>
          </w:p>
        </w:tc>
        <w:tc>
          <w:tcPr>
            <w:tcW w:w="835" w:type="dxa"/>
            <w:tcBorders>
              <w:top w:val="single" w:color="000000" w:sz="4" w:space="0"/>
              <w:left w:val="single" w:color="000000" w:sz="4" w:space="0"/>
              <w:bottom w:val="single" w:color="000000" w:sz="4" w:space="0"/>
              <w:right w:val="single" w:color="000000" w:sz="4" w:space="0"/>
            </w:tcBorders>
          </w:tcPr>
          <w:p>
            <w:pPr>
              <w:pStyle w:val="14"/>
              <w:spacing w:before="7"/>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4"/>
              <w:spacing w:before="23"/>
              <w:ind w:left="266" w:right="248"/>
              <w:rPr>
                <w:rFonts w:ascii="Times New Roman"/>
                <w:sz w:val="21"/>
              </w:rPr>
            </w:pPr>
            <w:r>
              <w:rPr>
                <w:rFonts w:ascii="Times New Roman"/>
                <w:sz w:val="21"/>
              </w:rPr>
              <w:t>0.06</w:t>
            </w:r>
          </w:p>
        </w:tc>
        <w:tc>
          <w:tcPr>
            <w:tcW w:w="6541" w:type="dxa"/>
            <w:gridSpan w:val="3"/>
            <w:tcBorders>
              <w:top w:val="single" w:color="000000" w:sz="4" w:space="0"/>
              <w:left w:val="single" w:color="000000" w:sz="4" w:space="0"/>
              <w:bottom w:val="single" w:color="000000" w:sz="4" w:space="0"/>
              <w:right w:val="single" w:color="000000" w:sz="4" w:space="0"/>
            </w:tcBorders>
          </w:tcPr>
          <w:p>
            <w:pPr>
              <w:pStyle w:val="14"/>
              <w:spacing w:before="7"/>
              <w:ind w:left="8"/>
              <w:jc w:val="left"/>
              <w:rPr>
                <w:sz w:val="21"/>
              </w:rPr>
            </w:pPr>
            <w:r>
              <w:rPr>
                <w:sz w:val="21"/>
              </w:rPr>
              <w:t>洗水一级闭路循环、煤泥全部利用或无害化处置</w:t>
            </w:r>
          </w:p>
        </w:tc>
        <w:tc>
          <w:tcPr>
            <w:tcW w:w="1165" w:type="dxa"/>
            <w:tcBorders>
              <w:top w:val="single" w:color="000000" w:sz="4" w:space="0"/>
              <w:left w:val="single" w:color="000000" w:sz="4" w:space="0"/>
              <w:bottom w:val="single" w:color="000000" w:sz="4" w:space="0"/>
            </w:tcBorders>
          </w:tcPr>
          <w:p>
            <w:pPr>
              <w:pStyle w:val="14"/>
              <w:spacing w:before="23"/>
              <w:ind w:left="17"/>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72" w:type="dxa"/>
            <w:tcBorders>
              <w:top w:val="single" w:color="000000" w:sz="4" w:space="0"/>
              <w:bottom w:val="single" w:color="000000" w:sz="4" w:space="0"/>
              <w:right w:val="single" w:color="000000" w:sz="4" w:space="0"/>
            </w:tcBorders>
          </w:tcPr>
          <w:p>
            <w:pPr>
              <w:pStyle w:val="14"/>
              <w:spacing w:before="23"/>
              <w:ind w:left="56" w:right="38"/>
              <w:rPr>
                <w:rFonts w:ascii="Times New Roman"/>
                <w:sz w:val="21"/>
              </w:rPr>
            </w:pPr>
            <w:r>
              <w:rPr>
                <w:rFonts w:ascii="Times New Roman"/>
                <w:sz w:val="21"/>
              </w:rPr>
              <w:t>13</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4"/>
              <w:spacing w:before="5"/>
              <w:ind w:left="73"/>
              <w:jc w:val="left"/>
              <w:rPr>
                <w:sz w:val="21"/>
              </w:rPr>
            </w:pPr>
            <w:r>
              <w:rPr>
                <w:sz w:val="21"/>
              </w:rPr>
              <w:t>矿井瓦斯抽采要求</w:t>
            </w:r>
          </w:p>
        </w:tc>
        <w:tc>
          <w:tcPr>
            <w:tcW w:w="835" w:type="dxa"/>
            <w:tcBorders>
              <w:top w:val="single" w:color="000000" w:sz="4" w:space="0"/>
              <w:left w:val="single" w:color="000000" w:sz="4" w:space="0"/>
              <w:bottom w:val="single" w:color="000000" w:sz="4" w:space="0"/>
              <w:right w:val="single" w:color="000000" w:sz="4" w:space="0"/>
            </w:tcBorders>
          </w:tcPr>
          <w:p>
            <w:pPr>
              <w:pStyle w:val="14"/>
              <w:spacing w:before="5"/>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4"/>
              <w:spacing w:before="23"/>
              <w:ind w:left="266" w:right="248"/>
              <w:rPr>
                <w:rFonts w:ascii="Times New Roman"/>
                <w:sz w:val="21"/>
              </w:rPr>
            </w:pPr>
            <w:r>
              <w:rPr>
                <w:rFonts w:ascii="Times New Roman"/>
                <w:sz w:val="21"/>
              </w:rPr>
              <w:t>0.06</w:t>
            </w:r>
          </w:p>
        </w:tc>
        <w:tc>
          <w:tcPr>
            <w:tcW w:w="6541" w:type="dxa"/>
            <w:gridSpan w:val="3"/>
            <w:tcBorders>
              <w:top w:val="single" w:color="000000" w:sz="4" w:space="0"/>
              <w:left w:val="single" w:color="000000" w:sz="4" w:space="0"/>
              <w:bottom w:val="single" w:color="000000" w:sz="4" w:space="0"/>
              <w:right w:val="single" w:color="000000" w:sz="4" w:space="0"/>
            </w:tcBorders>
          </w:tcPr>
          <w:p>
            <w:pPr>
              <w:pStyle w:val="14"/>
              <w:spacing w:before="5"/>
              <w:ind w:left="8"/>
              <w:jc w:val="left"/>
              <w:rPr>
                <w:sz w:val="21"/>
              </w:rPr>
            </w:pPr>
            <w:r>
              <w:rPr>
                <w:sz w:val="21"/>
              </w:rPr>
              <w:t>符合《煤矿瓦斯抽采达标暂行规定》等相关要求</w:t>
            </w:r>
          </w:p>
        </w:tc>
        <w:tc>
          <w:tcPr>
            <w:tcW w:w="1165" w:type="dxa"/>
            <w:tcBorders>
              <w:top w:val="single" w:color="000000" w:sz="4" w:space="0"/>
              <w:left w:val="single" w:color="000000" w:sz="4" w:space="0"/>
              <w:bottom w:val="single" w:color="000000" w:sz="4" w:space="0"/>
            </w:tcBorders>
          </w:tcPr>
          <w:p>
            <w:pPr>
              <w:pStyle w:val="14"/>
              <w:spacing w:before="23"/>
              <w:ind w:left="17"/>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2" w:hRule="atLeast"/>
        </w:trPr>
        <w:tc>
          <w:tcPr>
            <w:tcW w:w="572" w:type="dxa"/>
            <w:tcBorders>
              <w:top w:val="single" w:color="000000" w:sz="4" w:space="0"/>
              <w:bottom w:val="single" w:color="000000" w:sz="4" w:space="0"/>
              <w:right w:val="single" w:color="000000" w:sz="4" w:space="0"/>
            </w:tcBorders>
          </w:tcPr>
          <w:p>
            <w:pPr>
              <w:pStyle w:val="14"/>
              <w:jc w:val="left"/>
              <w:rPr>
                <w:rFonts w:ascii="Times New Roman"/>
                <w:sz w:val="22"/>
              </w:rPr>
            </w:pPr>
          </w:p>
          <w:p>
            <w:pPr>
              <w:pStyle w:val="14"/>
              <w:jc w:val="left"/>
              <w:rPr>
                <w:rFonts w:ascii="Times New Roman"/>
                <w:sz w:val="22"/>
              </w:rPr>
            </w:pPr>
          </w:p>
          <w:p>
            <w:pPr>
              <w:pStyle w:val="14"/>
              <w:ind w:left="56" w:right="38"/>
              <w:rPr>
                <w:rFonts w:ascii="Times New Roman"/>
                <w:sz w:val="21"/>
              </w:rPr>
            </w:pPr>
            <w:r>
              <w:rPr>
                <w:rFonts w:ascii="Times New Roman"/>
                <w:sz w:val="21"/>
              </w:rPr>
              <w:t>14</w:t>
            </w:r>
          </w:p>
        </w:tc>
        <w:tc>
          <w:tcPr>
            <w:tcW w:w="1090" w:type="dxa"/>
            <w:vMerge w:val="restart"/>
            <w:tcBorders>
              <w:top w:val="single" w:color="000000" w:sz="4" w:space="0"/>
              <w:left w:val="single" w:color="000000" w:sz="4" w:space="0"/>
              <w:right w:val="single" w:color="000000" w:sz="4" w:space="0"/>
            </w:tcBorders>
          </w:tcPr>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spacing w:before="135" w:line="290" w:lineRule="auto"/>
              <w:ind w:left="129" w:right="110"/>
              <w:jc w:val="both"/>
              <w:rPr>
                <w:sz w:val="21"/>
              </w:rPr>
            </w:pPr>
            <w:r>
              <w:rPr>
                <w:sz w:val="21"/>
              </w:rPr>
              <w:t>（二）资源能源消耗指标</w:t>
            </w:r>
          </w:p>
        </w:tc>
        <w:tc>
          <w:tcPr>
            <w:tcW w:w="1068" w:type="dxa"/>
            <w:vMerge w:val="restart"/>
            <w:tcBorders>
              <w:top w:val="single" w:color="000000" w:sz="4" w:space="0"/>
              <w:left w:val="single" w:color="000000" w:sz="4" w:space="0"/>
              <w:right w:val="single" w:color="000000" w:sz="4" w:space="0"/>
            </w:tcBorders>
          </w:tcPr>
          <w:p>
            <w:pPr>
              <w:pStyle w:val="14"/>
              <w:jc w:val="left"/>
              <w:rPr>
                <w:rFonts w:ascii="Times New Roman"/>
                <w:sz w:val="22"/>
              </w:rPr>
            </w:pPr>
          </w:p>
          <w:p>
            <w:pPr>
              <w:pStyle w:val="14"/>
              <w:jc w:val="left"/>
              <w:rPr>
                <w:rFonts w:ascii="Times New Roman"/>
                <w:sz w:val="22"/>
              </w:rPr>
            </w:pPr>
          </w:p>
          <w:p>
            <w:pPr>
              <w:pStyle w:val="14"/>
              <w:jc w:val="left"/>
              <w:rPr>
                <w:rFonts w:ascii="Times New Roman"/>
                <w:sz w:val="22"/>
              </w:rPr>
            </w:pPr>
          </w:p>
          <w:p>
            <w:pPr>
              <w:pStyle w:val="14"/>
              <w:jc w:val="left"/>
              <w:rPr>
                <w:rFonts w:ascii="Times New Roman"/>
                <w:sz w:val="22"/>
              </w:rPr>
            </w:pPr>
          </w:p>
          <w:p>
            <w:pPr>
              <w:pStyle w:val="14"/>
              <w:jc w:val="left"/>
              <w:rPr>
                <w:rFonts w:ascii="Times New Roman"/>
                <w:sz w:val="22"/>
              </w:rPr>
            </w:pPr>
          </w:p>
          <w:p>
            <w:pPr>
              <w:pStyle w:val="14"/>
              <w:jc w:val="left"/>
              <w:rPr>
                <w:rFonts w:ascii="Times New Roman"/>
                <w:sz w:val="22"/>
              </w:rPr>
            </w:pPr>
          </w:p>
          <w:p>
            <w:pPr>
              <w:pStyle w:val="14"/>
              <w:spacing w:before="8"/>
              <w:jc w:val="left"/>
              <w:rPr>
                <w:rFonts w:ascii="Times New Roman"/>
                <w:sz w:val="29"/>
              </w:rPr>
            </w:pPr>
          </w:p>
          <w:p>
            <w:pPr>
              <w:pStyle w:val="14"/>
              <w:spacing w:before="1"/>
              <w:ind w:left="307" w:right="288"/>
              <w:rPr>
                <w:rFonts w:ascii="Times New Roman"/>
                <w:sz w:val="21"/>
              </w:rPr>
            </w:pPr>
            <w:r>
              <w:rPr>
                <w:rFonts w:ascii="Times New Roman"/>
                <w:sz w:val="21"/>
              </w:rPr>
              <w:t>0.2</w:t>
            </w:r>
          </w:p>
        </w:tc>
        <w:tc>
          <w:tcPr>
            <w:tcW w:w="1818" w:type="dxa"/>
            <w:gridSpan w:val="2"/>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2"/>
              </w:rPr>
            </w:pPr>
          </w:p>
          <w:p>
            <w:pPr>
              <w:pStyle w:val="14"/>
              <w:spacing w:before="7"/>
              <w:jc w:val="left"/>
              <w:rPr>
                <w:rFonts w:ascii="Times New Roman"/>
                <w:sz w:val="20"/>
              </w:rPr>
            </w:pPr>
          </w:p>
          <w:p>
            <w:pPr>
              <w:pStyle w:val="14"/>
              <w:ind w:left="335"/>
              <w:jc w:val="left"/>
              <w:rPr>
                <w:sz w:val="21"/>
              </w:rPr>
            </w:pPr>
            <w:r>
              <w:rPr>
                <w:rFonts w:ascii="Times New Roman" w:eastAsia="Times New Roman"/>
                <w:sz w:val="21"/>
              </w:rPr>
              <w:t>*</w:t>
            </w:r>
            <w:r>
              <w:rPr>
                <w:sz w:val="21"/>
              </w:rPr>
              <w:t>采区回采率</w:t>
            </w:r>
          </w:p>
        </w:tc>
        <w:tc>
          <w:tcPr>
            <w:tcW w:w="835"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p>
            <w:pPr>
              <w:pStyle w:val="14"/>
              <w:spacing w:before="7"/>
              <w:jc w:val="left"/>
              <w:rPr>
                <w:rFonts w:ascii="Times New Roman"/>
                <w:sz w:val="22"/>
              </w:rPr>
            </w:pPr>
          </w:p>
          <w:p>
            <w:pPr>
              <w:pStyle w:val="14"/>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2"/>
              </w:rPr>
            </w:pPr>
          </w:p>
          <w:p>
            <w:pPr>
              <w:pStyle w:val="14"/>
              <w:jc w:val="left"/>
              <w:rPr>
                <w:rFonts w:ascii="Times New Roman"/>
                <w:sz w:val="22"/>
              </w:rPr>
            </w:pPr>
          </w:p>
          <w:p>
            <w:pPr>
              <w:pStyle w:val="14"/>
              <w:ind w:left="266" w:right="248"/>
              <w:rPr>
                <w:rFonts w:ascii="Times New Roman"/>
                <w:sz w:val="21"/>
              </w:rPr>
            </w:pPr>
            <w:r>
              <w:rPr>
                <w:rFonts w:ascii="Times New Roman"/>
                <w:sz w:val="21"/>
              </w:rPr>
              <w:t>0.3</w:t>
            </w:r>
          </w:p>
        </w:tc>
        <w:tc>
          <w:tcPr>
            <w:tcW w:w="6541" w:type="dxa"/>
            <w:gridSpan w:val="3"/>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p>
            <w:pPr>
              <w:pStyle w:val="14"/>
              <w:spacing w:before="7"/>
              <w:jc w:val="left"/>
              <w:rPr>
                <w:rFonts w:ascii="Times New Roman"/>
                <w:sz w:val="22"/>
              </w:rPr>
            </w:pPr>
          </w:p>
          <w:p>
            <w:pPr>
              <w:pStyle w:val="14"/>
              <w:ind w:left="8"/>
              <w:jc w:val="left"/>
              <w:rPr>
                <w:sz w:val="21"/>
              </w:rPr>
            </w:pPr>
            <w:r>
              <w:rPr>
                <w:sz w:val="21"/>
              </w:rPr>
              <w:t>满足《生产煤矿回采率管理暂行规定》的要求</w:t>
            </w:r>
          </w:p>
        </w:tc>
        <w:tc>
          <w:tcPr>
            <w:tcW w:w="1165" w:type="dxa"/>
            <w:tcBorders>
              <w:top w:val="single" w:color="000000" w:sz="4" w:space="0"/>
              <w:left w:val="single" w:color="000000" w:sz="4" w:space="0"/>
              <w:bottom w:val="single" w:color="000000" w:sz="4" w:space="0"/>
            </w:tcBorders>
          </w:tcPr>
          <w:p>
            <w:pPr>
              <w:pStyle w:val="14"/>
              <w:spacing w:line="290" w:lineRule="auto"/>
              <w:ind w:left="60" w:right="38"/>
              <w:jc w:val="both"/>
              <w:rPr>
                <w:sz w:val="21"/>
              </w:rPr>
            </w:pPr>
            <w:r>
              <w:rPr>
                <w:spacing w:val="-3"/>
                <w:sz w:val="21"/>
              </w:rPr>
              <w:t>满足《生产煤矿回采率</w:t>
            </w:r>
            <w:r>
              <w:rPr>
                <w:spacing w:val="-3"/>
                <w:w w:val="95"/>
                <w:sz w:val="21"/>
              </w:rPr>
              <w:t>管理暂行规</w:t>
            </w:r>
          </w:p>
          <w:p>
            <w:pPr>
              <w:pStyle w:val="14"/>
              <w:spacing w:before="3"/>
              <w:ind w:left="60"/>
              <w:jc w:val="left"/>
              <w:rPr>
                <w:sz w:val="21"/>
              </w:rPr>
            </w:pPr>
            <w:r>
              <w:rPr>
                <w:w w:val="95"/>
                <w:sz w:val="21"/>
              </w:rPr>
              <w:t>定》的要求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0" w:hRule="atLeast"/>
        </w:trPr>
        <w:tc>
          <w:tcPr>
            <w:tcW w:w="572" w:type="dxa"/>
            <w:tcBorders>
              <w:top w:val="single" w:color="000000" w:sz="4" w:space="0"/>
              <w:bottom w:val="single" w:color="000000" w:sz="4" w:space="0"/>
              <w:right w:val="single" w:color="000000" w:sz="4" w:space="0"/>
            </w:tcBorders>
          </w:tcPr>
          <w:p>
            <w:pPr>
              <w:pStyle w:val="14"/>
              <w:spacing w:before="5"/>
              <w:jc w:val="left"/>
              <w:rPr>
                <w:rFonts w:ascii="Times New Roman"/>
                <w:sz w:val="29"/>
              </w:rPr>
            </w:pPr>
          </w:p>
          <w:p>
            <w:pPr>
              <w:pStyle w:val="14"/>
              <w:ind w:left="56" w:right="38"/>
              <w:rPr>
                <w:rFonts w:ascii="Times New Roman"/>
                <w:sz w:val="21"/>
              </w:rPr>
            </w:pPr>
            <w:r>
              <w:rPr>
                <w:rFonts w:ascii="Times New Roman"/>
                <w:sz w:val="21"/>
              </w:rPr>
              <w:t>15</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4"/>
              <w:spacing w:before="9"/>
              <w:jc w:val="left"/>
              <w:rPr>
                <w:rFonts w:ascii="Times New Roman"/>
                <w:sz w:val="27"/>
              </w:rPr>
            </w:pPr>
          </w:p>
          <w:p>
            <w:pPr>
              <w:pStyle w:val="14"/>
              <w:ind w:left="20"/>
              <w:jc w:val="left"/>
              <w:rPr>
                <w:sz w:val="21"/>
              </w:rPr>
            </w:pPr>
            <w:r>
              <w:rPr>
                <w:rFonts w:ascii="Times New Roman" w:eastAsia="Times New Roman"/>
                <w:sz w:val="21"/>
              </w:rPr>
              <w:t>*</w:t>
            </w:r>
            <w:r>
              <w:rPr>
                <w:sz w:val="21"/>
              </w:rPr>
              <w:t>原煤生产综合能耗</w:t>
            </w:r>
          </w:p>
        </w:tc>
        <w:tc>
          <w:tcPr>
            <w:tcW w:w="835" w:type="dxa"/>
            <w:tcBorders>
              <w:top w:val="single" w:color="000000" w:sz="4" w:space="0"/>
              <w:left w:val="single" w:color="000000" w:sz="4" w:space="0"/>
              <w:bottom w:val="single" w:color="000000" w:sz="4" w:space="0"/>
              <w:right w:val="single" w:color="000000" w:sz="4" w:space="0"/>
            </w:tcBorders>
          </w:tcPr>
          <w:p>
            <w:pPr>
              <w:pStyle w:val="14"/>
              <w:spacing w:before="5"/>
              <w:jc w:val="left"/>
              <w:rPr>
                <w:rFonts w:ascii="Times New Roman"/>
                <w:sz w:val="29"/>
              </w:rPr>
            </w:pPr>
          </w:p>
          <w:p>
            <w:pPr>
              <w:pStyle w:val="14"/>
              <w:ind w:right="145"/>
              <w:jc w:val="right"/>
              <w:rPr>
                <w:rFonts w:ascii="Times New Roman"/>
                <w:sz w:val="21"/>
              </w:rPr>
            </w:pPr>
            <w:r>
              <w:rPr>
                <w:rFonts w:ascii="Times New Roman"/>
                <w:sz w:val="21"/>
              </w:rPr>
              <w:t>kgce/t</w:t>
            </w:r>
          </w:p>
        </w:tc>
        <w:tc>
          <w:tcPr>
            <w:tcW w:w="933" w:type="dxa"/>
            <w:tcBorders>
              <w:top w:val="single" w:color="000000" w:sz="4" w:space="0"/>
              <w:left w:val="single" w:color="000000" w:sz="4" w:space="0"/>
              <w:bottom w:val="single" w:color="000000" w:sz="4" w:space="0"/>
              <w:right w:val="single" w:color="000000" w:sz="4" w:space="0"/>
            </w:tcBorders>
          </w:tcPr>
          <w:p>
            <w:pPr>
              <w:pStyle w:val="14"/>
              <w:spacing w:before="5"/>
              <w:jc w:val="left"/>
              <w:rPr>
                <w:rFonts w:ascii="Times New Roman"/>
                <w:sz w:val="29"/>
              </w:rPr>
            </w:pPr>
          </w:p>
          <w:p>
            <w:pPr>
              <w:pStyle w:val="14"/>
              <w:ind w:left="266" w:right="248"/>
              <w:rPr>
                <w:rFonts w:ascii="Times New Roman"/>
                <w:sz w:val="21"/>
              </w:rPr>
            </w:pPr>
            <w:r>
              <w:rPr>
                <w:rFonts w:ascii="Times New Roman"/>
                <w:sz w:val="21"/>
              </w:rPr>
              <w:t>0.15</w:t>
            </w:r>
          </w:p>
        </w:tc>
        <w:tc>
          <w:tcPr>
            <w:tcW w:w="2641" w:type="dxa"/>
            <w:tcBorders>
              <w:top w:val="single" w:color="000000" w:sz="4" w:space="0"/>
              <w:left w:val="single" w:color="000000" w:sz="4" w:space="0"/>
              <w:bottom w:val="single" w:color="000000" w:sz="4" w:space="0"/>
              <w:right w:val="single" w:color="000000" w:sz="4" w:space="0"/>
            </w:tcBorders>
          </w:tcPr>
          <w:p>
            <w:pPr>
              <w:pStyle w:val="14"/>
              <w:spacing w:before="9"/>
              <w:jc w:val="left"/>
              <w:rPr>
                <w:rFonts w:ascii="Times New Roman"/>
                <w:sz w:val="27"/>
              </w:rPr>
            </w:pPr>
          </w:p>
          <w:p>
            <w:pPr>
              <w:pStyle w:val="14"/>
              <w:ind w:left="8"/>
              <w:jc w:val="left"/>
              <w:rPr>
                <w:sz w:val="21"/>
              </w:rPr>
            </w:pPr>
            <w:r>
              <w:rPr>
                <w:sz w:val="21"/>
              </w:rPr>
              <w:t xml:space="preserve">按 </w:t>
            </w:r>
            <w:r>
              <w:rPr>
                <w:rFonts w:ascii="Times New Roman" w:eastAsia="Times New Roman"/>
                <w:sz w:val="21"/>
              </w:rPr>
              <w:t xml:space="preserve">GB29444 </w:t>
            </w:r>
            <w:r>
              <w:rPr>
                <w:sz w:val="21"/>
              </w:rPr>
              <w:t>先进值要求</w:t>
            </w:r>
          </w:p>
        </w:tc>
        <w:tc>
          <w:tcPr>
            <w:tcW w:w="1879" w:type="dxa"/>
            <w:tcBorders>
              <w:top w:val="single" w:color="000000" w:sz="4" w:space="0"/>
              <w:left w:val="single" w:color="000000" w:sz="4" w:space="0"/>
              <w:bottom w:val="single" w:color="000000" w:sz="4" w:space="0"/>
              <w:right w:val="single" w:color="000000" w:sz="4" w:space="0"/>
            </w:tcBorders>
          </w:tcPr>
          <w:p>
            <w:pPr>
              <w:pStyle w:val="14"/>
              <w:spacing w:before="157" w:line="290" w:lineRule="auto"/>
              <w:ind w:left="9" w:right="-15"/>
              <w:jc w:val="left"/>
              <w:rPr>
                <w:sz w:val="21"/>
              </w:rPr>
            </w:pPr>
            <w:r>
              <w:rPr>
                <w:spacing w:val="-15"/>
                <w:sz w:val="21"/>
              </w:rPr>
              <w:t xml:space="preserve">按 </w:t>
            </w:r>
            <w:r>
              <w:rPr>
                <w:rFonts w:ascii="Times New Roman" w:eastAsia="Times New Roman"/>
                <w:sz w:val="21"/>
              </w:rPr>
              <w:t>GB29444</w:t>
            </w:r>
            <w:r>
              <w:rPr>
                <w:rFonts w:ascii="Times New Roman" w:eastAsia="Times New Roman"/>
                <w:spacing w:val="26"/>
                <w:sz w:val="21"/>
              </w:rPr>
              <w:t xml:space="preserve"> </w:t>
            </w:r>
            <w:r>
              <w:rPr>
                <w:spacing w:val="14"/>
                <w:sz w:val="21"/>
              </w:rPr>
              <w:t>准入值</w:t>
            </w:r>
            <w:r>
              <w:rPr>
                <w:sz w:val="21"/>
              </w:rPr>
              <w:t>要求</w:t>
            </w:r>
          </w:p>
        </w:tc>
        <w:tc>
          <w:tcPr>
            <w:tcW w:w="2021" w:type="dxa"/>
            <w:tcBorders>
              <w:top w:val="single" w:color="000000" w:sz="4" w:space="0"/>
              <w:left w:val="single" w:color="000000" w:sz="4" w:space="0"/>
              <w:bottom w:val="single" w:color="000000" w:sz="4" w:space="0"/>
              <w:right w:val="single" w:color="000000" w:sz="4" w:space="0"/>
            </w:tcBorders>
          </w:tcPr>
          <w:p>
            <w:pPr>
              <w:pStyle w:val="14"/>
              <w:spacing w:before="157" w:line="290" w:lineRule="auto"/>
              <w:ind w:left="10" w:right="-15"/>
              <w:jc w:val="left"/>
              <w:rPr>
                <w:sz w:val="21"/>
              </w:rPr>
            </w:pPr>
            <w:r>
              <w:rPr>
                <w:spacing w:val="-25"/>
                <w:sz w:val="21"/>
              </w:rPr>
              <w:t xml:space="preserve">按 </w:t>
            </w:r>
            <w:r>
              <w:rPr>
                <w:rFonts w:ascii="Times New Roman" w:eastAsia="Times New Roman"/>
                <w:sz w:val="21"/>
              </w:rPr>
              <w:t>GB29444</w:t>
            </w:r>
            <w:r>
              <w:rPr>
                <w:rFonts w:ascii="Times New Roman" w:eastAsia="Times New Roman"/>
                <w:spacing w:val="6"/>
                <w:sz w:val="21"/>
              </w:rPr>
              <w:t xml:space="preserve"> </w:t>
            </w:r>
            <w:r>
              <w:rPr>
                <w:spacing w:val="3"/>
                <w:sz w:val="21"/>
              </w:rPr>
              <w:t>限定值要</w:t>
            </w:r>
            <w:r>
              <w:rPr>
                <w:sz w:val="21"/>
              </w:rPr>
              <w:t>求</w:t>
            </w:r>
          </w:p>
        </w:tc>
        <w:tc>
          <w:tcPr>
            <w:tcW w:w="1165" w:type="dxa"/>
            <w:tcBorders>
              <w:top w:val="single" w:color="000000" w:sz="4" w:space="0"/>
              <w:left w:val="single" w:color="000000" w:sz="4" w:space="0"/>
              <w:bottom w:val="single" w:color="000000" w:sz="4" w:space="0"/>
            </w:tcBorders>
          </w:tcPr>
          <w:p>
            <w:pPr>
              <w:pStyle w:val="14"/>
              <w:spacing w:line="265" w:lineRule="exact"/>
              <w:ind w:left="22" w:right="5"/>
              <w:rPr>
                <w:sz w:val="21"/>
              </w:rPr>
            </w:pPr>
            <w:r>
              <w:rPr>
                <w:sz w:val="21"/>
              </w:rPr>
              <w:t>满足</w:t>
            </w:r>
          </w:p>
          <w:p>
            <w:pPr>
              <w:pStyle w:val="14"/>
              <w:spacing w:before="55"/>
              <w:ind w:left="24" w:right="5"/>
              <w:rPr>
                <w:sz w:val="21"/>
              </w:rPr>
            </w:pPr>
            <w:r>
              <w:rPr>
                <w:rFonts w:ascii="Times New Roman" w:eastAsia="Times New Roman"/>
                <w:sz w:val="21"/>
              </w:rPr>
              <w:t xml:space="preserve">GB29444 </w:t>
            </w:r>
            <w:r>
              <w:rPr>
                <w:sz w:val="21"/>
              </w:rPr>
              <w:t>先</w:t>
            </w:r>
          </w:p>
          <w:p>
            <w:pPr>
              <w:pStyle w:val="14"/>
              <w:spacing w:before="59"/>
              <w:ind w:left="19" w:right="5"/>
              <w:rPr>
                <w:sz w:val="21"/>
              </w:rPr>
            </w:pPr>
            <w:r>
              <w:rPr>
                <w:sz w:val="21"/>
              </w:rPr>
              <w:t>进值要求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572" w:type="dxa"/>
            <w:tcBorders>
              <w:top w:val="single" w:color="000000" w:sz="4" w:space="0"/>
              <w:bottom w:val="single" w:color="000000" w:sz="4" w:space="0"/>
              <w:right w:val="single" w:color="000000" w:sz="4" w:space="0"/>
            </w:tcBorders>
          </w:tcPr>
          <w:p>
            <w:pPr>
              <w:pStyle w:val="14"/>
              <w:spacing w:before="21"/>
              <w:ind w:left="56" w:right="38"/>
              <w:rPr>
                <w:rFonts w:ascii="Times New Roman"/>
                <w:sz w:val="21"/>
              </w:rPr>
            </w:pPr>
            <w:r>
              <w:rPr>
                <w:rFonts w:ascii="Times New Roman"/>
                <w:sz w:val="21"/>
              </w:rPr>
              <w:t>16</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4"/>
              <w:spacing w:before="2"/>
              <w:ind w:left="282"/>
              <w:jc w:val="left"/>
              <w:rPr>
                <w:sz w:val="21"/>
              </w:rPr>
            </w:pPr>
            <w:r>
              <w:rPr>
                <w:sz w:val="21"/>
              </w:rPr>
              <w:t>原煤生产电耗</w:t>
            </w:r>
          </w:p>
        </w:tc>
        <w:tc>
          <w:tcPr>
            <w:tcW w:w="835" w:type="dxa"/>
            <w:tcBorders>
              <w:top w:val="single" w:color="000000" w:sz="4" w:space="0"/>
              <w:left w:val="single" w:color="000000" w:sz="4" w:space="0"/>
              <w:bottom w:val="single" w:color="000000" w:sz="4" w:space="0"/>
              <w:right w:val="single" w:color="000000" w:sz="4" w:space="0"/>
            </w:tcBorders>
          </w:tcPr>
          <w:p>
            <w:pPr>
              <w:pStyle w:val="14"/>
              <w:spacing w:before="21"/>
              <w:ind w:right="140"/>
              <w:jc w:val="right"/>
              <w:rPr>
                <w:rFonts w:ascii="Times New Roman"/>
                <w:sz w:val="21"/>
              </w:rPr>
            </w:pPr>
            <w:r>
              <w:rPr>
                <w:rFonts w:ascii="Times New Roman"/>
                <w:sz w:val="21"/>
              </w:rPr>
              <w:t>kWh/t</w:t>
            </w:r>
          </w:p>
        </w:tc>
        <w:tc>
          <w:tcPr>
            <w:tcW w:w="933" w:type="dxa"/>
            <w:tcBorders>
              <w:top w:val="single" w:color="000000" w:sz="4" w:space="0"/>
              <w:left w:val="single" w:color="000000" w:sz="4" w:space="0"/>
              <w:bottom w:val="single" w:color="000000" w:sz="4" w:space="0"/>
              <w:right w:val="single" w:color="000000" w:sz="4" w:space="0"/>
            </w:tcBorders>
          </w:tcPr>
          <w:p>
            <w:pPr>
              <w:pStyle w:val="14"/>
              <w:spacing w:before="21"/>
              <w:ind w:left="266" w:right="248"/>
              <w:rPr>
                <w:rFonts w:ascii="Times New Roman"/>
                <w:sz w:val="21"/>
              </w:rPr>
            </w:pPr>
            <w:r>
              <w:rPr>
                <w:rFonts w:ascii="Times New Roman"/>
                <w:sz w:val="21"/>
              </w:rPr>
              <w:t>0.15</w:t>
            </w:r>
          </w:p>
        </w:tc>
        <w:tc>
          <w:tcPr>
            <w:tcW w:w="2641" w:type="dxa"/>
            <w:tcBorders>
              <w:top w:val="single" w:color="000000" w:sz="4" w:space="0"/>
              <w:left w:val="single" w:color="000000" w:sz="4" w:space="0"/>
              <w:bottom w:val="single" w:color="000000" w:sz="4" w:space="0"/>
              <w:right w:val="single" w:color="000000" w:sz="4" w:space="0"/>
            </w:tcBorders>
          </w:tcPr>
          <w:p>
            <w:pPr>
              <w:pStyle w:val="14"/>
              <w:spacing w:before="21"/>
              <w:ind w:left="778" w:right="758"/>
              <w:rPr>
                <w:rFonts w:ascii="Times New Roman" w:hAnsi="Times New Roman"/>
                <w:sz w:val="21"/>
              </w:rPr>
            </w:pPr>
            <w:r>
              <w:rPr>
                <w:rFonts w:ascii="Times New Roman" w:hAnsi="Times New Roman"/>
                <w:sz w:val="21"/>
              </w:rPr>
              <w:t>≤18</w:t>
            </w:r>
          </w:p>
        </w:tc>
        <w:tc>
          <w:tcPr>
            <w:tcW w:w="1879" w:type="dxa"/>
            <w:tcBorders>
              <w:top w:val="single" w:color="000000" w:sz="4" w:space="0"/>
              <w:left w:val="single" w:color="000000" w:sz="4" w:space="0"/>
              <w:bottom w:val="single" w:color="000000" w:sz="4" w:space="0"/>
              <w:right w:val="single" w:color="000000" w:sz="4" w:space="0"/>
            </w:tcBorders>
          </w:tcPr>
          <w:p>
            <w:pPr>
              <w:pStyle w:val="14"/>
              <w:spacing w:before="21"/>
              <w:ind w:left="397" w:right="380"/>
              <w:rPr>
                <w:rFonts w:ascii="Times New Roman" w:hAnsi="Times New Roman"/>
                <w:sz w:val="21"/>
              </w:rPr>
            </w:pPr>
            <w:r>
              <w:rPr>
                <w:rFonts w:ascii="Times New Roman" w:hAnsi="Times New Roman"/>
                <w:sz w:val="21"/>
              </w:rPr>
              <w:t>≤22</w:t>
            </w:r>
          </w:p>
        </w:tc>
        <w:tc>
          <w:tcPr>
            <w:tcW w:w="2021" w:type="dxa"/>
            <w:tcBorders>
              <w:top w:val="single" w:color="000000" w:sz="4" w:space="0"/>
              <w:left w:val="single" w:color="000000" w:sz="4" w:space="0"/>
              <w:bottom w:val="single" w:color="000000" w:sz="4" w:space="0"/>
              <w:right w:val="single" w:color="000000" w:sz="4" w:space="0"/>
            </w:tcBorders>
          </w:tcPr>
          <w:p>
            <w:pPr>
              <w:pStyle w:val="14"/>
              <w:spacing w:before="21"/>
              <w:ind w:left="468" w:right="449"/>
              <w:rPr>
                <w:rFonts w:ascii="Times New Roman" w:hAnsi="Times New Roman"/>
                <w:sz w:val="21"/>
              </w:rPr>
            </w:pPr>
            <w:r>
              <w:rPr>
                <w:rFonts w:ascii="Times New Roman" w:hAnsi="Times New Roman"/>
                <w:sz w:val="21"/>
              </w:rPr>
              <w:t>≤25</w:t>
            </w:r>
          </w:p>
        </w:tc>
        <w:tc>
          <w:tcPr>
            <w:tcW w:w="1165" w:type="dxa"/>
            <w:tcBorders>
              <w:top w:val="single" w:color="000000" w:sz="4" w:space="0"/>
              <w:left w:val="single" w:color="000000" w:sz="4" w:space="0"/>
              <w:bottom w:val="single" w:color="000000" w:sz="4" w:space="0"/>
            </w:tcBorders>
          </w:tcPr>
          <w:p>
            <w:pPr>
              <w:pStyle w:val="14"/>
              <w:spacing w:before="21"/>
              <w:ind w:left="24" w:right="4"/>
              <w:rPr>
                <w:rFonts w:ascii="Times New Roman"/>
                <w:sz w:val="21"/>
              </w:rPr>
            </w:pPr>
            <w:r>
              <w:rPr>
                <w:rFonts w:ascii="Times New Roman"/>
                <w:sz w:val="21"/>
              </w:rPr>
              <w:t>37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572" w:type="dxa"/>
            <w:tcBorders>
              <w:top w:val="single" w:color="000000" w:sz="4" w:space="0"/>
              <w:bottom w:val="single" w:color="000000" w:sz="4" w:space="0"/>
              <w:right w:val="single" w:color="000000" w:sz="4" w:space="0"/>
            </w:tcBorders>
          </w:tcPr>
          <w:p>
            <w:pPr>
              <w:pStyle w:val="14"/>
              <w:spacing w:before="19"/>
              <w:ind w:left="56" w:right="38"/>
              <w:rPr>
                <w:rFonts w:ascii="Times New Roman"/>
                <w:sz w:val="21"/>
              </w:rPr>
            </w:pPr>
            <w:r>
              <w:rPr>
                <w:rFonts w:ascii="Times New Roman"/>
                <w:sz w:val="21"/>
              </w:rPr>
              <w:t>17</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4"/>
              <w:spacing w:before="2"/>
              <w:ind w:left="282"/>
              <w:jc w:val="left"/>
              <w:rPr>
                <w:sz w:val="21"/>
              </w:rPr>
            </w:pPr>
            <w:r>
              <w:rPr>
                <w:sz w:val="21"/>
              </w:rPr>
              <w:t>原煤生产水耗</w:t>
            </w:r>
          </w:p>
        </w:tc>
        <w:tc>
          <w:tcPr>
            <w:tcW w:w="835" w:type="dxa"/>
            <w:tcBorders>
              <w:top w:val="single" w:color="000000" w:sz="4" w:space="0"/>
              <w:left w:val="single" w:color="000000" w:sz="4" w:space="0"/>
              <w:bottom w:val="single" w:color="000000" w:sz="4" w:space="0"/>
              <w:right w:val="single" w:color="000000" w:sz="4" w:space="0"/>
            </w:tcBorders>
          </w:tcPr>
          <w:p>
            <w:pPr>
              <w:pStyle w:val="14"/>
              <w:spacing w:before="19"/>
              <w:ind w:right="226"/>
              <w:jc w:val="right"/>
              <w:rPr>
                <w:rFonts w:ascii="Times New Roman"/>
                <w:sz w:val="21"/>
              </w:rPr>
            </w:pPr>
            <w:r>
              <w:rPr>
                <w:rFonts w:ascii="Times New Roman"/>
                <w:sz w:val="21"/>
              </w:rPr>
              <w:t>m</w:t>
            </w:r>
            <w:r>
              <w:rPr>
                <w:rFonts w:ascii="Times New Roman"/>
                <w:position w:val="7"/>
                <w:sz w:val="13"/>
              </w:rPr>
              <w:t>3</w:t>
            </w:r>
            <w:r>
              <w:rPr>
                <w:rFonts w:ascii="Times New Roman"/>
                <w:sz w:val="21"/>
              </w:rPr>
              <w:t>/t</w:t>
            </w:r>
          </w:p>
        </w:tc>
        <w:tc>
          <w:tcPr>
            <w:tcW w:w="933" w:type="dxa"/>
            <w:tcBorders>
              <w:top w:val="single" w:color="000000" w:sz="4" w:space="0"/>
              <w:left w:val="single" w:color="000000" w:sz="4" w:space="0"/>
              <w:bottom w:val="single" w:color="000000" w:sz="4" w:space="0"/>
              <w:right w:val="single" w:color="000000" w:sz="4" w:space="0"/>
            </w:tcBorders>
          </w:tcPr>
          <w:p>
            <w:pPr>
              <w:pStyle w:val="14"/>
              <w:spacing w:before="19"/>
              <w:ind w:left="266" w:right="248"/>
              <w:rPr>
                <w:rFonts w:ascii="Times New Roman"/>
                <w:sz w:val="21"/>
              </w:rPr>
            </w:pPr>
            <w:r>
              <w:rPr>
                <w:rFonts w:ascii="Times New Roman"/>
                <w:sz w:val="21"/>
              </w:rPr>
              <w:t>0.15</w:t>
            </w:r>
          </w:p>
        </w:tc>
        <w:tc>
          <w:tcPr>
            <w:tcW w:w="2641" w:type="dxa"/>
            <w:tcBorders>
              <w:top w:val="single" w:color="000000" w:sz="4" w:space="0"/>
              <w:left w:val="single" w:color="000000" w:sz="4" w:space="0"/>
              <w:bottom w:val="single" w:color="000000" w:sz="4" w:space="0"/>
              <w:right w:val="single" w:color="000000" w:sz="4" w:space="0"/>
            </w:tcBorders>
          </w:tcPr>
          <w:p>
            <w:pPr>
              <w:pStyle w:val="14"/>
              <w:spacing w:before="19"/>
              <w:ind w:left="778" w:right="758"/>
              <w:rPr>
                <w:rFonts w:ascii="Times New Roman" w:hAnsi="Times New Roman"/>
                <w:sz w:val="21"/>
              </w:rPr>
            </w:pPr>
            <w:r>
              <w:rPr>
                <w:rFonts w:ascii="Times New Roman" w:hAnsi="Times New Roman"/>
                <w:sz w:val="21"/>
              </w:rPr>
              <w:t>≤0.1</w:t>
            </w:r>
          </w:p>
        </w:tc>
        <w:tc>
          <w:tcPr>
            <w:tcW w:w="1879" w:type="dxa"/>
            <w:tcBorders>
              <w:top w:val="single" w:color="000000" w:sz="4" w:space="0"/>
              <w:left w:val="single" w:color="000000" w:sz="4" w:space="0"/>
              <w:bottom w:val="single" w:color="000000" w:sz="4" w:space="0"/>
              <w:right w:val="single" w:color="000000" w:sz="4" w:space="0"/>
            </w:tcBorders>
          </w:tcPr>
          <w:p>
            <w:pPr>
              <w:pStyle w:val="14"/>
              <w:spacing w:before="19"/>
              <w:ind w:left="397" w:right="376"/>
              <w:rPr>
                <w:rFonts w:ascii="Times New Roman" w:hAnsi="Times New Roman"/>
                <w:sz w:val="21"/>
              </w:rPr>
            </w:pPr>
            <w:r>
              <w:rPr>
                <w:rFonts w:ascii="Times New Roman" w:hAnsi="Times New Roman"/>
                <w:sz w:val="21"/>
              </w:rPr>
              <w:t>≤0.2</w:t>
            </w:r>
          </w:p>
        </w:tc>
        <w:tc>
          <w:tcPr>
            <w:tcW w:w="2021" w:type="dxa"/>
            <w:tcBorders>
              <w:top w:val="single" w:color="000000" w:sz="4" w:space="0"/>
              <w:left w:val="single" w:color="000000" w:sz="4" w:space="0"/>
              <w:bottom w:val="single" w:color="000000" w:sz="4" w:space="0"/>
              <w:right w:val="single" w:color="000000" w:sz="4" w:space="0"/>
            </w:tcBorders>
          </w:tcPr>
          <w:p>
            <w:pPr>
              <w:pStyle w:val="14"/>
              <w:spacing w:before="19"/>
              <w:ind w:left="468" w:right="449"/>
              <w:rPr>
                <w:rFonts w:ascii="Times New Roman" w:hAnsi="Times New Roman"/>
                <w:sz w:val="21"/>
              </w:rPr>
            </w:pPr>
            <w:r>
              <w:rPr>
                <w:rFonts w:ascii="Times New Roman" w:hAnsi="Times New Roman"/>
                <w:sz w:val="21"/>
              </w:rPr>
              <w:t>≤0.3</w:t>
            </w:r>
          </w:p>
        </w:tc>
        <w:tc>
          <w:tcPr>
            <w:tcW w:w="1165" w:type="dxa"/>
            <w:tcBorders>
              <w:top w:val="single" w:color="000000" w:sz="4" w:space="0"/>
              <w:left w:val="single" w:color="000000" w:sz="4" w:space="0"/>
              <w:bottom w:val="single" w:color="000000" w:sz="4" w:space="0"/>
            </w:tcBorders>
          </w:tcPr>
          <w:p>
            <w:pPr>
              <w:pStyle w:val="14"/>
              <w:spacing w:before="19"/>
              <w:ind w:left="24" w:right="4"/>
              <w:rPr>
                <w:rFonts w:ascii="Times New Roman"/>
                <w:sz w:val="21"/>
              </w:rPr>
            </w:pPr>
            <w:r>
              <w:rPr>
                <w:rFonts w:ascii="Times New Roman"/>
                <w:sz w:val="21"/>
              </w:rPr>
              <w:t>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3" w:hRule="atLeast"/>
        </w:trPr>
        <w:tc>
          <w:tcPr>
            <w:tcW w:w="572" w:type="dxa"/>
            <w:tcBorders>
              <w:top w:val="single" w:color="000000" w:sz="4" w:space="0"/>
              <w:bottom w:val="single" w:color="000000" w:sz="4" w:space="0"/>
              <w:right w:val="single" w:color="000000" w:sz="4" w:space="0"/>
            </w:tcBorders>
          </w:tcPr>
          <w:p>
            <w:pPr>
              <w:pStyle w:val="14"/>
              <w:spacing w:before="175"/>
              <w:ind w:left="56" w:right="38"/>
              <w:rPr>
                <w:rFonts w:ascii="Times New Roman"/>
                <w:sz w:val="21"/>
              </w:rPr>
            </w:pPr>
            <w:r>
              <w:rPr>
                <w:rFonts w:ascii="Times New Roman"/>
                <w:sz w:val="21"/>
              </w:rPr>
              <w:t>18</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750" w:type="dxa"/>
            <w:tcBorders>
              <w:top w:val="single" w:color="000000" w:sz="4" w:space="0"/>
              <w:left w:val="single" w:color="000000" w:sz="4" w:space="0"/>
              <w:bottom w:val="single" w:color="000000" w:sz="4" w:space="0"/>
              <w:right w:val="single" w:color="000000" w:sz="4" w:space="0"/>
            </w:tcBorders>
          </w:tcPr>
          <w:p>
            <w:pPr>
              <w:pStyle w:val="14"/>
              <w:spacing w:line="265" w:lineRule="exact"/>
              <w:ind w:left="64"/>
              <w:jc w:val="left"/>
              <w:rPr>
                <w:sz w:val="21"/>
              </w:rPr>
            </w:pPr>
            <w:r>
              <w:rPr>
                <w:w w:val="95"/>
                <w:sz w:val="21"/>
              </w:rPr>
              <w:t>选煤吨</w:t>
            </w:r>
          </w:p>
          <w:p>
            <w:pPr>
              <w:pStyle w:val="14"/>
              <w:spacing w:before="57"/>
              <w:ind w:left="64"/>
              <w:jc w:val="left"/>
              <w:rPr>
                <w:sz w:val="21"/>
              </w:rPr>
            </w:pPr>
            <w:r>
              <w:rPr>
                <w:w w:val="95"/>
                <w:sz w:val="21"/>
              </w:rPr>
              <w:t>煤电耗</w:t>
            </w:r>
          </w:p>
        </w:tc>
        <w:tc>
          <w:tcPr>
            <w:tcW w:w="1068" w:type="dxa"/>
            <w:tcBorders>
              <w:top w:val="single" w:color="000000" w:sz="4" w:space="0"/>
              <w:left w:val="single" w:color="000000" w:sz="4" w:space="0"/>
              <w:bottom w:val="single" w:color="000000" w:sz="4" w:space="0"/>
              <w:right w:val="single" w:color="000000" w:sz="4" w:space="0"/>
            </w:tcBorders>
          </w:tcPr>
          <w:p>
            <w:pPr>
              <w:pStyle w:val="14"/>
              <w:spacing w:before="159"/>
              <w:ind w:left="223"/>
              <w:jc w:val="left"/>
              <w:rPr>
                <w:sz w:val="21"/>
              </w:rPr>
            </w:pPr>
            <w:r>
              <w:rPr>
                <w:sz w:val="21"/>
              </w:rPr>
              <w:t>动力煤</w:t>
            </w:r>
          </w:p>
        </w:tc>
        <w:tc>
          <w:tcPr>
            <w:tcW w:w="835" w:type="dxa"/>
            <w:tcBorders>
              <w:top w:val="single" w:color="000000" w:sz="4" w:space="0"/>
              <w:left w:val="single" w:color="000000" w:sz="4" w:space="0"/>
              <w:bottom w:val="single" w:color="000000" w:sz="4" w:space="0"/>
              <w:right w:val="single" w:color="000000" w:sz="4" w:space="0"/>
            </w:tcBorders>
          </w:tcPr>
          <w:p>
            <w:pPr>
              <w:pStyle w:val="14"/>
              <w:spacing w:before="175"/>
              <w:ind w:right="140"/>
              <w:jc w:val="right"/>
              <w:rPr>
                <w:rFonts w:ascii="Times New Roman"/>
                <w:sz w:val="21"/>
              </w:rPr>
            </w:pPr>
            <w:r>
              <w:rPr>
                <w:rFonts w:ascii="Times New Roman"/>
                <w:sz w:val="21"/>
              </w:rPr>
              <w:t>kWh/t</w:t>
            </w:r>
          </w:p>
        </w:tc>
        <w:tc>
          <w:tcPr>
            <w:tcW w:w="933" w:type="dxa"/>
            <w:tcBorders>
              <w:top w:val="single" w:color="000000" w:sz="4" w:space="0"/>
              <w:left w:val="single" w:color="000000" w:sz="4" w:space="0"/>
              <w:bottom w:val="single" w:color="000000" w:sz="4" w:space="0"/>
              <w:right w:val="single" w:color="000000" w:sz="4" w:space="0"/>
            </w:tcBorders>
          </w:tcPr>
          <w:p>
            <w:pPr>
              <w:pStyle w:val="14"/>
              <w:spacing w:before="175"/>
              <w:ind w:left="266" w:right="248"/>
              <w:rPr>
                <w:rFonts w:ascii="Times New Roman"/>
                <w:sz w:val="21"/>
              </w:rPr>
            </w:pPr>
            <w:r>
              <w:rPr>
                <w:rFonts w:ascii="Times New Roman"/>
                <w:sz w:val="21"/>
              </w:rPr>
              <w:t>0.15</w:t>
            </w:r>
          </w:p>
        </w:tc>
        <w:tc>
          <w:tcPr>
            <w:tcW w:w="2641" w:type="dxa"/>
            <w:tcBorders>
              <w:top w:val="single" w:color="000000" w:sz="4" w:space="0"/>
              <w:left w:val="single" w:color="000000" w:sz="4" w:space="0"/>
              <w:bottom w:val="single" w:color="000000" w:sz="4" w:space="0"/>
              <w:right w:val="single" w:color="000000" w:sz="4" w:space="0"/>
            </w:tcBorders>
          </w:tcPr>
          <w:p>
            <w:pPr>
              <w:pStyle w:val="14"/>
              <w:spacing w:before="159"/>
              <w:ind w:left="8"/>
              <w:jc w:val="left"/>
              <w:rPr>
                <w:sz w:val="21"/>
              </w:rPr>
            </w:pPr>
            <w:r>
              <w:rPr>
                <w:sz w:val="21"/>
              </w:rPr>
              <w:t xml:space="preserve">按 </w:t>
            </w:r>
            <w:r>
              <w:rPr>
                <w:rFonts w:ascii="Times New Roman" w:eastAsia="Times New Roman"/>
                <w:sz w:val="21"/>
              </w:rPr>
              <w:t xml:space="preserve">GB29446 </w:t>
            </w:r>
            <w:r>
              <w:rPr>
                <w:sz w:val="21"/>
              </w:rPr>
              <w:t>先进值要求</w:t>
            </w:r>
          </w:p>
        </w:tc>
        <w:tc>
          <w:tcPr>
            <w:tcW w:w="1879" w:type="dxa"/>
            <w:tcBorders>
              <w:top w:val="single" w:color="000000" w:sz="4" w:space="0"/>
              <w:left w:val="single" w:color="000000" w:sz="4" w:space="0"/>
              <w:bottom w:val="single" w:color="000000" w:sz="4" w:space="0"/>
              <w:right w:val="single" w:color="000000" w:sz="4" w:space="0"/>
            </w:tcBorders>
          </w:tcPr>
          <w:p>
            <w:pPr>
              <w:pStyle w:val="14"/>
              <w:spacing w:line="265" w:lineRule="exact"/>
              <w:ind w:left="9" w:right="-15"/>
              <w:jc w:val="left"/>
              <w:rPr>
                <w:sz w:val="21"/>
              </w:rPr>
            </w:pPr>
            <w:r>
              <w:rPr>
                <w:spacing w:val="-15"/>
                <w:sz w:val="21"/>
              </w:rPr>
              <w:t xml:space="preserve">按 </w:t>
            </w:r>
            <w:r>
              <w:rPr>
                <w:rFonts w:ascii="Times New Roman" w:eastAsia="Times New Roman"/>
                <w:sz w:val="21"/>
              </w:rPr>
              <w:t>GB29446</w:t>
            </w:r>
            <w:r>
              <w:rPr>
                <w:rFonts w:ascii="Times New Roman" w:eastAsia="Times New Roman"/>
                <w:spacing w:val="26"/>
                <w:sz w:val="21"/>
              </w:rPr>
              <w:t xml:space="preserve"> </w:t>
            </w:r>
            <w:r>
              <w:rPr>
                <w:spacing w:val="14"/>
                <w:sz w:val="21"/>
              </w:rPr>
              <w:t>准入值</w:t>
            </w:r>
          </w:p>
          <w:p>
            <w:pPr>
              <w:pStyle w:val="14"/>
              <w:spacing w:before="57"/>
              <w:ind w:left="9"/>
              <w:jc w:val="left"/>
              <w:rPr>
                <w:sz w:val="21"/>
              </w:rPr>
            </w:pPr>
            <w:r>
              <w:rPr>
                <w:sz w:val="21"/>
              </w:rPr>
              <w:t>要求</w:t>
            </w:r>
          </w:p>
        </w:tc>
        <w:tc>
          <w:tcPr>
            <w:tcW w:w="2021" w:type="dxa"/>
            <w:tcBorders>
              <w:top w:val="single" w:color="000000" w:sz="4" w:space="0"/>
              <w:left w:val="single" w:color="000000" w:sz="4" w:space="0"/>
              <w:bottom w:val="single" w:color="000000" w:sz="4" w:space="0"/>
              <w:right w:val="single" w:color="000000" w:sz="4" w:space="0"/>
            </w:tcBorders>
          </w:tcPr>
          <w:p>
            <w:pPr>
              <w:pStyle w:val="14"/>
              <w:spacing w:line="265" w:lineRule="exact"/>
              <w:ind w:left="10" w:right="-15"/>
              <w:jc w:val="left"/>
              <w:rPr>
                <w:sz w:val="21"/>
              </w:rPr>
            </w:pPr>
            <w:r>
              <w:rPr>
                <w:spacing w:val="-25"/>
                <w:sz w:val="21"/>
              </w:rPr>
              <w:t xml:space="preserve">按 </w:t>
            </w:r>
            <w:r>
              <w:rPr>
                <w:rFonts w:ascii="Times New Roman" w:eastAsia="Times New Roman"/>
                <w:sz w:val="21"/>
              </w:rPr>
              <w:t>GB29446</w:t>
            </w:r>
            <w:r>
              <w:rPr>
                <w:rFonts w:ascii="Times New Roman" w:eastAsia="Times New Roman"/>
                <w:spacing w:val="6"/>
                <w:sz w:val="21"/>
              </w:rPr>
              <w:t xml:space="preserve"> </w:t>
            </w:r>
            <w:r>
              <w:rPr>
                <w:spacing w:val="3"/>
                <w:sz w:val="21"/>
              </w:rPr>
              <w:t>限定值要</w:t>
            </w:r>
          </w:p>
          <w:p>
            <w:pPr>
              <w:pStyle w:val="14"/>
              <w:spacing w:before="57"/>
              <w:ind w:left="10"/>
              <w:jc w:val="left"/>
              <w:rPr>
                <w:sz w:val="21"/>
              </w:rPr>
            </w:pPr>
            <w:r>
              <w:rPr>
                <w:w w:val="99"/>
                <w:sz w:val="21"/>
              </w:rPr>
              <w:t>求</w:t>
            </w:r>
          </w:p>
        </w:tc>
        <w:tc>
          <w:tcPr>
            <w:tcW w:w="1165" w:type="dxa"/>
            <w:tcBorders>
              <w:top w:val="single" w:color="000000" w:sz="4" w:space="0"/>
              <w:left w:val="single" w:color="000000" w:sz="4" w:space="0"/>
              <w:bottom w:val="single" w:color="000000" w:sz="4" w:space="0"/>
            </w:tcBorders>
          </w:tcPr>
          <w:p>
            <w:pPr>
              <w:pStyle w:val="14"/>
              <w:spacing w:before="175"/>
              <w:ind w:left="17"/>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2" w:hRule="atLeast"/>
        </w:trPr>
        <w:tc>
          <w:tcPr>
            <w:tcW w:w="572" w:type="dxa"/>
            <w:tcBorders>
              <w:top w:val="single" w:color="000000" w:sz="4" w:space="0"/>
              <w:right w:val="single" w:color="000000" w:sz="4" w:space="0"/>
            </w:tcBorders>
          </w:tcPr>
          <w:p>
            <w:pPr>
              <w:pStyle w:val="14"/>
              <w:spacing w:before="20"/>
              <w:ind w:left="56" w:right="38"/>
              <w:rPr>
                <w:rFonts w:ascii="Times New Roman"/>
                <w:sz w:val="21"/>
              </w:rPr>
            </w:pPr>
            <w:r>
              <w:rPr>
                <w:rFonts w:ascii="Times New Roman"/>
                <w:sz w:val="21"/>
              </w:rPr>
              <w:t>19</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right w:val="single" w:color="000000" w:sz="4" w:space="0"/>
            </w:tcBorders>
          </w:tcPr>
          <w:p>
            <w:pPr>
              <w:pStyle w:val="14"/>
              <w:spacing w:before="1"/>
              <w:ind w:left="73"/>
              <w:jc w:val="left"/>
              <w:rPr>
                <w:sz w:val="21"/>
              </w:rPr>
            </w:pPr>
            <w:r>
              <w:rPr>
                <w:sz w:val="21"/>
              </w:rPr>
              <w:t>单位入选原煤取水</w:t>
            </w:r>
          </w:p>
        </w:tc>
        <w:tc>
          <w:tcPr>
            <w:tcW w:w="835" w:type="dxa"/>
            <w:tcBorders>
              <w:top w:val="single" w:color="000000" w:sz="4" w:space="0"/>
              <w:left w:val="single" w:color="000000" w:sz="4" w:space="0"/>
              <w:right w:val="single" w:color="000000" w:sz="4" w:space="0"/>
            </w:tcBorders>
          </w:tcPr>
          <w:p>
            <w:pPr>
              <w:pStyle w:val="14"/>
              <w:spacing w:before="20"/>
              <w:ind w:right="226"/>
              <w:jc w:val="right"/>
              <w:rPr>
                <w:rFonts w:ascii="Times New Roman"/>
                <w:sz w:val="21"/>
              </w:rPr>
            </w:pPr>
            <w:r>
              <w:rPr>
                <w:rFonts w:ascii="Times New Roman"/>
                <w:sz w:val="21"/>
              </w:rPr>
              <w:t>m</w:t>
            </w:r>
            <w:r>
              <w:rPr>
                <w:rFonts w:ascii="Times New Roman"/>
                <w:position w:val="7"/>
                <w:sz w:val="13"/>
              </w:rPr>
              <w:t>3</w:t>
            </w:r>
            <w:r>
              <w:rPr>
                <w:rFonts w:ascii="Times New Roman"/>
                <w:sz w:val="21"/>
              </w:rPr>
              <w:t>/t</w:t>
            </w:r>
          </w:p>
        </w:tc>
        <w:tc>
          <w:tcPr>
            <w:tcW w:w="933" w:type="dxa"/>
            <w:tcBorders>
              <w:top w:val="single" w:color="000000" w:sz="4" w:space="0"/>
              <w:left w:val="single" w:color="000000" w:sz="4" w:space="0"/>
              <w:right w:val="single" w:color="000000" w:sz="4" w:space="0"/>
            </w:tcBorders>
          </w:tcPr>
          <w:p>
            <w:pPr>
              <w:pStyle w:val="14"/>
              <w:spacing w:before="20"/>
              <w:ind w:left="266" w:right="248"/>
              <w:rPr>
                <w:rFonts w:ascii="Times New Roman"/>
                <w:sz w:val="21"/>
              </w:rPr>
            </w:pPr>
            <w:r>
              <w:rPr>
                <w:rFonts w:ascii="Times New Roman"/>
                <w:sz w:val="21"/>
              </w:rPr>
              <w:t>0.1</w:t>
            </w:r>
          </w:p>
        </w:tc>
        <w:tc>
          <w:tcPr>
            <w:tcW w:w="6541" w:type="dxa"/>
            <w:gridSpan w:val="3"/>
            <w:tcBorders>
              <w:top w:val="single" w:color="000000" w:sz="4" w:space="0"/>
              <w:left w:val="single" w:color="000000" w:sz="4" w:space="0"/>
              <w:right w:val="single" w:color="000000" w:sz="4" w:space="0"/>
            </w:tcBorders>
          </w:tcPr>
          <w:p>
            <w:pPr>
              <w:pStyle w:val="14"/>
              <w:spacing w:before="1"/>
              <w:ind w:left="8"/>
              <w:jc w:val="left"/>
              <w:rPr>
                <w:sz w:val="21"/>
              </w:rPr>
            </w:pPr>
            <w:r>
              <w:rPr>
                <w:sz w:val="21"/>
              </w:rPr>
              <w:t>符合《</w:t>
            </w:r>
            <w:r>
              <w:rPr>
                <w:rFonts w:ascii="Times New Roman" w:eastAsia="Times New Roman"/>
                <w:sz w:val="21"/>
              </w:rPr>
              <w:t xml:space="preserve">GB/T18916.11 </w:t>
            </w:r>
            <w:r>
              <w:rPr>
                <w:sz w:val="21"/>
              </w:rPr>
              <w:t xml:space="preserve">取水定额第 </w:t>
            </w:r>
            <w:r>
              <w:rPr>
                <w:rFonts w:ascii="Times New Roman" w:eastAsia="Times New Roman"/>
                <w:sz w:val="21"/>
              </w:rPr>
              <w:t xml:space="preserve">11 </w:t>
            </w:r>
            <w:r>
              <w:rPr>
                <w:sz w:val="21"/>
              </w:rPr>
              <w:t>部分：选煤》要求</w:t>
            </w:r>
          </w:p>
        </w:tc>
        <w:tc>
          <w:tcPr>
            <w:tcW w:w="1165" w:type="dxa"/>
            <w:tcBorders>
              <w:top w:val="single" w:color="000000" w:sz="4" w:space="0"/>
              <w:left w:val="single" w:color="000000" w:sz="4" w:space="0"/>
            </w:tcBorders>
          </w:tcPr>
          <w:p>
            <w:pPr>
              <w:pStyle w:val="14"/>
              <w:spacing w:before="20"/>
              <w:ind w:left="17"/>
              <w:rPr>
                <w:rFonts w:ascii="Times New Roman"/>
                <w:sz w:val="21"/>
              </w:rPr>
            </w:pPr>
            <w:r>
              <w:rPr>
                <w:rFonts w:ascii="Times New Roman"/>
                <w:w w:val="99"/>
                <w:sz w:val="21"/>
              </w:rPr>
              <w:t>/</w:t>
            </w:r>
          </w:p>
        </w:tc>
      </w:tr>
    </w:tbl>
    <w:p>
      <w:pPr>
        <w:spacing w:after="0"/>
        <w:rPr>
          <w:rFonts w:ascii="Times New Roman"/>
          <w:sz w:val="21"/>
        </w:rPr>
        <w:sectPr>
          <w:pgSz w:w="16840" w:h="11910" w:orient="landscape"/>
          <w:pgMar w:top="1100" w:right="1280" w:bottom="800" w:left="1280" w:header="0" w:footer="605" w:gutter="0"/>
        </w:sectPr>
      </w:pPr>
    </w:p>
    <w:p>
      <w:pPr>
        <w:pStyle w:val="6"/>
        <w:spacing w:before="1"/>
        <w:rPr>
          <w:rFonts w:ascii="Times New Roman"/>
          <w:sz w:val="27"/>
        </w:rPr>
      </w:pPr>
    </w:p>
    <w:tbl>
      <w:tblPr>
        <w:tblStyle w:val="10"/>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72"/>
        <w:gridCol w:w="1090"/>
        <w:gridCol w:w="1068"/>
        <w:gridCol w:w="750"/>
        <w:gridCol w:w="1068"/>
        <w:gridCol w:w="835"/>
        <w:gridCol w:w="933"/>
        <w:gridCol w:w="2641"/>
        <w:gridCol w:w="1879"/>
        <w:gridCol w:w="2021"/>
        <w:gridCol w:w="11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572" w:type="dxa"/>
            <w:tcBorders>
              <w:bottom w:val="single" w:color="000000" w:sz="4" w:space="0"/>
              <w:right w:val="single" w:color="000000" w:sz="4" w:space="0"/>
            </w:tcBorders>
          </w:tcPr>
          <w:p>
            <w:pPr>
              <w:pStyle w:val="14"/>
              <w:spacing w:before="165"/>
              <w:ind w:left="56" w:right="41"/>
              <w:rPr>
                <w:sz w:val="21"/>
              </w:rPr>
            </w:pPr>
            <w:r>
              <w:rPr>
                <w:sz w:val="21"/>
              </w:rPr>
              <w:t>序号</w:t>
            </w:r>
          </w:p>
        </w:tc>
        <w:tc>
          <w:tcPr>
            <w:tcW w:w="1090" w:type="dxa"/>
            <w:tcBorders>
              <w:left w:val="single" w:color="000000" w:sz="4" w:space="0"/>
              <w:bottom w:val="single" w:color="000000" w:sz="4" w:space="0"/>
              <w:right w:val="single" w:color="000000" w:sz="4" w:space="0"/>
            </w:tcBorders>
          </w:tcPr>
          <w:p>
            <w:pPr>
              <w:pStyle w:val="14"/>
              <w:spacing w:before="2"/>
              <w:ind w:left="16"/>
              <w:rPr>
                <w:sz w:val="21"/>
              </w:rPr>
            </w:pPr>
            <w:r>
              <w:rPr>
                <w:sz w:val="21"/>
              </w:rPr>
              <w:t>一级指标指</w:t>
            </w:r>
          </w:p>
          <w:p>
            <w:pPr>
              <w:pStyle w:val="14"/>
              <w:spacing w:before="55"/>
              <w:ind w:left="18"/>
              <w:rPr>
                <w:sz w:val="21"/>
              </w:rPr>
            </w:pPr>
            <w:r>
              <w:rPr>
                <w:sz w:val="21"/>
              </w:rPr>
              <w:t>标项</w:t>
            </w:r>
          </w:p>
        </w:tc>
        <w:tc>
          <w:tcPr>
            <w:tcW w:w="1068" w:type="dxa"/>
            <w:tcBorders>
              <w:left w:val="single" w:color="000000" w:sz="4" w:space="0"/>
              <w:bottom w:val="single" w:color="000000" w:sz="4" w:space="0"/>
              <w:right w:val="single" w:color="000000" w:sz="4" w:space="0"/>
            </w:tcBorders>
          </w:tcPr>
          <w:p>
            <w:pPr>
              <w:pStyle w:val="14"/>
              <w:spacing w:before="2"/>
              <w:ind w:left="13" w:right="-15"/>
              <w:rPr>
                <w:sz w:val="21"/>
              </w:rPr>
            </w:pPr>
            <w:r>
              <w:rPr>
                <w:sz w:val="21"/>
              </w:rPr>
              <w:t>一级指标权</w:t>
            </w:r>
          </w:p>
          <w:p>
            <w:pPr>
              <w:pStyle w:val="14"/>
              <w:spacing w:before="55"/>
              <w:ind w:left="306" w:right="290"/>
              <w:rPr>
                <w:sz w:val="21"/>
              </w:rPr>
            </w:pPr>
            <w:r>
              <w:rPr>
                <w:sz w:val="21"/>
              </w:rPr>
              <w:t>重值</w:t>
            </w:r>
          </w:p>
        </w:tc>
        <w:tc>
          <w:tcPr>
            <w:tcW w:w="1818" w:type="dxa"/>
            <w:gridSpan w:val="2"/>
            <w:tcBorders>
              <w:left w:val="single" w:color="000000" w:sz="4" w:space="0"/>
              <w:bottom w:val="single" w:color="000000" w:sz="4" w:space="0"/>
              <w:right w:val="single" w:color="000000" w:sz="4" w:space="0"/>
            </w:tcBorders>
          </w:tcPr>
          <w:p>
            <w:pPr>
              <w:pStyle w:val="14"/>
              <w:spacing w:before="165"/>
              <w:ind w:left="179"/>
              <w:jc w:val="left"/>
              <w:rPr>
                <w:sz w:val="21"/>
              </w:rPr>
            </w:pPr>
            <w:r>
              <w:rPr>
                <w:sz w:val="21"/>
              </w:rPr>
              <w:t>二级指标指标项</w:t>
            </w:r>
          </w:p>
        </w:tc>
        <w:tc>
          <w:tcPr>
            <w:tcW w:w="835" w:type="dxa"/>
            <w:tcBorders>
              <w:left w:val="single" w:color="000000" w:sz="4" w:space="0"/>
              <w:bottom w:val="single" w:color="000000" w:sz="4" w:space="0"/>
              <w:right w:val="single" w:color="000000" w:sz="4" w:space="0"/>
            </w:tcBorders>
          </w:tcPr>
          <w:p>
            <w:pPr>
              <w:pStyle w:val="14"/>
              <w:spacing w:before="165"/>
              <w:ind w:left="190" w:right="174"/>
              <w:rPr>
                <w:sz w:val="21"/>
              </w:rPr>
            </w:pPr>
            <w:r>
              <w:rPr>
                <w:sz w:val="21"/>
              </w:rPr>
              <w:t>单位</w:t>
            </w:r>
          </w:p>
        </w:tc>
        <w:tc>
          <w:tcPr>
            <w:tcW w:w="933" w:type="dxa"/>
            <w:tcBorders>
              <w:left w:val="single" w:color="000000" w:sz="4" w:space="0"/>
              <w:bottom w:val="single" w:color="000000" w:sz="4" w:space="0"/>
              <w:right w:val="single" w:color="000000" w:sz="4" w:space="0"/>
            </w:tcBorders>
          </w:tcPr>
          <w:p>
            <w:pPr>
              <w:pStyle w:val="14"/>
              <w:spacing w:before="2"/>
              <w:ind w:left="51"/>
              <w:jc w:val="left"/>
              <w:rPr>
                <w:sz w:val="21"/>
              </w:rPr>
            </w:pPr>
            <w:r>
              <w:rPr>
                <w:w w:val="95"/>
                <w:sz w:val="21"/>
              </w:rPr>
              <w:t>二级指标</w:t>
            </w:r>
          </w:p>
          <w:p>
            <w:pPr>
              <w:pStyle w:val="14"/>
              <w:spacing w:before="55"/>
              <w:ind w:left="51"/>
              <w:jc w:val="left"/>
              <w:rPr>
                <w:sz w:val="21"/>
              </w:rPr>
            </w:pPr>
            <w:r>
              <w:rPr>
                <w:w w:val="95"/>
                <w:sz w:val="21"/>
              </w:rPr>
              <w:t>分权重值</w:t>
            </w:r>
          </w:p>
        </w:tc>
        <w:tc>
          <w:tcPr>
            <w:tcW w:w="2641" w:type="dxa"/>
            <w:tcBorders>
              <w:left w:val="single" w:color="000000" w:sz="4" w:space="0"/>
              <w:bottom w:val="single" w:color="000000" w:sz="4" w:space="0"/>
              <w:right w:val="single" w:color="000000" w:sz="4" w:space="0"/>
            </w:tcBorders>
          </w:tcPr>
          <w:p>
            <w:pPr>
              <w:pStyle w:val="14"/>
              <w:spacing w:before="165"/>
              <w:ind w:left="778" w:right="762"/>
              <w:rPr>
                <w:sz w:val="21"/>
              </w:rPr>
            </w:pPr>
            <w:r>
              <w:rPr>
                <w:sz w:val="21"/>
              </w:rPr>
              <w:t>Ⅰ级基准值</w:t>
            </w:r>
          </w:p>
        </w:tc>
        <w:tc>
          <w:tcPr>
            <w:tcW w:w="1879" w:type="dxa"/>
            <w:tcBorders>
              <w:left w:val="single" w:color="000000" w:sz="4" w:space="0"/>
              <w:bottom w:val="single" w:color="000000" w:sz="4" w:space="0"/>
              <w:right w:val="single" w:color="000000" w:sz="4" w:space="0"/>
            </w:tcBorders>
          </w:tcPr>
          <w:p>
            <w:pPr>
              <w:pStyle w:val="14"/>
              <w:spacing w:before="165"/>
              <w:ind w:left="397" w:right="382"/>
              <w:rPr>
                <w:sz w:val="21"/>
              </w:rPr>
            </w:pPr>
            <w:r>
              <w:rPr>
                <w:sz w:val="21"/>
              </w:rPr>
              <w:t>Ⅱ级基准值</w:t>
            </w:r>
          </w:p>
        </w:tc>
        <w:tc>
          <w:tcPr>
            <w:tcW w:w="2021" w:type="dxa"/>
            <w:tcBorders>
              <w:left w:val="single" w:color="000000" w:sz="4" w:space="0"/>
              <w:bottom w:val="single" w:color="000000" w:sz="4" w:space="0"/>
              <w:right w:val="single" w:color="000000" w:sz="4" w:space="0"/>
            </w:tcBorders>
          </w:tcPr>
          <w:p>
            <w:pPr>
              <w:pStyle w:val="14"/>
              <w:spacing w:before="165"/>
              <w:ind w:left="468" w:right="453"/>
              <w:rPr>
                <w:sz w:val="21"/>
              </w:rPr>
            </w:pPr>
            <w:r>
              <w:rPr>
                <w:sz w:val="21"/>
              </w:rPr>
              <w:t>Ⅲ级基准值</w:t>
            </w:r>
          </w:p>
        </w:tc>
        <w:tc>
          <w:tcPr>
            <w:tcW w:w="1165" w:type="dxa"/>
            <w:tcBorders>
              <w:left w:val="single" w:color="000000" w:sz="4" w:space="0"/>
              <w:bottom w:val="single" w:color="000000" w:sz="4" w:space="0"/>
            </w:tcBorders>
          </w:tcPr>
          <w:p>
            <w:pPr>
              <w:pStyle w:val="14"/>
              <w:spacing w:before="2"/>
              <w:ind w:left="22" w:right="5"/>
              <w:rPr>
                <w:sz w:val="21"/>
              </w:rPr>
            </w:pPr>
            <w:r>
              <w:rPr>
                <w:sz w:val="21"/>
              </w:rPr>
              <w:t>本煤矿扩建</w:t>
            </w:r>
          </w:p>
          <w:p>
            <w:pPr>
              <w:pStyle w:val="14"/>
              <w:spacing w:before="55"/>
              <w:ind w:left="19"/>
              <w:rPr>
                <w:sz w:val="21"/>
              </w:rPr>
            </w:pPr>
            <w:r>
              <w:rPr>
                <w:w w:val="99"/>
                <w:sz w:val="21"/>
              </w:rPr>
              <w:t>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72" w:type="dxa"/>
            <w:tcBorders>
              <w:top w:val="single" w:color="000000" w:sz="4" w:space="0"/>
              <w:bottom w:val="single" w:color="000000" w:sz="4" w:space="0"/>
              <w:right w:val="single" w:color="000000" w:sz="4" w:space="0"/>
            </w:tcBorders>
          </w:tcPr>
          <w:p>
            <w:pPr>
              <w:pStyle w:val="14"/>
              <w:jc w:val="left"/>
              <w:rPr>
                <w:rFonts w:ascii="Times New Roman"/>
                <w:sz w:val="20"/>
              </w:rPr>
            </w:pPr>
          </w:p>
        </w:tc>
        <w:tc>
          <w:tcPr>
            <w:tcW w:w="1090"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068"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4"/>
              <w:ind w:left="17"/>
              <w:rPr>
                <w:sz w:val="21"/>
              </w:rPr>
            </w:pPr>
            <w:r>
              <w:rPr>
                <w:w w:val="99"/>
                <w:sz w:val="21"/>
              </w:rPr>
              <w:t>量</w:t>
            </w:r>
          </w:p>
        </w:tc>
        <w:tc>
          <w:tcPr>
            <w:tcW w:w="835"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933"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6541" w:type="dxa"/>
            <w:gridSpan w:val="3"/>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165"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trPr>
        <w:tc>
          <w:tcPr>
            <w:tcW w:w="572" w:type="dxa"/>
            <w:tcBorders>
              <w:top w:val="single" w:color="000000" w:sz="4" w:space="0"/>
              <w:bottom w:val="single" w:color="000000" w:sz="4" w:space="0"/>
              <w:right w:val="single" w:color="000000" w:sz="4" w:space="0"/>
            </w:tcBorders>
          </w:tcPr>
          <w:p>
            <w:pPr>
              <w:pStyle w:val="14"/>
              <w:spacing w:before="180"/>
              <w:ind w:left="56" w:right="38"/>
              <w:rPr>
                <w:rFonts w:ascii="Times New Roman"/>
                <w:sz w:val="21"/>
              </w:rPr>
            </w:pPr>
            <w:r>
              <w:rPr>
                <w:rFonts w:ascii="Times New Roman"/>
                <w:sz w:val="21"/>
              </w:rPr>
              <w:t>20</w:t>
            </w:r>
          </w:p>
        </w:tc>
        <w:tc>
          <w:tcPr>
            <w:tcW w:w="1090" w:type="dxa"/>
            <w:vMerge w:val="restart"/>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spacing w:before="141" w:line="290" w:lineRule="auto"/>
              <w:ind w:left="23" w:right="5"/>
              <w:rPr>
                <w:sz w:val="21"/>
              </w:rPr>
            </w:pPr>
            <w:r>
              <w:rPr>
                <w:sz w:val="21"/>
              </w:rPr>
              <w:t>（三）资源综合利用指标</w:t>
            </w:r>
          </w:p>
        </w:tc>
        <w:tc>
          <w:tcPr>
            <w:tcW w:w="1068" w:type="dxa"/>
            <w:vMerge w:val="restart"/>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2"/>
              </w:rPr>
            </w:pPr>
          </w:p>
          <w:p>
            <w:pPr>
              <w:pStyle w:val="14"/>
              <w:jc w:val="left"/>
              <w:rPr>
                <w:rFonts w:ascii="Times New Roman"/>
                <w:sz w:val="22"/>
              </w:rPr>
            </w:pPr>
          </w:p>
          <w:p>
            <w:pPr>
              <w:pStyle w:val="14"/>
              <w:jc w:val="left"/>
              <w:rPr>
                <w:rFonts w:ascii="Times New Roman"/>
                <w:sz w:val="22"/>
              </w:rPr>
            </w:pPr>
          </w:p>
          <w:p>
            <w:pPr>
              <w:pStyle w:val="14"/>
              <w:jc w:val="left"/>
              <w:rPr>
                <w:rFonts w:ascii="Times New Roman"/>
                <w:sz w:val="22"/>
              </w:rPr>
            </w:pPr>
          </w:p>
          <w:p>
            <w:pPr>
              <w:pStyle w:val="14"/>
              <w:spacing w:before="164"/>
              <w:ind w:left="354"/>
              <w:jc w:val="left"/>
              <w:rPr>
                <w:rFonts w:ascii="Times New Roman"/>
                <w:sz w:val="21"/>
              </w:rPr>
            </w:pPr>
            <w:r>
              <w:rPr>
                <w:rFonts w:ascii="Times New Roman"/>
                <w:sz w:val="21"/>
              </w:rPr>
              <w:t>0.15</w:t>
            </w:r>
          </w:p>
        </w:tc>
        <w:tc>
          <w:tcPr>
            <w:tcW w:w="1818" w:type="dxa"/>
            <w:gridSpan w:val="2"/>
            <w:tcBorders>
              <w:top w:val="single" w:color="000000" w:sz="4" w:space="0"/>
              <w:left w:val="single" w:color="000000" w:sz="4" w:space="0"/>
              <w:bottom w:val="single" w:color="000000" w:sz="4" w:space="0"/>
              <w:right w:val="single" w:color="000000" w:sz="4" w:space="0"/>
            </w:tcBorders>
          </w:tcPr>
          <w:p>
            <w:pPr>
              <w:pStyle w:val="14"/>
              <w:ind w:left="41" w:right="24"/>
              <w:rPr>
                <w:sz w:val="21"/>
              </w:rPr>
            </w:pPr>
            <w:r>
              <w:rPr>
                <w:rFonts w:ascii="Times New Roman" w:eastAsia="Times New Roman"/>
                <w:w w:val="95"/>
                <w:sz w:val="21"/>
              </w:rPr>
              <w:t>*</w:t>
            </w:r>
            <w:r>
              <w:rPr>
                <w:w w:val="95"/>
                <w:sz w:val="21"/>
              </w:rPr>
              <w:t>当年产生煤矸石综</w:t>
            </w:r>
          </w:p>
          <w:p>
            <w:pPr>
              <w:pStyle w:val="14"/>
              <w:spacing w:before="58"/>
              <w:ind w:left="41" w:right="24"/>
              <w:rPr>
                <w:sz w:val="21"/>
              </w:rPr>
            </w:pPr>
            <w:r>
              <w:rPr>
                <w:sz w:val="21"/>
              </w:rPr>
              <w:t>合利用率</w:t>
            </w:r>
          </w:p>
        </w:tc>
        <w:tc>
          <w:tcPr>
            <w:tcW w:w="835" w:type="dxa"/>
            <w:tcBorders>
              <w:top w:val="single" w:color="000000" w:sz="4" w:space="0"/>
              <w:left w:val="single" w:color="000000" w:sz="4" w:space="0"/>
              <w:bottom w:val="single" w:color="000000" w:sz="4" w:space="0"/>
              <w:right w:val="single" w:color="000000" w:sz="4" w:space="0"/>
            </w:tcBorders>
          </w:tcPr>
          <w:p>
            <w:pPr>
              <w:pStyle w:val="14"/>
              <w:spacing w:before="180"/>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4"/>
              <w:spacing w:before="180"/>
              <w:ind w:left="266" w:right="248"/>
              <w:rPr>
                <w:rFonts w:ascii="Times New Roman"/>
                <w:sz w:val="21"/>
              </w:rPr>
            </w:pPr>
            <w:r>
              <w:rPr>
                <w:rFonts w:ascii="Times New Roman"/>
                <w:sz w:val="21"/>
              </w:rPr>
              <w:t>0.3</w:t>
            </w:r>
          </w:p>
        </w:tc>
        <w:tc>
          <w:tcPr>
            <w:tcW w:w="2641" w:type="dxa"/>
            <w:tcBorders>
              <w:top w:val="single" w:color="000000" w:sz="4" w:space="0"/>
              <w:left w:val="single" w:color="000000" w:sz="4" w:space="0"/>
              <w:bottom w:val="single" w:color="000000" w:sz="4" w:space="0"/>
              <w:right w:val="single" w:color="000000" w:sz="4" w:space="0"/>
            </w:tcBorders>
          </w:tcPr>
          <w:p>
            <w:pPr>
              <w:pStyle w:val="14"/>
              <w:spacing w:before="180"/>
              <w:ind w:left="778" w:right="758"/>
              <w:rPr>
                <w:rFonts w:ascii="Times New Roman" w:hAnsi="Times New Roman"/>
                <w:sz w:val="21"/>
              </w:rPr>
            </w:pPr>
            <w:r>
              <w:rPr>
                <w:rFonts w:ascii="Times New Roman" w:hAnsi="Times New Roman"/>
                <w:sz w:val="21"/>
              </w:rPr>
              <w:t>≥85</w:t>
            </w:r>
          </w:p>
        </w:tc>
        <w:tc>
          <w:tcPr>
            <w:tcW w:w="1879" w:type="dxa"/>
            <w:tcBorders>
              <w:top w:val="single" w:color="000000" w:sz="4" w:space="0"/>
              <w:left w:val="single" w:color="000000" w:sz="4" w:space="0"/>
              <w:bottom w:val="single" w:color="000000" w:sz="4" w:space="0"/>
              <w:right w:val="single" w:color="000000" w:sz="4" w:space="0"/>
            </w:tcBorders>
          </w:tcPr>
          <w:p>
            <w:pPr>
              <w:pStyle w:val="14"/>
              <w:spacing w:before="180"/>
              <w:ind w:left="397" w:right="380"/>
              <w:rPr>
                <w:rFonts w:ascii="Times New Roman" w:hAnsi="Times New Roman"/>
                <w:sz w:val="21"/>
              </w:rPr>
            </w:pPr>
            <w:r>
              <w:rPr>
                <w:rFonts w:ascii="Times New Roman" w:hAnsi="Times New Roman"/>
                <w:sz w:val="21"/>
              </w:rPr>
              <w:t>≥80</w:t>
            </w:r>
          </w:p>
        </w:tc>
        <w:tc>
          <w:tcPr>
            <w:tcW w:w="2021" w:type="dxa"/>
            <w:tcBorders>
              <w:top w:val="single" w:color="000000" w:sz="4" w:space="0"/>
              <w:left w:val="single" w:color="000000" w:sz="4" w:space="0"/>
              <w:bottom w:val="single" w:color="000000" w:sz="4" w:space="0"/>
              <w:right w:val="single" w:color="000000" w:sz="4" w:space="0"/>
            </w:tcBorders>
          </w:tcPr>
          <w:p>
            <w:pPr>
              <w:pStyle w:val="14"/>
              <w:spacing w:before="180"/>
              <w:ind w:left="468" w:right="449"/>
              <w:rPr>
                <w:rFonts w:ascii="Times New Roman" w:hAnsi="Times New Roman"/>
                <w:sz w:val="21"/>
              </w:rPr>
            </w:pPr>
            <w:r>
              <w:rPr>
                <w:rFonts w:ascii="Times New Roman" w:hAnsi="Times New Roman"/>
                <w:sz w:val="21"/>
              </w:rPr>
              <w:t>≥75</w:t>
            </w:r>
          </w:p>
        </w:tc>
        <w:tc>
          <w:tcPr>
            <w:tcW w:w="1165" w:type="dxa"/>
            <w:tcBorders>
              <w:top w:val="single" w:color="000000" w:sz="4" w:space="0"/>
              <w:left w:val="single" w:color="000000" w:sz="4" w:space="0"/>
              <w:bottom w:val="single" w:color="000000" w:sz="4" w:space="0"/>
            </w:tcBorders>
          </w:tcPr>
          <w:p>
            <w:pPr>
              <w:pStyle w:val="14"/>
              <w:spacing w:before="180"/>
              <w:ind w:left="21" w:right="5"/>
              <w:rPr>
                <w:rFonts w:ascii="Times New Roman" w:hAnsi="Times New Roman"/>
                <w:sz w:val="21"/>
              </w:rPr>
            </w:pPr>
            <w:r>
              <w:rPr>
                <w:rFonts w:ascii="Times New Roman" w:hAnsi="Times New Roman"/>
                <w:sz w:val="21"/>
              </w:rPr>
              <w:t>≥85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572" w:type="dxa"/>
            <w:tcBorders>
              <w:top w:val="single" w:color="000000" w:sz="4" w:space="0"/>
              <w:bottom w:val="single" w:color="000000" w:sz="4" w:space="0"/>
              <w:right w:val="single" w:color="000000" w:sz="4" w:space="0"/>
            </w:tcBorders>
          </w:tcPr>
          <w:p>
            <w:pPr>
              <w:pStyle w:val="14"/>
              <w:spacing w:before="182"/>
              <w:ind w:left="56" w:right="38"/>
              <w:rPr>
                <w:rFonts w:ascii="Times New Roman"/>
                <w:sz w:val="21"/>
              </w:rPr>
            </w:pPr>
            <w:r>
              <w:rPr>
                <w:rFonts w:ascii="Times New Roman"/>
                <w:sz w:val="21"/>
              </w:rPr>
              <w:t>21</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750" w:type="dxa"/>
            <w:tcBorders>
              <w:top w:val="single" w:color="000000" w:sz="4" w:space="0"/>
              <w:left w:val="single" w:color="000000" w:sz="4" w:space="0"/>
              <w:bottom w:val="single" w:color="000000" w:sz="4" w:space="0"/>
              <w:right w:val="single" w:color="000000" w:sz="4" w:space="0"/>
            </w:tcBorders>
          </w:tcPr>
          <w:p>
            <w:pPr>
              <w:pStyle w:val="14"/>
              <w:ind w:left="11" w:right="-15"/>
              <w:jc w:val="left"/>
              <w:rPr>
                <w:sz w:val="21"/>
              </w:rPr>
            </w:pPr>
            <w:r>
              <w:rPr>
                <w:rFonts w:ascii="Times New Roman" w:eastAsia="Times New Roman"/>
                <w:sz w:val="21"/>
              </w:rPr>
              <w:t>*</w:t>
            </w:r>
            <w:r>
              <w:rPr>
                <w:sz w:val="21"/>
              </w:rPr>
              <w:t>矿井水</w:t>
            </w:r>
          </w:p>
          <w:p>
            <w:pPr>
              <w:pStyle w:val="14"/>
              <w:spacing w:before="57"/>
              <w:ind w:left="64"/>
              <w:jc w:val="left"/>
              <w:rPr>
                <w:sz w:val="21"/>
              </w:rPr>
            </w:pPr>
            <w:r>
              <w:rPr>
                <w:sz w:val="21"/>
              </w:rPr>
              <w:t>利用率</w:t>
            </w:r>
          </w:p>
        </w:tc>
        <w:tc>
          <w:tcPr>
            <w:tcW w:w="1068" w:type="dxa"/>
            <w:tcBorders>
              <w:top w:val="single" w:color="000000" w:sz="4" w:space="0"/>
              <w:left w:val="single" w:color="000000" w:sz="4" w:space="0"/>
              <w:bottom w:val="single" w:color="000000" w:sz="4" w:space="0"/>
              <w:right w:val="single" w:color="000000" w:sz="4" w:space="0"/>
            </w:tcBorders>
          </w:tcPr>
          <w:p>
            <w:pPr>
              <w:pStyle w:val="14"/>
              <w:ind w:left="12" w:right="-15"/>
              <w:rPr>
                <w:sz w:val="21"/>
              </w:rPr>
            </w:pPr>
            <w:r>
              <w:rPr>
                <w:sz w:val="21"/>
              </w:rPr>
              <w:t>水资源短缺</w:t>
            </w:r>
          </w:p>
          <w:p>
            <w:pPr>
              <w:pStyle w:val="14"/>
              <w:spacing w:before="57"/>
              <w:ind w:left="307" w:right="289"/>
              <w:rPr>
                <w:sz w:val="21"/>
              </w:rPr>
            </w:pPr>
            <w:r>
              <w:rPr>
                <w:sz w:val="21"/>
              </w:rPr>
              <w:t>矿区</w:t>
            </w:r>
          </w:p>
        </w:tc>
        <w:tc>
          <w:tcPr>
            <w:tcW w:w="835" w:type="dxa"/>
            <w:tcBorders>
              <w:top w:val="single" w:color="000000" w:sz="4" w:space="0"/>
              <w:left w:val="single" w:color="000000" w:sz="4" w:space="0"/>
              <w:bottom w:val="single" w:color="000000" w:sz="4" w:space="0"/>
              <w:right w:val="single" w:color="000000" w:sz="4" w:space="0"/>
            </w:tcBorders>
          </w:tcPr>
          <w:p>
            <w:pPr>
              <w:pStyle w:val="14"/>
              <w:spacing w:before="182"/>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4"/>
              <w:spacing w:before="182"/>
              <w:ind w:left="266" w:right="248"/>
              <w:rPr>
                <w:rFonts w:ascii="Times New Roman"/>
                <w:sz w:val="21"/>
              </w:rPr>
            </w:pPr>
            <w:r>
              <w:rPr>
                <w:rFonts w:ascii="Times New Roman"/>
                <w:sz w:val="21"/>
              </w:rPr>
              <w:t>0.3</w:t>
            </w:r>
          </w:p>
        </w:tc>
        <w:tc>
          <w:tcPr>
            <w:tcW w:w="2641" w:type="dxa"/>
            <w:tcBorders>
              <w:top w:val="single" w:color="000000" w:sz="4" w:space="0"/>
              <w:left w:val="single" w:color="000000" w:sz="4" w:space="0"/>
              <w:bottom w:val="single" w:color="000000" w:sz="4" w:space="0"/>
              <w:right w:val="single" w:color="000000" w:sz="4" w:space="0"/>
            </w:tcBorders>
          </w:tcPr>
          <w:p>
            <w:pPr>
              <w:pStyle w:val="14"/>
              <w:spacing w:before="182"/>
              <w:ind w:left="778" w:right="758"/>
              <w:rPr>
                <w:rFonts w:ascii="Times New Roman" w:hAnsi="Times New Roman"/>
                <w:sz w:val="21"/>
              </w:rPr>
            </w:pPr>
            <w:r>
              <w:rPr>
                <w:rFonts w:ascii="Times New Roman" w:hAnsi="Times New Roman"/>
                <w:sz w:val="21"/>
              </w:rPr>
              <w:t>≥95</w:t>
            </w:r>
          </w:p>
        </w:tc>
        <w:tc>
          <w:tcPr>
            <w:tcW w:w="1879" w:type="dxa"/>
            <w:tcBorders>
              <w:top w:val="single" w:color="000000" w:sz="4" w:space="0"/>
              <w:left w:val="single" w:color="000000" w:sz="4" w:space="0"/>
              <w:bottom w:val="single" w:color="000000" w:sz="4" w:space="0"/>
              <w:right w:val="single" w:color="000000" w:sz="4" w:space="0"/>
            </w:tcBorders>
          </w:tcPr>
          <w:p>
            <w:pPr>
              <w:pStyle w:val="14"/>
              <w:spacing w:before="182"/>
              <w:ind w:left="397" w:right="380"/>
              <w:rPr>
                <w:rFonts w:ascii="Times New Roman" w:hAnsi="Times New Roman"/>
                <w:sz w:val="21"/>
              </w:rPr>
            </w:pPr>
            <w:r>
              <w:rPr>
                <w:rFonts w:ascii="Times New Roman" w:hAnsi="Times New Roman"/>
                <w:sz w:val="21"/>
              </w:rPr>
              <w:t>≥90</w:t>
            </w:r>
          </w:p>
        </w:tc>
        <w:tc>
          <w:tcPr>
            <w:tcW w:w="2021" w:type="dxa"/>
            <w:tcBorders>
              <w:top w:val="single" w:color="000000" w:sz="4" w:space="0"/>
              <w:left w:val="single" w:color="000000" w:sz="4" w:space="0"/>
              <w:bottom w:val="single" w:color="000000" w:sz="4" w:space="0"/>
              <w:right w:val="single" w:color="000000" w:sz="4" w:space="0"/>
            </w:tcBorders>
          </w:tcPr>
          <w:p>
            <w:pPr>
              <w:pStyle w:val="14"/>
              <w:spacing w:before="182"/>
              <w:ind w:left="468" w:right="449"/>
              <w:rPr>
                <w:rFonts w:ascii="Times New Roman" w:hAnsi="Times New Roman"/>
                <w:sz w:val="21"/>
              </w:rPr>
            </w:pPr>
            <w:r>
              <w:rPr>
                <w:rFonts w:ascii="Times New Roman" w:hAnsi="Times New Roman"/>
                <w:sz w:val="21"/>
              </w:rPr>
              <w:t>≥85</w:t>
            </w:r>
          </w:p>
        </w:tc>
        <w:tc>
          <w:tcPr>
            <w:tcW w:w="1165" w:type="dxa"/>
            <w:tcBorders>
              <w:top w:val="single" w:color="000000" w:sz="4" w:space="0"/>
              <w:left w:val="single" w:color="000000" w:sz="4" w:space="0"/>
              <w:bottom w:val="single" w:color="000000" w:sz="4" w:space="0"/>
            </w:tcBorders>
          </w:tcPr>
          <w:p>
            <w:pPr>
              <w:pStyle w:val="14"/>
              <w:spacing w:before="182"/>
              <w:ind w:left="21" w:right="5"/>
              <w:rPr>
                <w:rFonts w:ascii="Times New Roman" w:hAnsi="Times New Roman"/>
                <w:sz w:val="21"/>
              </w:rPr>
            </w:pPr>
            <w:r>
              <w:rPr>
                <w:rFonts w:ascii="Times New Roman" w:hAnsi="Times New Roman"/>
                <w:sz w:val="21"/>
              </w:rPr>
              <w:t>≥95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572" w:type="dxa"/>
            <w:tcBorders>
              <w:top w:val="single" w:color="000000" w:sz="4" w:space="0"/>
              <w:bottom w:val="single" w:color="000000" w:sz="4" w:space="0"/>
              <w:right w:val="single" w:color="000000" w:sz="4" w:space="0"/>
            </w:tcBorders>
          </w:tcPr>
          <w:p>
            <w:pPr>
              <w:pStyle w:val="14"/>
              <w:spacing w:before="180"/>
              <w:ind w:left="56" w:right="38"/>
              <w:rPr>
                <w:rFonts w:ascii="Times New Roman"/>
                <w:sz w:val="21"/>
              </w:rPr>
            </w:pPr>
            <w:r>
              <w:rPr>
                <w:rFonts w:ascii="Times New Roman"/>
                <w:sz w:val="21"/>
              </w:rPr>
              <w:t>22</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4"/>
              <w:spacing w:before="1"/>
              <w:ind w:left="41" w:right="24"/>
              <w:rPr>
                <w:sz w:val="21"/>
              </w:rPr>
            </w:pPr>
            <w:r>
              <w:rPr>
                <w:sz w:val="21"/>
              </w:rPr>
              <w:t>矿区生活污水综合</w:t>
            </w:r>
          </w:p>
          <w:p>
            <w:pPr>
              <w:pStyle w:val="14"/>
              <w:spacing w:before="55"/>
              <w:ind w:left="43" w:right="24"/>
              <w:rPr>
                <w:sz w:val="21"/>
              </w:rPr>
            </w:pPr>
            <w:r>
              <w:rPr>
                <w:sz w:val="21"/>
              </w:rPr>
              <w:t>利用率</w:t>
            </w:r>
          </w:p>
        </w:tc>
        <w:tc>
          <w:tcPr>
            <w:tcW w:w="835" w:type="dxa"/>
            <w:tcBorders>
              <w:top w:val="single" w:color="000000" w:sz="4" w:space="0"/>
              <w:left w:val="single" w:color="000000" w:sz="4" w:space="0"/>
              <w:bottom w:val="single" w:color="000000" w:sz="4" w:space="0"/>
              <w:right w:val="single" w:color="000000" w:sz="4" w:space="0"/>
            </w:tcBorders>
          </w:tcPr>
          <w:p>
            <w:pPr>
              <w:pStyle w:val="14"/>
              <w:spacing w:before="180"/>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4"/>
              <w:spacing w:before="180"/>
              <w:ind w:left="266" w:right="248"/>
              <w:rPr>
                <w:rFonts w:ascii="Times New Roman"/>
                <w:sz w:val="21"/>
              </w:rPr>
            </w:pPr>
            <w:r>
              <w:rPr>
                <w:rFonts w:ascii="Times New Roman"/>
                <w:sz w:val="21"/>
              </w:rPr>
              <w:t>0.2</w:t>
            </w:r>
          </w:p>
        </w:tc>
        <w:tc>
          <w:tcPr>
            <w:tcW w:w="2641" w:type="dxa"/>
            <w:tcBorders>
              <w:top w:val="single" w:color="000000" w:sz="4" w:space="0"/>
              <w:left w:val="single" w:color="000000" w:sz="4" w:space="0"/>
              <w:bottom w:val="single" w:color="000000" w:sz="4" w:space="0"/>
              <w:right w:val="single" w:color="000000" w:sz="4" w:space="0"/>
            </w:tcBorders>
          </w:tcPr>
          <w:p>
            <w:pPr>
              <w:pStyle w:val="14"/>
              <w:spacing w:before="180"/>
              <w:ind w:left="778" w:right="758"/>
              <w:rPr>
                <w:rFonts w:ascii="Times New Roman"/>
                <w:sz w:val="21"/>
              </w:rPr>
            </w:pPr>
            <w:r>
              <w:rPr>
                <w:rFonts w:ascii="Times New Roman"/>
                <w:sz w:val="21"/>
              </w:rPr>
              <w:t>100</w:t>
            </w:r>
          </w:p>
        </w:tc>
        <w:tc>
          <w:tcPr>
            <w:tcW w:w="1879" w:type="dxa"/>
            <w:tcBorders>
              <w:top w:val="single" w:color="000000" w:sz="4" w:space="0"/>
              <w:left w:val="single" w:color="000000" w:sz="4" w:space="0"/>
              <w:bottom w:val="single" w:color="000000" w:sz="4" w:space="0"/>
              <w:right w:val="single" w:color="000000" w:sz="4" w:space="0"/>
            </w:tcBorders>
          </w:tcPr>
          <w:p>
            <w:pPr>
              <w:pStyle w:val="14"/>
              <w:spacing w:before="180"/>
              <w:ind w:left="397" w:right="380"/>
              <w:rPr>
                <w:rFonts w:ascii="Times New Roman" w:hAnsi="Times New Roman"/>
                <w:sz w:val="21"/>
              </w:rPr>
            </w:pPr>
            <w:r>
              <w:rPr>
                <w:rFonts w:ascii="Times New Roman" w:hAnsi="Times New Roman"/>
                <w:sz w:val="21"/>
              </w:rPr>
              <w:t>≥95</w:t>
            </w:r>
          </w:p>
        </w:tc>
        <w:tc>
          <w:tcPr>
            <w:tcW w:w="2021" w:type="dxa"/>
            <w:tcBorders>
              <w:top w:val="single" w:color="000000" w:sz="4" w:space="0"/>
              <w:left w:val="single" w:color="000000" w:sz="4" w:space="0"/>
              <w:bottom w:val="single" w:color="000000" w:sz="4" w:space="0"/>
              <w:right w:val="single" w:color="000000" w:sz="4" w:space="0"/>
            </w:tcBorders>
          </w:tcPr>
          <w:p>
            <w:pPr>
              <w:pStyle w:val="14"/>
              <w:spacing w:before="180"/>
              <w:ind w:left="468" w:right="449"/>
              <w:rPr>
                <w:rFonts w:ascii="Times New Roman" w:hAnsi="Times New Roman"/>
                <w:sz w:val="21"/>
              </w:rPr>
            </w:pPr>
            <w:r>
              <w:rPr>
                <w:rFonts w:ascii="Times New Roman" w:hAnsi="Times New Roman"/>
                <w:sz w:val="21"/>
              </w:rPr>
              <w:t>≥90</w:t>
            </w:r>
          </w:p>
        </w:tc>
        <w:tc>
          <w:tcPr>
            <w:tcW w:w="1165" w:type="dxa"/>
            <w:tcBorders>
              <w:top w:val="single" w:color="000000" w:sz="4" w:space="0"/>
              <w:left w:val="single" w:color="000000" w:sz="4" w:space="0"/>
              <w:bottom w:val="single" w:color="000000" w:sz="4" w:space="0"/>
            </w:tcBorders>
          </w:tcPr>
          <w:p>
            <w:pPr>
              <w:pStyle w:val="14"/>
              <w:spacing w:before="180"/>
              <w:ind w:left="24" w:right="4"/>
              <w:rPr>
                <w:rFonts w:ascii="Times New Roman"/>
                <w:sz w:val="21"/>
              </w:rPr>
            </w:pPr>
            <w:r>
              <w:rPr>
                <w:rFonts w:ascii="Times New Roman"/>
                <w:sz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trPr>
        <w:tc>
          <w:tcPr>
            <w:tcW w:w="572" w:type="dxa"/>
            <w:tcBorders>
              <w:top w:val="single" w:color="000000" w:sz="4" w:space="0"/>
              <w:bottom w:val="single" w:color="000000" w:sz="4" w:space="0"/>
              <w:right w:val="single" w:color="000000" w:sz="4" w:space="0"/>
            </w:tcBorders>
          </w:tcPr>
          <w:p>
            <w:pPr>
              <w:pStyle w:val="14"/>
              <w:spacing w:before="179"/>
              <w:ind w:left="56" w:right="38"/>
              <w:rPr>
                <w:rFonts w:ascii="Times New Roman"/>
                <w:sz w:val="21"/>
              </w:rPr>
            </w:pPr>
            <w:r>
              <w:rPr>
                <w:rFonts w:ascii="Times New Roman"/>
                <w:sz w:val="21"/>
              </w:rPr>
              <w:t>23</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4"/>
              <w:spacing w:line="268" w:lineRule="exact"/>
              <w:ind w:left="41" w:right="24"/>
              <w:rPr>
                <w:sz w:val="21"/>
              </w:rPr>
            </w:pPr>
            <w:r>
              <w:rPr>
                <w:sz w:val="21"/>
              </w:rPr>
              <w:t>高瓦斯矿井当年抽</w:t>
            </w:r>
          </w:p>
          <w:p>
            <w:pPr>
              <w:pStyle w:val="14"/>
              <w:spacing w:before="57"/>
              <w:ind w:left="38" w:right="24"/>
              <w:rPr>
                <w:sz w:val="21"/>
              </w:rPr>
            </w:pPr>
            <w:r>
              <w:rPr>
                <w:sz w:val="21"/>
              </w:rPr>
              <w:t>采瓦斯利用率</w:t>
            </w:r>
          </w:p>
        </w:tc>
        <w:tc>
          <w:tcPr>
            <w:tcW w:w="835" w:type="dxa"/>
            <w:tcBorders>
              <w:top w:val="single" w:color="000000" w:sz="4" w:space="0"/>
              <w:left w:val="single" w:color="000000" w:sz="4" w:space="0"/>
              <w:bottom w:val="single" w:color="000000" w:sz="4" w:space="0"/>
              <w:right w:val="single" w:color="000000" w:sz="4" w:space="0"/>
            </w:tcBorders>
          </w:tcPr>
          <w:p>
            <w:pPr>
              <w:pStyle w:val="14"/>
              <w:spacing w:before="179"/>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4"/>
              <w:spacing w:before="179"/>
              <w:ind w:left="266" w:right="248"/>
              <w:rPr>
                <w:rFonts w:ascii="Times New Roman"/>
                <w:sz w:val="21"/>
              </w:rPr>
            </w:pPr>
            <w:r>
              <w:rPr>
                <w:rFonts w:ascii="Times New Roman"/>
                <w:sz w:val="21"/>
              </w:rPr>
              <w:t>0.2</w:t>
            </w:r>
          </w:p>
        </w:tc>
        <w:tc>
          <w:tcPr>
            <w:tcW w:w="2641" w:type="dxa"/>
            <w:tcBorders>
              <w:top w:val="single" w:color="000000" w:sz="4" w:space="0"/>
              <w:left w:val="single" w:color="000000" w:sz="4" w:space="0"/>
              <w:bottom w:val="single" w:color="000000" w:sz="4" w:space="0"/>
              <w:right w:val="single" w:color="000000" w:sz="4" w:space="0"/>
            </w:tcBorders>
          </w:tcPr>
          <w:p>
            <w:pPr>
              <w:pStyle w:val="14"/>
              <w:spacing w:before="179"/>
              <w:ind w:left="778" w:right="758"/>
              <w:rPr>
                <w:rFonts w:ascii="Times New Roman" w:hAnsi="Times New Roman"/>
                <w:sz w:val="21"/>
              </w:rPr>
            </w:pPr>
            <w:r>
              <w:rPr>
                <w:rFonts w:ascii="Times New Roman" w:hAnsi="Times New Roman"/>
                <w:sz w:val="21"/>
              </w:rPr>
              <w:t>≥85</w:t>
            </w:r>
          </w:p>
        </w:tc>
        <w:tc>
          <w:tcPr>
            <w:tcW w:w="1879" w:type="dxa"/>
            <w:tcBorders>
              <w:top w:val="single" w:color="000000" w:sz="4" w:space="0"/>
              <w:left w:val="single" w:color="000000" w:sz="4" w:space="0"/>
              <w:bottom w:val="single" w:color="000000" w:sz="4" w:space="0"/>
              <w:right w:val="single" w:color="000000" w:sz="4" w:space="0"/>
            </w:tcBorders>
          </w:tcPr>
          <w:p>
            <w:pPr>
              <w:pStyle w:val="14"/>
              <w:spacing w:before="179"/>
              <w:ind w:left="397" w:right="380"/>
              <w:rPr>
                <w:rFonts w:ascii="Times New Roman" w:hAnsi="Times New Roman"/>
                <w:sz w:val="21"/>
              </w:rPr>
            </w:pPr>
            <w:r>
              <w:rPr>
                <w:rFonts w:ascii="Times New Roman" w:hAnsi="Times New Roman"/>
                <w:sz w:val="21"/>
              </w:rPr>
              <w:t>≥70</w:t>
            </w:r>
          </w:p>
        </w:tc>
        <w:tc>
          <w:tcPr>
            <w:tcW w:w="2021" w:type="dxa"/>
            <w:tcBorders>
              <w:top w:val="single" w:color="000000" w:sz="4" w:space="0"/>
              <w:left w:val="single" w:color="000000" w:sz="4" w:space="0"/>
              <w:bottom w:val="single" w:color="000000" w:sz="4" w:space="0"/>
              <w:right w:val="single" w:color="000000" w:sz="4" w:space="0"/>
            </w:tcBorders>
          </w:tcPr>
          <w:p>
            <w:pPr>
              <w:pStyle w:val="14"/>
              <w:spacing w:before="179"/>
              <w:ind w:left="468" w:right="449"/>
              <w:rPr>
                <w:rFonts w:ascii="Times New Roman" w:hAnsi="Times New Roman"/>
                <w:sz w:val="21"/>
              </w:rPr>
            </w:pPr>
            <w:r>
              <w:rPr>
                <w:rFonts w:ascii="Times New Roman" w:hAnsi="Times New Roman"/>
                <w:sz w:val="21"/>
              </w:rPr>
              <w:t>≥60</w:t>
            </w:r>
          </w:p>
        </w:tc>
        <w:tc>
          <w:tcPr>
            <w:tcW w:w="1165" w:type="dxa"/>
            <w:tcBorders>
              <w:top w:val="single" w:color="000000" w:sz="4" w:space="0"/>
              <w:left w:val="single" w:color="000000" w:sz="4" w:space="0"/>
              <w:bottom w:val="single" w:color="000000" w:sz="4" w:space="0"/>
            </w:tcBorders>
          </w:tcPr>
          <w:p>
            <w:pPr>
              <w:pStyle w:val="14"/>
              <w:spacing w:line="268" w:lineRule="exact"/>
              <w:ind w:left="60"/>
              <w:jc w:val="left"/>
              <w:rPr>
                <w:sz w:val="21"/>
              </w:rPr>
            </w:pPr>
            <w:r>
              <w:rPr>
                <w:sz w:val="21"/>
              </w:rPr>
              <w:t>本煤矿为低</w:t>
            </w:r>
          </w:p>
          <w:p>
            <w:pPr>
              <w:pStyle w:val="14"/>
              <w:spacing w:before="57"/>
              <w:ind w:left="163"/>
              <w:jc w:val="left"/>
              <w:rPr>
                <w:sz w:val="21"/>
              </w:rPr>
            </w:pPr>
            <w:r>
              <w:rPr>
                <w:sz w:val="21"/>
              </w:rPr>
              <w:t>瓦斯矿井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572" w:type="dxa"/>
            <w:tcBorders>
              <w:top w:val="single" w:color="000000" w:sz="4" w:space="0"/>
              <w:bottom w:val="single" w:color="000000" w:sz="4" w:space="0"/>
              <w:right w:val="single" w:color="000000" w:sz="4" w:space="0"/>
            </w:tcBorders>
          </w:tcPr>
          <w:p>
            <w:pPr>
              <w:pStyle w:val="14"/>
              <w:spacing w:before="180"/>
              <w:ind w:left="56" w:right="38"/>
              <w:rPr>
                <w:rFonts w:ascii="Times New Roman"/>
                <w:sz w:val="21"/>
              </w:rPr>
            </w:pPr>
            <w:r>
              <w:rPr>
                <w:rFonts w:ascii="Times New Roman"/>
                <w:sz w:val="21"/>
              </w:rPr>
              <w:t>24</w:t>
            </w:r>
          </w:p>
        </w:tc>
        <w:tc>
          <w:tcPr>
            <w:tcW w:w="1090" w:type="dxa"/>
            <w:vMerge w:val="restart"/>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p>
            <w:pPr>
              <w:pStyle w:val="14"/>
              <w:jc w:val="left"/>
              <w:rPr>
                <w:rFonts w:ascii="Times New Roman"/>
                <w:sz w:val="20"/>
              </w:rPr>
            </w:pPr>
          </w:p>
          <w:p>
            <w:pPr>
              <w:pStyle w:val="14"/>
              <w:spacing w:before="4"/>
              <w:jc w:val="left"/>
              <w:rPr>
                <w:rFonts w:ascii="Times New Roman"/>
                <w:sz w:val="19"/>
              </w:rPr>
            </w:pPr>
          </w:p>
          <w:p>
            <w:pPr>
              <w:pStyle w:val="14"/>
              <w:spacing w:line="290" w:lineRule="auto"/>
              <w:ind w:left="129" w:right="5" w:hanging="106"/>
              <w:jc w:val="left"/>
              <w:rPr>
                <w:sz w:val="21"/>
              </w:rPr>
            </w:pPr>
            <w:r>
              <w:rPr>
                <w:sz w:val="21"/>
              </w:rPr>
              <w:t>（四）生态环境指标</w:t>
            </w:r>
          </w:p>
        </w:tc>
        <w:tc>
          <w:tcPr>
            <w:tcW w:w="1068" w:type="dxa"/>
            <w:vMerge w:val="restart"/>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2"/>
              </w:rPr>
            </w:pPr>
          </w:p>
          <w:p>
            <w:pPr>
              <w:pStyle w:val="14"/>
              <w:jc w:val="left"/>
              <w:rPr>
                <w:rFonts w:ascii="Times New Roman"/>
                <w:sz w:val="22"/>
              </w:rPr>
            </w:pPr>
          </w:p>
          <w:p>
            <w:pPr>
              <w:pStyle w:val="14"/>
              <w:spacing w:before="2"/>
              <w:jc w:val="left"/>
              <w:rPr>
                <w:rFonts w:ascii="Times New Roman"/>
                <w:sz w:val="31"/>
              </w:rPr>
            </w:pPr>
          </w:p>
          <w:p>
            <w:pPr>
              <w:pStyle w:val="14"/>
              <w:ind w:left="354"/>
              <w:jc w:val="left"/>
              <w:rPr>
                <w:rFonts w:ascii="Times New Roman"/>
                <w:sz w:val="21"/>
              </w:rPr>
            </w:pPr>
            <w:r>
              <w:rPr>
                <w:rFonts w:ascii="Times New Roman"/>
                <w:sz w:val="21"/>
              </w:rPr>
              <w:t>0.15</w:t>
            </w:r>
          </w:p>
        </w:tc>
        <w:tc>
          <w:tcPr>
            <w:tcW w:w="1818" w:type="dxa"/>
            <w:gridSpan w:val="2"/>
            <w:tcBorders>
              <w:top w:val="single" w:color="000000" w:sz="4" w:space="0"/>
              <w:left w:val="single" w:color="000000" w:sz="4" w:space="0"/>
              <w:bottom w:val="single" w:color="000000" w:sz="4" w:space="0"/>
              <w:right w:val="single" w:color="000000" w:sz="4" w:space="0"/>
            </w:tcBorders>
          </w:tcPr>
          <w:p>
            <w:pPr>
              <w:pStyle w:val="14"/>
              <w:spacing w:before="1"/>
              <w:ind w:left="44" w:right="21"/>
              <w:rPr>
                <w:sz w:val="21"/>
              </w:rPr>
            </w:pPr>
            <w:r>
              <w:rPr>
                <w:spacing w:val="-11"/>
                <w:w w:val="95"/>
                <w:sz w:val="21"/>
              </w:rPr>
              <w:t>煤矸石、煤泥、粉煤</w:t>
            </w:r>
          </w:p>
          <w:p>
            <w:pPr>
              <w:pStyle w:val="14"/>
              <w:spacing w:before="57"/>
              <w:ind w:left="38" w:right="24"/>
              <w:rPr>
                <w:sz w:val="21"/>
              </w:rPr>
            </w:pPr>
            <w:r>
              <w:rPr>
                <w:sz w:val="21"/>
              </w:rPr>
              <w:t>灰安全处置率</w:t>
            </w:r>
          </w:p>
        </w:tc>
        <w:tc>
          <w:tcPr>
            <w:tcW w:w="835" w:type="dxa"/>
            <w:tcBorders>
              <w:top w:val="single" w:color="000000" w:sz="4" w:space="0"/>
              <w:left w:val="single" w:color="000000" w:sz="4" w:space="0"/>
              <w:bottom w:val="single" w:color="000000" w:sz="4" w:space="0"/>
              <w:right w:val="single" w:color="000000" w:sz="4" w:space="0"/>
            </w:tcBorders>
          </w:tcPr>
          <w:p>
            <w:pPr>
              <w:pStyle w:val="14"/>
              <w:spacing w:before="180"/>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4"/>
              <w:spacing w:before="180"/>
              <w:ind w:left="266" w:right="248"/>
              <w:rPr>
                <w:rFonts w:ascii="Times New Roman"/>
                <w:sz w:val="21"/>
              </w:rPr>
            </w:pPr>
            <w:r>
              <w:rPr>
                <w:rFonts w:ascii="Times New Roman"/>
                <w:sz w:val="21"/>
              </w:rPr>
              <w:t>0.15</w:t>
            </w:r>
          </w:p>
        </w:tc>
        <w:tc>
          <w:tcPr>
            <w:tcW w:w="2641" w:type="dxa"/>
            <w:tcBorders>
              <w:top w:val="single" w:color="000000" w:sz="4" w:space="0"/>
              <w:left w:val="single" w:color="000000" w:sz="4" w:space="0"/>
              <w:bottom w:val="single" w:color="000000" w:sz="4" w:space="0"/>
              <w:right w:val="single" w:color="000000" w:sz="4" w:space="0"/>
            </w:tcBorders>
          </w:tcPr>
          <w:p>
            <w:pPr>
              <w:pStyle w:val="14"/>
              <w:spacing w:before="180"/>
              <w:ind w:left="778" w:right="758"/>
              <w:rPr>
                <w:rFonts w:ascii="Times New Roman"/>
                <w:sz w:val="21"/>
              </w:rPr>
            </w:pPr>
            <w:r>
              <w:rPr>
                <w:rFonts w:ascii="Times New Roman"/>
                <w:sz w:val="21"/>
              </w:rPr>
              <w:t>100</w:t>
            </w:r>
          </w:p>
        </w:tc>
        <w:tc>
          <w:tcPr>
            <w:tcW w:w="1879" w:type="dxa"/>
            <w:tcBorders>
              <w:top w:val="single" w:color="000000" w:sz="4" w:space="0"/>
              <w:left w:val="single" w:color="000000" w:sz="4" w:space="0"/>
              <w:bottom w:val="single" w:color="000000" w:sz="4" w:space="0"/>
              <w:right w:val="single" w:color="000000" w:sz="4" w:space="0"/>
            </w:tcBorders>
          </w:tcPr>
          <w:p>
            <w:pPr>
              <w:pStyle w:val="14"/>
              <w:spacing w:before="180"/>
              <w:ind w:left="397" w:right="376"/>
              <w:rPr>
                <w:rFonts w:ascii="Times New Roman"/>
                <w:sz w:val="21"/>
              </w:rPr>
            </w:pPr>
            <w:r>
              <w:rPr>
                <w:rFonts w:ascii="Times New Roman"/>
                <w:sz w:val="21"/>
              </w:rPr>
              <w:t>100</w:t>
            </w:r>
          </w:p>
        </w:tc>
        <w:tc>
          <w:tcPr>
            <w:tcW w:w="2021" w:type="dxa"/>
            <w:tcBorders>
              <w:top w:val="single" w:color="000000" w:sz="4" w:space="0"/>
              <w:left w:val="single" w:color="000000" w:sz="4" w:space="0"/>
              <w:bottom w:val="single" w:color="000000" w:sz="4" w:space="0"/>
              <w:right w:val="single" w:color="000000" w:sz="4" w:space="0"/>
            </w:tcBorders>
          </w:tcPr>
          <w:p>
            <w:pPr>
              <w:pStyle w:val="14"/>
              <w:spacing w:before="180"/>
              <w:ind w:left="468" w:right="449"/>
              <w:rPr>
                <w:rFonts w:ascii="Times New Roman"/>
                <w:sz w:val="21"/>
              </w:rPr>
            </w:pPr>
            <w:r>
              <w:rPr>
                <w:rFonts w:ascii="Times New Roman"/>
                <w:sz w:val="21"/>
              </w:rPr>
              <w:t>100</w:t>
            </w:r>
          </w:p>
        </w:tc>
        <w:tc>
          <w:tcPr>
            <w:tcW w:w="1165" w:type="dxa"/>
            <w:tcBorders>
              <w:top w:val="single" w:color="000000" w:sz="4" w:space="0"/>
              <w:left w:val="single" w:color="000000" w:sz="4" w:space="0"/>
              <w:bottom w:val="single" w:color="000000" w:sz="4" w:space="0"/>
            </w:tcBorders>
          </w:tcPr>
          <w:p>
            <w:pPr>
              <w:pStyle w:val="14"/>
              <w:spacing w:before="180"/>
              <w:ind w:left="24" w:right="4"/>
              <w:rPr>
                <w:rFonts w:ascii="Times New Roman"/>
                <w:sz w:val="21"/>
              </w:rPr>
            </w:pPr>
            <w:r>
              <w:rPr>
                <w:rFonts w:ascii="Times New Roman"/>
                <w:sz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1" w:hRule="atLeast"/>
        </w:trPr>
        <w:tc>
          <w:tcPr>
            <w:tcW w:w="572" w:type="dxa"/>
            <w:tcBorders>
              <w:top w:val="single" w:color="000000" w:sz="4" w:space="0"/>
              <w:bottom w:val="single" w:color="000000" w:sz="4" w:space="0"/>
              <w:right w:val="single" w:color="000000" w:sz="4" w:space="0"/>
            </w:tcBorders>
          </w:tcPr>
          <w:p>
            <w:pPr>
              <w:pStyle w:val="14"/>
              <w:spacing w:before="23"/>
              <w:ind w:left="56" w:right="38"/>
              <w:rPr>
                <w:rFonts w:ascii="Times New Roman"/>
                <w:sz w:val="21"/>
              </w:rPr>
            </w:pPr>
            <w:r>
              <w:rPr>
                <w:rFonts w:ascii="Times New Roman"/>
                <w:sz w:val="21"/>
              </w:rPr>
              <w:t>25</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4"/>
              <w:spacing w:before="6"/>
              <w:ind w:left="282"/>
              <w:jc w:val="left"/>
              <w:rPr>
                <w:sz w:val="21"/>
              </w:rPr>
            </w:pPr>
            <w:r>
              <w:rPr>
                <w:sz w:val="21"/>
              </w:rPr>
              <w:t>沉陷区治理率</w:t>
            </w:r>
          </w:p>
        </w:tc>
        <w:tc>
          <w:tcPr>
            <w:tcW w:w="835" w:type="dxa"/>
            <w:tcBorders>
              <w:top w:val="single" w:color="000000" w:sz="4" w:space="0"/>
              <w:left w:val="single" w:color="000000" w:sz="4" w:space="0"/>
              <w:bottom w:val="single" w:color="000000" w:sz="4" w:space="0"/>
              <w:right w:val="single" w:color="000000" w:sz="4" w:space="0"/>
            </w:tcBorders>
          </w:tcPr>
          <w:p>
            <w:pPr>
              <w:pStyle w:val="14"/>
              <w:spacing w:before="23"/>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4"/>
              <w:spacing w:before="23"/>
              <w:ind w:left="266" w:right="248"/>
              <w:rPr>
                <w:rFonts w:ascii="Times New Roman"/>
                <w:sz w:val="21"/>
              </w:rPr>
            </w:pPr>
            <w:r>
              <w:rPr>
                <w:rFonts w:ascii="Times New Roman"/>
                <w:sz w:val="21"/>
              </w:rPr>
              <w:t>0.15</w:t>
            </w:r>
          </w:p>
        </w:tc>
        <w:tc>
          <w:tcPr>
            <w:tcW w:w="2641" w:type="dxa"/>
            <w:tcBorders>
              <w:top w:val="single" w:color="000000" w:sz="4" w:space="0"/>
              <w:left w:val="single" w:color="000000" w:sz="4" w:space="0"/>
              <w:bottom w:val="single" w:color="000000" w:sz="4" w:space="0"/>
              <w:right w:val="single" w:color="000000" w:sz="4" w:space="0"/>
            </w:tcBorders>
          </w:tcPr>
          <w:p>
            <w:pPr>
              <w:pStyle w:val="14"/>
              <w:spacing w:before="23"/>
              <w:ind w:left="778" w:right="758"/>
              <w:rPr>
                <w:rFonts w:ascii="Times New Roman"/>
                <w:sz w:val="21"/>
              </w:rPr>
            </w:pPr>
            <w:r>
              <w:rPr>
                <w:rFonts w:ascii="Times New Roman"/>
                <w:sz w:val="21"/>
              </w:rPr>
              <w:t>90</w:t>
            </w:r>
          </w:p>
        </w:tc>
        <w:tc>
          <w:tcPr>
            <w:tcW w:w="1879" w:type="dxa"/>
            <w:tcBorders>
              <w:top w:val="single" w:color="000000" w:sz="4" w:space="0"/>
              <w:left w:val="single" w:color="000000" w:sz="4" w:space="0"/>
              <w:bottom w:val="single" w:color="000000" w:sz="4" w:space="0"/>
              <w:right w:val="single" w:color="000000" w:sz="4" w:space="0"/>
            </w:tcBorders>
          </w:tcPr>
          <w:p>
            <w:pPr>
              <w:pStyle w:val="14"/>
              <w:spacing w:before="23"/>
              <w:ind w:left="397" w:right="380"/>
              <w:rPr>
                <w:rFonts w:ascii="Times New Roman"/>
                <w:sz w:val="21"/>
              </w:rPr>
            </w:pPr>
            <w:r>
              <w:rPr>
                <w:rFonts w:ascii="Times New Roman"/>
                <w:sz w:val="21"/>
              </w:rPr>
              <w:t>80</w:t>
            </w:r>
          </w:p>
        </w:tc>
        <w:tc>
          <w:tcPr>
            <w:tcW w:w="2021" w:type="dxa"/>
            <w:tcBorders>
              <w:top w:val="single" w:color="000000" w:sz="4" w:space="0"/>
              <w:left w:val="single" w:color="000000" w:sz="4" w:space="0"/>
              <w:bottom w:val="single" w:color="000000" w:sz="4" w:space="0"/>
              <w:right w:val="single" w:color="000000" w:sz="4" w:space="0"/>
            </w:tcBorders>
          </w:tcPr>
          <w:p>
            <w:pPr>
              <w:pStyle w:val="14"/>
              <w:spacing w:before="23"/>
              <w:ind w:left="468" w:right="449"/>
              <w:rPr>
                <w:rFonts w:ascii="Times New Roman"/>
                <w:sz w:val="21"/>
              </w:rPr>
            </w:pPr>
            <w:r>
              <w:rPr>
                <w:rFonts w:ascii="Times New Roman"/>
                <w:sz w:val="21"/>
              </w:rPr>
              <w:t>70</w:t>
            </w:r>
          </w:p>
        </w:tc>
        <w:tc>
          <w:tcPr>
            <w:tcW w:w="1165" w:type="dxa"/>
            <w:tcBorders>
              <w:top w:val="single" w:color="000000" w:sz="4" w:space="0"/>
              <w:left w:val="single" w:color="000000" w:sz="4" w:space="0"/>
              <w:bottom w:val="single" w:color="000000" w:sz="4" w:space="0"/>
            </w:tcBorders>
          </w:tcPr>
          <w:p>
            <w:pPr>
              <w:pStyle w:val="14"/>
              <w:spacing w:before="23"/>
              <w:ind w:left="24" w:right="4"/>
              <w:rPr>
                <w:rFonts w:ascii="Times New Roman"/>
                <w:sz w:val="21"/>
              </w:rPr>
            </w:pPr>
            <w:r>
              <w:rPr>
                <w:rFonts w:ascii="Times New Roman"/>
                <w:sz w:val="21"/>
              </w:rPr>
              <w:t>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trPr>
        <w:tc>
          <w:tcPr>
            <w:tcW w:w="572" w:type="dxa"/>
            <w:tcBorders>
              <w:top w:val="single" w:color="000000" w:sz="4" w:space="0"/>
              <w:bottom w:val="single" w:color="000000" w:sz="4" w:space="0"/>
              <w:right w:val="single" w:color="000000" w:sz="4" w:space="0"/>
            </w:tcBorders>
          </w:tcPr>
          <w:p>
            <w:pPr>
              <w:pStyle w:val="14"/>
              <w:spacing w:before="181"/>
              <w:ind w:left="56" w:right="38"/>
              <w:rPr>
                <w:rFonts w:ascii="Times New Roman"/>
                <w:sz w:val="21"/>
              </w:rPr>
            </w:pPr>
            <w:r>
              <w:rPr>
                <w:rFonts w:ascii="Times New Roman"/>
                <w:sz w:val="21"/>
              </w:rPr>
              <w:t>26</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4"/>
              <w:spacing w:line="268" w:lineRule="exact"/>
              <w:ind w:left="41" w:right="24"/>
              <w:rPr>
                <w:sz w:val="21"/>
              </w:rPr>
            </w:pPr>
            <w:r>
              <w:rPr>
                <w:rFonts w:ascii="Times New Roman" w:eastAsia="Times New Roman"/>
                <w:w w:val="95"/>
                <w:sz w:val="21"/>
              </w:rPr>
              <w:t>*</w:t>
            </w:r>
            <w:r>
              <w:rPr>
                <w:w w:val="95"/>
                <w:sz w:val="21"/>
              </w:rPr>
              <w:t>塌陷稳定后土地复</w:t>
            </w:r>
          </w:p>
          <w:p>
            <w:pPr>
              <w:pStyle w:val="14"/>
              <w:spacing w:before="57"/>
              <w:ind w:left="38" w:right="24"/>
              <w:rPr>
                <w:sz w:val="21"/>
              </w:rPr>
            </w:pPr>
            <w:r>
              <w:rPr>
                <w:sz w:val="21"/>
              </w:rPr>
              <w:t>垦率</w:t>
            </w:r>
          </w:p>
        </w:tc>
        <w:tc>
          <w:tcPr>
            <w:tcW w:w="835" w:type="dxa"/>
            <w:tcBorders>
              <w:top w:val="single" w:color="000000" w:sz="4" w:space="0"/>
              <w:left w:val="single" w:color="000000" w:sz="4" w:space="0"/>
              <w:bottom w:val="single" w:color="000000" w:sz="4" w:space="0"/>
              <w:right w:val="single" w:color="000000" w:sz="4" w:space="0"/>
            </w:tcBorders>
          </w:tcPr>
          <w:p>
            <w:pPr>
              <w:pStyle w:val="14"/>
              <w:spacing w:before="181"/>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4"/>
              <w:spacing w:before="181"/>
              <w:ind w:left="266" w:right="248"/>
              <w:rPr>
                <w:rFonts w:ascii="Times New Roman"/>
                <w:sz w:val="21"/>
              </w:rPr>
            </w:pPr>
            <w:r>
              <w:rPr>
                <w:rFonts w:ascii="Times New Roman"/>
                <w:sz w:val="21"/>
              </w:rPr>
              <w:t>0.2</w:t>
            </w:r>
          </w:p>
        </w:tc>
        <w:tc>
          <w:tcPr>
            <w:tcW w:w="2641" w:type="dxa"/>
            <w:tcBorders>
              <w:top w:val="single" w:color="000000" w:sz="4" w:space="0"/>
              <w:left w:val="single" w:color="000000" w:sz="4" w:space="0"/>
              <w:bottom w:val="single" w:color="000000" w:sz="4" w:space="0"/>
              <w:right w:val="single" w:color="000000" w:sz="4" w:space="0"/>
            </w:tcBorders>
          </w:tcPr>
          <w:p>
            <w:pPr>
              <w:pStyle w:val="14"/>
              <w:spacing w:before="181"/>
              <w:ind w:left="778" w:right="758"/>
              <w:rPr>
                <w:rFonts w:ascii="Times New Roman" w:hAnsi="Times New Roman"/>
                <w:sz w:val="21"/>
              </w:rPr>
            </w:pPr>
            <w:r>
              <w:rPr>
                <w:rFonts w:ascii="Times New Roman" w:hAnsi="Times New Roman"/>
                <w:sz w:val="21"/>
              </w:rPr>
              <w:t>≥80</w:t>
            </w:r>
          </w:p>
        </w:tc>
        <w:tc>
          <w:tcPr>
            <w:tcW w:w="1879" w:type="dxa"/>
            <w:tcBorders>
              <w:top w:val="single" w:color="000000" w:sz="4" w:space="0"/>
              <w:left w:val="single" w:color="000000" w:sz="4" w:space="0"/>
              <w:bottom w:val="single" w:color="000000" w:sz="4" w:space="0"/>
              <w:right w:val="single" w:color="000000" w:sz="4" w:space="0"/>
            </w:tcBorders>
          </w:tcPr>
          <w:p>
            <w:pPr>
              <w:pStyle w:val="14"/>
              <w:spacing w:before="181"/>
              <w:ind w:left="397" w:right="380"/>
              <w:rPr>
                <w:rFonts w:ascii="Times New Roman" w:hAnsi="Times New Roman"/>
                <w:sz w:val="21"/>
              </w:rPr>
            </w:pPr>
            <w:r>
              <w:rPr>
                <w:rFonts w:ascii="Times New Roman" w:hAnsi="Times New Roman"/>
                <w:sz w:val="21"/>
              </w:rPr>
              <w:t>≥75</w:t>
            </w:r>
          </w:p>
        </w:tc>
        <w:tc>
          <w:tcPr>
            <w:tcW w:w="2021" w:type="dxa"/>
            <w:tcBorders>
              <w:top w:val="single" w:color="000000" w:sz="4" w:space="0"/>
              <w:left w:val="single" w:color="000000" w:sz="4" w:space="0"/>
              <w:bottom w:val="single" w:color="000000" w:sz="4" w:space="0"/>
              <w:right w:val="single" w:color="000000" w:sz="4" w:space="0"/>
            </w:tcBorders>
          </w:tcPr>
          <w:p>
            <w:pPr>
              <w:pStyle w:val="14"/>
              <w:spacing w:before="181"/>
              <w:ind w:left="468" w:right="449"/>
              <w:rPr>
                <w:rFonts w:ascii="Times New Roman" w:hAnsi="Times New Roman"/>
                <w:sz w:val="21"/>
              </w:rPr>
            </w:pPr>
            <w:r>
              <w:rPr>
                <w:rFonts w:ascii="Times New Roman" w:hAnsi="Times New Roman"/>
                <w:sz w:val="21"/>
              </w:rPr>
              <w:t>≥70</w:t>
            </w:r>
          </w:p>
        </w:tc>
        <w:tc>
          <w:tcPr>
            <w:tcW w:w="1165" w:type="dxa"/>
            <w:tcBorders>
              <w:top w:val="single" w:color="000000" w:sz="4" w:space="0"/>
              <w:left w:val="single" w:color="000000" w:sz="4" w:space="0"/>
              <w:bottom w:val="single" w:color="000000" w:sz="4" w:space="0"/>
            </w:tcBorders>
          </w:tcPr>
          <w:p>
            <w:pPr>
              <w:pStyle w:val="14"/>
              <w:spacing w:before="181"/>
              <w:ind w:left="21" w:right="5"/>
              <w:rPr>
                <w:rFonts w:ascii="Times New Roman" w:hAnsi="Times New Roman"/>
                <w:sz w:val="21"/>
              </w:rPr>
            </w:pPr>
            <w:r>
              <w:rPr>
                <w:rFonts w:ascii="Times New Roman" w:hAnsi="Times New Roman"/>
                <w:sz w:val="21"/>
              </w:rPr>
              <w:t>≥80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72" w:type="dxa"/>
            <w:tcBorders>
              <w:top w:val="single" w:color="000000" w:sz="4" w:space="0"/>
              <w:bottom w:val="single" w:color="000000" w:sz="4" w:space="0"/>
              <w:right w:val="single" w:color="000000" w:sz="4" w:space="0"/>
            </w:tcBorders>
          </w:tcPr>
          <w:p>
            <w:pPr>
              <w:pStyle w:val="14"/>
              <w:spacing w:before="24"/>
              <w:ind w:left="56" w:right="38"/>
              <w:rPr>
                <w:rFonts w:ascii="Times New Roman"/>
                <w:sz w:val="21"/>
              </w:rPr>
            </w:pPr>
            <w:r>
              <w:rPr>
                <w:rFonts w:ascii="Times New Roman"/>
                <w:sz w:val="21"/>
              </w:rPr>
              <w:t>27</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4"/>
              <w:spacing w:before="8"/>
              <w:ind w:left="179"/>
              <w:jc w:val="left"/>
              <w:rPr>
                <w:sz w:val="21"/>
              </w:rPr>
            </w:pPr>
            <w:r>
              <w:rPr>
                <w:sz w:val="21"/>
              </w:rPr>
              <w:t>工业广场绿化率</w:t>
            </w:r>
          </w:p>
        </w:tc>
        <w:tc>
          <w:tcPr>
            <w:tcW w:w="835" w:type="dxa"/>
            <w:tcBorders>
              <w:top w:val="single" w:color="000000" w:sz="4" w:space="0"/>
              <w:left w:val="single" w:color="000000" w:sz="4" w:space="0"/>
              <w:bottom w:val="single" w:color="000000" w:sz="4" w:space="0"/>
              <w:right w:val="single" w:color="000000" w:sz="4" w:space="0"/>
            </w:tcBorders>
          </w:tcPr>
          <w:p>
            <w:pPr>
              <w:pStyle w:val="14"/>
              <w:spacing w:before="24"/>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4"/>
              <w:spacing w:before="24"/>
              <w:ind w:left="266" w:right="248"/>
              <w:rPr>
                <w:rFonts w:ascii="Times New Roman"/>
                <w:sz w:val="21"/>
              </w:rPr>
            </w:pPr>
            <w:r>
              <w:rPr>
                <w:rFonts w:ascii="Times New Roman"/>
                <w:sz w:val="21"/>
              </w:rPr>
              <w:t>0.15</w:t>
            </w:r>
          </w:p>
        </w:tc>
        <w:tc>
          <w:tcPr>
            <w:tcW w:w="2641" w:type="dxa"/>
            <w:tcBorders>
              <w:top w:val="single" w:color="000000" w:sz="4" w:space="0"/>
              <w:left w:val="single" w:color="000000" w:sz="4" w:space="0"/>
              <w:bottom w:val="single" w:color="000000" w:sz="4" w:space="0"/>
              <w:right w:val="single" w:color="000000" w:sz="4" w:space="0"/>
            </w:tcBorders>
          </w:tcPr>
          <w:p>
            <w:pPr>
              <w:pStyle w:val="14"/>
              <w:spacing w:before="24"/>
              <w:ind w:left="778" w:right="758"/>
              <w:rPr>
                <w:rFonts w:ascii="Times New Roman" w:hAnsi="Times New Roman"/>
                <w:sz w:val="21"/>
              </w:rPr>
            </w:pPr>
            <w:r>
              <w:rPr>
                <w:rFonts w:ascii="Times New Roman" w:hAnsi="Times New Roman"/>
                <w:sz w:val="21"/>
              </w:rPr>
              <w:t>≥30</w:t>
            </w:r>
          </w:p>
        </w:tc>
        <w:tc>
          <w:tcPr>
            <w:tcW w:w="1879" w:type="dxa"/>
            <w:tcBorders>
              <w:top w:val="single" w:color="000000" w:sz="4" w:space="0"/>
              <w:left w:val="single" w:color="000000" w:sz="4" w:space="0"/>
              <w:bottom w:val="single" w:color="000000" w:sz="4" w:space="0"/>
              <w:right w:val="single" w:color="000000" w:sz="4" w:space="0"/>
            </w:tcBorders>
          </w:tcPr>
          <w:p>
            <w:pPr>
              <w:pStyle w:val="14"/>
              <w:spacing w:before="24"/>
              <w:ind w:left="397" w:right="380"/>
              <w:rPr>
                <w:rFonts w:ascii="Times New Roman" w:hAnsi="Times New Roman"/>
                <w:sz w:val="21"/>
              </w:rPr>
            </w:pPr>
            <w:r>
              <w:rPr>
                <w:rFonts w:ascii="Times New Roman" w:hAnsi="Times New Roman"/>
                <w:sz w:val="21"/>
              </w:rPr>
              <w:t>≥25</w:t>
            </w:r>
          </w:p>
        </w:tc>
        <w:tc>
          <w:tcPr>
            <w:tcW w:w="2021" w:type="dxa"/>
            <w:tcBorders>
              <w:top w:val="single" w:color="000000" w:sz="4" w:space="0"/>
              <w:left w:val="single" w:color="000000" w:sz="4" w:space="0"/>
              <w:bottom w:val="single" w:color="000000" w:sz="4" w:space="0"/>
              <w:right w:val="single" w:color="000000" w:sz="4" w:space="0"/>
            </w:tcBorders>
          </w:tcPr>
          <w:p>
            <w:pPr>
              <w:pStyle w:val="14"/>
              <w:spacing w:before="24"/>
              <w:ind w:left="468" w:right="449"/>
              <w:rPr>
                <w:rFonts w:ascii="Times New Roman" w:hAnsi="Times New Roman"/>
                <w:sz w:val="21"/>
              </w:rPr>
            </w:pPr>
            <w:r>
              <w:rPr>
                <w:rFonts w:ascii="Times New Roman" w:hAnsi="Times New Roman"/>
                <w:sz w:val="21"/>
              </w:rPr>
              <w:t>≥20</w:t>
            </w:r>
          </w:p>
        </w:tc>
        <w:tc>
          <w:tcPr>
            <w:tcW w:w="1165" w:type="dxa"/>
            <w:tcBorders>
              <w:top w:val="single" w:color="000000" w:sz="4" w:space="0"/>
              <w:left w:val="single" w:color="000000" w:sz="4" w:space="0"/>
              <w:bottom w:val="single" w:color="000000" w:sz="4" w:space="0"/>
            </w:tcBorders>
          </w:tcPr>
          <w:p>
            <w:pPr>
              <w:pStyle w:val="14"/>
              <w:spacing w:before="24"/>
              <w:ind w:left="21" w:right="5"/>
              <w:rPr>
                <w:rFonts w:ascii="Times New Roman" w:hAnsi="Times New Roman"/>
                <w:sz w:val="21"/>
              </w:rPr>
            </w:pPr>
            <w:r>
              <w:rPr>
                <w:rFonts w:ascii="Times New Roman" w:hAnsi="Times New Roman"/>
                <w:sz w:val="21"/>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2" w:hRule="atLeast"/>
        </w:trPr>
        <w:tc>
          <w:tcPr>
            <w:tcW w:w="572" w:type="dxa"/>
            <w:tcBorders>
              <w:top w:val="single" w:color="000000" w:sz="4" w:space="0"/>
              <w:bottom w:val="single" w:color="000000" w:sz="4" w:space="0"/>
              <w:right w:val="single" w:color="000000" w:sz="4" w:space="0"/>
            </w:tcBorders>
          </w:tcPr>
          <w:p>
            <w:pPr>
              <w:pStyle w:val="14"/>
              <w:jc w:val="left"/>
              <w:rPr>
                <w:rFonts w:ascii="Times New Roman"/>
                <w:sz w:val="22"/>
              </w:rPr>
            </w:pPr>
          </w:p>
          <w:p>
            <w:pPr>
              <w:pStyle w:val="14"/>
              <w:spacing w:before="1"/>
              <w:jc w:val="left"/>
              <w:rPr>
                <w:rFonts w:ascii="Times New Roman"/>
                <w:sz w:val="22"/>
              </w:rPr>
            </w:pPr>
          </w:p>
          <w:p>
            <w:pPr>
              <w:pStyle w:val="14"/>
              <w:ind w:left="56" w:right="38"/>
              <w:rPr>
                <w:rFonts w:ascii="Times New Roman"/>
                <w:sz w:val="21"/>
              </w:rPr>
            </w:pPr>
            <w:r>
              <w:rPr>
                <w:rFonts w:ascii="Times New Roman"/>
                <w:sz w:val="21"/>
              </w:rPr>
              <w:t>28</w:t>
            </w:r>
          </w:p>
        </w:tc>
        <w:tc>
          <w:tcPr>
            <w:tcW w:w="1090" w:type="dxa"/>
            <w:vMerge w:val="restart"/>
            <w:tcBorders>
              <w:top w:val="single" w:color="000000" w:sz="4" w:space="0"/>
              <w:left w:val="single" w:color="000000" w:sz="4" w:space="0"/>
              <w:right w:val="single" w:color="000000" w:sz="4" w:space="0"/>
            </w:tcBorders>
          </w:tcPr>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spacing w:before="9"/>
              <w:jc w:val="left"/>
              <w:rPr>
                <w:rFonts w:ascii="Times New Roman"/>
                <w:sz w:val="19"/>
              </w:rPr>
            </w:pPr>
          </w:p>
          <w:p>
            <w:pPr>
              <w:pStyle w:val="14"/>
              <w:spacing w:before="1" w:line="290" w:lineRule="auto"/>
              <w:ind w:left="23" w:right="5"/>
              <w:rPr>
                <w:sz w:val="21"/>
              </w:rPr>
            </w:pPr>
            <w:r>
              <w:rPr>
                <w:sz w:val="21"/>
              </w:rPr>
              <w:t>（五）清洁生产管理指标</w:t>
            </w:r>
          </w:p>
        </w:tc>
        <w:tc>
          <w:tcPr>
            <w:tcW w:w="1068" w:type="dxa"/>
            <w:vMerge w:val="restart"/>
            <w:tcBorders>
              <w:top w:val="single" w:color="000000" w:sz="4" w:space="0"/>
              <w:left w:val="single" w:color="000000" w:sz="4" w:space="0"/>
              <w:right w:val="single" w:color="000000" w:sz="4" w:space="0"/>
            </w:tcBorders>
          </w:tcPr>
          <w:p>
            <w:pPr>
              <w:pStyle w:val="14"/>
              <w:jc w:val="left"/>
              <w:rPr>
                <w:rFonts w:ascii="Times New Roman"/>
                <w:sz w:val="22"/>
              </w:rPr>
            </w:pPr>
          </w:p>
          <w:p>
            <w:pPr>
              <w:pStyle w:val="14"/>
              <w:jc w:val="left"/>
              <w:rPr>
                <w:rFonts w:ascii="Times New Roman"/>
                <w:sz w:val="22"/>
              </w:rPr>
            </w:pPr>
          </w:p>
          <w:p>
            <w:pPr>
              <w:pStyle w:val="14"/>
              <w:jc w:val="left"/>
              <w:rPr>
                <w:rFonts w:ascii="Times New Roman"/>
                <w:sz w:val="22"/>
              </w:rPr>
            </w:pPr>
          </w:p>
          <w:p>
            <w:pPr>
              <w:pStyle w:val="14"/>
              <w:jc w:val="left"/>
              <w:rPr>
                <w:rFonts w:ascii="Times New Roman"/>
                <w:sz w:val="22"/>
              </w:rPr>
            </w:pPr>
          </w:p>
          <w:p>
            <w:pPr>
              <w:pStyle w:val="14"/>
              <w:jc w:val="left"/>
              <w:rPr>
                <w:rFonts w:ascii="Times New Roman"/>
                <w:sz w:val="22"/>
              </w:rPr>
            </w:pPr>
          </w:p>
          <w:p>
            <w:pPr>
              <w:pStyle w:val="14"/>
              <w:spacing w:before="10"/>
              <w:jc w:val="left"/>
              <w:rPr>
                <w:rFonts w:ascii="Times New Roman"/>
                <w:sz w:val="19"/>
              </w:rPr>
            </w:pPr>
          </w:p>
          <w:p>
            <w:pPr>
              <w:pStyle w:val="14"/>
              <w:ind w:left="354"/>
              <w:jc w:val="left"/>
              <w:rPr>
                <w:rFonts w:ascii="Times New Roman"/>
                <w:sz w:val="21"/>
              </w:rPr>
            </w:pPr>
            <w:r>
              <w:rPr>
                <w:rFonts w:ascii="Times New Roman"/>
                <w:sz w:val="21"/>
              </w:rPr>
              <w:t>0.25</w:t>
            </w:r>
          </w:p>
        </w:tc>
        <w:tc>
          <w:tcPr>
            <w:tcW w:w="1818" w:type="dxa"/>
            <w:gridSpan w:val="2"/>
            <w:tcBorders>
              <w:top w:val="single" w:color="000000" w:sz="4" w:space="0"/>
              <w:left w:val="single" w:color="000000" w:sz="4" w:space="0"/>
              <w:bottom w:val="single" w:color="000000" w:sz="4" w:space="0"/>
              <w:right w:val="single" w:color="000000" w:sz="4" w:space="0"/>
            </w:tcBorders>
          </w:tcPr>
          <w:p>
            <w:pPr>
              <w:pStyle w:val="14"/>
              <w:spacing w:before="5"/>
              <w:jc w:val="left"/>
              <w:rPr>
                <w:rFonts w:ascii="Times New Roman"/>
                <w:sz w:val="28"/>
              </w:rPr>
            </w:pPr>
          </w:p>
          <w:p>
            <w:pPr>
              <w:pStyle w:val="14"/>
              <w:spacing w:line="290" w:lineRule="auto"/>
              <w:ind w:left="388" w:right="1" w:hanging="368"/>
              <w:jc w:val="left"/>
              <w:rPr>
                <w:sz w:val="21"/>
              </w:rPr>
            </w:pPr>
            <w:r>
              <w:rPr>
                <w:rFonts w:ascii="Times New Roman" w:eastAsia="Times New Roman"/>
                <w:sz w:val="21"/>
              </w:rPr>
              <w:t>*</w:t>
            </w:r>
            <w:r>
              <w:rPr>
                <w:sz w:val="21"/>
              </w:rPr>
              <w:t>环境法律法规标准政策符合性</w:t>
            </w:r>
          </w:p>
        </w:tc>
        <w:tc>
          <w:tcPr>
            <w:tcW w:w="835"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p>
            <w:pPr>
              <w:pStyle w:val="14"/>
              <w:spacing w:before="7"/>
              <w:jc w:val="left"/>
              <w:rPr>
                <w:rFonts w:ascii="Times New Roman"/>
                <w:sz w:val="22"/>
              </w:rPr>
            </w:pPr>
          </w:p>
          <w:p>
            <w:pPr>
              <w:pStyle w:val="14"/>
              <w:spacing w:before="1"/>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2"/>
              </w:rPr>
            </w:pPr>
          </w:p>
          <w:p>
            <w:pPr>
              <w:pStyle w:val="14"/>
              <w:spacing w:before="1"/>
              <w:jc w:val="left"/>
              <w:rPr>
                <w:rFonts w:ascii="Times New Roman"/>
                <w:sz w:val="22"/>
              </w:rPr>
            </w:pPr>
          </w:p>
          <w:p>
            <w:pPr>
              <w:pStyle w:val="14"/>
              <w:ind w:left="266" w:right="248"/>
              <w:rPr>
                <w:rFonts w:ascii="Times New Roman"/>
                <w:sz w:val="21"/>
              </w:rPr>
            </w:pPr>
            <w:r>
              <w:rPr>
                <w:rFonts w:ascii="Times New Roman"/>
                <w:sz w:val="21"/>
              </w:rPr>
              <w:t>0.15</w:t>
            </w:r>
          </w:p>
        </w:tc>
        <w:tc>
          <w:tcPr>
            <w:tcW w:w="6541" w:type="dxa"/>
            <w:gridSpan w:val="3"/>
            <w:tcBorders>
              <w:top w:val="single" w:color="000000" w:sz="4" w:space="0"/>
              <w:left w:val="single" w:color="000000" w:sz="4" w:space="0"/>
              <w:bottom w:val="single" w:color="000000" w:sz="4" w:space="0"/>
              <w:right w:val="single" w:color="000000" w:sz="4" w:space="0"/>
            </w:tcBorders>
          </w:tcPr>
          <w:p>
            <w:pPr>
              <w:pStyle w:val="14"/>
              <w:spacing w:before="1" w:line="290" w:lineRule="auto"/>
              <w:ind w:left="8" w:right="-15"/>
              <w:jc w:val="both"/>
              <w:rPr>
                <w:sz w:val="21"/>
              </w:rPr>
            </w:pPr>
            <w:r>
              <w:rPr>
                <w:sz w:val="21"/>
              </w:rPr>
              <w:t>符合国家、地方和行业有关法律、法规、规范、产业政策、技术标准要求，污染物排放达到国家、地方和行业排放标准、满足污染物总量控制和排污许可证管理要求。建设项目环保手续齐全，严格执行国家关于煤</w:t>
            </w:r>
          </w:p>
          <w:p>
            <w:pPr>
              <w:pStyle w:val="14"/>
              <w:spacing w:before="2"/>
              <w:ind w:left="8"/>
              <w:jc w:val="left"/>
              <w:rPr>
                <w:sz w:val="21"/>
              </w:rPr>
            </w:pPr>
            <w:r>
              <w:rPr>
                <w:sz w:val="21"/>
              </w:rPr>
              <w:t>矿生产能力管理、淘汰落后产能的相关政策措施</w:t>
            </w:r>
          </w:p>
        </w:tc>
        <w:tc>
          <w:tcPr>
            <w:tcW w:w="1165" w:type="dxa"/>
            <w:tcBorders>
              <w:top w:val="single" w:color="000000" w:sz="4" w:space="0"/>
              <w:left w:val="single" w:color="000000" w:sz="4" w:space="0"/>
              <w:bottom w:val="single" w:color="000000" w:sz="4" w:space="0"/>
            </w:tcBorders>
          </w:tcPr>
          <w:p>
            <w:pPr>
              <w:pStyle w:val="14"/>
              <w:jc w:val="left"/>
              <w:rPr>
                <w:rFonts w:ascii="Times New Roman"/>
                <w:sz w:val="20"/>
              </w:rPr>
            </w:pPr>
          </w:p>
          <w:p>
            <w:pPr>
              <w:pStyle w:val="14"/>
              <w:spacing w:before="7"/>
              <w:jc w:val="left"/>
              <w:rPr>
                <w:rFonts w:ascii="Times New Roman"/>
                <w:sz w:val="22"/>
              </w:rPr>
            </w:pPr>
          </w:p>
          <w:p>
            <w:pPr>
              <w:pStyle w:val="14"/>
              <w:spacing w:before="1"/>
              <w:ind w:left="19" w:right="5"/>
              <w:rPr>
                <w:sz w:val="21"/>
              </w:rPr>
            </w:pPr>
            <w:r>
              <w:rPr>
                <w:sz w:val="21"/>
              </w:rPr>
              <w:t>符合要求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53" w:hRule="atLeast"/>
        </w:trPr>
        <w:tc>
          <w:tcPr>
            <w:tcW w:w="572" w:type="dxa"/>
            <w:tcBorders>
              <w:top w:val="single" w:color="000000" w:sz="4" w:space="0"/>
              <w:right w:val="single" w:color="000000" w:sz="4" w:space="0"/>
            </w:tcBorders>
          </w:tcPr>
          <w:p>
            <w:pPr>
              <w:pStyle w:val="14"/>
              <w:jc w:val="left"/>
              <w:rPr>
                <w:rFonts w:ascii="Times New Roman"/>
                <w:sz w:val="22"/>
              </w:rPr>
            </w:pPr>
          </w:p>
          <w:p>
            <w:pPr>
              <w:pStyle w:val="14"/>
              <w:jc w:val="left"/>
              <w:rPr>
                <w:rFonts w:ascii="Times New Roman"/>
                <w:sz w:val="22"/>
              </w:rPr>
            </w:pPr>
          </w:p>
          <w:p>
            <w:pPr>
              <w:pStyle w:val="14"/>
              <w:jc w:val="left"/>
              <w:rPr>
                <w:rFonts w:ascii="Times New Roman"/>
                <w:sz w:val="28"/>
              </w:rPr>
            </w:pPr>
          </w:p>
          <w:p>
            <w:pPr>
              <w:pStyle w:val="14"/>
              <w:ind w:left="56" w:right="38"/>
              <w:rPr>
                <w:rFonts w:ascii="Times New Roman"/>
                <w:sz w:val="21"/>
              </w:rPr>
            </w:pPr>
            <w:r>
              <w:rPr>
                <w:rFonts w:ascii="Times New Roman"/>
                <w:sz w:val="21"/>
              </w:rPr>
              <w:t>29</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right w:val="single" w:color="000000" w:sz="4" w:space="0"/>
            </w:tcBorders>
          </w:tcPr>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spacing w:before="122"/>
              <w:ind w:left="282"/>
              <w:jc w:val="left"/>
              <w:rPr>
                <w:sz w:val="21"/>
              </w:rPr>
            </w:pPr>
            <w:r>
              <w:rPr>
                <w:sz w:val="21"/>
              </w:rPr>
              <w:t>清洁生产管理</w:t>
            </w:r>
          </w:p>
        </w:tc>
        <w:tc>
          <w:tcPr>
            <w:tcW w:w="835" w:type="dxa"/>
            <w:tcBorders>
              <w:top w:val="single" w:color="000000" w:sz="4" w:space="0"/>
              <w:left w:val="single" w:color="000000" w:sz="4" w:space="0"/>
              <w:right w:val="single" w:color="000000" w:sz="4" w:space="0"/>
            </w:tcBorders>
          </w:tcPr>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spacing w:before="122"/>
              <w:ind w:left="18"/>
              <w:rPr>
                <w:sz w:val="21"/>
              </w:rPr>
            </w:pPr>
            <w:r>
              <w:rPr>
                <w:w w:val="99"/>
                <w:sz w:val="21"/>
              </w:rPr>
              <w:t>━</w:t>
            </w:r>
          </w:p>
        </w:tc>
        <w:tc>
          <w:tcPr>
            <w:tcW w:w="933" w:type="dxa"/>
            <w:tcBorders>
              <w:top w:val="single" w:color="000000" w:sz="4" w:space="0"/>
              <w:left w:val="single" w:color="000000" w:sz="4" w:space="0"/>
              <w:right w:val="single" w:color="000000" w:sz="4" w:space="0"/>
            </w:tcBorders>
          </w:tcPr>
          <w:p>
            <w:pPr>
              <w:pStyle w:val="14"/>
              <w:jc w:val="left"/>
              <w:rPr>
                <w:rFonts w:ascii="Times New Roman"/>
                <w:sz w:val="22"/>
              </w:rPr>
            </w:pPr>
          </w:p>
          <w:p>
            <w:pPr>
              <w:pStyle w:val="14"/>
              <w:jc w:val="left"/>
              <w:rPr>
                <w:rFonts w:ascii="Times New Roman"/>
                <w:sz w:val="22"/>
              </w:rPr>
            </w:pPr>
          </w:p>
          <w:p>
            <w:pPr>
              <w:pStyle w:val="14"/>
              <w:jc w:val="left"/>
              <w:rPr>
                <w:rFonts w:ascii="Times New Roman"/>
                <w:sz w:val="28"/>
              </w:rPr>
            </w:pPr>
          </w:p>
          <w:p>
            <w:pPr>
              <w:pStyle w:val="14"/>
              <w:ind w:left="266" w:right="248"/>
              <w:rPr>
                <w:rFonts w:ascii="Times New Roman"/>
                <w:sz w:val="21"/>
              </w:rPr>
            </w:pPr>
            <w:r>
              <w:rPr>
                <w:rFonts w:ascii="Times New Roman"/>
                <w:sz w:val="21"/>
              </w:rPr>
              <w:t>0.15</w:t>
            </w:r>
          </w:p>
        </w:tc>
        <w:tc>
          <w:tcPr>
            <w:tcW w:w="6541" w:type="dxa"/>
            <w:gridSpan w:val="3"/>
            <w:tcBorders>
              <w:top w:val="single" w:color="000000" w:sz="4" w:space="0"/>
              <w:left w:val="single" w:color="000000" w:sz="4" w:space="0"/>
              <w:right w:val="single" w:color="000000" w:sz="4" w:space="0"/>
            </w:tcBorders>
          </w:tcPr>
          <w:p>
            <w:pPr>
              <w:pStyle w:val="14"/>
              <w:spacing w:line="290" w:lineRule="auto"/>
              <w:ind w:left="8" w:right="-15"/>
              <w:jc w:val="both"/>
              <w:rPr>
                <w:sz w:val="21"/>
              </w:rPr>
            </w:pPr>
            <w:r>
              <w:rPr>
                <w:sz w:val="21"/>
              </w:rPr>
              <w:t>建有负责清洁生产的领导机构，各成员单位及主管人员职责分工明确； 有健全的清洁生产管理制度和奖励管理办法，有执行情况检查记录；制定有清洁生产工作规划及年度工作计划，对规划、计划提出的目标、指标、清洁生产方案，认真组织落实；资源、能源、环保设施运行统计台账齐全；建立、制定环境突发性事件应急预案（预案要通过相应环保部</w:t>
            </w:r>
          </w:p>
          <w:p>
            <w:pPr>
              <w:pStyle w:val="14"/>
              <w:spacing w:before="2"/>
              <w:ind w:left="8" w:right="-15"/>
              <w:jc w:val="left"/>
              <w:rPr>
                <w:sz w:val="21"/>
              </w:rPr>
            </w:pPr>
            <w:r>
              <w:rPr>
                <w:sz w:val="21"/>
              </w:rPr>
              <w:t>门备案）并定期演练。按行业无组织排放监管的相关政策要求，加强对</w:t>
            </w:r>
          </w:p>
        </w:tc>
        <w:tc>
          <w:tcPr>
            <w:tcW w:w="1165" w:type="dxa"/>
            <w:tcBorders>
              <w:top w:val="single" w:color="000000" w:sz="4" w:space="0"/>
              <w:left w:val="single" w:color="000000" w:sz="4" w:space="0"/>
            </w:tcBorders>
          </w:tcPr>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spacing w:before="122"/>
              <w:ind w:left="19" w:right="5"/>
              <w:rPr>
                <w:sz w:val="21"/>
              </w:rPr>
            </w:pPr>
            <w:r>
              <w:rPr>
                <w:sz w:val="21"/>
              </w:rPr>
              <w:t>符合要求</w:t>
            </w:r>
          </w:p>
        </w:tc>
      </w:tr>
    </w:tbl>
    <w:p>
      <w:pPr>
        <w:spacing w:after="0"/>
        <w:rPr>
          <w:sz w:val="21"/>
        </w:rPr>
        <w:sectPr>
          <w:pgSz w:w="16840" w:h="11910" w:orient="landscape"/>
          <w:pgMar w:top="1100" w:right="1280" w:bottom="800" w:left="1280" w:header="0" w:footer="605" w:gutter="0"/>
        </w:sectPr>
      </w:pPr>
    </w:p>
    <w:p>
      <w:pPr>
        <w:pStyle w:val="6"/>
        <w:spacing w:before="1"/>
        <w:rPr>
          <w:rFonts w:ascii="Times New Roman"/>
          <w:sz w:val="27"/>
        </w:rPr>
      </w:pPr>
    </w:p>
    <w:tbl>
      <w:tblPr>
        <w:tblStyle w:val="10"/>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72"/>
        <w:gridCol w:w="1090"/>
        <w:gridCol w:w="1068"/>
        <w:gridCol w:w="1818"/>
        <w:gridCol w:w="835"/>
        <w:gridCol w:w="933"/>
        <w:gridCol w:w="2641"/>
        <w:gridCol w:w="1879"/>
        <w:gridCol w:w="2021"/>
        <w:gridCol w:w="11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572" w:type="dxa"/>
            <w:tcBorders>
              <w:bottom w:val="single" w:color="000000" w:sz="4" w:space="0"/>
              <w:right w:val="single" w:color="000000" w:sz="4" w:space="0"/>
            </w:tcBorders>
          </w:tcPr>
          <w:p>
            <w:pPr>
              <w:pStyle w:val="14"/>
              <w:spacing w:before="165"/>
              <w:ind w:left="56" w:right="41"/>
              <w:rPr>
                <w:sz w:val="21"/>
              </w:rPr>
            </w:pPr>
            <w:r>
              <w:rPr>
                <w:sz w:val="21"/>
              </w:rPr>
              <w:t>序号</w:t>
            </w:r>
          </w:p>
        </w:tc>
        <w:tc>
          <w:tcPr>
            <w:tcW w:w="1090" w:type="dxa"/>
            <w:tcBorders>
              <w:left w:val="single" w:color="000000" w:sz="4" w:space="0"/>
              <w:bottom w:val="single" w:color="000000" w:sz="4" w:space="0"/>
              <w:right w:val="single" w:color="000000" w:sz="4" w:space="0"/>
            </w:tcBorders>
          </w:tcPr>
          <w:p>
            <w:pPr>
              <w:pStyle w:val="14"/>
              <w:spacing w:before="2"/>
              <w:ind w:left="16"/>
              <w:rPr>
                <w:sz w:val="21"/>
              </w:rPr>
            </w:pPr>
            <w:r>
              <w:rPr>
                <w:sz w:val="21"/>
              </w:rPr>
              <w:t>一级指标指</w:t>
            </w:r>
          </w:p>
          <w:p>
            <w:pPr>
              <w:pStyle w:val="14"/>
              <w:spacing w:before="55"/>
              <w:ind w:left="18"/>
              <w:rPr>
                <w:sz w:val="21"/>
              </w:rPr>
            </w:pPr>
            <w:r>
              <w:rPr>
                <w:sz w:val="21"/>
              </w:rPr>
              <w:t>标项</w:t>
            </w:r>
          </w:p>
        </w:tc>
        <w:tc>
          <w:tcPr>
            <w:tcW w:w="1068" w:type="dxa"/>
            <w:tcBorders>
              <w:left w:val="single" w:color="000000" w:sz="4" w:space="0"/>
              <w:bottom w:val="single" w:color="000000" w:sz="4" w:space="0"/>
              <w:right w:val="single" w:color="000000" w:sz="4" w:space="0"/>
            </w:tcBorders>
          </w:tcPr>
          <w:p>
            <w:pPr>
              <w:pStyle w:val="14"/>
              <w:spacing w:before="2"/>
              <w:ind w:left="13" w:right="-15"/>
              <w:rPr>
                <w:sz w:val="21"/>
              </w:rPr>
            </w:pPr>
            <w:r>
              <w:rPr>
                <w:sz w:val="21"/>
              </w:rPr>
              <w:t>一级指标权</w:t>
            </w:r>
          </w:p>
          <w:p>
            <w:pPr>
              <w:pStyle w:val="14"/>
              <w:spacing w:before="55"/>
              <w:ind w:left="306" w:right="290"/>
              <w:rPr>
                <w:sz w:val="21"/>
              </w:rPr>
            </w:pPr>
            <w:r>
              <w:rPr>
                <w:sz w:val="21"/>
              </w:rPr>
              <w:t>重值</w:t>
            </w:r>
          </w:p>
        </w:tc>
        <w:tc>
          <w:tcPr>
            <w:tcW w:w="1818" w:type="dxa"/>
            <w:tcBorders>
              <w:left w:val="single" w:color="000000" w:sz="4" w:space="0"/>
              <w:bottom w:val="single" w:color="000000" w:sz="4" w:space="0"/>
              <w:right w:val="single" w:color="000000" w:sz="4" w:space="0"/>
            </w:tcBorders>
          </w:tcPr>
          <w:p>
            <w:pPr>
              <w:pStyle w:val="14"/>
              <w:spacing w:before="165"/>
              <w:ind w:left="43" w:right="24"/>
              <w:rPr>
                <w:sz w:val="21"/>
              </w:rPr>
            </w:pPr>
            <w:r>
              <w:rPr>
                <w:sz w:val="21"/>
              </w:rPr>
              <w:t>二级指标指标项</w:t>
            </w:r>
          </w:p>
        </w:tc>
        <w:tc>
          <w:tcPr>
            <w:tcW w:w="835" w:type="dxa"/>
            <w:tcBorders>
              <w:left w:val="single" w:color="000000" w:sz="4" w:space="0"/>
              <w:bottom w:val="single" w:color="000000" w:sz="4" w:space="0"/>
              <w:right w:val="single" w:color="000000" w:sz="4" w:space="0"/>
            </w:tcBorders>
          </w:tcPr>
          <w:p>
            <w:pPr>
              <w:pStyle w:val="14"/>
              <w:spacing w:before="165"/>
              <w:ind w:left="190" w:right="174"/>
              <w:rPr>
                <w:sz w:val="21"/>
              </w:rPr>
            </w:pPr>
            <w:r>
              <w:rPr>
                <w:sz w:val="21"/>
              </w:rPr>
              <w:t>单位</w:t>
            </w:r>
          </w:p>
        </w:tc>
        <w:tc>
          <w:tcPr>
            <w:tcW w:w="933" w:type="dxa"/>
            <w:tcBorders>
              <w:left w:val="single" w:color="000000" w:sz="4" w:space="0"/>
              <w:bottom w:val="single" w:color="000000" w:sz="4" w:space="0"/>
              <w:right w:val="single" w:color="000000" w:sz="4" w:space="0"/>
            </w:tcBorders>
          </w:tcPr>
          <w:p>
            <w:pPr>
              <w:pStyle w:val="14"/>
              <w:spacing w:before="2"/>
              <w:ind w:left="51"/>
              <w:jc w:val="left"/>
              <w:rPr>
                <w:sz w:val="21"/>
              </w:rPr>
            </w:pPr>
            <w:r>
              <w:rPr>
                <w:w w:val="95"/>
                <w:sz w:val="21"/>
              </w:rPr>
              <w:t>二级指标</w:t>
            </w:r>
          </w:p>
          <w:p>
            <w:pPr>
              <w:pStyle w:val="14"/>
              <w:spacing w:before="55"/>
              <w:ind w:left="51"/>
              <w:jc w:val="left"/>
              <w:rPr>
                <w:sz w:val="21"/>
              </w:rPr>
            </w:pPr>
            <w:r>
              <w:rPr>
                <w:w w:val="95"/>
                <w:sz w:val="21"/>
              </w:rPr>
              <w:t>分权重值</w:t>
            </w:r>
          </w:p>
        </w:tc>
        <w:tc>
          <w:tcPr>
            <w:tcW w:w="2641" w:type="dxa"/>
            <w:tcBorders>
              <w:left w:val="single" w:color="000000" w:sz="4" w:space="0"/>
              <w:bottom w:val="single" w:color="000000" w:sz="4" w:space="0"/>
              <w:right w:val="single" w:color="000000" w:sz="4" w:space="0"/>
            </w:tcBorders>
          </w:tcPr>
          <w:p>
            <w:pPr>
              <w:pStyle w:val="14"/>
              <w:spacing w:before="165"/>
              <w:ind w:left="800"/>
              <w:jc w:val="left"/>
              <w:rPr>
                <w:sz w:val="21"/>
              </w:rPr>
            </w:pPr>
            <w:r>
              <w:rPr>
                <w:sz w:val="21"/>
              </w:rPr>
              <w:t>Ⅰ级基准值</w:t>
            </w:r>
          </w:p>
        </w:tc>
        <w:tc>
          <w:tcPr>
            <w:tcW w:w="1879" w:type="dxa"/>
            <w:tcBorders>
              <w:left w:val="single" w:color="000000" w:sz="4" w:space="0"/>
              <w:bottom w:val="single" w:color="000000" w:sz="4" w:space="0"/>
              <w:right w:val="single" w:color="000000" w:sz="4" w:space="0"/>
            </w:tcBorders>
          </w:tcPr>
          <w:p>
            <w:pPr>
              <w:pStyle w:val="14"/>
              <w:spacing w:before="165"/>
              <w:ind w:left="417"/>
              <w:jc w:val="left"/>
              <w:rPr>
                <w:sz w:val="21"/>
              </w:rPr>
            </w:pPr>
            <w:r>
              <w:rPr>
                <w:sz w:val="21"/>
              </w:rPr>
              <w:t>Ⅱ级基准值</w:t>
            </w:r>
          </w:p>
        </w:tc>
        <w:tc>
          <w:tcPr>
            <w:tcW w:w="2021" w:type="dxa"/>
            <w:tcBorders>
              <w:left w:val="single" w:color="000000" w:sz="4" w:space="0"/>
              <w:bottom w:val="single" w:color="000000" w:sz="4" w:space="0"/>
              <w:right w:val="single" w:color="000000" w:sz="4" w:space="0"/>
            </w:tcBorders>
          </w:tcPr>
          <w:p>
            <w:pPr>
              <w:pStyle w:val="14"/>
              <w:spacing w:before="165"/>
              <w:ind w:left="490"/>
              <w:jc w:val="left"/>
              <w:rPr>
                <w:sz w:val="21"/>
              </w:rPr>
            </w:pPr>
            <w:r>
              <w:rPr>
                <w:sz w:val="21"/>
              </w:rPr>
              <w:t>Ⅲ级基准值</w:t>
            </w:r>
          </w:p>
        </w:tc>
        <w:tc>
          <w:tcPr>
            <w:tcW w:w="1165" w:type="dxa"/>
            <w:tcBorders>
              <w:left w:val="single" w:color="000000" w:sz="4" w:space="0"/>
              <w:bottom w:val="single" w:color="000000" w:sz="4" w:space="0"/>
            </w:tcBorders>
          </w:tcPr>
          <w:p>
            <w:pPr>
              <w:pStyle w:val="14"/>
              <w:spacing w:before="2"/>
              <w:ind w:left="22" w:right="5"/>
              <w:rPr>
                <w:sz w:val="21"/>
              </w:rPr>
            </w:pPr>
            <w:r>
              <w:rPr>
                <w:sz w:val="21"/>
              </w:rPr>
              <w:t>本煤矿扩建</w:t>
            </w:r>
          </w:p>
          <w:p>
            <w:pPr>
              <w:pStyle w:val="14"/>
              <w:spacing w:before="55"/>
              <w:ind w:left="19"/>
              <w:rPr>
                <w:sz w:val="21"/>
              </w:rPr>
            </w:pPr>
            <w:r>
              <w:rPr>
                <w:w w:val="99"/>
                <w:sz w:val="21"/>
              </w:rPr>
              <w:t>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5" w:hRule="atLeast"/>
        </w:trPr>
        <w:tc>
          <w:tcPr>
            <w:tcW w:w="572" w:type="dxa"/>
            <w:tcBorders>
              <w:top w:val="single" w:color="000000" w:sz="4" w:space="0"/>
              <w:bottom w:val="single" w:color="000000" w:sz="4" w:space="0"/>
              <w:right w:val="single" w:color="000000" w:sz="4" w:space="0"/>
            </w:tcBorders>
          </w:tcPr>
          <w:p>
            <w:pPr>
              <w:pStyle w:val="14"/>
              <w:jc w:val="left"/>
              <w:rPr>
                <w:rFonts w:ascii="Times New Roman"/>
                <w:sz w:val="20"/>
              </w:rPr>
            </w:pPr>
          </w:p>
        </w:tc>
        <w:tc>
          <w:tcPr>
            <w:tcW w:w="1090" w:type="dxa"/>
            <w:vMerge w:val="restart"/>
            <w:tcBorders>
              <w:top w:val="single" w:color="000000" w:sz="4" w:space="0"/>
              <w:left w:val="single" w:color="000000" w:sz="4" w:space="0"/>
              <w:right w:val="single" w:color="000000" w:sz="4" w:space="0"/>
            </w:tcBorders>
          </w:tcPr>
          <w:p>
            <w:pPr>
              <w:pStyle w:val="14"/>
              <w:jc w:val="left"/>
              <w:rPr>
                <w:rFonts w:ascii="Times New Roman"/>
                <w:sz w:val="20"/>
              </w:rPr>
            </w:pPr>
          </w:p>
        </w:tc>
        <w:tc>
          <w:tcPr>
            <w:tcW w:w="1068" w:type="dxa"/>
            <w:vMerge w:val="restart"/>
            <w:tcBorders>
              <w:top w:val="single" w:color="000000" w:sz="4" w:space="0"/>
              <w:left w:val="single" w:color="000000" w:sz="4" w:space="0"/>
              <w:right w:val="single" w:color="000000" w:sz="4" w:space="0"/>
            </w:tcBorders>
          </w:tcPr>
          <w:p>
            <w:pPr>
              <w:pStyle w:val="14"/>
              <w:jc w:val="left"/>
              <w:rPr>
                <w:rFonts w:ascii="Times New Roman"/>
                <w:sz w:val="20"/>
              </w:rPr>
            </w:pPr>
          </w:p>
        </w:tc>
        <w:tc>
          <w:tcPr>
            <w:tcW w:w="1818"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835"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933"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6541" w:type="dxa"/>
            <w:gridSpan w:val="3"/>
            <w:tcBorders>
              <w:top w:val="single" w:color="000000" w:sz="4" w:space="0"/>
              <w:left w:val="single" w:color="000000" w:sz="4" w:space="0"/>
              <w:bottom w:val="single" w:color="000000" w:sz="4" w:space="0"/>
              <w:right w:val="single" w:color="000000" w:sz="4" w:space="0"/>
            </w:tcBorders>
          </w:tcPr>
          <w:p>
            <w:pPr>
              <w:pStyle w:val="14"/>
              <w:ind w:left="8"/>
              <w:jc w:val="left"/>
              <w:rPr>
                <w:sz w:val="21"/>
              </w:rPr>
            </w:pPr>
            <w:r>
              <w:rPr>
                <w:sz w:val="21"/>
              </w:rPr>
              <w:t>无组织排放的防控措施，减少生产过程无组织排放。</w:t>
            </w:r>
          </w:p>
        </w:tc>
        <w:tc>
          <w:tcPr>
            <w:tcW w:w="1165" w:type="dxa"/>
            <w:tcBorders>
              <w:top w:val="single" w:color="000000" w:sz="4" w:space="0"/>
              <w:left w:val="single" w:color="000000" w:sz="4" w:space="0"/>
              <w:bottom w:val="single" w:color="000000" w:sz="4" w:space="0"/>
            </w:tcBorders>
          </w:tcPr>
          <w:p>
            <w:pPr>
              <w:pStyle w:val="14"/>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96" w:hRule="atLeast"/>
        </w:trPr>
        <w:tc>
          <w:tcPr>
            <w:tcW w:w="572" w:type="dxa"/>
            <w:tcBorders>
              <w:top w:val="single" w:color="000000" w:sz="4" w:space="0"/>
              <w:bottom w:val="single" w:color="000000" w:sz="4" w:space="0"/>
              <w:right w:val="single" w:color="000000" w:sz="4" w:space="0"/>
            </w:tcBorders>
          </w:tcPr>
          <w:p>
            <w:pPr>
              <w:pStyle w:val="14"/>
              <w:jc w:val="left"/>
              <w:rPr>
                <w:rFonts w:ascii="Times New Roman"/>
                <w:sz w:val="22"/>
              </w:rPr>
            </w:pPr>
          </w:p>
          <w:p>
            <w:pPr>
              <w:pStyle w:val="14"/>
              <w:spacing w:before="7"/>
              <w:jc w:val="left"/>
              <w:rPr>
                <w:rFonts w:ascii="Times New Roman"/>
                <w:sz w:val="21"/>
              </w:rPr>
            </w:pPr>
          </w:p>
          <w:p>
            <w:pPr>
              <w:pStyle w:val="14"/>
              <w:ind w:left="56" w:right="38"/>
              <w:rPr>
                <w:rFonts w:ascii="Times New Roman"/>
                <w:sz w:val="21"/>
              </w:rPr>
            </w:pPr>
            <w:r>
              <w:rPr>
                <w:rFonts w:ascii="Times New Roman"/>
                <w:sz w:val="21"/>
              </w:rPr>
              <w:t>30</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p>
            <w:pPr>
              <w:pStyle w:val="14"/>
              <w:spacing w:before="2"/>
              <w:jc w:val="left"/>
              <w:rPr>
                <w:rFonts w:ascii="Times New Roman"/>
                <w:sz w:val="22"/>
              </w:rPr>
            </w:pPr>
          </w:p>
          <w:p>
            <w:pPr>
              <w:pStyle w:val="14"/>
              <w:ind w:left="38" w:right="24"/>
              <w:rPr>
                <w:sz w:val="21"/>
              </w:rPr>
            </w:pPr>
            <w:r>
              <w:rPr>
                <w:sz w:val="21"/>
              </w:rPr>
              <w:t>清洁生产审核</w:t>
            </w:r>
          </w:p>
        </w:tc>
        <w:tc>
          <w:tcPr>
            <w:tcW w:w="835"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p>
            <w:pPr>
              <w:pStyle w:val="14"/>
              <w:spacing w:before="2"/>
              <w:jc w:val="left"/>
              <w:rPr>
                <w:rFonts w:ascii="Times New Roman"/>
                <w:sz w:val="22"/>
              </w:rPr>
            </w:pPr>
          </w:p>
          <w:p>
            <w:pPr>
              <w:pStyle w:val="14"/>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2"/>
              </w:rPr>
            </w:pPr>
          </w:p>
          <w:p>
            <w:pPr>
              <w:pStyle w:val="14"/>
              <w:spacing w:before="7"/>
              <w:jc w:val="left"/>
              <w:rPr>
                <w:rFonts w:ascii="Times New Roman"/>
                <w:sz w:val="21"/>
              </w:rPr>
            </w:pPr>
          </w:p>
          <w:p>
            <w:pPr>
              <w:pStyle w:val="14"/>
              <w:ind w:left="266" w:right="248"/>
              <w:rPr>
                <w:rFonts w:ascii="Times New Roman"/>
                <w:sz w:val="21"/>
              </w:rPr>
            </w:pPr>
            <w:r>
              <w:rPr>
                <w:rFonts w:ascii="Times New Roman"/>
                <w:sz w:val="21"/>
              </w:rPr>
              <w:t>0.05</w:t>
            </w:r>
          </w:p>
        </w:tc>
        <w:tc>
          <w:tcPr>
            <w:tcW w:w="6541" w:type="dxa"/>
            <w:gridSpan w:val="3"/>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p>
            <w:pPr>
              <w:pStyle w:val="14"/>
              <w:spacing w:before="2"/>
              <w:jc w:val="left"/>
              <w:rPr>
                <w:rFonts w:ascii="Times New Roman"/>
                <w:sz w:val="22"/>
              </w:rPr>
            </w:pPr>
          </w:p>
          <w:p>
            <w:pPr>
              <w:pStyle w:val="14"/>
              <w:ind w:left="8"/>
              <w:jc w:val="left"/>
              <w:rPr>
                <w:sz w:val="21"/>
              </w:rPr>
            </w:pPr>
            <w:r>
              <w:rPr>
                <w:sz w:val="21"/>
              </w:rPr>
              <w:t>按照国家和地方要求，定期开展清洁生产审核</w:t>
            </w:r>
          </w:p>
        </w:tc>
        <w:tc>
          <w:tcPr>
            <w:tcW w:w="1165" w:type="dxa"/>
            <w:tcBorders>
              <w:top w:val="single" w:color="000000" w:sz="4" w:space="0"/>
              <w:left w:val="single" w:color="000000" w:sz="4" w:space="0"/>
              <w:bottom w:val="single" w:color="000000" w:sz="4" w:space="0"/>
            </w:tcBorders>
          </w:tcPr>
          <w:p>
            <w:pPr>
              <w:pStyle w:val="14"/>
              <w:spacing w:line="290" w:lineRule="auto"/>
              <w:ind w:left="60" w:right="38"/>
              <w:jc w:val="both"/>
              <w:rPr>
                <w:sz w:val="21"/>
              </w:rPr>
            </w:pPr>
            <w:r>
              <w:rPr>
                <w:spacing w:val="-3"/>
                <w:sz w:val="21"/>
              </w:rPr>
              <w:t xml:space="preserve">按照国家和地方要求， </w:t>
            </w:r>
            <w:r>
              <w:rPr>
                <w:spacing w:val="-3"/>
                <w:w w:val="95"/>
                <w:sz w:val="21"/>
              </w:rPr>
              <w:t>定期开展清</w:t>
            </w:r>
          </w:p>
          <w:p>
            <w:pPr>
              <w:pStyle w:val="14"/>
              <w:ind w:left="60"/>
              <w:jc w:val="left"/>
              <w:rPr>
                <w:sz w:val="21"/>
              </w:rPr>
            </w:pPr>
            <w:r>
              <w:rPr>
                <w:w w:val="95"/>
                <w:sz w:val="21"/>
              </w:rPr>
              <w:t>洁生产审核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0" w:hRule="atLeast"/>
        </w:trPr>
        <w:tc>
          <w:tcPr>
            <w:tcW w:w="572" w:type="dxa"/>
            <w:tcBorders>
              <w:top w:val="single" w:color="000000" w:sz="4" w:space="0"/>
              <w:bottom w:val="single" w:color="000000" w:sz="4" w:space="0"/>
              <w:right w:val="single" w:color="000000" w:sz="4" w:space="0"/>
            </w:tcBorders>
          </w:tcPr>
          <w:p>
            <w:pPr>
              <w:pStyle w:val="14"/>
              <w:spacing w:before="5"/>
              <w:jc w:val="left"/>
              <w:rPr>
                <w:rFonts w:ascii="Times New Roman"/>
                <w:sz w:val="29"/>
              </w:rPr>
            </w:pPr>
          </w:p>
          <w:p>
            <w:pPr>
              <w:pStyle w:val="14"/>
              <w:ind w:left="56" w:right="38"/>
              <w:rPr>
                <w:rFonts w:ascii="Times New Roman"/>
                <w:sz w:val="21"/>
              </w:rPr>
            </w:pPr>
            <w:r>
              <w:rPr>
                <w:rFonts w:ascii="Times New Roman"/>
                <w:sz w:val="21"/>
              </w:rPr>
              <w:t>31</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bottom w:val="single" w:color="000000" w:sz="4" w:space="0"/>
              <w:right w:val="single" w:color="000000" w:sz="4" w:space="0"/>
            </w:tcBorders>
          </w:tcPr>
          <w:p>
            <w:pPr>
              <w:pStyle w:val="14"/>
              <w:spacing w:before="9"/>
              <w:jc w:val="left"/>
              <w:rPr>
                <w:rFonts w:ascii="Times New Roman"/>
                <w:sz w:val="27"/>
              </w:rPr>
            </w:pPr>
          </w:p>
          <w:p>
            <w:pPr>
              <w:pStyle w:val="14"/>
              <w:spacing w:before="1"/>
              <w:ind w:left="38" w:right="24"/>
              <w:rPr>
                <w:sz w:val="21"/>
              </w:rPr>
            </w:pPr>
            <w:r>
              <w:rPr>
                <w:sz w:val="21"/>
              </w:rPr>
              <w:t>固体废物处置</w:t>
            </w:r>
          </w:p>
        </w:tc>
        <w:tc>
          <w:tcPr>
            <w:tcW w:w="835" w:type="dxa"/>
            <w:tcBorders>
              <w:top w:val="single" w:color="000000" w:sz="4" w:space="0"/>
              <w:left w:val="single" w:color="000000" w:sz="4" w:space="0"/>
              <w:bottom w:val="single" w:color="000000" w:sz="4" w:space="0"/>
              <w:right w:val="single" w:color="000000" w:sz="4" w:space="0"/>
            </w:tcBorders>
          </w:tcPr>
          <w:p>
            <w:pPr>
              <w:pStyle w:val="14"/>
              <w:spacing w:before="9"/>
              <w:jc w:val="left"/>
              <w:rPr>
                <w:rFonts w:ascii="Times New Roman"/>
                <w:sz w:val="27"/>
              </w:rPr>
            </w:pPr>
          </w:p>
          <w:p>
            <w:pPr>
              <w:pStyle w:val="14"/>
              <w:spacing w:before="1"/>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4"/>
              <w:spacing w:before="5"/>
              <w:jc w:val="left"/>
              <w:rPr>
                <w:rFonts w:ascii="Times New Roman"/>
                <w:sz w:val="29"/>
              </w:rPr>
            </w:pPr>
          </w:p>
          <w:p>
            <w:pPr>
              <w:pStyle w:val="14"/>
              <w:ind w:left="266" w:right="248"/>
              <w:rPr>
                <w:rFonts w:ascii="Times New Roman"/>
                <w:sz w:val="21"/>
              </w:rPr>
            </w:pPr>
            <w:r>
              <w:rPr>
                <w:rFonts w:ascii="Times New Roman"/>
                <w:sz w:val="21"/>
              </w:rPr>
              <w:t>0.05</w:t>
            </w:r>
          </w:p>
        </w:tc>
        <w:tc>
          <w:tcPr>
            <w:tcW w:w="6541" w:type="dxa"/>
            <w:gridSpan w:val="3"/>
            <w:tcBorders>
              <w:top w:val="single" w:color="000000" w:sz="4" w:space="0"/>
              <w:left w:val="single" w:color="000000" w:sz="4" w:space="0"/>
              <w:bottom w:val="single" w:color="000000" w:sz="4" w:space="0"/>
              <w:right w:val="single" w:color="000000" w:sz="4" w:space="0"/>
            </w:tcBorders>
          </w:tcPr>
          <w:p>
            <w:pPr>
              <w:pStyle w:val="14"/>
              <w:spacing w:line="290" w:lineRule="auto"/>
              <w:ind w:left="8" w:right="-15"/>
              <w:jc w:val="left"/>
              <w:rPr>
                <w:sz w:val="21"/>
              </w:rPr>
            </w:pPr>
            <w:r>
              <w:rPr>
                <w:sz w:val="21"/>
              </w:rPr>
              <w:t>按照《中华人民共和国固体废物污染环境防治法》、《煤矸石综合利用管理办法》的有关要求，建立完善的标识、申报登记、源头分类、应急</w:t>
            </w:r>
          </w:p>
          <w:p>
            <w:pPr>
              <w:pStyle w:val="14"/>
              <w:ind w:left="8"/>
              <w:jc w:val="left"/>
              <w:rPr>
                <w:sz w:val="21"/>
              </w:rPr>
            </w:pPr>
            <w:r>
              <w:rPr>
                <w:sz w:val="21"/>
              </w:rPr>
              <w:t>预案等管理制度，制定合理的煤矸石综合利用方案及安全处置措施</w:t>
            </w:r>
          </w:p>
        </w:tc>
        <w:tc>
          <w:tcPr>
            <w:tcW w:w="1165" w:type="dxa"/>
            <w:tcBorders>
              <w:top w:val="single" w:color="000000" w:sz="4" w:space="0"/>
              <w:left w:val="single" w:color="000000" w:sz="4" w:space="0"/>
              <w:bottom w:val="single" w:color="000000" w:sz="4" w:space="0"/>
            </w:tcBorders>
          </w:tcPr>
          <w:p>
            <w:pPr>
              <w:pStyle w:val="14"/>
              <w:spacing w:before="9"/>
              <w:jc w:val="left"/>
              <w:rPr>
                <w:rFonts w:ascii="Times New Roman"/>
                <w:sz w:val="27"/>
              </w:rPr>
            </w:pPr>
          </w:p>
          <w:p>
            <w:pPr>
              <w:pStyle w:val="14"/>
              <w:spacing w:before="1"/>
              <w:ind w:left="163"/>
              <w:jc w:val="left"/>
              <w:rPr>
                <w:sz w:val="21"/>
              </w:rPr>
            </w:pPr>
            <w:r>
              <w:rPr>
                <w:sz w:val="21"/>
              </w:rPr>
              <w:t>符合要求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32" w:hRule="atLeast"/>
        </w:trPr>
        <w:tc>
          <w:tcPr>
            <w:tcW w:w="572" w:type="dxa"/>
            <w:tcBorders>
              <w:top w:val="single" w:color="000000" w:sz="4" w:space="0"/>
              <w:bottom w:val="single" w:color="000000" w:sz="4" w:space="0"/>
              <w:right w:val="single" w:color="000000" w:sz="4" w:space="0"/>
            </w:tcBorders>
          </w:tcPr>
          <w:p>
            <w:pPr>
              <w:pStyle w:val="14"/>
              <w:jc w:val="left"/>
              <w:rPr>
                <w:rFonts w:ascii="Times New Roman"/>
                <w:sz w:val="22"/>
              </w:rPr>
            </w:pPr>
          </w:p>
          <w:p>
            <w:pPr>
              <w:pStyle w:val="14"/>
              <w:jc w:val="left"/>
              <w:rPr>
                <w:rFonts w:ascii="Times New Roman"/>
                <w:sz w:val="22"/>
              </w:rPr>
            </w:pPr>
          </w:p>
          <w:p>
            <w:pPr>
              <w:pStyle w:val="14"/>
              <w:jc w:val="left"/>
              <w:rPr>
                <w:rFonts w:ascii="Times New Roman"/>
                <w:sz w:val="22"/>
              </w:rPr>
            </w:pPr>
          </w:p>
          <w:p>
            <w:pPr>
              <w:pStyle w:val="14"/>
              <w:jc w:val="left"/>
              <w:rPr>
                <w:rFonts w:ascii="Times New Roman"/>
                <w:sz w:val="22"/>
              </w:rPr>
            </w:pPr>
          </w:p>
          <w:p>
            <w:pPr>
              <w:pStyle w:val="14"/>
              <w:spacing w:before="8"/>
              <w:jc w:val="left"/>
              <w:rPr>
                <w:rFonts w:ascii="Times New Roman"/>
                <w:sz w:val="26"/>
              </w:rPr>
            </w:pPr>
          </w:p>
          <w:p>
            <w:pPr>
              <w:pStyle w:val="14"/>
              <w:ind w:left="56" w:right="38"/>
              <w:rPr>
                <w:rFonts w:ascii="Times New Roman"/>
                <w:sz w:val="21"/>
              </w:rPr>
            </w:pPr>
            <w:r>
              <w:rPr>
                <w:rFonts w:ascii="Times New Roman"/>
                <w:sz w:val="21"/>
              </w:rPr>
              <w:t>32</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spacing w:before="153"/>
              <w:ind w:left="41" w:right="24"/>
              <w:rPr>
                <w:sz w:val="21"/>
              </w:rPr>
            </w:pPr>
            <w:r>
              <w:rPr>
                <w:sz w:val="21"/>
              </w:rPr>
              <w:t>宣传培训</w:t>
            </w:r>
          </w:p>
        </w:tc>
        <w:tc>
          <w:tcPr>
            <w:tcW w:w="835"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spacing w:before="153"/>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2"/>
              </w:rPr>
            </w:pPr>
          </w:p>
          <w:p>
            <w:pPr>
              <w:pStyle w:val="14"/>
              <w:jc w:val="left"/>
              <w:rPr>
                <w:rFonts w:ascii="Times New Roman"/>
                <w:sz w:val="22"/>
              </w:rPr>
            </w:pPr>
          </w:p>
          <w:p>
            <w:pPr>
              <w:pStyle w:val="14"/>
              <w:jc w:val="left"/>
              <w:rPr>
                <w:rFonts w:ascii="Times New Roman"/>
                <w:sz w:val="22"/>
              </w:rPr>
            </w:pPr>
          </w:p>
          <w:p>
            <w:pPr>
              <w:pStyle w:val="14"/>
              <w:jc w:val="left"/>
              <w:rPr>
                <w:rFonts w:ascii="Times New Roman"/>
                <w:sz w:val="22"/>
              </w:rPr>
            </w:pPr>
          </w:p>
          <w:p>
            <w:pPr>
              <w:pStyle w:val="14"/>
              <w:spacing w:before="8"/>
              <w:jc w:val="left"/>
              <w:rPr>
                <w:rFonts w:ascii="Times New Roman"/>
                <w:sz w:val="26"/>
              </w:rPr>
            </w:pPr>
          </w:p>
          <w:p>
            <w:pPr>
              <w:pStyle w:val="14"/>
              <w:ind w:left="266" w:right="248"/>
              <w:rPr>
                <w:rFonts w:ascii="Times New Roman"/>
                <w:sz w:val="21"/>
              </w:rPr>
            </w:pPr>
            <w:r>
              <w:rPr>
                <w:rFonts w:ascii="Times New Roman"/>
                <w:sz w:val="21"/>
              </w:rPr>
              <w:t>0.1</w:t>
            </w:r>
          </w:p>
        </w:tc>
        <w:tc>
          <w:tcPr>
            <w:tcW w:w="2641" w:type="dxa"/>
            <w:tcBorders>
              <w:top w:val="single" w:color="000000" w:sz="4" w:space="0"/>
              <w:left w:val="single" w:color="000000" w:sz="4" w:space="0"/>
              <w:bottom w:val="single" w:color="000000" w:sz="4" w:space="0"/>
              <w:right w:val="single" w:color="000000" w:sz="4" w:space="0"/>
            </w:tcBorders>
          </w:tcPr>
          <w:p>
            <w:pPr>
              <w:pStyle w:val="14"/>
              <w:spacing w:before="11"/>
              <w:jc w:val="left"/>
              <w:rPr>
                <w:rFonts w:ascii="Times New Roman"/>
                <w:sz w:val="27"/>
              </w:rPr>
            </w:pPr>
          </w:p>
          <w:p>
            <w:pPr>
              <w:pStyle w:val="14"/>
              <w:spacing w:line="290" w:lineRule="auto"/>
              <w:ind w:left="8" w:right="-15"/>
              <w:jc w:val="both"/>
              <w:rPr>
                <w:sz w:val="21"/>
              </w:rPr>
            </w:pPr>
            <w:r>
              <w:rPr>
                <w:spacing w:val="8"/>
                <w:w w:val="95"/>
                <w:sz w:val="21"/>
              </w:rPr>
              <w:t>制定有绿色低碳宣传和节能</w:t>
            </w:r>
            <w:r>
              <w:rPr>
                <w:spacing w:val="-4"/>
                <w:sz w:val="21"/>
              </w:rPr>
              <w:t>环保培训年度计划，并付诸实</w:t>
            </w:r>
            <w:r>
              <w:rPr>
                <w:spacing w:val="-11"/>
                <w:sz w:val="21"/>
              </w:rPr>
              <w:t>施；在国家规定的重要节能环</w:t>
            </w:r>
            <w:r>
              <w:rPr>
                <w:spacing w:val="-20"/>
                <w:w w:val="95"/>
                <w:sz w:val="21"/>
              </w:rPr>
              <w:t>保日</w:t>
            </w:r>
            <w:r>
              <w:rPr>
                <w:w w:val="95"/>
                <w:sz w:val="21"/>
              </w:rPr>
              <w:t>（周</w:t>
            </w:r>
            <w:r>
              <w:rPr>
                <w:spacing w:val="-34"/>
                <w:w w:val="95"/>
                <w:sz w:val="21"/>
              </w:rPr>
              <w:t>）</w:t>
            </w:r>
            <w:r>
              <w:rPr>
                <w:spacing w:val="-5"/>
                <w:w w:val="95"/>
                <w:sz w:val="21"/>
              </w:rPr>
              <w:t>开展宣传活动；每</w:t>
            </w:r>
            <w:r>
              <w:rPr>
                <w:spacing w:val="8"/>
                <w:w w:val="95"/>
                <w:sz w:val="21"/>
              </w:rPr>
              <w:t>年开展节能环保专业培训不</w:t>
            </w:r>
            <w:r>
              <w:rPr>
                <w:spacing w:val="-14"/>
                <w:sz w:val="21"/>
              </w:rPr>
              <w:t xml:space="preserve">少于 </w:t>
            </w:r>
            <w:r>
              <w:rPr>
                <w:rFonts w:ascii="Times New Roman" w:eastAsia="Times New Roman"/>
                <w:sz w:val="21"/>
              </w:rPr>
              <w:t xml:space="preserve">2 </w:t>
            </w:r>
            <w:r>
              <w:rPr>
                <w:spacing w:val="-12"/>
                <w:sz w:val="21"/>
              </w:rPr>
              <w:t>次，所有在岗人员进行</w:t>
            </w:r>
            <w:r>
              <w:rPr>
                <w:spacing w:val="-15"/>
                <w:sz w:val="21"/>
              </w:rPr>
              <w:t>过岗前培训，有岗位培训记录</w:t>
            </w:r>
          </w:p>
        </w:tc>
        <w:tc>
          <w:tcPr>
            <w:tcW w:w="1879" w:type="dxa"/>
            <w:tcBorders>
              <w:top w:val="single" w:color="000000" w:sz="4" w:space="0"/>
              <w:left w:val="single" w:color="000000" w:sz="4" w:space="0"/>
              <w:bottom w:val="single" w:color="000000" w:sz="4" w:space="0"/>
              <w:right w:val="single" w:color="000000" w:sz="4" w:space="0"/>
            </w:tcBorders>
          </w:tcPr>
          <w:p>
            <w:pPr>
              <w:pStyle w:val="14"/>
              <w:spacing w:line="290" w:lineRule="auto"/>
              <w:ind w:left="9" w:right="-15"/>
              <w:jc w:val="both"/>
              <w:rPr>
                <w:sz w:val="21"/>
              </w:rPr>
            </w:pPr>
            <w:r>
              <w:rPr>
                <w:spacing w:val="22"/>
                <w:w w:val="95"/>
                <w:sz w:val="21"/>
              </w:rPr>
              <w:t>定期开展绿色低碳</w:t>
            </w:r>
            <w:r>
              <w:rPr>
                <w:sz w:val="21"/>
              </w:rPr>
              <w:t>宣传，在国家规定的</w:t>
            </w:r>
            <w:r>
              <w:rPr>
                <w:spacing w:val="-22"/>
                <w:sz w:val="21"/>
              </w:rPr>
              <w:t>重 要 节 能 环 保 日</w:t>
            </w:r>
          </w:p>
          <w:p>
            <w:pPr>
              <w:pStyle w:val="14"/>
              <w:spacing w:line="290" w:lineRule="auto"/>
              <w:ind w:left="9" w:right="-15"/>
              <w:jc w:val="both"/>
              <w:rPr>
                <w:sz w:val="21"/>
              </w:rPr>
            </w:pPr>
            <w:r>
              <w:rPr>
                <w:sz w:val="21"/>
              </w:rPr>
              <w:t>（</w:t>
            </w:r>
            <w:r>
              <w:rPr>
                <w:spacing w:val="-28"/>
                <w:sz w:val="21"/>
              </w:rPr>
              <w:t xml:space="preserve"> 周</w:t>
            </w:r>
            <w:r>
              <w:rPr>
                <w:sz w:val="21"/>
              </w:rPr>
              <w:t>）</w:t>
            </w:r>
            <w:r>
              <w:rPr>
                <w:spacing w:val="4"/>
                <w:sz w:val="21"/>
              </w:rPr>
              <w:t xml:space="preserve"> 开展宣传活</w:t>
            </w:r>
            <w:r>
              <w:rPr>
                <w:spacing w:val="-4"/>
                <w:sz w:val="21"/>
              </w:rPr>
              <w:t>动；每年开展节能环</w:t>
            </w:r>
            <w:r>
              <w:rPr>
                <w:spacing w:val="-10"/>
                <w:sz w:val="21"/>
              </w:rPr>
              <w:t xml:space="preserve">保专业培训不少于 </w:t>
            </w:r>
            <w:r>
              <w:rPr>
                <w:rFonts w:ascii="Times New Roman" w:eastAsia="Times New Roman"/>
                <w:sz w:val="21"/>
              </w:rPr>
              <w:t xml:space="preserve">1 </w:t>
            </w:r>
            <w:r>
              <w:rPr>
                <w:spacing w:val="-5"/>
                <w:sz w:val="21"/>
              </w:rPr>
              <w:t>次，主要岗位人员进</w:t>
            </w:r>
            <w:r>
              <w:rPr>
                <w:spacing w:val="-7"/>
                <w:w w:val="95"/>
                <w:sz w:val="21"/>
              </w:rPr>
              <w:t>行过岗前培训，有岗</w:t>
            </w:r>
          </w:p>
          <w:p>
            <w:pPr>
              <w:pStyle w:val="14"/>
              <w:spacing w:before="6"/>
              <w:ind w:left="9"/>
              <w:jc w:val="left"/>
              <w:rPr>
                <w:sz w:val="21"/>
              </w:rPr>
            </w:pPr>
            <w:r>
              <w:rPr>
                <w:sz w:val="21"/>
              </w:rPr>
              <w:t>位培训记录</w:t>
            </w:r>
          </w:p>
        </w:tc>
        <w:tc>
          <w:tcPr>
            <w:tcW w:w="202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2"/>
              </w:rPr>
            </w:pPr>
          </w:p>
          <w:p>
            <w:pPr>
              <w:pStyle w:val="14"/>
              <w:spacing w:before="4"/>
              <w:jc w:val="left"/>
              <w:rPr>
                <w:rFonts w:ascii="Times New Roman"/>
                <w:sz w:val="20"/>
              </w:rPr>
            </w:pPr>
          </w:p>
          <w:p>
            <w:pPr>
              <w:pStyle w:val="14"/>
              <w:spacing w:line="290" w:lineRule="auto"/>
              <w:ind w:left="10" w:right="-15"/>
              <w:jc w:val="both"/>
              <w:rPr>
                <w:sz w:val="21"/>
              </w:rPr>
            </w:pPr>
            <w:r>
              <w:rPr>
                <w:spacing w:val="12"/>
                <w:w w:val="95"/>
                <w:sz w:val="21"/>
              </w:rPr>
              <w:t>定期开展绿色低碳宣</w:t>
            </w:r>
            <w:r>
              <w:rPr>
                <w:spacing w:val="-9"/>
                <w:w w:val="95"/>
                <w:sz w:val="21"/>
              </w:rPr>
              <w:t>传，在国家规定的重要</w:t>
            </w:r>
            <w:r>
              <w:rPr>
                <w:spacing w:val="-16"/>
                <w:sz w:val="21"/>
              </w:rPr>
              <w:t>节能环保日</w:t>
            </w:r>
            <w:r>
              <w:rPr>
                <w:sz w:val="21"/>
              </w:rPr>
              <w:t>（周</w:t>
            </w:r>
            <w:r>
              <w:rPr>
                <w:spacing w:val="-44"/>
                <w:sz w:val="21"/>
              </w:rPr>
              <w:t>）</w:t>
            </w:r>
            <w:r>
              <w:rPr>
                <w:spacing w:val="-6"/>
                <w:sz w:val="21"/>
              </w:rPr>
              <w:t>开展</w:t>
            </w:r>
            <w:r>
              <w:rPr>
                <w:spacing w:val="-10"/>
                <w:sz w:val="21"/>
              </w:rPr>
              <w:t>宣传活动，每年开展节</w:t>
            </w:r>
            <w:r>
              <w:rPr>
                <w:spacing w:val="12"/>
                <w:w w:val="95"/>
                <w:sz w:val="21"/>
              </w:rPr>
              <w:t>能环保专业培训不少</w:t>
            </w:r>
            <w:r>
              <w:rPr>
                <w:spacing w:val="-21"/>
                <w:sz w:val="21"/>
              </w:rPr>
              <w:t xml:space="preserve">于 </w:t>
            </w:r>
            <w:r>
              <w:rPr>
                <w:rFonts w:ascii="Times New Roman" w:eastAsia="Times New Roman"/>
                <w:sz w:val="21"/>
              </w:rPr>
              <w:t xml:space="preserve">1 </w:t>
            </w:r>
            <w:r>
              <w:rPr>
                <w:sz w:val="21"/>
              </w:rPr>
              <w:t>次</w:t>
            </w:r>
          </w:p>
        </w:tc>
        <w:tc>
          <w:tcPr>
            <w:tcW w:w="1165" w:type="dxa"/>
            <w:tcBorders>
              <w:top w:val="single" w:color="000000" w:sz="4" w:space="0"/>
              <w:left w:val="single" w:color="000000" w:sz="4" w:space="0"/>
              <w:bottom w:val="single" w:color="000000" w:sz="4" w:space="0"/>
            </w:tcBorders>
          </w:tcPr>
          <w:p>
            <w:pPr>
              <w:pStyle w:val="14"/>
              <w:spacing w:before="158" w:line="290" w:lineRule="auto"/>
              <w:ind w:left="60" w:right="38"/>
              <w:rPr>
                <w:sz w:val="21"/>
              </w:rPr>
            </w:pPr>
            <w:r>
              <w:rPr>
                <w:spacing w:val="-3"/>
                <w:sz w:val="21"/>
              </w:rPr>
              <w:t>制定有绿色低碳宣传和节能环保培</w:t>
            </w:r>
            <w:r>
              <w:rPr>
                <w:sz w:val="21"/>
              </w:rPr>
              <w:t xml:space="preserve">训年度计 </w:t>
            </w:r>
            <w:r>
              <w:rPr>
                <w:spacing w:val="-3"/>
                <w:sz w:val="21"/>
              </w:rPr>
              <w:t>划，并付诸实施；在国家规定的重</w:t>
            </w:r>
            <w:r>
              <w:rPr>
                <w:sz w:val="21"/>
              </w:rPr>
              <w:t>要节能环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06" w:hRule="atLeast"/>
        </w:trPr>
        <w:tc>
          <w:tcPr>
            <w:tcW w:w="572" w:type="dxa"/>
            <w:tcBorders>
              <w:top w:val="single" w:color="000000" w:sz="4" w:space="0"/>
              <w:right w:val="single" w:color="000000" w:sz="4" w:space="0"/>
            </w:tcBorders>
          </w:tcPr>
          <w:p>
            <w:pPr>
              <w:pStyle w:val="14"/>
              <w:jc w:val="left"/>
              <w:rPr>
                <w:rFonts w:ascii="Times New Roman"/>
                <w:sz w:val="22"/>
              </w:rPr>
            </w:pPr>
          </w:p>
          <w:p>
            <w:pPr>
              <w:pStyle w:val="14"/>
              <w:jc w:val="left"/>
              <w:rPr>
                <w:rFonts w:ascii="Times New Roman"/>
                <w:sz w:val="22"/>
              </w:rPr>
            </w:pPr>
          </w:p>
          <w:p>
            <w:pPr>
              <w:pStyle w:val="14"/>
              <w:jc w:val="left"/>
              <w:rPr>
                <w:rFonts w:ascii="Times New Roman"/>
                <w:sz w:val="22"/>
              </w:rPr>
            </w:pPr>
          </w:p>
          <w:p>
            <w:pPr>
              <w:pStyle w:val="14"/>
              <w:jc w:val="left"/>
              <w:rPr>
                <w:rFonts w:ascii="Times New Roman"/>
                <w:sz w:val="22"/>
              </w:rPr>
            </w:pPr>
          </w:p>
          <w:p>
            <w:pPr>
              <w:pStyle w:val="14"/>
              <w:spacing w:before="144"/>
              <w:ind w:left="56" w:right="38"/>
              <w:rPr>
                <w:rFonts w:ascii="Times New Roman"/>
                <w:sz w:val="21"/>
              </w:rPr>
            </w:pPr>
            <w:r>
              <w:rPr>
                <w:rFonts w:ascii="Times New Roman"/>
                <w:sz w:val="21"/>
              </w:rPr>
              <w:t>33</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right w:val="single" w:color="000000" w:sz="4" w:space="0"/>
            </w:tcBorders>
          </w:tcPr>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spacing w:before="8"/>
              <w:jc w:val="left"/>
              <w:rPr>
                <w:rFonts w:ascii="Times New Roman"/>
                <w:sz w:val="24"/>
              </w:rPr>
            </w:pPr>
          </w:p>
          <w:p>
            <w:pPr>
              <w:pStyle w:val="14"/>
              <w:spacing w:line="290" w:lineRule="auto"/>
              <w:ind w:left="702" w:right="54" w:hanging="629"/>
              <w:jc w:val="left"/>
              <w:rPr>
                <w:sz w:val="21"/>
              </w:rPr>
            </w:pPr>
            <w:r>
              <w:rPr>
                <w:sz w:val="21"/>
              </w:rPr>
              <w:t>建立健全环境管理体系</w:t>
            </w:r>
          </w:p>
        </w:tc>
        <w:tc>
          <w:tcPr>
            <w:tcW w:w="835" w:type="dxa"/>
            <w:tcBorders>
              <w:top w:val="single" w:color="000000" w:sz="4" w:space="0"/>
              <w:left w:val="single" w:color="000000" w:sz="4" w:space="0"/>
              <w:right w:val="single" w:color="000000" w:sz="4" w:space="0"/>
            </w:tcBorders>
          </w:tcPr>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spacing w:before="10"/>
              <w:jc w:val="left"/>
              <w:rPr>
                <w:rFonts w:ascii="Times New Roman"/>
                <w:sz w:val="18"/>
              </w:rPr>
            </w:pPr>
          </w:p>
          <w:p>
            <w:pPr>
              <w:pStyle w:val="14"/>
              <w:ind w:left="18"/>
              <w:rPr>
                <w:sz w:val="21"/>
              </w:rPr>
            </w:pPr>
            <w:r>
              <w:rPr>
                <w:w w:val="99"/>
                <w:sz w:val="21"/>
              </w:rPr>
              <w:t>━</w:t>
            </w:r>
          </w:p>
        </w:tc>
        <w:tc>
          <w:tcPr>
            <w:tcW w:w="933" w:type="dxa"/>
            <w:tcBorders>
              <w:top w:val="single" w:color="000000" w:sz="4" w:space="0"/>
              <w:left w:val="single" w:color="000000" w:sz="4" w:space="0"/>
              <w:right w:val="single" w:color="000000" w:sz="4" w:space="0"/>
            </w:tcBorders>
          </w:tcPr>
          <w:p>
            <w:pPr>
              <w:pStyle w:val="14"/>
              <w:jc w:val="left"/>
              <w:rPr>
                <w:rFonts w:ascii="Times New Roman"/>
                <w:sz w:val="22"/>
              </w:rPr>
            </w:pPr>
          </w:p>
          <w:p>
            <w:pPr>
              <w:pStyle w:val="14"/>
              <w:jc w:val="left"/>
              <w:rPr>
                <w:rFonts w:ascii="Times New Roman"/>
                <w:sz w:val="22"/>
              </w:rPr>
            </w:pPr>
          </w:p>
          <w:p>
            <w:pPr>
              <w:pStyle w:val="14"/>
              <w:jc w:val="left"/>
              <w:rPr>
                <w:rFonts w:ascii="Times New Roman"/>
                <w:sz w:val="22"/>
              </w:rPr>
            </w:pPr>
          </w:p>
          <w:p>
            <w:pPr>
              <w:pStyle w:val="14"/>
              <w:jc w:val="left"/>
              <w:rPr>
                <w:rFonts w:ascii="Times New Roman"/>
                <w:sz w:val="22"/>
              </w:rPr>
            </w:pPr>
          </w:p>
          <w:p>
            <w:pPr>
              <w:pStyle w:val="14"/>
              <w:spacing w:before="144"/>
              <w:ind w:left="266" w:right="248"/>
              <w:rPr>
                <w:rFonts w:ascii="Times New Roman"/>
                <w:sz w:val="21"/>
              </w:rPr>
            </w:pPr>
            <w:r>
              <w:rPr>
                <w:rFonts w:ascii="Times New Roman"/>
                <w:sz w:val="21"/>
              </w:rPr>
              <w:t>0.05</w:t>
            </w:r>
          </w:p>
        </w:tc>
        <w:tc>
          <w:tcPr>
            <w:tcW w:w="2641" w:type="dxa"/>
            <w:tcBorders>
              <w:top w:val="single" w:color="000000" w:sz="4" w:space="0"/>
              <w:left w:val="single" w:color="000000" w:sz="4" w:space="0"/>
              <w:right w:val="single" w:color="000000" w:sz="4" w:space="0"/>
            </w:tcBorders>
          </w:tcPr>
          <w:p>
            <w:pPr>
              <w:pStyle w:val="14"/>
              <w:spacing w:before="158" w:line="290" w:lineRule="auto"/>
              <w:ind w:left="8" w:right="-15"/>
              <w:jc w:val="left"/>
              <w:rPr>
                <w:sz w:val="21"/>
              </w:rPr>
            </w:pPr>
            <w:r>
              <w:rPr>
                <w:spacing w:val="-8"/>
                <w:sz w:val="21"/>
              </w:rPr>
              <w:t xml:space="preserve">建立有 </w:t>
            </w:r>
            <w:r>
              <w:rPr>
                <w:rFonts w:ascii="Times New Roman" w:eastAsia="Times New Roman"/>
                <w:sz w:val="21"/>
              </w:rPr>
              <w:t>GB/T24001</w:t>
            </w:r>
            <w:r>
              <w:rPr>
                <w:rFonts w:ascii="Times New Roman" w:eastAsia="Times New Roman"/>
                <w:spacing w:val="2"/>
                <w:sz w:val="21"/>
              </w:rPr>
              <w:t xml:space="preserve"> </w:t>
            </w:r>
            <w:r>
              <w:rPr>
                <w:spacing w:val="6"/>
                <w:sz w:val="21"/>
              </w:rPr>
              <w:t>环境管理</w:t>
            </w:r>
            <w:r>
              <w:rPr>
                <w:spacing w:val="-10"/>
                <w:sz w:val="21"/>
              </w:rPr>
              <w:t>体系，并取得认证，能有效运行；全部完成年度环境目标</w:t>
            </w:r>
            <w:r>
              <w:rPr>
                <w:spacing w:val="-16"/>
                <w:sz w:val="21"/>
              </w:rPr>
              <w:t>指标和环境管理方案，并达到</w:t>
            </w:r>
            <w:r>
              <w:rPr>
                <w:spacing w:val="-21"/>
                <w:sz w:val="21"/>
              </w:rPr>
              <w:t>环境持续改进的要求；环境管</w:t>
            </w:r>
            <w:r>
              <w:rPr>
                <w:spacing w:val="-15"/>
                <w:sz w:val="21"/>
              </w:rPr>
              <w:t>理手册、程序文件及作业文件齐备、有效。</w:t>
            </w:r>
          </w:p>
        </w:tc>
        <w:tc>
          <w:tcPr>
            <w:tcW w:w="1879" w:type="dxa"/>
            <w:tcBorders>
              <w:top w:val="single" w:color="000000" w:sz="4" w:space="0"/>
              <w:left w:val="single" w:color="000000" w:sz="4" w:space="0"/>
              <w:right w:val="single" w:color="000000" w:sz="4" w:space="0"/>
            </w:tcBorders>
          </w:tcPr>
          <w:p>
            <w:pPr>
              <w:pStyle w:val="14"/>
              <w:spacing w:line="264" w:lineRule="exact"/>
              <w:ind w:left="9" w:right="-15"/>
              <w:jc w:val="left"/>
              <w:rPr>
                <w:rFonts w:ascii="Times New Roman" w:eastAsia="Times New Roman"/>
                <w:sz w:val="21"/>
              </w:rPr>
            </w:pPr>
            <w:r>
              <w:rPr>
                <w:spacing w:val="-15"/>
                <w:sz w:val="21"/>
              </w:rPr>
              <w:t xml:space="preserve">建 立 有 </w:t>
            </w:r>
            <w:r>
              <w:rPr>
                <w:rFonts w:ascii="Times New Roman" w:eastAsia="Times New Roman"/>
                <w:sz w:val="21"/>
              </w:rPr>
              <w:t>GB/T24001</w:t>
            </w:r>
          </w:p>
          <w:p>
            <w:pPr>
              <w:pStyle w:val="14"/>
              <w:spacing w:before="6" w:line="320" w:lineRule="atLeast"/>
              <w:ind w:left="9" w:right="-15"/>
              <w:jc w:val="left"/>
              <w:rPr>
                <w:sz w:val="21"/>
              </w:rPr>
            </w:pPr>
            <w:r>
              <w:rPr>
                <w:spacing w:val="-3"/>
                <w:sz w:val="21"/>
              </w:rPr>
              <w:t>环境管理体系，并能</w:t>
            </w:r>
            <w:r>
              <w:rPr>
                <w:spacing w:val="-6"/>
                <w:w w:val="95"/>
                <w:sz w:val="21"/>
              </w:rPr>
              <w:t>有效运行；完成年度</w:t>
            </w:r>
          </w:p>
          <w:p>
            <w:pPr>
              <w:pStyle w:val="14"/>
              <w:spacing w:line="117" w:lineRule="exact"/>
              <w:ind w:left="-113"/>
              <w:jc w:val="left"/>
              <w:rPr>
                <w:sz w:val="21"/>
              </w:rPr>
            </w:pPr>
            <w:r>
              <w:rPr>
                <w:w w:val="99"/>
                <w:sz w:val="21"/>
              </w:rPr>
              <w:t>、</w:t>
            </w:r>
          </w:p>
          <w:p>
            <w:pPr>
              <w:pStyle w:val="14"/>
              <w:spacing w:line="216" w:lineRule="exact"/>
              <w:ind w:left="9" w:right="-15"/>
              <w:jc w:val="left"/>
              <w:rPr>
                <w:sz w:val="21"/>
              </w:rPr>
            </w:pPr>
            <w:r>
              <w:rPr>
                <w:spacing w:val="-4"/>
                <w:w w:val="95"/>
                <w:sz w:val="21"/>
              </w:rPr>
              <w:t>环境目标、指标和环</w:t>
            </w:r>
          </w:p>
          <w:p>
            <w:pPr>
              <w:pStyle w:val="14"/>
              <w:spacing w:before="9" w:line="320" w:lineRule="atLeast"/>
              <w:ind w:left="9" w:right="-15"/>
              <w:jc w:val="both"/>
              <w:rPr>
                <w:sz w:val="21"/>
              </w:rPr>
            </w:pPr>
            <w:r>
              <w:rPr>
                <w:spacing w:val="-1"/>
                <w:w w:val="99"/>
                <w:sz w:val="21"/>
              </w:rPr>
              <w:t>境管理方案</w:t>
            </w:r>
            <w:r>
              <w:rPr>
                <w:rFonts w:ascii="Times New Roman" w:hAnsi="Times New Roman" w:eastAsia="Times New Roman"/>
                <w:w w:val="99"/>
                <w:sz w:val="21"/>
              </w:rPr>
              <w:t>≥</w:t>
            </w:r>
            <w:r>
              <w:rPr>
                <w:rFonts w:ascii="Times New Roman" w:hAnsi="Times New Roman" w:eastAsia="Times New Roman"/>
                <w:spacing w:val="1"/>
                <w:w w:val="99"/>
                <w:sz w:val="21"/>
              </w:rPr>
              <w:t>80</w:t>
            </w:r>
            <w:r>
              <w:rPr>
                <w:rFonts w:ascii="Times New Roman" w:hAnsi="Times New Roman" w:eastAsia="Times New Roman"/>
                <w:spacing w:val="-2"/>
                <w:w w:val="99"/>
                <w:sz w:val="21"/>
              </w:rPr>
              <w:t>%</w:t>
            </w:r>
            <w:r>
              <w:rPr>
                <w:spacing w:val="-55"/>
                <w:w w:val="99"/>
                <w:sz w:val="21"/>
              </w:rPr>
              <w:t>，达</w:t>
            </w:r>
            <w:r>
              <w:rPr>
                <w:spacing w:val="22"/>
                <w:w w:val="95"/>
                <w:sz w:val="21"/>
              </w:rPr>
              <w:t>到环境持续改进的</w:t>
            </w:r>
            <w:r>
              <w:rPr>
                <w:spacing w:val="7"/>
                <w:sz w:val="21"/>
              </w:rPr>
              <w:t>要求； 环境管理手</w:t>
            </w:r>
            <w:r>
              <w:rPr>
                <w:spacing w:val="-4"/>
                <w:w w:val="95"/>
                <w:sz w:val="21"/>
              </w:rPr>
              <w:t>册、程序文件及作业</w:t>
            </w:r>
          </w:p>
        </w:tc>
        <w:tc>
          <w:tcPr>
            <w:tcW w:w="2021" w:type="dxa"/>
            <w:tcBorders>
              <w:top w:val="single" w:color="000000" w:sz="4" w:space="0"/>
              <w:left w:val="single" w:color="000000" w:sz="4" w:space="0"/>
              <w:right w:val="single" w:color="000000" w:sz="4" w:space="0"/>
            </w:tcBorders>
          </w:tcPr>
          <w:p>
            <w:pPr>
              <w:pStyle w:val="14"/>
              <w:spacing w:line="290" w:lineRule="auto"/>
              <w:ind w:left="10" w:right="-15"/>
              <w:jc w:val="both"/>
              <w:rPr>
                <w:sz w:val="21"/>
              </w:rPr>
            </w:pPr>
            <w:r>
              <w:rPr>
                <w:spacing w:val="-3"/>
                <w:sz w:val="21"/>
              </w:rPr>
              <w:t xml:space="preserve">建立有 </w:t>
            </w:r>
            <w:r>
              <w:rPr>
                <w:rFonts w:ascii="Times New Roman" w:hAnsi="Times New Roman" w:eastAsia="Times New Roman"/>
                <w:sz w:val="21"/>
              </w:rPr>
              <w:t xml:space="preserve">GB/T24001 </w:t>
            </w:r>
            <w:r>
              <w:rPr>
                <w:spacing w:val="-11"/>
                <w:sz w:val="21"/>
              </w:rPr>
              <w:t>环</w:t>
            </w:r>
            <w:r>
              <w:rPr>
                <w:spacing w:val="-10"/>
                <w:w w:val="95"/>
                <w:sz w:val="21"/>
              </w:rPr>
              <w:t>境管理体系，并能有效</w:t>
            </w:r>
            <w:r>
              <w:rPr>
                <w:spacing w:val="-14"/>
                <w:sz w:val="21"/>
              </w:rPr>
              <w:t>运行；完成年度环境目</w:t>
            </w:r>
            <w:r>
              <w:rPr>
                <w:spacing w:val="-12"/>
                <w:w w:val="95"/>
                <w:sz w:val="21"/>
              </w:rPr>
              <w:t>标、指标和环境管理方</w:t>
            </w:r>
            <w:r>
              <w:rPr>
                <w:spacing w:val="7"/>
                <w:sz w:val="21"/>
              </w:rPr>
              <w:t>案</w:t>
            </w:r>
            <w:r>
              <w:rPr>
                <w:rFonts w:ascii="Times New Roman" w:hAnsi="Times New Roman" w:eastAsia="Times New Roman"/>
                <w:spacing w:val="2"/>
                <w:sz w:val="21"/>
              </w:rPr>
              <w:t>≥60%</w:t>
            </w:r>
            <w:r>
              <w:rPr>
                <w:spacing w:val="1"/>
                <w:sz w:val="21"/>
              </w:rPr>
              <w:t>，部分达到环</w:t>
            </w:r>
            <w:r>
              <w:rPr>
                <w:spacing w:val="-9"/>
                <w:sz w:val="21"/>
              </w:rPr>
              <w:t>境持续改进的要求；环</w:t>
            </w:r>
            <w:r>
              <w:rPr>
                <w:spacing w:val="-15"/>
                <w:w w:val="95"/>
                <w:sz w:val="21"/>
              </w:rPr>
              <w:t>境管理手册、程序文件</w:t>
            </w:r>
          </w:p>
          <w:p>
            <w:pPr>
              <w:pStyle w:val="14"/>
              <w:spacing w:before="3"/>
              <w:ind w:left="10"/>
              <w:jc w:val="left"/>
              <w:rPr>
                <w:sz w:val="21"/>
              </w:rPr>
            </w:pPr>
            <w:r>
              <w:rPr>
                <w:sz w:val="21"/>
              </w:rPr>
              <w:t>及作业文件齐备。</w:t>
            </w:r>
          </w:p>
        </w:tc>
        <w:tc>
          <w:tcPr>
            <w:tcW w:w="1165" w:type="dxa"/>
            <w:tcBorders>
              <w:top w:val="single" w:color="000000" w:sz="4" w:space="0"/>
              <w:left w:val="single" w:color="000000" w:sz="4" w:space="0"/>
            </w:tcBorders>
          </w:tcPr>
          <w:p>
            <w:pPr>
              <w:pStyle w:val="14"/>
              <w:spacing w:before="12"/>
              <w:ind w:left="22" w:right="5"/>
              <w:rPr>
                <w:sz w:val="21"/>
              </w:rPr>
            </w:pPr>
            <w:r>
              <w:rPr>
                <w:sz w:val="21"/>
              </w:rPr>
              <w:t>建立有</w:t>
            </w:r>
          </w:p>
          <w:p>
            <w:pPr>
              <w:pStyle w:val="14"/>
              <w:spacing w:before="57"/>
              <w:ind w:left="24" w:right="4"/>
              <w:rPr>
                <w:rFonts w:ascii="Times New Roman"/>
                <w:sz w:val="21"/>
              </w:rPr>
            </w:pPr>
            <w:r>
              <w:rPr>
                <w:rFonts w:ascii="Times New Roman"/>
                <w:sz w:val="21"/>
              </w:rPr>
              <w:t>GB/T24001</w:t>
            </w:r>
          </w:p>
          <w:p>
            <w:pPr>
              <w:pStyle w:val="14"/>
              <w:spacing w:before="49" w:line="290" w:lineRule="auto"/>
              <w:ind w:left="60" w:right="38"/>
              <w:jc w:val="both"/>
              <w:rPr>
                <w:sz w:val="21"/>
              </w:rPr>
            </w:pPr>
            <w:r>
              <w:rPr>
                <w:spacing w:val="-3"/>
                <w:sz w:val="21"/>
              </w:rPr>
              <w:t>环境管理体系，并能有效运行；完成年度环境目标、指标</w:t>
            </w:r>
            <w:r>
              <w:rPr>
                <w:spacing w:val="-3"/>
                <w:w w:val="95"/>
                <w:sz w:val="21"/>
              </w:rPr>
              <w:t>和环境管理</w:t>
            </w:r>
          </w:p>
        </w:tc>
      </w:tr>
    </w:tbl>
    <w:p>
      <w:pPr>
        <w:spacing w:after="0" w:line="290" w:lineRule="auto"/>
        <w:jc w:val="both"/>
        <w:rPr>
          <w:sz w:val="21"/>
        </w:rPr>
        <w:sectPr>
          <w:pgSz w:w="16840" w:h="11910" w:orient="landscape"/>
          <w:pgMar w:top="1100" w:right="1280" w:bottom="800" w:left="1280" w:header="0" w:footer="605" w:gutter="0"/>
        </w:sectPr>
      </w:pPr>
    </w:p>
    <w:p>
      <w:pPr>
        <w:pStyle w:val="6"/>
        <w:spacing w:before="1"/>
        <w:rPr>
          <w:rFonts w:ascii="Times New Roman"/>
          <w:sz w:val="27"/>
        </w:rPr>
      </w:pPr>
    </w:p>
    <w:tbl>
      <w:tblPr>
        <w:tblStyle w:val="10"/>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72"/>
        <w:gridCol w:w="1090"/>
        <w:gridCol w:w="1068"/>
        <w:gridCol w:w="1818"/>
        <w:gridCol w:w="835"/>
        <w:gridCol w:w="933"/>
        <w:gridCol w:w="2641"/>
        <w:gridCol w:w="1879"/>
        <w:gridCol w:w="2021"/>
        <w:gridCol w:w="11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572" w:type="dxa"/>
            <w:tcBorders>
              <w:bottom w:val="single" w:color="000000" w:sz="4" w:space="0"/>
              <w:right w:val="single" w:color="000000" w:sz="4" w:space="0"/>
            </w:tcBorders>
          </w:tcPr>
          <w:p>
            <w:pPr>
              <w:pStyle w:val="14"/>
              <w:spacing w:before="165"/>
              <w:ind w:left="56" w:right="41"/>
              <w:rPr>
                <w:sz w:val="21"/>
              </w:rPr>
            </w:pPr>
            <w:r>
              <w:rPr>
                <w:sz w:val="21"/>
              </w:rPr>
              <w:t>序号</w:t>
            </w:r>
          </w:p>
        </w:tc>
        <w:tc>
          <w:tcPr>
            <w:tcW w:w="1090" w:type="dxa"/>
            <w:tcBorders>
              <w:left w:val="single" w:color="000000" w:sz="4" w:space="0"/>
              <w:bottom w:val="single" w:color="000000" w:sz="4" w:space="0"/>
              <w:right w:val="single" w:color="000000" w:sz="4" w:space="0"/>
            </w:tcBorders>
          </w:tcPr>
          <w:p>
            <w:pPr>
              <w:pStyle w:val="14"/>
              <w:spacing w:before="2"/>
              <w:ind w:left="16"/>
              <w:rPr>
                <w:sz w:val="21"/>
              </w:rPr>
            </w:pPr>
            <w:r>
              <w:rPr>
                <w:sz w:val="21"/>
              </w:rPr>
              <w:t>一级指标指</w:t>
            </w:r>
          </w:p>
          <w:p>
            <w:pPr>
              <w:pStyle w:val="14"/>
              <w:spacing w:before="55"/>
              <w:ind w:left="18"/>
              <w:rPr>
                <w:sz w:val="21"/>
              </w:rPr>
            </w:pPr>
            <w:r>
              <w:rPr>
                <w:sz w:val="21"/>
              </w:rPr>
              <w:t>标项</w:t>
            </w:r>
          </w:p>
        </w:tc>
        <w:tc>
          <w:tcPr>
            <w:tcW w:w="1068" w:type="dxa"/>
            <w:tcBorders>
              <w:left w:val="single" w:color="000000" w:sz="4" w:space="0"/>
              <w:bottom w:val="single" w:color="000000" w:sz="4" w:space="0"/>
              <w:right w:val="single" w:color="000000" w:sz="4" w:space="0"/>
            </w:tcBorders>
          </w:tcPr>
          <w:p>
            <w:pPr>
              <w:pStyle w:val="14"/>
              <w:spacing w:before="2"/>
              <w:ind w:left="13" w:right="-15"/>
              <w:rPr>
                <w:sz w:val="21"/>
              </w:rPr>
            </w:pPr>
            <w:r>
              <w:rPr>
                <w:sz w:val="21"/>
              </w:rPr>
              <w:t>一级指标权</w:t>
            </w:r>
          </w:p>
          <w:p>
            <w:pPr>
              <w:pStyle w:val="14"/>
              <w:spacing w:before="55"/>
              <w:ind w:left="306" w:right="290"/>
              <w:rPr>
                <w:sz w:val="21"/>
              </w:rPr>
            </w:pPr>
            <w:r>
              <w:rPr>
                <w:sz w:val="21"/>
              </w:rPr>
              <w:t>重值</w:t>
            </w:r>
          </w:p>
        </w:tc>
        <w:tc>
          <w:tcPr>
            <w:tcW w:w="1818" w:type="dxa"/>
            <w:tcBorders>
              <w:left w:val="single" w:color="000000" w:sz="4" w:space="0"/>
              <w:bottom w:val="single" w:color="000000" w:sz="4" w:space="0"/>
              <w:right w:val="single" w:color="000000" w:sz="4" w:space="0"/>
            </w:tcBorders>
          </w:tcPr>
          <w:p>
            <w:pPr>
              <w:pStyle w:val="14"/>
              <w:spacing w:before="165"/>
              <w:ind w:left="43" w:right="24"/>
              <w:rPr>
                <w:sz w:val="21"/>
              </w:rPr>
            </w:pPr>
            <w:r>
              <w:rPr>
                <w:sz w:val="21"/>
              </w:rPr>
              <w:t>二级指标指标项</w:t>
            </w:r>
          </w:p>
        </w:tc>
        <w:tc>
          <w:tcPr>
            <w:tcW w:w="835" w:type="dxa"/>
            <w:tcBorders>
              <w:left w:val="single" w:color="000000" w:sz="4" w:space="0"/>
              <w:bottom w:val="single" w:color="000000" w:sz="4" w:space="0"/>
              <w:right w:val="single" w:color="000000" w:sz="4" w:space="0"/>
            </w:tcBorders>
          </w:tcPr>
          <w:p>
            <w:pPr>
              <w:pStyle w:val="14"/>
              <w:spacing w:before="165"/>
              <w:ind w:left="190" w:right="174"/>
              <w:rPr>
                <w:sz w:val="21"/>
              </w:rPr>
            </w:pPr>
            <w:r>
              <w:rPr>
                <w:sz w:val="21"/>
              </w:rPr>
              <w:t>单位</w:t>
            </w:r>
          </w:p>
        </w:tc>
        <w:tc>
          <w:tcPr>
            <w:tcW w:w="933" w:type="dxa"/>
            <w:tcBorders>
              <w:left w:val="single" w:color="000000" w:sz="4" w:space="0"/>
              <w:bottom w:val="single" w:color="000000" w:sz="4" w:space="0"/>
              <w:right w:val="single" w:color="000000" w:sz="4" w:space="0"/>
            </w:tcBorders>
          </w:tcPr>
          <w:p>
            <w:pPr>
              <w:pStyle w:val="14"/>
              <w:spacing w:before="2"/>
              <w:ind w:left="51"/>
              <w:jc w:val="left"/>
              <w:rPr>
                <w:sz w:val="21"/>
              </w:rPr>
            </w:pPr>
            <w:r>
              <w:rPr>
                <w:w w:val="95"/>
                <w:sz w:val="21"/>
              </w:rPr>
              <w:t>二级指标</w:t>
            </w:r>
          </w:p>
          <w:p>
            <w:pPr>
              <w:pStyle w:val="14"/>
              <w:spacing w:before="55"/>
              <w:ind w:left="51"/>
              <w:jc w:val="left"/>
              <w:rPr>
                <w:sz w:val="21"/>
              </w:rPr>
            </w:pPr>
            <w:r>
              <w:rPr>
                <w:w w:val="95"/>
                <w:sz w:val="21"/>
              </w:rPr>
              <w:t>分权重值</w:t>
            </w:r>
          </w:p>
        </w:tc>
        <w:tc>
          <w:tcPr>
            <w:tcW w:w="2641" w:type="dxa"/>
            <w:tcBorders>
              <w:left w:val="single" w:color="000000" w:sz="4" w:space="0"/>
              <w:bottom w:val="single" w:color="000000" w:sz="4" w:space="0"/>
              <w:right w:val="single" w:color="000000" w:sz="4" w:space="0"/>
            </w:tcBorders>
          </w:tcPr>
          <w:p>
            <w:pPr>
              <w:pStyle w:val="14"/>
              <w:spacing w:before="165"/>
              <w:ind w:left="800"/>
              <w:jc w:val="left"/>
              <w:rPr>
                <w:sz w:val="21"/>
              </w:rPr>
            </w:pPr>
            <w:r>
              <w:rPr>
                <w:sz w:val="21"/>
              </w:rPr>
              <w:t>Ⅰ级基准值</w:t>
            </w:r>
          </w:p>
        </w:tc>
        <w:tc>
          <w:tcPr>
            <w:tcW w:w="1879" w:type="dxa"/>
            <w:tcBorders>
              <w:left w:val="single" w:color="000000" w:sz="4" w:space="0"/>
              <w:bottom w:val="single" w:color="000000" w:sz="4" w:space="0"/>
              <w:right w:val="single" w:color="000000" w:sz="4" w:space="0"/>
            </w:tcBorders>
          </w:tcPr>
          <w:p>
            <w:pPr>
              <w:pStyle w:val="14"/>
              <w:spacing w:before="165"/>
              <w:ind w:left="417"/>
              <w:jc w:val="left"/>
              <w:rPr>
                <w:sz w:val="21"/>
              </w:rPr>
            </w:pPr>
            <w:r>
              <w:rPr>
                <w:sz w:val="21"/>
              </w:rPr>
              <w:t>Ⅱ级基准值</w:t>
            </w:r>
          </w:p>
        </w:tc>
        <w:tc>
          <w:tcPr>
            <w:tcW w:w="2021" w:type="dxa"/>
            <w:tcBorders>
              <w:left w:val="single" w:color="000000" w:sz="4" w:space="0"/>
              <w:bottom w:val="single" w:color="000000" w:sz="4" w:space="0"/>
              <w:right w:val="single" w:color="000000" w:sz="4" w:space="0"/>
            </w:tcBorders>
          </w:tcPr>
          <w:p>
            <w:pPr>
              <w:pStyle w:val="14"/>
              <w:spacing w:before="165"/>
              <w:ind w:left="490"/>
              <w:jc w:val="left"/>
              <w:rPr>
                <w:sz w:val="21"/>
              </w:rPr>
            </w:pPr>
            <w:r>
              <w:rPr>
                <w:sz w:val="21"/>
              </w:rPr>
              <w:t>Ⅲ级基准值</w:t>
            </w:r>
          </w:p>
        </w:tc>
        <w:tc>
          <w:tcPr>
            <w:tcW w:w="1165" w:type="dxa"/>
            <w:tcBorders>
              <w:left w:val="single" w:color="000000" w:sz="4" w:space="0"/>
              <w:bottom w:val="single" w:color="000000" w:sz="4" w:space="0"/>
            </w:tcBorders>
          </w:tcPr>
          <w:p>
            <w:pPr>
              <w:pStyle w:val="14"/>
              <w:spacing w:before="2"/>
              <w:ind w:left="22" w:right="5"/>
              <w:rPr>
                <w:sz w:val="21"/>
              </w:rPr>
            </w:pPr>
            <w:r>
              <w:rPr>
                <w:sz w:val="21"/>
              </w:rPr>
              <w:t>本煤矿扩建</w:t>
            </w:r>
          </w:p>
          <w:p>
            <w:pPr>
              <w:pStyle w:val="14"/>
              <w:spacing w:before="55"/>
              <w:ind w:left="19"/>
              <w:rPr>
                <w:sz w:val="21"/>
              </w:rPr>
            </w:pPr>
            <w:r>
              <w:rPr>
                <w:w w:val="99"/>
                <w:sz w:val="21"/>
              </w:rPr>
              <w:t>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08" w:hRule="atLeast"/>
        </w:trPr>
        <w:tc>
          <w:tcPr>
            <w:tcW w:w="572" w:type="dxa"/>
            <w:tcBorders>
              <w:top w:val="single" w:color="000000" w:sz="4" w:space="0"/>
              <w:bottom w:val="single" w:color="000000" w:sz="4" w:space="0"/>
              <w:right w:val="single" w:color="000000" w:sz="4" w:space="0"/>
            </w:tcBorders>
          </w:tcPr>
          <w:p>
            <w:pPr>
              <w:pStyle w:val="14"/>
              <w:jc w:val="left"/>
              <w:rPr>
                <w:rFonts w:ascii="Times New Roman"/>
                <w:sz w:val="20"/>
              </w:rPr>
            </w:pPr>
          </w:p>
        </w:tc>
        <w:tc>
          <w:tcPr>
            <w:tcW w:w="1090" w:type="dxa"/>
            <w:vMerge w:val="restart"/>
            <w:tcBorders>
              <w:top w:val="single" w:color="000000" w:sz="4" w:space="0"/>
              <w:left w:val="single" w:color="000000" w:sz="4" w:space="0"/>
              <w:right w:val="single" w:color="000000" w:sz="4" w:space="0"/>
            </w:tcBorders>
          </w:tcPr>
          <w:p>
            <w:pPr>
              <w:pStyle w:val="14"/>
              <w:jc w:val="left"/>
              <w:rPr>
                <w:rFonts w:ascii="Times New Roman"/>
                <w:sz w:val="20"/>
              </w:rPr>
            </w:pPr>
          </w:p>
        </w:tc>
        <w:tc>
          <w:tcPr>
            <w:tcW w:w="1068" w:type="dxa"/>
            <w:vMerge w:val="restart"/>
            <w:tcBorders>
              <w:top w:val="single" w:color="000000" w:sz="4" w:space="0"/>
              <w:left w:val="single" w:color="000000" w:sz="4" w:space="0"/>
              <w:right w:val="single" w:color="000000" w:sz="4" w:space="0"/>
            </w:tcBorders>
          </w:tcPr>
          <w:p>
            <w:pPr>
              <w:pStyle w:val="14"/>
              <w:jc w:val="left"/>
              <w:rPr>
                <w:rFonts w:ascii="Times New Roman"/>
                <w:sz w:val="20"/>
              </w:rPr>
            </w:pPr>
          </w:p>
        </w:tc>
        <w:tc>
          <w:tcPr>
            <w:tcW w:w="1818"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835"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933"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264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879" w:type="dxa"/>
            <w:tcBorders>
              <w:top w:val="single" w:color="000000" w:sz="4" w:space="0"/>
              <w:left w:val="single" w:color="000000" w:sz="4" w:space="0"/>
              <w:bottom w:val="single" w:color="000000" w:sz="4" w:space="0"/>
              <w:right w:val="single" w:color="000000" w:sz="4" w:space="0"/>
            </w:tcBorders>
          </w:tcPr>
          <w:p>
            <w:pPr>
              <w:pStyle w:val="14"/>
              <w:ind w:left="9"/>
              <w:jc w:val="left"/>
              <w:rPr>
                <w:sz w:val="21"/>
              </w:rPr>
            </w:pPr>
            <w:r>
              <w:rPr>
                <w:sz w:val="21"/>
              </w:rPr>
              <w:t>文件齐备、有效。</w:t>
            </w:r>
          </w:p>
        </w:tc>
        <w:tc>
          <w:tcPr>
            <w:tcW w:w="202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1165" w:type="dxa"/>
            <w:tcBorders>
              <w:top w:val="single" w:color="000000" w:sz="4" w:space="0"/>
              <w:left w:val="single" w:color="000000" w:sz="4" w:space="0"/>
              <w:bottom w:val="single" w:color="000000" w:sz="4" w:space="0"/>
            </w:tcBorders>
          </w:tcPr>
          <w:p>
            <w:pPr>
              <w:pStyle w:val="14"/>
              <w:spacing w:line="290" w:lineRule="auto"/>
              <w:ind w:left="60" w:hanging="41"/>
              <w:jc w:val="both"/>
              <w:rPr>
                <w:sz w:val="21"/>
              </w:rPr>
            </w:pPr>
            <w:r>
              <w:rPr>
                <w:sz w:val="21"/>
              </w:rPr>
              <w:t>方案</w:t>
            </w:r>
            <w:r>
              <w:rPr>
                <w:rFonts w:ascii="Times New Roman" w:hAnsi="Times New Roman" w:eastAsia="Times New Roman"/>
                <w:sz w:val="21"/>
              </w:rPr>
              <w:t>≥80%</w:t>
            </w:r>
            <w:r>
              <w:rPr>
                <w:sz w:val="21"/>
              </w:rPr>
              <w:t>， 达到环境持续改进的要求；环境管理手册、程序文件及作业文件齐</w:t>
            </w:r>
          </w:p>
          <w:p>
            <w:pPr>
              <w:pStyle w:val="14"/>
              <w:spacing w:before="8"/>
              <w:ind w:left="60"/>
              <w:jc w:val="left"/>
              <w:rPr>
                <w:sz w:val="21"/>
              </w:rPr>
            </w:pPr>
            <w:r>
              <w:rPr>
                <w:sz w:val="21"/>
              </w:rPr>
              <w:t>备、有效。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8" w:hRule="atLeast"/>
        </w:trPr>
        <w:tc>
          <w:tcPr>
            <w:tcW w:w="572" w:type="dxa"/>
            <w:tcBorders>
              <w:top w:val="single" w:color="000000" w:sz="4" w:space="0"/>
              <w:bottom w:val="single" w:color="000000" w:sz="4" w:space="0"/>
              <w:right w:val="single" w:color="000000" w:sz="4" w:space="0"/>
            </w:tcBorders>
          </w:tcPr>
          <w:p>
            <w:pPr>
              <w:pStyle w:val="14"/>
              <w:jc w:val="left"/>
              <w:rPr>
                <w:rFonts w:ascii="Times New Roman"/>
                <w:sz w:val="22"/>
              </w:rPr>
            </w:pPr>
          </w:p>
          <w:p>
            <w:pPr>
              <w:pStyle w:val="14"/>
              <w:jc w:val="left"/>
              <w:rPr>
                <w:rFonts w:ascii="Times New Roman"/>
                <w:sz w:val="22"/>
              </w:rPr>
            </w:pPr>
          </w:p>
          <w:p>
            <w:pPr>
              <w:pStyle w:val="14"/>
              <w:jc w:val="left"/>
              <w:rPr>
                <w:rFonts w:ascii="Times New Roman"/>
                <w:sz w:val="22"/>
              </w:rPr>
            </w:pPr>
          </w:p>
          <w:p>
            <w:pPr>
              <w:pStyle w:val="14"/>
              <w:jc w:val="left"/>
              <w:rPr>
                <w:rFonts w:ascii="Times New Roman"/>
                <w:sz w:val="22"/>
              </w:rPr>
            </w:pPr>
          </w:p>
          <w:p>
            <w:pPr>
              <w:pStyle w:val="14"/>
              <w:jc w:val="left"/>
              <w:rPr>
                <w:rFonts w:ascii="Times New Roman"/>
                <w:sz w:val="22"/>
              </w:rPr>
            </w:pPr>
          </w:p>
          <w:p>
            <w:pPr>
              <w:pStyle w:val="14"/>
              <w:spacing w:before="1"/>
              <w:jc w:val="left"/>
              <w:rPr>
                <w:rFonts w:ascii="Times New Roman"/>
                <w:sz w:val="19"/>
              </w:rPr>
            </w:pPr>
          </w:p>
          <w:p>
            <w:pPr>
              <w:pStyle w:val="14"/>
              <w:ind w:left="56" w:right="38"/>
              <w:rPr>
                <w:rFonts w:ascii="Times New Roman"/>
                <w:sz w:val="21"/>
              </w:rPr>
            </w:pPr>
            <w:r>
              <w:rPr>
                <w:rFonts w:ascii="Times New Roman"/>
                <w:sz w:val="21"/>
              </w:rPr>
              <w:t>34</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spacing w:before="152" w:line="290" w:lineRule="auto"/>
              <w:ind w:left="599" w:right="54" w:hanging="526"/>
              <w:jc w:val="left"/>
              <w:rPr>
                <w:sz w:val="21"/>
              </w:rPr>
            </w:pPr>
            <w:r>
              <w:rPr>
                <w:sz w:val="21"/>
              </w:rPr>
              <w:t>管理机构及环境管理制度</w:t>
            </w:r>
          </w:p>
        </w:tc>
        <w:tc>
          <w:tcPr>
            <w:tcW w:w="835"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spacing w:before="5"/>
              <w:jc w:val="left"/>
              <w:rPr>
                <w:rFonts w:ascii="Times New Roman"/>
                <w:sz w:val="27"/>
              </w:rPr>
            </w:pPr>
          </w:p>
          <w:p>
            <w:pPr>
              <w:pStyle w:val="14"/>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2"/>
              </w:rPr>
            </w:pPr>
          </w:p>
          <w:p>
            <w:pPr>
              <w:pStyle w:val="14"/>
              <w:jc w:val="left"/>
              <w:rPr>
                <w:rFonts w:ascii="Times New Roman"/>
                <w:sz w:val="22"/>
              </w:rPr>
            </w:pPr>
          </w:p>
          <w:p>
            <w:pPr>
              <w:pStyle w:val="14"/>
              <w:jc w:val="left"/>
              <w:rPr>
                <w:rFonts w:ascii="Times New Roman"/>
                <w:sz w:val="22"/>
              </w:rPr>
            </w:pPr>
          </w:p>
          <w:p>
            <w:pPr>
              <w:pStyle w:val="14"/>
              <w:jc w:val="left"/>
              <w:rPr>
                <w:rFonts w:ascii="Times New Roman"/>
                <w:sz w:val="22"/>
              </w:rPr>
            </w:pPr>
          </w:p>
          <w:p>
            <w:pPr>
              <w:pStyle w:val="14"/>
              <w:jc w:val="left"/>
              <w:rPr>
                <w:rFonts w:ascii="Times New Roman"/>
                <w:sz w:val="22"/>
              </w:rPr>
            </w:pPr>
          </w:p>
          <w:p>
            <w:pPr>
              <w:pStyle w:val="14"/>
              <w:spacing w:before="1"/>
              <w:jc w:val="left"/>
              <w:rPr>
                <w:rFonts w:ascii="Times New Roman"/>
                <w:sz w:val="19"/>
              </w:rPr>
            </w:pPr>
          </w:p>
          <w:p>
            <w:pPr>
              <w:pStyle w:val="14"/>
              <w:ind w:left="339"/>
              <w:jc w:val="left"/>
              <w:rPr>
                <w:rFonts w:ascii="Times New Roman"/>
                <w:sz w:val="21"/>
              </w:rPr>
            </w:pPr>
            <w:r>
              <w:rPr>
                <w:rFonts w:ascii="Times New Roman"/>
                <w:sz w:val="21"/>
              </w:rPr>
              <w:t>0.1</w:t>
            </w:r>
          </w:p>
        </w:tc>
        <w:tc>
          <w:tcPr>
            <w:tcW w:w="4520" w:type="dxa"/>
            <w:gridSpan w:val="2"/>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jc w:val="left"/>
              <w:rPr>
                <w:rFonts w:ascii="Times New Roman"/>
                <w:sz w:val="19"/>
              </w:rPr>
            </w:pPr>
          </w:p>
          <w:p>
            <w:pPr>
              <w:pStyle w:val="14"/>
              <w:spacing w:before="1" w:line="290" w:lineRule="auto"/>
              <w:ind w:left="8" w:right="-15"/>
              <w:jc w:val="both"/>
              <w:rPr>
                <w:sz w:val="21"/>
              </w:rPr>
            </w:pPr>
            <w:r>
              <w:rPr>
                <w:spacing w:val="3"/>
                <w:w w:val="95"/>
                <w:sz w:val="21"/>
              </w:rPr>
              <w:t xml:space="preserve">设有独立的节能环保管理职能部门，配有专职管 理人员，环境管理制度健全、完善，并纳入日常 </w:t>
            </w:r>
            <w:r>
              <w:rPr>
                <w:spacing w:val="3"/>
                <w:sz w:val="21"/>
              </w:rPr>
              <w:t>管理</w:t>
            </w:r>
          </w:p>
        </w:tc>
        <w:tc>
          <w:tcPr>
            <w:tcW w:w="2021"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spacing w:before="10"/>
              <w:jc w:val="left"/>
              <w:rPr>
                <w:rFonts w:ascii="Times New Roman"/>
                <w:sz w:val="24"/>
              </w:rPr>
            </w:pPr>
          </w:p>
          <w:p>
            <w:pPr>
              <w:pStyle w:val="14"/>
              <w:spacing w:line="290" w:lineRule="auto"/>
              <w:ind w:left="10" w:right="-15"/>
              <w:jc w:val="both"/>
              <w:rPr>
                <w:sz w:val="21"/>
              </w:rPr>
            </w:pPr>
            <w:r>
              <w:rPr>
                <w:spacing w:val="12"/>
                <w:w w:val="95"/>
                <w:sz w:val="21"/>
              </w:rPr>
              <w:t>有明确的节能环保管</w:t>
            </w:r>
            <w:r>
              <w:rPr>
                <w:spacing w:val="-3"/>
                <w:sz w:val="21"/>
              </w:rPr>
              <w:t>理部门和人员，环境管</w:t>
            </w:r>
            <w:r>
              <w:rPr>
                <w:spacing w:val="-12"/>
                <w:sz w:val="21"/>
              </w:rPr>
              <w:t>理制度较完善，并纳入日常管理</w:t>
            </w:r>
          </w:p>
        </w:tc>
        <w:tc>
          <w:tcPr>
            <w:tcW w:w="1165" w:type="dxa"/>
            <w:tcBorders>
              <w:top w:val="single" w:color="000000" w:sz="4" w:space="0"/>
              <w:left w:val="single" w:color="000000" w:sz="4" w:space="0"/>
              <w:bottom w:val="single" w:color="000000" w:sz="4" w:space="0"/>
            </w:tcBorders>
          </w:tcPr>
          <w:p>
            <w:pPr>
              <w:pStyle w:val="14"/>
              <w:spacing w:line="290" w:lineRule="auto"/>
              <w:ind w:left="60" w:right="38"/>
              <w:rPr>
                <w:sz w:val="21"/>
              </w:rPr>
            </w:pPr>
            <w:r>
              <w:rPr>
                <w:spacing w:val="-3"/>
                <w:sz w:val="21"/>
              </w:rPr>
              <w:t>设有独立的节能环保管</w:t>
            </w:r>
            <w:r>
              <w:rPr>
                <w:sz w:val="21"/>
              </w:rPr>
              <w:t xml:space="preserve">理职能部 </w:t>
            </w:r>
            <w:r>
              <w:rPr>
                <w:spacing w:val="-3"/>
                <w:sz w:val="21"/>
              </w:rPr>
              <w:t>门，配有专</w:t>
            </w:r>
            <w:r>
              <w:rPr>
                <w:sz w:val="21"/>
              </w:rPr>
              <w:t xml:space="preserve">职管理人 </w:t>
            </w:r>
            <w:r>
              <w:rPr>
                <w:spacing w:val="-3"/>
                <w:sz w:val="21"/>
              </w:rPr>
              <w:t>员，环境管</w:t>
            </w:r>
            <w:r>
              <w:rPr>
                <w:sz w:val="21"/>
              </w:rPr>
              <w:t xml:space="preserve">理制度健 </w:t>
            </w:r>
            <w:r>
              <w:rPr>
                <w:spacing w:val="-3"/>
                <w:sz w:val="21"/>
              </w:rPr>
              <w:t>全、完善， 并纳入日常</w:t>
            </w:r>
          </w:p>
          <w:p>
            <w:pPr>
              <w:pStyle w:val="14"/>
              <w:spacing w:before="7"/>
              <w:ind w:left="22" w:right="5"/>
              <w:rPr>
                <w:sz w:val="21"/>
              </w:rPr>
            </w:pPr>
            <w:r>
              <w:rPr>
                <w:sz w:val="21"/>
              </w:rPr>
              <w:t>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572" w:type="dxa"/>
            <w:tcBorders>
              <w:top w:val="single" w:color="000000" w:sz="4" w:space="0"/>
              <w:bottom w:val="single" w:color="000000" w:sz="4" w:space="0"/>
              <w:right w:val="single" w:color="000000" w:sz="4" w:space="0"/>
            </w:tcBorders>
          </w:tcPr>
          <w:p>
            <w:pPr>
              <w:pStyle w:val="14"/>
              <w:spacing w:before="21"/>
              <w:ind w:left="56" w:right="38"/>
              <w:rPr>
                <w:rFonts w:ascii="Times New Roman"/>
                <w:sz w:val="21"/>
              </w:rPr>
            </w:pPr>
            <w:r>
              <w:rPr>
                <w:rFonts w:ascii="Times New Roman"/>
                <w:sz w:val="21"/>
              </w:rPr>
              <w:t>35</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bottom w:val="single" w:color="000000" w:sz="4" w:space="0"/>
              <w:right w:val="single" w:color="000000" w:sz="4" w:space="0"/>
            </w:tcBorders>
          </w:tcPr>
          <w:p>
            <w:pPr>
              <w:pStyle w:val="14"/>
              <w:spacing w:before="2"/>
              <w:ind w:left="41" w:right="24"/>
              <w:rPr>
                <w:sz w:val="21"/>
              </w:rPr>
            </w:pPr>
            <w:r>
              <w:rPr>
                <w:rFonts w:ascii="Times New Roman" w:eastAsia="Times New Roman"/>
                <w:w w:val="95"/>
                <w:sz w:val="21"/>
              </w:rPr>
              <w:t>*</w:t>
            </w:r>
            <w:r>
              <w:rPr>
                <w:w w:val="95"/>
                <w:sz w:val="21"/>
              </w:rPr>
              <w:t>排污口规范化管理</w:t>
            </w:r>
          </w:p>
        </w:tc>
        <w:tc>
          <w:tcPr>
            <w:tcW w:w="835" w:type="dxa"/>
            <w:tcBorders>
              <w:top w:val="single" w:color="000000" w:sz="4" w:space="0"/>
              <w:left w:val="single" w:color="000000" w:sz="4" w:space="0"/>
              <w:bottom w:val="single" w:color="000000" w:sz="4" w:space="0"/>
              <w:right w:val="single" w:color="000000" w:sz="4" w:space="0"/>
            </w:tcBorders>
          </w:tcPr>
          <w:p>
            <w:pPr>
              <w:pStyle w:val="14"/>
              <w:spacing w:before="2"/>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4"/>
              <w:spacing w:before="21"/>
              <w:ind w:left="339"/>
              <w:jc w:val="left"/>
              <w:rPr>
                <w:rFonts w:ascii="Times New Roman"/>
                <w:sz w:val="21"/>
              </w:rPr>
            </w:pPr>
            <w:r>
              <w:rPr>
                <w:rFonts w:ascii="Times New Roman"/>
                <w:sz w:val="21"/>
              </w:rPr>
              <w:t>0.1</w:t>
            </w:r>
          </w:p>
        </w:tc>
        <w:tc>
          <w:tcPr>
            <w:tcW w:w="6541" w:type="dxa"/>
            <w:gridSpan w:val="3"/>
            <w:tcBorders>
              <w:top w:val="single" w:color="000000" w:sz="4" w:space="0"/>
              <w:left w:val="single" w:color="000000" w:sz="4" w:space="0"/>
              <w:bottom w:val="single" w:color="000000" w:sz="4" w:space="0"/>
              <w:right w:val="single" w:color="000000" w:sz="4" w:space="0"/>
            </w:tcBorders>
          </w:tcPr>
          <w:p>
            <w:pPr>
              <w:pStyle w:val="14"/>
              <w:spacing w:before="2"/>
              <w:ind w:left="8"/>
              <w:jc w:val="left"/>
              <w:rPr>
                <w:sz w:val="21"/>
              </w:rPr>
            </w:pPr>
            <w:r>
              <w:rPr>
                <w:sz w:val="21"/>
              </w:rPr>
              <w:t>排污口设置符合《排污口规范化整治技术要求（试行）》相关要求</w:t>
            </w:r>
          </w:p>
        </w:tc>
        <w:tc>
          <w:tcPr>
            <w:tcW w:w="1165" w:type="dxa"/>
            <w:tcBorders>
              <w:top w:val="single" w:color="000000" w:sz="4" w:space="0"/>
              <w:left w:val="single" w:color="000000" w:sz="4" w:space="0"/>
              <w:bottom w:val="single" w:color="000000" w:sz="4" w:space="0"/>
            </w:tcBorders>
          </w:tcPr>
          <w:p>
            <w:pPr>
              <w:pStyle w:val="14"/>
              <w:spacing w:before="2"/>
              <w:ind w:left="163"/>
              <w:jc w:val="left"/>
              <w:rPr>
                <w:sz w:val="21"/>
              </w:rPr>
            </w:pPr>
            <w:r>
              <w:rPr>
                <w:sz w:val="21"/>
              </w:rPr>
              <w:t>符合要求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53" w:hRule="atLeast"/>
        </w:trPr>
        <w:tc>
          <w:tcPr>
            <w:tcW w:w="572" w:type="dxa"/>
            <w:tcBorders>
              <w:top w:val="single" w:color="000000" w:sz="4" w:space="0"/>
              <w:right w:val="single" w:color="000000" w:sz="4" w:space="0"/>
            </w:tcBorders>
          </w:tcPr>
          <w:p>
            <w:pPr>
              <w:pStyle w:val="14"/>
              <w:jc w:val="left"/>
              <w:rPr>
                <w:rFonts w:ascii="Times New Roman"/>
                <w:sz w:val="22"/>
              </w:rPr>
            </w:pPr>
          </w:p>
          <w:p>
            <w:pPr>
              <w:pStyle w:val="14"/>
              <w:jc w:val="left"/>
              <w:rPr>
                <w:rFonts w:ascii="Times New Roman"/>
                <w:sz w:val="22"/>
              </w:rPr>
            </w:pPr>
          </w:p>
          <w:p>
            <w:pPr>
              <w:pStyle w:val="14"/>
              <w:spacing w:before="2"/>
              <w:jc w:val="left"/>
              <w:rPr>
                <w:rFonts w:ascii="Times New Roman"/>
                <w:sz w:val="28"/>
              </w:rPr>
            </w:pPr>
          </w:p>
          <w:p>
            <w:pPr>
              <w:pStyle w:val="14"/>
              <w:ind w:left="56" w:right="38"/>
              <w:rPr>
                <w:rFonts w:ascii="Times New Roman"/>
                <w:sz w:val="21"/>
              </w:rPr>
            </w:pPr>
            <w:r>
              <w:rPr>
                <w:rFonts w:ascii="Times New Roman"/>
                <w:sz w:val="21"/>
              </w:rPr>
              <w:t>36</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right w:val="single" w:color="000000" w:sz="4" w:space="0"/>
            </w:tcBorders>
          </w:tcPr>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spacing w:before="121"/>
              <w:ind w:left="41" w:right="24"/>
              <w:rPr>
                <w:sz w:val="21"/>
              </w:rPr>
            </w:pPr>
            <w:r>
              <w:rPr>
                <w:sz w:val="21"/>
              </w:rPr>
              <w:t>生态环境管理规划</w:t>
            </w:r>
          </w:p>
        </w:tc>
        <w:tc>
          <w:tcPr>
            <w:tcW w:w="835" w:type="dxa"/>
            <w:tcBorders>
              <w:top w:val="single" w:color="000000" w:sz="4" w:space="0"/>
              <w:left w:val="single" w:color="000000" w:sz="4" w:space="0"/>
              <w:right w:val="single" w:color="000000" w:sz="4" w:space="0"/>
            </w:tcBorders>
          </w:tcPr>
          <w:p>
            <w:pPr>
              <w:pStyle w:val="14"/>
              <w:jc w:val="left"/>
              <w:rPr>
                <w:rFonts w:ascii="Times New Roman"/>
                <w:sz w:val="20"/>
              </w:rPr>
            </w:pPr>
          </w:p>
          <w:p>
            <w:pPr>
              <w:pStyle w:val="14"/>
              <w:jc w:val="left"/>
              <w:rPr>
                <w:rFonts w:ascii="Times New Roman"/>
                <w:sz w:val="20"/>
              </w:rPr>
            </w:pPr>
          </w:p>
          <w:p>
            <w:pPr>
              <w:pStyle w:val="14"/>
              <w:jc w:val="left"/>
              <w:rPr>
                <w:rFonts w:ascii="Times New Roman"/>
                <w:sz w:val="20"/>
              </w:rPr>
            </w:pPr>
          </w:p>
          <w:p>
            <w:pPr>
              <w:pStyle w:val="14"/>
              <w:spacing w:before="121"/>
              <w:ind w:left="18"/>
              <w:rPr>
                <w:sz w:val="21"/>
              </w:rPr>
            </w:pPr>
            <w:r>
              <w:rPr>
                <w:w w:val="99"/>
                <w:sz w:val="21"/>
              </w:rPr>
              <w:t>━</w:t>
            </w:r>
          </w:p>
        </w:tc>
        <w:tc>
          <w:tcPr>
            <w:tcW w:w="933" w:type="dxa"/>
            <w:tcBorders>
              <w:top w:val="single" w:color="000000" w:sz="4" w:space="0"/>
              <w:left w:val="single" w:color="000000" w:sz="4" w:space="0"/>
              <w:right w:val="single" w:color="000000" w:sz="4" w:space="0"/>
            </w:tcBorders>
          </w:tcPr>
          <w:p>
            <w:pPr>
              <w:pStyle w:val="14"/>
              <w:jc w:val="left"/>
              <w:rPr>
                <w:rFonts w:ascii="Times New Roman"/>
                <w:sz w:val="22"/>
              </w:rPr>
            </w:pPr>
          </w:p>
          <w:p>
            <w:pPr>
              <w:pStyle w:val="14"/>
              <w:jc w:val="left"/>
              <w:rPr>
                <w:rFonts w:ascii="Times New Roman"/>
                <w:sz w:val="22"/>
              </w:rPr>
            </w:pPr>
          </w:p>
          <w:p>
            <w:pPr>
              <w:pStyle w:val="14"/>
              <w:spacing w:before="2"/>
              <w:jc w:val="left"/>
              <w:rPr>
                <w:rFonts w:ascii="Times New Roman"/>
                <w:sz w:val="28"/>
              </w:rPr>
            </w:pPr>
          </w:p>
          <w:p>
            <w:pPr>
              <w:pStyle w:val="14"/>
              <w:ind w:left="339"/>
              <w:jc w:val="left"/>
              <w:rPr>
                <w:rFonts w:ascii="Times New Roman"/>
                <w:sz w:val="21"/>
              </w:rPr>
            </w:pPr>
            <w:r>
              <w:rPr>
                <w:rFonts w:ascii="Times New Roman"/>
                <w:sz w:val="21"/>
              </w:rPr>
              <w:t>0.1</w:t>
            </w:r>
          </w:p>
        </w:tc>
        <w:tc>
          <w:tcPr>
            <w:tcW w:w="2641" w:type="dxa"/>
            <w:tcBorders>
              <w:top w:val="single" w:color="000000" w:sz="4" w:space="0"/>
              <w:left w:val="single" w:color="000000" w:sz="4" w:space="0"/>
              <w:right w:val="single" w:color="000000" w:sz="4" w:space="0"/>
            </w:tcBorders>
          </w:tcPr>
          <w:p>
            <w:pPr>
              <w:pStyle w:val="14"/>
              <w:spacing w:line="292" w:lineRule="auto"/>
              <w:ind w:left="8" w:right="-29"/>
              <w:jc w:val="both"/>
              <w:rPr>
                <w:sz w:val="21"/>
              </w:rPr>
            </w:pPr>
            <w:r>
              <w:rPr>
                <w:spacing w:val="8"/>
                <w:sz w:val="21"/>
              </w:rPr>
              <w:t>制定有完整的矿区生产期和服务期满时的矿山生态环境</w:t>
            </w:r>
            <w:r>
              <w:rPr>
                <w:spacing w:val="-8"/>
                <w:sz w:val="21"/>
              </w:rPr>
              <w:t>修复计划、合理可行的节能环</w:t>
            </w:r>
            <w:r>
              <w:rPr>
                <w:spacing w:val="-26"/>
                <w:sz w:val="21"/>
              </w:rPr>
              <w:t>保近、远期规划，包括煤矸石、</w:t>
            </w:r>
            <w:r>
              <w:rPr>
                <w:spacing w:val="-11"/>
                <w:w w:val="95"/>
                <w:sz w:val="21"/>
              </w:rPr>
              <w:t>煤泥、矿井水、瓦斯气处置及</w:t>
            </w:r>
          </w:p>
          <w:p>
            <w:pPr>
              <w:pStyle w:val="14"/>
              <w:spacing w:line="262" w:lineRule="exact"/>
              <w:ind w:left="8" w:right="-15"/>
              <w:jc w:val="left"/>
              <w:rPr>
                <w:sz w:val="21"/>
              </w:rPr>
            </w:pPr>
            <w:r>
              <w:rPr>
                <w:spacing w:val="-11"/>
                <w:w w:val="95"/>
                <w:sz w:val="21"/>
              </w:rPr>
              <w:t>综合利用、矿山生态恢复及闭</w:t>
            </w:r>
          </w:p>
        </w:tc>
        <w:tc>
          <w:tcPr>
            <w:tcW w:w="1879" w:type="dxa"/>
            <w:tcBorders>
              <w:top w:val="single" w:color="000000" w:sz="4" w:space="0"/>
              <w:left w:val="single" w:color="000000" w:sz="4" w:space="0"/>
              <w:right w:val="single" w:color="000000" w:sz="4" w:space="0"/>
            </w:tcBorders>
          </w:tcPr>
          <w:p>
            <w:pPr>
              <w:pStyle w:val="14"/>
              <w:spacing w:line="292" w:lineRule="auto"/>
              <w:ind w:left="9" w:right="-15"/>
              <w:jc w:val="both"/>
              <w:rPr>
                <w:sz w:val="21"/>
              </w:rPr>
            </w:pPr>
            <w:r>
              <w:rPr>
                <w:spacing w:val="22"/>
                <w:w w:val="95"/>
                <w:sz w:val="21"/>
              </w:rPr>
              <w:t>制定有完整的矿区生产期和服务期满时的矿山生态环境</w:t>
            </w:r>
            <w:r>
              <w:rPr>
                <w:spacing w:val="6"/>
                <w:sz w:val="21"/>
              </w:rPr>
              <w:t>修复计划、节能环保</w:t>
            </w:r>
            <w:r>
              <w:rPr>
                <w:spacing w:val="-5"/>
                <w:w w:val="95"/>
                <w:sz w:val="21"/>
              </w:rPr>
              <w:t>近、远期规划，措施</w:t>
            </w:r>
          </w:p>
          <w:p>
            <w:pPr>
              <w:pStyle w:val="14"/>
              <w:spacing w:line="262" w:lineRule="exact"/>
              <w:ind w:left="9" w:right="-15"/>
              <w:jc w:val="left"/>
              <w:rPr>
                <w:sz w:val="21"/>
              </w:rPr>
            </w:pPr>
            <w:r>
              <w:rPr>
                <w:spacing w:val="-5"/>
                <w:w w:val="95"/>
                <w:sz w:val="21"/>
              </w:rPr>
              <w:t>可行，有一定的操作</w:t>
            </w:r>
          </w:p>
        </w:tc>
        <w:tc>
          <w:tcPr>
            <w:tcW w:w="2021" w:type="dxa"/>
            <w:tcBorders>
              <w:top w:val="single" w:color="000000" w:sz="4" w:space="0"/>
              <w:left w:val="single" w:color="000000" w:sz="4" w:space="0"/>
              <w:right w:val="single" w:color="000000" w:sz="4" w:space="0"/>
            </w:tcBorders>
          </w:tcPr>
          <w:p>
            <w:pPr>
              <w:pStyle w:val="14"/>
              <w:spacing w:line="292" w:lineRule="auto"/>
              <w:ind w:left="10" w:right="-15"/>
              <w:jc w:val="both"/>
              <w:rPr>
                <w:sz w:val="21"/>
              </w:rPr>
            </w:pPr>
            <w:r>
              <w:rPr>
                <w:spacing w:val="12"/>
                <w:w w:val="95"/>
                <w:sz w:val="21"/>
              </w:rPr>
              <w:t>制定有较完整的矿区生产期和服务期满时的矿山生态环境修复</w:t>
            </w:r>
            <w:r>
              <w:rPr>
                <w:spacing w:val="-9"/>
                <w:sz w:val="21"/>
              </w:rPr>
              <w:t>计划、节能环保近期规</w:t>
            </w:r>
            <w:r>
              <w:rPr>
                <w:spacing w:val="12"/>
                <w:w w:val="95"/>
                <w:sz w:val="21"/>
              </w:rPr>
              <w:t>划和远期规划或企业</w:t>
            </w:r>
          </w:p>
          <w:p>
            <w:pPr>
              <w:pStyle w:val="14"/>
              <w:spacing w:line="262" w:lineRule="exact"/>
              <w:ind w:left="10" w:right="-15"/>
              <w:jc w:val="left"/>
              <w:rPr>
                <w:sz w:val="21"/>
              </w:rPr>
            </w:pPr>
            <w:r>
              <w:rPr>
                <w:spacing w:val="12"/>
                <w:w w:val="95"/>
                <w:sz w:val="21"/>
              </w:rPr>
              <w:t>相关规划中节能环保</w:t>
            </w:r>
          </w:p>
        </w:tc>
        <w:tc>
          <w:tcPr>
            <w:tcW w:w="1165" w:type="dxa"/>
            <w:tcBorders>
              <w:top w:val="single" w:color="000000" w:sz="4" w:space="0"/>
              <w:left w:val="single" w:color="000000" w:sz="4" w:space="0"/>
            </w:tcBorders>
          </w:tcPr>
          <w:p>
            <w:pPr>
              <w:pStyle w:val="14"/>
              <w:spacing w:line="292" w:lineRule="auto"/>
              <w:ind w:left="60" w:right="38"/>
              <w:jc w:val="both"/>
              <w:rPr>
                <w:sz w:val="21"/>
              </w:rPr>
            </w:pPr>
            <w:r>
              <w:rPr>
                <w:spacing w:val="-3"/>
                <w:sz w:val="21"/>
              </w:rPr>
              <w:t>制定有完整的矿区生产期和服务期满时的矿山</w:t>
            </w:r>
            <w:r>
              <w:rPr>
                <w:spacing w:val="-3"/>
                <w:w w:val="95"/>
                <w:sz w:val="21"/>
              </w:rPr>
              <w:t>生态环境修</w:t>
            </w:r>
          </w:p>
          <w:p>
            <w:pPr>
              <w:pStyle w:val="14"/>
              <w:spacing w:line="262" w:lineRule="exact"/>
              <w:ind w:left="60"/>
              <w:jc w:val="left"/>
              <w:rPr>
                <w:sz w:val="21"/>
              </w:rPr>
            </w:pPr>
            <w:r>
              <w:rPr>
                <w:w w:val="95"/>
                <w:sz w:val="21"/>
              </w:rPr>
              <w:t>复计划、节</w:t>
            </w:r>
          </w:p>
        </w:tc>
      </w:tr>
    </w:tbl>
    <w:p>
      <w:pPr>
        <w:spacing w:after="0" w:line="262" w:lineRule="exact"/>
        <w:jc w:val="left"/>
        <w:rPr>
          <w:sz w:val="21"/>
        </w:rPr>
        <w:sectPr>
          <w:pgSz w:w="16840" w:h="11910" w:orient="landscape"/>
          <w:pgMar w:top="1100" w:right="1280" w:bottom="800" w:left="1280" w:header="0" w:footer="605" w:gutter="0"/>
        </w:sectPr>
      </w:pPr>
    </w:p>
    <w:p>
      <w:pPr>
        <w:pStyle w:val="6"/>
        <w:spacing w:before="1"/>
        <w:rPr>
          <w:rFonts w:ascii="Times New Roman"/>
          <w:sz w:val="27"/>
        </w:rPr>
      </w:pPr>
    </w:p>
    <w:tbl>
      <w:tblPr>
        <w:tblStyle w:val="10"/>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72"/>
        <w:gridCol w:w="1090"/>
        <w:gridCol w:w="1068"/>
        <w:gridCol w:w="1818"/>
        <w:gridCol w:w="835"/>
        <w:gridCol w:w="933"/>
        <w:gridCol w:w="2641"/>
        <w:gridCol w:w="1879"/>
        <w:gridCol w:w="2021"/>
        <w:gridCol w:w="11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572" w:type="dxa"/>
            <w:tcBorders>
              <w:bottom w:val="single" w:color="000000" w:sz="4" w:space="0"/>
              <w:right w:val="single" w:color="000000" w:sz="4" w:space="0"/>
            </w:tcBorders>
          </w:tcPr>
          <w:p>
            <w:pPr>
              <w:pStyle w:val="14"/>
              <w:spacing w:before="165"/>
              <w:ind w:left="56" w:right="41"/>
              <w:rPr>
                <w:sz w:val="21"/>
              </w:rPr>
            </w:pPr>
            <w:r>
              <w:rPr>
                <w:sz w:val="21"/>
              </w:rPr>
              <w:t>序号</w:t>
            </w:r>
          </w:p>
        </w:tc>
        <w:tc>
          <w:tcPr>
            <w:tcW w:w="1090" w:type="dxa"/>
            <w:tcBorders>
              <w:left w:val="single" w:color="000000" w:sz="4" w:space="0"/>
              <w:bottom w:val="single" w:color="000000" w:sz="4" w:space="0"/>
              <w:right w:val="single" w:color="000000" w:sz="4" w:space="0"/>
            </w:tcBorders>
          </w:tcPr>
          <w:p>
            <w:pPr>
              <w:pStyle w:val="14"/>
              <w:spacing w:before="2"/>
              <w:ind w:left="16"/>
              <w:rPr>
                <w:sz w:val="21"/>
              </w:rPr>
            </w:pPr>
            <w:r>
              <w:rPr>
                <w:sz w:val="21"/>
              </w:rPr>
              <w:t>一级指标指</w:t>
            </w:r>
          </w:p>
          <w:p>
            <w:pPr>
              <w:pStyle w:val="14"/>
              <w:spacing w:before="55"/>
              <w:ind w:left="18"/>
              <w:rPr>
                <w:sz w:val="21"/>
              </w:rPr>
            </w:pPr>
            <w:r>
              <w:rPr>
                <w:sz w:val="21"/>
              </w:rPr>
              <w:t>标项</w:t>
            </w:r>
          </w:p>
        </w:tc>
        <w:tc>
          <w:tcPr>
            <w:tcW w:w="1068" w:type="dxa"/>
            <w:tcBorders>
              <w:left w:val="single" w:color="000000" w:sz="4" w:space="0"/>
              <w:bottom w:val="single" w:color="000000" w:sz="4" w:space="0"/>
              <w:right w:val="single" w:color="000000" w:sz="4" w:space="0"/>
            </w:tcBorders>
          </w:tcPr>
          <w:p>
            <w:pPr>
              <w:pStyle w:val="14"/>
              <w:spacing w:before="2"/>
              <w:ind w:left="13" w:right="-15"/>
              <w:rPr>
                <w:sz w:val="21"/>
              </w:rPr>
            </w:pPr>
            <w:r>
              <w:rPr>
                <w:sz w:val="21"/>
              </w:rPr>
              <w:t>一级指标权</w:t>
            </w:r>
          </w:p>
          <w:p>
            <w:pPr>
              <w:pStyle w:val="14"/>
              <w:spacing w:before="55"/>
              <w:ind w:left="306" w:right="290"/>
              <w:rPr>
                <w:sz w:val="21"/>
              </w:rPr>
            </w:pPr>
            <w:r>
              <w:rPr>
                <w:sz w:val="21"/>
              </w:rPr>
              <w:t>重值</w:t>
            </w:r>
          </w:p>
        </w:tc>
        <w:tc>
          <w:tcPr>
            <w:tcW w:w="1818" w:type="dxa"/>
            <w:tcBorders>
              <w:left w:val="single" w:color="000000" w:sz="4" w:space="0"/>
              <w:bottom w:val="single" w:color="000000" w:sz="4" w:space="0"/>
              <w:right w:val="single" w:color="000000" w:sz="4" w:space="0"/>
            </w:tcBorders>
          </w:tcPr>
          <w:p>
            <w:pPr>
              <w:pStyle w:val="14"/>
              <w:spacing w:before="165"/>
              <w:ind w:left="43" w:right="24"/>
              <w:rPr>
                <w:sz w:val="21"/>
              </w:rPr>
            </w:pPr>
            <w:r>
              <w:rPr>
                <w:sz w:val="21"/>
              </w:rPr>
              <w:t>二级指标指标项</w:t>
            </w:r>
          </w:p>
        </w:tc>
        <w:tc>
          <w:tcPr>
            <w:tcW w:w="835" w:type="dxa"/>
            <w:tcBorders>
              <w:left w:val="single" w:color="000000" w:sz="4" w:space="0"/>
              <w:bottom w:val="single" w:color="000000" w:sz="4" w:space="0"/>
              <w:right w:val="single" w:color="000000" w:sz="4" w:space="0"/>
            </w:tcBorders>
          </w:tcPr>
          <w:p>
            <w:pPr>
              <w:pStyle w:val="14"/>
              <w:spacing w:before="165"/>
              <w:ind w:left="190" w:right="174"/>
              <w:rPr>
                <w:sz w:val="21"/>
              </w:rPr>
            </w:pPr>
            <w:r>
              <w:rPr>
                <w:sz w:val="21"/>
              </w:rPr>
              <w:t>单位</w:t>
            </w:r>
          </w:p>
        </w:tc>
        <w:tc>
          <w:tcPr>
            <w:tcW w:w="933" w:type="dxa"/>
            <w:tcBorders>
              <w:left w:val="single" w:color="000000" w:sz="4" w:space="0"/>
              <w:bottom w:val="single" w:color="000000" w:sz="4" w:space="0"/>
              <w:right w:val="single" w:color="000000" w:sz="4" w:space="0"/>
            </w:tcBorders>
          </w:tcPr>
          <w:p>
            <w:pPr>
              <w:pStyle w:val="14"/>
              <w:spacing w:before="2"/>
              <w:ind w:left="51"/>
              <w:jc w:val="left"/>
              <w:rPr>
                <w:sz w:val="21"/>
              </w:rPr>
            </w:pPr>
            <w:r>
              <w:rPr>
                <w:w w:val="95"/>
                <w:sz w:val="21"/>
              </w:rPr>
              <w:t>二级指标</w:t>
            </w:r>
          </w:p>
          <w:p>
            <w:pPr>
              <w:pStyle w:val="14"/>
              <w:spacing w:before="55"/>
              <w:ind w:left="51"/>
              <w:jc w:val="left"/>
              <w:rPr>
                <w:sz w:val="21"/>
              </w:rPr>
            </w:pPr>
            <w:r>
              <w:rPr>
                <w:w w:val="95"/>
                <w:sz w:val="21"/>
              </w:rPr>
              <w:t>分权重值</w:t>
            </w:r>
          </w:p>
        </w:tc>
        <w:tc>
          <w:tcPr>
            <w:tcW w:w="2641" w:type="dxa"/>
            <w:tcBorders>
              <w:left w:val="single" w:color="000000" w:sz="4" w:space="0"/>
              <w:bottom w:val="single" w:color="000000" w:sz="4" w:space="0"/>
              <w:right w:val="single" w:color="000000" w:sz="4" w:space="0"/>
            </w:tcBorders>
          </w:tcPr>
          <w:p>
            <w:pPr>
              <w:pStyle w:val="14"/>
              <w:spacing w:before="165"/>
              <w:ind w:right="781"/>
              <w:jc w:val="right"/>
              <w:rPr>
                <w:sz w:val="21"/>
              </w:rPr>
            </w:pPr>
            <w:r>
              <w:rPr>
                <w:w w:val="95"/>
                <w:sz w:val="21"/>
              </w:rPr>
              <w:t>Ⅰ级基准值</w:t>
            </w:r>
          </w:p>
        </w:tc>
        <w:tc>
          <w:tcPr>
            <w:tcW w:w="1879" w:type="dxa"/>
            <w:tcBorders>
              <w:left w:val="single" w:color="000000" w:sz="4" w:space="0"/>
              <w:bottom w:val="single" w:color="000000" w:sz="4" w:space="0"/>
              <w:right w:val="single" w:color="000000" w:sz="4" w:space="0"/>
            </w:tcBorders>
          </w:tcPr>
          <w:p>
            <w:pPr>
              <w:pStyle w:val="14"/>
              <w:spacing w:before="165"/>
              <w:ind w:left="417"/>
              <w:jc w:val="left"/>
              <w:rPr>
                <w:sz w:val="21"/>
              </w:rPr>
            </w:pPr>
            <w:r>
              <w:rPr>
                <w:sz w:val="21"/>
              </w:rPr>
              <w:t>Ⅱ级基准值</w:t>
            </w:r>
          </w:p>
        </w:tc>
        <w:tc>
          <w:tcPr>
            <w:tcW w:w="2021" w:type="dxa"/>
            <w:tcBorders>
              <w:left w:val="single" w:color="000000" w:sz="4" w:space="0"/>
              <w:bottom w:val="single" w:color="000000" w:sz="4" w:space="0"/>
              <w:right w:val="single" w:color="000000" w:sz="4" w:space="0"/>
            </w:tcBorders>
          </w:tcPr>
          <w:p>
            <w:pPr>
              <w:pStyle w:val="14"/>
              <w:spacing w:before="165"/>
              <w:ind w:left="490"/>
              <w:jc w:val="left"/>
              <w:rPr>
                <w:sz w:val="21"/>
              </w:rPr>
            </w:pPr>
            <w:r>
              <w:rPr>
                <w:sz w:val="21"/>
              </w:rPr>
              <w:t>Ⅲ级基准值</w:t>
            </w:r>
          </w:p>
        </w:tc>
        <w:tc>
          <w:tcPr>
            <w:tcW w:w="1165" w:type="dxa"/>
            <w:tcBorders>
              <w:left w:val="single" w:color="000000" w:sz="4" w:space="0"/>
              <w:bottom w:val="single" w:color="000000" w:sz="4" w:space="0"/>
            </w:tcBorders>
          </w:tcPr>
          <w:p>
            <w:pPr>
              <w:pStyle w:val="14"/>
              <w:spacing w:before="2"/>
              <w:ind w:left="22" w:right="5"/>
              <w:rPr>
                <w:sz w:val="21"/>
              </w:rPr>
            </w:pPr>
            <w:r>
              <w:rPr>
                <w:sz w:val="21"/>
              </w:rPr>
              <w:t>本煤矿扩建</w:t>
            </w:r>
          </w:p>
          <w:p>
            <w:pPr>
              <w:pStyle w:val="14"/>
              <w:spacing w:before="55"/>
              <w:ind w:left="19"/>
              <w:rPr>
                <w:sz w:val="21"/>
              </w:rPr>
            </w:pPr>
            <w:r>
              <w:rPr>
                <w:w w:val="99"/>
                <w:sz w:val="21"/>
              </w:rPr>
              <w:t>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8" w:hRule="atLeast"/>
        </w:trPr>
        <w:tc>
          <w:tcPr>
            <w:tcW w:w="572" w:type="dxa"/>
            <w:tcBorders>
              <w:top w:val="single" w:color="000000" w:sz="4" w:space="0"/>
              <w:bottom w:val="single" w:color="000000" w:sz="4" w:space="0"/>
              <w:right w:val="single" w:color="000000" w:sz="4" w:space="0"/>
            </w:tcBorders>
          </w:tcPr>
          <w:p>
            <w:pPr>
              <w:pStyle w:val="14"/>
              <w:jc w:val="left"/>
              <w:rPr>
                <w:rFonts w:ascii="Times New Roman"/>
                <w:sz w:val="20"/>
              </w:rPr>
            </w:pPr>
          </w:p>
        </w:tc>
        <w:tc>
          <w:tcPr>
            <w:tcW w:w="1090" w:type="dxa"/>
            <w:vMerge w:val="restart"/>
            <w:tcBorders>
              <w:top w:val="single" w:color="000000" w:sz="4" w:space="0"/>
              <w:left w:val="single" w:color="000000" w:sz="4" w:space="0"/>
              <w:right w:val="single" w:color="000000" w:sz="4" w:space="0"/>
            </w:tcBorders>
          </w:tcPr>
          <w:p>
            <w:pPr>
              <w:pStyle w:val="14"/>
              <w:jc w:val="left"/>
              <w:rPr>
                <w:rFonts w:ascii="Times New Roman"/>
                <w:sz w:val="20"/>
              </w:rPr>
            </w:pPr>
          </w:p>
        </w:tc>
        <w:tc>
          <w:tcPr>
            <w:tcW w:w="1068" w:type="dxa"/>
            <w:vMerge w:val="restart"/>
            <w:tcBorders>
              <w:top w:val="single" w:color="000000" w:sz="4" w:space="0"/>
              <w:left w:val="single" w:color="000000" w:sz="4" w:space="0"/>
              <w:right w:val="single" w:color="000000" w:sz="4" w:space="0"/>
            </w:tcBorders>
          </w:tcPr>
          <w:p>
            <w:pPr>
              <w:pStyle w:val="14"/>
              <w:jc w:val="left"/>
              <w:rPr>
                <w:rFonts w:ascii="Times New Roman"/>
                <w:sz w:val="20"/>
              </w:rPr>
            </w:pPr>
          </w:p>
        </w:tc>
        <w:tc>
          <w:tcPr>
            <w:tcW w:w="1818"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835"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933" w:type="dxa"/>
            <w:tcBorders>
              <w:top w:val="single" w:color="000000" w:sz="4" w:space="0"/>
              <w:left w:val="single" w:color="000000" w:sz="4" w:space="0"/>
              <w:bottom w:val="single" w:color="000000" w:sz="4" w:space="0"/>
              <w:right w:val="single" w:color="000000" w:sz="4" w:space="0"/>
            </w:tcBorders>
          </w:tcPr>
          <w:p>
            <w:pPr>
              <w:pStyle w:val="14"/>
              <w:jc w:val="left"/>
              <w:rPr>
                <w:rFonts w:ascii="Times New Roman"/>
                <w:sz w:val="20"/>
              </w:rPr>
            </w:pPr>
          </w:p>
        </w:tc>
        <w:tc>
          <w:tcPr>
            <w:tcW w:w="2641" w:type="dxa"/>
            <w:tcBorders>
              <w:top w:val="single" w:color="000000" w:sz="4" w:space="0"/>
              <w:left w:val="single" w:color="000000" w:sz="4" w:space="0"/>
              <w:bottom w:val="single" w:color="000000" w:sz="4" w:space="0"/>
              <w:right w:val="single" w:color="000000" w:sz="4" w:space="0"/>
            </w:tcBorders>
          </w:tcPr>
          <w:p>
            <w:pPr>
              <w:pStyle w:val="14"/>
              <w:ind w:right="731"/>
              <w:jc w:val="right"/>
              <w:rPr>
                <w:sz w:val="21"/>
              </w:rPr>
            </w:pPr>
            <w:r>
              <w:rPr>
                <w:w w:val="95"/>
                <w:sz w:val="21"/>
              </w:rPr>
              <w:t>矿后的恢复措施计划</w:t>
            </w:r>
          </w:p>
        </w:tc>
        <w:tc>
          <w:tcPr>
            <w:tcW w:w="1879" w:type="dxa"/>
            <w:tcBorders>
              <w:top w:val="single" w:color="000000" w:sz="4" w:space="0"/>
              <w:left w:val="single" w:color="000000" w:sz="4" w:space="0"/>
              <w:bottom w:val="single" w:color="000000" w:sz="4" w:space="0"/>
              <w:right w:val="single" w:color="000000" w:sz="4" w:space="0"/>
            </w:tcBorders>
          </w:tcPr>
          <w:p>
            <w:pPr>
              <w:pStyle w:val="14"/>
              <w:ind w:left="9"/>
              <w:jc w:val="left"/>
              <w:rPr>
                <w:sz w:val="21"/>
              </w:rPr>
            </w:pPr>
            <w:r>
              <w:rPr>
                <w:w w:val="99"/>
                <w:sz w:val="21"/>
              </w:rPr>
              <w:t>性</w:t>
            </w:r>
          </w:p>
        </w:tc>
        <w:tc>
          <w:tcPr>
            <w:tcW w:w="2021" w:type="dxa"/>
            <w:tcBorders>
              <w:top w:val="single" w:color="000000" w:sz="4" w:space="0"/>
              <w:left w:val="single" w:color="000000" w:sz="4" w:space="0"/>
              <w:bottom w:val="single" w:color="000000" w:sz="4" w:space="0"/>
              <w:right w:val="single" w:color="000000" w:sz="4" w:space="0"/>
            </w:tcBorders>
          </w:tcPr>
          <w:p>
            <w:pPr>
              <w:pStyle w:val="14"/>
              <w:ind w:left="10"/>
              <w:jc w:val="left"/>
              <w:rPr>
                <w:sz w:val="21"/>
              </w:rPr>
            </w:pPr>
            <w:r>
              <w:rPr>
                <w:sz w:val="21"/>
              </w:rPr>
              <w:t>篇章</w:t>
            </w:r>
          </w:p>
        </w:tc>
        <w:tc>
          <w:tcPr>
            <w:tcW w:w="1165" w:type="dxa"/>
            <w:tcBorders>
              <w:top w:val="single" w:color="000000" w:sz="4" w:space="0"/>
              <w:left w:val="single" w:color="000000" w:sz="4" w:space="0"/>
              <w:bottom w:val="single" w:color="000000" w:sz="4" w:space="0"/>
            </w:tcBorders>
          </w:tcPr>
          <w:p>
            <w:pPr>
              <w:pStyle w:val="14"/>
              <w:spacing w:line="290" w:lineRule="auto"/>
              <w:ind w:left="60" w:right="38"/>
              <w:jc w:val="both"/>
              <w:rPr>
                <w:sz w:val="21"/>
              </w:rPr>
            </w:pPr>
            <w:r>
              <w:rPr>
                <w:sz w:val="21"/>
              </w:rPr>
              <w:t>能环保近、远期规划， 措施可行， 有一定的操</w:t>
            </w:r>
          </w:p>
          <w:p>
            <w:pPr>
              <w:pStyle w:val="14"/>
              <w:spacing w:before="3"/>
              <w:ind w:left="374"/>
              <w:jc w:val="left"/>
              <w:rPr>
                <w:sz w:val="21"/>
              </w:rPr>
            </w:pPr>
            <w:r>
              <w:rPr>
                <w:sz w:val="21"/>
              </w:rPr>
              <w:t>作性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4" w:hRule="atLeast"/>
        </w:trPr>
        <w:tc>
          <w:tcPr>
            <w:tcW w:w="572" w:type="dxa"/>
            <w:tcBorders>
              <w:top w:val="single" w:color="000000" w:sz="4" w:space="0"/>
              <w:right w:val="single" w:color="000000" w:sz="4" w:space="0"/>
            </w:tcBorders>
          </w:tcPr>
          <w:p>
            <w:pPr>
              <w:pStyle w:val="14"/>
              <w:spacing w:before="19"/>
              <w:ind w:left="56" w:right="38"/>
              <w:rPr>
                <w:rFonts w:ascii="Times New Roman"/>
                <w:sz w:val="21"/>
              </w:rPr>
            </w:pPr>
            <w:r>
              <w:rPr>
                <w:rFonts w:ascii="Times New Roman"/>
                <w:sz w:val="21"/>
              </w:rPr>
              <w:t>37</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right w:val="single" w:color="000000" w:sz="4" w:space="0"/>
            </w:tcBorders>
          </w:tcPr>
          <w:p>
            <w:pPr>
              <w:pStyle w:val="14"/>
              <w:ind w:left="38" w:right="24"/>
              <w:rPr>
                <w:sz w:val="21"/>
              </w:rPr>
            </w:pPr>
            <w:r>
              <w:rPr>
                <w:sz w:val="21"/>
              </w:rPr>
              <w:t>环境信息公开</w:t>
            </w:r>
          </w:p>
        </w:tc>
        <w:tc>
          <w:tcPr>
            <w:tcW w:w="835" w:type="dxa"/>
            <w:tcBorders>
              <w:top w:val="single" w:color="000000" w:sz="4" w:space="0"/>
              <w:left w:val="single" w:color="000000" w:sz="4" w:space="0"/>
              <w:right w:val="single" w:color="000000" w:sz="4" w:space="0"/>
            </w:tcBorders>
          </w:tcPr>
          <w:p>
            <w:pPr>
              <w:pStyle w:val="14"/>
              <w:ind w:left="18"/>
              <w:rPr>
                <w:sz w:val="21"/>
              </w:rPr>
            </w:pPr>
            <w:r>
              <w:rPr>
                <w:w w:val="99"/>
                <w:sz w:val="21"/>
              </w:rPr>
              <w:t>━</w:t>
            </w:r>
          </w:p>
        </w:tc>
        <w:tc>
          <w:tcPr>
            <w:tcW w:w="933" w:type="dxa"/>
            <w:tcBorders>
              <w:top w:val="single" w:color="000000" w:sz="4" w:space="0"/>
              <w:left w:val="single" w:color="000000" w:sz="4" w:space="0"/>
              <w:right w:val="single" w:color="000000" w:sz="4" w:space="0"/>
            </w:tcBorders>
          </w:tcPr>
          <w:p>
            <w:pPr>
              <w:pStyle w:val="14"/>
              <w:spacing w:before="19"/>
              <w:ind w:left="286"/>
              <w:jc w:val="left"/>
              <w:rPr>
                <w:rFonts w:ascii="Times New Roman"/>
                <w:sz w:val="21"/>
              </w:rPr>
            </w:pPr>
            <w:r>
              <w:rPr>
                <w:rFonts w:ascii="Times New Roman"/>
                <w:sz w:val="21"/>
              </w:rPr>
              <w:t>0.15</w:t>
            </w:r>
          </w:p>
        </w:tc>
        <w:tc>
          <w:tcPr>
            <w:tcW w:w="6541" w:type="dxa"/>
            <w:gridSpan w:val="3"/>
            <w:tcBorders>
              <w:top w:val="single" w:color="000000" w:sz="4" w:space="0"/>
              <w:left w:val="single" w:color="000000" w:sz="4" w:space="0"/>
              <w:right w:val="single" w:color="000000" w:sz="4" w:space="0"/>
            </w:tcBorders>
          </w:tcPr>
          <w:p>
            <w:pPr>
              <w:pStyle w:val="14"/>
              <w:ind w:left="8" w:right="-15"/>
              <w:jc w:val="left"/>
              <w:rPr>
                <w:sz w:val="21"/>
              </w:rPr>
            </w:pPr>
            <w:r>
              <w:rPr>
                <w:spacing w:val="-3"/>
                <w:sz w:val="21"/>
              </w:rPr>
              <w:t xml:space="preserve">按照国家有关要求公开环境相关信息，按照 </w:t>
            </w:r>
            <w:r>
              <w:rPr>
                <w:rFonts w:ascii="Times New Roman" w:eastAsia="Times New Roman"/>
                <w:sz w:val="21"/>
              </w:rPr>
              <w:t>HJ617</w:t>
            </w:r>
            <w:r>
              <w:rPr>
                <w:rFonts w:ascii="Times New Roman" w:eastAsia="Times New Roman"/>
                <w:spacing w:val="-9"/>
                <w:sz w:val="21"/>
              </w:rPr>
              <w:t xml:space="preserve"> </w:t>
            </w:r>
            <w:r>
              <w:rPr>
                <w:sz w:val="21"/>
              </w:rPr>
              <w:t>编写企业环境报告书</w:t>
            </w:r>
          </w:p>
        </w:tc>
        <w:tc>
          <w:tcPr>
            <w:tcW w:w="1165" w:type="dxa"/>
            <w:tcBorders>
              <w:top w:val="single" w:color="000000" w:sz="4" w:space="0"/>
              <w:left w:val="single" w:color="000000" w:sz="4" w:space="0"/>
            </w:tcBorders>
          </w:tcPr>
          <w:p>
            <w:pPr>
              <w:pStyle w:val="14"/>
              <w:ind w:left="60"/>
              <w:jc w:val="left"/>
              <w:rPr>
                <w:sz w:val="21"/>
              </w:rPr>
            </w:pPr>
            <w:r>
              <w:rPr>
                <w:sz w:val="21"/>
              </w:rPr>
              <w:t>按要求编制</w:t>
            </w:r>
          </w:p>
        </w:tc>
      </w:tr>
    </w:tbl>
    <w:p>
      <w:pPr>
        <w:spacing w:before="1"/>
        <w:ind w:left="138" w:right="0" w:firstLine="0"/>
        <w:jc w:val="left"/>
        <w:rPr>
          <w:sz w:val="21"/>
        </w:rPr>
      </w:pPr>
      <w:r>
        <w:rPr>
          <w:sz w:val="21"/>
        </w:rPr>
        <w:t>注：</w:t>
      </w:r>
      <w:r>
        <w:rPr>
          <w:rFonts w:ascii="Times New Roman" w:eastAsia="Times New Roman"/>
          <w:sz w:val="21"/>
        </w:rPr>
        <w:t>1</w:t>
      </w:r>
      <w:r>
        <w:rPr>
          <w:sz w:val="21"/>
        </w:rPr>
        <w:t>、标注</w:t>
      </w:r>
      <w:r>
        <w:rPr>
          <w:rFonts w:ascii="Times New Roman" w:eastAsia="Times New Roman"/>
          <w:sz w:val="21"/>
        </w:rPr>
        <w:t>*</w:t>
      </w:r>
      <w:r>
        <w:rPr>
          <w:sz w:val="21"/>
        </w:rPr>
        <w:t>的指标项为限定性指标。</w:t>
      </w:r>
    </w:p>
    <w:p>
      <w:pPr>
        <w:spacing w:before="139" w:line="364" w:lineRule="auto"/>
        <w:ind w:left="138" w:right="134" w:firstLine="420"/>
        <w:jc w:val="left"/>
        <w:rPr>
          <w:sz w:val="21"/>
        </w:rPr>
      </w:pPr>
      <w:r>
        <w:rPr>
          <w:rFonts w:ascii="Times New Roman" w:hAnsi="Times New Roman" w:eastAsia="Times New Roman"/>
          <w:sz w:val="21"/>
        </w:rPr>
        <w:t>2</w:t>
      </w:r>
      <w:r>
        <w:rPr>
          <w:sz w:val="21"/>
        </w:rPr>
        <w:t>、水资源短缺矿区，指矿井涌水量</w:t>
      </w:r>
      <w:r>
        <w:rPr>
          <w:rFonts w:ascii="Times New Roman" w:hAnsi="Times New Roman" w:eastAsia="Times New Roman"/>
          <w:sz w:val="21"/>
        </w:rPr>
        <w:t xml:space="preserve">≤60 </w:t>
      </w:r>
      <w:r>
        <w:rPr>
          <w:sz w:val="21"/>
        </w:rPr>
        <w:t>立方米</w:t>
      </w:r>
      <w:r>
        <w:rPr>
          <w:rFonts w:ascii="Times New Roman" w:hAnsi="Times New Roman" w:eastAsia="Times New Roman"/>
          <w:sz w:val="21"/>
        </w:rPr>
        <w:t>/</w:t>
      </w:r>
      <w:r>
        <w:rPr>
          <w:sz w:val="21"/>
        </w:rPr>
        <w:t xml:space="preserve">小时；一般水资源矿区，指矿井涌水量 </w:t>
      </w:r>
      <w:r>
        <w:rPr>
          <w:rFonts w:ascii="Times New Roman" w:hAnsi="Times New Roman" w:eastAsia="Times New Roman"/>
          <w:sz w:val="21"/>
        </w:rPr>
        <w:t>60</w:t>
      </w:r>
      <w:r>
        <w:rPr>
          <w:sz w:val="21"/>
        </w:rPr>
        <w:t>～</w:t>
      </w:r>
      <w:r>
        <w:rPr>
          <w:rFonts w:ascii="Times New Roman" w:hAnsi="Times New Roman" w:eastAsia="Times New Roman"/>
          <w:sz w:val="21"/>
        </w:rPr>
        <w:t xml:space="preserve">300 </w:t>
      </w:r>
      <w:r>
        <w:rPr>
          <w:sz w:val="21"/>
        </w:rPr>
        <w:t>立方米</w:t>
      </w:r>
      <w:r>
        <w:rPr>
          <w:rFonts w:ascii="Times New Roman" w:hAnsi="Times New Roman" w:eastAsia="Times New Roman"/>
          <w:sz w:val="21"/>
        </w:rPr>
        <w:t>/</w:t>
      </w:r>
      <w:r>
        <w:rPr>
          <w:sz w:val="21"/>
        </w:rPr>
        <w:t>小时；水资源丰富矿区，指矿井涌水量</w:t>
      </w:r>
      <w:r>
        <w:rPr>
          <w:rFonts w:ascii="Times New Roman" w:hAnsi="Times New Roman" w:eastAsia="Times New Roman"/>
          <w:sz w:val="21"/>
        </w:rPr>
        <w:t xml:space="preserve">≥300 </w:t>
      </w:r>
      <w:r>
        <w:rPr>
          <w:sz w:val="21"/>
        </w:rPr>
        <w:t>立方米</w:t>
      </w:r>
      <w:r>
        <w:rPr>
          <w:rFonts w:ascii="Times New Roman" w:hAnsi="Times New Roman" w:eastAsia="Times New Roman"/>
          <w:sz w:val="21"/>
        </w:rPr>
        <w:t>/</w:t>
      </w:r>
      <w:r>
        <w:rPr>
          <w:sz w:val="21"/>
        </w:rPr>
        <w:t>小时（矿井涌水量一般指正常涌水量）。</w:t>
      </w:r>
    </w:p>
    <w:p>
      <w:pPr>
        <w:spacing w:after="0" w:line="364" w:lineRule="auto"/>
        <w:jc w:val="left"/>
        <w:rPr>
          <w:sz w:val="21"/>
        </w:rPr>
        <w:sectPr>
          <w:pgSz w:w="16840" w:h="11910" w:orient="landscape"/>
          <w:pgMar w:top="1100" w:right="1280" w:bottom="800" w:left="1280" w:header="0" w:footer="605" w:gutter="0"/>
        </w:sectPr>
      </w:pPr>
    </w:p>
    <w:p>
      <w:pPr>
        <w:pStyle w:val="6"/>
        <w:spacing w:before="3"/>
        <w:rPr>
          <w:sz w:val="15"/>
        </w:rPr>
      </w:pPr>
    </w:p>
    <w:p>
      <w:pPr>
        <w:pStyle w:val="3"/>
        <w:numPr>
          <w:ilvl w:val="1"/>
          <w:numId w:val="78"/>
        </w:numPr>
        <w:tabs>
          <w:tab w:val="left" w:pos="836"/>
        </w:tabs>
        <w:spacing w:before="68" w:after="0" w:line="240" w:lineRule="auto"/>
        <w:ind w:left="836" w:right="0" w:hanging="601"/>
        <w:jc w:val="left"/>
      </w:pPr>
      <w:bookmarkStart w:id="1183" w:name="12.3清洁生产管理体系建设"/>
      <w:bookmarkEnd w:id="1183"/>
      <w:bookmarkStart w:id="1184" w:name="_bookmark69"/>
      <w:bookmarkEnd w:id="1184"/>
      <w:bookmarkStart w:id="1185" w:name="_bookmark69"/>
      <w:bookmarkEnd w:id="1185"/>
      <w:r>
        <w:t>清洁生产管理体系建设</w:t>
      </w:r>
    </w:p>
    <w:p>
      <w:pPr>
        <w:pStyle w:val="6"/>
        <w:spacing w:before="196" w:line="364" w:lineRule="auto"/>
        <w:ind w:left="235" w:right="249" w:firstLine="480"/>
      </w:pPr>
      <w:r>
        <w:t>要实现生产过程的清洁生产，除了采取先进的生产技术与装备外，还要建立有效的环境管理与清洁生产管理制度，本评价对该项目实施提出相应的环境管理建议，见下表。</w:t>
      </w:r>
    </w:p>
    <w:p>
      <w:pPr>
        <w:pStyle w:val="5"/>
        <w:spacing w:line="307" w:lineRule="exact"/>
        <w:ind w:left="2698" w:right="2698"/>
        <w:jc w:val="center"/>
      </w:pPr>
      <w:r>
        <w:t xml:space="preserve">表 </w:t>
      </w:r>
      <w:r>
        <w:rPr>
          <w:rFonts w:ascii="Times New Roman" w:eastAsia="Times New Roman"/>
        </w:rPr>
        <w:t xml:space="preserve">12.3-1 </w:t>
      </w:r>
      <w:r>
        <w:t>矿井清洁生产中环境管理要求</w:t>
      </w:r>
    </w:p>
    <w:p>
      <w:pPr>
        <w:pStyle w:val="6"/>
        <w:spacing w:before="4"/>
        <w:rPr>
          <w:b/>
          <w:sz w:val="12"/>
        </w:rPr>
      </w:pPr>
    </w:p>
    <w:tbl>
      <w:tblPr>
        <w:tblStyle w:val="10"/>
        <w:tblW w:w="0" w:type="auto"/>
        <w:tblInd w:w="24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280"/>
        <w:gridCol w:w="578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280" w:type="dxa"/>
            <w:tcBorders>
              <w:bottom w:val="single" w:color="000000" w:sz="4" w:space="0"/>
              <w:right w:val="single" w:color="000000" w:sz="4" w:space="0"/>
            </w:tcBorders>
          </w:tcPr>
          <w:p>
            <w:pPr>
              <w:pStyle w:val="14"/>
              <w:spacing w:before="63"/>
              <w:ind w:left="47" w:right="27"/>
              <w:rPr>
                <w:sz w:val="21"/>
              </w:rPr>
            </w:pPr>
            <w:r>
              <w:rPr>
                <w:sz w:val="21"/>
              </w:rPr>
              <w:t>指标</w:t>
            </w:r>
          </w:p>
        </w:tc>
        <w:tc>
          <w:tcPr>
            <w:tcW w:w="5788" w:type="dxa"/>
            <w:tcBorders>
              <w:left w:val="single" w:color="000000" w:sz="4" w:space="0"/>
              <w:bottom w:val="single" w:color="000000" w:sz="4" w:space="0"/>
            </w:tcBorders>
          </w:tcPr>
          <w:p>
            <w:pPr>
              <w:pStyle w:val="14"/>
              <w:spacing w:before="63"/>
              <w:ind w:left="2666" w:right="2647"/>
              <w:rPr>
                <w:sz w:val="21"/>
              </w:rPr>
            </w:pPr>
            <w:r>
              <w:rPr>
                <w:sz w:val="21"/>
              </w:rPr>
              <w:t>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3280" w:type="dxa"/>
            <w:tcBorders>
              <w:top w:val="single" w:color="000000" w:sz="4" w:space="0"/>
              <w:bottom w:val="single" w:color="000000" w:sz="4" w:space="0"/>
              <w:right w:val="single" w:color="000000" w:sz="4" w:space="0"/>
            </w:tcBorders>
          </w:tcPr>
          <w:p>
            <w:pPr>
              <w:pStyle w:val="14"/>
              <w:spacing w:before="163"/>
              <w:ind w:left="47" w:right="27"/>
              <w:rPr>
                <w:sz w:val="21"/>
              </w:rPr>
            </w:pPr>
            <w:r>
              <w:rPr>
                <w:sz w:val="21"/>
              </w:rPr>
              <w:t>环境法律法规标准</w:t>
            </w:r>
          </w:p>
        </w:tc>
        <w:tc>
          <w:tcPr>
            <w:tcW w:w="5788" w:type="dxa"/>
            <w:tcBorders>
              <w:top w:val="single" w:color="000000" w:sz="4" w:space="0"/>
              <w:left w:val="single" w:color="000000" w:sz="4" w:space="0"/>
              <w:bottom w:val="single" w:color="000000" w:sz="4" w:space="0"/>
            </w:tcBorders>
          </w:tcPr>
          <w:p>
            <w:pPr>
              <w:pStyle w:val="14"/>
              <w:spacing w:before="2"/>
              <w:ind w:left="9" w:right="-15"/>
              <w:jc w:val="left"/>
              <w:rPr>
                <w:sz w:val="21"/>
              </w:rPr>
            </w:pPr>
            <w:r>
              <w:rPr>
                <w:spacing w:val="-7"/>
                <w:w w:val="95"/>
                <w:sz w:val="21"/>
              </w:rPr>
              <w:t>符合国家和地方有关环境法律、法规，污染物排放达到国家和地</w:t>
            </w:r>
          </w:p>
          <w:p>
            <w:pPr>
              <w:pStyle w:val="14"/>
              <w:spacing w:before="55"/>
              <w:ind w:left="9"/>
              <w:jc w:val="left"/>
              <w:rPr>
                <w:sz w:val="21"/>
              </w:rPr>
            </w:pPr>
            <w:r>
              <w:rPr>
                <w:sz w:val="21"/>
              </w:rPr>
              <w:t>方排放标准、总量控制和排污许可证管理要求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3280" w:type="dxa"/>
            <w:tcBorders>
              <w:top w:val="single" w:color="000000" w:sz="4" w:space="0"/>
              <w:bottom w:val="single" w:color="000000" w:sz="4" w:space="0"/>
              <w:right w:val="single" w:color="000000" w:sz="4" w:space="0"/>
            </w:tcBorders>
          </w:tcPr>
          <w:p>
            <w:pPr>
              <w:pStyle w:val="14"/>
              <w:spacing w:before="6"/>
              <w:jc w:val="left"/>
              <w:rPr>
                <w:b/>
                <w:sz w:val="25"/>
              </w:rPr>
            </w:pPr>
          </w:p>
          <w:p>
            <w:pPr>
              <w:pStyle w:val="14"/>
              <w:ind w:left="44" w:right="27"/>
              <w:rPr>
                <w:sz w:val="21"/>
              </w:rPr>
            </w:pPr>
            <w:r>
              <w:rPr>
                <w:sz w:val="21"/>
              </w:rPr>
              <w:t>环境审核</w:t>
            </w:r>
          </w:p>
        </w:tc>
        <w:tc>
          <w:tcPr>
            <w:tcW w:w="5788" w:type="dxa"/>
            <w:tcBorders>
              <w:top w:val="single" w:color="000000" w:sz="4" w:space="0"/>
              <w:left w:val="single" w:color="000000" w:sz="4" w:space="0"/>
              <w:bottom w:val="single" w:color="000000" w:sz="4" w:space="0"/>
            </w:tcBorders>
          </w:tcPr>
          <w:p>
            <w:pPr>
              <w:pStyle w:val="14"/>
              <w:ind w:left="9"/>
              <w:jc w:val="left"/>
              <w:rPr>
                <w:sz w:val="21"/>
              </w:rPr>
            </w:pPr>
            <w:r>
              <w:rPr>
                <w:sz w:val="21"/>
              </w:rPr>
              <w:t>按照煤炭行业的企业清洁生产审核指南的要求进行审核；按照</w:t>
            </w:r>
          </w:p>
          <w:p>
            <w:pPr>
              <w:pStyle w:val="14"/>
              <w:spacing w:before="7" w:line="320" w:lineRule="atLeast"/>
              <w:ind w:left="9" w:right="9"/>
              <w:jc w:val="left"/>
              <w:rPr>
                <w:sz w:val="21"/>
              </w:rPr>
            </w:pPr>
            <w:r>
              <w:rPr>
                <w:rFonts w:ascii="Times New Roman" w:eastAsia="Times New Roman"/>
                <w:sz w:val="21"/>
              </w:rPr>
              <w:t xml:space="preserve">ISO14001 </w:t>
            </w:r>
            <w:r>
              <w:rPr>
                <w:sz w:val="21"/>
              </w:rPr>
              <w:t>建立并运行环境管理体系，环境管理手册、程序文件及作业文件齐备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280" w:type="dxa"/>
            <w:tcBorders>
              <w:top w:val="single" w:color="000000" w:sz="4" w:space="0"/>
              <w:bottom w:val="single" w:color="000000" w:sz="4" w:space="0"/>
              <w:right w:val="single" w:color="000000" w:sz="4" w:space="0"/>
            </w:tcBorders>
          </w:tcPr>
          <w:p>
            <w:pPr>
              <w:pStyle w:val="14"/>
              <w:spacing w:before="63"/>
              <w:ind w:left="44" w:right="27"/>
              <w:rPr>
                <w:sz w:val="21"/>
              </w:rPr>
            </w:pPr>
            <w:r>
              <w:rPr>
                <w:sz w:val="21"/>
              </w:rPr>
              <w:t>原料用量及质量</w:t>
            </w:r>
          </w:p>
        </w:tc>
        <w:tc>
          <w:tcPr>
            <w:tcW w:w="5788" w:type="dxa"/>
            <w:tcBorders>
              <w:top w:val="single" w:color="000000" w:sz="4" w:space="0"/>
              <w:left w:val="single" w:color="000000" w:sz="4" w:space="0"/>
              <w:bottom w:val="single" w:color="000000" w:sz="4" w:space="0"/>
            </w:tcBorders>
          </w:tcPr>
          <w:p>
            <w:pPr>
              <w:pStyle w:val="14"/>
              <w:spacing w:before="63"/>
              <w:ind w:left="9"/>
              <w:jc w:val="left"/>
              <w:rPr>
                <w:sz w:val="21"/>
              </w:rPr>
            </w:pPr>
            <w:r>
              <w:rPr>
                <w:sz w:val="21"/>
              </w:rPr>
              <w:t>规定严格的检验、计量控制措施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3280" w:type="dxa"/>
            <w:tcBorders>
              <w:top w:val="single" w:color="000000" w:sz="4" w:space="0"/>
              <w:bottom w:val="single" w:color="000000" w:sz="4" w:space="0"/>
              <w:right w:val="single" w:color="000000" w:sz="4" w:space="0"/>
            </w:tcBorders>
          </w:tcPr>
          <w:p>
            <w:pPr>
              <w:pStyle w:val="14"/>
              <w:ind w:left="47" w:right="22"/>
              <w:rPr>
                <w:sz w:val="21"/>
              </w:rPr>
            </w:pPr>
            <w:r>
              <w:rPr>
                <w:spacing w:val="-10"/>
                <w:w w:val="95"/>
                <w:sz w:val="21"/>
              </w:rPr>
              <w:t>除尘、矿井水处理处理、生活污水处</w:t>
            </w:r>
          </w:p>
          <w:p>
            <w:pPr>
              <w:pStyle w:val="14"/>
              <w:spacing w:before="57"/>
              <w:ind w:left="47" w:right="27"/>
              <w:rPr>
                <w:sz w:val="21"/>
              </w:rPr>
            </w:pPr>
            <w:r>
              <w:rPr>
                <w:sz w:val="21"/>
              </w:rPr>
              <w:t>理、洒水降尘等环保设备与设施</w:t>
            </w:r>
          </w:p>
        </w:tc>
        <w:tc>
          <w:tcPr>
            <w:tcW w:w="5788" w:type="dxa"/>
            <w:tcBorders>
              <w:top w:val="single" w:color="000000" w:sz="4" w:space="0"/>
              <w:left w:val="single" w:color="000000" w:sz="4" w:space="0"/>
              <w:bottom w:val="single" w:color="000000" w:sz="4" w:space="0"/>
            </w:tcBorders>
          </w:tcPr>
          <w:p>
            <w:pPr>
              <w:pStyle w:val="14"/>
              <w:spacing w:before="163"/>
              <w:ind w:left="9"/>
              <w:jc w:val="left"/>
              <w:rPr>
                <w:rFonts w:ascii="Times New Roman" w:eastAsia="Times New Roman"/>
                <w:sz w:val="21"/>
              </w:rPr>
            </w:pPr>
            <w:r>
              <w:rPr>
                <w:sz w:val="21"/>
              </w:rPr>
              <w:t xml:space="preserve">运行无故障、设备完好率达 </w:t>
            </w:r>
            <w:r>
              <w:rPr>
                <w:rFonts w:ascii="Times New Roman" w:eastAsia="Times New Roman"/>
                <w:sz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280" w:type="dxa"/>
            <w:tcBorders>
              <w:top w:val="single" w:color="000000" w:sz="4" w:space="0"/>
              <w:bottom w:val="single" w:color="000000" w:sz="4" w:space="0"/>
              <w:right w:val="single" w:color="000000" w:sz="4" w:space="0"/>
            </w:tcBorders>
          </w:tcPr>
          <w:p>
            <w:pPr>
              <w:pStyle w:val="14"/>
              <w:spacing w:before="64"/>
              <w:ind w:left="44" w:right="27"/>
              <w:rPr>
                <w:sz w:val="21"/>
              </w:rPr>
            </w:pPr>
            <w:r>
              <w:rPr>
                <w:sz w:val="21"/>
              </w:rPr>
              <w:t>岗位培训</w:t>
            </w:r>
          </w:p>
        </w:tc>
        <w:tc>
          <w:tcPr>
            <w:tcW w:w="5788" w:type="dxa"/>
            <w:tcBorders>
              <w:top w:val="single" w:color="000000" w:sz="4" w:space="0"/>
              <w:left w:val="single" w:color="000000" w:sz="4" w:space="0"/>
              <w:bottom w:val="single" w:color="000000" w:sz="4" w:space="0"/>
            </w:tcBorders>
          </w:tcPr>
          <w:p>
            <w:pPr>
              <w:pStyle w:val="14"/>
              <w:spacing w:before="64"/>
              <w:ind w:left="9"/>
              <w:jc w:val="left"/>
              <w:rPr>
                <w:sz w:val="21"/>
              </w:rPr>
            </w:pPr>
            <w:r>
              <w:rPr>
                <w:sz w:val="21"/>
              </w:rPr>
              <w:t>所有岗位操作人员要进行严格培训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3280" w:type="dxa"/>
            <w:tcBorders>
              <w:top w:val="single" w:color="000000" w:sz="4" w:space="0"/>
              <w:bottom w:val="single" w:color="000000" w:sz="4" w:space="0"/>
              <w:right w:val="single" w:color="000000" w:sz="4" w:space="0"/>
            </w:tcBorders>
          </w:tcPr>
          <w:p>
            <w:pPr>
              <w:pStyle w:val="14"/>
              <w:spacing w:before="1"/>
              <w:ind w:left="47" w:right="22"/>
              <w:rPr>
                <w:sz w:val="21"/>
              </w:rPr>
            </w:pPr>
            <w:r>
              <w:rPr>
                <w:spacing w:val="-10"/>
                <w:w w:val="95"/>
                <w:sz w:val="21"/>
              </w:rPr>
              <w:t>生产设备的使用、维护、检修管理制</w:t>
            </w:r>
          </w:p>
          <w:p>
            <w:pPr>
              <w:pStyle w:val="14"/>
              <w:spacing w:before="57"/>
              <w:ind w:left="18"/>
              <w:rPr>
                <w:sz w:val="21"/>
              </w:rPr>
            </w:pPr>
            <w:r>
              <w:rPr>
                <w:w w:val="99"/>
                <w:sz w:val="21"/>
              </w:rPr>
              <w:t>度</w:t>
            </w:r>
          </w:p>
        </w:tc>
        <w:tc>
          <w:tcPr>
            <w:tcW w:w="5788" w:type="dxa"/>
            <w:tcBorders>
              <w:top w:val="single" w:color="000000" w:sz="4" w:space="0"/>
              <w:left w:val="single" w:color="000000" w:sz="4" w:space="0"/>
              <w:bottom w:val="single" w:color="000000" w:sz="4" w:space="0"/>
            </w:tcBorders>
          </w:tcPr>
          <w:p>
            <w:pPr>
              <w:pStyle w:val="14"/>
              <w:spacing w:before="164"/>
              <w:ind w:left="9"/>
              <w:jc w:val="left"/>
              <w:rPr>
                <w:sz w:val="21"/>
              </w:rPr>
            </w:pPr>
            <w:r>
              <w:rPr>
                <w:sz w:val="21"/>
              </w:rPr>
              <w:t>有完善的管理制度，并严格执行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280" w:type="dxa"/>
            <w:tcBorders>
              <w:top w:val="single" w:color="000000" w:sz="4" w:space="0"/>
              <w:bottom w:val="single" w:color="000000" w:sz="4" w:space="0"/>
              <w:right w:val="single" w:color="000000" w:sz="4" w:space="0"/>
            </w:tcBorders>
          </w:tcPr>
          <w:p>
            <w:pPr>
              <w:pStyle w:val="14"/>
              <w:spacing w:before="64"/>
              <w:ind w:left="47" w:right="27"/>
              <w:rPr>
                <w:sz w:val="21"/>
              </w:rPr>
            </w:pPr>
            <w:r>
              <w:rPr>
                <w:sz w:val="21"/>
              </w:rPr>
              <w:t>生产工艺用水、电、汽、煤气管理</w:t>
            </w:r>
          </w:p>
        </w:tc>
        <w:tc>
          <w:tcPr>
            <w:tcW w:w="5788" w:type="dxa"/>
            <w:tcBorders>
              <w:top w:val="single" w:color="000000" w:sz="4" w:space="0"/>
              <w:left w:val="single" w:color="000000" w:sz="4" w:space="0"/>
              <w:bottom w:val="single" w:color="000000" w:sz="4" w:space="0"/>
            </w:tcBorders>
          </w:tcPr>
          <w:p>
            <w:pPr>
              <w:pStyle w:val="14"/>
              <w:spacing w:before="64"/>
              <w:ind w:left="9"/>
              <w:jc w:val="left"/>
              <w:rPr>
                <w:sz w:val="21"/>
              </w:rPr>
            </w:pPr>
            <w:r>
              <w:rPr>
                <w:sz w:val="21"/>
              </w:rPr>
              <w:t>安装计量仪表，并制定严格定量考核制度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280" w:type="dxa"/>
            <w:tcBorders>
              <w:top w:val="single" w:color="000000" w:sz="4" w:space="0"/>
              <w:bottom w:val="single" w:color="000000" w:sz="4" w:space="0"/>
              <w:right w:val="single" w:color="000000" w:sz="4" w:space="0"/>
            </w:tcBorders>
          </w:tcPr>
          <w:p>
            <w:pPr>
              <w:pStyle w:val="14"/>
              <w:spacing w:before="63"/>
              <w:ind w:left="47" w:right="27"/>
              <w:rPr>
                <w:sz w:val="21"/>
              </w:rPr>
            </w:pPr>
            <w:r>
              <w:rPr>
                <w:sz w:val="21"/>
              </w:rPr>
              <w:t>事故、非正常生产状况应急</w:t>
            </w:r>
          </w:p>
        </w:tc>
        <w:tc>
          <w:tcPr>
            <w:tcW w:w="5788" w:type="dxa"/>
            <w:tcBorders>
              <w:top w:val="single" w:color="000000" w:sz="4" w:space="0"/>
              <w:left w:val="single" w:color="000000" w:sz="4" w:space="0"/>
              <w:bottom w:val="single" w:color="000000" w:sz="4" w:space="0"/>
            </w:tcBorders>
          </w:tcPr>
          <w:p>
            <w:pPr>
              <w:pStyle w:val="14"/>
              <w:spacing w:before="63"/>
              <w:ind w:left="9"/>
              <w:jc w:val="left"/>
              <w:rPr>
                <w:sz w:val="21"/>
              </w:rPr>
            </w:pPr>
            <w:r>
              <w:rPr>
                <w:sz w:val="21"/>
              </w:rPr>
              <w:t>有具体的应急预案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280" w:type="dxa"/>
            <w:tcBorders>
              <w:top w:val="single" w:color="000000" w:sz="4" w:space="0"/>
              <w:bottom w:val="single" w:color="000000" w:sz="4" w:space="0"/>
              <w:right w:val="single" w:color="000000" w:sz="4" w:space="0"/>
            </w:tcBorders>
          </w:tcPr>
          <w:p>
            <w:pPr>
              <w:pStyle w:val="14"/>
              <w:spacing w:before="62"/>
              <w:ind w:left="47" w:right="27"/>
              <w:rPr>
                <w:sz w:val="21"/>
              </w:rPr>
            </w:pPr>
            <w:r>
              <w:rPr>
                <w:sz w:val="21"/>
              </w:rPr>
              <w:t>环境管理机构</w:t>
            </w:r>
          </w:p>
        </w:tc>
        <w:tc>
          <w:tcPr>
            <w:tcW w:w="5788" w:type="dxa"/>
            <w:tcBorders>
              <w:top w:val="single" w:color="000000" w:sz="4" w:space="0"/>
              <w:left w:val="single" w:color="000000" w:sz="4" w:space="0"/>
              <w:bottom w:val="single" w:color="000000" w:sz="4" w:space="0"/>
            </w:tcBorders>
          </w:tcPr>
          <w:p>
            <w:pPr>
              <w:pStyle w:val="14"/>
              <w:spacing w:before="62"/>
              <w:ind w:left="9" w:right="-15"/>
              <w:jc w:val="left"/>
              <w:rPr>
                <w:sz w:val="21"/>
              </w:rPr>
            </w:pPr>
            <w:r>
              <w:rPr>
                <w:spacing w:val="-9"/>
                <w:w w:val="95"/>
                <w:sz w:val="21"/>
              </w:rPr>
              <w:t>有专人负责，特别应建立起有效的沉陷与生态综合整治专门机构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280" w:type="dxa"/>
            <w:tcBorders>
              <w:top w:val="single" w:color="000000" w:sz="4" w:space="0"/>
              <w:bottom w:val="single" w:color="000000" w:sz="4" w:space="0"/>
              <w:right w:val="single" w:color="000000" w:sz="4" w:space="0"/>
            </w:tcBorders>
          </w:tcPr>
          <w:p>
            <w:pPr>
              <w:pStyle w:val="14"/>
              <w:spacing w:before="64"/>
              <w:ind w:left="47" w:right="27"/>
              <w:rPr>
                <w:sz w:val="21"/>
              </w:rPr>
            </w:pPr>
            <w:r>
              <w:rPr>
                <w:sz w:val="21"/>
              </w:rPr>
              <w:t>环境管理制度</w:t>
            </w:r>
          </w:p>
        </w:tc>
        <w:tc>
          <w:tcPr>
            <w:tcW w:w="5788" w:type="dxa"/>
            <w:tcBorders>
              <w:top w:val="single" w:color="000000" w:sz="4" w:space="0"/>
              <w:left w:val="single" w:color="000000" w:sz="4" w:space="0"/>
              <w:bottom w:val="single" w:color="000000" w:sz="4" w:space="0"/>
            </w:tcBorders>
          </w:tcPr>
          <w:p>
            <w:pPr>
              <w:pStyle w:val="14"/>
              <w:spacing w:before="64"/>
              <w:ind w:left="9"/>
              <w:jc w:val="left"/>
              <w:rPr>
                <w:sz w:val="21"/>
              </w:rPr>
            </w:pPr>
            <w:r>
              <w:rPr>
                <w:sz w:val="21"/>
              </w:rPr>
              <w:t>环境管理组织机构与管理制度健全、完善并纳入日常管理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280" w:type="dxa"/>
            <w:tcBorders>
              <w:top w:val="single" w:color="000000" w:sz="4" w:space="0"/>
              <w:bottom w:val="single" w:color="000000" w:sz="4" w:space="0"/>
              <w:right w:val="single" w:color="000000" w:sz="4" w:space="0"/>
            </w:tcBorders>
          </w:tcPr>
          <w:p>
            <w:pPr>
              <w:pStyle w:val="14"/>
              <w:spacing w:before="63"/>
              <w:ind w:left="47" w:right="27"/>
              <w:rPr>
                <w:sz w:val="21"/>
              </w:rPr>
            </w:pPr>
            <w:r>
              <w:rPr>
                <w:sz w:val="21"/>
              </w:rPr>
              <w:t>环境管理计划</w:t>
            </w:r>
          </w:p>
        </w:tc>
        <w:tc>
          <w:tcPr>
            <w:tcW w:w="5788" w:type="dxa"/>
            <w:tcBorders>
              <w:top w:val="single" w:color="000000" w:sz="4" w:space="0"/>
              <w:left w:val="single" w:color="000000" w:sz="4" w:space="0"/>
              <w:bottom w:val="single" w:color="000000" w:sz="4" w:space="0"/>
            </w:tcBorders>
          </w:tcPr>
          <w:p>
            <w:pPr>
              <w:pStyle w:val="14"/>
              <w:spacing w:before="63"/>
              <w:ind w:left="9"/>
              <w:jc w:val="left"/>
              <w:rPr>
                <w:sz w:val="21"/>
              </w:rPr>
            </w:pPr>
            <w:r>
              <w:rPr>
                <w:sz w:val="21"/>
              </w:rPr>
              <w:t>制定近、远期环境保护计划并监督实施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280" w:type="dxa"/>
            <w:tcBorders>
              <w:top w:val="single" w:color="000000" w:sz="4" w:space="0"/>
              <w:bottom w:val="single" w:color="000000" w:sz="4" w:space="0"/>
              <w:right w:val="single" w:color="000000" w:sz="4" w:space="0"/>
            </w:tcBorders>
          </w:tcPr>
          <w:p>
            <w:pPr>
              <w:pStyle w:val="14"/>
              <w:spacing w:before="62"/>
              <w:ind w:left="47" w:right="27"/>
              <w:rPr>
                <w:sz w:val="21"/>
              </w:rPr>
            </w:pPr>
            <w:r>
              <w:rPr>
                <w:sz w:val="21"/>
              </w:rPr>
              <w:t>环保设施的运行管理</w:t>
            </w:r>
          </w:p>
        </w:tc>
        <w:tc>
          <w:tcPr>
            <w:tcW w:w="5788" w:type="dxa"/>
            <w:tcBorders>
              <w:top w:val="single" w:color="000000" w:sz="4" w:space="0"/>
              <w:left w:val="single" w:color="000000" w:sz="4" w:space="0"/>
              <w:bottom w:val="single" w:color="000000" w:sz="4" w:space="0"/>
            </w:tcBorders>
          </w:tcPr>
          <w:p>
            <w:pPr>
              <w:pStyle w:val="14"/>
              <w:spacing w:before="62"/>
              <w:ind w:left="9"/>
              <w:jc w:val="left"/>
              <w:rPr>
                <w:sz w:val="21"/>
              </w:rPr>
            </w:pPr>
            <w:r>
              <w:rPr>
                <w:sz w:val="21"/>
              </w:rPr>
              <w:t>记录运行数据并建立环保档案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280" w:type="dxa"/>
            <w:tcBorders>
              <w:top w:val="single" w:color="000000" w:sz="4" w:space="0"/>
              <w:bottom w:val="single" w:color="000000" w:sz="4" w:space="0"/>
              <w:right w:val="single" w:color="000000" w:sz="4" w:space="0"/>
            </w:tcBorders>
          </w:tcPr>
          <w:p>
            <w:pPr>
              <w:pStyle w:val="14"/>
              <w:spacing w:before="64"/>
              <w:ind w:left="44" w:right="27"/>
              <w:rPr>
                <w:sz w:val="21"/>
              </w:rPr>
            </w:pPr>
            <w:r>
              <w:rPr>
                <w:sz w:val="21"/>
              </w:rPr>
              <w:t>污染源监测系统</w:t>
            </w:r>
          </w:p>
        </w:tc>
        <w:tc>
          <w:tcPr>
            <w:tcW w:w="5788" w:type="dxa"/>
            <w:tcBorders>
              <w:top w:val="single" w:color="000000" w:sz="4" w:space="0"/>
              <w:left w:val="single" w:color="000000" w:sz="4" w:space="0"/>
              <w:bottom w:val="single" w:color="000000" w:sz="4" w:space="0"/>
            </w:tcBorders>
          </w:tcPr>
          <w:p>
            <w:pPr>
              <w:pStyle w:val="14"/>
              <w:spacing w:before="64"/>
              <w:ind w:left="9"/>
              <w:jc w:val="left"/>
              <w:rPr>
                <w:sz w:val="21"/>
              </w:rPr>
            </w:pPr>
            <w:r>
              <w:rPr>
                <w:sz w:val="21"/>
              </w:rPr>
              <w:t>水、气主要污染源、主要污染物均具备监测手段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280" w:type="dxa"/>
            <w:tcBorders>
              <w:top w:val="single" w:color="000000" w:sz="4" w:space="0"/>
              <w:bottom w:val="single" w:color="000000" w:sz="4" w:space="0"/>
              <w:right w:val="single" w:color="000000" w:sz="4" w:space="0"/>
            </w:tcBorders>
          </w:tcPr>
          <w:p>
            <w:pPr>
              <w:pStyle w:val="14"/>
              <w:spacing w:before="63"/>
              <w:ind w:left="44" w:right="27"/>
              <w:rPr>
                <w:sz w:val="21"/>
              </w:rPr>
            </w:pPr>
            <w:r>
              <w:rPr>
                <w:sz w:val="21"/>
              </w:rPr>
              <w:t>信息交流</w:t>
            </w:r>
          </w:p>
        </w:tc>
        <w:tc>
          <w:tcPr>
            <w:tcW w:w="5788" w:type="dxa"/>
            <w:tcBorders>
              <w:top w:val="single" w:color="000000" w:sz="4" w:space="0"/>
              <w:left w:val="single" w:color="000000" w:sz="4" w:space="0"/>
              <w:bottom w:val="single" w:color="000000" w:sz="4" w:space="0"/>
            </w:tcBorders>
          </w:tcPr>
          <w:p>
            <w:pPr>
              <w:pStyle w:val="14"/>
              <w:spacing w:before="63"/>
              <w:ind w:left="9"/>
              <w:jc w:val="left"/>
              <w:rPr>
                <w:sz w:val="21"/>
              </w:rPr>
            </w:pPr>
            <w:r>
              <w:rPr>
                <w:sz w:val="21"/>
              </w:rPr>
              <w:t>具备计算机网络化管理系统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trPr>
        <w:tc>
          <w:tcPr>
            <w:tcW w:w="3280" w:type="dxa"/>
            <w:tcBorders>
              <w:top w:val="single" w:color="000000" w:sz="4" w:space="0"/>
              <w:right w:val="single" w:color="000000" w:sz="4" w:space="0"/>
            </w:tcBorders>
          </w:tcPr>
          <w:p>
            <w:pPr>
              <w:pStyle w:val="14"/>
              <w:spacing w:before="163"/>
              <w:ind w:left="47" w:right="27"/>
              <w:rPr>
                <w:sz w:val="21"/>
              </w:rPr>
            </w:pPr>
            <w:r>
              <w:rPr>
                <w:sz w:val="21"/>
              </w:rPr>
              <w:t>原辅料供应方、协作方、服务方</w:t>
            </w:r>
          </w:p>
        </w:tc>
        <w:tc>
          <w:tcPr>
            <w:tcW w:w="5788" w:type="dxa"/>
            <w:tcBorders>
              <w:top w:val="single" w:color="000000" w:sz="4" w:space="0"/>
              <w:left w:val="single" w:color="000000" w:sz="4" w:space="0"/>
            </w:tcBorders>
          </w:tcPr>
          <w:p>
            <w:pPr>
              <w:pStyle w:val="14"/>
              <w:ind w:left="9" w:right="-15"/>
              <w:jc w:val="left"/>
              <w:rPr>
                <w:sz w:val="21"/>
              </w:rPr>
            </w:pPr>
            <w:r>
              <w:rPr>
                <w:spacing w:val="-7"/>
                <w:w w:val="95"/>
                <w:sz w:val="21"/>
              </w:rPr>
              <w:t>服协及供货协议中要明确原辅料的包装、运输、装卸等过程中的</w:t>
            </w:r>
          </w:p>
          <w:p>
            <w:pPr>
              <w:pStyle w:val="14"/>
              <w:spacing w:before="57"/>
              <w:ind w:left="9"/>
              <w:jc w:val="left"/>
              <w:rPr>
                <w:sz w:val="21"/>
              </w:rPr>
            </w:pPr>
            <w:r>
              <w:rPr>
                <w:sz w:val="21"/>
              </w:rPr>
              <w:t>安全要求及环保要求</w:t>
            </w:r>
          </w:p>
        </w:tc>
      </w:tr>
    </w:tbl>
    <w:p>
      <w:pPr>
        <w:pStyle w:val="3"/>
        <w:numPr>
          <w:ilvl w:val="1"/>
          <w:numId w:val="78"/>
        </w:numPr>
        <w:tabs>
          <w:tab w:val="left" w:pos="836"/>
        </w:tabs>
        <w:spacing w:before="173" w:after="0" w:line="240" w:lineRule="auto"/>
        <w:ind w:left="836" w:right="0" w:hanging="601"/>
        <w:jc w:val="left"/>
      </w:pPr>
      <w:bookmarkStart w:id="1186" w:name="_bookmark70"/>
      <w:bookmarkEnd w:id="1186"/>
      <w:bookmarkStart w:id="1187" w:name="12.4清洁生产总体评价"/>
      <w:bookmarkEnd w:id="1187"/>
      <w:bookmarkStart w:id="1188" w:name="_bookmark70"/>
      <w:bookmarkEnd w:id="1188"/>
      <w:r>
        <w:t>清洁生产总体评价</w:t>
      </w:r>
    </w:p>
    <w:p>
      <w:pPr>
        <w:pStyle w:val="6"/>
        <w:spacing w:before="197" w:line="364" w:lineRule="auto"/>
        <w:ind w:left="235" w:right="117" w:firstLine="480"/>
      </w:pPr>
      <w:r>
        <w:rPr>
          <w:spacing w:val="-7"/>
        </w:rPr>
        <w:t>根据《清洁生产标准煤炭采选行业》</w:t>
      </w:r>
      <w:r>
        <w:rPr>
          <w:spacing w:val="-3"/>
        </w:rPr>
        <w:t>（</w:t>
      </w:r>
      <w:r>
        <w:rPr>
          <w:rFonts w:ascii="Times New Roman" w:eastAsia="Times New Roman"/>
          <w:spacing w:val="-3"/>
        </w:rPr>
        <w:t>HJ446-2008</w:t>
      </w:r>
      <w:r>
        <w:rPr>
          <w:spacing w:val="-3"/>
        </w:rPr>
        <w:t>）</w:t>
      </w:r>
      <w:r>
        <w:rPr>
          <w:spacing w:val="-5"/>
        </w:rPr>
        <w:t xml:space="preserve">要求。由上表中统计结果可知， </w:t>
      </w:r>
      <w:r>
        <w:t>本项目在可研中提出的生产工艺及装备、资源能源利用、产品及废物回收利用指标中， 各指标均满足清洁生产三级以上清洁生产水平，符合清洁生产要求。</w:t>
      </w:r>
    </w:p>
    <w:p>
      <w:pPr>
        <w:spacing w:after="0" w:line="364" w:lineRule="auto"/>
        <w:sectPr>
          <w:footerReference r:id="rId29" w:type="default"/>
          <w:pgSz w:w="11910" w:h="16840"/>
          <w:pgMar w:top="1580" w:right="1120" w:bottom="1320" w:left="1180" w:header="0" w:footer="1138" w:gutter="0"/>
          <w:pgNumType w:start="177"/>
        </w:sectPr>
      </w:pPr>
    </w:p>
    <w:p>
      <w:pPr>
        <w:pStyle w:val="3"/>
        <w:numPr>
          <w:ilvl w:val="1"/>
          <w:numId w:val="78"/>
        </w:numPr>
        <w:tabs>
          <w:tab w:val="left" w:pos="836"/>
        </w:tabs>
        <w:spacing w:before="46" w:after="0" w:line="240" w:lineRule="auto"/>
        <w:ind w:left="836" w:right="0" w:hanging="601"/>
        <w:jc w:val="left"/>
      </w:pPr>
      <w:bookmarkStart w:id="1189" w:name="12.5清洁生产建议"/>
      <w:bookmarkEnd w:id="1189"/>
      <w:bookmarkStart w:id="1190" w:name="_bookmark71"/>
      <w:bookmarkEnd w:id="1190"/>
      <w:bookmarkStart w:id="1191" w:name="_bookmark71"/>
      <w:bookmarkEnd w:id="1191"/>
      <w:r>
        <w:t>清洁生产建议</w:t>
      </w:r>
    </w:p>
    <w:p>
      <w:pPr>
        <w:pStyle w:val="6"/>
        <w:spacing w:before="199" w:line="364" w:lineRule="auto"/>
        <w:ind w:left="235" w:right="240" w:firstLine="480"/>
        <w:jc w:val="both"/>
      </w:pPr>
      <w:r>
        <w:t>清洁生产是企业可持续发展的必然选择，同时，清洁生产又是一个相对的、动态的概念，推行清洁生产本身是一个不断完善的过程，建议企业要适时的提出更新目标，将清洁生产不断的、长期的进行下去，实现企业的可持续发展。</w:t>
      </w:r>
    </w:p>
    <w:p>
      <w:pPr>
        <w:pStyle w:val="13"/>
        <w:numPr>
          <w:ilvl w:val="2"/>
          <w:numId w:val="78"/>
        </w:numPr>
        <w:tabs>
          <w:tab w:val="left" w:pos="1317"/>
        </w:tabs>
        <w:spacing w:before="110" w:after="0" w:line="343" w:lineRule="auto"/>
        <w:ind w:left="235" w:right="129" w:firstLine="480"/>
        <w:jc w:val="left"/>
        <w:rPr>
          <w:sz w:val="24"/>
        </w:rPr>
      </w:pPr>
      <w:r>
        <w:rPr>
          <w:spacing w:val="-1"/>
          <w:sz w:val="24"/>
        </w:rPr>
        <w:t xml:space="preserve">建立企业清洁生产组织和审核制度，不断的对员工进行清洁生产知识的培训， </w:t>
      </w:r>
      <w:r>
        <w:rPr>
          <w:sz w:val="24"/>
        </w:rPr>
        <w:t>提高他们对清洁生产的认识和自觉推行清洁生产的意识，明确个人在清洁生产工作中的职责，对厂内进行清洁生产审核，动态地实施清洁生产方案，建立清洁生产激励机制。</w:t>
      </w:r>
    </w:p>
    <w:p>
      <w:pPr>
        <w:pStyle w:val="13"/>
        <w:numPr>
          <w:ilvl w:val="2"/>
          <w:numId w:val="78"/>
        </w:numPr>
        <w:tabs>
          <w:tab w:val="left" w:pos="1317"/>
        </w:tabs>
        <w:spacing w:before="0" w:after="0" w:line="343" w:lineRule="auto"/>
        <w:ind w:left="235" w:right="237" w:firstLine="480"/>
        <w:jc w:val="left"/>
        <w:rPr>
          <w:sz w:val="24"/>
        </w:rPr>
      </w:pPr>
      <w:r>
        <w:rPr>
          <w:spacing w:val="-11"/>
          <w:sz w:val="24"/>
        </w:rPr>
        <w:t xml:space="preserve">建立并通过 </w:t>
      </w:r>
      <w:r>
        <w:rPr>
          <w:rFonts w:ascii="Times New Roman" w:eastAsia="Times New Roman"/>
          <w:sz w:val="24"/>
        </w:rPr>
        <w:t xml:space="preserve">ISO14000 </w:t>
      </w:r>
      <w:r>
        <w:rPr>
          <w:spacing w:val="-3"/>
          <w:sz w:val="24"/>
        </w:rPr>
        <w:t>国际环境管理体系，健全程序文件，按其要求进行持续</w:t>
      </w:r>
      <w:r>
        <w:rPr>
          <w:sz w:val="24"/>
        </w:rPr>
        <w:t>的管理。</w:t>
      </w:r>
    </w:p>
    <w:p>
      <w:pPr>
        <w:pStyle w:val="13"/>
        <w:numPr>
          <w:ilvl w:val="2"/>
          <w:numId w:val="78"/>
        </w:numPr>
        <w:tabs>
          <w:tab w:val="left" w:pos="1317"/>
        </w:tabs>
        <w:spacing w:before="0" w:after="0" w:line="343" w:lineRule="auto"/>
        <w:ind w:left="235" w:right="118" w:firstLine="480"/>
        <w:jc w:val="left"/>
        <w:rPr>
          <w:sz w:val="24"/>
        </w:rPr>
      </w:pPr>
      <w:r>
        <w:rPr>
          <w:spacing w:val="-9"/>
          <w:sz w:val="24"/>
        </w:rPr>
        <w:t>应加强环保设施及相关设备的正常运行，更好地、持续地进行清洁生产；另外</w:t>
      </w:r>
      <w:r>
        <w:rPr>
          <w:spacing w:val="-4"/>
          <w:sz w:val="24"/>
        </w:rPr>
        <w:t>，重视人员的技能培训，对整个生产过程进行有效管理，根据有关环保法规和节能、节水以及污染物总量控制规定，明确定量产品的定量消耗指标，实现最低的物耗、能耗、水耗和最小污染物排放量，进一步提高企业清洁生产水平。</w:t>
      </w:r>
    </w:p>
    <w:p>
      <w:pPr>
        <w:pStyle w:val="13"/>
        <w:numPr>
          <w:ilvl w:val="2"/>
          <w:numId w:val="78"/>
        </w:numPr>
        <w:tabs>
          <w:tab w:val="left" w:pos="1317"/>
        </w:tabs>
        <w:spacing w:before="2" w:after="0" w:line="343" w:lineRule="auto"/>
        <w:ind w:left="235" w:right="238" w:firstLine="480"/>
        <w:jc w:val="left"/>
        <w:rPr>
          <w:sz w:val="24"/>
        </w:rPr>
      </w:pPr>
      <w:r>
        <w:rPr>
          <w:spacing w:val="-4"/>
          <w:sz w:val="24"/>
        </w:rPr>
        <w:t>继续在技术工艺和设备上跟踪国际先进生产，以实现清洁生产持续改进，达到节能、降耗、减污、增效的目的，缩短同国际清洁生产水平的差距。</w:t>
      </w:r>
    </w:p>
    <w:p>
      <w:pPr>
        <w:pStyle w:val="13"/>
        <w:numPr>
          <w:ilvl w:val="2"/>
          <w:numId w:val="78"/>
        </w:numPr>
        <w:tabs>
          <w:tab w:val="left" w:pos="1317"/>
        </w:tabs>
        <w:spacing w:before="0" w:after="0" w:line="306" w:lineRule="exact"/>
        <w:ind w:left="1317" w:right="0" w:hanging="601"/>
        <w:jc w:val="left"/>
        <w:rPr>
          <w:sz w:val="24"/>
        </w:rPr>
      </w:pPr>
      <w:r>
        <w:rPr>
          <w:sz w:val="24"/>
        </w:rPr>
        <w:t>建立健全环境管理制度、污染源监测系。</w:t>
      </w:r>
    </w:p>
    <w:p>
      <w:pPr>
        <w:spacing w:after="0" w:line="306" w:lineRule="exact"/>
        <w:jc w:val="left"/>
        <w:rPr>
          <w:sz w:val="24"/>
        </w:rPr>
        <w:sectPr>
          <w:pgSz w:w="11910" w:h="16840"/>
          <w:pgMar w:top="1540" w:right="1120" w:bottom="1320" w:left="1180" w:header="0" w:footer="1138" w:gutter="0"/>
        </w:sectPr>
      </w:pPr>
    </w:p>
    <w:p>
      <w:pPr>
        <w:pStyle w:val="2"/>
        <w:numPr>
          <w:ilvl w:val="0"/>
          <w:numId w:val="62"/>
        </w:numPr>
        <w:tabs>
          <w:tab w:val="left" w:pos="3131"/>
        </w:tabs>
        <w:spacing w:before="46" w:after="0" w:line="240" w:lineRule="auto"/>
        <w:ind w:left="3130" w:right="0" w:hanging="632"/>
        <w:jc w:val="left"/>
      </w:pPr>
      <w:bookmarkStart w:id="1192" w:name="13. 环境管理与环境监测计划"/>
      <w:bookmarkEnd w:id="1192"/>
      <w:bookmarkStart w:id="1193" w:name="_bookmark72"/>
      <w:bookmarkEnd w:id="1193"/>
      <w:bookmarkStart w:id="1194" w:name="_bookmark72"/>
      <w:bookmarkEnd w:id="1194"/>
      <w:r>
        <w:t>环境管理与环境监测计划</w:t>
      </w:r>
    </w:p>
    <w:p>
      <w:pPr>
        <w:pStyle w:val="4"/>
        <w:numPr>
          <w:ilvl w:val="1"/>
          <w:numId w:val="79"/>
        </w:numPr>
        <w:tabs>
          <w:tab w:val="left" w:pos="868"/>
        </w:tabs>
        <w:spacing w:before="240" w:after="0" w:line="240" w:lineRule="auto"/>
        <w:ind w:left="867" w:right="0" w:hanging="633"/>
        <w:jc w:val="left"/>
        <w:rPr>
          <w:rFonts w:ascii="Times New Roman" w:eastAsia="Times New Roman"/>
        </w:rPr>
      </w:pPr>
      <w:bookmarkStart w:id="1195" w:name="13.1 建设期环境管理和环境监理"/>
      <w:bookmarkEnd w:id="1195"/>
      <w:bookmarkStart w:id="1196" w:name="_bookmark73"/>
      <w:bookmarkEnd w:id="1196"/>
      <w:bookmarkStart w:id="1197" w:name="_bookmark73"/>
      <w:bookmarkEnd w:id="1197"/>
      <w:r>
        <w:t>建设期环境管理和环境监理</w:t>
      </w:r>
    </w:p>
    <w:p>
      <w:pPr>
        <w:pStyle w:val="6"/>
        <w:spacing w:before="186" w:line="362" w:lineRule="auto"/>
        <w:ind w:left="235" w:right="89" w:firstLine="420"/>
      </w:pPr>
      <w:r>
        <w:t xml:space="preserve">本项目的施工期是对生态环境影响较大的时期，为确保各项环保措施的落实，最大限度地减轻施工作业对环境的影响，建议项目施工期间建立施工期 </w:t>
      </w:r>
      <w:r>
        <w:rPr>
          <w:rFonts w:ascii="Times New Roman" w:eastAsia="Times New Roman"/>
        </w:rPr>
        <w:t xml:space="preserve">HSE </w:t>
      </w:r>
      <w:r>
        <w:t>环境管理体系、引入环境监理、监督机制尤为重要。</w:t>
      </w:r>
    </w:p>
    <w:p>
      <w:pPr>
        <w:pStyle w:val="6"/>
        <w:spacing w:before="6" w:line="364" w:lineRule="auto"/>
        <w:ind w:left="235" w:right="241" w:firstLine="420"/>
      </w:pPr>
      <w:r>
        <w:t>此外，施工承包方的管理水平好坏将直接关系到施工期环境管理的好坏，为此，在施工单位的选择与管理上应提出如下要求：</w:t>
      </w:r>
    </w:p>
    <w:p>
      <w:pPr>
        <w:pStyle w:val="13"/>
        <w:numPr>
          <w:ilvl w:val="2"/>
          <w:numId w:val="79"/>
        </w:numPr>
        <w:tabs>
          <w:tab w:val="left" w:pos="1257"/>
        </w:tabs>
        <w:spacing w:before="0" w:after="0" w:line="364" w:lineRule="auto"/>
        <w:ind w:left="235" w:right="238" w:firstLine="420"/>
        <w:jc w:val="both"/>
        <w:rPr>
          <w:sz w:val="24"/>
        </w:rPr>
      </w:pPr>
      <w:r>
        <w:rPr>
          <w:spacing w:val="-5"/>
          <w:sz w:val="24"/>
        </w:rPr>
        <w:t>在技术装备、人员素质等同的条件下，选择环境管理水平高、环保业绩好的承</w:t>
      </w:r>
      <w:r>
        <w:rPr>
          <w:spacing w:val="-1"/>
          <w:sz w:val="24"/>
        </w:rPr>
        <w:t>包方。施工期对环境的破坏程度与施工承包方的素质和管理水平有直接的关系，因此在工程招标过程中，对施工承包方的选择，除要考虑实力、人员素质和技术装备外，还要</w:t>
      </w:r>
      <w:r>
        <w:rPr>
          <w:spacing w:val="-16"/>
          <w:sz w:val="24"/>
        </w:rPr>
        <w:t xml:space="preserve">考虑其 </w:t>
      </w:r>
      <w:r>
        <w:rPr>
          <w:rFonts w:ascii="Times New Roman" w:eastAsia="Times New Roman"/>
          <w:sz w:val="24"/>
        </w:rPr>
        <w:t>HSE</w:t>
      </w:r>
      <w:r>
        <w:rPr>
          <w:rFonts w:ascii="Times New Roman" w:eastAsia="Times New Roman"/>
          <w:spacing w:val="-1"/>
          <w:sz w:val="24"/>
        </w:rPr>
        <w:t xml:space="preserve"> </w:t>
      </w:r>
      <w:r>
        <w:rPr>
          <w:spacing w:val="-6"/>
          <w:sz w:val="24"/>
        </w:rPr>
        <w:t xml:space="preserve">的业绩，优先选择那些 </w:t>
      </w:r>
      <w:r>
        <w:rPr>
          <w:rFonts w:ascii="Times New Roman" w:eastAsia="Times New Roman"/>
          <w:sz w:val="24"/>
        </w:rPr>
        <w:t>HSE</w:t>
      </w:r>
      <w:r>
        <w:rPr>
          <w:rFonts w:ascii="Times New Roman" w:eastAsia="Times New Roman"/>
          <w:spacing w:val="-1"/>
          <w:sz w:val="24"/>
        </w:rPr>
        <w:t xml:space="preserve"> </w:t>
      </w:r>
      <w:r>
        <w:rPr>
          <w:sz w:val="24"/>
        </w:rPr>
        <w:t>管理水平高、环保业绩好的队伍。</w:t>
      </w:r>
    </w:p>
    <w:p>
      <w:pPr>
        <w:pStyle w:val="13"/>
        <w:numPr>
          <w:ilvl w:val="2"/>
          <w:numId w:val="79"/>
        </w:numPr>
        <w:tabs>
          <w:tab w:val="left" w:pos="1257"/>
        </w:tabs>
        <w:spacing w:before="0" w:after="0" w:line="364" w:lineRule="auto"/>
        <w:ind w:left="235" w:right="238" w:firstLine="420"/>
        <w:jc w:val="both"/>
        <w:rPr>
          <w:sz w:val="24"/>
        </w:rPr>
      </w:pPr>
      <w:r>
        <w:rPr>
          <w:spacing w:val="-3"/>
          <w:sz w:val="24"/>
        </w:rPr>
        <w:t>在承包合同中应明确承包方的环保责任和义务，将有关环境保护条款，如环境</w:t>
      </w:r>
      <w:r>
        <w:rPr>
          <w:spacing w:val="-1"/>
          <w:sz w:val="24"/>
        </w:rPr>
        <w:t>保护目标、采取的水、气、声、生态保护及水土保持措施等，列入合同当中，并将环保</w:t>
      </w:r>
      <w:r>
        <w:rPr>
          <w:sz w:val="24"/>
        </w:rPr>
        <w:t>工作的好坏作为工程验收的标准之一。</w:t>
      </w:r>
    </w:p>
    <w:p>
      <w:pPr>
        <w:pStyle w:val="13"/>
        <w:numPr>
          <w:ilvl w:val="2"/>
          <w:numId w:val="79"/>
        </w:numPr>
        <w:tabs>
          <w:tab w:val="left" w:pos="1264"/>
        </w:tabs>
        <w:spacing w:before="0" w:after="0" w:line="364" w:lineRule="auto"/>
        <w:ind w:left="235" w:right="238" w:firstLine="420"/>
        <w:jc w:val="both"/>
        <w:rPr>
          <w:sz w:val="24"/>
        </w:rPr>
      </w:pPr>
      <w:r>
        <w:rPr>
          <w:spacing w:val="-2"/>
          <w:sz w:val="24"/>
        </w:rPr>
        <w:t xml:space="preserve">施工承包方应按公司的要求，建立相应的 </w:t>
      </w:r>
      <w:r>
        <w:rPr>
          <w:rFonts w:ascii="Times New Roman" w:eastAsia="Times New Roman"/>
          <w:sz w:val="24"/>
        </w:rPr>
        <w:t>HSE</w:t>
      </w:r>
      <w:r>
        <w:rPr>
          <w:rFonts w:ascii="Times New Roman" w:eastAsia="Times New Roman"/>
          <w:spacing w:val="21"/>
          <w:sz w:val="24"/>
        </w:rPr>
        <w:t xml:space="preserve"> </w:t>
      </w:r>
      <w:r>
        <w:rPr>
          <w:sz w:val="24"/>
        </w:rPr>
        <w:t>管理机构，明确管理人员及其</w:t>
      </w:r>
      <w:r>
        <w:rPr>
          <w:spacing w:val="-1"/>
          <w:sz w:val="24"/>
        </w:rPr>
        <w:t>相应的职责等。在施工作业前，应编制详细的环境管理方案，连同施工计划一起呈报公</w:t>
      </w:r>
      <w:r>
        <w:rPr>
          <w:spacing w:val="-21"/>
          <w:sz w:val="24"/>
        </w:rPr>
        <w:t xml:space="preserve">司的 </w:t>
      </w:r>
      <w:r>
        <w:rPr>
          <w:rFonts w:ascii="Times New Roman" w:eastAsia="Times New Roman"/>
          <w:sz w:val="24"/>
        </w:rPr>
        <w:t>HSE</w:t>
      </w:r>
      <w:r>
        <w:rPr>
          <w:rFonts w:ascii="Times New Roman" w:eastAsia="Times New Roman"/>
          <w:spacing w:val="-1"/>
          <w:sz w:val="24"/>
        </w:rPr>
        <w:t xml:space="preserve"> </w:t>
      </w:r>
      <w:r>
        <w:rPr>
          <w:sz w:val="24"/>
        </w:rPr>
        <w:t>部门及其他相关环保部门。环境管理方案应包括以下措施：</w:t>
      </w:r>
    </w:p>
    <w:p>
      <w:pPr>
        <w:pStyle w:val="6"/>
        <w:spacing w:line="307" w:lineRule="exact"/>
        <w:ind w:left="656"/>
      </w:pPr>
      <w:r>
        <w:t>①减少施工扬尘、粉尘、施工机械及车辆废气排放等大气污染防治措施；</w:t>
      </w:r>
    </w:p>
    <w:p>
      <w:pPr>
        <w:pStyle w:val="6"/>
        <w:spacing w:before="154" w:line="362" w:lineRule="auto"/>
        <w:ind w:left="235" w:right="238" w:firstLine="420"/>
      </w:pPr>
      <w:r>
        <w:t>②降低施工机械及车辆噪声、施工噪声，以及在噪声敏感区设置隔声设施等防治噪声污染的措施；</w:t>
      </w:r>
    </w:p>
    <w:p>
      <w:pPr>
        <w:pStyle w:val="6"/>
        <w:spacing w:before="5" w:line="362" w:lineRule="auto"/>
        <w:ind w:left="235" w:right="238" w:firstLine="420"/>
      </w:pPr>
      <w:r>
        <w:t>③减少施工废水、生活污水排放，并加以妥善处理，防止污染地表水环境的措施， 在地表水源保护区施工时必须采取有针对性地保护措施；</w:t>
      </w:r>
    </w:p>
    <w:p>
      <w:pPr>
        <w:pStyle w:val="6"/>
        <w:spacing w:before="5"/>
        <w:ind w:left="656"/>
      </w:pPr>
      <w:r>
        <w:t>④施工废渣、生活垃圾等处理处置措施；</w:t>
      </w:r>
    </w:p>
    <w:p>
      <w:pPr>
        <w:pStyle w:val="6"/>
        <w:spacing w:before="160" w:line="362" w:lineRule="auto"/>
        <w:ind w:left="235" w:right="238" w:firstLine="420"/>
      </w:pPr>
      <w:r>
        <w:t>⑤限定施工活动范围、减少施工作业对土壤和植被的扰动和破坏、保护动植物等生态保护措施。</w:t>
      </w:r>
    </w:p>
    <w:p>
      <w:pPr>
        <w:pStyle w:val="13"/>
        <w:numPr>
          <w:ilvl w:val="2"/>
          <w:numId w:val="79"/>
        </w:numPr>
        <w:tabs>
          <w:tab w:val="left" w:pos="1264"/>
        </w:tabs>
        <w:spacing w:before="5" w:after="0" w:line="364" w:lineRule="auto"/>
        <w:ind w:left="235" w:right="238" w:firstLine="420"/>
        <w:jc w:val="both"/>
        <w:rPr>
          <w:sz w:val="24"/>
        </w:rPr>
      </w:pPr>
      <w:r>
        <w:rPr>
          <w:spacing w:val="-3"/>
          <w:sz w:val="24"/>
        </w:rPr>
        <w:t xml:space="preserve">施工单位要严格执行施工前的 </w:t>
      </w:r>
      <w:r>
        <w:rPr>
          <w:rFonts w:ascii="Times New Roman" w:eastAsia="Times New Roman"/>
          <w:sz w:val="24"/>
        </w:rPr>
        <w:t>HSE</w:t>
      </w:r>
      <w:r>
        <w:rPr>
          <w:rFonts w:ascii="Times New Roman" w:eastAsia="Times New Roman"/>
          <w:spacing w:val="21"/>
          <w:sz w:val="24"/>
        </w:rPr>
        <w:t xml:space="preserve"> </w:t>
      </w:r>
      <w:r>
        <w:rPr>
          <w:sz w:val="24"/>
        </w:rPr>
        <w:t>培训考核制度，施工人员必须经过相关部</w:t>
      </w:r>
      <w:r>
        <w:rPr>
          <w:spacing w:val="-1"/>
          <w:sz w:val="24"/>
        </w:rPr>
        <w:t>门的环保知识的宣传、教育和培训考核之后，成绩合格者方能进行施工，施工时要做到</w:t>
      </w:r>
      <w:r>
        <w:rPr>
          <w:sz w:val="24"/>
        </w:rPr>
        <w:t>文明施工，环保施工。</w:t>
      </w:r>
    </w:p>
    <w:p>
      <w:pPr>
        <w:spacing w:after="0" w:line="364" w:lineRule="auto"/>
        <w:jc w:val="both"/>
        <w:rPr>
          <w:sz w:val="24"/>
        </w:rPr>
        <w:sectPr>
          <w:pgSz w:w="11910" w:h="16840"/>
          <w:pgMar w:top="1540" w:right="1120" w:bottom="1320" w:left="1180" w:header="0" w:footer="1138" w:gutter="0"/>
        </w:sectPr>
      </w:pPr>
    </w:p>
    <w:p>
      <w:pPr>
        <w:pStyle w:val="13"/>
        <w:numPr>
          <w:ilvl w:val="2"/>
          <w:numId w:val="79"/>
        </w:numPr>
        <w:tabs>
          <w:tab w:val="left" w:pos="1257"/>
        </w:tabs>
        <w:spacing w:before="66" w:after="0" w:line="364" w:lineRule="auto"/>
        <w:ind w:left="235" w:right="238" w:firstLine="420"/>
        <w:jc w:val="both"/>
        <w:rPr>
          <w:sz w:val="24"/>
        </w:rPr>
      </w:pPr>
      <w:r>
        <w:rPr>
          <w:spacing w:val="-3"/>
          <w:sz w:val="24"/>
        </w:rPr>
        <w:t>施工单位要严格执行施工期的各项环保规定，落实各项环保措施，按要求选择</w:t>
      </w:r>
      <w:r>
        <w:rPr>
          <w:spacing w:val="-1"/>
          <w:sz w:val="24"/>
        </w:rPr>
        <w:t>适宜的施工时间、尽量缩小施工范围、废渣和垃圾集中堆放、泥浆和废土等按规定进行</w:t>
      </w:r>
      <w:r>
        <w:rPr>
          <w:sz w:val="24"/>
        </w:rPr>
        <w:t>处置、施工结束后做到工完料净、按规定对土地进行恢复。</w:t>
      </w:r>
    </w:p>
    <w:p>
      <w:pPr>
        <w:pStyle w:val="13"/>
        <w:numPr>
          <w:ilvl w:val="2"/>
          <w:numId w:val="79"/>
        </w:numPr>
        <w:tabs>
          <w:tab w:val="left" w:pos="1257"/>
        </w:tabs>
        <w:spacing w:before="0" w:after="0" w:line="364" w:lineRule="auto"/>
        <w:ind w:left="235" w:right="238" w:firstLine="420"/>
        <w:jc w:val="left"/>
        <w:rPr>
          <w:sz w:val="24"/>
        </w:rPr>
      </w:pPr>
      <w:r>
        <w:rPr>
          <w:spacing w:val="-4"/>
          <w:sz w:val="24"/>
        </w:rPr>
        <w:t>为加强管理施工单位作业范围，明确施工人员作业区域，应在施工作业带两侧</w:t>
      </w:r>
      <w:r>
        <w:rPr>
          <w:sz w:val="24"/>
        </w:rPr>
        <w:t>树立明显标志，严禁跨区域施工。</w:t>
      </w:r>
    </w:p>
    <w:p>
      <w:pPr>
        <w:pStyle w:val="13"/>
        <w:numPr>
          <w:ilvl w:val="2"/>
          <w:numId w:val="79"/>
        </w:numPr>
        <w:tabs>
          <w:tab w:val="left" w:pos="1257"/>
        </w:tabs>
        <w:spacing w:before="0" w:after="0" w:line="364" w:lineRule="auto"/>
        <w:ind w:left="235" w:right="238" w:firstLine="420"/>
        <w:jc w:val="left"/>
        <w:rPr>
          <w:sz w:val="24"/>
        </w:rPr>
      </w:pPr>
      <w:r>
        <w:rPr>
          <w:spacing w:val="-3"/>
          <w:sz w:val="24"/>
        </w:rPr>
        <w:t>建设单位的环境监管人员应随时对施工现场的环保设施、作业环境，以及环保</w:t>
      </w:r>
      <w:r>
        <w:rPr>
          <w:sz w:val="24"/>
        </w:rPr>
        <w:t>措施的落实执行情况进行认真的检查，并做好记录。</w:t>
      </w:r>
    </w:p>
    <w:p>
      <w:pPr>
        <w:pStyle w:val="13"/>
        <w:numPr>
          <w:ilvl w:val="2"/>
          <w:numId w:val="79"/>
        </w:numPr>
        <w:tabs>
          <w:tab w:val="left" w:pos="1257"/>
        </w:tabs>
        <w:spacing w:before="0" w:after="0" w:line="240" w:lineRule="auto"/>
        <w:ind w:left="1257" w:right="0" w:hanging="601"/>
        <w:jc w:val="left"/>
        <w:rPr>
          <w:sz w:val="24"/>
        </w:rPr>
      </w:pPr>
      <w:r>
        <w:rPr>
          <w:sz w:val="24"/>
        </w:rPr>
        <w:t>对施工中出现的与环保有关的问题进行及时的协调和解决。</w:t>
      </w:r>
    </w:p>
    <w:p>
      <w:pPr>
        <w:pStyle w:val="13"/>
        <w:numPr>
          <w:ilvl w:val="2"/>
          <w:numId w:val="79"/>
        </w:numPr>
        <w:tabs>
          <w:tab w:val="left" w:pos="1257"/>
        </w:tabs>
        <w:spacing w:before="155" w:after="0" w:line="362" w:lineRule="auto"/>
        <w:ind w:left="235" w:right="237" w:firstLine="420"/>
        <w:jc w:val="left"/>
        <w:rPr>
          <w:sz w:val="24"/>
        </w:rPr>
      </w:pPr>
      <w:r>
        <w:rPr>
          <w:spacing w:val="-3"/>
          <w:sz w:val="24"/>
        </w:rPr>
        <w:t>施工单位应根据当地环境合理选择布设施工营地，制定施工营地管理条例，条</w:t>
      </w:r>
      <w:r>
        <w:rPr>
          <w:sz w:val="24"/>
        </w:rPr>
        <w:t>例中应包括对人员活动范围、生活垃圾及其他废物的管理。</w:t>
      </w:r>
    </w:p>
    <w:p>
      <w:pPr>
        <w:pStyle w:val="4"/>
        <w:numPr>
          <w:ilvl w:val="1"/>
          <w:numId w:val="79"/>
        </w:numPr>
        <w:tabs>
          <w:tab w:val="left" w:pos="798"/>
        </w:tabs>
        <w:spacing w:before="6" w:after="0" w:line="240" w:lineRule="auto"/>
        <w:ind w:left="797" w:right="0" w:hanging="563"/>
        <w:jc w:val="left"/>
        <w:rPr>
          <w:rFonts w:ascii="Times New Roman" w:eastAsia="Times New Roman"/>
        </w:rPr>
      </w:pPr>
      <w:bookmarkStart w:id="1198" w:name="_bookmark74"/>
      <w:bookmarkEnd w:id="1198"/>
      <w:bookmarkStart w:id="1199" w:name="13.2环境管理机构及职责"/>
      <w:bookmarkEnd w:id="1199"/>
      <w:bookmarkStart w:id="1200" w:name="_bookmark74"/>
      <w:bookmarkEnd w:id="1200"/>
      <w:r>
        <w:t>环境管理机构及职责</w:t>
      </w:r>
    </w:p>
    <w:p>
      <w:pPr>
        <w:pStyle w:val="5"/>
        <w:numPr>
          <w:ilvl w:val="2"/>
          <w:numId w:val="80"/>
        </w:numPr>
        <w:tabs>
          <w:tab w:val="left" w:pos="896"/>
        </w:tabs>
        <w:spacing w:before="185" w:after="0" w:line="240" w:lineRule="auto"/>
        <w:ind w:left="896" w:right="0" w:hanging="661"/>
        <w:jc w:val="left"/>
      </w:pPr>
      <w:bookmarkStart w:id="1201" w:name="13.2.1环境管理目的"/>
      <w:bookmarkEnd w:id="1201"/>
      <w:bookmarkStart w:id="1202" w:name="13.2.1环境管理目的"/>
      <w:bookmarkEnd w:id="1202"/>
      <w:r>
        <w:t>环境管理目的</w:t>
      </w:r>
    </w:p>
    <w:p>
      <w:pPr>
        <w:pStyle w:val="6"/>
        <w:spacing w:before="161" w:line="364" w:lineRule="auto"/>
        <w:ind w:left="235" w:right="238" w:firstLine="420"/>
        <w:jc w:val="both"/>
      </w:pPr>
      <w:r>
        <w:t>通过环境管理，使工程环保措施得以落实，及时发现和改进环保措施的不足之处， 以便有效地控制环境污染。使工程建设符合国家经济建设和环境保护的有关要求，使地方环保部门具有可监督的依据。监督检查</w:t>
      </w:r>
      <w:r>
        <w:rPr>
          <w:rFonts w:ascii="Times New Roman" w:hAnsi="Times New Roman" w:eastAsia="Times New Roman"/>
        </w:rPr>
        <w:t>“</w:t>
      </w:r>
      <w:r>
        <w:t>三同时</w:t>
      </w:r>
      <w:r>
        <w:rPr>
          <w:rFonts w:ascii="Times New Roman" w:hAnsi="Times New Roman" w:eastAsia="Times New Roman"/>
        </w:rPr>
        <w:t>”</w:t>
      </w:r>
      <w:r>
        <w:t>方针的执行情况。通过环保措施的实施及环境管理，把矿山建设对周围环境带来的不利影响，减轻到最低程度。</w:t>
      </w:r>
    </w:p>
    <w:p>
      <w:pPr>
        <w:pStyle w:val="5"/>
        <w:numPr>
          <w:ilvl w:val="2"/>
          <w:numId w:val="80"/>
        </w:numPr>
        <w:tabs>
          <w:tab w:val="left" w:pos="896"/>
        </w:tabs>
        <w:spacing w:before="0" w:after="0" w:line="303" w:lineRule="exact"/>
        <w:ind w:left="896" w:right="0" w:hanging="661"/>
        <w:jc w:val="left"/>
      </w:pPr>
      <w:bookmarkStart w:id="1203" w:name="13.2.2环境管理体系"/>
      <w:bookmarkEnd w:id="1203"/>
      <w:bookmarkStart w:id="1204" w:name="13.2.2环境管理体系"/>
      <w:bookmarkEnd w:id="1204"/>
      <w:r>
        <w:t>环境管理体系</w:t>
      </w:r>
    </w:p>
    <w:p>
      <w:pPr>
        <w:pStyle w:val="6"/>
        <w:spacing w:before="160" w:line="364" w:lineRule="auto"/>
        <w:ind w:left="235" w:right="113" w:firstLine="480"/>
      </w:pPr>
      <w:r>
        <w:t>企业环境管理体系作为企业管理体系中的一部分，应与之相协调统一。实行企业矿长领导下的</w:t>
      </w:r>
      <w:r>
        <w:rPr>
          <w:rFonts w:ascii="Times New Roman" w:hAnsi="Times New Roman" w:eastAsia="Times New Roman"/>
        </w:rPr>
        <w:t>“</w:t>
      </w:r>
      <w:r>
        <w:rPr>
          <w:spacing w:val="-9"/>
        </w:rPr>
        <w:t>一人主管，分工负责；职能部门，各负其责；落实基层，监督考核</w:t>
      </w:r>
      <w:r>
        <w:rPr>
          <w:rFonts w:ascii="Times New Roman" w:hAnsi="Times New Roman" w:eastAsia="Times New Roman"/>
        </w:rPr>
        <w:t>”</w:t>
      </w:r>
      <w:r>
        <w:rPr>
          <w:spacing w:val="-4"/>
        </w:rPr>
        <w:t xml:space="preserve">的原则， </w:t>
      </w:r>
      <w:r>
        <w:t>建立以企业领导为核心，环保人员为基础的全员责任制的环境管理体系。使环境管理贯穿于企业管理的整个过程，并落实到企业的各个层次，分解到生产的各个环节，把企业管理与环境管理紧密地结合起来，不但要建立完善的企业管理体系和各项规章制度，也要建立完善的环境管理体系和各项规章制度，使企业的环境管理工作真正落到实处。</w:t>
      </w:r>
    </w:p>
    <w:p>
      <w:pPr>
        <w:pStyle w:val="6"/>
        <w:spacing w:line="364" w:lineRule="auto"/>
        <w:ind w:left="235" w:right="118" w:firstLine="480"/>
      </w:pPr>
      <w:r>
        <w:t>本项目建设后，应设兼职环保监督人员，配备必要的现代化管理手段；建立严格的环保岗位责任制；另外应建立计算机辅助管理系统，使之更好地利用经济、技术、行政</w:t>
      </w:r>
      <w:r>
        <w:rPr>
          <w:spacing w:val="-12"/>
        </w:rPr>
        <w:t xml:space="preserve">和教育手段，对损害环境质量的生产活动加以限制，协调好发展经济与环境保护的关系， </w:t>
      </w:r>
      <w:r>
        <w:t>使经济效益与环境效益相协调统一。</w:t>
      </w:r>
    </w:p>
    <w:p>
      <w:pPr>
        <w:pStyle w:val="5"/>
        <w:numPr>
          <w:ilvl w:val="2"/>
          <w:numId w:val="80"/>
        </w:numPr>
        <w:tabs>
          <w:tab w:val="left" w:pos="956"/>
        </w:tabs>
        <w:spacing w:before="0" w:after="0" w:line="305" w:lineRule="exact"/>
        <w:ind w:left="956" w:right="0" w:hanging="721"/>
        <w:jc w:val="left"/>
      </w:pPr>
      <w:bookmarkStart w:id="1205" w:name="13.2.3 环保管理职责"/>
      <w:bookmarkEnd w:id="1205"/>
      <w:bookmarkStart w:id="1206" w:name="13.2.3 环保管理职责"/>
      <w:bookmarkEnd w:id="1206"/>
      <w:r>
        <w:t>环保管理职责</w:t>
      </w:r>
    </w:p>
    <w:p>
      <w:pPr>
        <w:pStyle w:val="13"/>
        <w:numPr>
          <w:ilvl w:val="3"/>
          <w:numId w:val="80"/>
        </w:numPr>
        <w:tabs>
          <w:tab w:val="left" w:pos="1317"/>
        </w:tabs>
        <w:spacing w:before="157" w:after="0" w:line="240" w:lineRule="auto"/>
        <w:ind w:left="1317" w:right="0" w:hanging="601"/>
        <w:jc w:val="left"/>
        <w:rPr>
          <w:sz w:val="24"/>
        </w:rPr>
      </w:pPr>
      <w:r>
        <w:rPr>
          <w:sz w:val="24"/>
        </w:rPr>
        <w:t>贯彻执行国家及地方环境保护的有关方针、政策、法规等。</w:t>
      </w:r>
    </w:p>
    <w:p>
      <w:pPr>
        <w:spacing w:after="0" w:line="240" w:lineRule="auto"/>
        <w:jc w:val="left"/>
        <w:rPr>
          <w:sz w:val="24"/>
        </w:rPr>
        <w:sectPr>
          <w:footerReference r:id="rId30" w:type="default"/>
          <w:pgSz w:w="11910" w:h="16840"/>
          <w:pgMar w:top="1520" w:right="1120" w:bottom="1240" w:left="1180" w:header="0" w:footer="1058" w:gutter="0"/>
          <w:pgNumType w:start="180"/>
        </w:sectPr>
      </w:pPr>
    </w:p>
    <w:p>
      <w:pPr>
        <w:pStyle w:val="13"/>
        <w:numPr>
          <w:ilvl w:val="3"/>
          <w:numId w:val="80"/>
        </w:numPr>
        <w:tabs>
          <w:tab w:val="left" w:pos="1317"/>
        </w:tabs>
        <w:spacing w:before="66" w:after="0" w:line="362" w:lineRule="auto"/>
        <w:ind w:left="235" w:right="238" w:firstLine="480"/>
        <w:jc w:val="left"/>
        <w:rPr>
          <w:sz w:val="24"/>
        </w:rPr>
      </w:pPr>
      <w:r>
        <w:rPr>
          <w:spacing w:val="-5"/>
          <w:sz w:val="24"/>
        </w:rPr>
        <w:t>结合本企业情况及排污特点，制定企业的环境管理计划和环境监测计划，并</w:t>
      </w:r>
      <w:r>
        <w:rPr>
          <w:spacing w:val="-4"/>
          <w:sz w:val="24"/>
        </w:rPr>
        <w:t>监督落实。</w:t>
      </w:r>
    </w:p>
    <w:p>
      <w:pPr>
        <w:pStyle w:val="13"/>
        <w:numPr>
          <w:ilvl w:val="3"/>
          <w:numId w:val="80"/>
        </w:numPr>
        <w:tabs>
          <w:tab w:val="left" w:pos="1317"/>
        </w:tabs>
        <w:spacing w:before="5" w:after="0" w:line="362" w:lineRule="auto"/>
        <w:ind w:left="235" w:right="238" w:firstLine="480"/>
        <w:jc w:val="left"/>
        <w:rPr>
          <w:sz w:val="24"/>
        </w:rPr>
      </w:pPr>
      <w:r>
        <w:rPr>
          <w:spacing w:val="-8"/>
          <w:sz w:val="24"/>
        </w:rPr>
        <w:t>审定，落实并督促实施污染治理方案，监督企业污染治理资金的落实和使用</w:t>
      </w:r>
      <w:r>
        <w:rPr>
          <w:spacing w:val="-4"/>
          <w:sz w:val="24"/>
        </w:rPr>
        <w:t>情况。负责全矿的环境管理、污染源监测及各项环保设施的正 常运行的监督管理工作。</w:t>
      </w:r>
    </w:p>
    <w:p>
      <w:pPr>
        <w:pStyle w:val="13"/>
        <w:numPr>
          <w:ilvl w:val="3"/>
          <w:numId w:val="80"/>
        </w:numPr>
        <w:tabs>
          <w:tab w:val="left" w:pos="1317"/>
        </w:tabs>
        <w:spacing w:before="5" w:after="0" w:line="362" w:lineRule="auto"/>
        <w:ind w:left="235" w:right="238" w:firstLine="480"/>
        <w:jc w:val="left"/>
        <w:rPr>
          <w:sz w:val="24"/>
        </w:rPr>
      </w:pPr>
      <w:r>
        <w:rPr>
          <w:spacing w:val="-2"/>
          <w:sz w:val="24"/>
        </w:rPr>
        <w:t>组织有关部门制定出本企业环境管理办法和企业的污染事故的应急措施，制</w:t>
      </w:r>
      <w:r>
        <w:rPr>
          <w:spacing w:val="-4"/>
          <w:sz w:val="24"/>
        </w:rPr>
        <w:t>止或减缓对周围环境的污染。</w:t>
      </w:r>
    </w:p>
    <w:p>
      <w:pPr>
        <w:pStyle w:val="13"/>
        <w:numPr>
          <w:ilvl w:val="3"/>
          <w:numId w:val="80"/>
        </w:numPr>
        <w:tabs>
          <w:tab w:val="left" w:pos="1317"/>
        </w:tabs>
        <w:spacing w:before="5" w:after="0" w:line="364" w:lineRule="auto"/>
        <w:ind w:left="235" w:right="118" w:firstLine="480"/>
        <w:jc w:val="left"/>
        <w:rPr>
          <w:sz w:val="24"/>
        </w:rPr>
      </w:pPr>
      <w:r>
        <w:rPr>
          <w:spacing w:val="-6"/>
          <w:sz w:val="24"/>
        </w:rPr>
        <w:t>协同上级环境管理部门检查本企业的环境保护工作、污染治理设施的运行情况</w:t>
      </w:r>
      <w:r>
        <w:rPr>
          <w:spacing w:val="-4"/>
          <w:sz w:val="24"/>
        </w:rPr>
        <w:t>。定期对厂内污染情况进行分析总结，为环保设施的更新改造提供可靠依据。</w:t>
      </w:r>
    </w:p>
    <w:p>
      <w:pPr>
        <w:pStyle w:val="13"/>
        <w:numPr>
          <w:ilvl w:val="3"/>
          <w:numId w:val="80"/>
        </w:numPr>
        <w:tabs>
          <w:tab w:val="left" w:pos="1317"/>
        </w:tabs>
        <w:spacing w:before="0" w:after="0" w:line="362" w:lineRule="auto"/>
        <w:ind w:left="235" w:right="238" w:firstLine="480"/>
        <w:jc w:val="left"/>
        <w:rPr>
          <w:sz w:val="24"/>
        </w:rPr>
      </w:pPr>
      <w:r>
        <w:rPr>
          <w:spacing w:val="-7"/>
          <w:sz w:val="24"/>
        </w:rPr>
        <w:t>组织宣传教育，与本单位的有关部门一起大力普及全矿职工的环境法规及环</w:t>
      </w:r>
      <w:r>
        <w:rPr>
          <w:spacing w:val="-4"/>
          <w:sz w:val="24"/>
        </w:rPr>
        <w:t>境科学知识，提高职工的环境保护意识。</w:t>
      </w:r>
    </w:p>
    <w:p>
      <w:pPr>
        <w:pStyle w:val="13"/>
        <w:numPr>
          <w:ilvl w:val="3"/>
          <w:numId w:val="80"/>
        </w:numPr>
        <w:tabs>
          <w:tab w:val="left" w:pos="1317"/>
        </w:tabs>
        <w:spacing w:before="3" w:after="0" w:line="362" w:lineRule="auto"/>
        <w:ind w:left="235" w:right="238" w:firstLine="480"/>
        <w:jc w:val="left"/>
        <w:rPr>
          <w:sz w:val="24"/>
        </w:rPr>
      </w:pPr>
      <w:r>
        <w:rPr>
          <w:spacing w:val="-6"/>
          <w:sz w:val="24"/>
        </w:rPr>
        <w:t>宣传清洁生产思想，协同生产技术部门对现有生产设施进行改扩建，尽可能</w:t>
      </w:r>
      <w:r>
        <w:rPr>
          <w:spacing w:val="-4"/>
          <w:sz w:val="24"/>
        </w:rPr>
        <w:t>将污染控制在生产过程中。</w:t>
      </w:r>
    </w:p>
    <w:p>
      <w:pPr>
        <w:pStyle w:val="13"/>
        <w:numPr>
          <w:ilvl w:val="3"/>
          <w:numId w:val="80"/>
        </w:numPr>
        <w:tabs>
          <w:tab w:val="left" w:pos="1317"/>
        </w:tabs>
        <w:spacing w:before="5" w:after="0" w:line="364" w:lineRule="auto"/>
        <w:ind w:left="235" w:right="238" w:firstLine="480"/>
        <w:jc w:val="left"/>
        <w:rPr>
          <w:sz w:val="24"/>
        </w:rPr>
      </w:pPr>
      <w:r>
        <w:rPr>
          <w:spacing w:val="-7"/>
          <w:sz w:val="24"/>
        </w:rPr>
        <w:t>建立全矿污染源、污染物治理、排放浓度及总量等数据库。编制企业污染源</w:t>
      </w:r>
      <w:r>
        <w:rPr>
          <w:spacing w:val="-4"/>
          <w:sz w:val="24"/>
        </w:rPr>
        <w:t>监测的月报表、年报表及环境管理质量报告。</w:t>
      </w:r>
    </w:p>
    <w:p>
      <w:pPr>
        <w:pStyle w:val="13"/>
        <w:numPr>
          <w:ilvl w:val="3"/>
          <w:numId w:val="80"/>
        </w:numPr>
        <w:tabs>
          <w:tab w:val="left" w:pos="1317"/>
        </w:tabs>
        <w:spacing w:before="0" w:after="0" w:line="306" w:lineRule="exact"/>
        <w:ind w:left="1317" w:right="0" w:hanging="601"/>
        <w:jc w:val="left"/>
        <w:rPr>
          <w:sz w:val="24"/>
        </w:rPr>
      </w:pPr>
      <w:r>
        <w:rPr>
          <w:sz w:val="24"/>
        </w:rPr>
        <w:t>加强沉陷区的监测管理，发现问题，及时处理。</w:t>
      </w:r>
    </w:p>
    <w:p>
      <w:pPr>
        <w:pStyle w:val="5"/>
        <w:numPr>
          <w:ilvl w:val="2"/>
          <w:numId w:val="80"/>
        </w:numPr>
        <w:tabs>
          <w:tab w:val="left" w:pos="956"/>
        </w:tabs>
        <w:spacing w:before="161" w:after="0" w:line="240" w:lineRule="auto"/>
        <w:ind w:left="956" w:right="0" w:hanging="721"/>
        <w:jc w:val="left"/>
      </w:pPr>
      <w:r>
        <w:t>管理手段</w:t>
      </w:r>
    </w:p>
    <w:p>
      <w:pPr>
        <w:pStyle w:val="13"/>
        <w:numPr>
          <w:ilvl w:val="0"/>
          <w:numId w:val="81"/>
        </w:numPr>
        <w:tabs>
          <w:tab w:val="left" w:pos="1317"/>
        </w:tabs>
        <w:spacing w:before="158" w:after="0" w:line="240" w:lineRule="auto"/>
        <w:ind w:left="1317" w:right="0" w:hanging="601"/>
        <w:jc w:val="left"/>
        <w:rPr>
          <w:sz w:val="24"/>
        </w:rPr>
      </w:pPr>
      <w:r>
        <w:rPr>
          <w:sz w:val="24"/>
        </w:rPr>
        <w:t>行政手段</w:t>
      </w:r>
    </w:p>
    <w:p>
      <w:pPr>
        <w:pStyle w:val="6"/>
        <w:spacing w:before="161" w:line="362" w:lineRule="auto"/>
        <w:ind w:left="235" w:right="240" w:firstLine="480"/>
      </w:pPr>
      <w:r>
        <w:t>将环境保护列入岗位责任制，以行政手段指导、督促和检查生产部门的环保工作， 促使生产单位按要求完成环保任务。</w:t>
      </w:r>
    </w:p>
    <w:p>
      <w:pPr>
        <w:pStyle w:val="13"/>
        <w:numPr>
          <w:ilvl w:val="0"/>
          <w:numId w:val="81"/>
        </w:numPr>
        <w:tabs>
          <w:tab w:val="left" w:pos="1317"/>
        </w:tabs>
        <w:spacing w:before="5" w:after="0" w:line="240" w:lineRule="auto"/>
        <w:ind w:left="1317" w:right="0" w:hanging="601"/>
        <w:jc w:val="left"/>
        <w:rPr>
          <w:sz w:val="24"/>
        </w:rPr>
      </w:pPr>
      <w:r>
        <w:rPr>
          <w:sz w:val="24"/>
        </w:rPr>
        <w:t>法律手段</w:t>
      </w:r>
    </w:p>
    <w:p>
      <w:pPr>
        <w:pStyle w:val="6"/>
        <w:spacing w:before="158" w:line="364" w:lineRule="auto"/>
        <w:ind w:left="235" w:right="240" w:firstLine="480"/>
      </w:pPr>
      <w:r>
        <w:t>环境管理部门在处理企业日常环境污染问题时，依据环境保护法律法规对违反环境法律法规的单位和个人给予批评、警告、罚款，并对违法者追究法律责任。</w:t>
      </w:r>
    </w:p>
    <w:p>
      <w:pPr>
        <w:pStyle w:val="13"/>
        <w:numPr>
          <w:ilvl w:val="0"/>
          <w:numId w:val="81"/>
        </w:numPr>
        <w:tabs>
          <w:tab w:val="left" w:pos="1317"/>
        </w:tabs>
        <w:spacing w:before="0" w:after="0" w:line="306" w:lineRule="exact"/>
        <w:ind w:left="1317" w:right="0" w:hanging="601"/>
        <w:jc w:val="left"/>
        <w:rPr>
          <w:sz w:val="24"/>
        </w:rPr>
      </w:pPr>
      <w:r>
        <w:rPr>
          <w:sz w:val="24"/>
        </w:rPr>
        <w:t>经济手段</w:t>
      </w:r>
    </w:p>
    <w:p>
      <w:pPr>
        <w:pStyle w:val="6"/>
        <w:spacing w:before="160" w:line="364" w:lineRule="auto"/>
        <w:ind w:left="235" w:right="240" w:firstLine="480"/>
      </w:pPr>
      <w:r>
        <w:rPr>
          <w:spacing w:val="-1"/>
        </w:rPr>
        <w:t>对企业内部违反规定造成严重污染的生产部门和个人处以罚款，对积极开展废物综</w:t>
      </w:r>
      <w:r>
        <w:t>合利用的单位和个人给予奖励。</w:t>
      </w:r>
    </w:p>
    <w:p>
      <w:pPr>
        <w:pStyle w:val="13"/>
        <w:numPr>
          <w:ilvl w:val="0"/>
          <w:numId w:val="81"/>
        </w:numPr>
        <w:tabs>
          <w:tab w:val="left" w:pos="1317"/>
        </w:tabs>
        <w:spacing w:before="0" w:after="0" w:line="306" w:lineRule="exact"/>
        <w:ind w:left="1317" w:right="0" w:hanging="601"/>
        <w:jc w:val="left"/>
        <w:rPr>
          <w:sz w:val="24"/>
        </w:rPr>
      </w:pPr>
      <w:r>
        <w:rPr>
          <w:sz w:val="24"/>
        </w:rPr>
        <w:t>技术手段</w:t>
      </w:r>
    </w:p>
    <w:p>
      <w:pPr>
        <w:pStyle w:val="6"/>
        <w:spacing w:before="158" w:line="364" w:lineRule="auto"/>
        <w:ind w:left="235" w:right="240" w:firstLine="480"/>
        <w:jc w:val="both"/>
      </w:pPr>
      <w:r>
        <w:t>通过环境监测对企业内部污染状况进行调查，组织开展环境影响评价工作，在企业内部优先选用污染物产生量少的先进生产工艺、设备和与主体工程相配套防治污染治理设施。</w:t>
      </w:r>
    </w:p>
    <w:p>
      <w:pPr>
        <w:spacing w:after="0" w:line="364" w:lineRule="auto"/>
        <w:jc w:val="both"/>
        <w:sectPr>
          <w:pgSz w:w="11910" w:h="16840"/>
          <w:pgMar w:top="1520" w:right="1120" w:bottom="1320" w:left="1180" w:header="0" w:footer="1058" w:gutter="0"/>
        </w:sectPr>
      </w:pPr>
    </w:p>
    <w:p>
      <w:pPr>
        <w:pStyle w:val="13"/>
        <w:numPr>
          <w:ilvl w:val="0"/>
          <w:numId w:val="81"/>
        </w:numPr>
        <w:tabs>
          <w:tab w:val="left" w:pos="1317"/>
        </w:tabs>
        <w:spacing w:before="66" w:after="0" w:line="240" w:lineRule="auto"/>
        <w:ind w:left="1317" w:right="0" w:hanging="601"/>
        <w:jc w:val="left"/>
        <w:rPr>
          <w:sz w:val="24"/>
        </w:rPr>
      </w:pPr>
      <w:r>
        <w:rPr>
          <w:sz w:val="24"/>
        </w:rPr>
        <w:t>教育手段</w:t>
      </w:r>
    </w:p>
    <w:p>
      <w:pPr>
        <w:pStyle w:val="6"/>
        <w:spacing w:before="158" w:line="364" w:lineRule="auto"/>
        <w:ind w:left="235" w:right="240" w:firstLine="480"/>
      </w:pPr>
      <w:r>
        <w:rPr>
          <w:spacing w:val="-1"/>
        </w:rPr>
        <w:t>定期组织环保专业业务培训，开展环境教育，提高职工的环境意识，使职工自觉地</w:t>
      </w:r>
      <w:r>
        <w:t>为保护环境进行不懈的努力。</w:t>
      </w:r>
    </w:p>
    <w:p>
      <w:pPr>
        <w:pStyle w:val="5"/>
        <w:numPr>
          <w:ilvl w:val="2"/>
          <w:numId w:val="80"/>
        </w:numPr>
        <w:tabs>
          <w:tab w:val="left" w:pos="956"/>
        </w:tabs>
        <w:spacing w:before="0" w:after="0" w:line="306" w:lineRule="exact"/>
        <w:ind w:left="956" w:right="0" w:hanging="721"/>
        <w:jc w:val="left"/>
      </w:pPr>
      <w:r>
        <w:rPr>
          <w:w w:val="95"/>
        </w:rPr>
        <w:t>环境管理目标</w:t>
      </w:r>
    </w:p>
    <w:p>
      <w:pPr>
        <w:pStyle w:val="6"/>
        <w:spacing w:before="160" w:line="364" w:lineRule="auto"/>
        <w:ind w:left="235" w:right="240" w:firstLine="480"/>
        <w:jc w:val="both"/>
      </w:pPr>
      <w:r>
        <w:t xml:space="preserve">本评价对该项目建设所带来的各种环境问题及所排污染物，分别提出了有效污染防治措施，建设单位应认真履行，落实并监督环保设施的运行情况并加强管理，定期监测各污染物排放浓度以达到预定的处理效果，具体管理目标见表 </w:t>
      </w:r>
      <w:r>
        <w:rPr>
          <w:rFonts w:ascii="Times New Roman" w:eastAsia="Times New Roman"/>
        </w:rPr>
        <w:t>13.2-1</w:t>
      </w:r>
      <w:r>
        <w:t>。</w:t>
      </w:r>
    </w:p>
    <w:p>
      <w:pPr>
        <w:pStyle w:val="5"/>
        <w:spacing w:line="307" w:lineRule="exact"/>
        <w:ind w:left="2660"/>
        <w:jc w:val="both"/>
      </w:pPr>
      <w:r>
        <w:t xml:space="preserve">表 </w:t>
      </w:r>
      <w:r>
        <w:rPr>
          <w:rFonts w:ascii="Times New Roman" w:eastAsia="Times New Roman"/>
        </w:rPr>
        <w:t xml:space="preserve">13.2-1 </w:t>
      </w:r>
      <w:r>
        <w:t>环保处理设施和管理目标清单</w:t>
      </w:r>
    </w:p>
    <w:tbl>
      <w:tblPr>
        <w:tblStyle w:val="10"/>
        <w:tblW w:w="0" w:type="auto"/>
        <w:tblInd w:w="3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1073"/>
        <w:gridCol w:w="1729"/>
        <w:gridCol w:w="3960"/>
        <w:gridCol w:w="14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0" w:type="dxa"/>
          </w:tcPr>
          <w:p>
            <w:pPr>
              <w:pStyle w:val="14"/>
              <w:spacing w:before="34"/>
              <w:ind w:left="137" w:right="137"/>
              <w:rPr>
                <w:sz w:val="21"/>
              </w:rPr>
            </w:pPr>
            <w:r>
              <w:rPr>
                <w:sz w:val="21"/>
              </w:rPr>
              <w:t>序号</w:t>
            </w:r>
          </w:p>
        </w:tc>
        <w:tc>
          <w:tcPr>
            <w:tcW w:w="1073" w:type="dxa"/>
          </w:tcPr>
          <w:p>
            <w:pPr>
              <w:pStyle w:val="14"/>
              <w:spacing w:before="34"/>
              <w:ind w:left="305" w:right="303"/>
              <w:rPr>
                <w:sz w:val="21"/>
              </w:rPr>
            </w:pPr>
            <w:r>
              <w:rPr>
                <w:sz w:val="21"/>
              </w:rPr>
              <w:t>种类</w:t>
            </w:r>
          </w:p>
        </w:tc>
        <w:tc>
          <w:tcPr>
            <w:tcW w:w="1729" w:type="dxa"/>
          </w:tcPr>
          <w:p>
            <w:pPr>
              <w:pStyle w:val="14"/>
              <w:spacing w:before="34"/>
              <w:ind w:left="1"/>
              <w:rPr>
                <w:sz w:val="21"/>
              </w:rPr>
            </w:pPr>
            <w:r>
              <w:rPr>
                <w:sz w:val="21"/>
              </w:rPr>
              <w:t>主要污染物</w:t>
            </w:r>
          </w:p>
        </w:tc>
        <w:tc>
          <w:tcPr>
            <w:tcW w:w="3960" w:type="dxa"/>
          </w:tcPr>
          <w:p>
            <w:pPr>
              <w:pStyle w:val="14"/>
              <w:spacing w:before="34"/>
              <w:ind w:left="22" w:right="22"/>
              <w:rPr>
                <w:sz w:val="21"/>
              </w:rPr>
            </w:pPr>
            <w:r>
              <w:rPr>
                <w:sz w:val="21"/>
              </w:rPr>
              <w:t>环保设施</w:t>
            </w:r>
          </w:p>
        </w:tc>
        <w:tc>
          <w:tcPr>
            <w:tcW w:w="1451" w:type="dxa"/>
          </w:tcPr>
          <w:p>
            <w:pPr>
              <w:pStyle w:val="14"/>
              <w:spacing w:before="34"/>
              <w:ind w:left="73" w:right="70"/>
              <w:rPr>
                <w:sz w:val="21"/>
              </w:rPr>
            </w:pPr>
            <w:r>
              <w:rPr>
                <w:sz w:val="21"/>
              </w:rPr>
              <w:t>管理目标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7" w:hRule="atLeast"/>
        </w:trPr>
        <w:tc>
          <w:tcPr>
            <w:tcW w:w="740" w:type="dxa"/>
            <w:vMerge w:val="restart"/>
          </w:tcPr>
          <w:p>
            <w:pPr>
              <w:pStyle w:val="14"/>
              <w:jc w:val="left"/>
              <w:rPr>
                <w:b/>
                <w:sz w:val="22"/>
              </w:rPr>
            </w:pPr>
          </w:p>
          <w:p>
            <w:pPr>
              <w:pStyle w:val="14"/>
              <w:spacing w:before="11"/>
              <w:jc w:val="left"/>
              <w:rPr>
                <w:b/>
                <w:sz w:val="21"/>
              </w:rPr>
            </w:pPr>
          </w:p>
          <w:p>
            <w:pPr>
              <w:pStyle w:val="14"/>
              <w:ind w:left="4"/>
              <w:rPr>
                <w:rFonts w:ascii="Times New Roman"/>
                <w:sz w:val="21"/>
              </w:rPr>
            </w:pPr>
            <w:r>
              <w:rPr>
                <w:rFonts w:ascii="Times New Roman"/>
                <w:w w:val="99"/>
                <w:sz w:val="21"/>
              </w:rPr>
              <w:t>1</w:t>
            </w:r>
          </w:p>
        </w:tc>
        <w:tc>
          <w:tcPr>
            <w:tcW w:w="1073" w:type="dxa"/>
            <w:vMerge w:val="restart"/>
          </w:tcPr>
          <w:p>
            <w:pPr>
              <w:pStyle w:val="14"/>
              <w:jc w:val="left"/>
              <w:rPr>
                <w:b/>
                <w:sz w:val="20"/>
              </w:rPr>
            </w:pPr>
          </w:p>
          <w:p>
            <w:pPr>
              <w:pStyle w:val="14"/>
              <w:spacing w:before="9"/>
              <w:jc w:val="left"/>
              <w:rPr>
                <w:b/>
                <w:sz w:val="22"/>
              </w:rPr>
            </w:pPr>
          </w:p>
          <w:p>
            <w:pPr>
              <w:pStyle w:val="14"/>
              <w:spacing w:before="1"/>
              <w:ind w:left="115"/>
              <w:jc w:val="left"/>
              <w:rPr>
                <w:sz w:val="21"/>
              </w:rPr>
            </w:pPr>
            <w:r>
              <w:rPr>
                <w:sz w:val="21"/>
              </w:rPr>
              <w:t>水污染物</w:t>
            </w:r>
          </w:p>
        </w:tc>
        <w:tc>
          <w:tcPr>
            <w:tcW w:w="1729" w:type="dxa"/>
          </w:tcPr>
          <w:p>
            <w:pPr>
              <w:pStyle w:val="14"/>
              <w:spacing w:before="3"/>
              <w:jc w:val="left"/>
              <w:rPr>
                <w:b/>
                <w:sz w:val="21"/>
              </w:rPr>
            </w:pPr>
          </w:p>
          <w:p>
            <w:pPr>
              <w:pStyle w:val="14"/>
              <w:ind w:left="1"/>
              <w:rPr>
                <w:sz w:val="21"/>
              </w:rPr>
            </w:pPr>
            <w:r>
              <w:rPr>
                <w:sz w:val="21"/>
              </w:rPr>
              <w:t>矿井涌水</w:t>
            </w:r>
          </w:p>
        </w:tc>
        <w:tc>
          <w:tcPr>
            <w:tcW w:w="3960" w:type="dxa"/>
          </w:tcPr>
          <w:p>
            <w:pPr>
              <w:pStyle w:val="14"/>
              <w:spacing w:before="1" w:line="242" w:lineRule="auto"/>
              <w:ind w:left="27" w:right="22"/>
              <w:rPr>
                <w:sz w:val="21"/>
              </w:rPr>
            </w:pPr>
            <w:r>
              <w:rPr>
                <w:spacing w:val="-10"/>
                <w:w w:val="95"/>
                <w:sz w:val="21"/>
              </w:rPr>
              <w:t>经过沉淀、过滤用于井下与地面生产、消防</w:t>
            </w:r>
            <w:r>
              <w:rPr>
                <w:spacing w:val="-11"/>
                <w:w w:val="95"/>
                <w:sz w:val="21"/>
              </w:rPr>
              <w:t>用水、非生活饮用水水源。矿井涌水日处理</w:t>
            </w:r>
          </w:p>
          <w:p>
            <w:pPr>
              <w:pStyle w:val="14"/>
              <w:spacing w:before="1" w:line="251" w:lineRule="exact"/>
              <w:ind w:left="27" w:right="22"/>
              <w:rPr>
                <w:sz w:val="21"/>
              </w:rPr>
            </w:pPr>
            <w:r>
              <w:rPr>
                <w:sz w:val="21"/>
              </w:rPr>
              <w:t xml:space="preserve">能力为 </w:t>
            </w:r>
            <w:r>
              <w:rPr>
                <w:rFonts w:ascii="Times New Roman" w:eastAsia="Times New Roman"/>
                <w:sz w:val="21"/>
              </w:rPr>
              <w:t>3720m</w:t>
            </w:r>
            <w:r>
              <w:rPr>
                <w:rFonts w:ascii="Times New Roman" w:eastAsia="Times New Roman"/>
                <w:position w:val="7"/>
                <w:sz w:val="13"/>
              </w:rPr>
              <w:t>3</w:t>
            </w:r>
            <w:r>
              <w:rPr>
                <w:rFonts w:ascii="Times New Roman" w:eastAsia="Times New Roman"/>
                <w:sz w:val="21"/>
              </w:rPr>
              <w:t>/d</w:t>
            </w:r>
            <w:r>
              <w:rPr>
                <w:sz w:val="21"/>
              </w:rPr>
              <w:t>。</w:t>
            </w:r>
          </w:p>
        </w:tc>
        <w:tc>
          <w:tcPr>
            <w:tcW w:w="1451" w:type="dxa"/>
          </w:tcPr>
          <w:p>
            <w:pPr>
              <w:pStyle w:val="14"/>
              <w:spacing w:before="137" w:line="242" w:lineRule="auto"/>
              <w:ind w:left="200" w:right="91" w:hanging="106"/>
              <w:jc w:val="left"/>
              <w:rPr>
                <w:sz w:val="21"/>
              </w:rPr>
            </w:pPr>
            <w:r>
              <w:rPr>
                <w:sz w:val="21"/>
              </w:rPr>
              <w:t>剩余矿井涌水达标排放。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740" w:type="dxa"/>
            <w:vMerge w:val="continue"/>
            <w:tcBorders>
              <w:top w:val="nil"/>
            </w:tcBorders>
          </w:tcPr>
          <w:p>
            <w:pPr>
              <w:rPr>
                <w:sz w:val="2"/>
                <w:szCs w:val="2"/>
              </w:rPr>
            </w:pPr>
          </w:p>
        </w:tc>
        <w:tc>
          <w:tcPr>
            <w:tcW w:w="1073" w:type="dxa"/>
            <w:vMerge w:val="continue"/>
            <w:tcBorders>
              <w:top w:val="nil"/>
            </w:tcBorders>
          </w:tcPr>
          <w:p>
            <w:pPr>
              <w:rPr>
                <w:sz w:val="2"/>
                <w:szCs w:val="2"/>
              </w:rPr>
            </w:pPr>
          </w:p>
        </w:tc>
        <w:tc>
          <w:tcPr>
            <w:tcW w:w="1729" w:type="dxa"/>
          </w:tcPr>
          <w:p>
            <w:pPr>
              <w:pStyle w:val="14"/>
              <w:spacing w:before="136"/>
              <w:ind w:left="1"/>
              <w:rPr>
                <w:sz w:val="21"/>
              </w:rPr>
            </w:pPr>
            <w:r>
              <w:rPr>
                <w:sz w:val="21"/>
              </w:rPr>
              <w:t>生活污水</w:t>
            </w:r>
          </w:p>
        </w:tc>
        <w:tc>
          <w:tcPr>
            <w:tcW w:w="3960" w:type="dxa"/>
          </w:tcPr>
          <w:p>
            <w:pPr>
              <w:pStyle w:val="14"/>
              <w:spacing w:before="2"/>
              <w:ind w:left="27" w:right="22"/>
              <w:rPr>
                <w:sz w:val="21"/>
              </w:rPr>
            </w:pPr>
            <w:r>
              <w:rPr>
                <w:sz w:val="21"/>
              </w:rPr>
              <w:t>采用综合污水处理装置，日处理能力为</w:t>
            </w:r>
          </w:p>
          <w:p>
            <w:pPr>
              <w:pStyle w:val="14"/>
              <w:spacing w:before="2" w:line="252" w:lineRule="exact"/>
              <w:ind w:left="24" w:right="22"/>
              <w:rPr>
                <w:sz w:val="21"/>
              </w:rPr>
            </w:pPr>
            <w:r>
              <w:rPr>
                <w:rFonts w:ascii="Times New Roman" w:eastAsia="Times New Roman"/>
                <w:sz w:val="21"/>
              </w:rPr>
              <w:t>360m</w:t>
            </w:r>
            <w:r>
              <w:rPr>
                <w:rFonts w:ascii="Times New Roman" w:eastAsia="Times New Roman"/>
                <w:position w:val="7"/>
                <w:sz w:val="13"/>
              </w:rPr>
              <w:t>3</w:t>
            </w:r>
            <w:r>
              <w:rPr>
                <w:rFonts w:ascii="Times New Roman" w:eastAsia="Times New Roman"/>
                <w:sz w:val="21"/>
              </w:rPr>
              <w:t>/d</w:t>
            </w:r>
            <w:r>
              <w:rPr>
                <w:sz w:val="21"/>
              </w:rPr>
              <w:t>。</w:t>
            </w:r>
          </w:p>
        </w:tc>
        <w:tc>
          <w:tcPr>
            <w:tcW w:w="1451" w:type="dxa"/>
          </w:tcPr>
          <w:p>
            <w:pPr>
              <w:pStyle w:val="14"/>
              <w:spacing w:before="1" w:line="270" w:lineRule="atLeast"/>
              <w:ind w:left="94" w:right="91"/>
              <w:jc w:val="left"/>
              <w:rPr>
                <w:sz w:val="21"/>
              </w:rPr>
            </w:pPr>
            <w:r>
              <w:rPr>
                <w:sz w:val="21"/>
              </w:rPr>
              <w:t>达标后回用于生产、绿化等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7" w:hRule="atLeast"/>
        </w:trPr>
        <w:tc>
          <w:tcPr>
            <w:tcW w:w="740" w:type="dxa"/>
            <w:vMerge w:val="restart"/>
          </w:tcPr>
          <w:p>
            <w:pPr>
              <w:pStyle w:val="14"/>
              <w:jc w:val="left"/>
              <w:rPr>
                <w:b/>
                <w:sz w:val="22"/>
              </w:rPr>
            </w:pPr>
          </w:p>
          <w:p>
            <w:pPr>
              <w:pStyle w:val="14"/>
              <w:jc w:val="left"/>
              <w:rPr>
                <w:b/>
                <w:sz w:val="22"/>
              </w:rPr>
            </w:pPr>
          </w:p>
          <w:p>
            <w:pPr>
              <w:pStyle w:val="14"/>
              <w:spacing w:before="10"/>
              <w:jc w:val="left"/>
              <w:rPr>
                <w:b/>
                <w:sz w:val="18"/>
              </w:rPr>
            </w:pPr>
          </w:p>
          <w:p>
            <w:pPr>
              <w:pStyle w:val="14"/>
              <w:spacing w:before="1"/>
              <w:ind w:left="4"/>
              <w:rPr>
                <w:rFonts w:ascii="Times New Roman"/>
                <w:sz w:val="21"/>
              </w:rPr>
            </w:pPr>
            <w:r>
              <w:rPr>
                <w:rFonts w:ascii="Times New Roman"/>
                <w:w w:val="99"/>
                <w:sz w:val="21"/>
              </w:rPr>
              <w:t>2</w:t>
            </w:r>
          </w:p>
        </w:tc>
        <w:tc>
          <w:tcPr>
            <w:tcW w:w="1073" w:type="dxa"/>
            <w:vMerge w:val="restart"/>
          </w:tcPr>
          <w:p>
            <w:pPr>
              <w:pStyle w:val="14"/>
              <w:jc w:val="left"/>
              <w:rPr>
                <w:b/>
                <w:sz w:val="20"/>
              </w:rPr>
            </w:pPr>
          </w:p>
          <w:p>
            <w:pPr>
              <w:pStyle w:val="14"/>
              <w:jc w:val="left"/>
              <w:rPr>
                <w:b/>
                <w:sz w:val="20"/>
              </w:rPr>
            </w:pPr>
          </w:p>
          <w:p>
            <w:pPr>
              <w:pStyle w:val="14"/>
              <w:spacing w:before="142" w:line="242" w:lineRule="auto"/>
              <w:ind w:left="326" w:right="216" w:hanging="106"/>
              <w:jc w:val="left"/>
              <w:rPr>
                <w:sz w:val="21"/>
              </w:rPr>
            </w:pPr>
            <w:r>
              <w:rPr>
                <w:sz w:val="21"/>
              </w:rPr>
              <w:t>大气污染物</w:t>
            </w:r>
          </w:p>
        </w:tc>
        <w:tc>
          <w:tcPr>
            <w:tcW w:w="1729" w:type="dxa"/>
          </w:tcPr>
          <w:p>
            <w:pPr>
              <w:pStyle w:val="14"/>
              <w:spacing w:before="3"/>
              <w:jc w:val="left"/>
              <w:rPr>
                <w:b/>
                <w:sz w:val="21"/>
              </w:rPr>
            </w:pPr>
          </w:p>
          <w:p>
            <w:pPr>
              <w:pStyle w:val="14"/>
              <w:spacing w:before="1"/>
              <w:ind w:left="3"/>
              <w:rPr>
                <w:sz w:val="21"/>
              </w:rPr>
            </w:pPr>
            <w:r>
              <w:rPr>
                <w:sz w:val="21"/>
              </w:rPr>
              <w:t>锅炉、热风炉烟气</w:t>
            </w:r>
          </w:p>
        </w:tc>
        <w:tc>
          <w:tcPr>
            <w:tcW w:w="3960" w:type="dxa"/>
          </w:tcPr>
          <w:p>
            <w:pPr>
              <w:pStyle w:val="14"/>
              <w:spacing w:before="3"/>
              <w:jc w:val="left"/>
              <w:rPr>
                <w:b/>
                <w:sz w:val="21"/>
              </w:rPr>
            </w:pPr>
          </w:p>
          <w:p>
            <w:pPr>
              <w:pStyle w:val="14"/>
              <w:spacing w:before="1"/>
              <w:ind w:left="24" w:right="22"/>
              <w:rPr>
                <w:sz w:val="21"/>
              </w:rPr>
            </w:pPr>
            <w:r>
              <w:rPr>
                <w:sz w:val="21"/>
              </w:rPr>
              <w:t>各安装布袋除尘器</w:t>
            </w:r>
          </w:p>
        </w:tc>
        <w:tc>
          <w:tcPr>
            <w:tcW w:w="1451" w:type="dxa"/>
          </w:tcPr>
          <w:p>
            <w:pPr>
              <w:pStyle w:val="14"/>
              <w:spacing w:before="1"/>
              <w:ind w:left="94" w:hanging="68"/>
              <w:jc w:val="left"/>
              <w:rPr>
                <w:sz w:val="21"/>
              </w:rPr>
            </w:pPr>
            <w:r>
              <w:rPr>
                <w:spacing w:val="-12"/>
                <w:sz w:val="21"/>
              </w:rPr>
              <w:t>达标排放，烟囱</w:t>
            </w:r>
          </w:p>
          <w:p>
            <w:pPr>
              <w:pStyle w:val="14"/>
              <w:spacing w:before="2" w:line="270" w:lineRule="atLeast"/>
              <w:ind w:left="514" w:right="91" w:hanging="420"/>
              <w:jc w:val="left"/>
              <w:rPr>
                <w:sz w:val="21"/>
              </w:rPr>
            </w:pPr>
            <w:r>
              <w:rPr>
                <w:sz w:val="21"/>
              </w:rPr>
              <w:t>高度符合环保要求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0" w:type="dxa"/>
            <w:vMerge w:val="continue"/>
            <w:tcBorders>
              <w:top w:val="nil"/>
            </w:tcBorders>
          </w:tcPr>
          <w:p>
            <w:pPr>
              <w:rPr>
                <w:sz w:val="2"/>
                <w:szCs w:val="2"/>
              </w:rPr>
            </w:pPr>
          </w:p>
        </w:tc>
        <w:tc>
          <w:tcPr>
            <w:tcW w:w="1073" w:type="dxa"/>
            <w:vMerge w:val="continue"/>
            <w:tcBorders>
              <w:top w:val="nil"/>
            </w:tcBorders>
          </w:tcPr>
          <w:p>
            <w:pPr>
              <w:rPr>
                <w:sz w:val="2"/>
                <w:szCs w:val="2"/>
              </w:rPr>
            </w:pPr>
          </w:p>
        </w:tc>
        <w:tc>
          <w:tcPr>
            <w:tcW w:w="1729" w:type="dxa"/>
          </w:tcPr>
          <w:p>
            <w:pPr>
              <w:pStyle w:val="14"/>
              <w:spacing w:before="34"/>
              <w:ind w:left="3"/>
              <w:rPr>
                <w:sz w:val="21"/>
              </w:rPr>
            </w:pPr>
            <w:r>
              <w:rPr>
                <w:sz w:val="21"/>
              </w:rPr>
              <w:t>筛分车间粉尘</w:t>
            </w:r>
          </w:p>
        </w:tc>
        <w:tc>
          <w:tcPr>
            <w:tcW w:w="3960" w:type="dxa"/>
          </w:tcPr>
          <w:p>
            <w:pPr>
              <w:pStyle w:val="14"/>
              <w:spacing w:before="34"/>
              <w:ind w:left="24" w:right="22"/>
              <w:rPr>
                <w:sz w:val="21"/>
              </w:rPr>
            </w:pPr>
            <w:r>
              <w:rPr>
                <w:sz w:val="21"/>
              </w:rPr>
              <w:t>各安装布袋除尘器</w:t>
            </w:r>
          </w:p>
        </w:tc>
        <w:tc>
          <w:tcPr>
            <w:tcW w:w="1451" w:type="dxa"/>
          </w:tcPr>
          <w:p>
            <w:pPr>
              <w:pStyle w:val="14"/>
              <w:spacing w:before="34"/>
              <w:ind w:left="73" w:right="70"/>
              <w:rPr>
                <w:sz w:val="21"/>
              </w:rPr>
            </w:pPr>
            <w:r>
              <w:rPr>
                <w:sz w:val="21"/>
              </w:rPr>
              <w:t>达标排放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0" w:type="dxa"/>
            <w:vMerge w:val="continue"/>
            <w:tcBorders>
              <w:top w:val="nil"/>
            </w:tcBorders>
          </w:tcPr>
          <w:p>
            <w:pPr>
              <w:rPr>
                <w:sz w:val="2"/>
                <w:szCs w:val="2"/>
              </w:rPr>
            </w:pPr>
          </w:p>
        </w:tc>
        <w:tc>
          <w:tcPr>
            <w:tcW w:w="1073" w:type="dxa"/>
            <w:vMerge w:val="continue"/>
            <w:tcBorders>
              <w:top w:val="nil"/>
            </w:tcBorders>
          </w:tcPr>
          <w:p>
            <w:pPr>
              <w:rPr>
                <w:sz w:val="2"/>
                <w:szCs w:val="2"/>
              </w:rPr>
            </w:pPr>
          </w:p>
        </w:tc>
        <w:tc>
          <w:tcPr>
            <w:tcW w:w="1729" w:type="dxa"/>
          </w:tcPr>
          <w:p>
            <w:pPr>
              <w:pStyle w:val="14"/>
              <w:spacing w:before="34"/>
              <w:ind w:left="3"/>
              <w:rPr>
                <w:sz w:val="21"/>
              </w:rPr>
            </w:pPr>
            <w:r>
              <w:rPr>
                <w:sz w:val="21"/>
              </w:rPr>
              <w:t>无组织排放粉尘</w:t>
            </w:r>
          </w:p>
        </w:tc>
        <w:tc>
          <w:tcPr>
            <w:tcW w:w="3960" w:type="dxa"/>
          </w:tcPr>
          <w:p>
            <w:pPr>
              <w:pStyle w:val="14"/>
              <w:spacing w:before="34"/>
              <w:ind w:left="26" w:right="22"/>
              <w:rPr>
                <w:sz w:val="21"/>
              </w:rPr>
            </w:pPr>
            <w:r>
              <w:rPr>
                <w:sz w:val="21"/>
              </w:rPr>
              <w:t>拟采用洒水降尘措施</w:t>
            </w:r>
          </w:p>
        </w:tc>
        <w:tc>
          <w:tcPr>
            <w:tcW w:w="1451" w:type="dxa"/>
          </w:tcPr>
          <w:p>
            <w:pPr>
              <w:pStyle w:val="14"/>
              <w:spacing w:before="34"/>
              <w:ind w:left="73" w:right="70"/>
              <w:rPr>
                <w:sz w:val="21"/>
              </w:rPr>
            </w:pPr>
            <w:r>
              <w:rPr>
                <w:sz w:val="21"/>
              </w:rPr>
              <w:t>达标排放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0" w:type="dxa"/>
            <w:vMerge w:val="continue"/>
            <w:tcBorders>
              <w:top w:val="nil"/>
            </w:tcBorders>
          </w:tcPr>
          <w:p>
            <w:pPr>
              <w:rPr>
                <w:sz w:val="2"/>
                <w:szCs w:val="2"/>
              </w:rPr>
            </w:pPr>
          </w:p>
        </w:tc>
        <w:tc>
          <w:tcPr>
            <w:tcW w:w="1073" w:type="dxa"/>
            <w:vMerge w:val="continue"/>
            <w:tcBorders>
              <w:top w:val="nil"/>
            </w:tcBorders>
          </w:tcPr>
          <w:p>
            <w:pPr>
              <w:rPr>
                <w:sz w:val="2"/>
                <w:szCs w:val="2"/>
              </w:rPr>
            </w:pPr>
          </w:p>
        </w:tc>
        <w:tc>
          <w:tcPr>
            <w:tcW w:w="1729" w:type="dxa"/>
          </w:tcPr>
          <w:p>
            <w:pPr>
              <w:pStyle w:val="14"/>
              <w:spacing w:before="33"/>
              <w:ind w:left="1"/>
              <w:rPr>
                <w:sz w:val="21"/>
              </w:rPr>
            </w:pPr>
            <w:r>
              <w:rPr>
                <w:sz w:val="21"/>
              </w:rPr>
              <w:t>食堂油烟</w:t>
            </w:r>
          </w:p>
        </w:tc>
        <w:tc>
          <w:tcPr>
            <w:tcW w:w="3960" w:type="dxa"/>
          </w:tcPr>
          <w:p>
            <w:pPr>
              <w:pStyle w:val="14"/>
              <w:spacing w:before="33"/>
              <w:ind w:left="22" w:right="22"/>
              <w:rPr>
                <w:sz w:val="21"/>
              </w:rPr>
            </w:pPr>
            <w:r>
              <w:rPr>
                <w:sz w:val="21"/>
              </w:rPr>
              <w:t>安装油烟净化设施</w:t>
            </w:r>
          </w:p>
        </w:tc>
        <w:tc>
          <w:tcPr>
            <w:tcW w:w="1451" w:type="dxa"/>
          </w:tcPr>
          <w:p>
            <w:pPr>
              <w:pStyle w:val="14"/>
              <w:spacing w:before="33"/>
              <w:ind w:left="73" w:right="70"/>
              <w:rPr>
                <w:sz w:val="21"/>
              </w:rPr>
            </w:pPr>
            <w:r>
              <w:rPr>
                <w:sz w:val="21"/>
              </w:rPr>
              <w:t>达标排放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0" w:type="dxa"/>
            <w:vMerge w:val="restart"/>
          </w:tcPr>
          <w:p>
            <w:pPr>
              <w:pStyle w:val="14"/>
              <w:jc w:val="left"/>
              <w:rPr>
                <w:b/>
                <w:sz w:val="22"/>
              </w:rPr>
            </w:pPr>
          </w:p>
          <w:p>
            <w:pPr>
              <w:pStyle w:val="14"/>
              <w:jc w:val="left"/>
              <w:rPr>
                <w:b/>
                <w:sz w:val="22"/>
              </w:rPr>
            </w:pPr>
          </w:p>
          <w:p>
            <w:pPr>
              <w:pStyle w:val="14"/>
              <w:spacing w:before="8"/>
              <w:jc w:val="left"/>
              <w:rPr>
                <w:b/>
                <w:sz w:val="30"/>
              </w:rPr>
            </w:pPr>
          </w:p>
          <w:p>
            <w:pPr>
              <w:pStyle w:val="14"/>
              <w:spacing w:before="1"/>
              <w:ind w:left="4"/>
              <w:rPr>
                <w:rFonts w:ascii="Times New Roman"/>
                <w:sz w:val="21"/>
              </w:rPr>
            </w:pPr>
            <w:r>
              <w:rPr>
                <w:rFonts w:ascii="Times New Roman"/>
                <w:w w:val="99"/>
                <w:sz w:val="21"/>
              </w:rPr>
              <w:t>3</w:t>
            </w:r>
          </w:p>
        </w:tc>
        <w:tc>
          <w:tcPr>
            <w:tcW w:w="1073" w:type="dxa"/>
            <w:vMerge w:val="restart"/>
          </w:tcPr>
          <w:p>
            <w:pPr>
              <w:pStyle w:val="14"/>
              <w:jc w:val="left"/>
              <w:rPr>
                <w:b/>
                <w:sz w:val="20"/>
              </w:rPr>
            </w:pPr>
          </w:p>
          <w:p>
            <w:pPr>
              <w:pStyle w:val="14"/>
              <w:jc w:val="left"/>
              <w:rPr>
                <w:b/>
                <w:sz w:val="20"/>
              </w:rPr>
            </w:pPr>
          </w:p>
          <w:p>
            <w:pPr>
              <w:pStyle w:val="14"/>
              <w:jc w:val="left"/>
              <w:rPr>
                <w:b/>
                <w:sz w:val="20"/>
              </w:rPr>
            </w:pPr>
          </w:p>
          <w:p>
            <w:pPr>
              <w:pStyle w:val="14"/>
              <w:spacing w:before="174"/>
              <w:ind w:left="115"/>
              <w:jc w:val="left"/>
              <w:rPr>
                <w:sz w:val="21"/>
              </w:rPr>
            </w:pPr>
            <w:r>
              <w:rPr>
                <w:sz w:val="21"/>
              </w:rPr>
              <w:t>固体废物</w:t>
            </w:r>
          </w:p>
        </w:tc>
        <w:tc>
          <w:tcPr>
            <w:tcW w:w="1729" w:type="dxa"/>
          </w:tcPr>
          <w:p>
            <w:pPr>
              <w:pStyle w:val="14"/>
              <w:spacing w:before="33"/>
              <w:ind w:left="3"/>
              <w:rPr>
                <w:sz w:val="21"/>
              </w:rPr>
            </w:pPr>
            <w:r>
              <w:rPr>
                <w:sz w:val="21"/>
              </w:rPr>
              <w:t>矸石</w:t>
            </w:r>
          </w:p>
        </w:tc>
        <w:tc>
          <w:tcPr>
            <w:tcW w:w="3960" w:type="dxa"/>
          </w:tcPr>
          <w:p>
            <w:pPr>
              <w:pStyle w:val="14"/>
              <w:spacing w:before="33"/>
              <w:ind w:left="24" w:right="22"/>
              <w:rPr>
                <w:sz w:val="21"/>
              </w:rPr>
            </w:pPr>
            <w:r>
              <w:rPr>
                <w:sz w:val="21"/>
              </w:rPr>
              <w:t>本项目矸石铺垫工业广场</w:t>
            </w:r>
          </w:p>
        </w:tc>
        <w:tc>
          <w:tcPr>
            <w:tcW w:w="1451" w:type="dxa"/>
          </w:tcPr>
          <w:p>
            <w:pPr>
              <w:pStyle w:val="14"/>
              <w:spacing w:before="33"/>
              <w:ind w:left="73" w:right="72"/>
              <w:rPr>
                <w:sz w:val="21"/>
              </w:rPr>
            </w:pPr>
            <w:r>
              <w:rPr>
                <w:sz w:val="21"/>
              </w:rPr>
              <w:t>全部综合利用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0" w:type="dxa"/>
            <w:vMerge w:val="continue"/>
            <w:tcBorders>
              <w:top w:val="nil"/>
            </w:tcBorders>
          </w:tcPr>
          <w:p>
            <w:pPr>
              <w:rPr>
                <w:sz w:val="2"/>
                <w:szCs w:val="2"/>
              </w:rPr>
            </w:pPr>
          </w:p>
        </w:tc>
        <w:tc>
          <w:tcPr>
            <w:tcW w:w="1073" w:type="dxa"/>
            <w:vMerge w:val="continue"/>
            <w:tcBorders>
              <w:top w:val="nil"/>
            </w:tcBorders>
          </w:tcPr>
          <w:p>
            <w:pPr>
              <w:rPr>
                <w:sz w:val="2"/>
                <w:szCs w:val="2"/>
              </w:rPr>
            </w:pPr>
          </w:p>
        </w:tc>
        <w:tc>
          <w:tcPr>
            <w:tcW w:w="1729" w:type="dxa"/>
          </w:tcPr>
          <w:p>
            <w:pPr>
              <w:pStyle w:val="14"/>
              <w:spacing w:before="34"/>
              <w:ind w:left="3"/>
              <w:rPr>
                <w:sz w:val="21"/>
              </w:rPr>
            </w:pPr>
            <w:r>
              <w:rPr>
                <w:sz w:val="21"/>
              </w:rPr>
              <w:t>灰渣</w:t>
            </w:r>
          </w:p>
        </w:tc>
        <w:tc>
          <w:tcPr>
            <w:tcW w:w="3960" w:type="dxa"/>
          </w:tcPr>
          <w:p>
            <w:pPr>
              <w:pStyle w:val="14"/>
              <w:spacing w:before="34"/>
              <w:ind w:left="24" w:right="22"/>
              <w:rPr>
                <w:sz w:val="21"/>
              </w:rPr>
            </w:pPr>
            <w:r>
              <w:rPr>
                <w:sz w:val="21"/>
              </w:rPr>
              <w:t>农肥原料外售</w:t>
            </w:r>
          </w:p>
        </w:tc>
        <w:tc>
          <w:tcPr>
            <w:tcW w:w="1451" w:type="dxa"/>
          </w:tcPr>
          <w:p>
            <w:pPr>
              <w:pStyle w:val="14"/>
              <w:spacing w:before="34"/>
              <w:ind w:left="73" w:right="72"/>
              <w:rPr>
                <w:sz w:val="21"/>
              </w:rPr>
            </w:pPr>
            <w:r>
              <w:rPr>
                <w:sz w:val="21"/>
              </w:rPr>
              <w:t>全部综合利用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0" w:type="dxa"/>
            <w:vMerge w:val="continue"/>
            <w:tcBorders>
              <w:top w:val="nil"/>
            </w:tcBorders>
          </w:tcPr>
          <w:p>
            <w:pPr>
              <w:rPr>
                <w:sz w:val="2"/>
                <w:szCs w:val="2"/>
              </w:rPr>
            </w:pPr>
          </w:p>
        </w:tc>
        <w:tc>
          <w:tcPr>
            <w:tcW w:w="1073" w:type="dxa"/>
            <w:vMerge w:val="continue"/>
            <w:tcBorders>
              <w:top w:val="nil"/>
            </w:tcBorders>
          </w:tcPr>
          <w:p>
            <w:pPr>
              <w:rPr>
                <w:sz w:val="2"/>
                <w:szCs w:val="2"/>
              </w:rPr>
            </w:pPr>
          </w:p>
        </w:tc>
        <w:tc>
          <w:tcPr>
            <w:tcW w:w="1729" w:type="dxa"/>
          </w:tcPr>
          <w:p>
            <w:pPr>
              <w:pStyle w:val="14"/>
              <w:spacing w:before="34"/>
              <w:ind w:left="1"/>
              <w:rPr>
                <w:sz w:val="21"/>
              </w:rPr>
            </w:pPr>
            <w:r>
              <w:rPr>
                <w:sz w:val="21"/>
              </w:rPr>
              <w:t>生活垃圾</w:t>
            </w:r>
          </w:p>
        </w:tc>
        <w:tc>
          <w:tcPr>
            <w:tcW w:w="3960" w:type="dxa"/>
          </w:tcPr>
          <w:p>
            <w:pPr>
              <w:pStyle w:val="14"/>
              <w:spacing w:before="34"/>
              <w:ind w:left="24" w:right="22"/>
              <w:rPr>
                <w:sz w:val="21"/>
              </w:rPr>
            </w:pPr>
            <w:r>
              <w:rPr>
                <w:sz w:val="21"/>
              </w:rPr>
              <w:t>定期委托环卫部门处理</w:t>
            </w:r>
          </w:p>
        </w:tc>
        <w:tc>
          <w:tcPr>
            <w:tcW w:w="1451" w:type="dxa"/>
          </w:tcPr>
          <w:p>
            <w:pPr>
              <w:pStyle w:val="14"/>
              <w:spacing w:before="34"/>
              <w:ind w:left="73" w:right="72"/>
              <w:rPr>
                <w:sz w:val="21"/>
              </w:rPr>
            </w:pPr>
            <w:r>
              <w:rPr>
                <w:sz w:val="21"/>
              </w:rPr>
              <w:t>全部委托处理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Merge w:val="continue"/>
            <w:tcBorders>
              <w:top w:val="nil"/>
            </w:tcBorders>
          </w:tcPr>
          <w:p>
            <w:pPr>
              <w:rPr>
                <w:sz w:val="2"/>
                <w:szCs w:val="2"/>
              </w:rPr>
            </w:pPr>
          </w:p>
        </w:tc>
        <w:tc>
          <w:tcPr>
            <w:tcW w:w="1073" w:type="dxa"/>
            <w:vMerge w:val="continue"/>
            <w:tcBorders>
              <w:top w:val="nil"/>
            </w:tcBorders>
          </w:tcPr>
          <w:p>
            <w:pPr>
              <w:rPr>
                <w:sz w:val="2"/>
                <w:szCs w:val="2"/>
              </w:rPr>
            </w:pPr>
          </w:p>
        </w:tc>
        <w:tc>
          <w:tcPr>
            <w:tcW w:w="1729" w:type="dxa"/>
          </w:tcPr>
          <w:p>
            <w:pPr>
              <w:pStyle w:val="14"/>
              <w:spacing w:before="12"/>
              <w:jc w:val="left"/>
              <w:rPr>
                <w:b/>
                <w:sz w:val="16"/>
              </w:rPr>
            </w:pPr>
          </w:p>
          <w:p>
            <w:pPr>
              <w:pStyle w:val="14"/>
              <w:ind w:left="3"/>
              <w:rPr>
                <w:sz w:val="21"/>
              </w:rPr>
            </w:pPr>
            <w:r>
              <w:rPr>
                <w:sz w:val="21"/>
              </w:rPr>
              <w:t>污水处理站污泥</w:t>
            </w:r>
          </w:p>
        </w:tc>
        <w:tc>
          <w:tcPr>
            <w:tcW w:w="3960" w:type="dxa"/>
          </w:tcPr>
          <w:p>
            <w:pPr>
              <w:pStyle w:val="14"/>
              <w:spacing w:before="81" w:line="242" w:lineRule="auto"/>
              <w:ind w:left="509" w:right="22" w:hanging="483"/>
              <w:jc w:val="left"/>
              <w:rPr>
                <w:sz w:val="21"/>
              </w:rPr>
            </w:pPr>
            <w:r>
              <w:rPr>
                <w:spacing w:val="-8"/>
                <w:w w:val="95"/>
                <w:sz w:val="21"/>
              </w:rPr>
              <w:t>矿井水处理站污泥外售；综合污水处理站污</w:t>
            </w:r>
            <w:r>
              <w:rPr>
                <w:spacing w:val="-8"/>
                <w:sz w:val="21"/>
              </w:rPr>
              <w:t>泥按市政环卫部门要求统一处理</w:t>
            </w:r>
          </w:p>
        </w:tc>
        <w:tc>
          <w:tcPr>
            <w:tcW w:w="1451" w:type="dxa"/>
          </w:tcPr>
          <w:p>
            <w:pPr>
              <w:pStyle w:val="14"/>
              <w:spacing w:before="12"/>
              <w:jc w:val="left"/>
              <w:rPr>
                <w:b/>
                <w:sz w:val="16"/>
              </w:rPr>
            </w:pPr>
          </w:p>
          <w:p>
            <w:pPr>
              <w:pStyle w:val="14"/>
              <w:ind w:left="73" w:right="72"/>
              <w:rPr>
                <w:sz w:val="21"/>
              </w:rPr>
            </w:pPr>
            <w:r>
              <w:rPr>
                <w:sz w:val="21"/>
              </w:rPr>
              <w:t>全部综合利用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740" w:type="dxa"/>
            <w:vMerge w:val="continue"/>
            <w:tcBorders>
              <w:top w:val="nil"/>
            </w:tcBorders>
          </w:tcPr>
          <w:p>
            <w:pPr>
              <w:rPr>
                <w:sz w:val="2"/>
                <w:szCs w:val="2"/>
              </w:rPr>
            </w:pPr>
          </w:p>
        </w:tc>
        <w:tc>
          <w:tcPr>
            <w:tcW w:w="1073" w:type="dxa"/>
            <w:vMerge w:val="continue"/>
            <w:tcBorders>
              <w:top w:val="nil"/>
            </w:tcBorders>
          </w:tcPr>
          <w:p>
            <w:pPr>
              <w:rPr>
                <w:sz w:val="2"/>
                <w:szCs w:val="2"/>
              </w:rPr>
            </w:pPr>
          </w:p>
        </w:tc>
        <w:tc>
          <w:tcPr>
            <w:tcW w:w="1729" w:type="dxa"/>
          </w:tcPr>
          <w:p>
            <w:pPr>
              <w:pStyle w:val="14"/>
              <w:spacing w:before="71"/>
              <w:ind w:left="3"/>
              <w:rPr>
                <w:sz w:val="21"/>
              </w:rPr>
            </w:pPr>
            <w:r>
              <w:rPr>
                <w:sz w:val="21"/>
              </w:rPr>
              <w:t>废机油</w:t>
            </w:r>
          </w:p>
        </w:tc>
        <w:tc>
          <w:tcPr>
            <w:tcW w:w="3960" w:type="dxa"/>
          </w:tcPr>
          <w:p>
            <w:pPr>
              <w:pStyle w:val="14"/>
              <w:spacing w:before="71"/>
              <w:ind w:left="24" w:right="22"/>
              <w:rPr>
                <w:sz w:val="21"/>
              </w:rPr>
            </w:pPr>
            <w:r>
              <w:rPr>
                <w:sz w:val="21"/>
              </w:rPr>
              <w:t>委托有资质的单位处理</w:t>
            </w:r>
          </w:p>
        </w:tc>
        <w:tc>
          <w:tcPr>
            <w:tcW w:w="1451" w:type="dxa"/>
          </w:tcPr>
          <w:p>
            <w:pPr>
              <w:pStyle w:val="14"/>
              <w:spacing w:before="71"/>
              <w:ind w:left="73" w:right="72"/>
              <w:rPr>
                <w:sz w:val="21"/>
              </w:rPr>
            </w:pPr>
            <w:r>
              <w:rPr>
                <w:sz w:val="21"/>
              </w:rPr>
              <w:t>全部委托处理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0" w:type="dxa"/>
          </w:tcPr>
          <w:p>
            <w:pPr>
              <w:pStyle w:val="14"/>
              <w:spacing w:before="49"/>
              <w:ind w:left="4"/>
              <w:rPr>
                <w:rFonts w:ascii="Times New Roman"/>
                <w:sz w:val="21"/>
              </w:rPr>
            </w:pPr>
            <w:r>
              <w:rPr>
                <w:rFonts w:ascii="Times New Roman"/>
                <w:w w:val="99"/>
                <w:sz w:val="21"/>
              </w:rPr>
              <w:t>4</w:t>
            </w:r>
          </w:p>
        </w:tc>
        <w:tc>
          <w:tcPr>
            <w:tcW w:w="1073" w:type="dxa"/>
          </w:tcPr>
          <w:p>
            <w:pPr>
              <w:pStyle w:val="14"/>
              <w:spacing w:before="33"/>
              <w:ind w:left="305" w:right="303"/>
              <w:rPr>
                <w:sz w:val="21"/>
              </w:rPr>
            </w:pPr>
            <w:r>
              <w:rPr>
                <w:sz w:val="21"/>
              </w:rPr>
              <w:t>噪声</w:t>
            </w:r>
          </w:p>
        </w:tc>
        <w:tc>
          <w:tcPr>
            <w:tcW w:w="1729" w:type="dxa"/>
          </w:tcPr>
          <w:p>
            <w:pPr>
              <w:pStyle w:val="14"/>
              <w:spacing w:before="33"/>
              <w:ind w:left="1"/>
              <w:rPr>
                <w:sz w:val="21"/>
              </w:rPr>
            </w:pPr>
            <w:r>
              <w:rPr>
                <w:sz w:val="21"/>
              </w:rPr>
              <w:t>设备噪声</w:t>
            </w:r>
          </w:p>
        </w:tc>
        <w:tc>
          <w:tcPr>
            <w:tcW w:w="3960" w:type="dxa"/>
          </w:tcPr>
          <w:p>
            <w:pPr>
              <w:pStyle w:val="14"/>
              <w:spacing w:before="33"/>
              <w:ind w:left="26" w:right="22"/>
              <w:rPr>
                <w:sz w:val="21"/>
              </w:rPr>
            </w:pPr>
            <w:r>
              <w:rPr>
                <w:sz w:val="21"/>
              </w:rPr>
              <w:t>减震、消声、隔声等</w:t>
            </w:r>
          </w:p>
        </w:tc>
        <w:tc>
          <w:tcPr>
            <w:tcW w:w="1451" w:type="dxa"/>
          </w:tcPr>
          <w:p>
            <w:pPr>
              <w:pStyle w:val="14"/>
              <w:spacing w:before="33"/>
              <w:ind w:left="73" w:right="70"/>
              <w:rPr>
                <w:sz w:val="21"/>
              </w:rPr>
            </w:pPr>
            <w:r>
              <w:rPr>
                <w:sz w:val="21"/>
              </w:rPr>
              <w:t>厂界达标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0" w:type="dxa"/>
          </w:tcPr>
          <w:p>
            <w:pPr>
              <w:pStyle w:val="14"/>
              <w:spacing w:before="50"/>
              <w:ind w:left="4"/>
              <w:rPr>
                <w:rFonts w:ascii="Times New Roman"/>
                <w:sz w:val="21"/>
              </w:rPr>
            </w:pPr>
            <w:r>
              <w:rPr>
                <w:rFonts w:ascii="Times New Roman"/>
                <w:w w:val="99"/>
                <w:sz w:val="21"/>
              </w:rPr>
              <w:t>5</w:t>
            </w:r>
          </w:p>
        </w:tc>
        <w:tc>
          <w:tcPr>
            <w:tcW w:w="2802" w:type="dxa"/>
            <w:gridSpan w:val="2"/>
          </w:tcPr>
          <w:p>
            <w:pPr>
              <w:pStyle w:val="14"/>
              <w:spacing w:before="33"/>
              <w:ind w:left="960" w:right="957"/>
              <w:rPr>
                <w:sz w:val="21"/>
              </w:rPr>
            </w:pPr>
            <w:r>
              <w:rPr>
                <w:sz w:val="21"/>
              </w:rPr>
              <w:t>污染事故</w:t>
            </w:r>
          </w:p>
        </w:tc>
        <w:tc>
          <w:tcPr>
            <w:tcW w:w="5411" w:type="dxa"/>
            <w:gridSpan w:val="2"/>
          </w:tcPr>
          <w:p>
            <w:pPr>
              <w:pStyle w:val="14"/>
              <w:spacing w:before="33"/>
              <w:ind w:left="1129"/>
              <w:jc w:val="left"/>
              <w:rPr>
                <w:sz w:val="21"/>
              </w:rPr>
            </w:pPr>
            <w:r>
              <w:rPr>
                <w:sz w:val="21"/>
              </w:rPr>
              <w:t>及时上报环保部门并立即进行处理</w:t>
            </w:r>
          </w:p>
        </w:tc>
      </w:tr>
    </w:tbl>
    <w:p>
      <w:pPr>
        <w:pStyle w:val="13"/>
        <w:numPr>
          <w:ilvl w:val="2"/>
          <w:numId w:val="80"/>
        </w:numPr>
        <w:tabs>
          <w:tab w:val="left" w:pos="956"/>
        </w:tabs>
        <w:spacing w:before="2" w:after="0" w:line="240" w:lineRule="auto"/>
        <w:ind w:left="956" w:right="0" w:hanging="721"/>
        <w:jc w:val="left"/>
        <w:rPr>
          <w:b/>
          <w:sz w:val="24"/>
        </w:rPr>
      </w:pPr>
      <w:r>
        <w:rPr>
          <w:b/>
          <w:sz w:val="24"/>
        </w:rPr>
        <w:t>环境监理计划</w:t>
      </w:r>
    </w:p>
    <w:p>
      <w:pPr>
        <w:pStyle w:val="6"/>
        <w:spacing w:before="160" w:line="364" w:lineRule="auto"/>
        <w:ind w:left="235" w:right="238" w:firstLine="480"/>
        <w:jc w:val="both"/>
      </w:pPr>
      <w:r>
        <w:rPr>
          <w:spacing w:val="-5"/>
        </w:rPr>
        <w:t xml:space="preserve">本项目应配备环境监理工程师 </w:t>
      </w:r>
      <w:r>
        <w:rPr>
          <w:rFonts w:ascii="Times New Roman" w:hAnsi="Times New Roman" w:eastAsia="Times New Roman"/>
        </w:rPr>
        <w:t xml:space="preserve">1 </w:t>
      </w:r>
      <w:r>
        <w:rPr>
          <w:spacing w:val="-1"/>
        </w:rPr>
        <w:t>名，负责编制工程施工期的环境保护计划，监督检</w:t>
      </w:r>
      <w:r>
        <w:t>查环境影响报告书中所提出的各项环保防治措施的落实情况及</w:t>
      </w:r>
      <w:r>
        <w:rPr>
          <w:rFonts w:ascii="Times New Roman" w:hAnsi="Times New Roman" w:eastAsia="Times New Roman"/>
        </w:rPr>
        <w:t>“</w:t>
      </w:r>
      <w:r>
        <w:t>三同时</w:t>
      </w:r>
      <w:r>
        <w:rPr>
          <w:rFonts w:ascii="Times New Roman" w:hAnsi="Times New Roman" w:eastAsia="Times New Roman"/>
        </w:rPr>
        <w:t>”</w:t>
      </w:r>
      <w:r>
        <w:rPr>
          <w:spacing w:val="-2"/>
        </w:rPr>
        <w:t>的执行情况，监</w:t>
      </w:r>
      <w:r>
        <w:rPr>
          <w:spacing w:val="-1"/>
        </w:rPr>
        <w:t>督检查环境监测计划的编制、实施情况及存在的问题，制定和实施事故应急计划。认真贯彻执行国家和省内各项环境保护法规，普及环境保护知识，增加工作人员的环境保护</w:t>
      </w:r>
      <w:r>
        <w:t>意识。</w:t>
      </w:r>
    </w:p>
    <w:p>
      <w:pPr>
        <w:spacing w:after="0" w:line="364" w:lineRule="auto"/>
        <w:jc w:val="both"/>
        <w:sectPr>
          <w:pgSz w:w="11910" w:h="16840"/>
          <w:pgMar w:top="1520" w:right="1120" w:bottom="1320" w:left="1180" w:header="0" w:footer="1058" w:gutter="0"/>
        </w:sectPr>
      </w:pPr>
    </w:p>
    <w:p>
      <w:pPr>
        <w:pStyle w:val="4"/>
        <w:numPr>
          <w:ilvl w:val="1"/>
          <w:numId w:val="79"/>
        </w:numPr>
        <w:tabs>
          <w:tab w:val="left" w:pos="868"/>
        </w:tabs>
        <w:spacing w:before="47" w:after="0" w:line="240" w:lineRule="auto"/>
        <w:ind w:left="867" w:right="0" w:hanging="633"/>
        <w:jc w:val="left"/>
        <w:rPr>
          <w:rFonts w:ascii="Times New Roman" w:eastAsia="Times New Roman"/>
        </w:rPr>
      </w:pPr>
      <w:bookmarkStart w:id="1207" w:name="13.3 环境监测计划"/>
      <w:bookmarkEnd w:id="1207"/>
      <w:bookmarkStart w:id="1208" w:name="_bookmark75"/>
      <w:bookmarkEnd w:id="1208"/>
      <w:bookmarkStart w:id="1209" w:name="_bookmark75"/>
      <w:bookmarkEnd w:id="1209"/>
      <w:r>
        <w:t>环境监测计划</w:t>
      </w:r>
    </w:p>
    <w:p>
      <w:pPr>
        <w:pStyle w:val="6"/>
        <w:spacing w:before="185" w:line="364" w:lineRule="auto"/>
        <w:ind w:left="235" w:right="240" w:firstLine="480"/>
        <w:jc w:val="both"/>
      </w:pPr>
      <w:r>
        <w:t>为了保证本项目各项环保设施的正常运行，并进行科学管理，由双鸭山市环境监测站定期监测各污染物的处理情况，以达到预期的处理效果。环境监测应采用国家规定的标准监测方法，监测本项目所排的各项污染物是否符合本报告书所提的排放标准，定期向上级主管部门上报本单位的环境污染情况报表。</w:t>
      </w:r>
    </w:p>
    <w:p>
      <w:pPr>
        <w:pStyle w:val="6"/>
        <w:spacing w:line="305" w:lineRule="exact"/>
        <w:ind w:left="716"/>
      </w:pPr>
      <w:r>
        <w:t>根据本企业的排污特点及《环境监测工作的实施细则》，确定服务期环境监测计划。</w:t>
      </w:r>
    </w:p>
    <w:p>
      <w:pPr>
        <w:pStyle w:val="6"/>
        <w:spacing w:before="158" w:line="364" w:lineRule="auto"/>
        <w:ind w:left="716" w:right="7449" w:hanging="480"/>
      </w:pPr>
      <w:r>
        <w:rPr>
          <w:rFonts w:ascii="Times New Roman" w:eastAsia="Times New Roman"/>
        </w:rPr>
        <w:t>1</w:t>
      </w:r>
      <w:r>
        <w:t>、生态环境监测详见第五章。</w:t>
      </w:r>
    </w:p>
    <w:p>
      <w:pPr>
        <w:pStyle w:val="6"/>
        <w:spacing w:line="306" w:lineRule="exact"/>
        <w:ind w:left="235"/>
      </w:pPr>
      <w:r>
        <w:rPr>
          <w:rFonts w:ascii="Times New Roman" w:eastAsia="Times New Roman"/>
        </w:rPr>
        <w:t>2</w:t>
      </w:r>
      <w:r>
        <w:t>、地下水环境监测</w:t>
      </w:r>
    </w:p>
    <w:p>
      <w:pPr>
        <w:pStyle w:val="6"/>
        <w:spacing w:before="161" w:line="362" w:lineRule="auto"/>
        <w:ind w:left="235" w:right="240" w:firstLine="480"/>
      </w:pPr>
      <w:r>
        <w:t>监测点位：水质监测对照井、污染监视监测井、污染扩散监测井及煤矿附近分散居民区水井</w:t>
      </w:r>
    </w:p>
    <w:p>
      <w:pPr>
        <w:pStyle w:val="6"/>
        <w:spacing w:before="5" w:line="364" w:lineRule="auto"/>
        <w:ind w:left="235" w:right="179" w:firstLine="480"/>
      </w:pPr>
      <w:r>
        <w:t>监测项目：水位、</w:t>
      </w:r>
      <w:r>
        <w:rPr>
          <w:rFonts w:ascii="Times New Roman" w:eastAsia="Times New Roman"/>
        </w:rPr>
        <w:t>pH</w:t>
      </w:r>
      <w:r>
        <w:t>、石油类、动植物油、氨氮、总铁、总锰、总汞、总镉、六价铬、总铅、总砷、总锌、氟化物、总大肠菌群等</w:t>
      </w:r>
    </w:p>
    <w:p>
      <w:pPr>
        <w:pStyle w:val="6"/>
        <w:spacing w:line="364" w:lineRule="auto"/>
        <w:ind w:left="716" w:right="701"/>
      </w:pPr>
      <w:r>
        <w:t>执行标准：执行《地下水质量标准》（</w:t>
      </w:r>
      <w:r>
        <w:rPr>
          <w:rFonts w:ascii="Times New Roman" w:hAnsi="Times New Roman" w:eastAsia="Times New Roman"/>
        </w:rPr>
        <w:t>GB/T14848-2017</w:t>
      </w:r>
      <w:r>
        <w:t xml:space="preserve">）中的Ⅲ类水质标准。监测时间：每年进行水质 </w:t>
      </w:r>
      <w:r>
        <w:rPr>
          <w:rFonts w:ascii="Times New Roman" w:hAnsi="Times New Roman" w:eastAsia="Times New Roman"/>
        </w:rPr>
        <w:t xml:space="preserve">2 </w:t>
      </w:r>
      <w:r>
        <w:t>次监测</w:t>
      </w:r>
    </w:p>
    <w:p>
      <w:pPr>
        <w:pStyle w:val="6"/>
        <w:spacing w:line="306" w:lineRule="exact"/>
        <w:ind w:left="235"/>
      </w:pPr>
      <w:r>
        <w:rPr>
          <w:rFonts w:ascii="Times New Roman" w:eastAsia="Times New Roman"/>
        </w:rPr>
        <w:t>3</w:t>
      </w:r>
      <w:r>
        <w:t>、大气无组织污染源监测</w:t>
      </w:r>
    </w:p>
    <w:p>
      <w:pPr>
        <w:pStyle w:val="6"/>
        <w:spacing w:before="156" w:line="362" w:lineRule="auto"/>
        <w:ind w:left="716" w:right="3849"/>
        <w:rPr>
          <w:rFonts w:ascii="Times New Roman" w:eastAsia="Times New Roman"/>
        </w:rPr>
      </w:pPr>
      <w:r>
        <w:t>监测点位：工业场地上、下风向各设一个监测点</w:t>
      </w:r>
      <w:r>
        <w:rPr>
          <w:position w:val="2"/>
        </w:rPr>
        <w:t>监测项目：</w:t>
      </w:r>
      <w:r>
        <w:rPr>
          <w:rFonts w:ascii="Times New Roman" w:eastAsia="Times New Roman"/>
          <w:position w:val="2"/>
        </w:rPr>
        <w:t>PM</w:t>
      </w:r>
      <w:r>
        <w:rPr>
          <w:rFonts w:ascii="Times New Roman" w:eastAsia="Times New Roman"/>
          <w:position w:val="2"/>
          <w:vertAlign w:val="subscript"/>
        </w:rPr>
        <w:t>10</w:t>
      </w:r>
      <w:r>
        <w:rPr>
          <w:position w:val="2"/>
          <w:vertAlign w:val="baseline"/>
        </w:rPr>
        <w:t>、</w:t>
      </w:r>
      <w:r>
        <w:rPr>
          <w:rFonts w:ascii="Times New Roman" w:eastAsia="Times New Roman"/>
          <w:position w:val="2"/>
          <w:vertAlign w:val="baseline"/>
        </w:rPr>
        <w:t>TSP</w:t>
      </w:r>
      <w:r>
        <w:rPr>
          <w:position w:val="2"/>
          <w:vertAlign w:val="baseline"/>
        </w:rPr>
        <w:t>、</w:t>
      </w:r>
      <w:r>
        <w:rPr>
          <w:rFonts w:ascii="Times New Roman" w:eastAsia="Times New Roman"/>
          <w:position w:val="2"/>
          <w:vertAlign w:val="baseline"/>
        </w:rPr>
        <w:t>SO</w:t>
      </w:r>
      <w:r>
        <w:rPr>
          <w:rFonts w:ascii="Times New Roman" w:eastAsia="Times New Roman"/>
          <w:position w:val="2"/>
          <w:vertAlign w:val="subscript"/>
        </w:rPr>
        <w:t>2</w:t>
      </w:r>
      <w:r>
        <w:rPr>
          <w:position w:val="2"/>
          <w:vertAlign w:val="baseline"/>
        </w:rPr>
        <w:t>、</w:t>
      </w:r>
      <w:r>
        <w:rPr>
          <w:rFonts w:ascii="Times New Roman" w:eastAsia="Times New Roman"/>
          <w:position w:val="2"/>
          <w:vertAlign w:val="baseline"/>
        </w:rPr>
        <w:t>NO</w:t>
      </w:r>
      <w:r>
        <w:rPr>
          <w:rFonts w:ascii="Times New Roman" w:eastAsia="Times New Roman"/>
          <w:position w:val="2"/>
          <w:vertAlign w:val="subscript"/>
        </w:rPr>
        <w:t>2</w:t>
      </w:r>
    </w:p>
    <w:p>
      <w:pPr>
        <w:pStyle w:val="6"/>
        <w:spacing w:before="3" w:line="362" w:lineRule="auto"/>
        <w:ind w:left="716" w:right="495"/>
      </w:pPr>
      <w:r>
        <w:t>执行标准：《煤炭工业污染物排放标准》（</w:t>
      </w:r>
      <w:r>
        <w:rPr>
          <w:rFonts w:ascii="Times New Roman" w:eastAsia="Times New Roman"/>
        </w:rPr>
        <w:t>GB20426-2006</w:t>
      </w:r>
      <w:r>
        <w:t>）</w:t>
      </w:r>
      <w:r>
        <w:rPr>
          <w:spacing w:val="-31"/>
        </w:rPr>
        <w:t xml:space="preserve">表 </w:t>
      </w:r>
      <w:r>
        <w:rPr>
          <w:rFonts w:ascii="Times New Roman" w:eastAsia="Times New Roman"/>
        </w:rPr>
        <w:t>4</w:t>
      </w:r>
      <w:r>
        <w:rPr>
          <w:spacing w:val="-20"/>
        </w:rPr>
        <w:t xml:space="preserve">、表 </w:t>
      </w:r>
      <w:r>
        <w:rPr>
          <w:rFonts w:ascii="Times New Roman" w:eastAsia="Times New Roman"/>
        </w:rPr>
        <w:t xml:space="preserve">5 </w:t>
      </w:r>
      <w:r>
        <w:rPr>
          <w:spacing w:val="-5"/>
        </w:rPr>
        <w:t>标准限值</w:t>
      </w:r>
      <w:r>
        <w:rPr>
          <w:spacing w:val="-6"/>
        </w:rPr>
        <w:t xml:space="preserve">监测时间：每年进行 </w:t>
      </w:r>
      <w:r>
        <w:rPr>
          <w:rFonts w:ascii="Times New Roman" w:eastAsia="Times New Roman"/>
        </w:rPr>
        <w:t xml:space="preserve">2 </w:t>
      </w:r>
      <w:r>
        <w:t>次监测</w:t>
      </w:r>
    </w:p>
    <w:p>
      <w:pPr>
        <w:pStyle w:val="6"/>
        <w:spacing w:before="5"/>
        <w:ind w:left="235"/>
      </w:pPr>
      <w:r>
        <w:rPr>
          <w:rFonts w:ascii="Times New Roman" w:eastAsia="Times New Roman"/>
        </w:rPr>
        <w:t>4</w:t>
      </w:r>
      <w:r>
        <w:t>、土壤环境监测</w:t>
      </w:r>
    </w:p>
    <w:p>
      <w:pPr>
        <w:pStyle w:val="6"/>
        <w:spacing w:before="158"/>
        <w:ind w:left="716"/>
      </w:pPr>
      <w:r>
        <w:t>监测点位：工业场地。</w:t>
      </w:r>
    </w:p>
    <w:p>
      <w:pPr>
        <w:pStyle w:val="6"/>
        <w:spacing w:before="161"/>
        <w:ind w:left="716"/>
      </w:pPr>
      <w:r>
        <w:t>监测项目：</w:t>
      </w:r>
      <w:r>
        <w:rPr>
          <w:rFonts w:ascii="Times New Roman" w:eastAsia="Times New Roman"/>
        </w:rPr>
        <w:t>pH</w:t>
      </w:r>
      <w:r>
        <w:t>、镉、汞、砷、铜、铅、铬、锌、镍</w:t>
      </w:r>
    </w:p>
    <w:p>
      <w:pPr>
        <w:pStyle w:val="6"/>
        <w:spacing w:before="158" w:line="364" w:lineRule="auto"/>
        <w:ind w:left="716" w:right="120"/>
      </w:pPr>
      <w:r>
        <w:rPr>
          <w:spacing w:val="-1"/>
        </w:rPr>
        <w:t>执行标准</w:t>
      </w:r>
      <w:r>
        <w:rPr>
          <w:spacing w:val="-18"/>
        </w:rPr>
        <w:t>：《土壤环境质量农用地土壤污染风险管控标准</w:t>
      </w:r>
      <w:r>
        <w:t>（试行</w:t>
      </w:r>
      <w:r>
        <w:rPr>
          <w:spacing w:val="-80"/>
        </w:rPr>
        <w:t>）</w:t>
      </w:r>
      <w:r>
        <w:rPr>
          <w:spacing w:val="-156"/>
        </w:rPr>
        <w:t>》</w:t>
      </w:r>
      <w:r>
        <w:t>（</w:t>
      </w:r>
      <w:r>
        <w:rPr>
          <w:rFonts w:ascii="Times New Roman" w:eastAsia="Times New Roman"/>
        </w:rPr>
        <w:t>GB/15618-2018</w:t>
      </w:r>
      <w:r>
        <w:t>） 监测时间：根据需要不定期监测</w:t>
      </w:r>
    </w:p>
    <w:p>
      <w:pPr>
        <w:pStyle w:val="6"/>
        <w:spacing w:line="306" w:lineRule="exact"/>
        <w:ind w:left="235"/>
      </w:pPr>
      <w:r>
        <w:rPr>
          <w:rFonts w:ascii="Times New Roman" w:eastAsia="Times New Roman"/>
        </w:rPr>
        <w:t>5</w:t>
      </w:r>
      <w:r>
        <w:t>、大气污染源监测</w:t>
      </w:r>
    </w:p>
    <w:p>
      <w:pPr>
        <w:pStyle w:val="6"/>
        <w:spacing w:before="161"/>
        <w:ind w:left="716"/>
      </w:pPr>
      <w:r>
        <w:t>监测点位：锅炉烟道、热风炉烟道、筛分车间排气筒</w:t>
      </w:r>
    </w:p>
    <w:p>
      <w:pPr>
        <w:pStyle w:val="6"/>
        <w:spacing w:before="157"/>
        <w:ind w:left="716"/>
      </w:pPr>
      <w:r>
        <w:rPr>
          <w:position w:val="2"/>
        </w:rPr>
        <w:t>监测项目：锅炉烟道、热风炉烟道：颗粒物、</w:t>
      </w:r>
      <w:r>
        <w:rPr>
          <w:rFonts w:ascii="Times New Roman" w:eastAsia="Times New Roman"/>
          <w:position w:val="2"/>
        </w:rPr>
        <w:t>SO</w:t>
      </w:r>
      <w:r>
        <w:rPr>
          <w:rFonts w:ascii="Times New Roman" w:eastAsia="Times New Roman"/>
          <w:position w:val="2"/>
          <w:vertAlign w:val="subscript"/>
        </w:rPr>
        <w:t>2</w:t>
      </w:r>
      <w:r>
        <w:rPr>
          <w:position w:val="2"/>
          <w:vertAlign w:val="baseline"/>
        </w:rPr>
        <w:t>、</w:t>
      </w:r>
      <w:r>
        <w:rPr>
          <w:rFonts w:ascii="Times New Roman" w:eastAsia="Times New Roman"/>
          <w:position w:val="2"/>
          <w:vertAlign w:val="baseline"/>
        </w:rPr>
        <w:t>NOx</w:t>
      </w:r>
      <w:r>
        <w:rPr>
          <w:position w:val="2"/>
          <w:vertAlign w:val="baseline"/>
        </w:rPr>
        <w:t>；筛分车间排气筒：颗粒</w:t>
      </w:r>
    </w:p>
    <w:p>
      <w:pPr>
        <w:pStyle w:val="6"/>
        <w:spacing w:before="157"/>
        <w:ind w:left="235"/>
      </w:pPr>
      <w:r>
        <w:t>物</w:t>
      </w:r>
    </w:p>
    <w:p>
      <w:pPr>
        <w:spacing w:after="0"/>
        <w:sectPr>
          <w:pgSz w:w="11910" w:h="16840"/>
          <w:pgMar w:top="1540" w:right="1120" w:bottom="1320" w:left="1180" w:header="0" w:footer="1058" w:gutter="0"/>
        </w:sectPr>
      </w:pPr>
    </w:p>
    <w:p>
      <w:pPr>
        <w:pStyle w:val="6"/>
        <w:spacing w:before="66" w:line="362" w:lineRule="auto"/>
        <w:ind w:left="235" w:right="195" w:firstLine="480"/>
      </w:pPr>
      <w:r>
        <w:t>执行标准：锅炉：《锅炉大气污染物排放标准》（</w:t>
      </w:r>
      <w:r>
        <w:rPr>
          <w:rFonts w:ascii="Times New Roman" w:eastAsia="Times New Roman"/>
        </w:rPr>
        <w:t>GB13271-2014</w:t>
      </w:r>
      <w:r>
        <w:t>）标准限值要求； 热风炉：《工业炉窑大气污染物排放标准》（</w:t>
      </w:r>
      <w:r>
        <w:rPr>
          <w:rFonts w:ascii="Times New Roman" w:eastAsia="Times New Roman"/>
        </w:rPr>
        <w:t>GB9078-1996</w:t>
      </w:r>
      <w:r>
        <w:t xml:space="preserve">）中表 </w:t>
      </w:r>
      <w:r>
        <w:rPr>
          <w:rFonts w:ascii="Times New Roman" w:eastAsia="Times New Roman"/>
        </w:rPr>
        <w:t xml:space="preserve">2 </w:t>
      </w:r>
      <w:r>
        <w:t xml:space="preserve">及表 </w:t>
      </w:r>
      <w:r>
        <w:rPr>
          <w:rFonts w:ascii="Times New Roman" w:eastAsia="Times New Roman"/>
        </w:rPr>
        <w:t xml:space="preserve">4 </w:t>
      </w:r>
      <w:r>
        <w:t>要求；筛分</w:t>
      </w:r>
    </w:p>
    <w:p>
      <w:pPr>
        <w:pStyle w:val="6"/>
        <w:spacing w:before="5"/>
        <w:ind w:left="235"/>
      </w:pPr>
      <w:r>
        <w:t>车间：《煤炭工业污染物排放标准》（</w:t>
      </w:r>
      <w:r>
        <w:rPr>
          <w:rFonts w:ascii="Times New Roman" w:eastAsia="Times New Roman"/>
        </w:rPr>
        <w:t>GB20426-2006</w:t>
      </w:r>
      <w:r>
        <w:t xml:space="preserve">）表 </w:t>
      </w:r>
      <w:r>
        <w:rPr>
          <w:rFonts w:ascii="Times New Roman" w:eastAsia="Times New Roman"/>
        </w:rPr>
        <w:t xml:space="preserve">4 </w:t>
      </w:r>
      <w:r>
        <w:t xml:space="preserve">及表 </w:t>
      </w:r>
      <w:r>
        <w:rPr>
          <w:rFonts w:ascii="Times New Roman" w:eastAsia="Times New Roman"/>
        </w:rPr>
        <w:t xml:space="preserve">5 </w:t>
      </w:r>
      <w:r>
        <w:t>标准限值</w:t>
      </w:r>
    </w:p>
    <w:p>
      <w:pPr>
        <w:pStyle w:val="6"/>
        <w:spacing w:before="158"/>
        <w:ind w:left="716"/>
      </w:pPr>
      <w:r>
        <w:t xml:space="preserve">监测时间：每年进行 </w:t>
      </w:r>
      <w:r>
        <w:rPr>
          <w:rFonts w:ascii="Times New Roman" w:eastAsia="Times New Roman"/>
        </w:rPr>
        <w:t xml:space="preserve">2 </w:t>
      </w:r>
      <w:r>
        <w:t>次监测</w:t>
      </w:r>
    </w:p>
    <w:p>
      <w:pPr>
        <w:pStyle w:val="6"/>
        <w:spacing w:before="160"/>
        <w:ind w:left="235"/>
      </w:pPr>
      <w:r>
        <w:rPr>
          <w:rFonts w:ascii="Times New Roman" w:eastAsia="Times New Roman"/>
        </w:rPr>
        <w:t>6</w:t>
      </w:r>
      <w:r>
        <w:t>、水污染源监测</w:t>
      </w:r>
    </w:p>
    <w:p>
      <w:pPr>
        <w:pStyle w:val="6"/>
        <w:spacing w:before="159" w:line="364" w:lineRule="auto"/>
        <w:ind w:left="716" w:right="2889"/>
      </w:pPr>
      <w:r>
        <w:t>监测点位：污水处理站和矿井水处理站进水口、出水口。监测项目：</w:t>
      </w:r>
    </w:p>
    <w:p>
      <w:pPr>
        <w:pStyle w:val="13"/>
        <w:numPr>
          <w:ilvl w:val="0"/>
          <w:numId w:val="82"/>
        </w:numPr>
        <w:tabs>
          <w:tab w:val="left" w:pos="1317"/>
        </w:tabs>
        <w:spacing w:before="0" w:after="0" w:line="310" w:lineRule="exact"/>
        <w:ind w:left="1317" w:right="0" w:hanging="601"/>
        <w:jc w:val="left"/>
        <w:rPr>
          <w:sz w:val="24"/>
        </w:rPr>
      </w:pPr>
      <w:r>
        <w:rPr>
          <w:position w:val="2"/>
          <w:sz w:val="24"/>
        </w:rPr>
        <w:t>生活污水：</w:t>
      </w:r>
      <w:r>
        <w:rPr>
          <w:rFonts w:ascii="Times New Roman" w:eastAsia="Times New Roman"/>
          <w:position w:val="2"/>
          <w:sz w:val="24"/>
        </w:rPr>
        <w:t>COD</w:t>
      </w:r>
      <w:r>
        <w:rPr>
          <w:position w:val="2"/>
          <w:sz w:val="24"/>
        </w:rPr>
        <w:t>、</w:t>
      </w:r>
      <w:r>
        <w:rPr>
          <w:rFonts w:ascii="Times New Roman" w:eastAsia="Times New Roman"/>
          <w:position w:val="2"/>
          <w:sz w:val="24"/>
        </w:rPr>
        <w:t>BOD</w:t>
      </w:r>
      <w:r>
        <w:rPr>
          <w:rFonts w:ascii="Times New Roman" w:eastAsia="Times New Roman"/>
          <w:position w:val="2"/>
          <w:sz w:val="24"/>
          <w:vertAlign w:val="subscript"/>
        </w:rPr>
        <w:t>5</w:t>
      </w:r>
      <w:r>
        <w:rPr>
          <w:position w:val="2"/>
          <w:sz w:val="24"/>
          <w:vertAlign w:val="baseline"/>
        </w:rPr>
        <w:t>、氨氮、动植物油、大肠菌群、阴离子表面活性剂</w:t>
      </w:r>
    </w:p>
    <w:p>
      <w:pPr>
        <w:pStyle w:val="13"/>
        <w:numPr>
          <w:ilvl w:val="0"/>
          <w:numId w:val="82"/>
        </w:numPr>
        <w:tabs>
          <w:tab w:val="left" w:pos="1317"/>
        </w:tabs>
        <w:spacing w:before="156" w:after="0" w:line="362" w:lineRule="auto"/>
        <w:ind w:left="235" w:right="236" w:firstLine="480"/>
        <w:jc w:val="left"/>
        <w:rPr>
          <w:sz w:val="24"/>
        </w:rPr>
      </w:pPr>
      <w:r>
        <w:rPr>
          <w:sz w:val="24"/>
        </w:rPr>
        <w:t>矿井涌水：</w:t>
      </w:r>
      <w:r>
        <w:rPr>
          <w:rFonts w:ascii="Times New Roman" w:eastAsia="Times New Roman"/>
          <w:sz w:val="24"/>
        </w:rPr>
        <w:t>PH</w:t>
      </w:r>
      <w:r>
        <w:rPr>
          <w:sz w:val="24"/>
        </w:rPr>
        <w:t>、悬浮物、</w:t>
      </w:r>
      <w:r>
        <w:rPr>
          <w:rFonts w:ascii="Times New Roman" w:eastAsia="Times New Roman"/>
          <w:sz w:val="24"/>
        </w:rPr>
        <w:t>BOD</w:t>
      </w:r>
      <w:r>
        <w:rPr>
          <w:sz w:val="24"/>
        </w:rPr>
        <w:t>、</w:t>
      </w:r>
      <w:r>
        <w:rPr>
          <w:rFonts w:ascii="Times New Roman" w:eastAsia="Times New Roman"/>
          <w:sz w:val="24"/>
        </w:rPr>
        <w:t>COD</w:t>
      </w:r>
      <w:r>
        <w:rPr>
          <w:sz w:val="24"/>
        </w:rPr>
        <w:t>、石油类、挥发性酚类、氟化物、硫化物、氨氮等</w:t>
      </w:r>
    </w:p>
    <w:p>
      <w:pPr>
        <w:pStyle w:val="6"/>
        <w:spacing w:before="5" w:line="362" w:lineRule="auto"/>
        <w:ind w:left="235" w:right="238" w:firstLine="480"/>
      </w:pPr>
      <w:r>
        <w:t>执行标准：《污水综合排放标准》（</w:t>
      </w:r>
      <w:r>
        <w:rPr>
          <w:rFonts w:ascii="Times New Roman" w:eastAsia="Times New Roman"/>
        </w:rPr>
        <w:t>GB8978-1996</w:t>
      </w:r>
      <w:r>
        <w:t>）二级标准和《煤炭工业污染物排放标准》（</w:t>
      </w:r>
      <w:r>
        <w:rPr>
          <w:rFonts w:ascii="Times New Roman" w:eastAsia="Times New Roman"/>
        </w:rPr>
        <w:t>GB20426-2006</w:t>
      </w:r>
      <w:r>
        <w:t xml:space="preserve">）表 </w:t>
      </w:r>
      <w:r>
        <w:rPr>
          <w:rFonts w:ascii="Times New Roman" w:eastAsia="Times New Roman"/>
        </w:rPr>
        <w:t>1</w:t>
      </w:r>
      <w:r>
        <w:t>、</w:t>
      </w:r>
      <w:r>
        <w:rPr>
          <w:rFonts w:ascii="Times New Roman" w:eastAsia="Times New Roman"/>
        </w:rPr>
        <w:t xml:space="preserve">2 </w:t>
      </w:r>
      <w:r>
        <w:t>标准限值</w:t>
      </w:r>
    </w:p>
    <w:p>
      <w:pPr>
        <w:pStyle w:val="6"/>
        <w:spacing w:before="5"/>
        <w:ind w:left="716"/>
      </w:pPr>
      <w:r>
        <w:t xml:space="preserve">监测时间：生活污水根据需要不定期监测，矿井涌水每年进行 </w:t>
      </w:r>
      <w:r>
        <w:rPr>
          <w:rFonts w:ascii="Times New Roman" w:eastAsia="Times New Roman"/>
        </w:rPr>
        <w:t xml:space="preserve">2 </w:t>
      </w:r>
      <w:r>
        <w:t>次监测</w:t>
      </w:r>
    </w:p>
    <w:p>
      <w:pPr>
        <w:pStyle w:val="6"/>
        <w:spacing w:before="161"/>
        <w:ind w:left="235"/>
      </w:pPr>
      <w:r>
        <w:rPr>
          <w:rFonts w:ascii="Times New Roman" w:eastAsia="Times New Roman"/>
        </w:rPr>
        <w:t>7</w:t>
      </w:r>
      <w:r>
        <w:t>、噪声源监测</w:t>
      </w:r>
    </w:p>
    <w:p>
      <w:pPr>
        <w:pStyle w:val="6"/>
        <w:spacing w:before="158"/>
        <w:ind w:left="716"/>
        <w:rPr>
          <w:rFonts w:ascii="Times New Roman" w:eastAsia="Times New Roman"/>
        </w:rPr>
      </w:pPr>
      <w:r>
        <w:t xml:space="preserve">监测点位：工业场地四周厂界外 </w:t>
      </w:r>
      <w:r>
        <w:rPr>
          <w:rFonts w:ascii="Times New Roman" w:eastAsia="Times New Roman"/>
        </w:rPr>
        <w:t>1m</w:t>
      </w:r>
    </w:p>
    <w:p>
      <w:pPr>
        <w:pStyle w:val="6"/>
        <w:spacing w:before="160"/>
        <w:ind w:left="716"/>
      </w:pPr>
      <w:r>
        <w:t xml:space="preserve">监测项目：噪声等效连续 </w:t>
      </w:r>
      <w:r>
        <w:rPr>
          <w:rFonts w:ascii="Times New Roman" w:eastAsia="Times New Roman"/>
        </w:rPr>
        <w:t xml:space="preserve">A </w:t>
      </w:r>
      <w:r>
        <w:t>声级</w:t>
      </w:r>
    </w:p>
    <w:p>
      <w:pPr>
        <w:pStyle w:val="6"/>
        <w:spacing w:before="159"/>
        <w:ind w:left="716"/>
      </w:pPr>
      <w:r>
        <w:t>执行标准：《工业企业厂界环境噪声排放标准》（</w:t>
      </w:r>
      <w:r>
        <w:rPr>
          <w:rFonts w:ascii="Times New Roman" w:eastAsia="Times New Roman"/>
        </w:rPr>
        <w:t>GB12348-2008</w:t>
      </w:r>
      <w:r>
        <w:t xml:space="preserve">）的 </w:t>
      </w:r>
      <w:r>
        <w:rPr>
          <w:rFonts w:ascii="Times New Roman" w:eastAsia="Times New Roman"/>
        </w:rPr>
        <w:t xml:space="preserve">2 </w:t>
      </w:r>
      <w:r>
        <w:t>类标准</w:t>
      </w:r>
    </w:p>
    <w:p>
      <w:pPr>
        <w:pStyle w:val="6"/>
        <w:spacing w:before="160"/>
        <w:ind w:left="716"/>
      </w:pPr>
      <w:r>
        <w:t xml:space="preserve">监测时间：每年进行 </w:t>
      </w:r>
      <w:r>
        <w:rPr>
          <w:rFonts w:ascii="Times New Roman" w:eastAsia="Times New Roman"/>
        </w:rPr>
        <w:t xml:space="preserve">2 </w:t>
      </w:r>
      <w:r>
        <w:t>次监测</w:t>
      </w:r>
    </w:p>
    <w:p>
      <w:pPr>
        <w:pStyle w:val="6"/>
        <w:spacing w:before="158" w:line="364" w:lineRule="auto"/>
        <w:ind w:left="235" w:right="238" w:firstLine="480"/>
      </w:pPr>
      <w:r>
        <w:t>综合以上各专题监测计划，运行期环境监测内容及计划详见下表。具体监测时间、频率、点位服从当地环保部门的规定和要求。</w:t>
      </w:r>
    </w:p>
    <w:p>
      <w:pPr>
        <w:pStyle w:val="5"/>
        <w:spacing w:line="306" w:lineRule="exact"/>
        <w:ind w:left="3560"/>
      </w:pPr>
      <w:r>
        <w:t xml:space="preserve">表 </w:t>
      </w:r>
      <w:r>
        <w:rPr>
          <w:rFonts w:ascii="Times New Roman" w:eastAsia="Times New Roman"/>
        </w:rPr>
        <w:t xml:space="preserve">13.4-1 </w:t>
      </w:r>
      <w:r>
        <w:t>环境监测计划</w:t>
      </w:r>
    </w:p>
    <w:p>
      <w:pPr>
        <w:pStyle w:val="6"/>
        <w:spacing w:before="5"/>
        <w:rPr>
          <w:b/>
          <w:sz w:val="12"/>
        </w:rPr>
      </w:pPr>
    </w:p>
    <w:tbl>
      <w:tblPr>
        <w:tblStyle w:val="10"/>
        <w:tblW w:w="0" w:type="auto"/>
        <w:tblInd w:w="13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44"/>
        <w:gridCol w:w="673"/>
        <w:gridCol w:w="1114"/>
        <w:gridCol w:w="5827"/>
        <w:gridCol w:w="108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9" w:hRule="atLeast"/>
        </w:trPr>
        <w:tc>
          <w:tcPr>
            <w:tcW w:w="644" w:type="dxa"/>
            <w:tcBorders>
              <w:bottom w:val="single" w:color="000000" w:sz="4" w:space="0"/>
              <w:right w:val="single" w:color="000000" w:sz="4" w:space="0"/>
            </w:tcBorders>
          </w:tcPr>
          <w:p>
            <w:pPr>
              <w:pStyle w:val="14"/>
              <w:ind w:left="90" w:right="79"/>
              <w:rPr>
                <w:sz w:val="21"/>
              </w:rPr>
            </w:pPr>
            <w:r>
              <w:rPr>
                <w:sz w:val="21"/>
              </w:rPr>
              <w:t>序号</w:t>
            </w:r>
          </w:p>
        </w:tc>
        <w:tc>
          <w:tcPr>
            <w:tcW w:w="1787" w:type="dxa"/>
            <w:gridSpan w:val="2"/>
            <w:tcBorders>
              <w:left w:val="single" w:color="000000" w:sz="4" w:space="0"/>
              <w:bottom w:val="single" w:color="000000" w:sz="4" w:space="0"/>
              <w:right w:val="single" w:color="000000" w:sz="4" w:space="0"/>
            </w:tcBorders>
          </w:tcPr>
          <w:p>
            <w:pPr>
              <w:pStyle w:val="14"/>
              <w:ind w:left="477"/>
              <w:jc w:val="left"/>
              <w:rPr>
                <w:sz w:val="21"/>
              </w:rPr>
            </w:pPr>
            <w:r>
              <w:rPr>
                <w:sz w:val="21"/>
              </w:rPr>
              <w:t>监测项目</w:t>
            </w:r>
          </w:p>
        </w:tc>
        <w:tc>
          <w:tcPr>
            <w:tcW w:w="5827" w:type="dxa"/>
            <w:tcBorders>
              <w:left w:val="single" w:color="000000" w:sz="4" w:space="0"/>
              <w:bottom w:val="single" w:color="000000" w:sz="4" w:space="0"/>
              <w:right w:val="single" w:color="000000" w:sz="4" w:space="0"/>
            </w:tcBorders>
          </w:tcPr>
          <w:p>
            <w:pPr>
              <w:pStyle w:val="14"/>
              <w:ind w:left="2267" w:right="2250"/>
              <w:rPr>
                <w:sz w:val="21"/>
              </w:rPr>
            </w:pPr>
            <w:r>
              <w:rPr>
                <w:sz w:val="21"/>
              </w:rPr>
              <w:t>主要技术要求</w:t>
            </w:r>
          </w:p>
        </w:tc>
        <w:tc>
          <w:tcPr>
            <w:tcW w:w="1082" w:type="dxa"/>
            <w:tcBorders>
              <w:left w:val="single" w:color="000000" w:sz="4" w:space="0"/>
              <w:bottom w:val="single" w:color="000000" w:sz="4" w:space="0"/>
            </w:tcBorders>
          </w:tcPr>
          <w:p>
            <w:pPr>
              <w:pStyle w:val="14"/>
              <w:ind w:left="126"/>
              <w:jc w:val="left"/>
              <w:rPr>
                <w:sz w:val="21"/>
              </w:rPr>
            </w:pPr>
            <w:r>
              <w:rPr>
                <w:sz w:val="21"/>
              </w:rPr>
              <w:t>监督机构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4" w:hRule="atLeast"/>
        </w:trPr>
        <w:tc>
          <w:tcPr>
            <w:tcW w:w="644" w:type="dxa"/>
            <w:tcBorders>
              <w:top w:val="single" w:color="000000" w:sz="4" w:space="0"/>
              <w:bottom w:val="single" w:color="000000" w:sz="4" w:space="0"/>
              <w:right w:val="single" w:color="000000" w:sz="4" w:space="0"/>
            </w:tcBorders>
          </w:tcPr>
          <w:p>
            <w:pPr>
              <w:pStyle w:val="14"/>
              <w:spacing w:before="10"/>
              <w:jc w:val="left"/>
              <w:rPr>
                <w:b/>
                <w:sz w:val="32"/>
              </w:rPr>
            </w:pPr>
          </w:p>
          <w:p>
            <w:pPr>
              <w:pStyle w:val="14"/>
              <w:spacing w:before="1"/>
              <w:ind w:left="10"/>
              <w:rPr>
                <w:rFonts w:ascii="Times New Roman"/>
                <w:sz w:val="21"/>
              </w:rPr>
            </w:pPr>
            <w:r>
              <w:rPr>
                <w:rFonts w:ascii="Times New Roman"/>
                <w:w w:val="99"/>
                <w:sz w:val="21"/>
              </w:rPr>
              <w:t>1</w:t>
            </w:r>
          </w:p>
        </w:tc>
        <w:tc>
          <w:tcPr>
            <w:tcW w:w="673" w:type="dxa"/>
            <w:vMerge w:val="restart"/>
            <w:tcBorders>
              <w:top w:val="single" w:color="000000" w:sz="4" w:space="0"/>
              <w:left w:val="single" w:color="000000" w:sz="4" w:space="0"/>
              <w:right w:val="single" w:color="000000" w:sz="4" w:space="0"/>
            </w:tcBorders>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7"/>
              </w:rPr>
            </w:pPr>
          </w:p>
          <w:p>
            <w:pPr>
              <w:pStyle w:val="14"/>
              <w:spacing w:before="1" w:line="242" w:lineRule="auto"/>
              <w:ind w:left="130" w:right="113"/>
              <w:jc w:val="left"/>
              <w:rPr>
                <w:sz w:val="21"/>
              </w:rPr>
            </w:pPr>
            <w:r>
              <w:rPr>
                <w:sz w:val="21"/>
              </w:rPr>
              <w:t>生态环境</w:t>
            </w:r>
          </w:p>
        </w:tc>
        <w:tc>
          <w:tcPr>
            <w:tcW w:w="1114" w:type="dxa"/>
            <w:tcBorders>
              <w:top w:val="single" w:color="000000" w:sz="4" w:space="0"/>
              <w:left w:val="single" w:color="000000" w:sz="4" w:space="0"/>
              <w:bottom w:val="single" w:color="000000" w:sz="4" w:space="0"/>
              <w:right w:val="single" w:color="000000" w:sz="4" w:space="0"/>
            </w:tcBorders>
          </w:tcPr>
          <w:p>
            <w:pPr>
              <w:pStyle w:val="14"/>
              <w:spacing w:before="3"/>
              <w:jc w:val="left"/>
              <w:rPr>
                <w:b/>
                <w:sz w:val="21"/>
              </w:rPr>
            </w:pPr>
          </w:p>
          <w:p>
            <w:pPr>
              <w:pStyle w:val="14"/>
              <w:spacing w:line="242" w:lineRule="auto"/>
              <w:ind w:left="352" w:right="123" w:hanging="212"/>
              <w:jc w:val="left"/>
              <w:rPr>
                <w:sz w:val="21"/>
              </w:rPr>
            </w:pPr>
            <w:r>
              <w:rPr>
                <w:sz w:val="21"/>
              </w:rPr>
              <w:t>施工现场清理</w:t>
            </w:r>
          </w:p>
        </w:tc>
        <w:tc>
          <w:tcPr>
            <w:tcW w:w="5827" w:type="dxa"/>
            <w:tcBorders>
              <w:top w:val="single" w:color="000000" w:sz="4" w:space="0"/>
              <w:left w:val="single" w:color="000000" w:sz="4" w:space="0"/>
              <w:bottom w:val="single" w:color="000000" w:sz="4" w:space="0"/>
              <w:right w:val="single" w:color="000000" w:sz="4" w:space="0"/>
            </w:tcBorders>
          </w:tcPr>
          <w:p>
            <w:pPr>
              <w:pStyle w:val="14"/>
              <w:numPr>
                <w:ilvl w:val="0"/>
                <w:numId w:val="83"/>
              </w:numPr>
              <w:tabs>
                <w:tab w:val="left" w:pos="271"/>
              </w:tabs>
              <w:spacing w:before="0" w:after="0" w:line="244" w:lineRule="auto"/>
              <w:ind w:left="111" w:right="91" w:firstLine="0"/>
              <w:jc w:val="left"/>
              <w:rPr>
                <w:sz w:val="21"/>
              </w:rPr>
            </w:pPr>
            <w:r>
              <w:rPr>
                <w:spacing w:val="-1"/>
                <w:w w:val="95"/>
                <w:sz w:val="21"/>
              </w:rPr>
              <w:t xml:space="preserve">监测项目：施工结束后，施工现场的弃土、石、渣等固废处 </w:t>
            </w:r>
            <w:r>
              <w:rPr>
                <w:spacing w:val="-1"/>
                <w:sz w:val="21"/>
              </w:rPr>
              <w:t>理和生态环境恢复情况。</w:t>
            </w:r>
          </w:p>
          <w:p>
            <w:pPr>
              <w:pStyle w:val="14"/>
              <w:numPr>
                <w:ilvl w:val="0"/>
                <w:numId w:val="83"/>
              </w:numPr>
              <w:tabs>
                <w:tab w:val="left" w:pos="271"/>
              </w:tabs>
              <w:spacing w:before="0" w:after="0" w:line="265" w:lineRule="exact"/>
              <w:ind w:left="270" w:right="0" w:hanging="160"/>
              <w:jc w:val="left"/>
              <w:rPr>
                <w:sz w:val="21"/>
              </w:rPr>
            </w:pPr>
            <w:r>
              <w:rPr>
                <w:spacing w:val="-5"/>
                <w:sz w:val="21"/>
              </w:rPr>
              <w:t xml:space="preserve">监测频率：施工结束后 </w:t>
            </w:r>
            <w:r>
              <w:rPr>
                <w:rFonts w:ascii="Times New Roman" w:eastAsia="Times New Roman"/>
                <w:sz w:val="21"/>
              </w:rPr>
              <w:t>1</w:t>
            </w:r>
            <w:r>
              <w:rPr>
                <w:rFonts w:ascii="Times New Roman" w:eastAsia="Times New Roman"/>
                <w:spacing w:val="-1"/>
                <w:sz w:val="21"/>
              </w:rPr>
              <w:t xml:space="preserve"> </w:t>
            </w:r>
            <w:r>
              <w:rPr>
                <w:sz w:val="21"/>
              </w:rPr>
              <w:t>次。</w:t>
            </w:r>
          </w:p>
          <w:p>
            <w:pPr>
              <w:pStyle w:val="14"/>
              <w:numPr>
                <w:ilvl w:val="0"/>
                <w:numId w:val="83"/>
              </w:numPr>
              <w:tabs>
                <w:tab w:val="left" w:pos="271"/>
              </w:tabs>
              <w:spacing w:before="3" w:after="0" w:line="247" w:lineRule="exact"/>
              <w:ind w:left="270" w:right="0" w:hanging="160"/>
              <w:jc w:val="left"/>
              <w:rPr>
                <w:sz w:val="21"/>
              </w:rPr>
            </w:pPr>
            <w:r>
              <w:rPr>
                <w:sz w:val="21"/>
              </w:rPr>
              <w:t>监测点：各施工区。</w:t>
            </w:r>
          </w:p>
        </w:tc>
        <w:tc>
          <w:tcPr>
            <w:tcW w:w="1082" w:type="dxa"/>
            <w:tcBorders>
              <w:top w:val="single" w:color="000000" w:sz="4" w:space="0"/>
              <w:left w:val="single" w:color="000000" w:sz="4" w:space="0"/>
              <w:bottom w:val="single" w:color="000000" w:sz="4" w:space="0"/>
            </w:tcBorders>
          </w:tcPr>
          <w:p>
            <w:pPr>
              <w:pStyle w:val="14"/>
              <w:spacing w:before="136" w:line="242" w:lineRule="auto"/>
              <w:ind w:left="126" w:right="100"/>
              <w:rPr>
                <w:sz w:val="21"/>
              </w:rPr>
            </w:pPr>
            <w:r>
              <w:rPr>
                <w:sz w:val="21"/>
              </w:rPr>
              <w:t>双鸭山市生态环境局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3" w:hRule="atLeast"/>
        </w:trPr>
        <w:tc>
          <w:tcPr>
            <w:tcW w:w="644" w:type="dxa"/>
            <w:tcBorders>
              <w:top w:val="single" w:color="000000" w:sz="4" w:space="0"/>
              <w:bottom w:val="single" w:color="000000" w:sz="4" w:space="0"/>
              <w:right w:val="single" w:color="000000" w:sz="4" w:space="0"/>
            </w:tcBorders>
          </w:tcPr>
          <w:p>
            <w:pPr>
              <w:pStyle w:val="14"/>
              <w:jc w:val="left"/>
              <w:rPr>
                <w:b/>
                <w:sz w:val="22"/>
              </w:rPr>
            </w:pPr>
          </w:p>
          <w:p>
            <w:pPr>
              <w:pStyle w:val="14"/>
              <w:jc w:val="left"/>
              <w:rPr>
                <w:b/>
                <w:sz w:val="32"/>
              </w:rPr>
            </w:pPr>
          </w:p>
          <w:p>
            <w:pPr>
              <w:pStyle w:val="14"/>
              <w:ind w:left="10"/>
              <w:rPr>
                <w:rFonts w:ascii="Times New Roman"/>
                <w:sz w:val="21"/>
              </w:rPr>
            </w:pPr>
            <w:r>
              <w:rPr>
                <w:rFonts w:ascii="Times New Roman"/>
                <w:w w:val="99"/>
                <w:sz w:val="21"/>
              </w:rPr>
              <w:t>2</w:t>
            </w:r>
          </w:p>
        </w:tc>
        <w:tc>
          <w:tcPr>
            <w:tcW w:w="673" w:type="dxa"/>
            <w:vMerge w:val="continue"/>
            <w:tcBorders>
              <w:top w:val="nil"/>
              <w:left w:val="single" w:color="000000" w:sz="4" w:space="0"/>
              <w:right w:val="single" w:color="000000" w:sz="4" w:space="0"/>
            </w:tcBorders>
          </w:tcPr>
          <w:p>
            <w:pPr>
              <w:rPr>
                <w:sz w:val="2"/>
                <w:szCs w:val="2"/>
              </w:rPr>
            </w:pPr>
          </w:p>
        </w:tc>
        <w:tc>
          <w:tcPr>
            <w:tcW w:w="1114" w:type="dxa"/>
            <w:tcBorders>
              <w:top w:val="single" w:color="000000" w:sz="4" w:space="0"/>
              <w:left w:val="single" w:color="000000" w:sz="4" w:space="0"/>
              <w:bottom w:val="single" w:color="000000" w:sz="4" w:space="0"/>
              <w:right w:val="single" w:color="000000" w:sz="4" w:space="0"/>
            </w:tcBorders>
          </w:tcPr>
          <w:p>
            <w:pPr>
              <w:pStyle w:val="14"/>
              <w:jc w:val="left"/>
              <w:rPr>
                <w:b/>
                <w:sz w:val="20"/>
              </w:rPr>
            </w:pPr>
          </w:p>
          <w:p>
            <w:pPr>
              <w:pStyle w:val="14"/>
              <w:jc w:val="left"/>
              <w:rPr>
                <w:b/>
                <w:sz w:val="20"/>
              </w:rPr>
            </w:pPr>
          </w:p>
          <w:p>
            <w:pPr>
              <w:pStyle w:val="14"/>
              <w:spacing w:before="163"/>
              <w:ind w:left="119" w:right="104"/>
              <w:rPr>
                <w:sz w:val="21"/>
              </w:rPr>
            </w:pPr>
            <w:r>
              <w:rPr>
                <w:sz w:val="21"/>
              </w:rPr>
              <w:t>土壤侵蚀</w:t>
            </w:r>
          </w:p>
        </w:tc>
        <w:tc>
          <w:tcPr>
            <w:tcW w:w="5827" w:type="dxa"/>
            <w:tcBorders>
              <w:top w:val="single" w:color="000000" w:sz="4" w:space="0"/>
              <w:left w:val="single" w:color="000000" w:sz="4" w:space="0"/>
              <w:bottom w:val="single" w:color="000000" w:sz="4" w:space="0"/>
              <w:right w:val="single" w:color="000000" w:sz="4" w:space="0"/>
            </w:tcBorders>
          </w:tcPr>
          <w:p>
            <w:pPr>
              <w:pStyle w:val="14"/>
              <w:numPr>
                <w:ilvl w:val="0"/>
                <w:numId w:val="84"/>
              </w:numPr>
              <w:tabs>
                <w:tab w:val="left" w:pos="271"/>
              </w:tabs>
              <w:spacing w:before="0" w:after="0" w:line="266" w:lineRule="exact"/>
              <w:ind w:left="270" w:right="0" w:hanging="160"/>
              <w:jc w:val="left"/>
              <w:rPr>
                <w:sz w:val="21"/>
              </w:rPr>
            </w:pPr>
            <w:r>
              <w:rPr>
                <w:sz w:val="21"/>
              </w:rPr>
              <w:t>监测项目：土壤侵蚀类型、侵蚀量。</w:t>
            </w:r>
          </w:p>
          <w:p>
            <w:pPr>
              <w:pStyle w:val="14"/>
              <w:numPr>
                <w:ilvl w:val="0"/>
                <w:numId w:val="84"/>
              </w:numPr>
              <w:tabs>
                <w:tab w:val="left" w:pos="271"/>
              </w:tabs>
              <w:spacing w:before="2" w:after="0" w:line="240" w:lineRule="auto"/>
              <w:ind w:left="270" w:right="0" w:hanging="160"/>
              <w:jc w:val="left"/>
              <w:rPr>
                <w:sz w:val="21"/>
              </w:rPr>
            </w:pPr>
            <w:r>
              <w:rPr>
                <w:spacing w:val="-7"/>
                <w:sz w:val="21"/>
              </w:rPr>
              <w:t xml:space="preserve">监测频率：每年 </w:t>
            </w:r>
            <w:r>
              <w:rPr>
                <w:rFonts w:ascii="Times New Roman" w:eastAsia="Times New Roman"/>
                <w:sz w:val="21"/>
              </w:rPr>
              <w:t>1</w:t>
            </w:r>
            <w:r>
              <w:rPr>
                <w:rFonts w:ascii="Times New Roman" w:eastAsia="Times New Roman"/>
                <w:spacing w:val="1"/>
                <w:sz w:val="21"/>
              </w:rPr>
              <w:t xml:space="preserve"> </w:t>
            </w:r>
            <w:r>
              <w:rPr>
                <w:sz w:val="21"/>
              </w:rPr>
              <w:t>次。</w:t>
            </w:r>
          </w:p>
          <w:p>
            <w:pPr>
              <w:pStyle w:val="14"/>
              <w:numPr>
                <w:ilvl w:val="0"/>
                <w:numId w:val="84"/>
              </w:numPr>
              <w:tabs>
                <w:tab w:val="left" w:pos="271"/>
              </w:tabs>
              <w:spacing w:before="2" w:after="0" w:line="240" w:lineRule="auto"/>
              <w:ind w:left="270" w:right="0" w:hanging="160"/>
              <w:jc w:val="left"/>
              <w:rPr>
                <w:sz w:val="21"/>
              </w:rPr>
            </w:pPr>
            <w:r>
              <w:rPr>
                <w:spacing w:val="-6"/>
                <w:sz w:val="21"/>
              </w:rPr>
              <w:t xml:space="preserve">监测点：施工区域 </w:t>
            </w:r>
            <w:r>
              <w:rPr>
                <w:rFonts w:ascii="Times New Roman" w:eastAsia="Times New Roman"/>
                <w:sz w:val="21"/>
              </w:rPr>
              <w:t>3</w:t>
            </w:r>
            <w:r>
              <w:rPr>
                <w:sz w:val="21"/>
              </w:rPr>
              <w:t>～</w:t>
            </w:r>
            <w:r>
              <w:rPr>
                <w:rFonts w:ascii="Times New Roman" w:eastAsia="Times New Roman"/>
                <w:sz w:val="21"/>
              </w:rPr>
              <w:t>5</w:t>
            </w:r>
            <w:r>
              <w:rPr>
                <w:rFonts w:ascii="Times New Roman" w:eastAsia="Times New Roman"/>
                <w:spacing w:val="-1"/>
                <w:sz w:val="21"/>
              </w:rPr>
              <w:t xml:space="preserve"> </w:t>
            </w:r>
            <w:r>
              <w:rPr>
                <w:sz w:val="21"/>
              </w:rPr>
              <w:t>个代表点。</w:t>
            </w:r>
          </w:p>
          <w:p>
            <w:pPr>
              <w:pStyle w:val="14"/>
              <w:numPr>
                <w:ilvl w:val="0"/>
                <w:numId w:val="84"/>
              </w:numPr>
              <w:tabs>
                <w:tab w:val="left" w:pos="271"/>
              </w:tabs>
              <w:spacing w:before="5" w:after="0" w:line="240" w:lineRule="auto"/>
              <w:ind w:left="270" w:right="0" w:hanging="160"/>
              <w:jc w:val="left"/>
              <w:rPr>
                <w:sz w:val="21"/>
              </w:rPr>
            </w:pPr>
            <w:r>
              <w:rPr>
                <w:sz w:val="21"/>
              </w:rPr>
              <w:t>监测方法：定期观察。</w:t>
            </w:r>
          </w:p>
          <w:p>
            <w:pPr>
              <w:pStyle w:val="14"/>
              <w:numPr>
                <w:ilvl w:val="0"/>
                <w:numId w:val="84"/>
              </w:numPr>
              <w:tabs>
                <w:tab w:val="left" w:pos="271"/>
              </w:tabs>
              <w:spacing w:before="3" w:after="0" w:line="270" w:lineRule="atLeast"/>
              <w:ind w:left="111" w:right="88" w:firstLine="0"/>
              <w:jc w:val="left"/>
              <w:rPr>
                <w:sz w:val="21"/>
              </w:rPr>
            </w:pPr>
            <w:r>
              <w:rPr>
                <w:w w:val="95"/>
                <w:sz w:val="21"/>
              </w:rPr>
              <w:t xml:space="preserve">技术要求：参照水土保持相关规范，采用记录、统计方法， </w:t>
            </w:r>
            <w:r>
              <w:rPr>
                <w:sz w:val="21"/>
              </w:rPr>
              <w:t>形成分析报告。</w:t>
            </w:r>
          </w:p>
        </w:tc>
        <w:tc>
          <w:tcPr>
            <w:tcW w:w="1082" w:type="dxa"/>
            <w:tcBorders>
              <w:top w:val="single" w:color="000000" w:sz="4" w:space="0"/>
              <w:left w:val="single" w:color="000000" w:sz="4" w:space="0"/>
              <w:bottom w:val="single" w:color="000000" w:sz="4" w:space="0"/>
            </w:tcBorders>
          </w:tcPr>
          <w:p>
            <w:pPr>
              <w:pStyle w:val="14"/>
              <w:jc w:val="left"/>
              <w:rPr>
                <w:b/>
                <w:sz w:val="20"/>
              </w:rPr>
            </w:pPr>
          </w:p>
          <w:p>
            <w:pPr>
              <w:pStyle w:val="14"/>
              <w:spacing w:before="148" w:line="242" w:lineRule="auto"/>
              <w:ind w:left="126" w:right="100"/>
              <w:rPr>
                <w:sz w:val="21"/>
              </w:rPr>
            </w:pPr>
            <w:r>
              <w:rPr>
                <w:sz w:val="21"/>
              </w:rPr>
              <w:t>双鸭山市生态环境局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6" w:hRule="atLeast"/>
        </w:trPr>
        <w:tc>
          <w:tcPr>
            <w:tcW w:w="644" w:type="dxa"/>
            <w:tcBorders>
              <w:top w:val="single" w:color="000000" w:sz="4" w:space="0"/>
              <w:right w:val="single" w:color="000000" w:sz="4" w:space="0"/>
            </w:tcBorders>
          </w:tcPr>
          <w:p>
            <w:pPr>
              <w:pStyle w:val="14"/>
              <w:spacing w:before="144"/>
              <w:ind w:left="10"/>
              <w:rPr>
                <w:rFonts w:ascii="Times New Roman"/>
                <w:sz w:val="21"/>
              </w:rPr>
            </w:pPr>
            <w:r>
              <w:rPr>
                <w:rFonts w:ascii="Times New Roman"/>
                <w:w w:val="99"/>
                <w:sz w:val="21"/>
              </w:rPr>
              <w:t>3</w:t>
            </w:r>
          </w:p>
        </w:tc>
        <w:tc>
          <w:tcPr>
            <w:tcW w:w="673" w:type="dxa"/>
            <w:vMerge w:val="continue"/>
            <w:tcBorders>
              <w:top w:val="nil"/>
              <w:left w:val="single" w:color="000000" w:sz="4" w:space="0"/>
              <w:right w:val="single" w:color="000000" w:sz="4" w:space="0"/>
            </w:tcBorders>
          </w:tcPr>
          <w:p>
            <w:pPr>
              <w:rPr>
                <w:sz w:val="2"/>
                <w:szCs w:val="2"/>
              </w:rPr>
            </w:pPr>
          </w:p>
        </w:tc>
        <w:tc>
          <w:tcPr>
            <w:tcW w:w="1114" w:type="dxa"/>
            <w:tcBorders>
              <w:top w:val="single" w:color="000000" w:sz="4" w:space="0"/>
              <w:left w:val="single" w:color="000000" w:sz="4" w:space="0"/>
              <w:right w:val="single" w:color="000000" w:sz="4" w:space="0"/>
            </w:tcBorders>
          </w:tcPr>
          <w:p>
            <w:pPr>
              <w:pStyle w:val="14"/>
              <w:spacing w:before="130"/>
              <w:ind w:left="119" w:right="101"/>
              <w:rPr>
                <w:sz w:val="21"/>
              </w:rPr>
            </w:pPr>
            <w:r>
              <w:rPr>
                <w:sz w:val="21"/>
              </w:rPr>
              <w:t>植被</w:t>
            </w:r>
          </w:p>
        </w:tc>
        <w:tc>
          <w:tcPr>
            <w:tcW w:w="5827" w:type="dxa"/>
            <w:tcBorders>
              <w:top w:val="single" w:color="000000" w:sz="4" w:space="0"/>
              <w:left w:val="single" w:color="000000" w:sz="4" w:space="0"/>
              <w:right w:val="single" w:color="000000" w:sz="4" w:space="0"/>
            </w:tcBorders>
          </w:tcPr>
          <w:p>
            <w:pPr>
              <w:pStyle w:val="14"/>
              <w:numPr>
                <w:ilvl w:val="0"/>
                <w:numId w:val="85"/>
              </w:numPr>
              <w:tabs>
                <w:tab w:val="left" w:pos="271"/>
              </w:tabs>
              <w:spacing w:before="0" w:after="0" w:line="265" w:lineRule="exact"/>
              <w:ind w:left="270" w:right="-15" w:hanging="160"/>
              <w:jc w:val="left"/>
              <w:rPr>
                <w:sz w:val="21"/>
              </w:rPr>
            </w:pPr>
            <w:r>
              <w:rPr>
                <w:spacing w:val="-10"/>
                <w:w w:val="95"/>
                <w:sz w:val="21"/>
              </w:rPr>
              <w:t>监测项目：植被类型，植物种类、草群高度、盖度、生物量。</w:t>
            </w:r>
          </w:p>
          <w:p>
            <w:pPr>
              <w:pStyle w:val="14"/>
              <w:numPr>
                <w:ilvl w:val="0"/>
                <w:numId w:val="85"/>
              </w:numPr>
              <w:tabs>
                <w:tab w:val="left" w:pos="271"/>
              </w:tabs>
              <w:spacing w:before="2" w:after="0" w:line="250" w:lineRule="exact"/>
              <w:ind w:left="270" w:right="0" w:hanging="160"/>
              <w:jc w:val="left"/>
              <w:rPr>
                <w:sz w:val="21"/>
              </w:rPr>
            </w:pPr>
            <w:r>
              <w:rPr>
                <w:spacing w:val="-7"/>
                <w:sz w:val="21"/>
              </w:rPr>
              <w:t xml:space="preserve">监测频率：每年 </w:t>
            </w:r>
            <w:r>
              <w:rPr>
                <w:rFonts w:ascii="Times New Roman" w:eastAsia="Times New Roman"/>
                <w:sz w:val="21"/>
              </w:rPr>
              <w:t>1</w:t>
            </w:r>
            <w:r>
              <w:rPr>
                <w:rFonts w:ascii="Times New Roman" w:eastAsia="Times New Roman"/>
                <w:spacing w:val="1"/>
                <w:sz w:val="21"/>
              </w:rPr>
              <w:t xml:space="preserve"> </w:t>
            </w:r>
            <w:r>
              <w:rPr>
                <w:sz w:val="21"/>
              </w:rPr>
              <w:t>次。</w:t>
            </w:r>
          </w:p>
        </w:tc>
        <w:tc>
          <w:tcPr>
            <w:tcW w:w="1082" w:type="dxa"/>
            <w:tcBorders>
              <w:top w:val="single" w:color="000000" w:sz="4" w:space="0"/>
              <w:left w:val="single" w:color="000000" w:sz="4" w:space="0"/>
            </w:tcBorders>
          </w:tcPr>
          <w:p>
            <w:pPr>
              <w:pStyle w:val="14"/>
              <w:spacing w:line="265" w:lineRule="exact"/>
              <w:ind w:left="126"/>
              <w:jc w:val="left"/>
              <w:rPr>
                <w:sz w:val="21"/>
              </w:rPr>
            </w:pPr>
            <w:r>
              <w:rPr>
                <w:w w:val="95"/>
                <w:sz w:val="21"/>
              </w:rPr>
              <w:t>双鸭山市</w:t>
            </w:r>
          </w:p>
          <w:p>
            <w:pPr>
              <w:pStyle w:val="14"/>
              <w:spacing w:before="2" w:line="250" w:lineRule="exact"/>
              <w:ind w:left="126"/>
              <w:jc w:val="left"/>
              <w:rPr>
                <w:sz w:val="21"/>
              </w:rPr>
            </w:pPr>
            <w:r>
              <w:rPr>
                <w:w w:val="95"/>
                <w:sz w:val="21"/>
              </w:rPr>
              <w:t>生态环境</w:t>
            </w:r>
          </w:p>
        </w:tc>
      </w:tr>
    </w:tbl>
    <w:p>
      <w:pPr>
        <w:spacing w:after="0" w:line="250" w:lineRule="exact"/>
        <w:jc w:val="left"/>
        <w:rPr>
          <w:sz w:val="21"/>
        </w:rPr>
        <w:sectPr>
          <w:pgSz w:w="11910" w:h="16840"/>
          <w:pgMar w:top="1520" w:right="1120" w:bottom="1320" w:left="1180" w:header="0" w:footer="1058" w:gutter="0"/>
        </w:sectPr>
      </w:pPr>
    </w:p>
    <w:tbl>
      <w:tblPr>
        <w:tblStyle w:val="10"/>
        <w:tblW w:w="0" w:type="auto"/>
        <w:tblInd w:w="13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44"/>
        <w:gridCol w:w="673"/>
        <w:gridCol w:w="1114"/>
        <w:gridCol w:w="5827"/>
        <w:gridCol w:w="108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9" w:hRule="atLeast"/>
        </w:trPr>
        <w:tc>
          <w:tcPr>
            <w:tcW w:w="644" w:type="dxa"/>
            <w:tcBorders>
              <w:bottom w:val="single" w:color="000000" w:sz="4" w:space="0"/>
              <w:right w:val="single" w:color="000000" w:sz="4" w:space="0"/>
            </w:tcBorders>
          </w:tcPr>
          <w:p>
            <w:pPr>
              <w:pStyle w:val="14"/>
              <w:jc w:val="left"/>
              <w:rPr>
                <w:rFonts w:ascii="Times New Roman"/>
                <w:sz w:val="20"/>
              </w:rPr>
            </w:pPr>
          </w:p>
        </w:tc>
        <w:tc>
          <w:tcPr>
            <w:tcW w:w="673" w:type="dxa"/>
            <w:vMerge w:val="restart"/>
            <w:tcBorders>
              <w:left w:val="single" w:color="000000" w:sz="4" w:space="0"/>
              <w:bottom w:val="single" w:color="000000" w:sz="4" w:space="0"/>
              <w:right w:val="single" w:color="000000" w:sz="4" w:space="0"/>
            </w:tcBorders>
          </w:tcPr>
          <w:p>
            <w:pPr>
              <w:pStyle w:val="14"/>
              <w:jc w:val="left"/>
              <w:rPr>
                <w:rFonts w:ascii="Times New Roman"/>
                <w:sz w:val="20"/>
              </w:rPr>
            </w:pPr>
          </w:p>
        </w:tc>
        <w:tc>
          <w:tcPr>
            <w:tcW w:w="1114" w:type="dxa"/>
            <w:tcBorders>
              <w:left w:val="single" w:color="000000" w:sz="4" w:space="0"/>
              <w:bottom w:val="single" w:color="000000" w:sz="4" w:space="0"/>
              <w:right w:val="single" w:color="000000" w:sz="4" w:space="0"/>
            </w:tcBorders>
          </w:tcPr>
          <w:p>
            <w:pPr>
              <w:pStyle w:val="14"/>
              <w:jc w:val="left"/>
              <w:rPr>
                <w:rFonts w:ascii="Times New Roman"/>
                <w:sz w:val="20"/>
              </w:rPr>
            </w:pPr>
          </w:p>
        </w:tc>
        <w:tc>
          <w:tcPr>
            <w:tcW w:w="5827" w:type="dxa"/>
            <w:tcBorders>
              <w:left w:val="single" w:color="000000" w:sz="4" w:space="0"/>
              <w:bottom w:val="single" w:color="000000" w:sz="4" w:space="0"/>
              <w:right w:val="single" w:color="000000" w:sz="4" w:space="0"/>
            </w:tcBorders>
          </w:tcPr>
          <w:p>
            <w:pPr>
              <w:pStyle w:val="14"/>
              <w:numPr>
                <w:ilvl w:val="0"/>
                <w:numId w:val="86"/>
              </w:numPr>
              <w:tabs>
                <w:tab w:val="left" w:pos="271"/>
              </w:tabs>
              <w:spacing w:before="0" w:after="0" w:line="260" w:lineRule="exact"/>
              <w:ind w:left="270" w:right="0" w:hanging="160"/>
              <w:jc w:val="left"/>
              <w:rPr>
                <w:sz w:val="21"/>
              </w:rPr>
            </w:pPr>
            <w:r>
              <w:rPr>
                <w:spacing w:val="-6"/>
                <w:sz w:val="21"/>
              </w:rPr>
              <w:t xml:space="preserve">监测点：项目实施区 </w:t>
            </w:r>
            <w:r>
              <w:rPr>
                <w:rFonts w:ascii="Times New Roman" w:eastAsia="Times New Roman"/>
                <w:sz w:val="21"/>
              </w:rPr>
              <w:t>3</w:t>
            </w:r>
            <w:r>
              <w:rPr>
                <w:sz w:val="21"/>
              </w:rPr>
              <w:t>～</w:t>
            </w:r>
            <w:r>
              <w:rPr>
                <w:rFonts w:ascii="Times New Roman" w:eastAsia="Times New Roman"/>
                <w:sz w:val="21"/>
              </w:rPr>
              <w:t>5</w:t>
            </w:r>
            <w:r>
              <w:rPr>
                <w:rFonts w:ascii="Times New Roman" w:eastAsia="Times New Roman"/>
                <w:spacing w:val="-1"/>
                <w:sz w:val="21"/>
              </w:rPr>
              <w:t xml:space="preserve"> </w:t>
            </w:r>
            <w:r>
              <w:rPr>
                <w:sz w:val="21"/>
              </w:rPr>
              <w:t>个点。</w:t>
            </w:r>
          </w:p>
          <w:p>
            <w:pPr>
              <w:pStyle w:val="14"/>
              <w:numPr>
                <w:ilvl w:val="0"/>
                <w:numId w:val="86"/>
              </w:numPr>
              <w:tabs>
                <w:tab w:val="left" w:pos="271"/>
              </w:tabs>
              <w:spacing w:before="2" w:after="0" w:line="240" w:lineRule="auto"/>
              <w:ind w:left="270" w:right="0" w:hanging="160"/>
              <w:jc w:val="left"/>
              <w:rPr>
                <w:sz w:val="21"/>
              </w:rPr>
            </w:pPr>
            <w:r>
              <w:rPr>
                <w:sz w:val="21"/>
              </w:rPr>
              <w:t>监测方法：定期观察。</w:t>
            </w:r>
          </w:p>
          <w:p>
            <w:pPr>
              <w:pStyle w:val="14"/>
              <w:numPr>
                <w:ilvl w:val="0"/>
                <w:numId w:val="86"/>
              </w:numPr>
              <w:tabs>
                <w:tab w:val="left" w:pos="271"/>
              </w:tabs>
              <w:spacing w:before="3" w:after="0" w:line="270" w:lineRule="atLeast"/>
              <w:ind w:left="111" w:right="94" w:firstLine="0"/>
              <w:jc w:val="left"/>
              <w:rPr>
                <w:sz w:val="21"/>
              </w:rPr>
            </w:pPr>
            <w:r>
              <w:rPr>
                <w:spacing w:val="-2"/>
                <w:w w:val="95"/>
                <w:sz w:val="21"/>
              </w:rPr>
              <w:t xml:space="preserve">技术要求：遥感监测和巡查相结合，对监测项目指标变化量 </w:t>
            </w:r>
            <w:r>
              <w:rPr>
                <w:spacing w:val="-2"/>
                <w:sz w:val="21"/>
              </w:rPr>
              <w:t>进行统计，并分析原因。</w:t>
            </w:r>
          </w:p>
        </w:tc>
        <w:tc>
          <w:tcPr>
            <w:tcW w:w="1082" w:type="dxa"/>
            <w:tcBorders>
              <w:left w:val="single" w:color="000000" w:sz="4" w:space="0"/>
              <w:bottom w:val="single" w:color="000000" w:sz="4" w:space="0"/>
            </w:tcBorders>
          </w:tcPr>
          <w:p>
            <w:pPr>
              <w:pStyle w:val="14"/>
              <w:spacing w:line="260" w:lineRule="exact"/>
              <w:ind w:left="23"/>
              <w:rPr>
                <w:sz w:val="21"/>
              </w:rPr>
            </w:pPr>
            <w:r>
              <w:rPr>
                <w:w w:val="99"/>
                <w:sz w:val="21"/>
              </w:rPr>
              <w:t>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2" w:hRule="atLeast"/>
        </w:trPr>
        <w:tc>
          <w:tcPr>
            <w:tcW w:w="644" w:type="dxa"/>
            <w:tcBorders>
              <w:top w:val="single" w:color="000000" w:sz="4" w:space="0"/>
              <w:bottom w:val="single" w:color="000000" w:sz="4" w:space="0"/>
              <w:right w:val="single" w:color="000000" w:sz="4" w:space="0"/>
            </w:tcBorders>
          </w:tcPr>
          <w:p>
            <w:pPr>
              <w:pStyle w:val="14"/>
              <w:jc w:val="left"/>
              <w:rPr>
                <w:b/>
                <w:sz w:val="22"/>
              </w:rPr>
            </w:pPr>
          </w:p>
          <w:p>
            <w:pPr>
              <w:pStyle w:val="14"/>
              <w:spacing w:before="8"/>
              <w:jc w:val="left"/>
              <w:rPr>
                <w:b/>
                <w:sz w:val="21"/>
              </w:rPr>
            </w:pPr>
          </w:p>
          <w:p>
            <w:pPr>
              <w:pStyle w:val="14"/>
              <w:spacing w:before="1"/>
              <w:ind w:left="10"/>
              <w:rPr>
                <w:rFonts w:ascii="Times New Roman"/>
                <w:sz w:val="21"/>
              </w:rPr>
            </w:pPr>
            <w:r>
              <w:rPr>
                <w:rFonts w:ascii="Times New Roman"/>
                <w:w w:val="99"/>
                <w:sz w:val="21"/>
              </w:rPr>
              <w:t>4</w:t>
            </w:r>
          </w:p>
        </w:tc>
        <w:tc>
          <w:tcPr>
            <w:tcW w:w="673" w:type="dxa"/>
            <w:vMerge w:val="continue"/>
            <w:tcBorders>
              <w:top w:val="nil"/>
              <w:left w:val="single" w:color="000000" w:sz="4" w:space="0"/>
              <w:bottom w:val="single" w:color="000000" w:sz="4" w:space="0"/>
              <w:right w:val="single" w:color="000000" w:sz="4" w:space="0"/>
            </w:tcBorders>
          </w:tcPr>
          <w:p>
            <w:pPr>
              <w:rPr>
                <w:sz w:val="2"/>
                <w:szCs w:val="2"/>
              </w:rPr>
            </w:pPr>
          </w:p>
        </w:tc>
        <w:tc>
          <w:tcPr>
            <w:tcW w:w="1114" w:type="dxa"/>
            <w:tcBorders>
              <w:top w:val="single" w:color="000000" w:sz="4" w:space="0"/>
              <w:left w:val="single" w:color="000000" w:sz="4" w:space="0"/>
              <w:bottom w:val="single" w:color="000000" w:sz="4" w:space="0"/>
              <w:right w:val="single" w:color="000000" w:sz="4" w:space="0"/>
            </w:tcBorders>
          </w:tcPr>
          <w:p>
            <w:pPr>
              <w:pStyle w:val="14"/>
              <w:jc w:val="left"/>
              <w:rPr>
                <w:b/>
                <w:sz w:val="20"/>
              </w:rPr>
            </w:pPr>
          </w:p>
          <w:p>
            <w:pPr>
              <w:pStyle w:val="14"/>
              <w:spacing w:before="7"/>
              <w:jc w:val="left"/>
              <w:rPr>
                <w:b/>
                <w:sz w:val="22"/>
              </w:rPr>
            </w:pPr>
          </w:p>
          <w:p>
            <w:pPr>
              <w:pStyle w:val="14"/>
              <w:ind w:left="119" w:right="104"/>
              <w:rPr>
                <w:sz w:val="21"/>
              </w:rPr>
            </w:pPr>
            <w:r>
              <w:rPr>
                <w:sz w:val="21"/>
              </w:rPr>
              <w:t>土壤环境</w:t>
            </w:r>
          </w:p>
        </w:tc>
        <w:tc>
          <w:tcPr>
            <w:tcW w:w="5827" w:type="dxa"/>
            <w:tcBorders>
              <w:top w:val="single" w:color="000000" w:sz="4" w:space="0"/>
              <w:left w:val="single" w:color="000000" w:sz="4" w:space="0"/>
              <w:bottom w:val="single" w:color="000000" w:sz="4" w:space="0"/>
              <w:right w:val="single" w:color="000000" w:sz="4" w:space="0"/>
            </w:tcBorders>
          </w:tcPr>
          <w:p>
            <w:pPr>
              <w:pStyle w:val="14"/>
              <w:numPr>
                <w:ilvl w:val="0"/>
                <w:numId w:val="87"/>
              </w:numPr>
              <w:tabs>
                <w:tab w:val="left" w:pos="271"/>
              </w:tabs>
              <w:spacing w:before="1" w:after="0" w:line="240" w:lineRule="auto"/>
              <w:ind w:left="270" w:right="0" w:hanging="160"/>
              <w:jc w:val="left"/>
              <w:rPr>
                <w:sz w:val="21"/>
              </w:rPr>
            </w:pPr>
            <w:r>
              <w:rPr>
                <w:sz w:val="21"/>
              </w:rPr>
              <w:t>监测项目：</w:t>
            </w:r>
            <w:r>
              <w:rPr>
                <w:rFonts w:ascii="Times New Roman" w:eastAsia="Times New Roman"/>
                <w:sz w:val="21"/>
              </w:rPr>
              <w:t>pH</w:t>
            </w:r>
            <w:r>
              <w:rPr>
                <w:spacing w:val="-8"/>
                <w:sz w:val="21"/>
              </w:rPr>
              <w:t xml:space="preserve">、有机质、全 </w:t>
            </w:r>
            <w:r>
              <w:rPr>
                <w:rFonts w:ascii="Times New Roman" w:eastAsia="Times New Roman"/>
                <w:sz w:val="21"/>
              </w:rPr>
              <w:t>N</w:t>
            </w:r>
            <w:r>
              <w:rPr>
                <w:spacing w:val="-14"/>
                <w:sz w:val="21"/>
              </w:rPr>
              <w:t xml:space="preserve">、有效 </w:t>
            </w:r>
            <w:r>
              <w:rPr>
                <w:rFonts w:ascii="Times New Roman" w:eastAsia="Times New Roman"/>
                <w:sz w:val="21"/>
              </w:rPr>
              <w:t>P</w:t>
            </w:r>
            <w:r>
              <w:rPr>
                <w:sz w:val="21"/>
              </w:rPr>
              <w:t>、</w:t>
            </w:r>
            <w:r>
              <w:rPr>
                <w:rFonts w:ascii="Times New Roman" w:eastAsia="Times New Roman"/>
                <w:sz w:val="21"/>
              </w:rPr>
              <w:t>K</w:t>
            </w:r>
            <w:r>
              <w:rPr>
                <w:sz w:val="21"/>
              </w:rPr>
              <w:t>。</w:t>
            </w:r>
          </w:p>
          <w:p>
            <w:pPr>
              <w:pStyle w:val="14"/>
              <w:numPr>
                <w:ilvl w:val="0"/>
                <w:numId w:val="87"/>
              </w:numPr>
              <w:tabs>
                <w:tab w:val="left" w:pos="271"/>
              </w:tabs>
              <w:spacing w:before="2" w:after="0" w:line="240" w:lineRule="auto"/>
              <w:ind w:left="270" w:right="0" w:hanging="160"/>
              <w:jc w:val="left"/>
              <w:rPr>
                <w:sz w:val="21"/>
              </w:rPr>
            </w:pPr>
            <w:r>
              <w:rPr>
                <w:spacing w:val="-7"/>
                <w:sz w:val="21"/>
              </w:rPr>
              <w:t xml:space="preserve">监测频率：每年 </w:t>
            </w:r>
            <w:r>
              <w:rPr>
                <w:rFonts w:ascii="Times New Roman" w:eastAsia="Times New Roman"/>
                <w:sz w:val="21"/>
              </w:rPr>
              <w:t>1</w:t>
            </w:r>
            <w:r>
              <w:rPr>
                <w:rFonts w:ascii="Times New Roman" w:eastAsia="Times New Roman"/>
                <w:spacing w:val="1"/>
                <w:sz w:val="21"/>
              </w:rPr>
              <w:t xml:space="preserve"> </w:t>
            </w:r>
            <w:r>
              <w:rPr>
                <w:sz w:val="21"/>
              </w:rPr>
              <w:t>次。</w:t>
            </w:r>
          </w:p>
          <w:p>
            <w:pPr>
              <w:pStyle w:val="14"/>
              <w:numPr>
                <w:ilvl w:val="0"/>
                <w:numId w:val="87"/>
              </w:numPr>
              <w:tabs>
                <w:tab w:val="left" w:pos="271"/>
              </w:tabs>
              <w:spacing w:before="4" w:after="0" w:line="240" w:lineRule="auto"/>
              <w:ind w:left="270" w:right="0" w:hanging="160"/>
              <w:jc w:val="left"/>
              <w:rPr>
                <w:sz w:val="21"/>
              </w:rPr>
            </w:pPr>
            <w:r>
              <w:rPr>
                <w:spacing w:val="-6"/>
                <w:sz w:val="21"/>
              </w:rPr>
              <w:t xml:space="preserve">监测点：项目实施区 </w:t>
            </w:r>
            <w:r>
              <w:rPr>
                <w:rFonts w:ascii="Times New Roman" w:eastAsia="Times New Roman"/>
                <w:sz w:val="21"/>
              </w:rPr>
              <w:t>3</w:t>
            </w:r>
            <w:r>
              <w:rPr>
                <w:sz w:val="21"/>
              </w:rPr>
              <w:t>～</w:t>
            </w:r>
            <w:r>
              <w:rPr>
                <w:rFonts w:ascii="Times New Roman" w:eastAsia="Times New Roman"/>
                <w:sz w:val="21"/>
              </w:rPr>
              <w:t>5</w:t>
            </w:r>
            <w:r>
              <w:rPr>
                <w:rFonts w:ascii="Times New Roman" w:eastAsia="Times New Roman"/>
                <w:spacing w:val="-1"/>
                <w:sz w:val="21"/>
              </w:rPr>
              <w:t xml:space="preserve"> </w:t>
            </w:r>
            <w:r>
              <w:rPr>
                <w:sz w:val="21"/>
              </w:rPr>
              <w:t>个点。</w:t>
            </w:r>
          </w:p>
          <w:p>
            <w:pPr>
              <w:pStyle w:val="14"/>
              <w:numPr>
                <w:ilvl w:val="0"/>
                <w:numId w:val="87"/>
              </w:numPr>
              <w:tabs>
                <w:tab w:val="left" w:pos="271"/>
              </w:tabs>
              <w:spacing w:before="3" w:after="0" w:line="240" w:lineRule="auto"/>
              <w:ind w:left="270" w:right="0" w:hanging="160"/>
              <w:jc w:val="left"/>
              <w:rPr>
                <w:sz w:val="21"/>
              </w:rPr>
            </w:pPr>
            <w:r>
              <w:rPr>
                <w:sz w:val="21"/>
              </w:rPr>
              <w:t>监测方法：定期观察。</w:t>
            </w:r>
          </w:p>
          <w:p>
            <w:pPr>
              <w:pStyle w:val="14"/>
              <w:numPr>
                <w:ilvl w:val="0"/>
                <w:numId w:val="87"/>
              </w:numPr>
              <w:tabs>
                <w:tab w:val="left" w:pos="271"/>
              </w:tabs>
              <w:spacing w:before="4" w:after="0" w:line="251" w:lineRule="exact"/>
              <w:ind w:left="270" w:right="-15" w:hanging="160"/>
              <w:jc w:val="left"/>
              <w:rPr>
                <w:sz w:val="21"/>
              </w:rPr>
            </w:pPr>
            <w:r>
              <w:rPr>
                <w:spacing w:val="-12"/>
                <w:w w:val="95"/>
                <w:sz w:val="21"/>
              </w:rPr>
              <w:t>技术要求：定期取样，实验室分析粒径组成，形成分析报告。</w:t>
            </w:r>
          </w:p>
        </w:tc>
        <w:tc>
          <w:tcPr>
            <w:tcW w:w="1082" w:type="dxa"/>
            <w:tcBorders>
              <w:top w:val="single" w:color="000000" w:sz="4" w:space="0"/>
              <w:left w:val="single" w:color="000000" w:sz="4" w:space="0"/>
              <w:bottom w:val="single" w:color="000000" w:sz="4" w:space="0"/>
            </w:tcBorders>
          </w:tcPr>
          <w:p>
            <w:pPr>
              <w:pStyle w:val="14"/>
              <w:spacing w:before="3"/>
              <w:jc w:val="left"/>
              <w:rPr>
                <w:b/>
                <w:sz w:val="21"/>
              </w:rPr>
            </w:pPr>
          </w:p>
          <w:p>
            <w:pPr>
              <w:pStyle w:val="14"/>
              <w:spacing w:line="242" w:lineRule="auto"/>
              <w:ind w:left="126" w:right="100"/>
              <w:rPr>
                <w:sz w:val="21"/>
              </w:rPr>
            </w:pPr>
            <w:r>
              <w:rPr>
                <w:sz w:val="21"/>
              </w:rPr>
              <w:t>双鸭山市生态环境局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4" w:hRule="atLeast"/>
        </w:trPr>
        <w:tc>
          <w:tcPr>
            <w:tcW w:w="644" w:type="dxa"/>
            <w:tcBorders>
              <w:top w:val="single" w:color="000000" w:sz="4" w:space="0"/>
              <w:bottom w:val="single" w:color="000000" w:sz="4" w:space="0"/>
              <w:right w:val="single" w:color="000000" w:sz="4" w:space="0"/>
            </w:tcBorders>
          </w:tcPr>
          <w:p>
            <w:pPr>
              <w:pStyle w:val="14"/>
              <w:jc w:val="left"/>
              <w:rPr>
                <w:b/>
                <w:sz w:val="22"/>
              </w:rPr>
            </w:pPr>
          </w:p>
          <w:p>
            <w:pPr>
              <w:pStyle w:val="14"/>
              <w:spacing w:before="3"/>
              <w:jc w:val="left"/>
              <w:rPr>
                <w:b/>
                <w:sz w:val="32"/>
              </w:rPr>
            </w:pPr>
          </w:p>
          <w:p>
            <w:pPr>
              <w:pStyle w:val="14"/>
              <w:ind w:left="10"/>
              <w:rPr>
                <w:rFonts w:ascii="Times New Roman"/>
                <w:sz w:val="21"/>
              </w:rPr>
            </w:pPr>
            <w:r>
              <w:rPr>
                <w:rFonts w:ascii="Times New Roman"/>
                <w:w w:val="99"/>
                <w:sz w:val="21"/>
              </w:rPr>
              <w:t>5</w:t>
            </w:r>
          </w:p>
        </w:tc>
        <w:tc>
          <w:tcPr>
            <w:tcW w:w="673" w:type="dxa"/>
            <w:vMerge w:val="continue"/>
            <w:tcBorders>
              <w:top w:val="nil"/>
              <w:left w:val="single" w:color="000000" w:sz="4" w:space="0"/>
              <w:bottom w:val="single" w:color="000000" w:sz="4" w:space="0"/>
              <w:right w:val="single" w:color="000000" w:sz="4" w:space="0"/>
            </w:tcBorders>
          </w:tcPr>
          <w:p>
            <w:pPr>
              <w:rPr>
                <w:sz w:val="2"/>
                <w:szCs w:val="2"/>
              </w:rPr>
            </w:pPr>
          </w:p>
        </w:tc>
        <w:tc>
          <w:tcPr>
            <w:tcW w:w="1114" w:type="dxa"/>
            <w:tcBorders>
              <w:top w:val="single" w:color="000000" w:sz="4" w:space="0"/>
              <w:left w:val="single" w:color="000000" w:sz="4" w:space="0"/>
              <w:bottom w:val="single" w:color="000000" w:sz="4" w:space="0"/>
              <w:right w:val="single" w:color="000000" w:sz="4" w:space="0"/>
            </w:tcBorders>
          </w:tcPr>
          <w:p>
            <w:pPr>
              <w:pStyle w:val="14"/>
              <w:jc w:val="left"/>
              <w:rPr>
                <w:b/>
                <w:sz w:val="20"/>
              </w:rPr>
            </w:pPr>
          </w:p>
          <w:p>
            <w:pPr>
              <w:pStyle w:val="14"/>
              <w:spacing w:before="6"/>
              <w:jc w:val="left"/>
              <w:rPr>
                <w:b/>
                <w:sz w:val="22"/>
              </w:rPr>
            </w:pPr>
          </w:p>
          <w:p>
            <w:pPr>
              <w:pStyle w:val="14"/>
              <w:spacing w:line="244" w:lineRule="auto"/>
              <w:ind w:left="246" w:right="123" w:hanging="106"/>
              <w:jc w:val="left"/>
              <w:rPr>
                <w:sz w:val="21"/>
              </w:rPr>
            </w:pPr>
            <w:r>
              <w:rPr>
                <w:sz w:val="21"/>
              </w:rPr>
              <w:t>建筑物变形情况</w:t>
            </w:r>
          </w:p>
        </w:tc>
        <w:tc>
          <w:tcPr>
            <w:tcW w:w="5827" w:type="dxa"/>
            <w:tcBorders>
              <w:top w:val="single" w:color="000000" w:sz="4" w:space="0"/>
              <w:left w:val="single" w:color="000000" w:sz="4" w:space="0"/>
              <w:bottom w:val="single" w:color="000000" w:sz="4" w:space="0"/>
              <w:right w:val="single" w:color="000000" w:sz="4" w:space="0"/>
            </w:tcBorders>
          </w:tcPr>
          <w:p>
            <w:pPr>
              <w:pStyle w:val="14"/>
              <w:numPr>
                <w:ilvl w:val="0"/>
                <w:numId w:val="88"/>
              </w:numPr>
              <w:tabs>
                <w:tab w:val="left" w:pos="271"/>
              </w:tabs>
              <w:spacing w:before="2" w:after="0" w:line="240" w:lineRule="auto"/>
              <w:ind w:left="270" w:right="0" w:hanging="160"/>
              <w:jc w:val="left"/>
              <w:rPr>
                <w:sz w:val="21"/>
              </w:rPr>
            </w:pPr>
            <w:r>
              <w:rPr>
                <w:w w:val="95"/>
                <w:sz w:val="21"/>
              </w:rPr>
              <w:t>监测项目：村民房屋。</w:t>
            </w:r>
          </w:p>
          <w:p>
            <w:pPr>
              <w:pStyle w:val="14"/>
              <w:numPr>
                <w:ilvl w:val="0"/>
                <w:numId w:val="88"/>
              </w:numPr>
              <w:tabs>
                <w:tab w:val="left" w:pos="271"/>
              </w:tabs>
              <w:spacing w:before="2" w:after="0" w:line="240" w:lineRule="auto"/>
              <w:ind w:left="270" w:right="0" w:hanging="160"/>
              <w:jc w:val="left"/>
              <w:rPr>
                <w:sz w:val="21"/>
              </w:rPr>
            </w:pPr>
            <w:r>
              <w:rPr>
                <w:spacing w:val="-8"/>
                <w:sz w:val="21"/>
              </w:rPr>
              <w:t xml:space="preserve">监测频率：每年 </w:t>
            </w:r>
            <w:r>
              <w:rPr>
                <w:rFonts w:ascii="Times New Roman" w:eastAsia="Times New Roman"/>
                <w:sz w:val="21"/>
              </w:rPr>
              <w:t>1</w:t>
            </w:r>
            <w:r>
              <w:rPr>
                <w:rFonts w:ascii="Times New Roman" w:eastAsia="Times New Roman"/>
                <w:spacing w:val="-3"/>
                <w:sz w:val="21"/>
              </w:rPr>
              <w:t xml:space="preserve"> </w:t>
            </w:r>
            <w:r>
              <w:rPr>
                <w:sz w:val="21"/>
              </w:rPr>
              <w:t>次。</w:t>
            </w:r>
          </w:p>
          <w:p>
            <w:pPr>
              <w:pStyle w:val="14"/>
              <w:numPr>
                <w:ilvl w:val="0"/>
                <w:numId w:val="88"/>
              </w:numPr>
              <w:tabs>
                <w:tab w:val="left" w:pos="271"/>
              </w:tabs>
              <w:spacing w:before="2" w:after="0" w:line="240" w:lineRule="auto"/>
              <w:ind w:left="270" w:right="0" w:hanging="160"/>
              <w:jc w:val="left"/>
              <w:rPr>
                <w:sz w:val="21"/>
              </w:rPr>
            </w:pPr>
            <w:r>
              <w:rPr>
                <w:sz w:val="21"/>
              </w:rPr>
              <w:t>监测点：周边村庄。</w:t>
            </w:r>
          </w:p>
          <w:p>
            <w:pPr>
              <w:pStyle w:val="14"/>
              <w:numPr>
                <w:ilvl w:val="0"/>
                <w:numId w:val="88"/>
              </w:numPr>
              <w:tabs>
                <w:tab w:val="left" w:pos="271"/>
              </w:tabs>
              <w:spacing w:before="4" w:after="0" w:line="240" w:lineRule="auto"/>
              <w:ind w:left="270" w:right="0" w:hanging="160"/>
              <w:jc w:val="left"/>
              <w:rPr>
                <w:sz w:val="21"/>
              </w:rPr>
            </w:pPr>
            <w:r>
              <w:rPr>
                <w:sz w:val="21"/>
              </w:rPr>
              <w:t>监测方法：定期观测。</w:t>
            </w:r>
          </w:p>
          <w:p>
            <w:pPr>
              <w:pStyle w:val="14"/>
              <w:numPr>
                <w:ilvl w:val="0"/>
                <w:numId w:val="88"/>
              </w:numPr>
              <w:tabs>
                <w:tab w:val="left" w:pos="271"/>
              </w:tabs>
              <w:spacing w:before="2" w:after="0" w:line="240" w:lineRule="auto"/>
              <w:ind w:left="270" w:right="0" w:hanging="160"/>
              <w:jc w:val="left"/>
              <w:rPr>
                <w:sz w:val="21"/>
              </w:rPr>
            </w:pPr>
            <w:r>
              <w:rPr>
                <w:spacing w:val="-2"/>
                <w:sz w:val="21"/>
              </w:rPr>
              <w:t>技术要求：遥感监测和巡查相结合，对监测项目指标变化量</w:t>
            </w:r>
          </w:p>
          <w:p>
            <w:pPr>
              <w:pStyle w:val="14"/>
              <w:spacing w:before="5" w:line="251" w:lineRule="exact"/>
              <w:ind w:left="111"/>
              <w:jc w:val="left"/>
              <w:rPr>
                <w:sz w:val="21"/>
              </w:rPr>
            </w:pPr>
            <w:r>
              <w:rPr>
                <w:sz w:val="21"/>
              </w:rPr>
              <w:t>进行统计，并分析原因。</w:t>
            </w:r>
          </w:p>
        </w:tc>
        <w:tc>
          <w:tcPr>
            <w:tcW w:w="1082" w:type="dxa"/>
            <w:tcBorders>
              <w:top w:val="single" w:color="000000" w:sz="4" w:space="0"/>
              <w:left w:val="single" w:color="000000" w:sz="4" w:space="0"/>
              <w:bottom w:val="single" w:color="000000" w:sz="4" w:space="0"/>
            </w:tcBorders>
          </w:tcPr>
          <w:p>
            <w:pPr>
              <w:pStyle w:val="14"/>
              <w:jc w:val="left"/>
              <w:rPr>
                <w:b/>
                <w:sz w:val="20"/>
              </w:rPr>
            </w:pPr>
          </w:p>
          <w:p>
            <w:pPr>
              <w:pStyle w:val="14"/>
              <w:spacing w:before="153" w:line="242" w:lineRule="auto"/>
              <w:ind w:left="126" w:right="100"/>
              <w:rPr>
                <w:sz w:val="21"/>
              </w:rPr>
            </w:pPr>
            <w:r>
              <w:rPr>
                <w:sz w:val="21"/>
              </w:rPr>
              <w:t>双鸭山市生态环境局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3" w:hRule="atLeast"/>
        </w:trPr>
        <w:tc>
          <w:tcPr>
            <w:tcW w:w="644" w:type="dxa"/>
            <w:tcBorders>
              <w:top w:val="single" w:color="000000" w:sz="4" w:space="0"/>
              <w:bottom w:val="single" w:color="000000" w:sz="4" w:space="0"/>
              <w:right w:val="single" w:color="000000" w:sz="4" w:space="0"/>
            </w:tcBorders>
          </w:tcPr>
          <w:p>
            <w:pPr>
              <w:pStyle w:val="14"/>
              <w:jc w:val="left"/>
              <w:rPr>
                <w:b/>
                <w:sz w:val="22"/>
              </w:rPr>
            </w:pPr>
          </w:p>
          <w:p>
            <w:pPr>
              <w:pStyle w:val="14"/>
              <w:spacing w:before="3"/>
              <w:jc w:val="left"/>
              <w:rPr>
                <w:b/>
                <w:sz w:val="32"/>
              </w:rPr>
            </w:pPr>
          </w:p>
          <w:p>
            <w:pPr>
              <w:pStyle w:val="14"/>
              <w:ind w:left="10"/>
              <w:rPr>
                <w:rFonts w:ascii="Times New Roman"/>
                <w:sz w:val="21"/>
              </w:rPr>
            </w:pPr>
            <w:r>
              <w:rPr>
                <w:rFonts w:ascii="Times New Roman"/>
                <w:w w:val="99"/>
                <w:sz w:val="21"/>
              </w:rPr>
              <w:t>6</w:t>
            </w:r>
          </w:p>
        </w:tc>
        <w:tc>
          <w:tcPr>
            <w:tcW w:w="673" w:type="dxa"/>
            <w:vMerge w:val="restart"/>
            <w:tcBorders>
              <w:top w:val="single" w:color="000000" w:sz="4" w:space="0"/>
              <w:left w:val="single" w:color="000000" w:sz="4" w:space="0"/>
              <w:bottom w:val="single" w:color="000000" w:sz="4" w:space="0"/>
              <w:right w:val="single" w:color="000000" w:sz="4" w:space="0"/>
            </w:tcBorders>
          </w:tcPr>
          <w:p>
            <w:pPr>
              <w:pStyle w:val="14"/>
              <w:jc w:val="left"/>
              <w:rPr>
                <w:b/>
                <w:sz w:val="20"/>
              </w:rPr>
            </w:pPr>
          </w:p>
          <w:p>
            <w:pPr>
              <w:pStyle w:val="14"/>
              <w:jc w:val="left"/>
              <w:rPr>
                <w:b/>
                <w:sz w:val="20"/>
              </w:rPr>
            </w:pPr>
          </w:p>
          <w:p>
            <w:pPr>
              <w:pStyle w:val="14"/>
              <w:jc w:val="left"/>
              <w:rPr>
                <w:b/>
                <w:sz w:val="20"/>
              </w:rPr>
            </w:pPr>
          </w:p>
          <w:p>
            <w:pPr>
              <w:pStyle w:val="14"/>
              <w:spacing w:before="8"/>
              <w:jc w:val="left"/>
              <w:rPr>
                <w:b/>
                <w:sz w:val="14"/>
              </w:rPr>
            </w:pPr>
          </w:p>
          <w:p>
            <w:pPr>
              <w:pStyle w:val="14"/>
              <w:spacing w:before="1" w:line="242" w:lineRule="auto"/>
              <w:ind w:left="130" w:right="113"/>
              <w:jc w:val="both"/>
              <w:rPr>
                <w:sz w:val="21"/>
              </w:rPr>
            </w:pPr>
            <w:r>
              <w:rPr>
                <w:sz w:val="21"/>
              </w:rPr>
              <w:t>地下水环境</w:t>
            </w:r>
          </w:p>
        </w:tc>
        <w:tc>
          <w:tcPr>
            <w:tcW w:w="1114" w:type="dxa"/>
            <w:tcBorders>
              <w:top w:val="single" w:color="000000" w:sz="4" w:space="0"/>
              <w:left w:val="single" w:color="000000" w:sz="4" w:space="0"/>
              <w:bottom w:val="single" w:color="000000" w:sz="4" w:space="0"/>
              <w:right w:val="single" w:color="000000" w:sz="4" w:space="0"/>
            </w:tcBorders>
          </w:tcPr>
          <w:p>
            <w:pPr>
              <w:pStyle w:val="14"/>
              <w:jc w:val="left"/>
              <w:rPr>
                <w:b/>
                <w:sz w:val="20"/>
              </w:rPr>
            </w:pPr>
          </w:p>
          <w:p>
            <w:pPr>
              <w:pStyle w:val="14"/>
              <w:jc w:val="left"/>
              <w:rPr>
                <w:b/>
                <w:sz w:val="20"/>
              </w:rPr>
            </w:pPr>
          </w:p>
          <w:p>
            <w:pPr>
              <w:pStyle w:val="14"/>
              <w:spacing w:before="168"/>
              <w:ind w:left="119" w:right="101"/>
              <w:rPr>
                <w:sz w:val="21"/>
              </w:rPr>
            </w:pPr>
            <w:r>
              <w:rPr>
                <w:sz w:val="21"/>
              </w:rPr>
              <w:t>水质</w:t>
            </w:r>
          </w:p>
        </w:tc>
        <w:tc>
          <w:tcPr>
            <w:tcW w:w="5827" w:type="dxa"/>
            <w:tcBorders>
              <w:top w:val="single" w:color="000000" w:sz="4" w:space="0"/>
              <w:left w:val="single" w:color="000000" w:sz="4" w:space="0"/>
              <w:bottom w:val="single" w:color="000000" w:sz="4" w:space="0"/>
              <w:right w:val="single" w:color="000000" w:sz="4" w:space="0"/>
            </w:tcBorders>
          </w:tcPr>
          <w:p>
            <w:pPr>
              <w:pStyle w:val="14"/>
              <w:spacing w:before="21" w:line="64" w:lineRule="exact"/>
              <w:ind w:right="214"/>
              <w:jc w:val="right"/>
              <w:rPr>
                <w:rFonts w:ascii="Times New Roman"/>
                <w:sz w:val="13"/>
              </w:rPr>
            </w:pPr>
            <w:r>
              <w:rPr>
                <w:rFonts w:ascii="Times New Roman"/>
                <w:w w:val="105"/>
                <w:sz w:val="13"/>
              </w:rPr>
              <w:t>2-</w:t>
            </w:r>
          </w:p>
          <w:p>
            <w:pPr>
              <w:pStyle w:val="14"/>
              <w:numPr>
                <w:ilvl w:val="0"/>
                <w:numId w:val="89"/>
              </w:numPr>
              <w:tabs>
                <w:tab w:val="left" w:pos="271"/>
              </w:tabs>
              <w:spacing w:before="0" w:after="0" w:line="187" w:lineRule="exact"/>
              <w:ind w:left="270" w:right="0" w:hanging="160"/>
              <w:jc w:val="left"/>
              <w:rPr>
                <w:sz w:val="21"/>
              </w:rPr>
            </w:pPr>
            <w:r>
              <w:rPr>
                <w:position w:val="2"/>
                <w:sz w:val="21"/>
              </w:rPr>
              <w:t>监测项目：</w:t>
            </w:r>
            <w:r>
              <w:rPr>
                <w:rFonts w:ascii="Times New Roman" w:eastAsia="Times New Roman"/>
                <w:position w:val="2"/>
                <w:sz w:val="21"/>
              </w:rPr>
              <w:t>pH</w:t>
            </w:r>
            <w:r>
              <w:rPr>
                <w:position w:val="2"/>
                <w:sz w:val="21"/>
              </w:rPr>
              <w:t>、总硬度、</w:t>
            </w:r>
            <w:r>
              <w:rPr>
                <w:rFonts w:ascii="Times New Roman" w:eastAsia="Times New Roman"/>
                <w:position w:val="2"/>
                <w:sz w:val="21"/>
              </w:rPr>
              <w:t>TDS</w:t>
            </w:r>
            <w:r>
              <w:rPr>
                <w:position w:val="2"/>
                <w:sz w:val="21"/>
              </w:rPr>
              <w:t>、</w:t>
            </w:r>
            <w:r>
              <w:rPr>
                <w:rFonts w:ascii="Times New Roman" w:eastAsia="Times New Roman"/>
                <w:position w:val="2"/>
                <w:sz w:val="21"/>
              </w:rPr>
              <w:t>COD</w:t>
            </w:r>
            <w:r>
              <w:rPr>
                <w:position w:val="2"/>
                <w:sz w:val="21"/>
              </w:rPr>
              <w:t>、</w:t>
            </w:r>
            <w:r>
              <w:rPr>
                <w:rFonts w:ascii="Times New Roman" w:eastAsia="Times New Roman"/>
                <w:position w:val="2"/>
                <w:sz w:val="21"/>
              </w:rPr>
              <w:t>NO</w:t>
            </w:r>
            <w:r>
              <w:rPr>
                <w:rFonts w:ascii="Times New Roman" w:eastAsia="Times New Roman"/>
                <w:position w:val="2"/>
                <w:sz w:val="21"/>
                <w:vertAlign w:val="superscript"/>
              </w:rPr>
              <w:t>3</w:t>
            </w:r>
            <w:r>
              <w:rPr>
                <w:rFonts w:ascii="Times New Roman" w:eastAsia="Times New Roman"/>
                <w:position w:val="2"/>
                <w:sz w:val="21"/>
                <w:vertAlign w:val="baseline"/>
              </w:rPr>
              <w:t>-</w:t>
            </w:r>
            <w:r>
              <w:rPr>
                <w:position w:val="2"/>
                <w:sz w:val="21"/>
                <w:vertAlign w:val="baseline"/>
              </w:rPr>
              <w:t>、</w:t>
            </w:r>
            <w:r>
              <w:rPr>
                <w:rFonts w:ascii="Times New Roman" w:eastAsia="Times New Roman"/>
                <w:position w:val="2"/>
                <w:sz w:val="21"/>
                <w:vertAlign w:val="baseline"/>
              </w:rPr>
              <w:t>NO</w:t>
            </w:r>
            <w:r>
              <w:rPr>
                <w:rFonts w:ascii="Times New Roman" w:eastAsia="Times New Roman"/>
                <w:position w:val="2"/>
                <w:sz w:val="21"/>
                <w:vertAlign w:val="superscript"/>
              </w:rPr>
              <w:t>2</w:t>
            </w:r>
            <w:r>
              <w:rPr>
                <w:rFonts w:ascii="Times New Roman" w:eastAsia="Times New Roman"/>
                <w:position w:val="2"/>
                <w:sz w:val="21"/>
                <w:vertAlign w:val="baseline"/>
              </w:rPr>
              <w:t>-</w:t>
            </w:r>
            <w:r>
              <w:rPr>
                <w:position w:val="2"/>
                <w:sz w:val="21"/>
                <w:vertAlign w:val="baseline"/>
              </w:rPr>
              <w:t>、</w:t>
            </w:r>
            <w:r>
              <w:rPr>
                <w:rFonts w:ascii="Times New Roman" w:eastAsia="Times New Roman"/>
                <w:position w:val="2"/>
                <w:sz w:val="21"/>
                <w:vertAlign w:val="baseline"/>
              </w:rPr>
              <w:t>SO</w:t>
            </w:r>
            <w:r>
              <w:rPr>
                <w:rFonts w:ascii="Times New Roman" w:eastAsia="Times New Roman"/>
                <w:position w:val="2"/>
                <w:sz w:val="21"/>
                <w:vertAlign w:val="subscript"/>
              </w:rPr>
              <w:t>4</w:t>
            </w:r>
            <w:r>
              <w:rPr>
                <w:rFonts w:ascii="Times New Roman" w:eastAsia="Times New Roman"/>
                <w:spacing w:val="13"/>
                <w:position w:val="2"/>
                <w:sz w:val="21"/>
                <w:vertAlign w:val="baseline"/>
              </w:rPr>
              <w:t xml:space="preserve"> </w:t>
            </w:r>
            <w:r>
              <w:rPr>
                <w:position w:val="2"/>
                <w:sz w:val="21"/>
                <w:vertAlign w:val="baseline"/>
              </w:rPr>
              <w:t>、</w:t>
            </w:r>
          </w:p>
          <w:p>
            <w:pPr>
              <w:pStyle w:val="14"/>
              <w:ind w:left="111" w:right="84"/>
              <w:jc w:val="left"/>
              <w:rPr>
                <w:sz w:val="21"/>
              </w:rPr>
            </w:pPr>
            <w:r>
              <w:rPr>
                <w:rFonts w:ascii="Times New Roman" w:eastAsia="Times New Roman"/>
                <w:position w:val="2"/>
                <w:sz w:val="21"/>
              </w:rPr>
              <w:t>F</w:t>
            </w:r>
            <w:r>
              <w:rPr>
                <w:rFonts w:ascii="Times New Roman" w:eastAsia="Times New Roman"/>
                <w:position w:val="2"/>
                <w:sz w:val="21"/>
                <w:vertAlign w:val="superscript"/>
              </w:rPr>
              <w:t>-</w:t>
            </w:r>
            <w:r>
              <w:rPr>
                <w:position w:val="2"/>
                <w:sz w:val="21"/>
                <w:vertAlign w:val="baseline"/>
              </w:rPr>
              <w:t>、</w:t>
            </w:r>
            <w:r>
              <w:rPr>
                <w:rFonts w:ascii="Times New Roman" w:eastAsia="Times New Roman"/>
                <w:position w:val="2"/>
                <w:sz w:val="21"/>
                <w:vertAlign w:val="baseline"/>
              </w:rPr>
              <w:t>Cl</w:t>
            </w:r>
            <w:r>
              <w:rPr>
                <w:rFonts w:ascii="Times New Roman" w:eastAsia="Times New Roman"/>
                <w:position w:val="2"/>
                <w:sz w:val="21"/>
                <w:vertAlign w:val="superscript"/>
              </w:rPr>
              <w:t>-</w:t>
            </w:r>
            <w:r>
              <w:rPr>
                <w:position w:val="2"/>
                <w:sz w:val="21"/>
                <w:vertAlign w:val="baseline"/>
              </w:rPr>
              <w:t>、</w:t>
            </w:r>
            <w:r>
              <w:rPr>
                <w:rFonts w:ascii="Times New Roman" w:eastAsia="Times New Roman"/>
                <w:position w:val="2"/>
                <w:sz w:val="21"/>
                <w:vertAlign w:val="baseline"/>
              </w:rPr>
              <w:t>NH</w:t>
            </w:r>
            <w:r>
              <w:rPr>
                <w:rFonts w:ascii="Times New Roman" w:eastAsia="Times New Roman"/>
                <w:position w:val="2"/>
                <w:sz w:val="21"/>
                <w:vertAlign w:val="subscript"/>
              </w:rPr>
              <w:t>4</w:t>
            </w:r>
            <w:r>
              <w:rPr>
                <w:rFonts w:ascii="Times New Roman" w:eastAsia="Times New Roman"/>
                <w:position w:val="2"/>
                <w:sz w:val="21"/>
                <w:vertAlign w:val="superscript"/>
              </w:rPr>
              <w:t>+</w:t>
            </w:r>
            <w:r>
              <w:rPr>
                <w:position w:val="2"/>
                <w:sz w:val="21"/>
                <w:vertAlign w:val="baseline"/>
              </w:rPr>
              <w:t>、挥发性酚类类、氰化物、</w:t>
            </w:r>
            <w:r>
              <w:rPr>
                <w:rFonts w:ascii="Times New Roman" w:eastAsia="Times New Roman"/>
                <w:position w:val="2"/>
                <w:sz w:val="21"/>
                <w:vertAlign w:val="baseline"/>
              </w:rPr>
              <w:t>Fe</w:t>
            </w:r>
            <w:r>
              <w:rPr>
                <w:position w:val="2"/>
                <w:sz w:val="21"/>
                <w:vertAlign w:val="baseline"/>
              </w:rPr>
              <w:t>、</w:t>
            </w:r>
            <w:r>
              <w:rPr>
                <w:rFonts w:ascii="Times New Roman" w:eastAsia="Times New Roman"/>
                <w:position w:val="2"/>
                <w:sz w:val="21"/>
                <w:vertAlign w:val="baseline"/>
              </w:rPr>
              <w:t>Mn</w:t>
            </w:r>
            <w:r>
              <w:rPr>
                <w:position w:val="2"/>
                <w:sz w:val="21"/>
                <w:vertAlign w:val="baseline"/>
              </w:rPr>
              <w:t>、</w:t>
            </w:r>
            <w:r>
              <w:rPr>
                <w:rFonts w:ascii="Times New Roman" w:eastAsia="Times New Roman"/>
                <w:position w:val="2"/>
                <w:sz w:val="21"/>
                <w:vertAlign w:val="baseline"/>
              </w:rPr>
              <w:t>Pb</w:t>
            </w:r>
            <w:r>
              <w:rPr>
                <w:position w:val="2"/>
                <w:sz w:val="21"/>
                <w:vertAlign w:val="baseline"/>
              </w:rPr>
              <w:t>、</w:t>
            </w:r>
            <w:r>
              <w:rPr>
                <w:rFonts w:ascii="Times New Roman" w:eastAsia="Times New Roman"/>
                <w:position w:val="2"/>
                <w:sz w:val="21"/>
                <w:vertAlign w:val="baseline"/>
              </w:rPr>
              <w:t>As</w:t>
            </w:r>
            <w:r>
              <w:rPr>
                <w:position w:val="2"/>
                <w:sz w:val="21"/>
                <w:vertAlign w:val="baseline"/>
              </w:rPr>
              <w:t>、</w:t>
            </w:r>
            <w:r>
              <w:rPr>
                <w:rFonts w:ascii="Times New Roman" w:eastAsia="Times New Roman"/>
                <w:sz w:val="21"/>
                <w:vertAlign w:val="baseline"/>
              </w:rPr>
              <w:t>Hg</w:t>
            </w:r>
            <w:r>
              <w:rPr>
                <w:sz w:val="21"/>
                <w:vertAlign w:val="baseline"/>
              </w:rPr>
              <w:t>、</w:t>
            </w:r>
            <w:r>
              <w:rPr>
                <w:rFonts w:ascii="Times New Roman" w:eastAsia="Times New Roman"/>
                <w:sz w:val="21"/>
                <w:vertAlign w:val="baseline"/>
              </w:rPr>
              <w:t>Cd</w:t>
            </w:r>
            <w:r>
              <w:rPr>
                <w:sz w:val="21"/>
                <w:vertAlign w:val="baseline"/>
              </w:rPr>
              <w:t>、</w:t>
            </w:r>
            <w:r>
              <w:rPr>
                <w:rFonts w:ascii="Times New Roman" w:eastAsia="Times New Roman"/>
                <w:sz w:val="21"/>
                <w:vertAlign w:val="baseline"/>
              </w:rPr>
              <w:t>Cr</w:t>
            </w:r>
            <w:r>
              <w:rPr>
                <w:rFonts w:ascii="Times New Roman" w:eastAsia="Times New Roman"/>
                <w:position w:val="7"/>
                <w:sz w:val="13"/>
                <w:vertAlign w:val="baseline"/>
              </w:rPr>
              <w:t>6+</w:t>
            </w:r>
            <w:r>
              <w:rPr>
                <w:sz w:val="21"/>
                <w:vertAlign w:val="baseline"/>
              </w:rPr>
              <w:t>、细菌总数、大肠菌群</w:t>
            </w:r>
          </w:p>
          <w:p>
            <w:pPr>
              <w:pStyle w:val="14"/>
              <w:numPr>
                <w:ilvl w:val="0"/>
                <w:numId w:val="89"/>
              </w:numPr>
              <w:tabs>
                <w:tab w:val="left" w:pos="271"/>
              </w:tabs>
              <w:spacing w:before="1" w:after="0" w:line="240" w:lineRule="auto"/>
              <w:ind w:left="270" w:right="0" w:hanging="160"/>
              <w:jc w:val="left"/>
              <w:rPr>
                <w:sz w:val="21"/>
              </w:rPr>
            </w:pPr>
            <w:r>
              <w:rPr>
                <w:sz w:val="21"/>
              </w:rPr>
              <w:t>监测频率：</w:t>
            </w:r>
            <w:r>
              <w:rPr>
                <w:rFonts w:ascii="Times New Roman" w:eastAsia="Times New Roman"/>
                <w:sz w:val="21"/>
              </w:rPr>
              <w:t>6</w:t>
            </w:r>
            <w:r>
              <w:rPr>
                <w:sz w:val="21"/>
              </w:rPr>
              <w:t>月、</w:t>
            </w:r>
            <w:r>
              <w:rPr>
                <w:rFonts w:ascii="Times New Roman" w:eastAsia="Times New Roman"/>
                <w:spacing w:val="-4"/>
                <w:sz w:val="21"/>
              </w:rPr>
              <w:t>11</w:t>
            </w:r>
            <w:r>
              <w:rPr>
                <w:sz w:val="21"/>
              </w:rPr>
              <w:t>月各监测一次</w:t>
            </w:r>
          </w:p>
          <w:p>
            <w:pPr>
              <w:pStyle w:val="14"/>
              <w:numPr>
                <w:ilvl w:val="0"/>
                <w:numId w:val="89"/>
              </w:numPr>
              <w:tabs>
                <w:tab w:val="left" w:pos="271"/>
              </w:tabs>
              <w:spacing w:before="2" w:after="0" w:line="240" w:lineRule="auto"/>
              <w:ind w:left="270" w:right="0" w:hanging="160"/>
              <w:jc w:val="left"/>
              <w:rPr>
                <w:sz w:val="21"/>
              </w:rPr>
            </w:pPr>
            <w:r>
              <w:rPr>
                <w:sz w:val="21"/>
              </w:rPr>
              <w:t>监测点位：水质监测对照井、污染监视监测井、污染扩散监</w:t>
            </w:r>
          </w:p>
          <w:p>
            <w:pPr>
              <w:pStyle w:val="14"/>
              <w:spacing w:before="5" w:line="251" w:lineRule="exact"/>
              <w:ind w:left="111"/>
              <w:jc w:val="left"/>
              <w:rPr>
                <w:sz w:val="21"/>
              </w:rPr>
            </w:pPr>
            <w:r>
              <w:rPr>
                <w:sz w:val="21"/>
              </w:rPr>
              <w:t>测井。</w:t>
            </w:r>
          </w:p>
        </w:tc>
        <w:tc>
          <w:tcPr>
            <w:tcW w:w="1082" w:type="dxa"/>
            <w:tcBorders>
              <w:top w:val="single" w:color="000000" w:sz="4" w:space="0"/>
              <w:left w:val="single" w:color="000000" w:sz="4" w:space="0"/>
              <w:bottom w:val="single" w:color="000000" w:sz="4" w:space="0"/>
            </w:tcBorders>
          </w:tcPr>
          <w:p>
            <w:pPr>
              <w:pStyle w:val="14"/>
              <w:jc w:val="left"/>
              <w:rPr>
                <w:b/>
                <w:sz w:val="20"/>
              </w:rPr>
            </w:pPr>
          </w:p>
          <w:p>
            <w:pPr>
              <w:pStyle w:val="14"/>
              <w:spacing w:before="153" w:line="242" w:lineRule="auto"/>
              <w:ind w:left="126" w:right="100"/>
              <w:rPr>
                <w:sz w:val="21"/>
              </w:rPr>
            </w:pPr>
            <w:r>
              <w:rPr>
                <w:sz w:val="21"/>
              </w:rPr>
              <w:t>双鸭山市生态环境局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0" w:hRule="atLeast"/>
        </w:trPr>
        <w:tc>
          <w:tcPr>
            <w:tcW w:w="644" w:type="dxa"/>
            <w:tcBorders>
              <w:top w:val="single" w:color="000000" w:sz="4" w:space="0"/>
              <w:bottom w:val="single" w:color="000000" w:sz="4" w:space="0"/>
              <w:right w:val="single" w:color="000000" w:sz="4" w:space="0"/>
            </w:tcBorders>
          </w:tcPr>
          <w:p>
            <w:pPr>
              <w:pStyle w:val="14"/>
              <w:jc w:val="left"/>
              <w:rPr>
                <w:b/>
                <w:sz w:val="22"/>
              </w:rPr>
            </w:pPr>
          </w:p>
          <w:p>
            <w:pPr>
              <w:pStyle w:val="14"/>
              <w:spacing w:before="142"/>
              <w:ind w:left="10"/>
              <w:rPr>
                <w:rFonts w:ascii="Times New Roman"/>
                <w:sz w:val="21"/>
              </w:rPr>
            </w:pPr>
            <w:r>
              <w:rPr>
                <w:rFonts w:ascii="Times New Roman"/>
                <w:w w:val="99"/>
                <w:sz w:val="21"/>
              </w:rPr>
              <w:t>7</w:t>
            </w:r>
          </w:p>
        </w:tc>
        <w:tc>
          <w:tcPr>
            <w:tcW w:w="673" w:type="dxa"/>
            <w:vMerge w:val="continue"/>
            <w:tcBorders>
              <w:top w:val="nil"/>
              <w:left w:val="single" w:color="000000" w:sz="4" w:space="0"/>
              <w:bottom w:val="single" w:color="000000" w:sz="4" w:space="0"/>
              <w:right w:val="single" w:color="000000" w:sz="4" w:space="0"/>
            </w:tcBorders>
          </w:tcPr>
          <w:p>
            <w:pPr>
              <w:rPr>
                <w:sz w:val="2"/>
                <w:szCs w:val="2"/>
              </w:rPr>
            </w:pPr>
          </w:p>
        </w:tc>
        <w:tc>
          <w:tcPr>
            <w:tcW w:w="1114" w:type="dxa"/>
            <w:tcBorders>
              <w:top w:val="single" w:color="000000" w:sz="4" w:space="0"/>
              <w:left w:val="single" w:color="000000" w:sz="4" w:space="0"/>
              <w:bottom w:val="single" w:color="000000" w:sz="4" w:space="0"/>
              <w:right w:val="single" w:color="000000" w:sz="4" w:space="0"/>
            </w:tcBorders>
          </w:tcPr>
          <w:p>
            <w:pPr>
              <w:pStyle w:val="14"/>
              <w:jc w:val="left"/>
              <w:rPr>
                <w:b/>
                <w:sz w:val="20"/>
              </w:rPr>
            </w:pPr>
          </w:p>
          <w:p>
            <w:pPr>
              <w:pStyle w:val="14"/>
              <w:spacing w:before="153"/>
              <w:ind w:left="119" w:right="101"/>
              <w:rPr>
                <w:sz w:val="21"/>
              </w:rPr>
            </w:pPr>
            <w:r>
              <w:rPr>
                <w:sz w:val="21"/>
              </w:rPr>
              <w:t>水位</w:t>
            </w:r>
          </w:p>
        </w:tc>
        <w:tc>
          <w:tcPr>
            <w:tcW w:w="5827" w:type="dxa"/>
            <w:tcBorders>
              <w:top w:val="single" w:color="000000" w:sz="4" w:space="0"/>
              <w:left w:val="single" w:color="000000" w:sz="4" w:space="0"/>
              <w:bottom w:val="single" w:color="000000" w:sz="4" w:space="0"/>
              <w:right w:val="single" w:color="000000" w:sz="4" w:space="0"/>
            </w:tcBorders>
          </w:tcPr>
          <w:p>
            <w:pPr>
              <w:pStyle w:val="14"/>
              <w:numPr>
                <w:ilvl w:val="0"/>
                <w:numId w:val="90"/>
              </w:numPr>
              <w:tabs>
                <w:tab w:val="left" w:pos="271"/>
              </w:tabs>
              <w:spacing w:before="2" w:after="0" w:line="240" w:lineRule="auto"/>
              <w:ind w:left="270" w:right="0" w:hanging="160"/>
              <w:jc w:val="left"/>
              <w:rPr>
                <w:sz w:val="21"/>
              </w:rPr>
            </w:pPr>
            <w:r>
              <w:rPr>
                <w:sz w:val="21"/>
              </w:rPr>
              <w:t>监测项目：水位标高</w:t>
            </w:r>
          </w:p>
          <w:p>
            <w:pPr>
              <w:pStyle w:val="14"/>
              <w:numPr>
                <w:ilvl w:val="0"/>
                <w:numId w:val="90"/>
              </w:numPr>
              <w:tabs>
                <w:tab w:val="left" w:pos="271"/>
              </w:tabs>
              <w:spacing w:before="2" w:after="0" w:line="240" w:lineRule="auto"/>
              <w:ind w:left="270" w:right="0" w:hanging="160"/>
              <w:jc w:val="left"/>
              <w:rPr>
                <w:sz w:val="21"/>
              </w:rPr>
            </w:pPr>
            <w:r>
              <w:rPr>
                <w:sz w:val="21"/>
              </w:rPr>
              <w:t>监测频率：</w:t>
            </w:r>
            <w:r>
              <w:rPr>
                <w:rFonts w:ascii="Times New Roman" w:eastAsia="Times New Roman"/>
                <w:sz w:val="21"/>
              </w:rPr>
              <w:t>6</w:t>
            </w:r>
            <w:r>
              <w:rPr>
                <w:sz w:val="21"/>
              </w:rPr>
              <w:t>月、</w:t>
            </w:r>
            <w:r>
              <w:rPr>
                <w:rFonts w:ascii="Times New Roman" w:eastAsia="Times New Roman"/>
                <w:spacing w:val="-4"/>
                <w:sz w:val="21"/>
              </w:rPr>
              <w:t>11</w:t>
            </w:r>
            <w:r>
              <w:rPr>
                <w:sz w:val="21"/>
              </w:rPr>
              <w:t>月各监测一次</w:t>
            </w:r>
          </w:p>
          <w:p>
            <w:pPr>
              <w:pStyle w:val="14"/>
              <w:numPr>
                <w:ilvl w:val="0"/>
                <w:numId w:val="90"/>
              </w:numPr>
              <w:tabs>
                <w:tab w:val="left" w:pos="271"/>
              </w:tabs>
              <w:spacing w:before="2" w:after="0" w:line="240" w:lineRule="auto"/>
              <w:ind w:left="270" w:right="0" w:hanging="160"/>
              <w:jc w:val="left"/>
              <w:rPr>
                <w:sz w:val="21"/>
              </w:rPr>
            </w:pPr>
            <w:r>
              <w:rPr>
                <w:sz w:val="21"/>
              </w:rPr>
              <w:t>监测点位：丰水期、平水期、枯水期各一次，并采取月报的</w:t>
            </w:r>
          </w:p>
          <w:p>
            <w:pPr>
              <w:pStyle w:val="14"/>
              <w:spacing w:before="4" w:line="252" w:lineRule="exact"/>
              <w:ind w:left="111"/>
              <w:jc w:val="left"/>
              <w:rPr>
                <w:sz w:val="21"/>
              </w:rPr>
            </w:pPr>
            <w:r>
              <w:rPr>
                <w:sz w:val="21"/>
              </w:rPr>
              <w:t>形式。</w:t>
            </w:r>
          </w:p>
        </w:tc>
        <w:tc>
          <w:tcPr>
            <w:tcW w:w="1082" w:type="dxa"/>
            <w:tcBorders>
              <w:top w:val="single" w:color="000000" w:sz="4" w:space="0"/>
              <w:left w:val="single" w:color="000000" w:sz="4" w:space="0"/>
              <w:bottom w:val="single" w:color="000000" w:sz="4" w:space="0"/>
            </w:tcBorders>
          </w:tcPr>
          <w:p>
            <w:pPr>
              <w:pStyle w:val="14"/>
              <w:spacing w:before="136" w:line="242" w:lineRule="auto"/>
              <w:ind w:left="126" w:right="100"/>
              <w:rPr>
                <w:sz w:val="21"/>
              </w:rPr>
            </w:pPr>
            <w:r>
              <w:rPr>
                <w:sz w:val="21"/>
              </w:rPr>
              <w:t>双鸭山市生态环境局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6" w:hRule="atLeast"/>
        </w:trPr>
        <w:tc>
          <w:tcPr>
            <w:tcW w:w="644" w:type="dxa"/>
            <w:tcBorders>
              <w:top w:val="single" w:color="000000" w:sz="4" w:space="0"/>
              <w:bottom w:val="single" w:color="000000" w:sz="4" w:space="0"/>
              <w:right w:val="single" w:color="000000" w:sz="4" w:space="0"/>
            </w:tcBorders>
          </w:tcPr>
          <w:p>
            <w:pPr>
              <w:pStyle w:val="14"/>
              <w:spacing w:before="4"/>
              <w:jc w:val="left"/>
              <w:rPr>
                <w:b/>
                <w:sz w:val="22"/>
              </w:rPr>
            </w:pPr>
          </w:p>
          <w:p>
            <w:pPr>
              <w:pStyle w:val="14"/>
              <w:ind w:left="10"/>
              <w:rPr>
                <w:rFonts w:ascii="Times New Roman"/>
                <w:sz w:val="21"/>
              </w:rPr>
            </w:pPr>
            <w:r>
              <w:rPr>
                <w:rFonts w:ascii="Times New Roman"/>
                <w:w w:val="99"/>
                <w:sz w:val="21"/>
              </w:rPr>
              <w:t>8</w:t>
            </w:r>
          </w:p>
        </w:tc>
        <w:tc>
          <w:tcPr>
            <w:tcW w:w="1787" w:type="dxa"/>
            <w:gridSpan w:val="2"/>
            <w:tcBorders>
              <w:top w:val="single" w:color="000000" w:sz="4" w:space="0"/>
              <w:left w:val="single" w:color="000000" w:sz="4" w:space="0"/>
              <w:bottom w:val="single" w:color="000000" w:sz="4" w:space="0"/>
              <w:right w:val="single" w:color="000000" w:sz="4" w:space="0"/>
            </w:tcBorders>
          </w:tcPr>
          <w:p>
            <w:pPr>
              <w:pStyle w:val="14"/>
              <w:spacing w:before="3"/>
              <w:jc w:val="left"/>
              <w:rPr>
                <w:b/>
                <w:sz w:val="21"/>
              </w:rPr>
            </w:pPr>
          </w:p>
          <w:p>
            <w:pPr>
              <w:pStyle w:val="14"/>
              <w:ind w:left="477"/>
              <w:jc w:val="left"/>
              <w:rPr>
                <w:sz w:val="21"/>
              </w:rPr>
            </w:pPr>
            <w:r>
              <w:rPr>
                <w:sz w:val="21"/>
              </w:rPr>
              <w:t>大气环境</w:t>
            </w:r>
          </w:p>
        </w:tc>
        <w:tc>
          <w:tcPr>
            <w:tcW w:w="5827" w:type="dxa"/>
            <w:tcBorders>
              <w:top w:val="single" w:color="000000" w:sz="4" w:space="0"/>
              <w:left w:val="single" w:color="000000" w:sz="4" w:space="0"/>
              <w:bottom w:val="single" w:color="000000" w:sz="4" w:space="0"/>
              <w:right w:val="single" w:color="000000" w:sz="4" w:space="0"/>
            </w:tcBorders>
          </w:tcPr>
          <w:p>
            <w:pPr>
              <w:pStyle w:val="14"/>
              <w:numPr>
                <w:ilvl w:val="0"/>
                <w:numId w:val="91"/>
              </w:numPr>
              <w:tabs>
                <w:tab w:val="left" w:pos="271"/>
              </w:tabs>
              <w:spacing w:before="0" w:after="0" w:line="273" w:lineRule="exact"/>
              <w:ind w:left="270" w:right="0" w:hanging="160"/>
              <w:jc w:val="left"/>
              <w:rPr>
                <w:sz w:val="21"/>
              </w:rPr>
            </w:pPr>
            <w:r>
              <w:rPr>
                <w:position w:val="2"/>
                <w:sz w:val="21"/>
              </w:rPr>
              <w:t>监测项目：</w:t>
            </w:r>
            <w:r>
              <w:rPr>
                <w:rFonts w:ascii="Times New Roman" w:eastAsia="Times New Roman"/>
                <w:position w:val="2"/>
                <w:sz w:val="21"/>
              </w:rPr>
              <w:t>PM</w:t>
            </w:r>
            <w:r>
              <w:rPr>
                <w:rFonts w:ascii="Times New Roman" w:eastAsia="Times New Roman"/>
                <w:position w:val="2"/>
                <w:sz w:val="21"/>
                <w:vertAlign w:val="subscript"/>
              </w:rPr>
              <w:t>10</w:t>
            </w:r>
            <w:r>
              <w:rPr>
                <w:position w:val="2"/>
                <w:sz w:val="21"/>
                <w:vertAlign w:val="baseline"/>
              </w:rPr>
              <w:t>、</w:t>
            </w:r>
            <w:r>
              <w:rPr>
                <w:rFonts w:ascii="Times New Roman" w:eastAsia="Times New Roman"/>
                <w:position w:val="2"/>
                <w:sz w:val="21"/>
                <w:vertAlign w:val="baseline"/>
              </w:rPr>
              <w:t>TSP</w:t>
            </w:r>
            <w:r>
              <w:rPr>
                <w:position w:val="2"/>
                <w:sz w:val="21"/>
                <w:vertAlign w:val="baseline"/>
              </w:rPr>
              <w:t>、</w:t>
            </w:r>
            <w:r>
              <w:rPr>
                <w:rFonts w:ascii="Times New Roman" w:eastAsia="Times New Roman"/>
                <w:position w:val="2"/>
                <w:sz w:val="21"/>
                <w:vertAlign w:val="baseline"/>
              </w:rPr>
              <w:t>SO</w:t>
            </w:r>
            <w:r>
              <w:rPr>
                <w:rFonts w:ascii="Times New Roman" w:eastAsia="Times New Roman"/>
                <w:position w:val="2"/>
                <w:sz w:val="21"/>
                <w:vertAlign w:val="subscript"/>
              </w:rPr>
              <w:t>2</w:t>
            </w:r>
            <w:r>
              <w:rPr>
                <w:position w:val="2"/>
                <w:sz w:val="21"/>
                <w:vertAlign w:val="baseline"/>
              </w:rPr>
              <w:t>、</w:t>
            </w:r>
            <w:r>
              <w:rPr>
                <w:rFonts w:ascii="Times New Roman" w:eastAsia="Times New Roman"/>
                <w:position w:val="2"/>
                <w:sz w:val="21"/>
                <w:vertAlign w:val="baseline"/>
              </w:rPr>
              <w:t>NO</w:t>
            </w:r>
            <w:r>
              <w:rPr>
                <w:rFonts w:ascii="Times New Roman" w:eastAsia="Times New Roman"/>
                <w:position w:val="2"/>
                <w:sz w:val="21"/>
                <w:vertAlign w:val="subscript"/>
              </w:rPr>
              <w:t>2</w:t>
            </w:r>
            <w:r>
              <w:rPr>
                <w:position w:val="2"/>
                <w:sz w:val="21"/>
                <w:vertAlign w:val="baseline"/>
              </w:rPr>
              <w:t>。</w:t>
            </w:r>
          </w:p>
          <w:p>
            <w:pPr>
              <w:pStyle w:val="14"/>
              <w:numPr>
                <w:ilvl w:val="0"/>
                <w:numId w:val="91"/>
              </w:numPr>
              <w:tabs>
                <w:tab w:val="left" w:pos="271"/>
              </w:tabs>
              <w:spacing w:before="0" w:after="0" w:line="269" w:lineRule="exact"/>
              <w:ind w:left="270" w:right="0" w:hanging="160"/>
              <w:jc w:val="left"/>
              <w:rPr>
                <w:sz w:val="21"/>
              </w:rPr>
            </w:pPr>
            <w:r>
              <w:rPr>
                <w:spacing w:val="-7"/>
                <w:sz w:val="21"/>
              </w:rPr>
              <w:t xml:space="preserve">监测频率：每年 </w:t>
            </w:r>
            <w:r>
              <w:rPr>
                <w:rFonts w:ascii="Times New Roman" w:eastAsia="Times New Roman"/>
                <w:sz w:val="21"/>
              </w:rPr>
              <w:t>2</w:t>
            </w:r>
            <w:r>
              <w:rPr>
                <w:rFonts w:ascii="Times New Roman" w:eastAsia="Times New Roman"/>
                <w:spacing w:val="1"/>
                <w:sz w:val="21"/>
              </w:rPr>
              <w:t xml:space="preserve"> </w:t>
            </w:r>
            <w:r>
              <w:rPr>
                <w:sz w:val="21"/>
              </w:rPr>
              <w:t>次。</w:t>
            </w:r>
          </w:p>
          <w:p>
            <w:pPr>
              <w:pStyle w:val="14"/>
              <w:numPr>
                <w:ilvl w:val="0"/>
                <w:numId w:val="91"/>
              </w:numPr>
              <w:tabs>
                <w:tab w:val="left" w:pos="271"/>
              </w:tabs>
              <w:spacing w:before="2" w:after="0" w:line="254" w:lineRule="exact"/>
              <w:ind w:left="270" w:right="0" w:hanging="160"/>
              <w:jc w:val="left"/>
              <w:rPr>
                <w:sz w:val="21"/>
              </w:rPr>
            </w:pPr>
            <w:r>
              <w:rPr>
                <w:sz w:val="21"/>
              </w:rPr>
              <w:t>监测点位：工业场地上、下风向各设一个监测点。</w:t>
            </w:r>
          </w:p>
        </w:tc>
        <w:tc>
          <w:tcPr>
            <w:tcW w:w="1082" w:type="dxa"/>
            <w:tcBorders>
              <w:top w:val="single" w:color="000000" w:sz="4" w:space="0"/>
              <w:left w:val="single" w:color="000000" w:sz="4" w:space="0"/>
              <w:bottom w:val="single" w:color="000000" w:sz="4" w:space="0"/>
            </w:tcBorders>
          </w:tcPr>
          <w:p>
            <w:pPr>
              <w:pStyle w:val="14"/>
              <w:spacing w:before="1"/>
              <w:ind w:left="126"/>
              <w:jc w:val="left"/>
              <w:rPr>
                <w:sz w:val="21"/>
              </w:rPr>
            </w:pPr>
            <w:r>
              <w:rPr>
                <w:sz w:val="21"/>
              </w:rPr>
              <w:t>双鸭山市</w:t>
            </w:r>
          </w:p>
          <w:p>
            <w:pPr>
              <w:pStyle w:val="14"/>
              <w:spacing w:before="1" w:line="270" w:lineRule="atLeast"/>
              <w:ind w:left="440" w:right="100" w:hanging="315"/>
              <w:jc w:val="left"/>
              <w:rPr>
                <w:sz w:val="21"/>
              </w:rPr>
            </w:pPr>
            <w:r>
              <w:rPr>
                <w:sz w:val="21"/>
              </w:rPr>
              <w:t>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7" w:hRule="atLeast"/>
        </w:trPr>
        <w:tc>
          <w:tcPr>
            <w:tcW w:w="644" w:type="dxa"/>
            <w:tcBorders>
              <w:top w:val="single" w:color="000000" w:sz="4" w:space="0"/>
              <w:bottom w:val="single" w:color="000000" w:sz="4" w:space="0"/>
              <w:right w:val="single" w:color="000000" w:sz="4" w:space="0"/>
            </w:tcBorders>
          </w:tcPr>
          <w:p>
            <w:pPr>
              <w:pStyle w:val="14"/>
              <w:spacing w:before="5"/>
              <w:jc w:val="left"/>
              <w:rPr>
                <w:b/>
                <w:sz w:val="22"/>
              </w:rPr>
            </w:pPr>
          </w:p>
          <w:p>
            <w:pPr>
              <w:pStyle w:val="14"/>
              <w:ind w:left="10"/>
              <w:rPr>
                <w:rFonts w:ascii="Times New Roman"/>
                <w:sz w:val="21"/>
              </w:rPr>
            </w:pPr>
            <w:r>
              <w:rPr>
                <w:rFonts w:ascii="Times New Roman"/>
                <w:w w:val="99"/>
                <w:sz w:val="21"/>
              </w:rPr>
              <w:t>9</w:t>
            </w:r>
          </w:p>
        </w:tc>
        <w:tc>
          <w:tcPr>
            <w:tcW w:w="1787" w:type="dxa"/>
            <w:gridSpan w:val="2"/>
            <w:tcBorders>
              <w:top w:val="single" w:color="000000" w:sz="4" w:space="0"/>
              <w:left w:val="single" w:color="000000" w:sz="4" w:space="0"/>
              <w:bottom w:val="single" w:color="000000" w:sz="4" w:space="0"/>
              <w:right w:val="single" w:color="000000" w:sz="4" w:space="0"/>
            </w:tcBorders>
          </w:tcPr>
          <w:p>
            <w:pPr>
              <w:pStyle w:val="14"/>
              <w:spacing w:before="4"/>
              <w:jc w:val="left"/>
              <w:rPr>
                <w:b/>
                <w:sz w:val="21"/>
              </w:rPr>
            </w:pPr>
          </w:p>
          <w:p>
            <w:pPr>
              <w:pStyle w:val="14"/>
              <w:ind w:left="477"/>
              <w:jc w:val="left"/>
              <w:rPr>
                <w:sz w:val="21"/>
              </w:rPr>
            </w:pPr>
            <w:r>
              <w:rPr>
                <w:sz w:val="21"/>
              </w:rPr>
              <w:t>土壤环境</w:t>
            </w:r>
          </w:p>
        </w:tc>
        <w:tc>
          <w:tcPr>
            <w:tcW w:w="5827" w:type="dxa"/>
            <w:tcBorders>
              <w:top w:val="single" w:color="000000" w:sz="4" w:space="0"/>
              <w:left w:val="single" w:color="000000" w:sz="4" w:space="0"/>
              <w:bottom w:val="single" w:color="000000" w:sz="4" w:space="0"/>
              <w:right w:val="single" w:color="000000" w:sz="4" w:space="0"/>
            </w:tcBorders>
          </w:tcPr>
          <w:p>
            <w:pPr>
              <w:pStyle w:val="14"/>
              <w:numPr>
                <w:ilvl w:val="0"/>
                <w:numId w:val="92"/>
              </w:numPr>
              <w:tabs>
                <w:tab w:val="left" w:pos="271"/>
              </w:tabs>
              <w:spacing w:before="0" w:after="0" w:line="269" w:lineRule="exact"/>
              <w:ind w:left="270" w:right="0" w:hanging="160"/>
              <w:jc w:val="left"/>
              <w:rPr>
                <w:sz w:val="21"/>
              </w:rPr>
            </w:pPr>
            <w:r>
              <w:rPr>
                <w:sz w:val="21"/>
              </w:rPr>
              <w:t>监测项目：</w:t>
            </w:r>
            <w:r>
              <w:rPr>
                <w:rFonts w:ascii="Times New Roman" w:eastAsia="Times New Roman"/>
                <w:sz w:val="21"/>
              </w:rPr>
              <w:t>pH</w:t>
            </w:r>
            <w:r>
              <w:rPr>
                <w:sz w:val="21"/>
              </w:rPr>
              <w:t>、镉、汞、砷、铜、铅、铬、锌、镍。</w:t>
            </w:r>
          </w:p>
          <w:p>
            <w:pPr>
              <w:pStyle w:val="14"/>
              <w:numPr>
                <w:ilvl w:val="0"/>
                <w:numId w:val="92"/>
              </w:numPr>
              <w:tabs>
                <w:tab w:val="left" w:pos="271"/>
              </w:tabs>
              <w:spacing w:before="4" w:after="0" w:line="240" w:lineRule="auto"/>
              <w:ind w:left="270" w:right="0" w:hanging="160"/>
              <w:jc w:val="left"/>
              <w:rPr>
                <w:sz w:val="21"/>
              </w:rPr>
            </w:pPr>
            <w:r>
              <w:rPr>
                <w:sz w:val="21"/>
              </w:rPr>
              <w:t>监测频率：根据需要不定期监测。</w:t>
            </w:r>
          </w:p>
          <w:p>
            <w:pPr>
              <w:pStyle w:val="14"/>
              <w:numPr>
                <w:ilvl w:val="0"/>
                <w:numId w:val="92"/>
              </w:numPr>
              <w:tabs>
                <w:tab w:val="left" w:pos="271"/>
              </w:tabs>
              <w:spacing w:before="2" w:after="0" w:line="253" w:lineRule="exact"/>
              <w:ind w:left="270" w:right="0" w:hanging="160"/>
              <w:jc w:val="left"/>
              <w:rPr>
                <w:sz w:val="21"/>
              </w:rPr>
            </w:pPr>
            <w:r>
              <w:rPr>
                <w:sz w:val="21"/>
              </w:rPr>
              <w:t>监测点位：工业场地</w:t>
            </w:r>
          </w:p>
        </w:tc>
        <w:tc>
          <w:tcPr>
            <w:tcW w:w="1082" w:type="dxa"/>
            <w:tcBorders>
              <w:top w:val="single" w:color="000000" w:sz="4" w:space="0"/>
              <w:left w:val="single" w:color="000000" w:sz="4" w:space="0"/>
              <w:bottom w:val="single" w:color="000000" w:sz="4" w:space="0"/>
            </w:tcBorders>
          </w:tcPr>
          <w:p>
            <w:pPr>
              <w:pStyle w:val="14"/>
              <w:spacing w:line="269" w:lineRule="exact"/>
              <w:ind w:left="126"/>
              <w:jc w:val="left"/>
              <w:rPr>
                <w:sz w:val="21"/>
              </w:rPr>
            </w:pPr>
            <w:r>
              <w:rPr>
                <w:sz w:val="21"/>
              </w:rPr>
              <w:t>双鸭山市</w:t>
            </w:r>
          </w:p>
          <w:p>
            <w:pPr>
              <w:pStyle w:val="14"/>
              <w:spacing w:before="3" w:line="270" w:lineRule="atLeast"/>
              <w:ind w:left="440" w:right="100" w:hanging="315"/>
              <w:jc w:val="left"/>
              <w:rPr>
                <w:sz w:val="21"/>
              </w:rPr>
            </w:pPr>
            <w:r>
              <w:rPr>
                <w:sz w:val="21"/>
              </w:rPr>
              <w:t>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0" w:hRule="atLeast"/>
        </w:trPr>
        <w:tc>
          <w:tcPr>
            <w:tcW w:w="644" w:type="dxa"/>
            <w:tcBorders>
              <w:top w:val="single" w:color="000000" w:sz="4" w:space="0"/>
              <w:bottom w:val="single" w:color="000000" w:sz="4" w:space="0"/>
              <w:right w:val="single" w:color="000000" w:sz="4" w:space="0"/>
            </w:tcBorders>
          </w:tcPr>
          <w:p>
            <w:pPr>
              <w:pStyle w:val="14"/>
              <w:jc w:val="left"/>
              <w:rPr>
                <w:b/>
                <w:sz w:val="22"/>
              </w:rPr>
            </w:pPr>
          </w:p>
          <w:p>
            <w:pPr>
              <w:pStyle w:val="14"/>
              <w:spacing w:before="6"/>
              <w:jc w:val="left"/>
              <w:rPr>
                <w:b/>
                <w:sz w:val="21"/>
              </w:rPr>
            </w:pPr>
          </w:p>
          <w:p>
            <w:pPr>
              <w:pStyle w:val="14"/>
              <w:ind w:left="90" w:right="75"/>
              <w:rPr>
                <w:rFonts w:ascii="Times New Roman"/>
                <w:sz w:val="21"/>
              </w:rPr>
            </w:pPr>
            <w:r>
              <w:rPr>
                <w:rFonts w:ascii="Times New Roman"/>
                <w:sz w:val="21"/>
              </w:rPr>
              <w:t>10</w:t>
            </w:r>
          </w:p>
        </w:tc>
        <w:tc>
          <w:tcPr>
            <w:tcW w:w="1787" w:type="dxa"/>
            <w:gridSpan w:val="2"/>
            <w:tcBorders>
              <w:top w:val="single" w:color="000000" w:sz="4" w:space="0"/>
              <w:left w:val="single" w:color="000000" w:sz="4" w:space="0"/>
              <w:bottom w:val="single" w:color="000000" w:sz="4" w:space="0"/>
              <w:right w:val="single" w:color="000000" w:sz="4" w:space="0"/>
            </w:tcBorders>
          </w:tcPr>
          <w:p>
            <w:pPr>
              <w:pStyle w:val="14"/>
              <w:jc w:val="left"/>
              <w:rPr>
                <w:b/>
                <w:sz w:val="20"/>
              </w:rPr>
            </w:pPr>
          </w:p>
          <w:p>
            <w:pPr>
              <w:pStyle w:val="14"/>
              <w:spacing w:before="4"/>
              <w:jc w:val="left"/>
              <w:rPr>
                <w:b/>
                <w:sz w:val="22"/>
              </w:rPr>
            </w:pPr>
          </w:p>
          <w:p>
            <w:pPr>
              <w:pStyle w:val="14"/>
              <w:spacing w:before="1"/>
              <w:ind w:left="372"/>
              <w:jc w:val="left"/>
              <w:rPr>
                <w:sz w:val="21"/>
              </w:rPr>
            </w:pPr>
            <w:r>
              <w:rPr>
                <w:sz w:val="21"/>
              </w:rPr>
              <w:t>大气污染源</w:t>
            </w:r>
          </w:p>
        </w:tc>
        <w:tc>
          <w:tcPr>
            <w:tcW w:w="5827" w:type="dxa"/>
            <w:tcBorders>
              <w:top w:val="single" w:color="000000" w:sz="4" w:space="0"/>
              <w:left w:val="single" w:color="000000" w:sz="4" w:space="0"/>
              <w:bottom w:val="single" w:color="000000" w:sz="4" w:space="0"/>
              <w:right w:val="single" w:color="000000" w:sz="4" w:space="0"/>
            </w:tcBorders>
          </w:tcPr>
          <w:p>
            <w:pPr>
              <w:pStyle w:val="14"/>
              <w:numPr>
                <w:ilvl w:val="0"/>
                <w:numId w:val="93"/>
              </w:numPr>
              <w:tabs>
                <w:tab w:val="left" w:pos="271"/>
              </w:tabs>
              <w:spacing w:before="0" w:after="0" w:line="242" w:lineRule="auto"/>
              <w:ind w:left="111" w:right="984" w:firstLine="0"/>
              <w:jc w:val="left"/>
              <w:rPr>
                <w:sz w:val="21"/>
              </w:rPr>
            </w:pPr>
            <w:r>
              <w:rPr>
                <w:w w:val="95"/>
                <w:sz w:val="21"/>
              </w:rPr>
              <w:t>监测项目：锅炉及热风炉：颗粒物、</w:t>
            </w:r>
            <w:r>
              <w:rPr>
                <w:rFonts w:ascii="Times New Roman" w:eastAsia="Times New Roman"/>
                <w:w w:val="95"/>
                <w:sz w:val="21"/>
              </w:rPr>
              <w:t>SO2</w:t>
            </w:r>
            <w:r>
              <w:rPr>
                <w:w w:val="95"/>
                <w:sz w:val="21"/>
              </w:rPr>
              <w:t>、</w:t>
            </w:r>
            <w:r>
              <w:rPr>
                <w:rFonts w:ascii="Times New Roman" w:eastAsia="Times New Roman"/>
                <w:w w:val="95"/>
                <w:sz w:val="21"/>
              </w:rPr>
              <w:t>NOx</w:t>
            </w:r>
            <w:r>
              <w:rPr>
                <w:w w:val="95"/>
                <w:sz w:val="21"/>
              </w:rPr>
              <w:t xml:space="preserve">； </w:t>
            </w:r>
            <w:r>
              <w:rPr>
                <w:sz w:val="21"/>
              </w:rPr>
              <w:t>筛分车间：颗粒物</w:t>
            </w:r>
          </w:p>
          <w:p>
            <w:pPr>
              <w:pStyle w:val="14"/>
              <w:numPr>
                <w:ilvl w:val="0"/>
                <w:numId w:val="93"/>
              </w:numPr>
              <w:tabs>
                <w:tab w:val="left" w:pos="271"/>
              </w:tabs>
              <w:spacing w:before="0" w:after="0" w:line="268" w:lineRule="exact"/>
              <w:ind w:left="270" w:right="0" w:hanging="160"/>
              <w:jc w:val="left"/>
              <w:rPr>
                <w:sz w:val="21"/>
              </w:rPr>
            </w:pPr>
            <w:r>
              <w:rPr>
                <w:spacing w:val="-7"/>
                <w:sz w:val="21"/>
              </w:rPr>
              <w:t xml:space="preserve">监测频率：每年 </w:t>
            </w:r>
            <w:r>
              <w:rPr>
                <w:rFonts w:ascii="Times New Roman" w:eastAsia="Times New Roman"/>
                <w:sz w:val="21"/>
              </w:rPr>
              <w:t>2</w:t>
            </w:r>
            <w:r>
              <w:rPr>
                <w:rFonts w:ascii="Times New Roman" w:eastAsia="Times New Roman"/>
                <w:spacing w:val="1"/>
                <w:sz w:val="21"/>
              </w:rPr>
              <w:t xml:space="preserve"> </w:t>
            </w:r>
            <w:r>
              <w:rPr>
                <w:sz w:val="21"/>
              </w:rPr>
              <w:t>次。</w:t>
            </w:r>
          </w:p>
          <w:p>
            <w:pPr>
              <w:pStyle w:val="14"/>
              <w:numPr>
                <w:ilvl w:val="0"/>
                <w:numId w:val="93"/>
              </w:numPr>
              <w:tabs>
                <w:tab w:val="left" w:pos="271"/>
              </w:tabs>
              <w:spacing w:before="4" w:after="0" w:line="270" w:lineRule="atLeast"/>
              <w:ind w:left="111" w:right="89" w:firstLine="0"/>
              <w:jc w:val="left"/>
              <w:rPr>
                <w:sz w:val="21"/>
              </w:rPr>
            </w:pPr>
            <w:r>
              <w:rPr>
                <w:spacing w:val="-2"/>
                <w:w w:val="95"/>
                <w:sz w:val="21"/>
              </w:rPr>
              <w:t xml:space="preserve">监测点位：锅炉及热风炉除尘器前后各设一个监测点；筛分 </w:t>
            </w:r>
            <w:r>
              <w:rPr>
                <w:spacing w:val="-2"/>
                <w:sz w:val="21"/>
              </w:rPr>
              <w:t>车间除尘器后</w:t>
            </w:r>
          </w:p>
        </w:tc>
        <w:tc>
          <w:tcPr>
            <w:tcW w:w="1082" w:type="dxa"/>
            <w:tcBorders>
              <w:top w:val="single" w:color="000000" w:sz="4" w:space="0"/>
              <w:left w:val="single" w:color="000000" w:sz="4" w:space="0"/>
              <w:bottom w:val="single" w:color="000000" w:sz="4" w:space="0"/>
            </w:tcBorders>
          </w:tcPr>
          <w:p>
            <w:pPr>
              <w:pStyle w:val="14"/>
              <w:spacing w:before="2"/>
              <w:jc w:val="left"/>
              <w:rPr>
                <w:b/>
                <w:sz w:val="21"/>
              </w:rPr>
            </w:pPr>
          </w:p>
          <w:p>
            <w:pPr>
              <w:pStyle w:val="14"/>
              <w:spacing w:line="242" w:lineRule="auto"/>
              <w:ind w:left="126" w:right="100"/>
              <w:rPr>
                <w:sz w:val="21"/>
              </w:rPr>
            </w:pPr>
            <w:r>
              <w:rPr>
                <w:sz w:val="21"/>
              </w:rPr>
              <w:t>双鸭山市生态环境局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0" w:hRule="atLeast"/>
        </w:trPr>
        <w:tc>
          <w:tcPr>
            <w:tcW w:w="644" w:type="dxa"/>
            <w:tcBorders>
              <w:top w:val="single" w:color="000000" w:sz="4" w:space="0"/>
              <w:bottom w:val="single" w:color="000000" w:sz="4" w:space="0"/>
              <w:right w:val="single" w:color="000000" w:sz="4" w:space="0"/>
            </w:tcBorders>
          </w:tcPr>
          <w:p>
            <w:pPr>
              <w:pStyle w:val="14"/>
              <w:spacing w:before="11"/>
              <w:jc w:val="left"/>
              <w:rPr>
                <w:b/>
                <w:sz w:val="32"/>
              </w:rPr>
            </w:pPr>
          </w:p>
          <w:p>
            <w:pPr>
              <w:pStyle w:val="14"/>
              <w:spacing w:before="1"/>
              <w:ind w:left="90" w:right="75"/>
              <w:rPr>
                <w:rFonts w:ascii="Times New Roman"/>
                <w:sz w:val="21"/>
              </w:rPr>
            </w:pPr>
            <w:r>
              <w:rPr>
                <w:rFonts w:ascii="Times New Roman"/>
                <w:sz w:val="21"/>
              </w:rPr>
              <w:t>11</w:t>
            </w:r>
          </w:p>
        </w:tc>
        <w:tc>
          <w:tcPr>
            <w:tcW w:w="1787" w:type="dxa"/>
            <w:gridSpan w:val="2"/>
            <w:vMerge w:val="restart"/>
            <w:tcBorders>
              <w:top w:val="single" w:color="000000" w:sz="4" w:space="0"/>
              <w:left w:val="single" w:color="000000" w:sz="4" w:space="0"/>
              <w:bottom w:val="single" w:color="000000" w:sz="4" w:space="0"/>
              <w:right w:val="single" w:color="000000" w:sz="4" w:space="0"/>
            </w:tcBorders>
          </w:tcPr>
          <w:p>
            <w:pPr>
              <w:pStyle w:val="14"/>
              <w:jc w:val="left"/>
              <w:rPr>
                <w:b/>
                <w:sz w:val="20"/>
              </w:rPr>
            </w:pPr>
          </w:p>
          <w:p>
            <w:pPr>
              <w:pStyle w:val="14"/>
              <w:jc w:val="left"/>
              <w:rPr>
                <w:b/>
                <w:sz w:val="20"/>
              </w:rPr>
            </w:pPr>
          </w:p>
          <w:p>
            <w:pPr>
              <w:pStyle w:val="14"/>
              <w:jc w:val="left"/>
              <w:rPr>
                <w:b/>
                <w:sz w:val="20"/>
              </w:rPr>
            </w:pPr>
          </w:p>
          <w:p>
            <w:pPr>
              <w:pStyle w:val="14"/>
              <w:spacing w:before="5"/>
              <w:jc w:val="left"/>
              <w:rPr>
                <w:b/>
                <w:sz w:val="16"/>
              </w:rPr>
            </w:pPr>
          </w:p>
          <w:p>
            <w:pPr>
              <w:pStyle w:val="14"/>
              <w:ind w:left="477"/>
              <w:jc w:val="left"/>
              <w:rPr>
                <w:sz w:val="21"/>
              </w:rPr>
            </w:pPr>
            <w:r>
              <w:rPr>
                <w:sz w:val="21"/>
              </w:rPr>
              <w:t>水污染源</w:t>
            </w:r>
          </w:p>
        </w:tc>
        <w:tc>
          <w:tcPr>
            <w:tcW w:w="5827" w:type="dxa"/>
            <w:tcBorders>
              <w:top w:val="single" w:color="000000" w:sz="4" w:space="0"/>
              <w:left w:val="single" w:color="000000" w:sz="4" w:space="0"/>
              <w:bottom w:val="single" w:color="000000" w:sz="4" w:space="0"/>
              <w:right w:val="single" w:color="000000" w:sz="4" w:space="0"/>
            </w:tcBorders>
          </w:tcPr>
          <w:p>
            <w:pPr>
              <w:pStyle w:val="14"/>
              <w:numPr>
                <w:ilvl w:val="0"/>
                <w:numId w:val="94"/>
              </w:numPr>
              <w:tabs>
                <w:tab w:val="left" w:pos="273"/>
              </w:tabs>
              <w:spacing w:before="0" w:after="0" w:line="240" w:lineRule="auto"/>
              <w:ind w:left="111" w:right="89" w:firstLine="0"/>
              <w:jc w:val="left"/>
              <w:rPr>
                <w:sz w:val="21"/>
              </w:rPr>
            </w:pPr>
            <w:r>
              <w:rPr>
                <w:spacing w:val="3"/>
                <w:w w:val="95"/>
                <w:position w:val="2"/>
                <w:sz w:val="21"/>
              </w:rPr>
              <w:t>监测项目：</w:t>
            </w:r>
            <w:r>
              <w:rPr>
                <w:rFonts w:ascii="Times New Roman" w:eastAsia="Times New Roman"/>
                <w:w w:val="95"/>
                <w:position w:val="2"/>
                <w:sz w:val="21"/>
              </w:rPr>
              <w:t>COD</w:t>
            </w:r>
            <w:r>
              <w:rPr>
                <w:spacing w:val="7"/>
                <w:w w:val="95"/>
                <w:position w:val="2"/>
                <w:sz w:val="21"/>
              </w:rPr>
              <w:t>、</w:t>
            </w:r>
            <w:r>
              <w:rPr>
                <w:rFonts w:ascii="Times New Roman" w:eastAsia="Times New Roman"/>
                <w:w w:val="95"/>
                <w:position w:val="2"/>
                <w:sz w:val="21"/>
              </w:rPr>
              <w:t>BOD</w:t>
            </w:r>
            <w:r>
              <w:rPr>
                <w:rFonts w:ascii="Times New Roman" w:eastAsia="Times New Roman"/>
                <w:w w:val="95"/>
                <w:position w:val="2"/>
                <w:sz w:val="21"/>
                <w:vertAlign w:val="subscript"/>
              </w:rPr>
              <w:t>5</w:t>
            </w:r>
            <w:r>
              <w:rPr>
                <w:spacing w:val="3"/>
                <w:w w:val="95"/>
                <w:position w:val="2"/>
                <w:sz w:val="21"/>
                <w:vertAlign w:val="baseline"/>
              </w:rPr>
              <w:t xml:space="preserve">、氨氮、动植物油、大肠菌群、阴 </w:t>
            </w:r>
            <w:r>
              <w:rPr>
                <w:spacing w:val="3"/>
                <w:sz w:val="21"/>
                <w:vertAlign w:val="baseline"/>
              </w:rPr>
              <w:t>离子表面活性剂。</w:t>
            </w:r>
          </w:p>
          <w:p>
            <w:pPr>
              <w:pStyle w:val="14"/>
              <w:numPr>
                <w:ilvl w:val="0"/>
                <w:numId w:val="94"/>
              </w:numPr>
              <w:tabs>
                <w:tab w:val="left" w:pos="271"/>
              </w:tabs>
              <w:spacing w:before="0" w:after="0" w:line="240" w:lineRule="auto"/>
              <w:ind w:left="270" w:right="0" w:hanging="160"/>
              <w:jc w:val="left"/>
              <w:rPr>
                <w:sz w:val="21"/>
              </w:rPr>
            </w:pPr>
            <w:r>
              <w:rPr>
                <w:sz w:val="21"/>
              </w:rPr>
              <w:t>监测频率：根据需要不定期监测。</w:t>
            </w:r>
          </w:p>
          <w:p>
            <w:pPr>
              <w:pStyle w:val="14"/>
              <w:numPr>
                <w:ilvl w:val="0"/>
                <w:numId w:val="94"/>
              </w:numPr>
              <w:tabs>
                <w:tab w:val="left" w:pos="271"/>
              </w:tabs>
              <w:spacing w:before="5" w:after="0" w:line="252" w:lineRule="exact"/>
              <w:ind w:left="270" w:right="0" w:hanging="160"/>
              <w:jc w:val="left"/>
              <w:rPr>
                <w:sz w:val="21"/>
              </w:rPr>
            </w:pPr>
            <w:r>
              <w:rPr>
                <w:sz w:val="21"/>
              </w:rPr>
              <w:t>监测点位：污水处理站进水口、出水口。</w:t>
            </w:r>
          </w:p>
        </w:tc>
        <w:tc>
          <w:tcPr>
            <w:tcW w:w="1082" w:type="dxa"/>
            <w:tcBorders>
              <w:top w:val="single" w:color="000000" w:sz="4" w:space="0"/>
              <w:left w:val="single" w:color="000000" w:sz="4" w:space="0"/>
              <w:bottom w:val="single" w:color="000000" w:sz="4" w:space="0"/>
            </w:tcBorders>
          </w:tcPr>
          <w:p>
            <w:pPr>
              <w:pStyle w:val="14"/>
              <w:spacing w:before="136" w:line="242" w:lineRule="auto"/>
              <w:ind w:left="126" w:right="100"/>
              <w:rPr>
                <w:sz w:val="21"/>
              </w:rPr>
            </w:pPr>
            <w:r>
              <w:rPr>
                <w:sz w:val="21"/>
              </w:rPr>
              <w:t>双鸭山市生态环境局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28" w:hRule="atLeast"/>
        </w:trPr>
        <w:tc>
          <w:tcPr>
            <w:tcW w:w="644" w:type="dxa"/>
            <w:tcBorders>
              <w:top w:val="single" w:color="000000" w:sz="4" w:space="0"/>
              <w:bottom w:val="single" w:color="000000" w:sz="4" w:space="0"/>
              <w:right w:val="single" w:color="000000" w:sz="4" w:space="0"/>
            </w:tcBorders>
          </w:tcPr>
          <w:p>
            <w:pPr>
              <w:pStyle w:val="14"/>
              <w:jc w:val="left"/>
              <w:rPr>
                <w:b/>
                <w:sz w:val="22"/>
              </w:rPr>
            </w:pPr>
          </w:p>
          <w:p>
            <w:pPr>
              <w:pStyle w:val="14"/>
              <w:spacing w:before="161"/>
              <w:ind w:left="90" w:right="75"/>
              <w:rPr>
                <w:rFonts w:ascii="Times New Roman"/>
                <w:sz w:val="21"/>
              </w:rPr>
            </w:pPr>
            <w:r>
              <w:rPr>
                <w:rFonts w:ascii="Times New Roman"/>
                <w:sz w:val="21"/>
              </w:rPr>
              <w:t>12</w:t>
            </w:r>
          </w:p>
        </w:tc>
        <w:tc>
          <w:tcPr>
            <w:tcW w:w="1787"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5827" w:type="dxa"/>
            <w:tcBorders>
              <w:top w:val="single" w:color="000000" w:sz="4" w:space="0"/>
              <w:left w:val="single" w:color="000000" w:sz="4" w:space="0"/>
              <w:bottom w:val="single" w:color="000000" w:sz="4" w:space="0"/>
              <w:right w:val="single" w:color="000000" w:sz="4" w:space="0"/>
            </w:tcBorders>
          </w:tcPr>
          <w:p>
            <w:pPr>
              <w:pStyle w:val="14"/>
              <w:numPr>
                <w:ilvl w:val="0"/>
                <w:numId w:val="95"/>
              </w:numPr>
              <w:tabs>
                <w:tab w:val="left" w:pos="273"/>
              </w:tabs>
              <w:spacing w:before="0" w:after="0" w:line="242" w:lineRule="auto"/>
              <w:ind w:left="111" w:right="89" w:firstLine="0"/>
              <w:jc w:val="left"/>
              <w:rPr>
                <w:sz w:val="21"/>
              </w:rPr>
            </w:pPr>
            <w:r>
              <w:rPr>
                <w:position w:val="2"/>
                <w:sz w:val="21"/>
              </w:rPr>
              <w:t>监测项目：</w:t>
            </w:r>
            <w:r>
              <w:rPr>
                <w:rFonts w:ascii="Times New Roman" w:eastAsia="Times New Roman"/>
                <w:position w:val="2"/>
                <w:sz w:val="21"/>
              </w:rPr>
              <w:t>PH</w:t>
            </w:r>
            <w:r>
              <w:rPr>
                <w:position w:val="2"/>
                <w:sz w:val="21"/>
              </w:rPr>
              <w:t>、悬浮物、</w:t>
            </w:r>
            <w:r>
              <w:rPr>
                <w:rFonts w:ascii="Times New Roman" w:eastAsia="Times New Roman"/>
                <w:position w:val="2"/>
                <w:sz w:val="21"/>
              </w:rPr>
              <w:t>BOD</w:t>
            </w:r>
            <w:r>
              <w:rPr>
                <w:rFonts w:ascii="Times New Roman" w:eastAsia="Times New Roman"/>
                <w:position w:val="2"/>
                <w:sz w:val="21"/>
                <w:vertAlign w:val="subscript"/>
              </w:rPr>
              <w:t>5</w:t>
            </w:r>
            <w:r>
              <w:rPr>
                <w:position w:val="2"/>
                <w:sz w:val="21"/>
                <w:vertAlign w:val="baseline"/>
              </w:rPr>
              <w:t>、</w:t>
            </w:r>
            <w:r>
              <w:rPr>
                <w:rFonts w:ascii="Times New Roman" w:eastAsia="Times New Roman"/>
                <w:position w:val="2"/>
                <w:sz w:val="21"/>
                <w:vertAlign w:val="baseline"/>
              </w:rPr>
              <w:t>COD</w:t>
            </w:r>
            <w:r>
              <w:rPr>
                <w:position w:val="2"/>
                <w:sz w:val="21"/>
                <w:vertAlign w:val="baseline"/>
              </w:rPr>
              <w:t>、石油类、挥发性酚</w:t>
            </w:r>
            <w:r>
              <w:rPr>
                <w:sz w:val="21"/>
                <w:vertAlign w:val="baseline"/>
              </w:rPr>
              <w:t>类、氟化物、硫化物、氨氮等。</w:t>
            </w:r>
          </w:p>
          <w:p>
            <w:pPr>
              <w:pStyle w:val="14"/>
              <w:numPr>
                <w:ilvl w:val="0"/>
                <w:numId w:val="95"/>
              </w:numPr>
              <w:tabs>
                <w:tab w:val="left" w:pos="271"/>
              </w:tabs>
              <w:spacing w:before="0" w:after="0" w:line="307" w:lineRule="exact"/>
              <w:ind w:left="270" w:right="0" w:hanging="160"/>
              <w:jc w:val="left"/>
              <w:rPr>
                <w:sz w:val="21"/>
              </w:rPr>
            </w:pPr>
            <w:r>
              <w:rPr>
                <w:sz w:val="21"/>
              </w:rPr>
              <w:t>监测频率：</w:t>
            </w:r>
            <w:r>
              <w:rPr>
                <w:spacing w:val="-13"/>
                <w:sz w:val="24"/>
              </w:rPr>
              <w:t xml:space="preserve">每年进行 </w:t>
            </w:r>
            <w:r>
              <w:rPr>
                <w:rFonts w:ascii="Times New Roman" w:eastAsia="Times New Roman"/>
                <w:sz w:val="24"/>
              </w:rPr>
              <w:t xml:space="preserve">2 </w:t>
            </w:r>
            <w:r>
              <w:rPr>
                <w:sz w:val="24"/>
              </w:rPr>
              <w:t>次监测</w:t>
            </w:r>
            <w:r>
              <w:rPr>
                <w:sz w:val="21"/>
              </w:rPr>
              <w:t>。</w:t>
            </w:r>
          </w:p>
          <w:p>
            <w:pPr>
              <w:pStyle w:val="14"/>
              <w:numPr>
                <w:ilvl w:val="0"/>
                <w:numId w:val="95"/>
              </w:numPr>
              <w:tabs>
                <w:tab w:val="left" w:pos="271"/>
              </w:tabs>
              <w:spacing w:before="0" w:after="0" w:line="252" w:lineRule="exact"/>
              <w:ind w:left="270" w:right="0" w:hanging="160"/>
              <w:jc w:val="left"/>
              <w:rPr>
                <w:sz w:val="21"/>
              </w:rPr>
            </w:pPr>
            <w:r>
              <w:rPr>
                <w:sz w:val="21"/>
              </w:rPr>
              <w:t>监测点位：矿井水处理站进水口、出水口。</w:t>
            </w:r>
          </w:p>
        </w:tc>
        <w:tc>
          <w:tcPr>
            <w:tcW w:w="1082" w:type="dxa"/>
            <w:tcBorders>
              <w:top w:val="single" w:color="000000" w:sz="4" w:space="0"/>
              <w:left w:val="single" w:color="000000" w:sz="4" w:space="0"/>
              <w:bottom w:val="single" w:color="000000" w:sz="4" w:space="0"/>
            </w:tcBorders>
          </w:tcPr>
          <w:p>
            <w:pPr>
              <w:pStyle w:val="14"/>
              <w:spacing w:before="155" w:line="242" w:lineRule="auto"/>
              <w:ind w:left="126" w:right="100"/>
              <w:rPr>
                <w:sz w:val="21"/>
              </w:rPr>
            </w:pPr>
            <w:r>
              <w:rPr>
                <w:sz w:val="21"/>
              </w:rPr>
              <w:t>双鸭山市生态环境局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5" w:hRule="atLeast"/>
        </w:trPr>
        <w:tc>
          <w:tcPr>
            <w:tcW w:w="644" w:type="dxa"/>
            <w:tcBorders>
              <w:top w:val="single" w:color="000000" w:sz="4" w:space="0"/>
              <w:bottom w:val="single" w:color="000000" w:sz="4" w:space="0"/>
              <w:right w:val="single" w:color="000000" w:sz="4" w:space="0"/>
            </w:tcBorders>
          </w:tcPr>
          <w:p>
            <w:pPr>
              <w:pStyle w:val="14"/>
              <w:spacing w:before="10"/>
              <w:jc w:val="left"/>
              <w:rPr>
                <w:b/>
                <w:sz w:val="23"/>
              </w:rPr>
            </w:pPr>
          </w:p>
          <w:p>
            <w:pPr>
              <w:pStyle w:val="14"/>
              <w:spacing w:before="1"/>
              <w:ind w:left="90" w:right="75"/>
              <w:rPr>
                <w:rFonts w:ascii="Times New Roman"/>
                <w:sz w:val="21"/>
              </w:rPr>
            </w:pPr>
            <w:r>
              <w:rPr>
                <w:rFonts w:ascii="Times New Roman"/>
                <w:sz w:val="21"/>
              </w:rPr>
              <w:t>13</w:t>
            </w:r>
          </w:p>
        </w:tc>
        <w:tc>
          <w:tcPr>
            <w:tcW w:w="1787" w:type="dxa"/>
            <w:gridSpan w:val="2"/>
            <w:tcBorders>
              <w:top w:val="single" w:color="000000" w:sz="4" w:space="0"/>
              <w:left w:val="single" w:color="000000" w:sz="4" w:space="0"/>
              <w:bottom w:val="single" w:color="000000" w:sz="4" w:space="0"/>
              <w:right w:val="single" w:color="000000" w:sz="4" w:space="0"/>
            </w:tcBorders>
          </w:tcPr>
          <w:p>
            <w:pPr>
              <w:pStyle w:val="14"/>
              <w:spacing w:before="9"/>
              <w:jc w:val="left"/>
              <w:rPr>
                <w:b/>
                <w:sz w:val="22"/>
              </w:rPr>
            </w:pPr>
          </w:p>
          <w:p>
            <w:pPr>
              <w:pStyle w:val="14"/>
              <w:ind w:left="454" w:right="440"/>
              <w:rPr>
                <w:sz w:val="21"/>
              </w:rPr>
            </w:pPr>
            <w:r>
              <w:rPr>
                <w:sz w:val="21"/>
              </w:rPr>
              <w:t>噪声</w:t>
            </w:r>
          </w:p>
        </w:tc>
        <w:tc>
          <w:tcPr>
            <w:tcW w:w="5827" w:type="dxa"/>
            <w:tcBorders>
              <w:top w:val="single" w:color="000000" w:sz="4" w:space="0"/>
              <w:left w:val="single" w:color="000000" w:sz="4" w:space="0"/>
              <w:bottom w:val="single" w:color="000000" w:sz="4" w:space="0"/>
              <w:right w:val="single" w:color="000000" w:sz="4" w:space="0"/>
            </w:tcBorders>
          </w:tcPr>
          <w:p>
            <w:pPr>
              <w:pStyle w:val="14"/>
              <w:numPr>
                <w:ilvl w:val="0"/>
                <w:numId w:val="96"/>
              </w:numPr>
              <w:tabs>
                <w:tab w:val="left" w:pos="271"/>
              </w:tabs>
              <w:spacing w:before="1" w:after="0" w:line="240" w:lineRule="auto"/>
              <w:ind w:left="270" w:right="0" w:hanging="160"/>
              <w:jc w:val="left"/>
              <w:rPr>
                <w:sz w:val="21"/>
              </w:rPr>
            </w:pPr>
            <w:r>
              <w:rPr>
                <w:spacing w:val="-5"/>
                <w:sz w:val="21"/>
              </w:rPr>
              <w:t xml:space="preserve">监测项目：噪声等效连续 </w:t>
            </w:r>
            <w:r>
              <w:rPr>
                <w:rFonts w:ascii="Times New Roman" w:eastAsia="Times New Roman"/>
                <w:sz w:val="21"/>
              </w:rPr>
              <w:t xml:space="preserve">A </w:t>
            </w:r>
            <w:r>
              <w:rPr>
                <w:sz w:val="21"/>
              </w:rPr>
              <w:t>声级。</w:t>
            </w:r>
          </w:p>
          <w:p>
            <w:pPr>
              <w:pStyle w:val="14"/>
              <w:numPr>
                <w:ilvl w:val="0"/>
                <w:numId w:val="96"/>
              </w:numPr>
              <w:tabs>
                <w:tab w:val="left" w:pos="271"/>
              </w:tabs>
              <w:spacing w:before="3" w:after="0" w:line="240" w:lineRule="auto"/>
              <w:ind w:left="270" w:right="0" w:hanging="160"/>
              <w:jc w:val="left"/>
              <w:rPr>
                <w:sz w:val="24"/>
              </w:rPr>
            </w:pPr>
            <w:r>
              <w:rPr>
                <w:sz w:val="21"/>
              </w:rPr>
              <w:t>监测频率：</w:t>
            </w:r>
            <w:r>
              <w:rPr>
                <w:spacing w:val="-13"/>
                <w:sz w:val="24"/>
              </w:rPr>
              <w:t xml:space="preserve">每年进行 </w:t>
            </w:r>
            <w:r>
              <w:rPr>
                <w:rFonts w:ascii="Times New Roman" w:eastAsia="Times New Roman"/>
                <w:sz w:val="24"/>
              </w:rPr>
              <w:t xml:space="preserve">2 </w:t>
            </w:r>
            <w:r>
              <w:rPr>
                <w:sz w:val="24"/>
              </w:rPr>
              <w:t>次监测</w:t>
            </w:r>
          </w:p>
          <w:p>
            <w:pPr>
              <w:pStyle w:val="14"/>
              <w:numPr>
                <w:ilvl w:val="0"/>
                <w:numId w:val="96"/>
              </w:numPr>
              <w:tabs>
                <w:tab w:val="left" w:pos="271"/>
              </w:tabs>
              <w:spacing w:before="4" w:after="0" w:line="252" w:lineRule="exact"/>
              <w:ind w:left="270" w:right="0" w:hanging="160"/>
              <w:jc w:val="left"/>
              <w:rPr>
                <w:sz w:val="21"/>
              </w:rPr>
            </w:pPr>
            <w:r>
              <w:rPr>
                <w:spacing w:val="-4"/>
                <w:sz w:val="21"/>
              </w:rPr>
              <w:t xml:space="preserve">监测点位：工业场地四周厂界外 </w:t>
            </w:r>
            <w:r>
              <w:rPr>
                <w:rFonts w:ascii="Times New Roman" w:eastAsia="Times New Roman"/>
                <w:sz w:val="21"/>
              </w:rPr>
              <w:t>1m</w:t>
            </w:r>
            <w:r>
              <w:rPr>
                <w:sz w:val="21"/>
              </w:rPr>
              <w:t>。</w:t>
            </w:r>
          </w:p>
        </w:tc>
        <w:tc>
          <w:tcPr>
            <w:tcW w:w="1082" w:type="dxa"/>
            <w:tcBorders>
              <w:top w:val="single" w:color="000000" w:sz="4" w:space="0"/>
              <w:left w:val="single" w:color="000000" w:sz="4" w:space="0"/>
              <w:bottom w:val="single" w:color="000000" w:sz="4" w:space="0"/>
            </w:tcBorders>
          </w:tcPr>
          <w:p>
            <w:pPr>
              <w:pStyle w:val="14"/>
              <w:spacing w:before="18" w:line="242" w:lineRule="auto"/>
              <w:ind w:left="126" w:right="100"/>
              <w:rPr>
                <w:sz w:val="21"/>
              </w:rPr>
            </w:pPr>
            <w:r>
              <w:rPr>
                <w:sz w:val="21"/>
              </w:rPr>
              <w:t>双鸭山市生态环境局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4" w:hRule="atLeast"/>
        </w:trPr>
        <w:tc>
          <w:tcPr>
            <w:tcW w:w="644" w:type="dxa"/>
            <w:tcBorders>
              <w:top w:val="single" w:color="000000" w:sz="4" w:space="0"/>
              <w:right w:val="single" w:color="000000" w:sz="4" w:space="0"/>
            </w:tcBorders>
          </w:tcPr>
          <w:p>
            <w:pPr>
              <w:pStyle w:val="14"/>
              <w:spacing w:before="162"/>
              <w:ind w:left="90" w:right="75"/>
              <w:rPr>
                <w:rFonts w:ascii="Times New Roman"/>
                <w:sz w:val="21"/>
              </w:rPr>
            </w:pPr>
            <w:r>
              <w:rPr>
                <w:rFonts w:ascii="Times New Roman"/>
                <w:sz w:val="21"/>
              </w:rPr>
              <w:t>14</w:t>
            </w:r>
          </w:p>
        </w:tc>
        <w:tc>
          <w:tcPr>
            <w:tcW w:w="1787" w:type="dxa"/>
            <w:gridSpan w:val="2"/>
            <w:tcBorders>
              <w:top w:val="single" w:color="000000" w:sz="4" w:space="0"/>
              <w:left w:val="single" w:color="000000" w:sz="4" w:space="0"/>
              <w:right w:val="single" w:color="000000" w:sz="4" w:space="0"/>
            </w:tcBorders>
          </w:tcPr>
          <w:p>
            <w:pPr>
              <w:pStyle w:val="14"/>
              <w:spacing w:before="148"/>
              <w:ind w:left="477"/>
              <w:jc w:val="left"/>
              <w:rPr>
                <w:sz w:val="21"/>
              </w:rPr>
            </w:pPr>
            <w:r>
              <w:rPr>
                <w:sz w:val="21"/>
              </w:rPr>
              <w:t>固体废物</w:t>
            </w:r>
          </w:p>
        </w:tc>
        <w:tc>
          <w:tcPr>
            <w:tcW w:w="5827" w:type="dxa"/>
            <w:tcBorders>
              <w:top w:val="single" w:color="000000" w:sz="4" w:space="0"/>
              <w:left w:val="single" w:color="000000" w:sz="4" w:space="0"/>
              <w:right w:val="single" w:color="000000" w:sz="4" w:space="0"/>
            </w:tcBorders>
          </w:tcPr>
          <w:p>
            <w:pPr>
              <w:pStyle w:val="14"/>
              <w:numPr>
                <w:ilvl w:val="0"/>
                <w:numId w:val="97"/>
              </w:numPr>
              <w:tabs>
                <w:tab w:val="left" w:pos="271"/>
              </w:tabs>
              <w:spacing w:before="11" w:after="0" w:line="240" w:lineRule="auto"/>
              <w:ind w:left="270" w:right="0" w:hanging="160"/>
              <w:jc w:val="left"/>
              <w:rPr>
                <w:sz w:val="21"/>
              </w:rPr>
            </w:pPr>
            <w:r>
              <w:rPr>
                <w:sz w:val="21"/>
              </w:rPr>
              <w:t>监测项目：固体废弃物排放量及处置方式。</w:t>
            </w:r>
          </w:p>
          <w:p>
            <w:pPr>
              <w:pStyle w:val="14"/>
              <w:numPr>
                <w:ilvl w:val="0"/>
                <w:numId w:val="97"/>
              </w:numPr>
              <w:tabs>
                <w:tab w:val="left" w:pos="271"/>
              </w:tabs>
              <w:spacing w:before="2" w:after="0" w:line="262" w:lineRule="exact"/>
              <w:ind w:left="270" w:right="0" w:hanging="160"/>
              <w:jc w:val="left"/>
              <w:rPr>
                <w:sz w:val="21"/>
              </w:rPr>
            </w:pPr>
            <w:r>
              <w:rPr>
                <w:sz w:val="21"/>
              </w:rPr>
              <w:t>监测频率：不定期。</w:t>
            </w:r>
          </w:p>
        </w:tc>
        <w:tc>
          <w:tcPr>
            <w:tcW w:w="1082" w:type="dxa"/>
            <w:tcBorders>
              <w:top w:val="single" w:color="000000" w:sz="4" w:space="0"/>
              <w:left w:val="single" w:color="000000" w:sz="4" w:space="0"/>
            </w:tcBorders>
          </w:tcPr>
          <w:p>
            <w:pPr>
              <w:pStyle w:val="14"/>
              <w:spacing w:before="10" w:line="270" w:lineRule="atLeast"/>
              <w:ind w:left="126" w:right="100"/>
              <w:jc w:val="left"/>
              <w:rPr>
                <w:sz w:val="21"/>
              </w:rPr>
            </w:pPr>
            <w:r>
              <w:rPr>
                <w:sz w:val="21"/>
              </w:rPr>
              <w:t>双鸭山市生态环境</w:t>
            </w:r>
          </w:p>
        </w:tc>
      </w:tr>
    </w:tbl>
    <w:p>
      <w:pPr>
        <w:spacing w:after="0" w:line="270" w:lineRule="atLeast"/>
        <w:jc w:val="left"/>
        <w:rPr>
          <w:sz w:val="21"/>
        </w:rPr>
        <w:sectPr>
          <w:pgSz w:w="11910" w:h="16840"/>
          <w:pgMar w:top="1580" w:right="1120" w:bottom="1240" w:left="1180" w:header="0" w:footer="1058" w:gutter="0"/>
        </w:sectPr>
      </w:pPr>
    </w:p>
    <w:tbl>
      <w:tblPr>
        <w:tblStyle w:val="10"/>
        <w:tblW w:w="0" w:type="auto"/>
        <w:tblInd w:w="13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44"/>
        <w:gridCol w:w="1787"/>
        <w:gridCol w:w="5827"/>
        <w:gridCol w:w="108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67" w:hRule="atLeast"/>
        </w:trPr>
        <w:tc>
          <w:tcPr>
            <w:tcW w:w="644" w:type="dxa"/>
            <w:tcBorders>
              <w:bottom w:val="single" w:color="000000" w:sz="4" w:space="0"/>
              <w:right w:val="single" w:color="000000" w:sz="4" w:space="0"/>
            </w:tcBorders>
          </w:tcPr>
          <w:p>
            <w:pPr>
              <w:pStyle w:val="14"/>
              <w:jc w:val="left"/>
              <w:rPr>
                <w:rFonts w:ascii="Times New Roman"/>
                <w:sz w:val="22"/>
              </w:rPr>
            </w:pPr>
          </w:p>
        </w:tc>
        <w:tc>
          <w:tcPr>
            <w:tcW w:w="1787" w:type="dxa"/>
            <w:tcBorders>
              <w:left w:val="single" w:color="000000" w:sz="4" w:space="0"/>
              <w:bottom w:val="single" w:color="000000" w:sz="4" w:space="0"/>
              <w:right w:val="single" w:color="000000" w:sz="4" w:space="0"/>
            </w:tcBorders>
          </w:tcPr>
          <w:p>
            <w:pPr>
              <w:pStyle w:val="14"/>
              <w:jc w:val="left"/>
              <w:rPr>
                <w:rFonts w:ascii="Times New Roman"/>
                <w:sz w:val="22"/>
              </w:rPr>
            </w:pPr>
          </w:p>
        </w:tc>
        <w:tc>
          <w:tcPr>
            <w:tcW w:w="5827" w:type="dxa"/>
            <w:tcBorders>
              <w:left w:val="single" w:color="000000" w:sz="4" w:space="0"/>
              <w:bottom w:val="single" w:color="000000" w:sz="4" w:space="0"/>
              <w:right w:val="single" w:color="000000" w:sz="4" w:space="0"/>
            </w:tcBorders>
          </w:tcPr>
          <w:p>
            <w:pPr>
              <w:pStyle w:val="14"/>
              <w:spacing w:line="260" w:lineRule="exact"/>
              <w:ind w:left="111"/>
              <w:jc w:val="left"/>
              <w:rPr>
                <w:sz w:val="21"/>
              </w:rPr>
            </w:pPr>
            <w:r>
              <w:rPr>
                <w:rFonts w:ascii="Times New Roman" w:eastAsia="Times New Roman"/>
                <w:sz w:val="21"/>
              </w:rPr>
              <w:t>3.</w:t>
            </w:r>
            <w:r>
              <w:rPr>
                <w:sz w:val="21"/>
              </w:rPr>
              <w:t>监测点位：厂区所有环保设施。</w:t>
            </w:r>
          </w:p>
        </w:tc>
        <w:tc>
          <w:tcPr>
            <w:tcW w:w="1082" w:type="dxa"/>
            <w:tcBorders>
              <w:left w:val="single" w:color="000000" w:sz="4" w:space="0"/>
              <w:bottom w:val="single" w:color="000000" w:sz="4" w:space="0"/>
            </w:tcBorders>
          </w:tcPr>
          <w:p>
            <w:pPr>
              <w:pStyle w:val="14"/>
              <w:spacing w:line="260" w:lineRule="exact"/>
              <w:ind w:left="23"/>
              <w:rPr>
                <w:sz w:val="21"/>
              </w:rPr>
            </w:pPr>
            <w:r>
              <w:rPr>
                <w:w w:val="99"/>
                <w:sz w:val="21"/>
              </w:rPr>
              <w:t>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817" w:hRule="atLeast"/>
        </w:trPr>
        <w:tc>
          <w:tcPr>
            <w:tcW w:w="644" w:type="dxa"/>
            <w:tcBorders>
              <w:top w:val="single" w:color="000000" w:sz="4" w:space="0"/>
              <w:bottom w:val="single" w:color="000000" w:sz="4" w:space="0"/>
              <w:right w:val="single" w:color="000000" w:sz="4" w:space="0"/>
            </w:tcBorders>
          </w:tcPr>
          <w:p>
            <w:pPr>
              <w:pStyle w:val="14"/>
              <w:spacing w:before="5"/>
              <w:jc w:val="left"/>
              <w:rPr>
                <w:b/>
                <w:sz w:val="22"/>
              </w:rPr>
            </w:pPr>
          </w:p>
          <w:p>
            <w:pPr>
              <w:pStyle w:val="14"/>
              <w:ind w:right="199"/>
              <w:jc w:val="right"/>
              <w:rPr>
                <w:rFonts w:ascii="Times New Roman"/>
                <w:sz w:val="21"/>
              </w:rPr>
            </w:pPr>
            <w:r>
              <w:rPr>
                <w:rFonts w:ascii="Times New Roman"/>
                <w:sz w:val="21"/>
              </w:rPr>
              <w:t>15</w:t>
            </w:r>
          </w:p>
        </w:tc>
        <w:tc>
          <w:tcPr>
            <w:tcW w:w="1787" w:type="dxa"/>
            <w:tcBorders>
              <w:top w:val="single" w:color="000000" w:sz="4" w:space="0"/>
              <w:left w:val="single" w:color="000000" w:sz="4" w:space="0"/>
              <w:bottom w:val="single" w:color="000000" w:sz="4" w:space="0"/>
              <w:right w:val="single" w:color="000000" w:sz="4" w:space="0"/>
            </w:tcBorders>
          </w:tcPr>
          <w:p>
            <w:pPr>
              <w:pStyle w:val="14"/>
              <w:spacing w:before="3"/>
              <w:jc w:val="left"/>
              <w:rPr>
                <w:b/>
                <w:sz w:val="21"/>
              </w:rPr>
            </w:pPr>
          </w:p>
          <w:p>
            <w:pPr>
              <w:pStyle w:val="14"/>
              <w:spacing w:before="1"/>
              <w:ind w:left="456" w:right="440"/>
              <w:rPr>
                <w:sz w:val="21"/>
              </w:rPr>
            </w:pPr>
            <w:r>
              <w:rPr>
                <w:sz w:val="21"/>
              </w:rPr>
              <w:t>环保设施</w:t>
            </w:r>
          </w:p>
        </w:tc>
        <w:tc>
          <w:tcPr>
            <w:tcW w:w="5827" w:type="dxa"/>
            <w:tcBorders>
              <w:top w:val="single" w:color="000000" w:sz="4" w:space="0"/>
              <w:left w:val="single" w:color="000000" w:sz="4" w:space="0"/>
              <w:bottom w:val="single" w:color="000000" w:sz="4" w:space="0"/>
              <w:right w:val="single" w:color="000000" w:sz="4" w:space="0"/>
            </w:tcBorders>
          </w:tcPr>
          <w:p>
            <w:pPr>
              <w:pStyle w:val="14"/>
              <w:numPr>
                <w:ilvl w:val="0"/>
                <w:numId w:val="98"/>
              </w:numPr>
              <w:tabs>
                <w:tab w:val="left" w:pos="271"/>
              </w:tabs>
              <w:spacing w:before="136" w:after="0" w:line="240" w:lineRule="auto"/>
              <w:ind w:left="270" w:right="0" w:hanging="160"/>
              <w:jc w:val="left"/>
              <w:rPr>
                <w:sz w:val="21"/>
              </w:rPr>
            </w:pPr>
            <w:r>
              <w:rPr>
                <w:sz w:val="21"/>
              </w:rPr>
              <w:t>监测项目：环保设施运行情况，绿化系数。</w:t>
            </w:r>
          </w:p>
          <w:p>
            <w:pPr>
              <w:pStyle w:val="14"/>
              <w:numPr>
                <w:ilvl w:val="0"/>
                <w:numId w:val="98"/>
              </w:numPr>
              <w:tabs>
                <w:tab w:val="left" w:pos="271"/>
              </w:tabs>
              <w:spacing w:before="4" w:after="0" w:line="240" w:lineRule="auto"/>
              <w:ind w:left="270" w:right="0" w:hanging="160"/>
              <w:jc w:val="left"/>
              <w:rPr>
                <w:sz w:val="21"/>
              </w:rPr>
            </w:pPr>
            <w:r>
              <w:rPr>
                <w:sz w:val="21"/>
              </w:rPr>
              <w:t>监测频率：不定期。</w:t>
            </w:r>
          </w:p>
        </w:tc>
        <w:tc>
          <w:tcPr>
            <w:tcW w:w="1082" w:type="dxa"/>
            <w:tcBorders>
              <w:top w:val="single" w:color="000000" w:sz="4" w:space="0"/>
              <w:left w:val="single" w:color="000000" w:sz="4" w:space="0"/>
              <w:bottom w:val="single" w:color="000000" w:sz="4" w:space="0"/>
            </w:tcBorders>
          </w:tcPr>
          <w:p>
            <w:pPr>
              <w:pStyle w:val="14"/>
              <w:spacing w:before="2" w:line="242" w:lineRule="auto"/>
              <w:ind w:left="126" w:right="100"/>
              <w:rPr>
                <w:sz w:val="21"/>
              </w:rPr>
            </w:pPr>
            <w:r>
              <w:rPr>
                <w:sz w:val="21"/>
              </w:rPr>
              <w:t>双鸭山市生态环境</w:t>
            </w:r>
          </w:p>
          <w:p>
            <w:pPr>
              <w:pStyle w:val="14"/>
              <w:spacing w:line="252" w:lineRule="exact"/>
              <w:ind w:left="23"/>
              <w:rPr>
                <w:sz w:val="21"/>
              </w:rPr>
            </w:pPr>
            <w:r>
              <w:rPr>
                <w:w w:val="99"/>
                <w:sz w:val="21"/>
              </w:rPr>
              <w:t>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816" w:hRule="atLeast"/>
        </w:trPr>
        <w:tc>
          <w:tcPr>
            <w:tcW w:w="644" w:type="dxa"/>
            <w:tcBorders>
              <w:top w:val="single" w:color="000000" w:sz="4" w:space="0"/>
              <w:right w:val="single" w:color="000000" w:sz="4" w:space="0"/>
            </w:tcBorders>
          </w:tcPr>
          <w:p>
            <w:pPr>
              <w:pStyle w:val="14"/>
              <w:spacing w:before="6"/>
              <w:jc w:val="left"/>
              <w:rPr>
                <w:b/>
                <w:sz w:val="22"/>
              </w:rPr>
            </w:pPr>
          </w:p>
          <w:p>
            <w:pPr>
              <w:pStyle w:val="14"/>
              <w:ind w:right="199"/>
              <w:jc w:val="right"/>
              <w:rPr>
                <w:rFonts w:ascii="Times New Roman"/>
                <w:sz w:val="21"/>
              </w:rPr>
            </w:pPr>
            <w:r>
              <w:rPr>
                <w:rFonts w:ascii="Times New Roman"/>
                <w:sz w:val="21"/>
              </w:rPr>
              <w:t>16</w:t>
            </w:r>
          </w:p>
        </w:tc>
        <w:tc>
          <w:tcPr>
            <w:tcW w:w="1787" w:type="dxa"/>
            <w:tcBorders>
              <w:top w:val="single" w:color="000000" w:sz="4" w:space="0"/>
              <w:left w:val="single" w:color="000000" w:sz="4" w:space="0"/>
              <w:right w:val="single" w:color="000000" w:sz="4" w:space="0"/>
            </w:tcBorders>
          </w:tcPr>
          <w:p>
            <w:pPr>
              <w:pStyle w:val="14"/>
              <w:spacing w:before="4"/>
              <w:jc w:val="left"/>
              <w:rPr>
                <w:b/>
                <w:sz w:val="21"/>
              </w:rPr>
            </w:pPr>
          </w:p>
          <w:p>
            <w:pPr>
              <w:pStyle w:val="14"/>
              <w:spacing w:before="1"/>
              <w:ind w:left="456" w:right="440"/>
              <w:rPr>
                <w:sz w:val="21"/>
              </w:rPr>
            </w:pPr>
            <w:r>
              <w:rPr>
                <w:sz w:val="21"/>
              </w:rPr>
              <w:t>事故监测</w:t>
            </w:r>
          </w:p>
        </w:tc>
        <w:tc>
          <w:tcPr>
            <w:tcW w:w="5827" w:type="dxa"/>
            <w:tcBorders>
              <w:top w:val="single" w:color="000000" w:sz="4" w:space="0"/>
              <w:left w:val="single" w:color="000000" w:sz="4" w:space="0"/>
              <w:right w:val="single" w:color="000000" w:sz="4" w:space="0"/>
            </w:tcBorders>
          </w:tcPr>
          <w:p>
            <w:pPr>
              <w:pStyle w:val="14"/>
              <w:numPr>
                <w:ilvl w:val="0"/>
                <w:numId w:val="99"/>
              </w:numPr>
              <w:tabs>
                <w:tab w:val="left" w:pos="271"/>
              </w:tabs>
              <w:spacing w:before="0" w:after="0" w:line="240" w:lineRule="auto"/>
              <w:ind w:left="270" w:right="-15" w:hanging="160"/>
              <w:jc w:val="left"/>
              <w:rPr>
                <w:sz w:val="21"/>
              </w:rPr>
            </w:pPr>
            <w:r>
              <w:rPr>
                <w:spacing w:val="-11"/>
                <w:w w:val="95"/>
                <w:sz w:val="21"/>
              </w:rPr>
              <w:t>监测项目：事故发生的类型、原因、污染程度及采取的措施。</w:t>
            </w:r>
          </w:p>
          <w:p>
            <w:pPr>
              <w:pStyle w:val="14"/>
              <w:numPr>
                <w:ilvl w:val="0"/>
                <w:numId w:val="99"/>
              </w:numPr>
              <w:tabs>
                <w:tab w:val="left" w:pos="271"/>
              </w:tabs>
              <w:spacing w:before="5" w:after="0" w:line="240" w:lineRule="auto"/>
              <w:ind w:left="270" w:right="0" w:hanging="160"/>
              <w:jc w:val="left"/>
              <w:rPr>
                <w:sz w:val="21"/>
              </w:rPr>
            </w:pPr>
            <w:r>
              <w:rPr>
                <w:sz w:val="21"/>
              </w:rPr>
              <w:t>监测频率：不定期。</w:t>
            </w:r>
          </w:p>
          <w:p>
            <w:pPr>
              <w:pStyle w:val="14"/>
              <w:numPr>
                <w:ilvl w:val="0"/>
                <w:numId w:val="99"/>
              </w:numPr>
              <w:tabs>
                <w:tab w:val="left" w:pos="271"/>
              </w:tabs>
              <w:spacing w:before="2" w:after="0" w:line="252" w:lineRule="exact"/>
              <w:ind w:left="270" w:right="0" w:hanging="160"/>
              <w:jc w:val="left"/>
              <w:rPr>
                <w:sz w:val="21"/>
              </w:rPr>
            </w:pPr>
            <w:r>
              <w:rPr>
                <w:sz w:val="21"/>
              </w:rPr>
              <w:t>监测点位：污水处理设施、矸石临时堆放场地等。</w:t>
            </w:r>
          </w:p>
        </w:tc>
        <w:tc>
          <w:tcPr>
            <w:tcW w:w="1082" w:type="dxa"/>
            <w:tcBorders>
              <w:top w:val="single" w:color="000000" w:sz="4" w:space="0"/>
              <w:left w:val="single" w:color="000000" w:sz="4" w:space="0"/>
            </w:tcBorders>
          </w:tcPr>
          <w:p>
            <w:pPr>
              <w:pStyle w:val="14"/>
              <w:ind w:left="126"/>
              <w:jc w:val="left"/>
              <w:rPr>
                <w:sz w:val="21"/>
              </w:rPr>
            </w:pPr>
            <w:r>
              <w:rPr>
                <w:sz w:val="21"/>
              </w:rPr>
              <w:t>双鸭山市</w:t>
            </w:r>
          </w:p>
          <w:p>
            <w:pPr>
              <w:pStyle w:val="14"/>
              <w:spacing w:before="4" w:line="270" w:lineRule="atLeast"/>
              <w:ind w:left="440" w:right="100" w:hanging="315"/>
              <w:jc w:val="left"/>
              <w:rPr>
                <w:sz w:val="21"/>
              </w:rPr>
            </w:pPr>
            <w:r>
              <w:rPr>
                <w:sz w:val="21"/>
              </w:rPr>
              <w:t>生态环境局</w:t>
            </w:r>
          </w:p>
        </w:tc>
      </w:tr>
    </w:tbl>
    <w:p>
      <w:pPr>
        <w:pStyle w:val="6"/>
        <w:spacing w:before="6" w:line="364" w:lineRule="auto"/>
        <w:ind w:left="235" w:right="238" w:firstLine="480"/>
        <w:jc w:val="both"/>
      </w:pPr>
      <w:r>
        <w:rPr>
          <w:spacing w:val="-5"/>
        </w:rPr>
        <w:t xml:space="preserve">本项目应配备环境监理工程师 </w:t>
      </w:r>
      <w:r>
        <w:rPr>
          <w:rFonts w:ascii="Times New Roman" w:hAnsi="Times New Roman" w:eastAsia="Times New Roman"/>
        </w:rPr>
        <w:t xml:space="preserve">1 </w:t>
      </w:r>
      <w:r>
        <w:rPr>
          <w:spacing w:val="-1"/>
        </w:rPr>
        <w:t>名，负责编制工程施工期的环境保护计划，监督检</w:t>
      </w:r>
      <w:r>
        <w:t>查环境影响报告书中所提出的各项环保防治措施的落实情况及</w:t>
      </w:r>
      <w:r>
        <w:rPr>
          <w:rFonts w:ascii="Times New Roman" w:hAnsi="Times New Roman" w:eastAsia="Times New Roman"/>
        </w:rPr>
        <w:t>“</w:t>
      </w:r>
      <w:r>
        <w:t>三同时</w:t>
      </w:r>
      <w:r>
        <w:rPr>
          <w:rFonts w:ascii="Times New Roman" w:hAnsi="Times New Roman" w:eastAsia="Times New Roman"/>
        </w:rPr>
        <w:t>”</w:t>
      </w:r>
      <w:r>
        <w:rPr>
          <w:spacing w:val="-2"/>
        </w:rPr>
        <w:t>的执行情况，监</w:t>
      </w:r>
      <w:r>
        <w:rPr>
          <w:spacing w:val="-1"/>
        </w:rPr>
        <w:t>督检查环境监测计划的编制、实施情况及存在的问题，制定和实施事故应急计划。认真贯彻执行国家和省内各项环境保护法规，普及环境保护知识，增加工作人员的环境保护</w:t>
      </w:r>
      <w:r>
        <w:t>意识。</w:t>
      </w:r>
    </w:p>
    <w:p>
      <w:pPr>
        <w:pStyle w:val="3"/>
        <w:numPr>
          <w:ilvl w:val="1"/>
          <w:numId w:val="79"/>
        </w:numPr>
        <w:tabs>
          <w:tab w:val="left" w:pos="836"/>
        </w:tabs>
        <w:spacing w:before="0" w:after="0" w:line="383" w:lineRule="exact"/>
        <w:ind w:left="836" w:right="0" w:hanging="601"/>
        <w:jc w:val="left"/>
        <w:rPr>
          <w:rFonts w:ascii="Times New Roman" w:eastAsia="Times New Roman"/>
        </w:rPr>
      </w:pPr>
      <w:bookmarkStart w:id="1210" w:name="13.4污染物排放清单"/>
      <w:bookmarkEnd w:id="1210"/>
      <w:bookmarkStart w:id="1211" w:name="_bookmark76"/>
      <w:bookmarkEnd w:id="1211"/>
      <w:bookmarkStart w:id="1212" w:name="_bookmark76"/>
      <w:bookmarkEnd w:id="1212"/>
      <w:r>
        <w:t>污染物排放清单</w:t>
      </w:r>
    </w:p>
    <w:p>
      <w:pPr>
        <w:pStyle w:val="6"/>
        <w:spacing w:before="199"/>
        <w:ind w:left="716"/>
      </w:pPr>
      <w:r>
        <w:t xml:space="preserve">本项目污染物排放清单见表 </w:t>
      </w:r>
      <w:r>
        <w:rPr>
          <w:rFonts w:ascii="Times New Roman" w:eastAsia="Times New Roman"/>
        </w:rPr>
        <w:t>13.4-2</w:t>
      </w:r>
      <w:r>
        <w:t>。</w:t>
      </w:r>
    </w:p>
    <w:p>
      <w:pPr>
        <w:spacing w:after="0"/>
        <w:sectPr>
          <w:pgSz w:w="11910" w:h="16840"/>
          <w:pgMar w:top="1580" w:right="1120" w:bottom="1240" w:left="1180" w:header="0" w:footer="1058" w:gutter="0"/>
        </w:sectPr>
      </w:pPr>
    </w:p>
    <w:p>
      <w:pPr>
        <w:pStyle w:val="6"/>
        <w:rPr>
          <w:sz w:val="20"/>
        </w:rPr>
      </w:pPr>
    </w:p>
    <w:p>
      <w:pPr>
        <w:pStyle w:val="6"/>
        <w:rPr>
          <w:sz w:val="20"/>
        </w:rPr>
      </w:pPr>
    </w:p>
    <w:p>
      <w:pPr>
        <w:pStyle w:val="6"/>
        <w:spacing w:before="1"/>
        <w:rPr>
          <w:sz w:val="14"/>
        </w:rPr>
      </w:pPr>
    </w:p>
    <w:p>
      <w:pPr>
        <w:pStyle w:val="5"/>
        <w:tabs>
          <w:tab w:val="left" w:pos="5959"/>
        </w:tabs>
        <w:spacing w:before="74"/>
        <w:ind w:left="4800"/>
      </w:pPr>
      <w:r>
        <w:t>表</w:t>
      </w:r>
      <w:r>
        <w:rPr>
          <w:spacing w:val="-62"/>
        </w:rPr>
        <w:t xml:space="preserve"> </w:t>
      </w:r>
      <w:r>
        <w:rPr>
          <w:rFonts w:ascii="Times New Roman" w:eastAsia="Times New Roman"/>
        </w:rPr>
        <w:t>13.4-2</w:t>
      </w:r>
      <w:r>
        <w:rPr>
          <w:rFonts w:ascii="Times New Roman" w:eastAsia="Times New Roman"/>
        </w:rPr>
        <w:tab/>
      </w:r>
      <w:r>
        <w:t>本项目污染物排放清单一览表</w:t>
      </w:r>
    </w:p>
    <w:tbl>
      <w:tblPr>
        <w:tblStyle w:val="10"/>
        <w:tblW w:w="0" w:type="auto"/>
        <w:tblInd w:w="1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5"/>
        <w:gridCol w:w="941"/>
        <w:gridCol w:w="619"/>
        <w:gridCol w:w="3788"/>
        <w:gridCol w:w="829"/>
        <w:gridCol w:w="930"/>
        <w:gridCol w:w="870"/>
        <w:gridCol w:w="948"/>
        <w:gridCol w:w="1360"/>
        <w:gridCol w:w="16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595" w:type="dxa"/>
          </w:tcPr>
          <w:p>
            <w:pPr>
              <w:pStyle w:val="14"/>
              <w:spacing w:before="1"/>
              <w:ind w:left="86"/>
              <w:jc w:val="left"/>
              <w:rPr>
                <w:sz w:val="21"/>
              </w:rPr>
            </w:pPr>
            <w:r>
              <w:rPr>
                <w:spacing w:val="-1"/>
                <w:w w:val="95"/>
                <w:sz w:val="21"/>
              </w:rPr>
              <w:t>环境</w:t>
            </w:r>
          </w:p>
          <w:p>
            <w:pPr>
              <w:pStyle w:val="14"/>
              <w:spacing w:before="2" w:line="252" w:lineRule="exact"/>
              <w:ind w:left="86"/>
              <w:jc w:val="left"/>
              <w:rPr>
                <w:sz w:val="21"/>
              </w:rPr>
            </w:pPr>
            <w:r>
              <w:rPr>
                <w:spacing w:val="-1"/>
                <w:w w:val="95"/>
                <w:sz w:val="21"/>
              </w:rPr>
              <w:t>要素</w:t>
            </w:r>
          </w:p>
        </w:tc>
        <w:tc>
          <w:tcPr>
            <w:tcW w:w="1560" w:type="dxa"/>
            <w:gridSpan w:val="2"/>
          </w:tcPr>
          <w:p>
            <w:pPr>
              <w:pStyle w:val="14"/>
              <w:spacing w:before="136"/>
              <w:ind w:left="360"/>
              <w:jc w:val="left"/>
              <w:rPr>
                <w:sz w:val="21"/>
              </w:rPr>
            </w:pPr>
            <w:r>
              <w:rPr>
                <w:sz w:val="21"/>
              </w:rPr>
              <w:t>管理项目</w:t>
            </w:r>
          </w:p>
        </w:tc>
        <w:tc>
          <w:tcPr>
            <w:tcW w:w="3788" w:type="dxa"/>
          </w:tcPr>
          <w:p>
            <w:pPr>
              <w:pStyle w:val="14"/>
              <w:spacing w:before="136"/>
              <w:ind w:left="11" w:right="7"/>
              <w:rPr>
                <w:sz w:val="21"/>
              </w:rPr>
            </w:pPr>
            <w:r>
              <w:rPr>
                <w:sz w:val="21"/>
              </w:rPr>
              <w:t>污染防治措施</w:t>
            </w:r>
          </w:p>
        </w:tc>
        <w:tc>
          <w:tcPr>
            <w:tcW w:w="1759" w:type="dxa"/>
            <w:gridSpan w:val="2"/>
          </w:tcPr>
          <w:p>
            <w:pPr>
              <w:pStyle w:val="14"/>
              <w:spacing w:before="1"/>
              <w:ind w:left="6"/>
              <w:rPr>
                <w:sz w:val="21"/>
              </w:rPr>
            </w:pPr>
            <w:r>
              <w:rPr>
                <w:sz w:val="21"/>
              </w:rPr>
              <w:t>排污口</w:t>
            </w:r>
          </w:p>
          <w:p>
            <w:pPr>
              <w:pStyle w:val="14"/>
              <w:spacing w:before="2" w:line="252" w:lineRule="exact"/>
              <w:ind w:left="6"/>
              <w:rPr>
                <w:sz w:val="21"/>
              </w:rPr>
            </w:pPr>
            <w:r>
              <w:rPr>
                <w:sz w:val="21"/>
              </w:rPr>
              <w:t>信息</w:t>
            </w:r>
          </w:p>
        </w:tc>
        <w:tc>
          <w:tcPr>
            <w:tcW w:w="870" w:type="dxa"/>
          </w:tcPr>
          <w:p>
            <w:pPr>
              <w:pStyle w:val="14"/>
              <w:spacing w:before="16"/>
              <w:ind w:left="99" w:right="91"/>
              <w:rPr>
                <w:sz w:val="21"/>
              </w:rPr>
            </w:pPr>
            <w:r>
              <w:rPr>
                <w:sz w:val="21"/>
              </w:rPr>
              <w:t>产生量</w:t>
            </w:r>
          </w:p>
          <w:p>
            <w:pPr>
              <w:pStyle w:val="14"/>
              <w:spacing w:before="1" w:line="238" w:lineRule="exact"/>
              <w:ind w:left="99" w:right="90"/>
              <w:rPr>
                <w:rFonts w:ascii="Times New Roman"/>
                <w:sz w:val="21"/>
              </w:rPr>
            </w:pPr>
            <w:r>
              <w:rPr>
                <w:rFonts w:ascii="Times New Roman"/>
                <w:sz w:val="21"/>
              </w:rPr>
              <w:t>t/a</w:t>
            </w:r>
          </w:p>
        </w:tc>
        <w:tc>
          <w:tcPr>
            <w:tcW w:w="948" w:type="dxa"/>
          </w:tcPr>
          <w:p>
            <w:pPr>
              <w:pStyle w:val="14"/>
              <w:spacing w:before="136"/>
              <w:ind w:left="9" w:right="4"/>
              <w:rPr>
                <w:rFonts w:ascii="Times New Roman" w:eastAsia="Times New Roman"/>
                <w:sz w:val="21"/>
              </w:rPr>
            </w:pPr>
            <w:r>
              <w:rPr>
                <w:spacing w:val="-15"/>
                <w:sz w:val="21"/>
              </w:rPr>
              <w:t xml:space="preserve">排放量 </w:t>
            </w:r>
            <w:r>
              <w:rPr>
                <w:rFonts w:ascii="Times New Roman" w:eastAsia="Times New Roman"/>
                <w:sz w:val="21"/>
              </w:rPr>
              <w:t>t/a</w:t>
            </w:r>
          </w:p>
        </w:tc>
        <w:tc>
          <w:tcPr>
            <w:tcW w:w="1360" w:type="dxa"/>
          </w:tcPr>
          <w:p>
            <w:pPr>
              <w:pStyle w:val="14"/>
              <w:spacing w:before="16"/>
              <w:ind w:left="238" w:right="231"/>
              <w:rPr>
                <w:sz w:val="21"/>
              </w:rPr>
            </w:pPr>
            <w:r>
              <w:rPr>
                <w:sz w:val="21"/>
              </w:rPr>
              <w:t>排放浓度</w:t>
            </w:r>
          </w:p>
          <w:p>
            <w:pPr>
              <w:pStyle w:val="14"/>
              <w:spacing w:before="1" w:line="238" w:lineRule="exact"/>
              <w:ind w:left="238" w:right="227"/>
              <w:rPr>
                <w:rFonts w:ascii="Times New Roman"/>
                <w:sz w:val="13"/>
              </w:rPr>
            </w:pPr>
            <w:r>
              <w:rPr>
                <w:rFonts w:ascii="Times New Roman"/>
                <w:sz w:val="21"/>
              </w:rPr>
              <w:t>mg/m</w:t>
            </w:r>
            <w:r>
              <w:rPr>
                <w:rFonts w:ascii="Times New Roman"/>
                <w:position w:val="7"/>
                <w:sz w:val="13"/>
              </w:rPr>
              <w:t>3</w:t>
            </w:r>
          </w:p>
        </w:tc>
        <w:tc>
          <w:tcPr>
            <w:tcW w:w="1629" w:type="dxa"/>
          </w:tcPr>
          <w:p>
            <w:pPr>
              <w:pStyle w:val="14"/>
              <w:spacing w:before="136"/>
              <w:ind w:left="8"/>
              <w:rPr>
                <w:rFonts w:ascii="Times New Roman" w:eastAsia="Times New Roman"/>
                <w:sz w:val="21"/>
              </w:rPr>
            </w:pPr>
            <w:r>
              <w:rPr>
                <w:sz w:val="21"/>
              </w:rPr>
              <w:t xml:space="preserve">总量控制指标 </w:t>
            </w:r>
            <w:r>
              <w:rPr>
                <w:rFonts w:ascii="Times New Roman" w:eastAsia="Times New Roman"/>
                <w:sz w:val="21"/>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595" w:type="dxa"/>
            <w:vMerge w:val="restart"/>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6"/>
              <w:jc w:val="left"/>
              <w:rPr>
                <w:b/>
                <w:sz w:val="14"/>
              </w:rPr>
            </w:pPr>
          </w:p>
          <w:p>
            <w:pPr>
              <w:pStyle w:val="14"/>
              <w:spacing w:line="244" w:lineRule="auto"/>
              <w:ind w:left="86" w:right="78"/>
              <w:jc w:val="left"/>
              <w:rPr>
                <w:sz w:val="21"/>
              </w:rPr>
            </w:pPr>
            <w:r>
              <w:rPr>
                <w:sz w:val="21"/>
              </w:rPr>
              <w:t>环境空气</w:t>
            </w:r>
          </w:p>
        </w:tc>
        <w:tc>
          <w:tcPr>
            <w:tcW w:w="941" w:type="dxa"/>
            <w:vMerge w:val="restart"/>
          </w:tcPr>
          <w:p>
            <w:pPr>
              <w:pStyle w:val="14"/>
              <w:jc w:val="left"/>
              <w:rPr>
                <w:b/>
                <w:sz w:val="20"/>
              </w:rPr>
            </w:pPr>
          </w:p>
          <w:p>
            <w:pPr>
              <w:pStyle w:val="14"/>
              <w:jc w:val="left"/>
              <w:rPr>
                <w:b/>
                <w:sz w:val="16"/>
              </w:rPr>
            </w:pPr>
          </w:p>
          <w:p>
            <w:pPr>
              <w:pStyle w:val="14"/>
              <w:ind w:left="153"/>
              <w:jc w:val="left"/>
              <w:rPr>
                <w:sz w:val="21"/>
              </w:rPr>
            </w:pPr>
            <w:r>
              <w:rPr>
                <w:sz w:val="21"/>
              </w:rPr>
              <w:t>热风炉</w:t>
            </w:r>
          </w:p>
        </w:tc>
        <w:tc>
          <w:tcPr>
            <w:tcW w:w="619" w:type="dxa"/>
          </w:tcPr>
          <w:p>
            <w:pPr>
              <w:pStyle w:val="14"/>
              <w:spacing w:before="111"/>
              <w:ind w:left="28"/>
              <w:jc w:val="left"/>
              <w:rPr>
                <w:sz w:val="21"/>
              </w:rPr>
            </w:pPr>
            <w:r>
              <w:rPr>
                <w:sz w:val="21"/>
              </w:rPr>
              <w:t>烟尘</w:t>
            </w:r>
          </w:p>
        </w:tc>
        <w:tc>
          <w:tcPr>
            <w:tcW w:w="3788" w:type="dxa"/>
            <w:vMerge w:val="restart"/>
          </w:tcPr>
          <w:p>
            <w:pPr>
              <w:pStyle w:val="14"/>
              <w:jc w:val="left"/>
              <w:rPr>
                <w:b/>
                <w:sz w:val="20"/>
              </w:rPr>
            </w:pPr>
          </w:p>
          <w:p>
            <w:pPr>
              <w:pStyle w:val="14"/>
              <w:jc w:val="left"/>
              <w:rPr>
                <w:b/>
                <w:sz w:val="16"/>
              </w:rPr>
            </w:pPr>
          </w:p>
          <w:p>
            <w:pPr>
              <w:pStyle w:val="14"/>
              <w:ind w:left="14" w:right="7"/>
              <w:rPr>
                <w:sz w:val="21"/>
              </w:rPr>
            </w:pPr>
            <w:r>
              <w:rPr>
                <w:sz w:val="21"/>
              </w:rPr>
              <w:t>布袋除尘器</w:t>
            </w:r>
          </w:p>
        </w:tc>
        <w:tc>
          <w:tcPr>
            <w:tcW w:w="1759" w:type="dxa"/>
            <w:gridSpan w:val="2"/>
            <w:vMerge w:val="restart"/>
          </w:tcPr>
          <w:p>
            <w:pPr>
              <w:pStyle w:val="14"/>
              <w:spacing w:before="4"/>
              <w:jc w:val="left"/>
              <w:rPr>
                <w:b/>
                <w:sz w:val="25"/>
              </w:rPr>
            </w:pPr>
          </w:p>
          <w:p>
            <w:pPr>
              <w:pStyle w:val="14"/>
              <w:spacing w:line="242" w:lineRule="auto"/>
              <w:ind w:left="325" w:right="26" w:hanging="288"/>
              <w:jc w:val="left"/>
              <w:rPr>
                <w:rFonts w:ascii="Times New Roman" w:eastAsia="Times New Roman"/>
                <w:sz w:val="21"/>
              </w:rPr>
            </w:pPr>
            <w:r>
              <w:rPr>
                <w:spacing w:val="-15"/>
                <w:sz w:val="21"/>
              </w:rPr>
              <w:t xml:space="preserve">烟囱高 </w:t>
            </w:r>
            <w:r>
              <w:rPr>
                <w:rFonts w:ascii="Times New Roman" w:eastAsia="Times New Roman"/>
                <w:sz w:val="21"/>
              </w:rPr>
              <w:t>35m</w:t>
            </w:r>
            <w:r>
              <w:rPr>
                <w:spacing w:val="-5"/>
                <w:sz w:val="21"/>
              </w:rPr>
              <w:t>，出口</w:t>
            </w:r>
            <w:r>
              <w:rPr>
                <w:spacing w:val="-14"/>
                <w:sz w:val="21"/>
              </w:rPr>
              <w:t xml:space="preserve">直径为 </w:t>
            </w:r>
            <w:r>
              <w:rPr>
                <w:rFonts w:ascii="Times New Roman" w:eastAsia="Times New Roman"/>
                <w:sz w:val="21"/>
              </w:rPr>
              <w:t>0.8m</w:t>
            </w:r>
          </w:p>
        </w:tc>
        <w:tc>
          <w:tcPr>
            <w:tcW w:w="870" w:type="dxa"/>
          </w:tcPr>
          <w:p>
            <w:pPr>
              <w:pStyle w:val="14"/>
              <w:spacing w:before="125"/>
              <w:ind w:left="97" w:right="91"/>
              <w:rPr>
                <w:rFonts w:ascii="Times New Roman"/>
                <w:sz w:val="21"/>
              </w:rPr>
            </w:pPr>
            <w:r>
              <w:rPr>
                <w:rFonts w:ascii="Times New Roman"/>
                <w:sz w:val="21"/>
              </w:rPr>
              <w:t>201</w:t>
            </w:r>
          </w:p>
        </w:tc>
        <w:tc>
          <w:tcPr>
            <w:tcW w:w="948" w:type="dxa"/>
          </w:tcPr>
          <w:p>
            <w:pPr>
              <w:pStyle w:val="14"/>
              <w:spacing w:before="125"/>
              <w:ind w:left="9" w:right="1"/>
              <w:rPr>
                <w:rFonts w:ascii="Times New Roman"/>
                <w:sz w:val="21"/>
              </w:rPr>
            </w:pPr>
            <w:r>
              <w:rPr>
                <w:rFonts w:ascii="Times New Roman"/>
                <w:sz w:val="21"/>
              </w:rPr>
              <w:t>0.20</w:t>
            </w:r>
          </w:p>
        </w:tc>
        <w:tc>
          <w:tcPr>
            <w:tcW w:w="1360" w:type="dxa"/>
          </w:tcPr>
          <w:p>
            <w:pPr>
              <w:pStyle w:val="14"/>
              <w:spacing w:before="125"/>
              <w:ind w:left="238" w:right="227"/>
              <w:rPr>
                <w:rFonts w:ascii="Times New Roman"/>
                <w:sz w:val="21"/>
              </w:rPr>
            </w:pPr>
            <w:r>
              <w:rPr>
                <w:rFonts w:ascii="Times New Roman"/>
                <w:sz w:val="21"/>
              </w:rPr>
              <w:t>14.25</w:t>
            </w:r>
          </w:p>
        </w:tc>
        <w:tc>
          <w:tcPr>
            <w:tcW w:w="1629" w:type="dxa"/>
          </w:tcPr>
          <w:p>
            <w:pPr>
              <w:pStyle w:val="14"/>
              <w:spacing w:before="125"/>
              <w:ind w:left="10"/>
              <w:rPr>
                <w:rFonts w:ascii="Times New Roman"/>
                <w:sz w:val="21"/>
              </w:rPr>
            </w:pPr>
            <w:r>
              <w:rPr>
                <w:rFonts w:ascii="Times New Roman"/>
                <w:sz w:val="21"/>
              </w:rPr>
              <w:t>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5" w:type="dxa"/>
            <w:vMerge w:val="continue"/>
            <w:tcBorders>
              <w:top w:val="nil"/>
            </w:tcBorders>
          </w:tcPr>
          <w:p>
            <w:pPr>
              <w:rPr>
                <w:sz w:val="2"/>
                <w:szCs w:val="2"/>
              </w:rPr>
            </w:pPr>
          </w:p>
        </w:tc>
        <w:tc>
          <w:tcPr>
            <w:tcW w:w="941" w:type="dxa"/>
            <w:vMerge w:val="continue"/>
            <w:tcBorders>
              <w:top w:val="nil"/>
            </w:tcBorders>
          </w:tcPr>
          <w:p>
            <w:pPr>
              <w:rPr>
                <w:sz w:val="2"/>
                <w:szCs w:val="2"/>
              </w:rPr>
            </w:pPr>
          </w:p>
        </w:tc>
        <w:tc>
          <w:tcPr>
            <w:tcW w:w="619" w:type="dxa"/>
          </w:tcPr>
          <w:p>
            <w:pPr>
              <w:pStyle w:val="14"/>
              <w:spacing w:before="44"/>
              <w:ind w:left="28"/>
              <w:jc w:val="left"/>
              <w:rPr>
                <w:rFonts w:ascii="Times New Roman"/>
                <w:sz w:val="21"/>
              </w:rPr>
            </w:pPr>
            <w:r>
              <w:rPr>
                <w:rFonts w:ascii="Times New Roman"/>
                <w:position w:val="2"/>
                <w:sz w:val="21"/>
              </w:rPr>
              <w:t>SO</w:t>
            </w:r>
            <w:r>
              <w:rPr>
                <w:rFonts w:ascii="Times New Roman"/>
                <w:position w:val="2"/>
                <w:sz w:val="21"/>
                <w:vertAlign w:val="subscript"/>
              </w:rPr>
              <w:t>2</w:t>
            </w:r>
          </w:p>
        </w:tc>
        <w:tc>
          <w:tcPr>
            <w:tcW w:w="3788" w:type="dxa"/>
            <w:vMerge w:val="continue"/>
            <w:tcBorders>
              <w:top w:val="nil"/>
            </w:tcBorders>
          </w:tcPr>
          <w:p>
            <w:pPr>
              <w:rPr>
                <w:sz w:val="2"/>
                <w:szCs w:val="2"/>
              </w:rPr>
            </w:pPr>
          </w:p>
        </w:tc>
        <w:tc>
          <w:tcPr>
            <w:tcW w:w="1759" w:type="dxa"/>
            <w:gridSpan w:val="2"/>
            <w:vMerge w:val="continue"/>
            <w:tcBorders>
              <w:top w:val="nil"/>
            </w:tcBorders>
          </w:tcPr>
          <w:p>
            <w:pPr>
              <w:rPr>
                <w:sz w:val="2"/>
                <w:szCs w:val="2"/>
              </w:rPr>
            </w:pPr>
          </w:p>
        </w:tc>
        <w:tc>
          <w:tcPr>
            <w:tcW w:w="870" w:type="dxa"/>
          </w:tcPr>
          <w:p>
            <w:pPr>
              <w:pStyle w:val="14"/>
              <w:spacing w:before="47"/>
              <w:ind w:left="99" w:right="88"/>
              <w:rPr>
                <w:rFonts w:ascii="Times New Roman"/>
                <w:sz w:val="21"/>
              </w:rPr>
            </w:pPr>
            <w:r>
              <w:rPr>
                <w:rFonts w:ascii="Times New Roman"/>
                <w:sz w:val="21"/>
              </w:rPr>
              <w:t>0.32</w:t>
            </w:r>
          </w:p>
        </w:tc>
        <w:tc>
          <w:tcPr>
            <w:tcW w:w="948" w:type="dxa"/>
          </w:tcPr>
          <w:p>
            <w:pPr>
              <w:pStyle w:val="14"/>
              <w:spacing w:before="47"/>
              <w:ind w:left="9" w:right="1"/>
              <w:rPr>
                <w:rFonts w:ascii="Times New Roman"/>
                <w:sz w:val="21"/>
              </w:rPr>
            </w:pPr>
            <w:r>
              <w:rPr>
                <w:rFonts w:ascii="Times New Roman"/>
                <w:sz w:val="21"/>
              </w:rPr>
              <w:t>0.32</w:t>
            </w:r>
          </w:p>
        </w:tc>
        <w:tc>
          <w:tcPr>
            <w:tcW w:w="1360" w:type="dxa"/>
          </w:tcPr>
          <w:p>
            <w:pPr>
              <w:pStyle w:val="14"/>
              <w:spacing w:before="47"/>
              <w:ind w:left="238" w:right="227"/>
              <w:rPr>
                <w:rFonts w:ascii="Times New Roman"/>
                <w:sz w:val="21"/>
              </w:rPr>
            </w:pPr>
            <w:r>
              <w:rPr>
                <w:rFonts w:ascii="Times New Roman"/>
                <w:sz w:val="21"/>
              </w:rPr>
              <w:t>22.84</w:t>
            </w:r>
          </w:p>
        </w:tc>
        <w:tc>
          <w:tcPr>
            <w:tcW w:w="1629" w:type="dxa"/>
          </w:tcPr>
          <w:p>
            <w:pPr>
              <w:pStyle w:val="14"/>
              <w:spacing w:before="47"/>
              <w:ind w:left="10"/>
              <w:rPr>
                <w:rFonts w:ascii="Times New Roman"/>
                <w:sz w:val="21"/>
              </w:rPr>
            </w:pPr>
            <w:r>
              <w:rPr>
                <w:rFonts w:ascii="Times New Roman"/>
                <w:sz w:val="21"/>
              </w:rPr>
              <w:t>0.32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5" w:type="dxa"/>
            <w:vMerge w:val="continue"/>
            <w:tcBorders>
              <w:top w:val="nil"/>
            </w:tcBorders>
          </w:tcPr>
          <w:p>
            <w:pPr>
              <w:rPr>
                <w:sz w:val="2"/>
                <w:szCs w:val="2"/>
              </w:rPr>
            </w:pPr>
          </w:p>
        </w:tc>
        <w:tc>
          <w:tcPr>
            <w:tcW w:w="941" w:type="dxa"/>
            <w:vMerge w:val="continue"/>
            <w:tcBorders>
              <w:top w:val="nil"/>
            </w:tcBorders>
          </w:tcPr>
          <w:p>
            <w:pPr>
              <w:rPr>
                <w:sz w:val="2"/>
                <w:szCs w:val="2"/>
              </w:rPr>
            </w:pPr>
          </w:p>
        </w:tc>
        <w:tc>
          <w:tcPr>
            <w:tcW w:w="619" w:type="dxa"/>
          </w:tcPr>
          <w:p>
            <w:pPr>
              <w:pStyle w:val="14"/>
              <w:spacing w:before="48"/>
              <w:ind w:left="28"/>
              <w:jc w:val="left"/>
              <w:rPr>
                <w:rFonts w:ascii="Times New Roman"/>
                <w:sz w:val="21"/>
              </w:rPr>
            </w:pPr>
            <w:r>
              <w:rPr>
                <w:rFonts w:ascii="Times New Roman"/>
                <w:sz w:val="21"/>
              </w:rPr>
              <w:t>NOx</w:t>
            </w:r>
          </w:p>
        </w:tc>
        <w:tc>
          <w:tcPr>
            <w:tcW w:w="3788" w:type="dxa"/>
            <w:vMerge w:val="continue"/>
            <w:tcBorders>
              <w:top w:val="nil"/>
            </w:tcBorders>
          </w:tcPr>
          <w:p>
            <w:pPr>
              <w:rPr>
                <w:sz w:val="2"/>
                <w:szCs w:val="2"/>
              </w:rPr>
            </w:pPr>
          </w:p>
        </w:tc>
        <w:tc>
          <w:tcPr>
            <w:tcW w:w="1759" w:type="dxa"/>
            <w:gridSpan w:val="2"/>
            <w:vMerge w:val="continue"/>
            <w:tcBorders>
              <w:top w:val="nil"/>
            </w:tcBorders>
          </w:tcPr>
          <w:p>
            <w:pPr>
              <w:rPr>
                <w:sz w:val="2"/>
                <w:szCs w:val="2"/>
              </w:rPr>
            </w:pPr>
          </w:p>
        </w:tc>
        <w:tc>
          <w:tcPr>
            <w:tcW w:w="870" w:type="dxa"/>
          </w:tcPr>
          <w:p>
            <w:pPr>
              <w:pStyle w:val="14"/>
              <w:spacing w:before="48"/>
              <w:ind w:left="97" w:right="91"/>
              <w:rPr>
                <w:rFonts w:ascii="Times New Roman"/>
                <w:sz w:val="21"/>
              </w:rPr>
            </w:pPr>
            <w:r>
              <w:rPr>
                <w:rFonts w:ascii="Times New Roman"/>
                <w:sz w:val="21"/>
              </w:rPr>
              <w:t>200</w:t>
            </w:r>
          </w:p>
        </w:tc>
        <w:tc>
          <w:tcPr>
            <w:tcW w:w="948" w:type="dxa"/>
          </w:tcPr>
          <w:p>
            <w:pPr>
              <w:pStyle w:val="14"/>
              <w:spacing w:before="48"/>
              <w:ind w:left="9" w:right="1"/>
              <w:rPr>
                <w:rFonts w:ascii="Times New Roman"/>
                <w:sz w:val="21"/>
              </w:rPr>
            </w:pPr>
            <w:r>
              <w:rPr>
                <w:rFonts w:ascii="Times New Roman"/>
                <w:sz w:val="21"/>
              </w:rPr>
              <w:t>2.83</w:t>
            </w:r>
          </w:p>
        </w:tc>
        <w:tc>
          <w:tcPr>
            <w:tcW w:w="1360" w:type="dxa"/>
          </w:tcPr>
          <w:p>
            <w:pPr>
              <w:pStyle w:val="14"/>
              <w:spacing w:before="48"/>
              <w:ind w:left="238" w:right="230"/>
              <w:rPr>
                <w:rFonts w:ascii="Times New Roman"/>
                <w:sz w:val="21"/>
              </w:rPr>
            </w:pPr>
            <w:r>
              <w:rPr>
                <w:rFonts w:ascii="Times New Roman"/>
                <w:sz w:val="21"/>
              </w:rPr>
              <w:t>200</w:t>
            </w:r>
          </w:p>
        </w:tc>
        <w:tc>
          <w:tcPr>
            <w:tcW w:w="1629" w:type="dxa"/>
          </w:tcPr>
          <w:p>
            <w:pPr>
              <w:pStyle w:val="14"/>
              <w:spacing w:before="48"/>
              <w:ind w:left="10"/>
              <w:rPr>
                <w:rFonts w:ascii="Times New Roman"/>
                <w:sz w:val="21"/>
              </w:rPr>
            </w:pPr>
            <w:r>
              <w:rPr>
                <w:rFonts w:ascii="Times New Roman"/>
                <w:sz w:val="21"/>
              </w:rPr>
              <w:t>2.83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5" w:type="dxa"/>
            <w:vMerge w:val="continue"/>
            <w:tcBorders>
              <w:top w:val="nil"/>
            </w:tcBorders>
          </w:tcPr>
          <w:p>
            <w:pPr>
              <w:rPr>
                <w:sz w:val="2"/>
                <w:szCs w:val="2"/>
              </w:rPr>
            </w:pPr>
          </w:p>
        </w:tc>
        <w:tc>
          <w:tcPr>
            <w:tcW w:w="941" w:type="dxa"/>
            <w:vMerge w:val="restart"/>
          </w:tcPr>
          <w:p>
            <w:pPr>
              <w:pStyle w:val="14"/>
              <w:spacing w:before="10"/>
              <w:jc w:val="left"/>
              <w:rPr>
                <w:b/>
                <w:sz w:val="29"/>
              </w:rPr>
            </w:pPr>
          </w:p>
          <w:p>
            <w:pPr>
              <w:pStyle w:val="14"/>
              <w:spacing w:before="1"/>
              <w:ind w:left="259"/>
              <w:jc w:val="left"/>
              <w:rPr>
                <w:sz w:val="21"/>
              </w:rPr>
            </w:pPr>
            <w:r>
              <w:rPr>
                <w:sz w:val="21"/>
              </w:rPr>
              <w:t>锅炉</w:t>
            </w:r>
          </w:p>
        </w:tc>
        <w:tc>
          <w:tcPr>
            <w:tcW w:w="619" w:type="dxa"/>
          </w:tcPr>
          <w:p>
            <w:pPr>
              <w:pStyle w:val="14"/>
              <w:spacing w:before="32"/>
              <w:ind w:left="28"/>
              <w:jc w:val="left"/>
              <w:rPr>
                <w:sz w:val="21"/>
              </w:rPr>
            </w:pPr>
            <w:r>
              <w:rPr>
                <w:sz w:val="21"/>
              </w:rPr>
              <w:t>烟尘</w:t>
            </w:r>
          </w:p>
        </w:tc>
        <w:tc>
          <w:tcPr>
            <w:tcW w:w="3788" w:type="dxa"/>
            <w:vMerge w:val="restart"/>
          </w:tcPr>
          <w:p>
            <w:pPr>
              <w:pStyle w:val="14"/>
              <w:spacing w:before="10"/>
              <w:jc w:val="left"/>
              <w:rPr>
                <w:b/>
                <w:sz w:val="29"/>
              </w:rPr>
            </w:pPr>
          </w:p>
          <w:p>
            <w:pPr>
              <w:pStyle w:val="14"/>
              <w:spacing w:before="1"/>
              <w:ind w:left="14" w:right="7"/>
              <w:rPr>
                <w:sz w:val="21"/>
              </w:rPr>
            </w:pPr>
            <w:r>
              <w:rPr>
                <w:sz w:val="21"/>
              </w:rPr>
              <w:t>布袋除尘器</w:t>
            </w:r>
          </w:p>
        </w:tc>
        <w:tc>
          <w:tcPr>
            <w:tcW w:w="1759" w:type="dxa"/>
            <w:gridSpan w:val="2"/>
            <w:vMerge w:val="restart"/>
          </w:tcPr>
          <w:p>
            <w:pPr>
              <w:pStyle w:val="14"/>
              <w:spacing w:before="4"/>
              <w:jc w:val="left"/>
              <w:rPr>
                <w:b/>
                <w:sz w:val="19"/>
              </w:rPr>
            </w:pPr>
          </w:p>
          <w:p>
            <w:pPr>
              <w:pStyle w:val="14"/>
              <w:spacing w:line="242" w:lineRule="auto"/>
              <w:ind w:left="325" w:right="26" w:hanging="288"/>
              <w:jc w:val="left"/>
              <w:rPr>
                <w:rFonts w:ascii="Times New Roman" w:eastAsia="Times New Roman"/>
                <w:sz w:val="21"/>
              </w:rPr>
            </w:pPr>
            <w:r>
              <w:rPr>
                <w:spacing w:val="-15"/>
                <w:sz w:val="21"/>
              </w:rPr>
              <w:t xml:space="preserve">烟囱高 </w:t>
            </w:r>
            <w:r>
              <w:rPr>
                <w:rFonts w:ascii="Times New Roman" w:eastAsia="Times New Roman"/>
                <w:sz w:val="21"/>
              </w:rPr>
              <w:t>35m</w:t>
            </w:r>
            <w:r>
              <w:rPr>
                <w:spacing w:val="-5"/>
                <w:sz w:val="21"/>
              </w:rPr>
              <w:t>，出口</w:t>
            </w:r>
            <w:r>
              <w:rPr>
                <w:spacing w:val="-14"/>
                <w:sz w:val="21"/>
              </w:rPr>
              <w:t xml:space="preserve">直径为 </w:t>
            </w:r>
            <w:r>
              <w:rPr>
                <w:rFonts w:ascii="Times New Roman" w:eastAsia="Times New Roman"/>
                <w:sz w:val="21"/>
              </w:rPr>
              <w:t>0.8m</w:t>
            </w:r>
          </w:p>
        </w:tc>
        <w:tc>
          <w:tcPr>
            <w:tcW w:w="870" w:type="dxa"/>
          </w:tcPr>
          <w:p>
            <w:pPr>
              <w:pStyle w:val="14"/>
              <w:spacing w:before="48"/>
              <w:ind w:left="99" w:right="90"/>
              <w:rPr>
                <w:rFonts w:ascii="Times New Roman"/>
                <w:sz w:val="21"/>
              </w:rPr>
            </w:pPr>
            <w:r>
              <w:rPr>
                <w:rFonts w:ascii="Times New Roman"/>
                <w:sz w:val="21"/>
              </w:rPr>
              <w:t>110</w:t>
            </w:r>
          </w:p>
        </w:tc>
        <w:tc>
          <w:tcPr>
            <w:tcW w:w="948" w:type="dxa"/>
          </w:tcPr>
          <w:p>
            <w:pPr>
              <w:pStyle w:val="14"/>
              <w:spacing w:before="48"/>
              <w:ind w:left="16" w:right="4"/>
              <w:rPr>
                <w:rFonts w:ascii="Times New Roman"/>
                <w:sz w:val="21"/>
              </w:rPr>
            </w:pPr>
            <w:r>
              <w:rPr>
                <w:rFonts w:ascii="Times New Roman"/>
                <w:sz w:val="21"/>
              </w:rPr>
              <w:t>0.11</w:t>
            </w:r>
          </w:p>
        </w:tc>
        <w:tc>
          <w:tcPr>
            <w:tcW w:w="1360" w:type="dxa"/>
          </w:tcPr>
          <w:p>
            <w:pPr>
              <w:pStyle w:val="14"/>
              <w:spacing w:before="48"/>
              <w:ind w:left="238" w:right="227"/>
              <w:rPr>
                <w:rFonts w:ascii="Times New Roman"/>
                <w:sz w:val="21"/>
              </w:rPr>
            </w:pPr>
            <w:r>
              <w:rPr>
                <w:rFonts w:ascii="Times New Roman"/>
                <w:sz w:val="21"/>
              </w:rPr>
              <w:t>14.25</w:t>
            </w:r>
          </w:p>
        </w:tc>
        <w:tc>
          <w:tcPr>
            <w:tcW w:w="1629" w:type="dxa"/>
          </w:tcPr>
          <w:p>
            <w:pPr>
              <w:pStyle w:val="14"/>
              <w:spacing w:before="48"/>
              <w:ind w:left="12"/>
              <w:rPr>
                <w:rFonts w:ascii="Times New Roman"/>
                <w:sz w:val="21"/>
              </w:rPr>
            </w:pPr>
            <w:r>
              <w:rPr>
                <w:rFonts w:ascii="Times New Roman"/>
                <w:sz w:val="21"/>
              </w:rPr>
              <w:t>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5" w:type="dxa"/>
            <w:vMerge w:val="continue"/>
            <w:tcBorders>
              <w:top w:val="nil"/>
            </w:tcBorders>
          </w:tcPr>
          <w:p>
            <w:pPr>
              <w:rPr>
                <w:sz w:val="2"/>
                <w:szCs w:val="2"/>
              </w:rPr>
            </w:pPr>
          </w:p>
        </w:tc>
        <w:tc>
          <w:tcPr>
            <w:tcW w:w="941" w:type="dxa"/>
            <w:vMerge w:val="continue"/>
            <w:tcBorders>
              <w:top w:val="nil"/>
            </w:tcBorders>
          </w:tcPr>
          <w:p>
            <w:pPr>
              <w:rPr>
                <w:sz w:val="2"/>
                <w:szCs w:val="2"/>
              </w:rPr>
            </w:pPr>
          </w:p>
        </w:tc>
        <w:tc>
          <w:tcPr>
            <w:tcW w:w="619" w:type="dxa"/>
          </w:tcPr>
          <w:p>
            <w:pPr>
              <w:pStyle w:val="14"/>
              <w:spacing w:before="45"/>
              <w:ind w:left="28"/>
              <w:jc w:val="left"/>
              <w:rPr>
                <w:rFonts w:ascii="Times New Roman"/>
                <w:sz w:val="21"/>
              </w:rPr>
            </w:pPr>
            <w:r>
              <w:rPr>
                <w:rFonts w:ascii="Times New Roman"/>
                <w:position w:val="2"/>
                <w:sz w:val="21"/>
              </w:rPr>
              <w:t>SO</w:t>
            </w:r>
            <w:r>
              <w:rPr>
                <w:rFonts w:ascii="Times New Roman"/>
                <w:position w:val="2"/>
                <w:sz w:val="21"/>
                <w:vertAlign w:val="subscript"/>
              </w:rPr>
              <w:t>2</w:t>
            </w:r>
          </w:p>
        </w:tc>
        <w:tc>
          <w:tcPr>
            <w:tcW w:w="3788" w:type="dxa"/>
            <w:vMerge w:val="continue"/>
            <w:tcBorders>
              <w:top w:val="nil"/>
            </w:tcBorders>
          </w:tcPr>
          <w:p>
            <w:pPr>
              <w:rPr>
                <w:sz w:val="2"/>
                <w:szCs w:val="2"/>
              </w:rPr>
            </w:pPr>
          </w:p>
        </w:tc>
        <w:tc>
          <w:tcPr>
            <w:tcW w:w="1759" w:type="dxa"/>
            <w:gridSpan w:val="2"/>
            <w:vMerge w:val="continue"/>
            <w:tcBorders>
              <w:top w:val="nil"/>
            </w:tcBorders>
          </w:tcPr>
          <w:p>
            <w:pPr>
              <w:rPr>
                <w:sz w:val="2"/>
                <w:szCs w:val="2"/>
              </w:rPr>
            </w:pPr>
          </w:p>
        </w:tc>
        <w:tc>
          <w:tcPr>
            <w:tcW w:w="870" w:type="dxa"/>
          </w:tcPr>
          <w:p>
            <w:pPr>
              <w:pStyle w:val="14"/>
              <w:spacing w:before="48"/>
              <w:ind w:left="99" w:right="88"/>
              <w:rPr>
                <w:rFonts w:ascii="Times New Roman"/>
                <w:sz w:val="21"/>
              </w:rPr>
            </w:pPr>
            <w:r>
              <w:rPr>
                <w:rFonts w:ascii="Times New Roman"/>
                <w:sz w:val="21"/>
              </w:rPr>
              <w:t>0.17</w:t>
            </w:r>
          </w:p>
        </w:tc>
        <w:tc>
          <w:tcPr>
            <w:tcW w:w="948" w:type="dxa"/>
          </w:tcPr>
          <w:p>
            <w:pPr>
              <w:pStyle w:val="14"/>
              <w:spacing w:before="48"/>
              <w:ind w:left="9" w:right="1"/>
              <w:rPr>
                <w:rFonts w:ascii="Times New Roman"/>
                <w:sz w:val="21"/>
              </w:rPr>
            </w:pPr>
            <w:r>
              <w:rPr>
                <w:rFonts w:ascii="Times New Roman"/>
                <w:sz w:val="21"/>
              </w:rPr>
              <w:t>0.17</w:t>
            </w:r>
          </w:p>
        </w:tc>
        <w:tc>
          <w:tcPr>
            <w:tcW w:w="1360" w:type="dxa"/>
          </w:tcPr>
          <w:p>
            <w:pPr>
              <w:pStyle w:val="14"/>
              <w:spacing w:before="48"/>
              <w:ind w:left="238" w:right="227"/>
              <w:rPr>
                <w:rFonts w:ascii="Times New Roman"/>
                <w:sz w:val="21"/>
              </w:rPr>
            </w:pPr>
            <w:r>
              <w:rPr>
                <w:rFonts w:ascii="Times New Roman"/>
                <w:sz w:val="21"/>
              </w:rPr>
              <w:t>22.84</w:t>
            </w:r>
          </w:p>
        </w:tc>
        <w:tc>
          <w:tcPr>
            <w:tcW w:w="1629" w:type="dxa"/>
          </w:tcPr>
          <w:p>
            <w:pPr>
              <w:pStyle w:val="14"/>
              <w:spacing w:before="48"/>
              <w:ind w:left="10"/>
              <w:rPr>
                <w:rFonts w:ascii="Times New Roman"/>
                <w:sz w:val="21"/>
              </w:rPr>
            </w:pPr>
            <w:r>
              <w:rPr>
                <w:rFonts w:ascii="Times New Roman"/>
                <w:sz w:val="21"/>
              </w:rPr>
              <w:t>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5" w:type="dxa"/>
            <w:vMerge w:val="continue"/>
            <w:tcBorders>
              <w:top w:val="nil"/>
            </w:tcBorders>
          </w:tcPr>
          <w:p>
            <w:pPr>
              <w:rPr>
                <w:sz w:val="2"/>
                <w:szCs w:val="2"/>
              </w:rPr>
            </w:pPr>
          </w:p>
        </w:tc>
        <w:tc>
          <w:tcPr>
            <w:tcW w:w="941" w:type="dxa"/>
            <w:vMerge w:val="continue"/>
            <w:tcBorders>
              <w:top w:val="nil"/>
            </w:tcBorders>
          </w:tcPr>
          <w:p>
            <w:pPr>
              <w:rPr>
                <w:sz w:val="2"/>
                <w:szCs w:val="2"/>
              </w:rPr>
            </w:pPr>
          </w:p>
        </w:tc>
        <w:tc>
          <w:tcPr>
            <w:tcW w:w="619" w:type="dxa"/>
          </w:tcPr>
          <w:p>
            <w:pPr>
              <w:pStyle w:val="14"/>
              <w:spacing w:before="49"/>
              <w:ind w:left="28"/>
              <w:jc w:val="left"/>
              <w:rPr>
                <w:rFonts w:ascii="Times New Roman"/>
                <w:sz w:val="21"/>
              </w:rPr>
            </w:pPr>
            <w:r>
              <w:rPr>
                <w:rFonts w:ascii="Times New Roman"/>
                <w:sz w:val="21"/>
              </w:rPr>
              <w:t>NOx</w:t>
            </w:r>
          </w:p>
        </w:tc>
        <w:tc>
          <w:tcPr>
            <w:tcW w:w="3788" w:type="dxa"/>
            <w:vMerge w:val="continue"/>
            <w:tcBorders>
              <w:top w:val="nil"/>
            </w:tcBorders>
          </w:tcPr>
          <w:p>
            <w:pPr>
              <w:rPr>
                <w:sz w:val="2"/>
                <w:szCs w:val="2"/>
              </w:rPr>
            </w:pPr>
          </w:p>
        </w:tc>
        <w:tc>
          <w:tcPr>
            <w:tcW w:w="1759" w:type="dxa"/>
            <w:gridSpan w:val="2"/>
            <w:vMerge w:val="continue"/>
            <w:tcBorders>
              <w:top w:val="nil"/>
            </w:tcBorders>
          </w:tcPr>
          <w:p>
            <w:pPr>
              <w:rPr>
                <w:sz w:val="2"/>
                <w:szCs w:val="2"/>
              </w:rPr>
            </w:pPr>
          </w:p>
        </w:tc>
        <w:tc>
          <w:tcPr>
            <w:tcW w:w="870" w:type="dxa"/>
          </w:tcPr>
          <w:p>
            <w:pPr>
              <w:pStyle w:val="14"/>
              <w:spacing w:before="49"/>
              <w:ind w:left="99" w:right="88"/>
              <w:rPr>
                <w:rFonts w:ascii="Times New Roman"/>
                <w:sz w:val="21"/>
              </w:rPr>
            </w:pPr>
            <w:r>
              <w:rPr>
                <w:rFonts w:ascii="Times New Roman"/>
                <w:sz w:val="21"/>
              </w:rPr>
              <w:t>1.52</w:t>
            </w:r>
          </w:p>
        </w:tc>
        <w:tc>
          <w:tcPr>
            <w:tcW w:w="948" w:type="dxa"/>
          </w:tcPr>
          <w:p>
            <w:pPr>
              <w:pStyle w:val="14"/>
              <w:spacing w:before="49"/>
              <w:ind w:left="9" w:right="1"/>
              <w:rPr>
                <w:rFonts w:ascii="Times New Roman"/>
                <w:sz w:val="21"/>
              </w:rPr>
            </w:pPr>
            <w:r>
              <w:rPr>
                <w:rFonts w:ascii="Times New Roman"/>
                <w:sz w:val="21"/>
              </w:rPr>
              <w:t>1.52</w:t>
            </w:r>
          </w:p>
        </w:tc>
        <w:tc>
          <w:tcPr>
            <w:tcW w:w="1360" w:type="dxa"/>
          </w:tcPr>
          <w:p>
            <w:pPr>
              <w:pStyle w:val="14"/>
              <w:spacing w:before="49"/>
              <w:ind w:left="238" w:right="230"/>
              <w:rPr>
                <w:rFonts w:ascii="Times New Roman"/>
                <w:sz w:val="21"/>
              </w:rPr>
            </w:pPr>
            <w:r>
              <w:rPr>
                <w:rFonts w:ascii="Times New Roman"/>
                <w:sz w:val="21"/>
              </w:rPr>
              <w:t>200</w:t>
            </w:r>
          </w:p>
        </w:tc>
        <w:tc>
          <w:tcPr>
            <w:tcW w:w="1629" w:type="dxa"/>
          </w:tcPr>
          <w:p>
            <w:pPr>
              <w:pStyle w:val="14"/>
              <w:spacing w:before="49"/>
              <w:ind w:left="10"/>
              <w:rPr>
                <w:rFonts w:ascii="Times New Roman"/>
                <w:sz w:val="21"/>
              </w:rPr>
            </w:pPr>
            <w:r>
              <w:rPr>
                <w:rFonts w:ascii="Times New Roman"/>
                <w:sz w:val="21"/>
              </w:rPr>
              <w:t>1.52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595" w:type="dxa"/>
            <w:vMerge w:val="continue"/>
            <w:tcBorders>
              <w:top w:val="nil"/>
            </w:tcBorders>
          </w:tcPr>
          <w:p>
            <w:pPr>
              <w:rPr>
                <w:sz w:val="2"/>
                <w:szCs w:val="2"/>
              </w:rPr>
            </w:pPr>
          </w:p>
        </w:tc>
        <w:tc>
          <w:tcPr>
            <w:tcW w:w="941" w:type="dxa"/>
          </w:tcPr>
          <w:p>
            <w:pPr>
              <w:pStyle w:val="14"/>
              <w:spacing w:before="134"/>
              <w:ind w:left="27" w:right="22"/>
              <w:rPr>
                <w:sz w:val="21"/>
              </w:rPr>
            </w:pPr>
            <w:r>
              <w:rPr>
                <w:sz w:val="21"/>
              </w:rPr>
              <w:t>食堂</w:t>
            </w:r>
          </w:p>
        </w:tc>
        <w:tc>
          <w:tcPr>
            <w:tcW w:w="619" w:type="dxa"/>
          </w:tcPr>
          <w:p>
            <w:pPr>
              <w:pStyle w:val="14"/>
              <w:spacing w:line="269" w:lineRule="exact"/>
              <w:ind w:left="98"/>
              <w:jc w:val="left"/>
              <w:rPr>
                <w:sz w:val="21"/>
              </w:rPr>
            </w:pPr>
            <w:r>
              <w:rPr>
                <w:spacing w:val="-1"/>
                <w:w w:val="95"/>
                <w:sz w:val="21"/>
              </w:rPr>
              <w:t>油烟</w:t>
            </w:r>
          </w:p>
          <w:p>
            <w:pPr>
              <w:pStyle w:val="14"/>
              <w:spacing w:before="4" w:line="252" w:lineRule="exact"/>
              <w:ind w:left="98"/>
              <w:jc w:val="left"/>
              <w:rPr>
                <w:sz w:val="21"/>
              </w:rPr>
            </w:pPr>
            <w:r>
              <w:rPr>
                <w:spacing w:val="-1"/>
                <w:w w:val="95"/>
                <w:sz w:val="21"/>
              </w:rPr>
              <w:t>废气</w:t>
            </w:r>
          </w:p>
        </w:tc>
        <w:tc>
          <w:tcPr>
            <w:tcW w:w="3788" w:type="dxa"/>
          </w:tcPr>
          <w:p>
            <w:pPr>
              <w:pStyle w:val="14"/>
              <w:spacing w:line="269" w:lineRule="exact"/>
              <w:ind w:left="16" w:right="7"/>
              <w:rPr>
                <w:sz w:val="21"/>
              </w:rPr>
            </w:pPr>
            <w:r>
              <w:rPr>
                <w:spacing w:val="-8"/>
                <w:sz w:val="21"/>
              </w:rPr>
              <w:t xml:space="preserve">安装效率不低于 </w:t>
            </w:r>
            <w:r>
              <w:rPr>
                <w:rFonts w:ascii="Times New Roman" w:eastAsia="Times New Roman"/>
                <w:sz w:val="21"/>
              </w:rPr>
              <w:t>85%</w:t>
            </w:r>
            <w:r>
              <w:rPr>
                <w:spacing w:val="-8"/>
                <w:sz w:val="21"/>
              </w:rPr>
              <w:t>的油烟净化装置，油</w:t>
            </w:r>
          </w:p>
          <w:p>
            <w:pPr>
              <w:pStyle w:val="14"/>
              <w:spacing w:before="4" w:line="252" w:lineRule="exact"/>
              <w:ind w:left="14" w:right="7"/>
              <w:rPr>
                <w:sz w:val="21"/>
              </w:rPr>
            </w:pPr>
            <w:r>
              <w:rPr>
                <w:sz w:val="21"/>
              </w:rPr>
              <w:t>烟经专用烟道引至屋顶排放</w:t>
            </w:r>
          </w:p>
        </w:tc>
        <w:tc>
          <w:tcPr>
            <w:tcW w:w="1759" w:type="dxa"/>
            <w:gridSpan w:val="2"/>
          </w:tcPr>
          <w:p>
            <w:pPr>
              <w:pStyle w:val="14"/>
              <w:spacing w:line="269" w:lineRule="exact"/>
              <w:ind w:left="6"/>
              <w:rPr>
                <w:sz w:val="21"/>
              </w:rPr>
            </w:pPr>
            <w:r>
              <w:rPr>
                <w:sz w:val="21"/>
              </w:rPr>
              <w:t>屋顶排</w:t>
            </w:r>
          </w:p>
          <w:p>
            <w:pPr>
              <w:pStyle w:val="14"/>
              <w:spacing w:before="4" w:line="252" w:lineRule="exact"/>
              <w:ind w:left="6"/>
              <w:rPr>
                <w:sz w:val="21"/>
              </w:rPr>
            </w:pPr>
            <w:r>
              <w:rPr>
                <w:sz w:val="21"/>
              </w:rPr>
              <w:t>气筒</w:t>
            </w:r>
          </w:p>
        </w:tc>
        <w:tc>
          <w:tcPr>
            <w:tcW w:w="870" w:type="dxa"/>
          </w:tcPr>
          <w:p>
            <w:pPr>
              <w:pStyle w:val="14"/>
              <w:spacing w:before="150"/>
              <w:ind w:left="99" w:right="88"/>
              <w:rPr>
                <w:rFonts w:ascii="Times New Roman"/>
                <w:sz w:val="21"/>
              </w:rPr>
            </w:pPr>
            <w:r>
              <w:rPr>
                <w:rFonts w:ascii="Times New Roman"/>
                <w:sz w:val="21"/>
              </w:rPr>
              <w:t>0.185</w:t>
            </w:r>
          </w:p>
        </w:tc>
        <w:tc>
          <w:tcPr>
            <w:tcW w:w="948" w:type="dxa"/>
          </w:tcPr>
          <w:p>
            <w:pPr>
              <w:pStyle w:val="14"/>
              <w:spacing w:before="150"/>
              <w:ind w:left="9" w:right="4"/>
              <w:rPr>
                <w:rFonts w:ascii="Times New Roman"/>
                <w:sz w:val="21"/>
              </w:rPr>
            </w:pPr>
            <w:r>
              <w:rPr>
                <w:rFonts w:ascii="Times New Roman"/>
                <w:sz w:val="21"/>
              </w:rPr>
              <w:t>27.67kg/a</w:t>
            </w:r>
          </w:p>
        </w:tc>
        <w:tc>
          <w:tcPr>
            <w:tcW w:w="1360" w:type="dxa"/>
          </w:tcPr>
          <w:p>
            <w:pPr>
              <w:pStyle w:val="14"/>
              <w:spacing w:before="150"/>
              <w:ind w:left="238" w:right="230"/>
              <w:rPr>
                <w:rFonts w:ascii="Times New Roman"/>
                <w:sz w:val="21"/>
              </w:rPr>
            </w:pPr>
            <w:r>
              <w:rPr>
                <w:rFonts w:ascii="Times New Roman"/>
                <w:sz w:val="21"/>
              </w:rPr>
              <w:t>1.31</w:t>
            </w:r>
          </w:p>
        </w:tc>
        <w:tc>
          <w:tcPr>
            <w:tcW w:w="1629" w:type="dxa"/>
          </w:tcPr>
          <w:p>
            <w:pPr>
              <w:pStyle w:val="14"/>
              <w:spacing w:before="150"/>
              <w:ind w:left="7"/>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595" w:type="dxa"/>
            <w:vMerge w:val="continue"/>
            <w:tcBorders>
              <w:top w:val="nil"/>
            </w:tcBorders>
          </w:tcPr>
          <w:p>
            <w:pPr>
              <w:rPr>
                <w:sz w:val="2"/>
                <w:szCs w:val="2"/>
              </w:rPr>
            </w:pPr>
          </w:p>
        </w:tc>
        <w:tc>
          <w:tcPr>
            <w:tcW w:w="941" w:type="dxa"/>
          </w:tcPr>
          <w:p>
            <w:pPr>
              <w:pStyle w:val="14"/>
              <w:spacing w:line="268" w:lineRule="exact"/>
              <w:ind w:left="29" w:right="22"/>
              <w:rPr>
                <w:sz w:val="21"/>
              </w:rPr>
            </w:pPr>
            <w:r>
              <w:rPr>
                <w:sz w:val="21"/>
              </w:rPr>
              <w:t>原煤转载</w:t>
            </w:r>
          </w:p>
          <w:p>
            <w:pPr>
              <w:pStyle w:val="14"/>
              <w:spacing w:before="4" w:line="251" w:lineRule="exact"/>
              <w:ind w:left="27" w:right="22"/>
              <w:rPr>
                <w:sz w:val="21"/>
              </w:rPr>
            </w:pPr>
            <w:r>
              <w:rPr>
                <w:sz w:val="21"/>
              </w:rPr>
              <w:t>储运</w:t>
            </w:r>
          </w:p>
        </w:tc>
        <w:tc>
          <w:tcPr>
            <w:tcW w:w="619" w:type="dxa"/>
          </w:tcPr>
          <w:p>
            <w:pPr>
              <w:pStyle w:val="14"/>
              <w:spacing w:line="268" w:lineRule="exact"/>
              <w:ind w:left="77" w:right="72"/>
              <w:rPr>
                <w:sz w:val="21"/>
              </w:rPr>
            </w:pPr>
            <w:r>
              <w:rPr>
                <w:sz w:val="21"/>
              </w:rPr>
              <w:t>颗粒</w:t>
            </w:r>
          </w:p>
          <w:p>
            <w:pPr>
              <w:pStyle w:val="14"/>
              <w:spacing w:before="4" w:line="251" w:lineRule="exact"/>
              <w:ind w:left="7"/>
              <w:rPr>
                <w:sz w:val="21"/>
              </w:rPr>
            </w:pPr>
            <w:r>
              <w:rPr>
                <w:w w:val="99"/>
                <w:sz w:val="21"/>
              </w:rPr>
              <w:t>物</w:t>
            </w:r>
          </w:p>
        </w:tc>
        <w:tc>
          <w:tcPr>
            <w:tcW w:w="3788" w:type="dxa"/>
          </w:tcPr>
          <w:p>
            <w:pPr>
              <w:pStyle w:val="14"/>
              <w:spacing w:line="268" w:lineRule="exact"/>
              <w:ind w:left="11" w:right="7"/>
              <w:rPr>
                <w:sz w:val="21"/>
              </w:rPr>
            </w:pPr>
            <w:r>
              <w:rPr>
                <w:spacing w:val="-5"/>
                <w:sz w:val="21"/>
              </w:rPr>
              <w:t>转载点设置喷雾洒水装置；煤炭场内输送</w:t>
            </w:r>
          </w:p>
          <w:p>
            <w:pPr>
              <w:pStyle w:val="14"/>
              <w:spacing w:before="4" w:line="251" w:lineRule="exact"/>
              <w:ind w:left="11" w:right="7"/>
              <w:rPr>
                <w:sz w:val="21"/>
              </w:rPr>
            </w:pPr>
            <w:r>
              <w:rPr>
                <w:sz w:val="21"/>
              </w:rPr>
              <w:t>采用全封闭式输送栈桥</w:t>
            </w:r>
          </w:p>
        </w:tc>
        <w:tc>
          <w:tcPr>
            <w:tcW w:w="6566" w:type="dxa"/>
            <w:gridSpan w:val="6"/>
          </w:tcPr>
          <w:p>
            <w:pPr>
              <w:pStyle w:val="14"/>
              <w:spacing w:before="135"/>
              <w:ind w:left="2736" w:right="2730"/>
              <w:rPr>
                <w:sz w:val="21"/>
              </w:rPr>
            </w:pPr>
            <w:r>
              <w:rPr>
                <w:sz w:val="21"/>
              </w:rPr>
              <w:t>无组织扬尘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595" w:type="dxa"/>
            <w:vMerge w:val="continue"/>
            <w:tcBorders>
              <w:top w:val="nil"/>
            </w:tcBorders>
          </w:tcPr>
          <w:p>
            <w:pPr>
              <w:rPr>
                <w:sz w:val="2"/>
                <w:szCs w:val="2"/>
              </w:rPr>
            </w:pPr>
          </w:p>
        </w:tc>
        <w:tc>
          <w:tcPr>
            <w:tcW w:w="941" w:type="dxa"/>
          </w:tcPr>
          <w:p>
            <w:pPr>
              <w:pStyle w:val="14"/>
              <w:spacing w:before="136"/>
              <w:ind w:left="27" w:right="22"/>
              <w:rPr>
                <w:sz w:val="21"/>
              </w:rPr>
            </w:pPr>
            <w:r>
              <w:rPr>
                <w:sz w:val="21"/>
              </w:rPr>
              <w:t>储煤仓</w:t>
            </w:r>
          </w:p>
        </w:tc>
        <w:tc>
          <w:tcPr>
            <w:tcW w:w="619" w:type="dxa"/>
          </w:tcPr>
          <w:p>
            <w:pPr>
              <w:pStyle w:val="14"/>
              <w:spacing w:before="1"/>
              <w:ind w:left="77" w:right="72"/>
              <w:rPr>
                <w:sz w:val="21"/>
              </w:rPr>
            </w:pPr>
            <w:r>
              <w:rPr>
                <w:sz w:val="21"/>
              </w:rPr>
              <w:t>颗粒</w:t>
            </w:r>
          </w:p>
          <w:p>
            <w:pPr>
              <w:pStyle w:val="14"/>
              <w:spacing w:before="3" w:line="252" w:lineRule="exact"/>
              <w:ind w:left="7"/>
              <w:rPr>
                <w:sz w:val="21"/>
              </w:rPr>
            </w:pPr>
            <w:r>
              <w:rPr>
                <w:w w:val="99"/>
                <w:sz w:val="21"/>
              </w:rPr>
              <w:t>物</w:t>
            </w:r>
          </w:p>
        </w:tc>
        <w:tc>
          <w:tcPr>
            <w:tcW w:w="3788" w:type="dxa"/>
          </w:tcPr>
          <w:p>
            <w:pPr>
              <w:pStyle w:val="14"/>
              <w:spacing w:before="136"/>
              <w:ind w:left="11" w:right="7"/>
              <w:rPr>
                <w:sz w:val="21"/>
              </w:rPr>
            </w:pPr>
            <w:r>
              <w:rPr>
                <w:sz w:val="21"/>
              </w:rPr>
              <w:t>采用全封闭式</w:t>
            </w:r>
          </w:p>
        </w:tc>
        <w:tc>
          <w:tcPr>
            <w:tcW w:w="6566" w:type="dxa"/>
            <w:gridSpan w:val="6"/>
          </w:tcPr>
          <w:p>
            <w:pPr>
              <w:pStyle w:val="14"/>
              <w:spacing w:before="136"/>
              <w:ind w:left="2736" w:right="2730"/>
              <w:rPr>
                <w:sz w:val="21"/>
              </w:rPr>
            </w:pPr>
            <w:r>
              <w:rPr>
                <w:sz w:val="21"/>
              </w:rPr>
              <w:t>无组织扬尘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595" w:type="dxa"/>
            <w:vMerge w:val="continue"/>
            <w:tcBorders>
              <w:top w:val="nil"/>
            </w:tcBorders>
          </w:tcPr>
          <w:p>
            <w:pPr>
              <w:rPr>
                <w:sz w:val="2"/>
                <w:szCs w:val="2"/>
              </w:rPr>
            </w:pPr>
          </w:p>
        </w:tc>
        <w:tc>
          <w:tcPr>
            <w:tcW w:w="941" w:type="dxa"/>
          </w:tcPr>
          <w:p>
            <w:pPr>
              <w:pStyle w:val="14"/>
              <w:spacing w:before="1"/>
              <w:ind w:left="50"/>
              <w:jc w:val="left"/>
              <w:rPr>
                <w:sz w:val="21"/>
              </w:rPr>
            </w:pPr>
            <w:r>
              <w:rPr>
                <w:w w:val="95"/>
                <w:sz w:val="21"/>
              </w:rPr>
              <w:t>矸石临时</w:t>
            </w:r>
          </w:p>
          <w:p>
            <w:pPr>
              <w:pStyle w:val="14"/>
              <w:spacing w:before="2" w:line="253" w:lineRule="exact"/>
              <w:ind w:left="50"/>
              <w:jc w:val="left"/>
              <w:rPr>
                <w:sz w:val="21"/>
              </w:rPr>
            </w:pPr>
            <w:r>
              <w:rPr>
                <w:w w:val="95"/>
                <w:sz w:val="21"/>
              </w:rPr>
              <w:t>堆放场地</w:t>
            </w:r>
          </w:p>
        </w:tc>
        <w:tc>
          <w:tcPr>
            <w:tcW w:w="619" w:type="dxa"/>
          </w:tcPr>
          <w:p>
            <w:pPr>
              <w:pStyle w:val="14"/>
              <w:spacing w:before="1"/>
              <w:ind w:left="77" w:right="72"/>
              <w:rPr>
                <w:sz w:val="21"/>
              </w:rPr>
            </w:pPr>
            <w:r>
              <w:rPr>
                <w:sz w:val="21"/>
              </w:rPr>
              <w:t>颗粒</w:t>
            </w:r>
          </w:p>
          <w:p>
            <w:pPr>
              <w:pStyle w:val="14"/>
              <w:spacing w:before="2" w:line="253" w:lineRule="exact"/>
              <w:ind w:left="7"/>
              <w:rPr>
                <w:sz w:val="21"/>
              </w:rPr>
            </w:pPr>
            <w:r>
              <w:rPr>
                <w:w w:val="99"/>
                <w:sz w:val="21"/>
              </w:rPr>
              <w:t>物</w:t>
            </w:r>
          </w:p>
        </w:tc>
        <w:tc>
          <w:tcPr>
            <w:tcW w:w="3788" w:type="dxa"/>
          </w:tcPr>
          <w:p>
            <w:pPr>
              <w:pStyle w:val="14"/>
              <w:spacing w:before="135"/>
              <w:ind w:left="14" w:right="7"/>
              <w:rPr>
                <w:sz w:val="21"/>
              </w:rPr>
            </w:pPr>
            <w:r>
              <w:rPr>
                <w:sz w:val="21"/>
              </w:rPr>
              <w:t>安装洒水降尘设施</w:t>
            </w:r>
          </w:p>
        </w:tc>
        <w:tc>
          <w:tcPr>
            <w:tcW w:w="1759" w:type="dxa"/>
            <w:gridSpan w:val="2"/>
          </w:tcPr>
          <w:p>
            <w:pPr>
              <w:pStyle w:val="14"/>
              <w:spacing w:before="152"/>
              <w:ind w:left="7"/>
              <w:rPr>
                <w:rFonts w:ascii="Times New Roman"/>
                <w:sz w:val="21"/>
              </w:rPr>
            </w:pPr>
            <w:r>
              <w:rPr>
                <w:rFonts w:ascii="Times New Roman"/>
                <w:w w:val="99"/>
                <w:sz w:val="21"/>
              </w:rPr>
              <w:t>/</w:t>
            </w:r>
          </w:p>
        </w:tc>
        <w:tc>
          <w:tcPr>
            <w:tcW w:w="870" w:type="dxa"/>
          </w:tcPr>
          <w:p>
            <w:pPr>
              <w:pStyle w:val="14"/>
              <w:spacing w:before="152"/>
              <w:ind w:left="99" w:right="88"/>
              <w:rPr>
                <w:rFonts w:ascii="Times New Roman"/>
                <w:sz w:val="21"/>
              </w:rPr>
            </w:pPr>
            <w:r>
              <w:rPr>
                <w:rFonts w:ascii="Times New Roman"/>
                <w:sz w:val="21"/>
              </w:rPr>
              <w:t>0.09</w:t>
            </w:r>
          </w:p>
        </w:tc>
        <w:tc>
          <w:tcPr>
            <w:tcW w:w="948" w:type="dxa"/>
          </w:tcPr>
          <w:p>
            <w:pPr>
              <w:pStyle w:val="14"/>
              <w:spacing w:before="152"/>
              <w:ind w:left="9" w:right="1"/>
              <w:rPr>
                <w:rFonts w:ascii="Times New Roman"/>
                <w:sz w:val="21"/>
              </w:rPr>
            </w:pPr>
            <w:r>
              <w:rPr>
                <w:rFonts w:ascii="Times New Roman"/>
                <w:sz w:val="21"/>
              </w:rPr>
              <w:t>0.02</w:t>
            </w:r>
          </w:p>
        </w:tc>
        <w:tc>
          <w:tcPr>
            <w:tcW w:w="1360" w:type="dxa"/>
          </w:tcPr>
          <w:p>
            <w:pPr>
              <w:pStyle w:val="14"/>
              <w:spacing w:before="152"/>
              <w:ind w:left="10"/>
              <w:rPr>
                <w:rFonts w:ascii="Times New Roman"/>
                <w:sz w:val="21"/>
              </w:rPr>
            </w:pPr>
            <w:r>
              <w:rPr>
                <w:rFonts w:ascii="Times New Roman"/>
                <w:w w:val="99"/>
                <w:sz w:val="21"/>
              </w:rPr>
              <w:t>/</w:t>
            </w:r>
          </w:p>
        </w:tc>
        <w:tc>
          <w:tcPr>
            <w:tcW w:w="1629" w:type="dxa"/>
          </w:tcPr>
          <w:p>
            <w:pPr>
              <w:pStyle w:val="14"/>
              <w:spacing w:before="152"/>
              <w:ind w:left="10"/>
              <w:rPr>
                <w:rFonts w:ascii="Times New Roman"/>
                <w:sz w:val="21"/>
              </w:rPr>
            </w:pPr>
            <w:r>
              <w:rPr>
                <w:rFonts w:ascii="Times New Roman"/>
                <w:sz w:val="21"/>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595" w:type="dxa"/>
            <w:vMerge w:val="continue"/>
            <w:tcBorders>
              <w:top w:val="nil"/>
            </w:tcBorders>
          </w:tcPr>
          <w:p>
            <w:pPr>
              <w:rPr>
                <w:sz w:val="2"/>
                <w:szCs w:val="2"/>
              </w:rPr>
            </w:pPr>
          </w:p>
        </w:tc>
        <w:tc>
          <w:tcPr>
            <w:tcW w:w="941" w:type="dxa"/>
          </w:tcPr>
          <w:p>
            <w:pPr>
              <w:pStyle w:val="14"/>
              <w:spacing w:before="135"/>
              <w:ind w:left="29" w:right="22"/>
              <w:rPr>
                <w:sz w:val="21"/>
              </w:rPr>
            </w:pPr>
            <w:r>
              <w:rPr>
                <w:sz w:val="21"/>
              </w:rPr>
              <w:t>筛分车间</w:t>
            </w:r>
          </w:p>
        </w:tc>
        <w:tc>
          <w:tcPr>
            <w:tcW w:w="619" w:type="dxa"/>
          </w:tcPr>
          <w:p>
            <w:pPr>
              <w:pStyle w:val="14"/>
              <w:ind w:left="77" w:right="72"/>
              <w:rPr>
                <w:sz w:val="21"/>
              </w:rPr>
            </w:pPr>
            <w:r>
              <w:rPr>
                <w:sz w:val="21"/>
              </w:rPr>
              <w:t>颗粒</w:t>
            </w:r>
          </w:p>
          <w:p>
            <w:pPr>
              <w:pStyle w:val="14"/>
              <w:spacing w:before="2" w:line="252" w:lineRule="exact"/>
              <w:ind w:left="7"/>
              <w:rPr>
                <w:sz w:val="21"/>
              </w:rPr>
            </w:pPr>
            <w:r>
              <w:rPr>
                <w:w w:val="99"/>
                <w:sz w:val="21"/>
              </w:rPr>
              <w:t>物</w:t>
            </w:r>
          </w:p>
        </w:tc>
        <w:tc>
          <w:tcPr>
            <w:tcW w:w="3788" w:type="dxa"/>
          </w:tcPr>
          <w:p>
            <w:pPr>
              <w:pStyle w:val="14"/>
              <w:spacing w:before="135"/>
              <w:ind w:left="14" w:right="7"/>
              <w:rPr>
                <w:sz w:val="21"/>
              </w:rPr>
            </w:pPr>
            <w:r>
              <w:rPr>
                <w:sz w:val="21"/>
              </w:rPr>
              <w:t>布袋除尘器</w:t>
            </w:r>
          </w:p>
        </w:tc>
        <w:tc>
          <w:tcPr>
            <w:tcW w:w="1759" w:type="dxa"/>
            <w:gridSpan w:val="2"/>
          </w:tcPr>
          <w:p>
            <w:pPr>
              <w:pStyle w:val="14"/>
              <w:ind w:left="9"/>
              <w:rPr>
                <w:sz w:val="21"/>
              </w:rPr>
            </w:pPr>
            <w:r>
              <w:rPr>
                <w:sz w:val="21"/>
              </w:rPr>
              <w:t xml:space="preserve">烟囱高 </w:t>
            </w:r>
            <w:r>
              <w:rPr>
                <w:rFonts w:ascii="Times New Roman" w:eastAsia="Times New Roman"/>
                <w:sz w:val="21"/>
              </w:rPr>
              <w:t>15m</w:t>
            </w:r>
            <w:r>
              <w:rPr>
                <w:sz w:val="21"/>
              </w:rPr>
              <w:t>，出口</w:t>
            </w:r>
          </w:p>
          <w:p>
            <w:pPr>
              <w:pStyle w:val="14"/>
              <w:spacing w:before="5" w:line="250" w:lineRule="exact"/>
              <w:ind w:left="10"/>
              <w:rPr>
                <w:rFonts w:ascii="Times New Roman" w:eastAsia="Times New Roman"/>
                <w:sz w:val="21"/>
              </w:rPr>
            </w:pPr>
            <w:r>
              <w:rPr>
                <w:sz w:val="21"/>
              </w:rPr>
              <w:t xml:space="preserve">直径为 </w:t>
            </w:r>
            <w:r>
              <w:rPr>
                <w:rFonts w:ascii="Times New Roman" w:eastAsia="Times New Roman"/>
                <w:sz w:val="21"/>
              </w:rPr>
              <w:t>0.3m</w:t>
            </w:r>
          </w:p>
        </w:tc>
        <w:tc>
          <w:tcPr>
            <w:tcW w:w="870" w:type="dxa"/>
          </w:tcPr>
          <w:p>
            <w:pPr>
              <w:pStyle w:val="14"/>
              <w:spacing w:before="149"/>
              <w:ind w:left="99" w:right="88"/>
              <w:rPr>
                <w:rFonts w:ascii="Times New Roman"/>
                <w:sz w:val="21"/>
              </w:rPr>
            </w:pPr>
            <w:r>
              <w:rPr>
                <w:rFonts w:ascii="Times New Roman"/>
                <w:sz w:val="21"/>
              </w:rPr>
              <w:t>12</w:t>
            </w:r>
          </w:p>
        </w:tc>
        <w:tc>
          <w:tcPr>
            <w:tcW w:w="948" w:type="dxa"/>
          </w:tcPr>
          <w:p>
            <w:pPr>
              <w:pStyle w:val="14"/>
              <w:spacing w:before="149"/>
              <w:ind w:left="9" w:right="1"/>
              <w:rPr>
                <w:rFonts w:ascii="Times New Roman"/>
                <w:sz w:val="21"/>
              </w:rPr>
            </w:pPr>
            <w:r>
              <w:rPr>
                <w:rFonts w:ascii="Times New Roman"/>
                <w:sz w:val="21"/>
              </w:rPr>
              <w:t>0.12</w:t>
            </w:r>
          </w:p>
        </w:tc>
        <w:tc>
          <w:tcPr>
            <w:tcW w:w="1360" w:type="dxa"/>
          </w:tcPr>
          <w:p>
            <w:pPr>
              <w:pStyle w:val="14"/>
              <w:spacing w:before="149"/>
              <w:ind w:left="238" w:right="230"/>
              <w:rPr>
                <w:rFonts w:ascii="Times New Roman"/>
                <w:sz w:val="21"/>
              </w:rPr>
            </w:pPr>
            <w:r>
              <w:rPr>
                <w:rFonts w:ascii="Times New Roman"/>
                <w:sz w:val="21"/>
              </w:rPr>
              <w:t>40</w:t>
            </w:r>
          </w:p>
        </w:tc>
        <w:tc>
          <w:tcPr>
            <w:tcW w:w="1629" w:type="dxa"/>
          </w:tcPr>
          <w:p>
            <w:pPr>
              <w:pStyle w:val="14"/>
              <w:spacing w:before="149"/>
              <w:ind w:left="10"/>
              <w:rPr>
                <w:rFonts w:ascii="Times New Roman"/>
                <w:sz w:val="21"/>
              </w:rPr>
            </w:pPr>
            <w:r>
              <w:rPr>
                <w:rFonts w:ascii="Times New Roman"/>
                <w:sz w:val="21"/>
              </w:rPr>
              <w:t>0.12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 w:hRule="atLeast"/>
        </w:trPr>
        <w:tc>
          <w:tcPr>
            <w:tcW w:w="595" w:type="dxa"/>
          </w:tcPr>
          <w:p>
            <w:pPr>
              <w:pStyle w:val="14"/>
              <w:spacing w:before="1" w:line="242" w:lineRule="auto"/>
              <w:ind w:left="86" w:right="78"/>
              <w:rPr>
                <w:sz w:val="21"/>
              </w:rPr>
            </w:pPr>
            <w:r>
              <w:rPr>
                <w:sz w:val="21"/>
              </w:rPr>
              <w:t>地表水环</w:t>
            </w:r>
          </w:p>
          <w:p>
            <w:pPr>
              <w:pStyle w:val="14"/>
              <w:spacing w:before="1" w:line="251" w:lineRule="exact"/>
              <w:ind w:left="7"/>
              <w:rPr>
                <w:sz w:val="21"/>
              </w:rPr>
            </w:pPr>
            <w:r>
              <w:rPr>
                <w:w w:val="99"/>
                <w:sz w:val="21"/>
              </w:rPr>
              <w:t>境</w:t>
            </w:r>
          </w:p>
        </w:tc>
        <w:tc>
          <w:tcPr>
            <w:tcW w:w="1560" w:type="dxa"/>
            <w:gridSpan w:val="2"/>
          </w:tcPr>
          <w:p>
            <w:pPr>
              <w:pStyle w:val="14"/>
              <w:spacing w:before="138" w:line="242" w:lineRule="auto"/>
              <w:ind w:left="674" w:right="35" w:hanging="629"/>
              <w:jc w:val="left"/>
              <w:rPr>
                <w:sz w:val="21"/>
              </w:rPr>
            </w:pPr>
            <w:r>
              <w:rPr>
                <w:sz w:val="21"/>
              </w:rPr>
              <w:t>矿井水、生活污水</w:t>
            </w:r>
          </w:p>
        </w:tc>
        <w:tc>
          <w:tcPr>
            <w:tcW w:w="3788" w:type="dxa"/>
          </w:tcPr>
          <w:p>
            <w:pPr>
              <w:pStyle w:val="14"/>
              <w:spacing w:before="1" w:line="242" w:lineRule="auto"/>
              <w:ind w:left="26" w:right="19" w:firstLine="2"/>
              <w:rPr>
                <w:sz w:val="21"/>
              </w:rPr>
            </w:pPr>
            <w:r>
              <w:rPr>
                <w:sz w:val="21"/>
              </w:rPr>
              <w:t>矿井水经场内自建矿井水污水处理站处</w:t>
            </w:r>
            <w:r>
              <w:rPr>
                <w:w w:val="95"/>
                <w:sz w:val="21"/>
              </w:rPr>
              <w:t>理，生活污水经场内自建生活污水处理站</w:t>
            </w:r>
          </w:p>
          <w:p>
            <w:pPr>
              <w:pStyle w:val="14"/>
              <w:spacing w:before="1" w:line="251" w:lineRule="exact"/>
              <w:ind w:left="16" w:right="7"/>
              <w:rPr>
                <w:sz w:val="21"/>
              </w:rPr>
            </w:pPr>
            <w:r>
              <w:rPr>
                <w:sz w:val="21"/>
              </w:rPr>
              <w:t>处理。</w:t>
            </w:r>
          </w:p>
        </w:tc>
        <w:tc>
          <w:tcPr>
            <w:tcW w:w="829" w:type="dxa"/>
          </w:tcPr>
          <w:p>
            <w:pPr>
              <w:pStyle w:val="14"/>
              <w:spacing w:before="3"/>
              <w:jc w:val="left"/>
              <w:rPr>
                <w:b/>
                <w:sz w:val="21"/>
              </w:rPr>
            </w:pPr>
          </w:p>
          <w:p>
            <w:pPr>
              <w:pStyle w:val="14"/>
              <w:ind w:left="97"/>
              <w:jc w:val="left"/>
              <w:rPr>
                <w:sz w:val="21"/>
              </w:rPr>
            </w:pPr>
            <w:r>
              <w:rPr>
                <w:sz w:val="21"/>
              </w:rPr>
              <w:t>排水口</w:t>
            </w:r>
          </w:p>
        </w:tc>
        <w:tc>
          <w:tcPr>
            <w:tcW w:w="930" w:type="dxa"/>
          </w:tcPr>
          <w:p>
            <w:pPr>
              <w:pStyle w:val="14"/>
              <w:spacing w:before="4"/>
              <w:jc w:val="left"/>
              <w:rPr>
                <w:b/>
                <w:sz w:val="22"/>
              </w:rPr>
            </w:pPr>
          </w:p>
          <w:p>
            <w:pPr>
              <w:pStyle w:val="14"/>
              <w:ind w:left="243"/>
              <w:jc w:val="left"/>
              <w:rPr>
                <w:rFonts w:ascii="Times New Roman"/>
                <w:sz w:val="21"/>
              </w:rPr>
            </w:pPr>
            <w:r>
              <w:rPr>
                <w:rFonts w:ascii="Times New Roman"/>
                <w:sz w:val="21"/>
              </w:rPr>
              <w:t>COD</w:t>
            </w:r>
          </w:p>
        </w:tc>
        <w:tc>
          <w:tcPr>
            <w:tcW w:w="870" w:type="dxa"/>
          </w:tcPr>
          <w:p>
            <w:pPr>
              <w:pStyle w:val="14"/>
              <w:spacing w:before="4"/>
              <w:jc w:val="left"/>
              <w:rPr>
                <w:b/>
                <w:sz w:val="22"/>
              </w:rPr>
            </w:pPr>
          </w:p>
          <w:p>
            <w:pPr>
              <w:pStyle w:val="14"/>
              <w:ind w:left="99" w:right="88"/>
              <w:rPr>
                <w:rFonts w:ascii="Times New Roman"/>
                <w:sz w:val="21"/>
              </w:rPr>
            </w:pPr>
            <w:r>
              <w:rPr>
                <w:rFonts w:ascii="Times New Roman"/>
                <w:sz w:val="21"/>
              </w:rPr>
              <w:t>90.29</w:t>
            </w:r>
          </w:p>
        </w:tc>
        <w:tc>
          <w:tcPr>
            <w:tcW w:w="948" w:type="dxa"/>
          </w:tcPr>
          <w:p>
            <w:pPr>
              <w:pStyle w:val="14"/>
              <w:spacing w:before="8"/>
              <w:jc w:val="left"/>
              <w:rPr>
                <w:b/>
                <w:sz w:val="17"/>
              </w:rPr>
            </w:pPr>
          </w:p>
          <w:p>
            <w:pPr>
              <w:pStyle w:val="14"/>
              <w:ind w:left="14" w:right="4"/>
              <w:rPr>
                <w:rFonts w:ascii="Times New Roman"/>
                <w:sz w:val="21"/>
              </w:rPr>
            </w:pPr>
            <w:r>
              <w:rPr>
                <w:rFonts w:ascii="Times New Roman"/>
                <w:sz w:val="21"/>
              </w:rPr>
              <w:t>7.106</w:t>
            </w:r>
          </w:p>
        </w:tc>
        <w:tc>
          <w:tcPr>
            <w:tcW w:w="1360" w:type="dxa"/>
          </w:tcPr>
          <w:p>
            <w:pPr>
              <w:pStyle w:val="14"/>
              <w:spacing w:before="4"/>
              <w:jc w:val="left"/>
              <w:rPr>
                <w:b/>
                <w:sz w:val="22"/>
              </w:rPr>
            </w:pPr>
          </w:p>
          <w:p>
            <w:pPr>
              <w:pStyle w:val="14"/>
              <w:ind w:left="238" w:right="230"/>
              <w:rPr>
                <w:rFonts w:ascii="Times New Roman"/>
                <w:sz w:val="21"/>
              </w:rPr>
            </w:pPr>
            <w:r>
              <w:rPr>
                <w:rFonts w:ascii="Times New Roman"/>
                <w:sz w:val="21"/>
              </w:rPr>
              <w:t>15</w:t>
            </w:r>
          </w:p>
        </w:tc>
        <w:tc>
          <w:tcPr>
            <w:tcW w:w="1629" w:type="dxa"/>
          </w:tcPr>
          <w:p>
            <w:pPr>
              <w:pStyle w:val="14"/>
              <w:spacing w:before="8"/>
              <w:jc w:val="left"/>
              <w:rPr>
                <w:b/>
                <w:sz w:val="17"/>
              </w:rPr>
            </w:pPr>
          </w:p>
          <w:p>
            <w:pPr>
              <w:pStyle w:val="14"/>
              <w:ind w:left="10"/>
              <w:rPr>
                <w:rFonts w:ascii="Times New Roman"/>
                <w:sz w:val="21"/>
              </w:rPr>
            </w:pPr>
            <w:r>
              <w:rPr>
                <w:rFonts w:ascii="Times New Roman"/>
                <w:sz w:val="21"/>
              </w:rPr>
              <w:t>7.106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595" w:type="dxa"/>
          </w:tcPr>
          <w:p>
            <w:pPr>
              <w:pStyle w:val="14"/>
              <w:spacing w:before="1" w:line="270" w:lineRule="atLeast"/>
              <w:ind w:left="191" w:right="78" w:hanging="106"/>
              <w:jc w:val="left"/>
              <w:rPr>
                <w:sz w:val="21"/>
              </w:rPr>
            </w:pPr>
            <w:r>
              <w:rPr>
                <w:sz w:val="21"/>
              </w:rPr>
              <w:t>声环境</w:t>
            </w:r>
          </w:p>
        </w:tc>
        <w:tc>
          <w:tcPr>
            <w:tcW w:w="1560" w:type="dxa"/>
            <w:gridSpan w:val="2"/>
          </w:tcPr>
          <w:p>
            <w:pPr>
              <w:pStyle w:val="14"/>
              <w:spacing w:before="136"/>
              <w:ind w:left="360"/>
              <w:jc w:val="left"/>
              <w:rPr>
                <w:sz w:val="21"/>
              </w:rPr>
            </w:pPr>
            <w:r>
              <w:rPr>
                <w:sz w:val="21"/>
              </w:rPr>
              <w:t>厂界噪声</w:t>
            </w:r>
          </w:p>
        </w:tc>
        <w:tc>
          <w:tcPr>
            <w:tcW w:w="3788" w:type="dxa"/>
          </w:tcPr>
          <w:p>
            <w:pPr>
              <w:pStyle w:val="14"/>
              <w:spacing w:before="136"/>
              <w:ind w:left="14" w:right="7"/>
              <w:rPr>
                <w:sz w:val="21"/>
              </w:rPr>
            </w:pPr>
            <w:r>
              <w:rPr>
                <w:sz w:val="21"/>
              </w:rPr>
              <w:t>隔声、减振</w:t>
            </w:r>
          </w:p>
        </w:tc>
        <w:tc>
          <w:tcPr>
            <w:tcW w:w="1759" w:type="dxa"/>
            <w:gridSpan w:val="2"/>
          </w:tcPr>
          <w:p>
            <w:pPr>
              <w:pStyle w:val="14"/>
              <w:spacing w:before="136"/>
              <w:ind w:left="6"/>
              <w:rPr>
                <w:sz w:val="21"/>
              </w:rPr>
            </w:pPr>
            <w:r>
              <w:rPr>
                <w:sz w:val="21"/>
              </w:rPr>
              <w:t>厂界</w:t>
            </w:r>
          </w:p>
        </w:tc>
        <w:tc>
          <w:tcPr>
            <w:tcW w:w="870" w:type="dxa"/>
          </w:tcPr>
          <w:p>
            <w:pPr>
              <w:pStyle w:val="14"/>
              <w:spacing w:before="16" w:line="241" w:lineRule="exact"/>
              <w:ind w:left="28"/>
              <w:jc w:val="left"/>
              <w:rPr>
                <w:rFonts w:ascii="Times New Roman"/>
                <w:sz w:val="21"/>
              </w:rPr>
            </w:pPr>
            <w:r>
              <w:rPr>
                <w:rFonts w:ascii="Times New Roman"/>
                <w:sz w:val="21"/>
              </w:rPr>
              <w:t>90~95dB</w:t>
            </w:r>
          </w:p>
          <w:p>
            <w:pPr>
              <w:pStyle w:val="14"/>
              <w:spacing w:line="268" w:lineRule="exact"/>
              <w:ind w:left="28"/>
              <w:jc w:val="left"/>
              <w:rPr>
                <w:sz w:val="21"/>
              </w:rPr>
            </w:pPr>
            <w:r>
              <w:rPr>
                <w:sz w:val="21"/>
              </w:rPr>
              <w:t>（</w:t>
            </w:r>
            <w:r>
              <w:rPr>
                <w:rFonts w:ascii="Times New Roman" w:eastAsia="Times New Roman"/>
                <w:sz w:val="21"/>
              </w:rPr>
              <w:t>A</w:t>
            </w:r>
            <w:r>
              <w:rPr>
                <w:sz w:val="21"/>
              </w:rPr>
              <w:t>）</w:t>
            </w:r>
          </w:p>
        </w:tc>
        <w:tc>
          <w:tcPr>
            <w:tcW w:w="948" w:type="dxa"/>
          </w:tcPr>
          <w:p>
            <w:pPr>
              <w:pStyle w:val="14"/>
              <w:spacing w:before="16" w:line="241" w:lineRule="exact"/>
              <w:ind w:left="84"/>
              <w:jc w:val="left"/>
              <w:rPr>
                <w:rFonts w:ascii="Times New Roman"/>
                <w:sz w:val="21"/>
              </w:rPr>
            </w:pPr>
            <w:r>
              <w:rPr>
                <w:rFonts w:ascii="Times New Roman"/>
                <w:sz w:val="21"/>
              </w:rPr>
              <w:t>55~60dB</w:t>
            </w:r>
          </w:p>
          <w:p>
            <w:pPr>
              <w:pStyle w:val="14"/>
              <w:spacing w:line="268" w:lineRule="exact"/>
              <w:ind w:left="187"/>
              <w:jc w:val="left"/>
              <w:rPr>
                <w:sz w:val="21"/>
              </w:rPr>
            </w:pPr>
            <w:r>
              <w:rPr>
                <w:sz w:val="21"/>
              </w:rPr>
              <w:t>（</w:t>
            </w:r>
            <w:r>
              <w:rPr>
                <w:rFonts w:ascii="Times New Roman" w:eastAsia="Times New Roman"/>
                <w:sz w:val="21"/>
              </w:rPr>
              <w:t>A</w:t>
            </w:r>
            <w:r>
              <w:rPr>
                <w:sz w:val="21"/>
              </w:rPr>
              <w:t>）</w:t>
            </w:r>
          </w:p>
        </w:tc>
        <w:tc>
          <w:tcPr>
            <w:tcW w:w="1360" w:type="dxa"/>
          </w:tcPr>
          <w:p>
            <w:pPr>
              <w:pStyle w:val="14"/>
              <w:spacing w:before="150"/>
              <w:ind w:left="10"/>
              <w:rPr>
                <w:rFonts w:ascii="Times New Roman"/>
                <w:sz w:val="21"/>
              </w:rPr>
            </w:pPr>
            <w:r>
              <w:rPr>
                <w:rFonts w:ascii="Times New Roman"/>
                <w:w w:val="99"/>
                <w:sz w:val="21"/>
              </w:rPr>
              <w:t>/</w:t>
            </w:r>
          </w:p>
        </w:tc>
        <w:tc>
          <w:tcPr>
            <w:tcW w:w="1629" w:type="dxa"/>
          </w:tcPr>
          <w:p>
            <w:pPr>
              <w:pStyle w:val="14"/>
              <w:spacing w:before="150"/>
              <w:ind w:left="7"/>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5" w:type="dxa"/>
            <w:vMerge w:val="restart"/>
          </w:tcPr>
          <w:p>
            <w:pPr>
              <w:pStyle w:val="14"/>
              <w:spacing w:before="73" w:line="242" w:lineRule="auto"/>
              <w:ind w:left="86" w:right="78"/>
              <w:jc w:val="left"/>
              <w:rPr>
                <w:sz w:val="21"/>
              </w:rPr>
            </w:pPr>
            <w:r>
              <w:rPr>
                <w:sz w:val="21"/>
              </w:rPr>
              <w:t>固体废物</w:t>
            </w:r>
          </w:p>
        </w:tc>
        <w:tc>
          <w:tcPr>
            <w:tcW w:w="1560" w:type="dxa"/>
            <w:gridSpan w:val="2"/>
          </w:tcPr>
          <w:p>
            <w:pPr>
              <w:pStyle w:val="14"/>
              <w:spacing w:before="35"/>
              <w:ind w:left="360"/>
              <w:jc w:val="left"/>
              <w:rPr>
                <w:sz w:val="21"/>
              </w:rPr>
            </w:pPr>
            <w:r>
              <w:rPr>
                <w:sz w:val="21"/>
              </w:rPr>
              <w:t>锅炉灰渣</w:t>
            </w:r>
          </w:p>
        </w:tc>
        <w:tc>
          <w:tcPr>
            <w:tcW w:w="3788" w:type="dxa"/>
          </w:tcPr>
          <w:p>
            <w:pPr>
              <w:pStyle w:val="14"/>
              <w:spacing w:before="35"/>
              <w:ind w:left="11" w:right="7"/>
              <w:rPr>
                <w:sz w:val="21"/>
              </w:rPr>
            </w:pPr>
            <w:r>
              <w:rPr>
                <w:sz w:val="21"/>
              </w:rPr>
              <w:t>农肥原料外售</w:t>
            </w:r>
          </w:p>
        </w:tc>
        <w:tc>
          <w:tcPr>
            <w:tcW w:w="1759" w:type="dxa"/>
            <w:gridSpan w:val="2"/>
          </w:tcPr>
          <w:p>
            <w:pPr>
              <w:pStyle w:val="14"/>
              <w:spacing w:before="49"/>
              <w:ind w:left="7"/>
              <w:rPr>
                <w:rFonts w:ascii="Times New Roman"/>
                <w:sz w:val="21"/>
              </w:rPr>
            </w:pPr>
            <w:r>
              <w:rPr>
                <w:rFonts w:ascii="Times New Roman"/>
                <w:w w:val="99"/>
                <w:sz w:val="21"/>
              </w:rPr>
              <w:t>/</w:t>
            </w:r>
          </w:p>
        </w:tc>
        <w:tc>
          <w:tcPr>
            <w:tcW w:w="870" w:type="dxa"/>
          </w:tcPr>
          <w:p>
            <w:pPr>
              <w:pStyle w:val="14"/>
              <w:spacing w:before="49"/>
              <w:ind w:left="97" w:right="91"/>
              <w:rPr>
                <w:rFonts w:ascii="Times New Roman"/>
                <w:sz w:val="21"/>
              </w:rPr>
            </w:pPr>
            <w:r>
              <w:rPr>
                <w:rFonts w:ascii="Times New Roman"/>
                <w:sz w:val="21"/>
              </w:rPr>
              <w:t>585</w:t>
            </w:r>
          </w:p>
        </w:tc>
        <w:tc>
          <w:tcPr>
            <w:tcW w:w="948" w:type="dxa"/>
          </w:tcPr>
          <w:p>
            <w:pPr>
              <w:pStyle w:val="14"/>
              <w:spacing w:before="49"/>
              <w:ind w:left="8"/>
              <w:rPr>
                <w:rFonts w:ascii="Times New Roman"/>
                <w:sz w:val="21"/>
              </w:rPr>
            </w:pPr>
            <w:r>
              <w:rPr>
                <w:rFonts w:ascii="Times New Roman"/>
                <w:w w:val="99"/>
                <w:sz w:val="21"/>
              </w:rPr>
              <w:t>0</w:t>
            </w:r>
          </w:p>
        </w:tc>
        <w:tc>
          <w:tcPr>
            <w:tcW w:w="1360" w:type="dxa"/>
          </w:tcPr>
          <w:p>
            <w:pPr>
              <w:pStyle w:val="14"/>
              <w:spacing w:before="49"/>
              <w:ind w:left="10"/>
              <w:rPr>
                <w:rFonts w:ascii="Times New Roman"/>
                <w:sz w:val="21"/>
              </w:rPr>
            </w:pPr>
            <w:r>
              <w:rPr>
                <w:rFonts w:ascii="Times New Roman"/>
                <w:w w:val="99"/>
                <w:sz w:val="21"/>
              </w:rPr>
              <w:t>/</w:t>
            </w:r>
          </w:p>
        </w:tc>
        <w:tc>
          <w:tcPr>
            <w:tcW w:w="1629" w:type="dxa"/>
          </w:tcPr>
          <w:p>
            <w:pPr>
              <w:pStyle w:val="14"/>
              <w:spacing w:before="49"/>
              <w:ind w:left="7"/>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595" w:type="dxa"/>
            <w:vMerge w:val="continue"/>
            <w:tcBorders>
              <w:top w:val="nil"/>
            </w:tcBorders>
          </w:tcPr>
          <w:p>
            <w:pPr>
              <w:rPr>
                <w:sz w:val="2"/>
                <w:szCs w:val="2"/>
              </w:rPr>
            </w:pPr>
          </w:p>
        </w:tc>
        <w:tc>
          <w:tcPr>
            <w:tcW w:w="1560" w:type="dxa"/>
            <w:gridSpan w:val="2"/>
          </w:tcPr>
          <w:p>
            <w:pPr>
              <w:pStyle w:val="14"/>
              <w:spacing w:before="33"/>
              <w:ind w:left="360"/>
              <w:jc w:val="left"/>
              <w:rPr>
                <w:sz w:val="21"/>
              </w:rPr>
            </w:pPr>
            <w:r>
              <w:rPr>
                <w:sz w:val="21"/>
              </w:rPr>
              <w:t>生活垃圾</w:t>
            </w:r>
          </w:p>
        </w:tc>
        <w:tc>
          <w:tcPr>
            <w:tcW w:w="3788" w:type="dxa"/>
          </w:tcPr>
          <w:p>
            <w:pPr>
              <w:pStyle w:val="14"/>
              <w:spacing w:before="33"/>
              <w:ind w:left="11" w:right="7"/>
              <w:rPr>
                <w:sz w:val="21"/>
              </w:rPr>
            </w:pPr>
            <w:r>
              <w:rPr>
                <w:sz w:val="21"/>
              </w:rPr>
              <w:t>生活垃圾定期委托环卫部门处理</w:t>
            </w:r>
          </w:p>
        </w:tc>
        <w:tc>
          <w:tcPr>
            <w:tcW w:w="1759" w:type="dxa"/>
            <w:gridSpan w:val="2"/>
          </w:tcPr>
          <w:p>
            <w:pPr>
              <w:pStyle w:val="14"/>
              <w:spacing w:before="49"/>
              <w:ind w:left="7"/>
              <w:rPr>
                <w:rFonts w:ascii="Times New Roman"/>
                <w:sz w:val="21"/>
              </w:rPr>
            </w:pPr>
            <w:r>
              <w:rPr>
                <w:rFonts w:ascii="Times New Roman"/>
                <w:w w:val="99"/>
                <w:sz w:val="21"/>
              </w:rPr>
              <w:t>/</w:t>
            </w:r>
          </w:p>
        </w:tc>
        <w:tc>
          <w:tcPr>
            <w:tcW w:w="870" w:type="dxa"/>
          </w:tcPr>
          <w:p>
            <w:pPr>
              <w:pStyle w:val="14"/>
              <w:spacing w:before="49"/>
              <w:ind w:left="99" w:right="90"/>
              <w:rPr>
                <w:rFonts w:ascii="Times New Roman"/>
                <w:sz w:val="21"/>
              </w:rPr>
            </w:pPr>
            <w:r>
              <w:rPr>
                <w:rFonts w:ascii="Times New Roman"/>
                <w:sz w:val="21"/>
              </w:rPr>
              <w:t>110</w:t>
            </w:r>
          </w:p>
        </w:tc>
        <w:tc>
          <w:tcPr>
            <w:tcW w:w="948" w:type="dxa"/>
          </w:tcPr>
          <w:p>
            <w:pPr>
              <w:pStyle w:val="14"/>
              <w:spacing w:before="49"/>
              <w:ind w:left="8"/>
              <w:rPr>
                <w:rFonts w:ascii="Times New Roman"/>
                <w:sz w:val="21"/>
              </w:rPr>
            </w:pPr>
            <w:r>
              <w:rPr>
                <w:rFonts w:ascii="Times New Roman"/>
                <w:w w:val="99"/>
                <w:sz w:val="21"/>
              </w:rPr>
              <w:t>0</w:t>
            </w:r>
          </w:p>
        </w:tc>
        <w:tc>
          <w:tcPr>
            <w:tcW w:w="1360" w:type="dxa"/>
          </w:tcPr>
          <w:p>
            <w:pPr>
              <w:pStyle w:val="14"/>
              <w:spacing w:before="49"/>
              <w:ind w:left="10"/>
              <w:rPr>
                <w:rFonts w:ascii="Times New Roman"/>
                <w:sz w:val="21"/>
              </w:rPr>
            </w:pPr>
            <w:r>
              <w:rPr>
                <w:rFonts w:ascii="Times New Roman"/>
                <w:w w:val="99"/>
                <w:sz w:val="21"/>
              </w:rPr>
              <w:t>/</w:t>
            </w:r>
          </w:p>
        </w:tc>
        <w:tc>
          <w:tcPr>
            <w:tcW w:w="1629" w:type="dxa"/>
          </w:tcPr>
          <w:p>
            <w:pPr>
              <w:pStyle w:val="14"/>
              <w:spacing w:before="49"/>
              <w:ind w:left="7"/>
              <w:rPr>
                <w:rFonts w:ascii="Times New Roman"/>
                <w:sz w:val="21"/>
              </w:rPr>
            </w:pPr>
            <w:r>
              <w:rPr>
                <w:rFonts w:ascii="Times New Roman"/>
                <w:w w:val="99"/>
                <w:sz w:val="21"/>
              </w:rPr>
              <w:t>/</w:t>
            </w:r>
          </w:p>
        </w:tc>
      </w:tr>
    </w:tbl>
    <w:p>
      <w:pPr>
        <w:spacing w:after="0"/>
        <w:rPr>
          <w:rFonts w:ascii="Times New Roman"/>
          <w:sz w:val="21"/>
        </w:rPr>
        <w:sectPr>
          <w:footerReference r:id="rId31" w:type="default"/>
          <w:pgSz w:w="16840" w:h="11910" w:orient="landscape"/>
          <w:pgMar w:top="1100" w:right="2360" w:bottom="1240" w:left="1720" w:header="0" w:footer="1058" w:gutter="0"/>
          <w:pgNumType w:start="187"/>
        </w:sectPr>
      </w:pPr>
    </w:p>
    <w:p>
      <w:pPr>
        <w:pStyle w:val="6"/>
        <w:rPr>
          <w:rFonts w:ascii="Times New Roman"/>
          <w:sz w:val="20"/>
        </w:rPr>
      </w:pPr>
    </w:p>
    <w:p>
      <w:pPr>
        <w:pStyle w:val="6"/>
        <w:rPr>
          <w:rFonts w:ascii="Times New Roman"/>
          <w:sz w:val="20"/>
        </w:rPr>
      </w:pPr>
    </w:p>
    <w:p>
      <w:pPr>
        <w:pStyle w:val="6"/>
        <w:spacing w:before="6"/>
        <w:rPr>
          <w:rFonts w:ascii="Times New Roman"/>
          <w:sz w:val="26"/>
        </w:rPr>
      </w:pPr>
    </w:p>
    <w:tbl>
      <w:tblPr>
        <w:tblStyle w:val="10"/>
        <w:tblW w:w="0" w:type="auto"/>
        <w:tblInd w:w="1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5"/>
        <w:gridCol w:w="1560"/>
        <w:gridCol w:w="3788"/>
        <w:gridCol w:w="1759"/>
        <w:gridCol w:w="870"/>
        <w:gridCol w:w="948"/>
        <w:gridCol w:w="1360"/>
        <w:gridCol w:w="16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595" w:type="dxa"/>
            <w:vMerge w:val="restart"/>
          </w:tcPr>
          <w:p>
            <w:pPr>
              <w:pStyle w:val="14"/>
              <w:jc w:val="left"/>
              <w:rPr>
                <w:rFonts w:ascii="Times New Roman"/>
                <w:sz w:val="20"/>
              </w:rPr>
            </w:pPr>
          </w:p>
        </w:tc>
        <w:tc>
          <w:tcPr>
            <w:tcW w:w="1560" w:type="dxa"/>
          </w:tcPr>
          <w:p>
            <w:pPr>
              <w:pStyle w:val="14"/>
              <w:spacing w:before="135"/>
              <w:ind w:left="20" w:right="15"/>
              <w:rPr>
                <w:sz w:val="21"/>
              </w:rPr>
            </w:pPr>
            <w:r>
              <w:rPr>
                <w:sz w:val="21"/>
              </w:rPr>
              <w:t>矸石</w:t>
            </w:r>
          </w:p>
        </w:tc>
        <w:tc>
          <w:tcPr>
            <w:tcW w:w="3788" w:type="dxa"/>
          </w:tcPr>
          <w:p>
            <w:pPr>
              <w:pStyle w:val="14"/>
              <w:ind w:left="16" w:right="7"/>
              <w:rPr>
                <w:sz w:val="21"/>
              </w:rPr>
            </w:pPr>
            <w:r>
              <w:rPr>
                <w:spacing w:val="-1"/>
                <w:w w:val="99"/>
                <w:sz w:val="21"/>
              </w:rPr>
              <w:t>本项目矸石产量为</w:t>
            </w:r>
            <w:r>
              <w:rPr>
                <w:spacing w:val="-50"/>
                <w:sz w:val="21"/>
              </w:rPr>
              <w:t xml:space="preserve"> </w:t>
            </w:r>
            <w:r>
              <w:rPr>
                <w:rFonts w:ascii="Times New Roman" w:eastAsia="Times New Roman"/>
                <w:w w:val="99"/>
                <w:sz w:val="21"/>
              </w:rPr>
              <w:t>3</w:t>
            </w:r>
            <w:r>
              <w:rPr>
                <w:rFonts w:ascii="Times New Roman" w:eastAsia="Times New Roman"/>
                <w:spacing w:val="-1"/>
                <w:sz w:val="21"/>
              </w:rPr>
              <w:t xml:space="preserve"> </w:t>
            </w:r>
            <w:r>
              <w:rPr>
                <w:w w:val="99"/>
                <w:sz w:val="21"/>
              </w:rPr>
              <w:t>万</w:t>
            </w:r>
            <w:r>
              <w:rPr>
                <w:spacing w:val="-50"/>
                <w:sz w:val="21"/>
              </w:rPr>
              <w:t xml:space="preserve"> </w:t>
            </w:r>
            <w:r>
              <w:rPr>
                <w:rFonts w:ascii="Times New Roman" w:eastAsia="Times New Roman"/>
                <w:spacing w:val="-1"/>
                <w:w w:val="99"/>
                <w:sz w:val="21"/>
              </w:rPr>
              <w:t>t/</w:t>
            </w:r>
            <w:r>
              <w:rPr>
                <w:rFonts w:ascii="Times New Roman" w:eastAsia="Times New Roman"/>
                <w:w w:val="99"/>
                <w:sz w:val="21"/>
              </w:rPr>
              <w:t>a</w:t>
            </w:r>
            <w:r>
              <w:rPr>
                <w:spacing w:val="-15"/>
                <w:w w:val="99"/>
                <w:sz w:val="21"/>
              </w:rPr>
              <w:t>，用于工业场地</w:t>
            </w:r>
          </w:p>
          <w:p>
            <w:pPr>
              <w:pStyle w:val="14"/>
              <w:spacing w:before="5" w:line="251" w:lineRule="exact"/>
              <w:ind w:left="16" w:right="7"/>
              <w:rPr>
                <w:sz w:val="21"/>
              </w:rPr>
            </w:pPr>
            <w:r>
              <w:rPr>
                <w:sz w:val="21"/>
              </w:rPr>
              <w:t>平整。</w:t>
            </w:r>
          </w:p>
        </w:tc>
        <w:tc>
          <w:tcPr>
            <w:tcW w:w="1759" w:type="dxa"/>
          </w:tcPr>
          <w:p>
            <w:pPr>
              <w:pStyle w:val="14"/>
              <w:spacing w:before="151"/>
              <w:ind w:right="839"/>
              <w:jc w:val="right"/>
              <w:rPr>
                <w:rFonts w:ascii="Times New Roman"/>
                <w:sz w:val="21"/>
              </w:rPr>
            </w:pPr>
            <w:r>
              <w:rPr>
                <w:rFonts w:ascii="Times New Roman"/>
                <w:w w:val="99"/>
                <w:sz w:val="21"/>
              </w:rPr>
              <w:t>/</w:t>
            </w:r>
          </w:p>
        </w:tc>
        <w:tc>
          <w:tcPr>
            <w:tcW w:w="870" w:type="dxa"/>
          </w:tcPr>
          <w:p>
            <w:pPr>
              <w:pStyle w:val="14"/>
              <w:spacing w:before="151"/>
              <w:ind w:left="99" w:right="90"/>
              <w:rPr>
                <w:rFonts w:ascii="Times New Roman"/>
                <w:sz w:val="21"/>
              </w:rPr>
            </w:pPr>
            <w:r>
              <w:rPr>
                <w:rFonts w:ascii="Times New Roman"/>
                <w:sz w:val="21"/>
              </w:rPr>
              <w:t>30000</w:t>
            </w:r>
          </w:p>
        </w:tc>
        <w:tc>
          <w:tcPr>
            <w:tcW w:w="948" w:type="dxa"/>
          </w:tcPr>
          <w:p>
            <w:pPr>
              <w:pStyle w:val="14"/>
              <w:spacing w:before="151"/>
              <w:ind w:left="8"/>
              <w:rPr>
                <w:rFonts w:ascii="Times New Roman"/>
                <w:sz w:val="21"/>
              </w:rPr>
            </w:pPr>
            <w:r>
              <w:rPr>
                <w:rFonts w:ascii="Times New Roman"/>
                <w:w w:val="99"/>
                <w:sz w:val="21"/>
              </w:rPr>
              <w:t>0</w:t>
            </w:r>
          </w:p>
        </w:tc>
        <w:tc>
          <w:tcPr>
            <w:tcW w:w="1360" w:type="dxa"/>
          </w:tcPr>
          <w:p>
            <w:pPr>
              <w:pStyle w:val="14"/>
              <w:spacing w:before="151"/>
              <w:ind w:left="10"/>
              <w:rPr>
                <w:rFonts w:ascii="Times New Roman"/>
                <w:sz w:val="21"/>
              </w:rPr>
            </w:pPr>
            <w:r>
              <w:rPr>
                <w:rFonts w:ascii="Times New Roman"/>
                <w:w w:val="99"/>
                <w:sz w:val="21"/>
              </w:rPr>
              <w:t>/</w:t>
            </w:r>
          </w:p>
        </w:tc>
        <w:tc>
          <w:tcPr>
            <w:tcW w:w="1629" w:type="dxa"/>
          </w:tcPr>
          <w:p>
            <w:pPr>
              <w:pStyle w:val="14"/>
              <w:spacing w:before="151"/>
              <w:ind w:right="774"/>
              <w:jc w:val="right"/>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95" w:type="dxa"/>
            <w:vMerge w:val="continue"/>
            <w:tcBorders>
              <w:top w:val="nil"/>
            </w:tcBorders>
          </w:tcPr>
          <w:p>
            <w:pPr>
              <w:rPr>
                <w:sz w:val="2"/>
                <w:szCs w:val="2"/>
              </w:rPr>
            </w:pPr>
          </w:p>
        </w:tc>
        <w:tc>
          <w:tcPr>
            <w:tcW w:w="1560" w:type="dxa"/>
          </w:tcPr>
          <w:p>
            <w:pPr>
              <w:pStyle w:val="14"/>
              <w:spacing w:before="33"/>
              <w:ind w:left="25" w:right="15"/>
              <w:rPr>
                <w:sz w:val="21"/>
              </w:rPr>
            </w:pPr>
            <w:r>
              <w:rPr>
                <w:sz w:val="21"/>
              </w:rPr>
              <w:t>污水处理站污泥</w:t>
            </w:r>
          </w:p>
        </w:tc>
        <w:tc>
          <w:tcPr>
            <w:tcW w:w="3788" w:type="dxa"/>
          </w:tcPr>
          <w:p>
            <w:pPr>
              <w:pStyle w:val="14"/>
              <w:spacing w:before="33"/>
              <w:ind w:left="842"/>
              <w:jc w:val="left"/>
              <w:rPr>
                <w:sz w:val="21"/>
              </w:rPr>
            </w:pPr>
            <w:r>
              <w:rPr>
                <w:sz w:val="21"/>
              </w:rPr>
              <w:t>委托环卫部门统一清运</w:t>
            </w:r>
          </w:p>
        </w:tc>
        <w:tc>
          <w:tcPr>
            <w:tcW w:w="1759" w:type="dxa"/>
          </w:tcPr>
          <w:p>
            <w:pPr>
              <w:pStyle w:val="14"/>
              <w:spacing w:before="47"/>
              <w:ind w:right="839"/>
              <w:jc w:val="right"/>
              <w:rPr>
                <w:rFonts w:ascii="Times New Roman"/>
                <w:sz w:val="21"/>
              </w:rPr>
            </w:pPr>
            <w:r>
              <w:rPr>
                <w:rFonts w:ascii="Times New Roman"/>
                <w:w w:val="99"/>
                <w:sz w:val="21"/>
              </w:rPr>
              <w:t>/</w:t>
            </w:r>
          </w:p>
        </w:tc>
        <w:tc>
          <w:tcPr>
            <w:tcW w:w="870" w:type="dxa"/>
          </w:tcPr>
          <w:p>
            <w:pPr>
              <w:pStyle w:val="14"/>
              <w:spacing w:before="47"/>
              <w:ind w:left="97" w:right="91"/>
              <w:rPr>
                <w:rFonts w:ascii="Times New Roman"/>
                <w:sz w:val="21"/>
              </w:rPr>
            </w:pPr>
            <w:r>
              <w:rPr>
                <w:rFonts w:ascii="Times New Roman"/>
                <w:sz w:val="21"/>
              </w:rPr>
              <w:t>100</w:t>
            </w:r>
          </w:p>
        </w:tc>
        <w:tc>
          <w:tcPr>
            <w:tcW w:w="948" w:type="dxa"/>
          </w:tcPr>
          <w:p>
            <w:pPr>
              <w:pStyle w:val="14"/>
              <w:spacing w:before="47"/>
              <w:ind w:left="8"/>
              <w:rPr>
                <w:rFonts w:ascii="Times New Roman"/>
                <w:sz w:val="21"/>
              </w:rPr>
            </w:pPr>
            <w:r>
              <w:rPr>
                <w:rFonts w:ascii="Times New Roman"/>
                <w:w w:val="99"/>
                <w:sz w:val="21"/>
              </w:rPr>
              <w:t>0</w:t>
            </w:r>
          </w:p>
        </w:tc>
        <w:tc>
          <w:tcPr>
            <w:tcW w:w="1360" w:type="dxa"/>
          </w:tcPr>
          <w:p>
            <w:pPr>
              <w:pStyle w:val="14"/>
              <w:spacing w:before="47"/>
              <w:ind w:left="10"/>
              <w:rPr>
                <w:rFonts w:ascii="Times New Roman"/>
                <w:sz w:val="21"/>
              </w:rPr>
            </w:pPr>
            <w:r>
              <w:rPr>
                <w:rFonts w:ascii="Times New Roman"/>
                <w:w w:val="99"/>
                <w:sz w:val="21"/>
              </w:rPr>
              <w:t>/</w:t>
            </w:r>
          </w:p>
        </w:tc>
        <w:tc>
          <w:tcPr>
            <w:tcW w:w="1629" w:type="dxa"/>
          </w:tcPr>
          <w:p>
            <w:pPr>
              <w:pStyle w:val="14"/>
              <w:spacing w:before="47"/>
              <w:ind w:right="774"/>
              <w:jc w:val="right"/>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595" w:type="dxa"/>
            <w:vMerge w:val="continue"/>
            <w:tcBorders>
              <w:top w:val="nil"/>
            </w:tcBorders>
          </w:tcPr>
          <w:p>
            <w:pPr>
              <w:rPr>
                <w:sz w:val="2"/>
                <w:szCs w:val="2"/>
              </w:rPr>
            </w:pPr>
          </w:p>
        </w:tc>
        <w:tc>
          <w:tcPr>
            <w:tcW w:w="1560" w:type="dxa"/>
          </w:tcPr>
          <w:p>
            <w:pPr>
              <w:pStyle w:val="14"/>
              <w:spacing w:before="135"/>
              <w:ind w:left="25" w:right="15"/>
              <w:rPr>
                <w:sz w:val="21"/>
              </w:rPr>
            </w:pPr>
            <w:r>
              <w:rPr>
                <w:sz w:val="21"/>
              </w:rPr>
              <w:t>废机油</w:t>
            </w:r>
          </w:p>
        </w:tc>
        <w:tc>
          <w:tcPr>
            <w:tcW w:w="3788" w:type="dxa"/>
          </w:tcPr>
          <w:p>
            <w:pPr>
              <w:pStyle w:val="14"/>
              <w:ind w:left="11" w:right="7"/>
              <w:rPr>
                <w:sz w:val="21"/>
              </w:rPr>
            </w:pPr>
            <w:r>
              <w:rPr>
                <w:sz w:val="21"/>
              </w:rPr>
              <w:t>属于危险废物（</w:t>
            </w:r>
            <w:r>
              <w:rPr>
                <w:rFonts w:ascii="Times New Roman" w:eastAsia="Times New Roman"/>
                <w:sz w:val="21"/>
              </w:rPr>
              <w:t>HW08</w:t>
            </w:r>
            <w:r>
              <w:rPr>
                <w:sz w:val="21"/>
              </w:rPr>
              <w:t>），委托有资质单</w:t>
            </w:r>
          </w:p>
          <w:p>
            <w:pPr>
              <w:pStyle w:val="14"/>
              <w:spacing w:before="2" w:line="252" w:lineRule="exact"/>
              <w:ind w:left="16" w:right="7"/>
              <w:rPr>
                <w:sz w:val="21"/>
              </w:rPr>
            </w:pPr>
            <w:r>
              <w:rPr>
                <w:sz w:val="21"/>
              </w:rPr>
              <w:t>位处理</w:t>
            </w:r>
          </w:p>
        </w:tc>
        <w:tc>
          <w:tcPr>
            <w:tcW w:w="1759" w:type="dxa"/>
          </w:tcPr>
          <w:p>
            <w:pPr>
              <w:pStyle w:val="14"/>
              <w:spacing w:before="151"/>
              <w:ind w:right="839"/>
              <w:jc w:val="right"/>
              <w:rPr>
                <w:rFonts w:ascii="Times New Roman"/>
                <w:sz w:val="21"/>
              </w:rPr>
            </w:pPr>
            <w:r>
              <w:rPr>
                <w:rFonts w:ascii="Times New Roman"/>
                <w:w w:val="99"/>
                <w:sz w:val="21"/>
              </w:rPr>
              <w:t>/</w:t>
            </w:r>
          </w:p>
        </w:tc>
        <w:tc>
          <w:tcPr>
            <w:tcW w:w="870" w:type="dxa"/>
          </w:tcPr>
          <w:p>
            <w:pPr>
              <w:pStyle w:val="14"/>
              <w:spacing w:before="151"/>
              <w:ind w:left="99" w:right="90"/>
              <w:rPr>
                <w:rFonts w:ascii="Times New Roman"/>
                <w:sz w:val="21"/>
              </w:rPr>
            </w:pPr>
            <w:r>
              <w:rPr>
                <w:rFonts w:ascii="Times New Roman"/>
                <w:sz w:val="21"/>
              </w:rPr>
              <w:t>0.2</w:t>
            </w:r>
          </w:p>
        </w:tc>
        <w:tc>
          <w:tcPr>
            <w:tcW w:w="948" w:type="dxa"/>
          </w:tcPr>
          <w:p>
            <w:pPr>
              <w:pStyle w:val="14"/>
              <w:spacing w:before="151"/>
              <w:ind w:left="8"/>
              <w:rPr>
                <w:rFonts w:ascii="Times New Roman"/>
                <w:sz w:val="21"/>
              </w:rPr>
            </w:pPr>
            <w:r>
              <w:rPr>
                <w:rFonts w:ascii="Times New Roman"/>
                <w:w w:val="99"/>
                <w:sz w:val="21"/>
              </w:rPr>
              <w:t>0</w:t>
            </w:r>
          </w:p>
        </w:tc>
        <w:tc>
          <w:tcPr>
            <w:tcW w:w="1360" w:type="dxa"/>
          </w:tcPr>
          <w:p>
            <w:pPr>
              <w:pStyle w:val="14"/>
              <w:spacing w:before="151"/>
              <w:ind w:left="10"/>
              <w:rPr>
                <w:rFonts w:ascii="Times New Roman"/>
                <w:sz w:val="21"/>
              </w:rPr>
            </w:pPr>
            <w:r>
              <w:rPr>
                <w:rFonts w:ascii="Times New Roman"/>
                <w:w w:val="99"/>
                <w:sz w:val="21"/>
              </w:rPr>
              <w:t>/</w:t>
            </w:r>
          </w:p>
        </w:tc>
        <w:tc>
          <w:tcPr>
            <w:tcW w:w="1629" w:type="dxa"/>
          </w:tcPr>
          <w:p>
            <w:pPr>
              <w:pStyle w:val="14"/>
              <w:spacing w:before="151"/>
              <w:ind w:right="774"/>
              <w:jc w:val="right"/>
              <w:rPr>
                <w:rFonts w:ascii="Times New Roman"/>
                <w:sz w:val="21"/>
              </w:rPr>
            </w:pPr>
            <w:r>
              <w:rPr>
                <w:rFonts w:ascii="Times New Roman"/>
                <w:w w:val="99"/>
                <w:sz w:val="21"/>
              </w:rPr>
              <w:t>/</w:t>
            </w:r>
          </w:p>
        </w:tc>
      </w:tr>
    </w:tbl>
    <w:p>
      <w:pPr>
        <w:spacing w:after="0"/>
        <w:jc w:val="right"/>
        <w:rPr>
          <w:rFonts w:ascii="Times New Roman"/>
          <w:sz w:val="21"/>
        </w:rPr>
        <w:sectPr>
          <w:pgSz w:w="16840" w:h="11910" w:orient="landscape"/>
          <w:pgMar w:top="1100" w:right="2360" w:bottom="1240" w:left="1720" w:header="0" w:footer="1058" w:gutter="0"/>
        </w:sectPr>
      </w:pPr>
    </w:p>
    <w:p>
      <w:pPr>
        <w:pStyle w:val="3"/>
        <w:numPr>
          <w:ilvl w:val="1"/>
          <w:numId w:val="79"/>
        </w:numPr>
        <w:tabs>
          <w:tab w:val="left" w:pos="821"/>
        </w:tabs>
        <w:spacing w:before="44" w:after="0" w:line="240" w:lineRule="auto"/>
        <w:ind w:left="820" w:right="0" w:hanging="601"/>
        <w:jc w:val="left"/>
        <w:rPr>
          <w:rFonts w:ascii="Times New Roman" w:eastAsia="Times New Roman"/>
        </w:rPr>
      </w:pPr>
      <w:bookmarkStart w:id="1213" w:name="_bookmark77"/>
      <w:bookmarkEnd w:id="1213"/>
      <w:bookmarkStart w:id="1214" w:name="13.5排污口规划化管理"/>
      <w:bookmarkEnd w:id="1214"/>
      <w:bookmarkStart w:id="1215" w:name="_bookmark77"/>
      <w:bookmarkEnd w:id="1215"/>
      <w:r>
        <w:t>排污口规划化管理</w:t>
      </w:r>
    </w:p>
    <w:p>
      <w:pPr>
        <w:pStyle w:val="6"/>
        <w:spacing w:before="196" w:line="364" w:lineRule="auto"/>
        <w:ind w:left="220" w:right="337" w:firstLine="480"/>
        <w:jc w:val="both"/>
      </w:pPr>
      <w:r>
        <w:t>根据国家环境保护总局环发〔</w:t>
      </w:r>
      <w:r>
        <w:rPr>
          <w:rFonts w:ascii="Times New Roman" w:hAnsi="Times New Roman" w:eastAsia="Times New Roman"/>
        </w:rPr>
        <w:t>1999</w:t>
      </w:r>
      <w:r>
        <w:t>〕</w:t>
      </w:r>
      <w:r>
        <w:rPr>
          <w:rFonts w:ascii="Times New Roman" w:hAnsi="Times New Roman" w:eastAsia="Times New Roman"/>
        </w:rPr>
        <w:t xml:space="preserve">24 </w:t>
      </w:r>
      <w:r>
        <w:t>号文件的规定，一切新建、扩建、改建的排污单位必须在建设污染治理设施的同时建设规范化排污口，作为落实环境保护</w:t>
      </w:r>
      <w:r>
        <w:rPr>
          <w:rFonts w:ascii="Times New Roman" w:hAnsi="Times New Roman" w:eastAsia="Times New Roman"/>
        </w:rPr>
        <w:t>“</w:t>
      </w:r>
      <w:r>
        <w:t>三同时</w:t>
      </w:r>
      <w:r>
        <w:rPr>
          <w:rFonts w:ascii="Times New Roman" w:hAnsi="Times New Roman" w:eastAsia="Times New Roman"/>
        </w:rPr>
        <w:t xml:space="preserve">” </w:t>
      </w:r>
      <w:r>
        <w:t>制度的必要组成和项目验收内容之一。</w:t>
      </w:r>
    </w:p>
    <w:p>
      <w:pPr>
        <w:pStyle w:val="13"/>
        <w:numPr>
          <w:ilvl w:val="2"/>
          <w:numId w:val="100"/>
        </w:numPr>
        <w:tabs>
          <w:tab w:val="left" w:pos="1061"/>
        </w:tabs>
        <w:spacing w:before="0" w:after="0" w:line="240" w:lineRule="auto"/>
        <w:ind w:left="1060" w:right="0" w:hanging="841"/>
        <w:jc w:val="left"/>
        <w:rPr>
          <w:rFonts w:ascii="Times New Roman" w:eastAsia="Times New Roman"/>
          <w:b/>
          <w:sz w:val="28"/>
        </w:rPr>
      </w:pPr>
      <w:bookmarkStart w:id="1216" w:name="13.5.1 排污口规范化管理的基本原则"/>
      <w:bookmarkEnd w:id="1216"/>
      <w:bookmarkStart w:id="1217" w:name="13.5.1 排污口规范化管理的基本原则"/>
      <w:bookmarkEnd w:id="1217"/>
      <w:r>
        <w:rPr>
          <w:b/>
          <w:sz w:val="28"/>
        </w:rPr>
        <w:t>排污口规范化管理的基本原则</w:t>
      </w:r>
    </w:p>
    <w:p>
      <w:pPr>
        <w:pStyle w:val="13"/>
        <w:numPr>
          <w:ilvl w:val="3"/>
          <w:numId w:val="100"/>
        </w:numPr>
        <w:tabs>
          <w:tab w:val="left" w:pos="1302"/>
        </w:tabs>
        <w:spacing w:before="185" w:after="0" w:line="240" w:lineRule="auto"/>
        <w:ind w:left="1301" w:right="0" w:hanging="602"/>
        <w:jc w:val="left"/>
        <w:rPr>
          <w:sz w:val="24"/>
        </w:rPr>
      </w:pPr>
      <w:r>
        <w:rPr>
          <w:sz w:val="24"/>
        </w:rPr>
        <w:t>向环境排放污染物的排污口必须规范化。</w:t>
      </w:r>
    </w:p>
    <w:p>
      <w:pPr>
        <w:pStyle w:val="13"/>
        <w:numPr>
          <w:ilvl w:val="3"/>
          <w:numId w:val="100"/>
        </w:numPr>
        <w:tabs>
          <w:tab w:val="left" w:pos="1308"/>
        </w:tabs>
        <w:spacing w:before="155" w:after="0" w:line="364" w:lineRule="auto"/>
        <w:ind w:left="220" w:right="337" w:firstLine="480"/>
        <w:jc w:val="left"/>
        <w:rPr>
          <w:sz w:val="24"/>
        </w:rPr>
      </w:pPr>
      <w:r>
        <w:rPr>
          <w:position w:val="2"/>
          <w:sz w:val="24"/>
        </w:rPr>
        <w:t>列入总量控制指标的污染物中废水</w:t>
      </w:r>
      <w:r>
        <w:rPr>
          <w:rFonts w:ascii="Times New Roman" w:eastAsia="Times New Roman"/>
          <w:position w:val="2"/>
          <w:sz w:val="24"/>
        </w:rPr>
        <w:t>COD</w:t>
      </w:r>
      <w:r>
        <w:rPr>
          <w:position w:val="2"/>
          <w:sz w:val="24"/>
        </w:rPr>
        <w:t>、氨氮和废气排放的烟尘、</w:t>
      </w:r>
      <w:r>
        <w:rPr>
          <w:rFonts w:ascii="Times New Roman" w:eastAsia="Times New Roman"/>
          <w:position w:val="2"/>
          <w:sz w:val="24"/>
        </w:rPr>
        <w:t>NO</w:t>
      </w:r>
      <w:r>
        <w:rPr>
          <w:rFonts w:ascii="Times New Roman" w:eastAsia="Times New Roman"/>
          <w:position w:val="2"/>
          <w:sz w:val="24"/>
          <w:vertAlign w:val="subscript"/>
        </w:rPr>
        <w:t>x</w:t>
      </w:r>
      <w:r>
        <w:rPr>
          <w:position w:val="2"/>
          <w:sz w:val="24"/>
          <w:vertAlign w:val="baseline"/>
        </w:rPr>
        <w:t>、</w:t>
      </w:r>
      <w:r>
        <w:rPr>
          <w:rFonts w:ascii="Times New Roman" w:eastAsia="Times New Roman"/>
          <w:position w:val="2"/>
          <w:sz w:val="24"/>
          <w:vertAlign w:val="baseline"/>
        </w:rPr>
        <w:t>SO</w:t>
      </w:r>
      <w:r>
        <w:rPr>
          <w:rFonts w:ascii="Times New Roman" w:eastAsia="Times New Roman"/>
          <w:position w:val="2"/>
          <w:sz w:val="24"/>
          <w:vertAlign w:val="subscript"/>
        </w:rPr>
        <w:t xml:space="preserve">2 </w:t>
      </w:r>
      <w:r>
        <w:rPr>
          <w:sz w:val="24"/>
          <w:vertAlign w:val="baseline"/>
        </w:rPr>
        <w:t>为管理重点。</w:t>
      </w:r>
    </w:p>
    <w:p>
      <w:pPr>
        <w:pStyle w:val="13"/>
        <w:numPr>
          <w:ilvl w:val="3"/>
          <w:numId w:val="100"/>
        </w:numPr>
        <w:tabs>
          <w:tab w:val="left" w:pos="1302"/>
        </w:tabs>
        <w:spacing w:before="0" w:after="0" w:line="305" w:lineRule="exact"/>
        <w:ind w:left="1301" w:right="0" w:hanging="602"/>
        <w:jc w:val="left"/>
        <w:rPr>
          <w:sz w:val="24"/>
        </w:rPr>
      </w:pPr>
      <w:r>
        <w:rPr>
          <w:sz w:val="24"/>
        </w:rPr>
        <w:t>排污口应便于采样与计量监测，便于日常现场监督检查。</w:t>
      </w:r>
    </w:p>
    <w:p>
      <w:pPr>
        <w:pStyle w:val="4"/>
        <w:numPr>
          <w:ilvl w:val="2"/>
          <w:numId w:val="100"/>
        </w:numPr>
        <w:tabs>
          <w:tab w:val="left" w:pos="1061"/>
        </w:tabs>
        <w:spacing w:before="162" w:after="0" w:line="240" w:lineRule="auto"/>
        <w:ind w:left="1060" w:right="0" w:hanging="841"/>
        <w:jc w:val="left"/>
        <w:rPr>
          <w:rFonts w:ascii="Times New Roman" w:eastAsia="Times New Roman"/>
        </w:rPr>
      </w:pPr>
      <w:bookmarkStart w:id="1218" w:name="13.5.2 排污口的技术要求"/>
      <w:bookmarkEnd w:id="1218"/>
      <w:bookmarkStart w:id="1219" w:name="13.5.2 排污口的技术要求"/>
      <w:bookmarkEnd w:id="1219"/>
      <w:r>
        <w:t>排污口的技术要求</w:t>
      </w:r>
    </w:p>
    <w:p>
      <w:pPr>
        <w:pStyle w:val="13"/>
        <w:numPr>
          <w:ilvl w:val="0"/>
          <w:numId w:val="101"/>
        </w:numPr>
        <w:tabs>
          <w:tab w:val="left" w:pos="1302"/>
        </w:tabs>
        <w:spacing w:before="185" w:after="0" w:line="240" w:lineRule="auto"/>
        <w:ind w:left="1301" w:right="0" w:hanging="602"/>
        <w:jc w:val="left"/>
        <w:rPr>
          <w:sz w:val="24"/>
        </w:rPr>
      </w:pPr>
      <w:r>
        <w:rPr>
          <w:spacing w:val="-3"/>
          <w:sz w:val="24"/>
        </w:rPr>
        <w:t>排污口的位置必须合理确定，按环监〔</w:t>
      </w:r>
      <w:r>
        <w:rPr>
          <w:rFonts w:ascii="Times New Roman" w:eastAsia="Times New Roman"/>
          <w:sz w:val="24"/>
        </w:rPr>
        <w:t>1996</w:t>
      </w:r>
      <w:r>
        <w:rPr>
          <w:spacing w:val="-15"/>
          <w:sz w:val="24"/>
        </w:rPr>
        <w:t>〕</w:t>
      </w:r>
      <w:r>
        <w:rPr>
          <w:rFonts w:ascii="Times New Roman" w:eastAsia="Times New Roman"/>
          <w:sz w:val="24"/>
        </w:rPr>
        <w:t>470</w:t>
      </w:r>
      <w:r>
        <w:rPr>
          <w:sz w:val="24"/>
        </w:rPr>
        <w:t>号文件要求进行规范化管理。</w:t>
      </w:r>
    </w:p>
    <w:p>
      <w:pPr>
        <w:pStyle w:val="13"/>
        <w:numPr>
          <w:ilvl w:val="0"/>
          <w:numId w:val="101"/>
        </w:numPr>
        <w:tabs>
          <w:tab w:val="left" w:pos="1302"/>
        </w:tabs>
        <w:spacing w:before="158" w:after="0" w:line="364" w:lineRule="auto"/>
        <w:ind w:left="220" w:right="338" w:firstLine="480"/>
        <w:jc w:val="left"/>
        <w:rPr>
          <w:sz w:val="24"/>
        </w:rPr>
      </w:pPr>
      <w:r>
        <w:rPr>
          <w:spacing w:val="-5"/>
          <w:sz w:val="24"/>
        </w:rPr>
        <w:t>排放污染物的采样点设置应按《污染源监测技术规范》要求，设置在矿井水及</w:t>
      </w:r>
      <w:r>
        <w:rPr>
          <w:sz w:val="24"/>
        </w:rPr>
        <w:t>生活污水排放口、厂房排气筒等处。</w:t>
      </w:r>
    </w:p>
    <w:p>
      <w:pPr>
        <w:pStyle w:val="4"/>
        <w:numPr>
          <w:ilvl w:val="2"/>
          <w:numId w:val="100"/>
        </w:numPr>
        <w:tabs>
          <w:tab w:val="left" w:pos="1061"/>
        </w:tabs>
        <w:spacing w:before="0" w:after="0" w:line="358" w:lineRule="exact"/>
        <w:ind w:left="1060" w:right="0" w:hanging="841"/>
        <w:jc w:val="left"/>
        <w:rPr>
          <w:rFonts w:ascii="Times New Roman" w:eastAsia="Times New Roman"/>
        </w:rPr>
      </w:pPr>
      <w:bookmarkStart w:id="1220" w:name="13.5.3 排污口立标管理"/>
      <w:bookmarkEnd w:id="1220"/>
      <w:bookmarkStart w:id="1221" w:name="13.5.3 排污口立标管理"/>
      <w:bookmarkEnd w:id="1221"/>
      <w:r>
        <w:t>排污口立标管理</w:t>
      </w:r>
    </w:p>
    <w:p>
      <w:pPr>
        <w:pStyle w:val="13"/>
        <w:numPr>
          <w:ilvl w:val="0"/>
          <w:numId w:val="102"/>
        </w:numPr>
        <w:tabs>
          <w:tab w:val="left" w:pos="1302"/>
        </w:tabs>
        <w:spacing w:before="185" w:after="0" w:line="240" w:lineRule="auto"/>
        <w:ind w:left="1301" w:right="0" w:hanging="602"/>
        <w:jc w:val="left"/>
        <w:rPr>
          <w:rFonts w:ascii="Times New Roman" w:eastAsia="Times New Roman"/>
          <w:sz w:val="24"/>
        </w:rPr>
      </w:pPr>
      <w:r>
        <w:rPr>
          <w:sz w:val="24"/>
        </w:rPr>
        <w:t>企业污染物排放口的标志，应按国家《环境保护图形标志 排放口》（</w:t>
      </w:r>
      <w:r>
        <w:rPr>
          <w:rFonts w:ascii="Times New Roman" w:eastAsia="Times New Roman"/>
          <w:sz w:val="24"/>
        </w:rPr>
        <w:t>15562.1</w:t>
      </w:r>
    </w:p>
    <w:p>
      <w:pPr>
        <w:pStyle w:val="6"/>
        <w:spacing w:before="161" w:line="364" w:lineRule="auto"/>
        <w:ind w:left="220" w:right="223"/>
      </w:pPr>
      <w:r>
        <w:t>－</w:t>
      </w:r>
      <w:r>
        <w:rPr>
          <w:rFonts w:ascii="Times New Roman" w:eastAsia="Times New Roman"/>
        </w:rPr>
        <w:t>1995</w:t>
      </w:r>
      <w:r>
        <w:t>）及《环境保护图形标志 固体废物贮存（处置）场》（</w:t>
      </w:r>
      <w:r>
        <w:rPr>
          <w:rFonts w:ascii="Times New Roman" w:eastAsia="Times New Roman"/>
        </w:rPr>
        <w:t>15562.2</w:t>
      </w:r>
      <w:r>
        <w:t>－</w:t>
      </w:r>
      <w:r>
        <w:rPr>
          <w:rFonts w:ascii="Times New Roman" w:eastAsia="Times New Roman"/>
        </w:rPr>
        <w:t>1995</w:t>
      </w:r>
      <w:r>
        <w:t>）的规定， 设置国家环保总局统一制作的环境保护图形标志牌。示例见表</w:t>
      </w:r>
      <w:r>
        <w:rPr>
          <w:rFonts w:ascii="Times New Roman" w:eastAsia="Times New Roman"/>
        </w:rPr>
        <w:t>13.5-1</w:t>
      </w:r>
      <w:r>
        <w:t>。</w:t>
      </w:r>
    </w:p>
    <w:p>
      <w:pPr>
        <w:pStyle w:val="13"/>
        <w:numPr>
          <w:ilvl w:val="0"/>
          <w:numId w:val="102"/>
        </w:numPr>
        <w:tabs>
          <w:tab w:val="left" w:pos="1302"/>
        </w:tabs>
        <w:spacing w:before="0" w:after="3" w:line="362" w:lineRule="auto"/>
        <w:ind w:left="220" w:right="338" w:firstLine="480"/>
        <w:jc w:val="left"/>
        <w:rPr>
          <w:sz w:val="24"/>
        </w:rPr>
      </w:pPr>
      <w:r>
        <w:rPr>
          <w:spacing w:val="-1"/>
          <w:sz w:val="24"/>
        </w:rPr>
        <w:t>污染物排放口的环保图形标志牌应设置在靠近采样点的醒目处，标志牌设置</w:t>
      </w:r>
      <w:r>
        <w:rPr>
          <w:spacing w:val="-4"/>
          <w:sz w:val="24"/>
        </w:rPr>
        <w:t>高度为其上缘距地面</w:t>
      </w:r>
      <w:r>
        <w:rPr>
          <w:rFonts w:ascii="Times New Roman" w:eastAsia="Times New Roman"/>
          <w:sz w:val="24"/>
        </w:rPr>
        <w:t>2m</w:t>
      </w:r>
      <w:r>
        <w:rPr>
          <w:sz w:val="24"/>
        </w:rPr>
        <w:t>。</w:t>
      </w:r>
    </w:p>
    <w:p>
      <w:pPr>
        <w:pStyle w:val="6"/>
        <w:ind w:left="612"/>
        <w:rPr>
          <w:sz w:val="20"/>
        </w:rPr>
      </w:pPr>
      <w:r>
        <w:rPr>
          <w:sz w:val="20"/>
        </w:rPr>
        <w:drawing>
          <wp:inline distT="0" distB="0" distL="0" distR="0">
            <wp:extent cx="5348605" cy="2678430"/>
            <wp:effectExtent l="0" t="0" r="0" b="0"/>
            <wp:docPr id="7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4.jpeg"/>
                    <pic:cNvPicPr>
                      <a:picLocks noChangeAspect="1"/>
                    </pic:cNvPicPr>
                  </pic:nvPicPr>
                  <pic:blipFill>
                    <a:blip r:embed="rId80" cstate="print"/>
                    <a:stretch>
                      <a:fillRect/>
                    </a:stretch>
                  </pic:blipFill>
                  <pic:spPr>
                    <a:xfrm>
                      <a:off x="0" y="0"/>
                      <a:ext cx="5348833" cy="2679001"/>
                    </a:xfrm>
                    <a:prstGeom prst="rect">
                      <a:avLst/>
                    </a:prstGeom>
                  </pic:spPr>
                </pic:pic>
              </a:graphicData>
            </a:graphic>
          </wp:inline>
        </w:drawing>
      </w:r>
    </w:p>
    <w:p>
      <w:pPr>
        <w:spacing w:before="228"/>
        <w:ind w:left="0" w:right="140" w:firstLine="0"/>
        <w:jc w:val="center"/>
        <w:rPr>
          <w:b/>
          <w:sz w:val="21"/>
        </w:rPr>
      </w:pPr>
      <w:r>
        <w:rPr>
          <w:b/>
          <w:spacing w:val="-18"/>
          <w:sz w:val="21"/>
        </w:rPr>
        <w:t xml:space="preserve">图 </w:t>
      </w:r>
      <w:r>
        <w:rPr>
          <w:rFonts w:ascii="Times New Roman" w:eastAsia="Times New Roman"/>
          <w:b/>
          <w:spacing w:val="11"/>
          <w:sz w:val="21"/>
        </w:rPr>
        <w:t>13.5-1</w:t>
      </w:r>
      <w:r>
        <w:rPr>
          <w:rFonts w:ascii="Times New Roman" w:eastAsia="Times New Roman"/>
          <w:b/>
          <w:spacing w:val="72"/>
          <w:sz w:val="21"/>
        </w:rPr>
        <w:t xml:space="preserve"> </w:t>
      </w:r>
      <w:r>
        <w:rPr>
          <w:b/>
          <w:spacing w:val="22"/>
          <w:sz w:val="21"/>
        </w:rPr>
        <w:t>排污口图形标志示例</w:t>
      </w:r>
    </w:p>
    <w:p>
      <w:pPr>
        <w:spacing w:after="0"/>
        <w:jc w:val="center"/>
        <w:rPr>
          <w:sz w:val="21"/>
        </w:rPr>
        <w:sectPr>
          <w:footerReference r:id="rId32" w:type="default"/>
          <w:pgSz w:w="11910" w:h="16840"/>
          <w:pgMar w:top="1360" w:right="1020" w:bottom="1180" w:left="1140" w:header="0" w:footer="997" w:gutter="0"/>
          <w:pgNumType w:start="189"/>
        </w:sectPr>
      </w:pPr>
    </w:p>
    <w:p>
      <w:pPr>
        <w:pStyle w:val="5"/>
        <w:numPr>
          <w:ilvl w:val="2"/>
          <w:numId w:val="100"/>
        </w:numPr>
        <w:tabs>
          <w:tab w:val="left" w:pos="941"/>
        </w:tabs>
        <w:spacing w:before="78" w:after="0" w:line="240" w:lineRule="auto"/>
        <w:ind w:left="940" w:right="0" w:hanging="721"/>
        <w:jc w:val="left"/>
        <w:rPr>
          <w:rFonts w:ascii="Times New Roman" w:eastAsia="Times New Roman"/>
        </w:rPr>
      </w:pPr>
      <w:bookmarkStart w:id="1222" w:name="13.5.4 排污口建档管理"/>
      <w:bookmarkEnd w:id="1222"/>
      <w:bookmarkStart w:id="1223" w:name="13.5.4 排污口建档管理"/>
      <w:bookmarkEnd w:id="1223"/>
      <w:r>
        <w:t>排污口建档管理</w:t>
      </w:r>
    </w:p>
    <w:p>
      <w:pPr>
        <w:pStyle w:val="13"/>
        <w:numPr>
          <w:ilvl w:val="0"/>
          <w:numId w:val="103"/>
        </w:numPr>
        <w:tabs>
          <w:tab w:val="left" w:pos="1302"/>
        </w:tabs>
        <w:spacing w:before="158" w:after="0" w:line="364" w:lineRule="auto"/>
        <w:ind w:left="220" w:right="163" w:firstLine="480"/>
        <w:jc w:val="left"/>
        <w:rPr>
          <w:sz w:val="24"/>
        </w:rPr>
      </w:pPr>
      <w:r>
        <w:rPr>
          <w:spacing w:val="-5"/>
          <w:sz w:val="24"/>
        </w:rPr>
        <w:t>要求使用国家环保局统一印刷的《中华人民共和国规范化排污口标志登记证》</w:t>
      </w:r>
      <w:r>
        <w:rPr>
          <w:spacing w:val="-4"/>
          <w:sz w:val="24"/>
        </w:rPr>
        <w:t>，并按要求填写有关内容。</w:t>
      </w:r>
    </w:p>
    <w:p>
      <w:pPr>
        <w:pStyle w:val="13"/>
        <w:numPr>
          <w:ilvl w:val="0"/>
          <w:numId w:val="103"/>
        </w:numPr>
        <w:tabs>
          <w:tab w:val="left" w:pos="1302"/>
        </w:tabs>
        <w:spacing w:before="0" w:after="0" w:line="364" w:lineRule="auto"/>
        <w:ind w:left="220" w:right="337" w:firstLine="480"/>
        <w:jc w:val="left"/>
        <w:rPr>
          <w:sz w:val="24"/>
        </w:rPr>
      </w:pPr>
      <w:r>
        <w:rPr>
          <w:spacing w:val="-5"/>
          <w:sz w:val="24"/>
        </w:rPr>
        <w:t>根据排污口管理档案内容要求，项目建成后，应将主要污染物种类、数量、浓</w:t>
      </w:r>
      <w:r>
        <w:rPr>
          <w:sz w:val="24"/>
        </w:rPr>
        <w:t>度、排放去向、达标情况及设施运行情况记录于档案。</w:t>
      </w:r>
    </w:p>
    <w:p>
      <w:pPr>
        <w:pStyle w:val="4"/>
        <w:numPr>
          <w:ilvl w:val="1"/>
          <w:numId w:val="79"/>
        </w:numPr>
        <w:tabs>
          <w:tab w:val="left" w:pos="780"/>
        </w:tabs>
        <w:spacing w:before="0" w:after="0" w:line="358" w:lineRule="exact"/>
        <w:ind w:left="780" w:right="0" w:hanging="560"/>
        <w:jc w:val="left"/>
        <w:rPr>
          <w:rFonts w:ascii="Times New Roman" w:eastAsia="Times New Roman"/>
        </w:rPr>
      </w:pPr>
      <w:bookmarkStart w:id="1224" w:name="_bookmark78"/>
      <w:bookmarkEnd w:id="1224"/>
      <w:bookmarkStart w:id="1225" w:name="13.6环境保护竣工验收"/>
      <w:bookmarkEnd w:id="1225"/>
      <w:bookmarkStart w:id="1226" w:name="_bookmark78"/>
      <w:bookmarkEnd w:id="1226"/>
      <w:r>
        <w:t>环境保护竣工验收</w:t>
      </w:r>
    </w:p>
    <w:p>
      <w:pPr>
        <w:pStyle w:val="6"/>
        <w:spacing w:before="184" w:line="364" w:lineRule="auto"/>
        <w:ind w:left="220" w:right="338" w:firstLine="540"/>
      </w:pPr>
      <w:r>
        <w:t xml:space="preserve">本工程竣工后，应进行环保设施竣工验收，并应与主体工程同步进行，环保设施竣工验收主要内容表 </w:t>
      </w:r>
      <w:r>
        <w:rPr>
          <w:rFonts w:ascii="Times New Roman" w:eastAsia="Times New Roman"/>
        </w:rPr>
        <w:t>13.6-1</w:t>
      </w:r>
      <w:r>
        <w:t>。</w:t>
      </w:r>
    </w:p>
    <w:p>
      <w:pPr>
        <w:pStyle w:val="5"/>
        <w:tabs>
          <w:tab w:val="left" w:pos="4072"/>
        </w:tabs>
        <w:spacing w:before="1"/>
        <w:ind w:left="2913"/>
      </w:pPr>
      <w:r>
        <w:t>表</w:t>
      </w:r>
      <w:r>
        <w:rPr>
          <w:spacing w:val="-62"/>
        </w:rPr>
        <w:t xml:space="preserve"> </w:t>
      </w:r>
      <w:r>
        <w:rPr>
          <w:rFonts w:ascii="Times New Roman" w:eastAsia="Times New Roman"/>
        </w:rPr>
        <w:t>13.6-1</w:t>
      </w:r>
      <w:r>
        <w:rPr>
          <w:rFonts w:ascii="Times New Roman" w:eastAsia="Times New Roman"/>
        </w:rPr>
        <w:tab/>
      </w:r>
      <w:r>
        <w:t>环保设施竣工验收汇总表</w:t>
      </w:r>
    </w:p>
    <w:tbl>
      <w:tblPr>
        <w:tblStyle w:val="10"/>
        <w:tblW w:w="0" w:type="auto"/>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8"/>
        <w:gridCol w:w="2340"/>
        <w:gridCol w:w="3060"/>
        <w:gridCol w:w="29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008" w:type="dxa"/>
          </w:tcPr>
          <w:p>
            <w:pPr>
              <w:pStyle w:val="14"/>
              <w:spacing w:before="64"/>
              <w:ind w:left="273" w:right="264"/>
              <w:rPr>
                <w:sz w:val="21"/>
              </w:rPr>
            </w:pPr>
            <w:r>
              <w:rPr>
                <w:sz w:val="21"/>
              </w:rPr>
              <w:t>序号</w:t>
            </w:r>
          </w:p>
        </w:tc>
        <w:tc>
          <w:tcPr>
            <w:tcW w:w="2340" w:type="dxa"/>
          </w:tcPr>
          <w:p>
            <w:pPr>
              <w:pStyle w:val="14"/>
              <w:spacing w:before="64"/>
              <w:ind w:left="53" w:right="149"/>
              <w:rPr>
                <w:sz w:val="21"/>
              </w:rPr>
            </w:pPr>
            <w:r>
              <w:rPr>
                <w:sz w:val="21"/>
              </w:rPr>
              <w:t>项目</w:t>
            </w:r>
          </w:p>
        </w:tc>
        <w:tc>
          <w:tcPr>
            <w:tcW w:w="3060" w:type="dxa"/>
          </w:tcPr>
          <w:p>
            <w:pPr>
              <w:pStyle w:val="14"/>
              <w:spacing w:before="64"/>
              <w:ind w:left="91" w:right="190"/>
              <w:rPr>
                <w:sz w:val="21"/>
              </w:rPr>
            </w:pPr>
            <w:r>
              <w:rPr>
                <w:sz w:val="21"/>
              </w:rPr>
              <w:t>验收内容</w:t>
            </w:r>
          </w:p>
        </w:tc>
        <w:tc>
          <w:tcPr>
            <w:tcW w:w="2992" w:type="dxa"/>
          </w:tcPr>
          <w:p>
            <w:pPr>
              <w:pStyle w:val="14"/>
              <w:spacing w:before="64"/>
              <w:ind w:left="496"/>
              <w:jc w:val="left"/>
              <w:rPr>
                <w:sz w:val="21"/>
              </w:rPr>
            </w:pPr>
            <w:r>
              <w:rPr>
                <w:sz w:val="21"/>
              </w:rPr>
              <w:t>实施效果及控制目标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008" w:type="dxa"/>
          </w:tcPr>
          <w:p>
            <w:pPr>
              <w:pStyle w:val="14"/>
              <w:spacing w:before="65"/>
              <w:ind w:left="6"/>
              <w:rPr>
                <w:sz w:val="21"/>
              </w:rPr>
            </w:pPr>
            <w:r>
              <w:rPr>
                <w:w w:val="99"/>
                <w:sz w:val="21"/>
              </w:rPr>
              <w:t>一</w:t>
            </w:r>
          </w:p>
        </w:tc>
        <w:tc>
          <w:tcPr>
            <w:tcW w:w="2340" w:type="dxa"/>
          </w:tcPr>
          <w:p>
            <w:pPr>
              <w:pStyle w:val="14"/>
              <w:spacing w:before="65"/>
              <w:ind w:left="53" w:right="149"/>
              <w:rPr>
                <w:sz w:val="21"/>
              </w:rPr>
            </w:pPr>
            <w:r>
              <w:rPr>
                <w:sz w:val="21"/>
              </w:rPr>
              <w:t>水污染防治措施</w:t>
            </w:r>
          </w:p>
        </w:tc>
        <w:tc>
          <w:tcPr>
            <w:tcW w:w="3060" w:type="dxa"/>
          </w:tcPr>
          <w:p>
            <w:pPr>
              <w:pStyle w:val="14"/>
              <w:jc w:val="left"/>
              <w:rPr>
                <w:rFonts w:ascii="Times New Roman"/>
                <w:sz w:val="20"/>
              </w:rPr>
            </w:pPr>
          </w:p>
        </w:tc>
        <w:tc>
          <w:tcPr>
            <w:tcW w:w="2992" w:type="dxa"/>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0" w:hRule="atLeast"/>
        </w:trPr>
        <w:tc>
          <w:tcPr>
            <w:tcW w:w="1008" w:type="dxa"/>
          </w:tcPr>
          <w:p>
            <w:pPr>
              <w:pStyle w:val="14"/>
              <w:jc w:val="left"/>
              <w:rPr>
                <w:b/>
                <w:sz w:val="22"/>
              </w:rPr>
            </w:pPr>
          </w:p>
          <w:p>
            <w:pPr>
              <w:pStyle w:val="14"/>
              <w:spacing w:before="141"/>
              <w:ind w:left="8"/>
              <w:rPr>
                <w:rFonts w:ascii="Times New Roman"/>
                <w:sz w:val="21"/>
              </w:rPr>
            </w:pPr>
            <w:r>
              <w:rPr>
                <w:rFonts w:ascii="Times New Roman"/>
                <w:w w:val="99"/>
                <w:sz w:val="21"/>
              </w:rPr>
              <w:t>1</w:t>
            </w:r>
          </w:p>
        </w:tc>
        <w:tc>
          <w:tcPr>
            <w:tcW w:w="2340" w:type="dxa"/>
          </w:tcPr>
          <w:p>
            <w:pPr>
              <w:pStyle w:val="14"/>
              <w:jc w:val="left"/>
              <w:rPr>
                <w:b/>
                <w:sz w:val="20"/>
              </w:rPr>
            </w:pPr>
          </w:p>
          <w:p>
            <w:pPr>
              <w:pStyle w:val="14"/>
              <w:spacing w:before="153"/>
              <w:ind w:left="53" w:right="149"/>
              <w:rPr>
                <w:sz w:val="21"/>
              </w:rPr>
            </w:pPr>
            <w:r>
              <w:rPr>
                <w:sz w:val="21"/>
              </w:rPr>
              <w:t>生活污水处理</w:t>
            </w:r>
          </w:p>
        </w:tc>
        <w:tc>
          <w:tcPr>
            <w:tcW w:w="3060" w:type="dxa"/>
          </w:tcPr>
          <w:p>
            <w:pPr>
              <w:pStyle w:val="14"/>
              <w:spacing w:before="3"/>
              <w:jc w:val="left"/>
              <w:rPr>
                <w:b/>
                <w:sz w:val="21"/>
              </w:rPr>
            </w:pPr>
          </w:p>
          <w:p>
            <w:pPr>
              <w:pStyle w:val="14"/>
              <w:spacing w:line="242" w:lineRule="auto"/>
              <w:ind w:left="1425" w:right="77" w:hanging="1380"/>
              <w:jc w:val="left"/>
              <w:rPr>
                <w:sz w:val="21"/>
              </w:rPr>
            </w:pPr>
            <w:r>
              <w:rPr>
                <w:sz w:val="21"/>
              </w:rPr>
              <w:t xml:space="preserve">处理规模 </w:t>
            </w:r>
            <w:r>
              <w:rPr>
                <w:rFonts w:ascii="Times New Roman" w:eastAsia="Times New Roman"/>
                <w:sz w:val="21"/>
              </w:rPr>
              <w:t>360m</w:t>
            </w:r>
            <w:r>
              <w:rPr>
                <w:rFonts w:ascii="Times New Roman" w:eastAsia="Times New Roman"/>
                <w:position w:val="7"/>
                <w:sz w:val="13"/>
              </w:rPr>
              <w:t>3</w:t>
            </w:r>
            <w:r>
              <w:rPr>
                <w:rFonts w:ascii="Times New Roman" w:eastAsia="Times New Roman"/>
                <w:sz w:val="21"/>
              </w:rPr>
              <w:t>/d</w:t>
            </w:r>
            <w:r>
              <w:rPr>
                <w:sz w:val="21"/>
              </w:rPr>
              <w:t>，二级生物处理</w:t>
            </w:r>
          </w:p>
        </w:tc>
        <w:tc>
          <w:tcPr>
            <w:tcW w:w="2992" w:type="dxa"/>
          </w:tcPr>
          <w:p>
            <w:pPr>
              <w:pStyle w:val="14"/>
              <w:spacing w:before="1" w:line="242" w:lineRule="auto"/>
              <w:ind w:left="865" w:right="121" w:hanging="843"/>
              <w:jc w:val="left"/>
              <w:rPr>
                <w:sz w:val="21"/>
              </w:rPr>
            </w:pPr>
            <w:r>
              <w:rPr>
                <w:sz w:val="21"/>
              </w:rPr>
              <w:t>满足《城市污水再生利用 城市杂用水水质》</w:t>
            </w:r>
          </w:p>
          <w:p>
            <w:pPr>
              <w:pStyle w:val="14"/>
              <w:spacing w:line="268" w:lineRule="exact"/>
              <w:ind w:left="107" w:right="-15"/>
              <w:jc w:val="left"/>
              <w:rPr>
                <w:sz w:val="21"/>
              </w:rPr>
            </w:pPr>
            <w:r>
              <w:rPr>
                <w:spacing w:val="-5"/>
                <w:sz w:val="21"/>
              </w:rPr>
              <w:t>（</w:t>
            </w:r>
            <w:r>
              <w:rPr>
                <w:rFonts w:ascii="Times New Roman" w:eastAsia="Times New Roman"/>
                <w:spacing w:val="-5"/>
                <w:sz w:val="21"/>
              </w:rPr>
              <w:t>GB/T18920-2002</w:t>
            </w:r>
            <w:r>
              <w:rPr>
                <w:spacing w:val="-5"/>
                <w:sz w:val="21"/>
              </w:rPr>
              <w:t>）</w:t>
            </w:r>
            <w:r>
              <w:rPr>
                <w:sz w:val="21"/>
              </w:rPr>
              <w:t>道路清扫、</w:t>
            </w:r>
          </w:p>
          <w:p>
            <w:pPr>
              <w:pStyle w:val="14"/>
              <w:spacing w:before="5" w:line="252" w:lineRule="exact"/>
              <w:ind w:left="760"/>
              <w:jc w:val="left"/>
              <w:rPr>
                <w:sz w:val="21"/>
              </w:rPr>
            </w:pPr>
            <w:r>
              <w:rPr>
                <w:sz w:val="21"/>
              </w:rPr>
              <w:t>消防用水标准。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1008" w:type="dxa"/>
          </w:tcPr>
          <w:p>
            <w:pPr>
              <w:pStyle w:val="14"/>
              <w:spacing w:before="4"/>
              <w:jc w:val="left"/>
              <w:rPr>
                <w:b/>
                <w:sz w:val="22"/>
              </w:rPr>
            </w:pPr>
          </w:p>
          <w:p>
            <w:pPr>
              <w:pStyle w:val="14"/>
              <w:ind w:left="8"/>
              <w:rPr>
                <w:rFonts w:ascii="Times New Roman"/>
                <w:sz w:val="21"/>
              </w:rPr>
            </w:pPr>
            <w:r>
              <w:rPr>
                <w:rFonts w:ascii="Times New Roman"/>
                <w:w w:val="99"/>
                <w:sz w:val="21"/>
              </w:rPr>
              <w:t>2</w:t>
            </w:r>
          </w:p>
        </w:tc>
        <w:tc>
          <w:tcPr>
            <w:tcW w:w="2340" w:type="dxa"/>
          </w:tcPr>
          <w:p>
            <w:pPr>
              <w:pStyle w:val="14"/>
              <w:spacing w:before="2"/>
              <w:jc w:val="left"/>
              <w:rPr>
                <w:b/>
                <w:sz w:val="21"/>
              </w:rPr>
            </w:pPr>
          </w:p>
          <w:p>
            <w:pPr>
              <w:pStyle w:val="14"/>
              <w:spacing w:before="1"/>
              <w:ind w:left="53" w:right="152"/>
              <w:rPr>
                <w:sz w:val="21"/>
              </w:rPr>
            </w:pPr>
            <w:r>
              <w:rPr>
                <w:sz w:val="21"/>
              </w:rPr>
              <w:t>矿井水处理</w:t>
            </w:r>
          </w:p>
        </w:tc>
        <w:tc>
          <w:tcPr>
            <w:tcW w:w="3060" w:type="dxa"/>
          </w:tcPr>
          <w:p>
            <w:pPr>
              <w:pStyle w:val="14"/>
              <w:spacing w:before="135" w:line="244" w:lineRule="auto"/>
              <w:ind w:left="244" w:right="16" w:hanging="243"/>
              <w:jc w:val="left"/>
              <w:rPr>
                <w:sz w:val="21"/>
              </w:rPr>
            </w:pPr>
            <w:r>
              <w:rPr>
                <w:sz w:val="21"/>
              </w:rPr>
              <w:t xml:space="preserve">处理规模 </w:t>
            </w:r>
            <w:r>
              <w:rPr>
                <w:rFonts w:ascii="Times New Roman" w:eastAsia="Times New Roman"/>
                <w:sz w:val="21"/>
              </w:rPr>
              <w:t>3720m</w:t>
            </w:r>
            <w:r>
              <w:rPr>
                <w:rFonts w:ascii="Times New Roman" w:eastAsia="Times New Roman"/>
                <w:position w:val="7"/>
                <w:sz w:val="13"/>
              </w:rPr>
              <w:t>3</w:t>
            </w:r>
            <w:r>
              <w:rPr>
                <w:rFonts w:ascii="Times New Roman" w:eastAsia="Times New Roman"/>
                <w:sz w:val="21"/>
              </w:rPr>
              <w:t>/d</w:t>
            </w:r>
            <w:r>
              <w:rPr>
                <w:sz w:val="21"/>
              </w:rPr>
              <w:t>，主体工艺： 调节</w:t>
            </w:r>
            <w:r>
              <w:rPr>
                <w:rFonts w:ascii="Times New Roman" w:eastAsia="Times New Roman"/>
                <w:sz w:val="21"/>
              </w:rPr>
              <w:t>+</w:t>
            </w:r>
            <w:r>
              <w:rPr>
                <w:sz w:val="21"/>
              </w:rPr>
              <w:t>絮凝</w:t>
            </w:r>
            <w:r>
              <w:rPr>
                <w:rFonts w:ascii="Times New Roman" w:eastAsia="Times New Roman"/>
                <w:sz w:val="21"/>
              </w:rPr>
              <w:t>+</w:t>
            </w:r>
            <w:r>
              <w:rPr>
                <w:sz w:val="21"/>
              </w:rPr>
              <w:t>沉淀</w:t>
            </w:r>
            <w:r>
              <w:rPr>
                <w:rFonts w:ascii="Times New Roman" w:eastAsia="Times New Roman"/>
                <w:sz w:val="21"/>
              </w:rPr>
              <w:t>+</w:t>
            </w:r>
            <w:r>
              <w:rPr>
                <w:sz w:val="21"/>
              </w:rPr>
              <w:t>过滤</w:t>
            </w:r>
            <w:r>
              <w:rPr>
                <w:rFonts w:ascii="Times New Roman" w:eastAsia="Times New Roman"/>
                <w:sz w:val="21"/>
              </w:rPr>
              <w:t>+</w:t>
            </w:r>
            <w:r>
              <w:rPr>
                <w:sz w:val="21"/>
              </w:rPr>
              <w:t>消毒</w:t>
            </w:r>
          </w:p>
        </w:tc>
        <w:tc>
          <w:tcPr>
            <w:tcW w:w="2992" w:type="dxa"/>
          </w:tcPr>
          <w:p>
            <w:pPr>
              <w:pStyle w:val="14"/>
              <w:spacing w:before="1" w:line="242" w:lineRule="auto"/>
              <w:ind w:left="76" w:right="96" w:hanging="78"/>
              <w:rPr>
                <w:rFonts w:ascii="Times New Roman" w:eastAsia="Times New Roman"/>
                <w:sz w:val="21"/>
              </w:rPr>
            </w:pPr>
            <w:r>
              <w:rPr>
                <w:sz w:val="21"/>
              </w:rPr>
              <w:t>满足《煤炭工业污染物排放标</w:t>
            </w:r>
            <w:r>
              <w:rPr>
                <w:spacing w:val="-13"/>
                <w:sz w:val="21"/>
              </w:rPr>
              <w:t>准》</w:t>
            </w:r>
            <w:r>
              <w:rPr>
                <w:sz w:val="21"/>
              </w:rPr>
              <w:t>（</w:t>
            </w:r>
            <w:r>
              <w:rPr>
                <w:rFonts w:ascii="Times New Roman" w:eastAsia="Times New Roman"/>
                <w:sz w:val="21"/>
              </w:rPr>
              <w:t>GB20426-2006</w:t>
            </w:r>
            <w:r>
              <w:rPr>
                <w:sz w:val="21"/>
              </w:rPr>
              <w:t>）</w:t>
            </w:r>
            <w:r>
              <w:rPr>
                <w:spacing w:val="-34"/>
                <w:sz w:val="21"/>
              </w:rPr>
              <w:t xml:space="preserve">表 </w:t>
            </w:r>
            <w:r>
              <w:rPr>
                <w:rFonts w:ascii="Times New Roman" w:eastAsia="Times New Roman"/>
                <w:sz w:val="21"/>
              </w:rPr>
              <w:t>1</w:t>
            </w:r>
            <w:r>
              <w:rPr>
                <w:spacing w:val="-15"/>
                <w:sz w:val="21"/>
              </w:rPr>
              <w:t>、</w:t>
            </w:r>
            <w:r>
              <w:rPr>
                <w:rFonts w:ascii="Times New Roman" w:eastAsia="Times New Roman"/>
                <w:sz w:val="21"/>
              </w:rPr>
              <w:t>2</w:t>
            </w:r>
          </w:p>
          <w:p>
            <w:pPr>
              <w:pStyle w:val="14"/>
              <w:spacing w:line="253" w:lineRule="exact"/>
              <w:ind w:left="5"/>
              <w:rPr>
                <w:sz w:val="21"/>
              </w:rPr>
            </w:pPr>
            <w:r>
              <w:rPr>
                <w:sz w:val="21"/>
              </w:rPr>
              <w:t>标准限值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008" w:type="dxa"/>
          </w:tcPr>
          <w:p>
            <w:pPr>
              <w:pStyle w:val="14"/>
              <w:spacing w:before="64"/>
              <w:ind w:left="6"/>
              <w:rPr>
                <w:sz w:val="21"/>
              </w:rPr>
            </w:pPr>
            <w:r>
              <w:rPr>
                <w:w w:val="99"/>
                <w:sz w:val="21"/>
              </w:rPr>
              <w:t>二</w:t>
            </w:r>
          </w:p>
        </w:tc>
        <w:tc>
          <w:tcPr>
            <w:tcW w:w="2340" w:type="dxa"/>
          </w:tcPr>
          <w:p>
            <w:pPr>
              <w:pStyle w:val="14"/>
              <w:spacing w:before="64"/>
              <w:ind w:left="53" w:right="152"/>
              <w:rPr>
                <w:sz w:val="21"/>
              </w:rPr>
            </w:pPr>
            <w:r>
              <w:rPr>
                <w:sz w:val="21"/>
              </w:rPr>
              <w:t>大气污染防治措施</w:t>
            </w:r>
          </w:p>
        </w:tc>
        <w:tc>
          <w:tcPr>
            <w:tcW w:w="3060" w:type="dxa"/>
          </w:tcPr>
          <w:p>
            <w:pPr>
              <w:pStyle w:val="14"/>
              <w:jc w:val="left"/>
              <w:rPr>
                <w:rFonts w:ascii="Times New Roman"/>
                <w:sz w:val="20"/>
              </w:rPr>
            </w:pPr>
          </w:p>
        </w:tc>
        <w:tc>
          <w:tcPr>
            <w:tcW w:w="2992" w:type="dxa"/>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1" w:hRule="atLeast"/>
        </w:trPr>
        <w:tc>
          <w:tcPr>
            <w:tcW w:w="1008" w:type="dxa"/>
          </w:tcPr>
          <w:p>
            <w:pPr>
              <w:pStyle w:val="14"/>
              <w:jc w:val="left"/>
              <w:rPr>
                <w:b/>
                <w:sz w:val="22"/>
              </w:rPr>
            </w:pPr>
          </w:p>
          <w:p>
            <w:pPr>
              <w:pStyle w:val="14"/>
              <w:jc w:val="left"/>
              <w:rPr>
                <w:b/>
                <w:sz w:val="22"/>
              </w:rPr>
            </w:pPr>
          </w:p>
          <w:p>
            <w:pPr>
              <w:pStyle w:val="14"/>
              <w:jc w:val="left"/>
              <w:rPr>
                <w:b/>
                <w:sz w:val="22"/>
              </w:rPr>
            </w:pPr>
          </w:p>
          <w:p>
            <w:pPr>
              <w:pStyle w:val="14"/>
              <w:spacing w:before="2"/>
              <w:jc w:val="left"/>
              <w:rPr>
                <w:b/>
                <w:sz w:val="22"/>
              </w:rPr>
            </w:pPr>
          </w:p>
          <w:p>
            <w:pPr>
              <w:pStyle w:val="14"/>
              <w:ind w:left="8"/>
              <w:rPr>
                <w:rFonts w:ascii="Times New Roman"/>
                <w:sz w:val="21"/>
              </w:rPr>
            </w:pPr>
            <w:r>
              <w:rPr>
                <w:rFonts w:ascii="Times New Roman"/>
                <w:w w:val="99"/>
                <w:sz w:val="21"/>
              </w:rPr>
              <w:t>1</w:t>
            </w:r>
          </w:p>
        </w:tc>
        <w:tc>
          <w:tcPr>
            <w:tcW w:w="2340" w:type="dxa"/>
          </w:tcPr>
          <w:p>
            <w:pPr>
              <w:pStyle w:val="14"/>
              <w:jc w:val="left"/>
              <w:rPr>
                <w:b/>
                <w:sz w:val="20"/>
              </w:rPr>
            </w:pPr>
          </w:p>
          <w:p>
            <w:pPr>
              <w:pStyle w:val="14"/>
              <w:jc w:val="left"/>
              <w:rPr>
                <w:b/>
                <w:sz w:val="20"/>
              </w:rPr>
            </w:pPr>
          </w:p>
          <w:p>
            <w:pPr>
              <w:pStyle w:val="14"/>
              <w:jc w:val="left"/>
              <w:rPr>
                <w:b/>
                <w:sz w:val="20"/>
              </w:rPr>
            </w:pPr>
          </w:p>
          <w:p>
            <w:pPr>
              <w:pStyle w:val="14"/>
              <w:spacing w:before="11"/>
              <w:jc w:val="left"/>
              <w:rPr>
                <w:b/>
                <w:sz w:val="26"/>
              </w:rPr>
            </w:pPr>
          </w:p>
          <w:p>
            <w:pPr>
              <w:pStyle w:val="14"/>
              <w:ind w:left="53" w:right="149"/>
              <w:rPr>
                <w:sz w:val="21"/>
              </w:rPr>
            </w:pPr>
            <w:r>
              <w:rPr>
                <w:sz w:val="21"/>
              </w:rPr>
              <w:t>锅炉及热风炉</w:t>
            </w:r>
          </w:p>
        </w:tc>
        <w:tc>
          <w:tcPr>
            <w:tcW w:w="3060" w:type="dxa"/>
          </w:tcPr>
          <w:p>
            <w:pPr>
              <w:pStyle w:val="14"/>
              <w:jc w:val="left"/>
              <w:rPr>
                <w:b/>
                <w:sz w:val="20"/>
              </w:rPr>
            </w:pPr>
          </w:p>
          <w:p>
            <w:pPr>
              <w:pStyle w:val="14"/>
              <w:jc w:val="left"/>
              <w:rPr>
                <w:b/>
                <w:sz w:val="20"/>
              </w:rPr>
            </w:pPr>
          </w:p>
          <w:p>
            <w:pPr>
              <w:pStyle w:val="14"/>
              <w:jc w:val="left"/>
              <w:rPr>
                <w:b/>
                <w:sz w:val="20"/>
              </w:rPr>
            </w:pPr>
          </w:p>
          <w:p>
            <w:pPr>
              <w:pStyle w:val="14"/>
              <w:spacing w:before="5"/>
              <w:jc w:val="left"/>
              <w:rPr>
                <w:b/>
                <w:sz w:val="16"/>
              </w:rPr>
            </w:pPr>
          </w:p>
          <w:p>
            <w:pPr>
              <w:pStyle w:val="14"/>
              <w:spacing w:line="242" w:lineRule="auto"/>
              <w:ind w:left="1425" w:right="103" w:hanging="1419"/>
              <w:jc w:val="left"/>
              <w:rPr>
                <w:sz w:val="21"/>
              </w:rPr>
            </w:pPr>
            <w:r>
              <w:rPr>
                <w:sz w:val="21"/>
              </w:rPr>
              <w:t>锅炉燃用生物质锅炉及布袋除尘器</w:t>
            </w:r>
          </w:p>
        </w:tc>
        <w:tc>
          <w:tcPr>
            <w:tcW w:w="2992" w:type="dxa"/>
          </w:tcPr>
          <w:p>
            <w:pPr>
              <w:pStyle w:val="14"/>
              <w:spacing w:line="242" w:lineRule="auto"/>
              <w:ind w:left="-1" w:right="97" w:hanging="1"/>
              <w:rPr>
                <w:sz w:val="21"/>
              </w:rPr>
            </w:pPr>
            <w:r>
              <w:rPr>
                <w:spacing w:val="-8"/>
                <w:w w:val="95"/>
                <w:sz w:val="21"/>
              </w:rPr>
              <w:t>锅炉满足《锅炉大气污染物排放</w:t>
            </w:r>
            <w:r>
              <w:rPr>
                <w:spacing w:val="-8"/>
                <w:sz w:val="21"/>
              </w:rPr>
              <w:t>标准》（</w:t>
            </w:r>
            <w:r>
              <w:rPr>
                <w:rFonts w:ascii="Times New Roman" w:hAnsi="Times New Roman" w:eastAsia="Times New Roman"/>
                <w:spacing w:val="-8"/>
                <w:sz w:val="21"/>
              </w:rPr>
              <w:t>GB13271-2014</w:t>
            </w:r>
            <w:r>
              <w:rPr>
                <w:spacing w:val="-8"/>
                <w:sz w:val="21"/>
              </w:rPr>
              <w:t>）标准</w:t>
            </w:r>
            <w:r>
              <w:rPr>
                <w:spacing w:val="-14"/>
                <w:sz w:val="21"/>
              </w:rPr>
              <w:t xml:space="preserve">限值要求，烟尘 </w:t>
            </w:r>
            <w:r>
              <w:rPr>
                <w:rFonts w:ascii="Times New Roman" w:hAnsi="Times New Roman" w:eastAsia="Times New Roman"/>
                <w:sz w:val="21"/>
              </w:rPr>
              <w:t>50mg/m</w:t>
            </w:r>
            <w:r>
              <w:rPr>
                <w:rFonts w:ascii="Times New Roman" w:hAnsi="Times New Roman" w:eastAsia="Times New Roman"/>
                <w:position w:val="7"/>
                <w:sz w:val="13"/>
              </w:rPr>
              <w:t>3</w:t>
            </w:r>
            <w:r>
              <w:rPr>
                <w:sz w:val="21"/>
              </w:rPr>
              <w:t xml:space="preserve">， </w:t>
            </w:r>
            <w:r>
              <w:rPr>
                <w:rFonts w:ascii="Times New Roman" w:hAnsi="Times New Roman" w:eastAsia="Times New Roman"/>
                <w:position w:val="2"/>
                <w:sz w:val="21"/>
              </w:rPr>
              <w:t>SO</w:t>
            </w:r>
            <w:r>
              <w:rPr>
                <w:rFonts w:ascii="Times New Roman" w:hAnsi="Times New Roman" w:eastAsia="Times New Roman"/>
                <w:position w:val="2"/>
                <w:sz w:val="21"/>
                <w:vertAlign w:val="subscript"/>
              </w:rPr>
              <w:t>2</w:t>
            </w:r>
            <w:r>
              <w:rPr>
                <w:rFonts w:ascii="Times New Roman" w:hAnsi="Times New Roman" w:eastAsia="Times New Roman"/>
                <w:position w:val="2"/>
                <w:sz w:val="21"/>
                <w:vertAlign w:val="baseline"/>
              </w:rPr>
              <w:t>≤300 mg/m</w:t>
            </w:r>
            <w:r>
              <w:rPr>
                <w:rFonts w:ascii="Times New Roman" w:hAnsi="Times New Roman" w:eastAsia="Times New Roman"/>
                <w:position w:val="2"/>
                <w:sz w:val="21"/>
                <w:vertAlign w:val="superscript"/>
              </w:rPr>
              <w:t>3</w:t>
            </w:r>
            <w:r>
              <w:rPr>
                <w:position w:val="2"/>
                <w:sz w:val="21"/>
                <w:vertAlign w:val="baseline"/>
              </w:rPr>
              <w:t>，</w:t>
            </w:r>
            <w:r>
              <w:rPr>
                <w:rFonts w:ascii="Times New Roman" w:hAnsi="Times New Roman" w:eastAsia="Times New Roman"/>
                <w:position w:val="2"/>
                <w:sz w:val="21"/>
                <w:vertAlign w:val="baseline"/>
              </w:rPr>
              <w:t>NO</w:t>
            </w:r>
            <w:r>
              <w:rPr>
                <w:rFonts w:ascii="Times New Roman" w:hAnsi="Times New Roman" w:eastAsia="Times New Roman"/>
                <w:position w:val="2"/>
                <w:sz w:val="21"/>
                <w:vertAlign w:val="subscript"/>
              </w:rPr>
              <w:t>2</w:t>
            </w:r>
            <w:r>
              <w:rPr>
                <w:rFonts w:ascii="Times New Roman" w:hAnsi="Times New Roman" w:eastAsia="Times New Roman"/>
                <w:position w:val="2"/>
                <w:sz w:val="21"/>
                <w:vertAlign w:val="baseline"/>
              </w:rPr>
              <w:t xml:space="preserve">≤300 </w:t>
            </w:r>
            <w:r>
              <w:rPr>
                <w:rFonts w:ascii="Times New Roman" w:hAnsi="Times New Roman" w:eastAsia="Times New Roman"/>
                <w:spacing w:val="-8"/>
                <w:sz w:val="21"/>
                <w:vertAlign w:val="baseline"/>
              </w:rPr>
              <w:t>mg/m</w:t>
            </w:r>
            <w:r>
              <w:rPr>
                <w:rFonts w:ascii="Times New Roman" w:hAnsi="Times New Roman" w:eastAsia="Times New Roman"/>
                <w:spacing w:val="-8"/>
                <w:position w:val="7"/>
                <w:sz w:val="13"/>
                <w:vertAlign w:val="baseline"/>
              </w:rPr>
              <w:t>3</w:t>
            </w:r>
            <w:r>
              <w:rPr>
                <w:spacing w:val="-8"/>
                <w:sz w:val="21"/>
                <w:vertAlign w:val="baseline"/>
              </w:rPr>
              <w:t>；热风炉满足《工业炉窑大气污染物排放标准》</w:t>
            </w:r>
          </w:p>
          <w:p>
            <w:pPr>
              <w:pStyle w:val="14"/>
              <w:spacing w:line="267" w:lineRule="exact"/>
              <w:ind w:left="13"/>
              <w:rPr>
                <w:rFonts w:ascii="Times New Roman" w:eastAsia="Times New Roman"/>
                <w:sz w:val="21"/>
              </w:rPr>
            </w:pPr>
            <w:r>
              <w:rPr>
                <w:sz w:val="21"/>
              </w:rPr>
              <w:t>（</w:t>
            </w:r>
            <w:r>
              <w:rPr>
                <w:rFonts w:ascii="Times New Roman" w:eastAsia="Times New Roman"/>
                <w:sz w:val="21"/>
              </w:rPr>
              <w:t>GB9078-1996</w:t>
            </w:r>
            <w:r>
              <w:rPr>
                <w:sz w:val="21"/>
              </w:rPr>
              <w:t xml:space="preserve">）中表 </w:t>
            </w:r>
            <w:r>
              <w:rPr>
                <w:rFonts w:ascii="Times New Roman" w:eastAsia="Times New Roman"/>
                <w:sz w:val="21"/>
              </w:rPr>
              <w:t xml:space="preserve">2 </w:t>
            </w:r>
            <w:r>
              <w:rPr>
                <w:sz w:val="21"/>
              </w:rPr>
              <w:t xml:space="preserve">及表 </w:t>
            </w:r>
            <w:r>
              <w:rPr>
                <w:rFonts w:ascii="Times New Roman" w:eastAsia="Times New Roman"/>
                <w:sz w:val="21"/>
              </w:rPr>
              <w:t>4</w:t>
            </w:r>
          </w:p>
          <w:p>
            <w:pPr>
              <w:pStyle w:val="14"/>
              <w:spacing w:before="3" w:line="290" w:lineRule="atLeast"/>
              <w:ind w:left="11"/>
              <w:rPr>
                <w:sz w:val="21"/>
              </w:rPr>
            </w:pPr>
            <w:r>
              <w:rPr>
                <w:sz w:val="21"/>
              </w:rPr>
              <w:t>要求</w:t>
            </w:r>
            <w:r>
              <w:rPr>
                <w:sz w:val="24"/>
              </w:rPr>
              <w:t xml:space="preserve">烟尘 </w:t>
            </w:r>
            <w:r>
              <w:rPr>
                <w:rFonts w:ascii="Times New Roman" w:eastAsia="Times New Roman"/>
                <w:sz w:val="24"/>
              </w:rPr>
              <w:t>200mg/m</w:t>
            </w:r>
            <w:r>
              <w:rPr>
                <w:rFonts w:ascii="Times New Roman" w:eastAsia="Times New Roman"/>
                <w:position w:val="8"/>
                <w:sz w:val="15"/>
              </w:rPr>
              <w:t>3</w:t>
            </w:r>
            <w:r>
              <w:rPr>
                <w:sz w:val="24"/>
              </w:rPr>
              <w:t>、</w:t>
            </w:r>
            <w:r>
              <w:rPr>
                <w:rFonts w:ascii="Times New Roman" w:eastAsia="Times New Roman"/>
                <w:position w:val="2"/>
                <w:sz w:val="24"/>
              </w:rPr>
              <w:t>SO</w:t>
            </w:r>
            <w:r>
              <w:rPr>
                <w:rFonts w:ascii="Times New Roman" w:eastAsia="Times New Roman"/>
                <w:position w:val="2"/>
                <w:sz w:val="24"/>
                <w:vertAlign w:val="subscript"/>
              </w:rPr>
              <w:t>2</w:t>
            </w:r>
            <w:r>
              <w:rPr>
                <w:rFonts w:ascii="Times New Roman" w:eastAsia="Times New Roman"/>
                <w:position w:val="2"/>
                <w:sz w:val="24"/>
                <w:vertAlign w:val="baseline"/>
              </w:rPr>
              <w:t>850mg/m</w:t>
            </w:r>
            <w:r>
              <w:rPr>
                <w:rFonts w:ascii="Times New Roman" w:eastAsia="Times New Roman"/>
                <w:position w:val="2"/>
                <w:sz w:val="24"/>
                <w:vertAlign w:val="superscript"/>
              </w:rPr>
              <w:t>3</w:t>
            </w:r>
            <w:r>
              <w:rPr>
                <w:position w:val="2"/>
                <w:sz w:val="21"/>
                <w:vertAlign w:val="baseli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008" w:type="dxa"/>
          </w:tcPr>
          <w:p>
            <w:pPr>
              <w:pStyle w:val="14"/>
              <w:spacing w:before="64"/>
              <w:ind w:left="8"/>
              <w:rPr>
                <w:rFonts w:ascii="Times New Roman"/>
                <w:sz w:val="21"/>
              </w:rPr>
            </w:pPr>
            <w:r>
              <w:rPr>
                <w:rFonts w:ascii="Times New Roman"/>
                <w:w w:val="99"/>
                <w:sz w:val="21"/>
              </w:rPr>
              <w:t>2</w:t>
            </w:r>
          </w:p>
        </w:tc>
        <w:tc>
          <w:tcPr>
            <w:tcW w:w="2340" w:type="dxa"/>
          </w:tcPr>
          <w:p>
            <w:pPr>
              <w:pStyle w:val="14"/>
              <w:spacing w:before="50"/>
              <w:ind w:left="53" w:right="149"/>
              <w:rPr>
                <w:sz w:val="21"/>
              </w:rPr>
            </w:pPr>
            <w:r>
              <w:rPr>
                <w:sz w:val="21"/>
              </w:rPr>
              <w:t>储煤仓</w:t>
            </w:r>
          </w:p>
        </w:tc>
        <w:tc>
          <w:tcPr>
            <w:tcW w:w="3060" w:type="dxa"/>
          </w:tcPr>
          <w:p>
            <w:pPr>
              <w:pStyle w:val="14"/>
              <w:spacing w:before="50"/>
              <w:ind w:left="91" w:right="190"/>
              <w:rPr>
                <w:sz w:val="21"/>
              </w:rPr>
            </w:pPr>
            <w:r>
              <w:rPr>
                <w:sz w:val="21"/>
              </w:rPr>
              <w:t>全封闭煤仓</w:t>
            </w:r>
          </w:p>
        </w:tc>
        <w:tc>
          <w:tcPr>
            <w:tcW w:w="2992" w:type="dxa"/>
            <w:vMerge w:val="restart"/>
          </w:tcPr>
          <w:p>
            <w:pPr>
              <w:pStyle w:val="14"/>
              <w:spacing w:line="242" w:lineRule="auto"/>
              <w:ind w:left="131" w:right="119" w:hanging="56"/>
              <w:jc w:val="both"/>
              <w:rPr>
                <w:sz w:val="21"/>
              </w:rPr>
            </w:pPr>
            <w:r>
              <w:rPr>
                <w:sz w:val="21"/>
              </w:rPr>
              <w:t>满足《煤炭工业污染物排放标准》（</w:t>
            </w:r>
            <w:r>
              <w:rPr>
                <w:rFonts w:ascii="Times New Roman" w:eastAsia="Times New Roman"/>
                <w:sz w:val="21"/>
              </w:rPr>
              <w:t>GB20426-2006</w:t>
            </w:r>
            <w:r>
              <w:rPr>
                <w:sz w:val="21"/>
              </w:rPr>
              <w:t>）</w:t>
            </w:r>
            <w:r>
              <w:rPr>
                <w:spacing w:val="-29"/>
                <w:sz w:val="21"/>
              </w:rPr>
              <w:t xml:space="preserve">表 </w:t>
            </w:r>
            <w:r>
              <w:rPr>
                <w:rFonts w:ascii="Times New Roman" w:eastAsia="Times New Roman"/>
                <w:sz w:val="21"/>
              </w:rPr>
              <w:t>4</w:t>
            </w:r>
            <w:r>
              <w:rPr>
                <w:sz w:val="21"/>
              </w:rPr>
              <w:t>、</w:t>
            </w:r>
            <w:r>
              <w:rPr>
                <w:spacing w:val="-29"/>
                <w:sz w:val="21"/>
              </w:rPr>
              <w:t xml:space="preserve">表 </w:t>
            </w:r>
            <w:r>
              <w:rPr>
                <w:rFonts w:ascii="Times New Roman" w:eastAsia="Times New Roman"/>
                <w:sz w:val="21"/>
              </w:rPr>
              <w:t xml:space="preserve">5 </w:t>
            </w:r>
            <w:r>
              <w:rPr>
                <w:spacing w:val="-1"/>
                <w:sz w:val="21"/>
              </w:rPr>
              <w:t>标准限值，颗粒物周界外</w:t>
            </w:r>
          </w:p>
          <w:p>
            <w:pPr>
              <w:pStyle w:val="14"/>
              <w:spacing w:line="251" w:lineRule="exact"/>
              <w:ind w:left="870"/>
              <w:jc w:val="left"/>
              <w:rPr>
                <w:rFonts w:ascii="Times New Roman" w:hAnsi="Times New Roman" w:eastAsia="Times New Roman"/>
                <w:sz w:val="13"/>
              </w:rPr>
            </w:pPr>
            <w:r>
              <w:rPr>
                <w:sz w:val="21"/>
              </w:rPr>
              <w:t>浓度</w:t>
            </w:r>
            <w:r>
              <w:rPr>
                <w:rFonts w:ascii="Times New Roman" w:hAnsi="Times New Roman" w:eastAsia="Times New Roman"/>
                <w:sz w:val="21"/>
              </w:rPr>
              <w:t>≤1 mg/m</w:t>
            </w:r>
            <w:r>
              <w:rPr>
                <w:rFonts w:ascii="Times New Roman" w:hAnsi="Times New Roman" w:eastAsia="Times New Roman"/>
                <w:position w:val="7"/>
                <w:sz w:val="13"/>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 w:hRule="atLeast"/>
        </w:trPr>
        <w:tc>
          <w:tcPr>
            <w:tcW w:w="1008" w:type="dxa"/>
          </w:tcPr>
          <w:p>
            <w:pPr>
              <w:pStyle w:val="14"/>
              <w:spacing w:before="6"/>
              <w:jc w:val="left"/>
              <w:rPr>
                <w:b/>
                <w:sz w:val="17"/>
              </w:rPr>
            </w:pPr>
          </w:p>
          <w:p>
            <w:pPr>
              <w:pStyle w:val="14"/>
              <w:spacing w:before="1"/>
              <w:ind w:left="8"/>
              <w:rPr>
                <w:rFonts w:ascii="Times New Roman"/>
                <w:sz w:val="21"/>
              </w:rPr>
            </w:pPr>
            <w:r>
              <w:rPr>
                <w:rFonts w:ascii="Times New Roman"/>
                <w:w w:val="99"/>
                <w:sz w:val="21"/>
              </w:rPr>
              <w:t>3</w:t>
            </w:r>
          </w:p>
        </w:tc>
        <w:tc>
          <w:tcPr>
            <w:tcW w:w="2340" w:type="dxa"/>
          </w:tcPr>
          <w:p>
            <w:pPr>
              <w:pStyle w:val="14"/>
              <w:spacing w:before="5"/>
              <w:jc w:val="left"/>
              <w:rPr>
                <w:b/>
                <w:sz w:val="16"/>
              </w:rPr>
            </w:pPr>
          </w:p>
          <w:p>
            <w:pPr>
              <w:pStyle w:val="14"/>
              <w:ind w:left="53" w:right="152"/>
              <w:rPr>
                <w:sz w:val="21"/>
              </w:rPr>
            </w:pPr>
            <w:r>
              <w:rPr>
                <w:spacing w:val="-10"/>
                <w:w w:val="95"/>
                <w:sz w:val="21"/>
              </w:rPr>
              <w:t>工业广场、道路扬尘治理</w:t>
            </w:r>
          </w:p>
        </w:tc>
        <w:tc>
          <w:tcPr>
            <w:tcW w:w="3060" w:type="dxa"/>
          </w:tcPr>
          <w:p>
            <w:pPr>
              <w:pStyle w:val="14"/>
              <w:spacing w:before="74" w:line="242" w:lineRule="auto"/>
              <w:ind w:left="1213" w:right="103" w:hanging="1208"/>
              <w:jc w:val="left"/>
              <w:rPr>
                <w:sz w:val="21"/>
              </w:rPr>
            </w:pPr>
            <w:r>
              <w:rPr>
                <w:w w:val="95"/>
                <w:sz w:val="21"/>
              </w:rPr>
              <w:t>洒水车一台，用于绿化洒水及降</w:t>
            </w:r>
            <w:r>
              <w:rPr>
                <w:sz w:val="21"/>
              </w:rPr>
              <w:t>尘洒水</w:t>
            </w:r>
          </w:p>
        </w:tc>
        <w:tc>
          <w:tcPr>
            <w:tcW w:w="299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1008" w:type="dxa"/>
          </w:tcPr>
          <w:p>
            <w:pPr>
              <w:pStyle w:val="14"/>
              <w:spacing w:before="3"/>
              <w:jc w:val="left"/>
              <w:rPr>
                <w:b/>
                <w:sz w:val="22"/>
              </w:rPr>
            </w:pPr>
          </w:p>
          <w:p>
            <w:pPr>
              <w:pStyle w:val="14"/>
              <w:ind w:left="8"/>
              <w:rPr>
                <w:rFonts w:ascii="Times New Roman"/>
                <w:sz w:val="21"/>
              </w:rPr>
            </w:pPr>
            <w:r>
              <w:rPr>
                <w:rFonts w:ascii="Times New Roman"/>
                <w:w w:val="99"/>
                <w:sz w:val="21"/>
              </w:rPr>
              <w:t>4</w:t>
            </w:r>
          </w:p>
        </w:tc>
        <w:tc>
          <w:tcPr>
            <w:tcW w:w="2340" w:type="dxa"/>
          </w:tcPr>
          <w:p>
            <w:pPr>
              <w:pStyle w:val="14"/>
              <w:spacing w:before="1"/>
              <w:jc w:val="left"/>
              <w:rPr>
                <w:b/>
                <w:sz w:val="21"/>
              </w:rPr>
            </w:pPr>
          </w:p>
          <w:p>
            <w:pPr>
              <w:pStyle w:val="14"/>
              <w:spacing w:before="1"/>
              <w:ind w:left="53" w:right="149"/>
              <w:rPr>
                <w:sz w:val="21"/>
              </w:rPr>
            </w:pPr>
            <w:r>
              <w:rPr>
                <w:sz w:val="21"/>
              </w:rPr>
              <w:t>食堂油烟治理</w:t>
            </w:r>
          </w:p>
        </w:tc>
        <w:tc>
          <w:tcPr>
            <w:tcW w:w="3060" w:type="dxa"/>
          </w:tcPr>
          <w:p>
            <w:pPr>
              <w:pStyle w:val="14"/>
              <w:spacing w:before="1"/>
              <w:jc w:val="left"/>
              <w:rPr>
                <w:b/>
                <w:sz w:val="21"/>
              </w:rPr>
            </w:pPr>
          </w:p>
          <w:p>
            <w:pPr>
              <w:pStyle w:val="14"/>
              <w:spacing w:before="1"/>
              <w:ind w:left="91" w:right="187"/>
              <w:rPr>
                <w:sz w:val="21"/>
              </w:rPr>
            </w:pPr>
            <w:r>
              <w:rPr>
                <w:sz w:val="21"/>
              </w:rPr>
              <w:t xml:space="preserve">食堂安装油烟净化器 </w:t>
            </w:r>
            <w:r>
              <w:rPr>
                <w:rFonts w:ascii="Times New Roman" w:eastAsia="Times New Roman"/>
                <w:sz w:val="21"/>
              </w:rPr>
              <w:t xml:space="preserve">1 </w:t>
            </w:r>
            <w:r>
              <w:rPr>
                <w:sz w:val="21"/>
              </w:rPr>
              <w:t>台</w:t>
            </w:r>
          </w:p>
        </w:tc>
        <w:tc>
          <w:tcPr>
            <w:tcW w:w="2992" w:type="dxa"/>
          </w:tcPr>
          <w:p>
            <w:pPr>
              <w:pStyle w:val="14"/>
              <w:spacing w:line="242" w:lineRule="auto"/>
              <w:ind w:left="109" w:right="97" w:hanging="111"/>
              <w:jc w:val="left"/>
              <w:rPr>
                <w:sz w:val="21"/>
              </w:rPr>
            </w:pPr>
            <w:r>
              <w:rPr>
                <w:w w:val="95"/>
                <w:sz w:val="21"/>
              </w:rPr>
              <w:t>满足《饮食业油烟排放标准（试行）》（</w:t>
            </w:r>
            <w:r>
              <w:rPr>
                <w:rFonts w:ascii="Times New Roman" w:eastAsia="Times New Roman"/>
                <w:w w:val="95"/>
                <w:sz w:val="21"/>
              </w:rPr>
              <w:t>GB18483-2001</w:t>
            </w:r>
            <w:r>
              <w:rPr>
                <w:w w:val="95"/>
                <w:sz w:val="21"/>
              </w:rPr>
              <w:t>）中标</w:t>
            </w:r>
          </w:p>
          <w:p>
            <w:pPr>
              <w:pStyle w:val="14"/>
              <w:spacing w:before="1" w:line="252" w:lineRule="exact"/>
              <w:ind w:left="477"/>
              <w:jc w:val="left"/>
              <w:rPr>
                <w:rFonts w:ascii="Times New Roman" w:hAnsi="Times New Roman" w:eastAsia="Times New Roman"/>
                <w:sz w:val="13"/>
              </w:rPr>
            </w:pPr>
            <w:r>
              <w:rPr>
                <w:sz w:val="21"/>
              </w:rPr>
              <w:t>准限值，油烟</w:t>
            </w:r>
            <w:r>
              <w:rPr>
                <w:rFonts w:ascii="Times New Roman" w:hAnsi="Times New Roman" w:eastAsia="Times New Roman"/>
                <w:sz w:val="21"/>
              </w:rPr>
              <w:t>≤2mg/m</w:t>
            </w:r>
            <w:r>
              <w:rPr>
                <w:rFonts w:ascii="Times New Roman" w:hAnsi="Times New Roman" w:eastAsia="Times New Roman"/>
                <w:position w:val="7"/>
                <w:sz w:val="13"/>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9" w:hRule="atLeast"/>
        </w:trPr>
        <w:tc>
          <w:tcPr>
            <w:tcW w:w="1008" w:type="dxa"/>
          </w:tcPr>
          <w:p>
            <w:pPr>
              <w:pStyle w:val="14"/>
              <w:jc w:val="left"/>
              <w:rPr>
                <w:b/>
                <w:sz w:val="20"/>
              </w:rPr>
            </w:pPr>
          </w:p>
          <w:p>
            <w:pPr>
              <w:pStyle w:val="14"/>
              <w:spacing w:before="152"/>
              <w:ind w:left="6"/>
              <w:rPr>
                <w:sz w:val="21"/>
              </w:rPr>
            </w:pPr>
            <w:r>
              <w:rPr>
                <w:w w:val="99"/>
                <w:sz w:val="21"/>
              </w:rPr>
              <w:t>三</w:t>
            </w:r>
          </w:p>
        </w:tc>
        <w:tc>
          <w:tcPr>
            <w:tcW w:w="2340" w:type="dxa"/>
          </w:tcPr>
          <w:p>
            <w:pPr>
              <w:pStyle w:val="14"/>
              <w:jc w:val="left"/>
              <w:rPr>
                <w:b/>
                <w:sz w:val="20"/>
              </w:rPr>
            </w:pPr>
          </w:p>
          <w:p>
            <w:pPr>
              <w:pStyle w:val="14"/>
              <w:spacing w:before="152"/>
              <w:ind w:left="53" w:right="152"/>
              <w:rPr>
                <w:sz w:val="21"/>
              </w:rPr>
            </w:pPr>
            <w:r>
              <w:rPr>
                <w:sz w:val="21"/>
              </w:rPr>
              <w:t>噪声污染防治措施</w:t>
            </w:r>
          </w:p>
        </w:tc>
        <w:tc>
          <w:tcPr>
            <w:tcW w:w="3060" w:type="dxa"/>
          </w:tcPr>
          <w:p>
            <w:pPr>
              <w:pStyle w:val="14"/>
              <w:spacing w:before="2"/>
              <w:jc w:val="left"/>
              <w:rPr>
                <w:b/>
                <w:sz w:val="21"/>
              </w:rPr>
            </w:pPr>
          </w:p>
          <w:p>
            <w:pPr>
              <w:pStyle w:val="14"/>
              <w:spacing w:before="1" w:line="242" w:lineRule="auto"/>
              <w:ind w:left="1425" w:right="98" w:hanging="1318"/>
              <w:jc w:val="left"/>
              <w:rPr>
                <w:sz w:val="21"/>
              </w:rPr>
            </w:pPr>
            <w:r>
              <w:rPr>
                <w:spacing w:val="-11"/>
                <w:sz w:val="21"/>
              </w:rPr>
              <w:t>采用吸声、消声、镉声等降噪措</w:t>
            </w:r>
            <w:r>
              <w:rPr>
                <w:sz w:val="21"/>
              </w:rPr>
              <w:t>施</w:t>
            </w:r>
          </w:p>
        </w:tc>
        <w:tc>
          <w:tcPr>
            <w:tcW w:w="2992" w:type="dxa"/>
          </w:tcPr>
          <w:p>
            <w:pPr>
              <w:pStyle w:val="14"/>
              <w:ind w:left="10"/>
              <w:rPr>
                <w:sz w:val="21"/>
              </w:rPr>
            </w:pPr>
            <w:r>
              <w:rPr>
                <w:sz w:val="21"/>
              </w:rPr>
              <w:t>厂界处满足</w:t>
            </w:r>
          </w:p>
          <w:p>
            <w:pPr>
              <w:pStyle w:val="14"/>
              <w:spacing w:before="3" w:line="242" w:lineRule="auto"/>
              <w:ind w:left="107" w:right="119" w:firstLine="24"/>
              <w:rPr>
                <w:rFonts w:ascii="Times New Roman" w:eastAsia="Times New Roman"/>
                <w:sz w:val="21"/>
              </w:rPr>
            </w:pPr>
            <w:r>
              <w:rPr>
                <w:spacing w:val="-1"/>
                <w:w w:val="95"/>
                <w:sz w:val="21"/>
              </w:rPr>
              <w:t>《工业企业厂界环境噪声排放</w:t>
            </w:r>
            <w:r>
              <w:rPr>
                <w:sz w:val="21"/>
              </w:rPr>
              <w:t>标准》（</w:t>
            </w:r>
            <w:r>
              <w:rPr>
                <w:rFonts w:ascii="Times New Roman" w:eastAsia="Times New Roman"/>
                <w:sz w:val="21"/>
              </w:rPr>
              <w:t>GB12348-2008</w:t>
            </w:r>
            <w:r>
              <w:rPr>
                <w:sz w:val="21"/>
              </w:rPr>
              <w:t>）</w:t>
            </w:r>
            <w:r>
              <w:rPr>
                <w:spacing w:val="-28"/>
                <w:sz w:val="21"/>
              </w:rPr>
              <w:t xml:space="preserve">中 </w:t>
            </w:r>
            <w:r>
              <w:rPr>
                <w:rFonts w:ascii="Times New Roman" w:eastAsia="Times New Roman"/>
                <w:sz w:val="21"/>
              </w:rPr>
              <w:t>2</w:t>
            </w:r>
          </w:p>
          <w:p>
            <w:pPr>
              <w:pStyle w:val="14"/>
              <w:spacing w:before="1" w:line="252" w:lineRule="exact"/>
              <w:ind w:left="7"/>
              <w:rPr>
                <w:sz w:val="21"/>
              </w:rPr>
            </w:pPr>
            <w:r>
              <w:rPr>
                <w:sz w:val="21"/>
              </w:rPr>
              <w:t>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1008" w:type="dxa"/>
          </w:tcPr>
          <w:p>
            <w:pPr>
              <w:pStyle w:val="14"/>
              <w:spacing w:before="121"/>
              <w:ind w:left="6"/>
              <w:rPr>
                <w:sz w:val="21"/>
              </w:rPr>
            </w:pPr>
            <w:r>
              <w:rPr>
                <w:w w:val="99"/>
                <w:sz w:val="21"/>
              </w:rPr>
              <w:t>四</w:t>
            </w:r>
          </w:p>
        </w:tc>
        <w:tc>
          <w:tcPr>
            <w:tcW w:w="2340" w:type="dxa"/>
          </w:tcPr>
          <w:p>
            <w:pPr>
              <w:pStyle w:val="14"/>
              <w:spacing w:before="121"/>
              <w:ind w:left="53" w:right="152"/>
              <w:rPr>
                <w:sz w:val="21"/>
              </w:rPr>
            </w:pPr>
            <w:r>
              <w:rPr>
                <w:sz w:val="21"/>
              </w:rPr>
              <w:t>固体废物处理措施</w:t>
            </w:r>
          </w:p>
        </w:tc>
        <w:tc>
          <w:tcPr>
            <w:tcW w:w="3060" w:type="dxa"/>
          </w:tcPr>
          <w:p>
            <w:pPr>
              <w:pStyle w:val="14"/>
              <w:jc w:val="left"/>
              <w:rPr>
                <w:rFonts w:ascii="Times New Roman"/>
                <w:sz w:val="20"/>
              </w:rPr>
            </w:pPr>
          </w:p>
        </w:tc>
        <w:tc>
          <w:tcPr>
            <w:tcW w:w="2992" w:type="dxa"/>
          </w:tcPr>
          <w:p>
            <w:pPr>
              <w:pStyle w:val="14"/>
              <w:jc w:val="left"/>
              <w:rPr>
                <w:rFonts w:ascii="Times New Roman"/>
                <w:sz w:val="20"/>
              </w:rPr>
            </w:pPr>
          </w:p>
        </w:tc>
      </w:tr>
    </w:tbl>
    <w:p>
      <w:pPr>
        <w:spacing w:after="0"/>
        <w:jc w:val="left"/>
        <w:rPr>
          <w:rFonts w:ascii="Times New Roman"/>
          <w:sz w:val="20"/>
        </w:rPr>
        <w:sectPr>
          <w:footerReference r:id="rId33" w:type="default"/>
          <w:pgSz w:w="11910" w:h="16840"/>
          <w:pgMar w:top="1580" w:right="1020" w:bottom="1100" w:left="1140" w:header="0" w:footer="917" w:gutter="0"/>
          <w:pgNumType w:start="190"/>
        </w:sectPr>
      </w:pPr>
    </w:p>
    <w:tbl>
      <w:tblPr>
        <w:tblStyle w:val="10"/>
        <w:tblW w:w="0" w:type="auto"/>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8"/>
        <w:gridCol w:w="2340"/>
        <w:gridCol w:w="3060"/>
        <w:gridCol w:w="29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008" w:type="dxa"/>
          </w:tcPr>
          <w:p>
            <w:pPr>
              <w:pStyle w:val="14"/>
              <w:spacing w:before="134"/>
              <w:ind w:left="8"/>
              <w:rPr>
                <w:rFonts w:ascii="Times New Roman"/>
                <w:sz w:val="21"/>
              </w:rPr>
            </w:pPr>
            <w:r>
              <w:rPr>
                <w:rFonts w:ascii="Times New Roman"/>
                <w:w w:val="99"/>
                <w:sz w:val="21"/>
              </w:rPr>
              <w:t>1</w:t>
            </w:r>
          </w:p>
        </w:tc>
        <w:tc>
          <w:tcPr>
            <w:tcW w:w="2340" w:type="dxa"/>
          </w:tcPr>
          <w:p>
            <w:pPr>
              <w:pStyle w:val="14"/>
              <w:spacing w:before="120"/>
              <w:ind w:left="53" w:right="47"/>
              <w:rPr>
                <w:sz w:val="21"/>
              </w:rPr>
            </w:pPr>
            <w:r>
              <w:rPr>
                <w:sz w:val="21"/>
              </w:rPr>
              <w:t>灰渣</w:t>
            </w:r>
          </w:p>
        </w:tc>
        <w:tc>
          <w:tcPr>
            <w:tcW w:w="3060" w:type="dxa"/>
          </w:tcPr>
          <w:p>
            <w:pPr>
              <w:pStyle w:val="14"/>
              <w:spacing w:before="120"/>
              <w:ind w:left="91" w:right="85"/>
              <w:rPr>
                <w:sz w:val="21"/>
              </w:rPr>
            </w:pPr>
            <w:r>
              <w:rPr>
                <w:sz w:val="21"/>
              </w:rPr>
              <w:t>农肥原料外售</w:t>
            </w:r>
          </w:p>
        </w:tc>
        <w:tc>
          <w:tcPr>
            <w:tcW w:w="2992" w:type="dxa"/>
            <w:vMerge w:val="restart"/>
          </w:tcPr>
          <w:p>
            <w:pPr>
              <w:pStyle w:val="14"/>
              <w:jc w:val="left"/>
              <w:rPr>
                <w:b/>
                <w:sz w:val="22"/>
              </w:rPr>
            </w:pPr>
          </w:p>
          <w:p>
            <w:pPr>
              <w:pStyle w:val="14"/>
              <w:jc w:val="left"/>
              <w:rPr>
                <w:b/>
                <w:sz w:val="22"/>
              </w:rPr>
            </w:pPr>
          </w:p>
          <w:p>
            <w:pPr>
              <w:pStyle w:val="14"/>
              <w:jc w:val="left"/>
              <w:rPr>
                <w:b/>
                <w:sz w:val="29"/>
              </w:rPr>
            </w:pPr>
          </w:p>
          <w:p>
            <w:pPr>
              <w:pStyle w:val="14"/>
              <w:ind w:left="330"/>
              <w:jc w:val="left"/>
              <w:rPr>
                <w:rFonts w:ascii="Times New Roman" w:eastAsia="Times New Roman"/>
                <w:sz w:val="21"/>
              </w:rPr>
            </w:pPr>
            <w:r>
              <w:rPr>
                <w:sz w:val="21"/>
              </w:rPr>
              <w:t xml:space="preserve">固体废物处理率达 </w:t>
            </w:r>
            <w:r>
              <w:rPr>
                <w:rFonts w:ascii="Times New Roman" w:eastAsia="Times New Roman"/>
                <w:sz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008" w:type="dxa"/>
          </w:tcPr>
          <w:p>
            <w:pPr>
              <w:pStyle w:val="14"/>
              <w:spacing w:before="150"/>
              <w:ind w:left="8"/>
              <w:rPr>
                <w:rFonts w:ascii="Times New Roman"/>
                <w:sz w:val="21"/>
              </w:rPr>
            </w:pPr>
            <w:r>
              <w:rPr>
                <w:rFonts w:ascii="Times New Roman"/>
                <w:w w:val="99"/>
                <w:sz w:val="21"/>
              </w:rPr>
              <w:t>2</w:t>
            </w:r>
          </w:p>
        </w:tc>
        <w:tc>
          <w:tcPr>
            <w:tcW w:w="2340" w:type="dxa"/>
          </w:tcPr>
          <w:p>
            <w:pPr>
              <w:pStyle w:val="14"/>
              <w:spacing w:before="1" w:line="270" w:lineRule="atLeast"/>
              <w:ind w:left="750" w:right="110" w:hanging="632"/>
              <w:jc w:val="left"/>
              <w:rPr>
                <w:sz w:val="21"/>
              </w:rPr>
            </w:pPr>
            <w:r>
              <w:rPr>
                <w:sz w:val="21"/>
              </w:rPr>
              <w:t>生活垃圾处理及污水处理站污泥</w:t>
            </w:r>
          </w:p>
        </w:tc>
        <w:tc>
          <w:tcPr>
            <w:tcW w:w="3060" w:type="dxa"/>
          </w:tcPr>
          <w:p>
            <w:pPr>
              <w:pStyle w:val="14"/>
              <w:spacing w:before="136"/>
              <w:ind w:left="91" w:right="85"/>
              <w:rPr>
                <w:sz w:val="21"/>
              </w:rPr>
            </w:pPr>
            <w:r>
              <w:rPr>
                <w:sz w:val="21"/>
              </w:rPr>
              <w:t>定期委托环卫部门处理</w:t>
            </w:r>
          </w:p>
        </w:tc>
        <w:tc>
          <w:tcPr>
            <w:tcW w:w="299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1008" w:type="dxa"/>
          </w:tcPr>
          <w:p>
            <w:pPr>
              <w:pStyle w:val="14"/>
              <w:spacing w:before="150"/>
              <w:ind w:left="8"/>
              <w:rPr>
                <w:rFonts w:ascii="Times New Roman"/>
                <w:sz w:val="21"/>
              </w:rPr>
            </w:pPr>
            <w:r>
              <w:rPr>
                <w:rFonts w:ascii="Times New Roman"/>
                <w:w w:val="99"/>
                <w:sz w:val="21"/>
              </w:rPr>
              <w:t>3</w:t>
            </w:r>
          </w:p>
        </w:tc>
        <w:tc>
          <w:tcPr>
            <w:tcW w:w="2340" w:type="dxa"/>
          </w:tcPr>
          <w:p>
            <w:pPr>
              <w:pStyle w:val="14"/>
              <w:spacing w:before="136"/>
              <w:ind w:left="750"/>
              <w:jc w:val="left"/>
              <w:rPr>
                <w:sz w:val="21"/>
              </w:rPr>
            </w:pPr>
            <w:r>
              <w:rPr>
                <w:sz w:val="21"/>
              </w:rPr>
              <w:t>矸石处理</w:t>
            </w:r>
          </w:p>
        </w:tc>
        <w:tc>
          <w:tcPr>
            <w:tcW w:w="3060" w:type="dxa"/>
          </w:tcPr>
          <w:p>
            <w:pPr>
              <w:pStyle w:val="14"/>
              <w:spacing w:line="268" w:lineRule="exact"/>
              <w:ind w:left="16"/>
              <w:rPr>
                <w:sz w:val="21"/>
              </w:rPr>
            </w:pPr>
            <w:r>
              <w:rPr>
                <w:spacing w:val="-10"/>
                <w:w w:val="95"/>
                <w:sz w:val="21"/>
              </w:rPr>
              <w:t>用来平整工业场地；用作公路的路</w:t>
            </w:r>
          </w:p>
          <w:p>
            <w:pPr>
              <w:pStyle w:val="14"/>
              <w:spacing w:before="4" w:line="251" w:lineRule="exact"/>
              <w:ind w:left="91" w:right="85"/>
              <w:rPr>
                <w:sz w:val="21"/>
              </w:rPr>
            </w:pPr>
            <w:r>
              <w:rPr>
                <w:sz w:val="21"/>
              </w:rPr>
              <w:t>基石料；用于填沟造地</w:t>
            </w:r>
          </w:p>
        </w:tc>
        <w:tc>
          <w:tcPr>
            <w:tcW w:w="299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008" w:type="dxa"/>
          </w:tcPr>
          <w:p>
            <w:pPr>
              <w:pStyle w:val="14"/>
              <w:spacing w:before="133"/>
              <w:ind w:left="8"/>
              <w:rPr>
                <w:rFonts w:ascii="Times New Roman"/>
                <w:sz w:val="21"/>
              </w:rPr>
            </w:pPr>
            <w:r>
              <w:rPr>
                <w:rFonts w:ascii="Times New Roman"/>
                <w:w w:val="99"/>
                <w:sz w:val="21"/>
              </w:rPr>
              <w:t>4</w:t>
            </w:r>
          </w:p>
        </w:tc>
        <w:tc>
          <w:tcPr>
            <w:tcW w:w="2340" w:type="dxa"/>
          </w:tcPr>
          <w:p>
            <w:pPr>
              <w:pStyle w:val="14"/>
              <w:spacing w:before="119"/>
              <w:ind w:left="53" w:right="47"/>
              <w:rPr>
                <w:sz w:val="21"/>
              </w:rPr>
            </w:pPr>
            <w:r>
              <w:rPr>
                <w:sz w:val="21"/>
              </w:rPr>
              <w:t>废机油</w:t>
            </w:r>
          </w:p>
        </w:tc>
        <w:tc>
          <w:tcPr>
            <w:tcW w:w="3060" w:type="dxa"/>
          </w:tcPr>
          <w:p>
            <w:pPr>
              <w:pStyle w:val="14"/>
              <w:spacing w:before="119"/>
              <w:ind w:left="91" w:right="82"/>
              <w:rPr>
                <w:sz w:val="21"/>
              </w:rPr>
            </w:pPr>
            <w:r>
              <w:rPr>
                <w:sz w:val="21"/>
              </w:rPr>
              <w:t>委托有资质单位处理</w:t>
            </w:r>
          </w:p>
        </w:tc>
        <w:tc>
          <w:tcPr>
            <w:tcW w:w="299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008" w:type="dxa"/>
          </w:tcPr>
          <w:p>
            <w:pPr>
              <w:pStyle w:val="14"/>
              <w:spacing w:before="136"/>
              <w:ind w:left="6"/>
              <w:rPr>
                <w:sz w:val="21"/>
              </w:rPr>
            </w:pPr>
            <w:r>
              <w:rPr>
                <w:w w:val="99"/>
                <w:sz w:val="21"/>
              </w:rPr>
              <w:t>五</w:t>
            </w:r>
          </w:p>
        </w:tc>
        <w:tc>
          <w:tcPr>
            <w:tcW w:w="2340" w:type="dxa"/>
          </w:tcPr>
          <w:p>
            <w:pPr>
              <w:pStyle w:val="14"/>
              <w:spacing w:before="136"/>
              <w:ind w:left="539"/>
              <w:jc w:val="left"/>
              <w:rPr>
                <w:sz w:val="21"/>
              </w:rPr>
            </w:pPr>
            <w:r>
              <w:rPr>
                <w:sz w:val="21"/>
              </w:rPr>
              <w:t>风险防范措施</w:t>
            </w:r>
          </w:p>
        </w:tc>
        <w:tc>
          <w:tcPr>
            <w:tcW w:w="3060" w:type="dxa"/>
          </w:tcPr>
          <w:p>
            <w:pPr>
              <w:pStyle w:val="14"/>
              <w:spacing w:before="2"/>
              <w:ind w:left="105"/>
              <w:rPr>
                <w:sz w:val="21"/>
              </w:rPr>
            </w:pPr>
            <w:r>
              <w:rPr>
                <w:w w:val="95"/>
                <w:sz w:val="21"/>
              </w:rPr>
              <w:t>落实风险减缓措施、管理措施，</w:t>
            </w:r>
          </w:p>
          <w:p>
            <w:pPr>
              <w:pStyle w:val="14"/>
              <w:spacing w:before="2" w:line="252" w:lineRule="exact"/>
              <w:ind w:left="91" w:right="82"/>
              <w:rPr>
                <w:sz w:val="21"/>
              </w:rPr>
            </w:pPr>
            <w:r>
              <w:rPr>
                <w:sz w:val="21"/>
              </w:rPr>
              <w:t>做好风险应急预案</w:t>
            </w:r>
          </w:p>
        </w:tc>
        <w:tc>
          <w:tcPr>
            <w:tcW w:w="2992" w:type="dxa"/>
          </w:tcPr>
          <w:p>
            <w:pPr>
              <w:pStyle w:val="14"/>
              <w:spacing w:before="2"/>
              <w:ind w:left="5"/>
              <w:rPr>
                <w:sz w:val="21"/>
              </w:rPr>
            </w:pPr>
            <w:r>
              <w:rPr>
                <w:sz w:val="21"/>
              </w:rPr>
              <w:t>减免或降低风险事故发生几</w:t>
            </w:r>
          </w:p>
          <w:p>
            <w:pPr>
              <w:pStyle w:val="14"/>
              <w:spacing w:before="2" w:line="252" w:lineRule="exact"/>
              <w:ind w:left="7"/>
              <w:rPr>
                <w:sz w:val="21"/>
              </w:rPr>
            </w:pPr>
            <w:r>
              <w:rPr>
                <w:sz w:val="21"/>
              </w:rPr>
              <w:t>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1008" w:type="dxa"/>
          </w:tcPr>
          <w:p>
            <w:pPr>
              <w:pStyle w:val="14"/>
              <w:spacing w:before="3"/>
              <w:jc w:val="left"/>
              <w:rPr>
                <w:b/>
                <w:sz w:val="21"/>
              </w:rPr>
            </w:pPr>
          </w:p>
          <w:p>
            <w:pPr>
              <w:pStyle w:val="14"/>
              <w:ind w:left="6"/>
              <w:rPr>
                <w:sz w:val="21"/>
              </w:rPr>
            </w:pPr>
            <w:r>
              <w:rPr>
                <w:w w:val="99"/>
                <w:sz w:val="21"/>
              </w:rPr>
              <w:t>六</w:t>
            </w:r>
          </w:p>
        </w:tc>
        <w:tc>
          <w:tcPr>
            <w:tcW w:w="2340" w:type="dxa"/>
          </w:tcPr>
          <w:p>
            <w:pPr>
              <w:pStyle w:val="14"/>
              <w:spacing w:before="3"/>
              <w:jc w:val="left"/>
              <w:rPr>
                <w:b/>
                <w:sz w:val="21"/>
              </w:rPr>
            </w:pPr>
          </w:p>
          <w:p>
            <w:pPr>
              <w:pStyle w:val="14"/>
              <w:ind w:left="330"/>
              <w:jc w:val="left"/>
              <w:rPr>
                <w:sz w:val="21"/>
              </w:rPr>
            </w:pPr>
            <w:r>
              <w:rPr>
                <w:sz w:val="21"/>
              </w:rPr>
              <w:t>生态环境保护措施</w:t>
            </w:r>
          </w:p>
        </w:tc>
        <w:tc>
          <w:tcPr>
            <w:tcW w:w="3060" w:type="dxa"/>
          </w:tcPr>
          <w:p>
            <w:pPr>
              <w:pStyle w:val="14"/>
              <w:spacing w:before="1"/>
              <w:ind w:left="10"/>
              <w:rPr>
                <w:rFonts w:ascii="Times New Roman" w:eastAsia="Times New Roman"/>
                <w:sz w:val="21"/>
              </w:rPr>
            </w:pPr>
            <w:r>
              <w:rPr>
                <w:sz w:val="21"/>
              </w:rPr>
              <w:t xml:space="preserve">厂区四周植树种草，绿化率 </w:t>
            </w:r>
            <w:r>
              <w:rPr>
                <w:rFonts w:ascii="Times New Roman" w:eastAsia="Times New Roman"/>
                <w:sz w:val="21"/>
              </w:rPr>
              <w:t>20%</w:t>
            </w:r>
          </w:p>
          <w:p>
            <w:pPr>
              <w:pStyle w:val="14"/>
              <w:spacing w:before="2"/>
              <w:ind w:left="16"/>
              <w:rPr>
                <w:sz w:val="21"/>
              </w:rPr>
            </w:pPr>
            <w:r>
              <w:rPr>
                <w:spacing w:val="-11"/>
                <w:w w:val="95"/>
                <w:sz w:val="21"/>
              </w:rPr>
              <w:t>以上；场外运输道路临时占地生态</w:t>
            </w:r>
          </w:p>
          <w:p>
            <w:pPr>
              <w:pStyle w:val="14"/>
              <w:spacing w:before="5" w:line="251" w:lineRule="exact"/>
              <w:ind w:left="91" w:right="82"/>
              <w:rPr>
                <w:sz w:val="21"/>
              </w:rPr>
            </w:pPr>
            <w:r>
              <w:rPr>
                <w:sz w:val="21"/>
              </w:rPr>
              <w:t>恢复；沉陷区生态综合整治</w:t>
            </w:r>
          </w:p>
        </w:tc>
        <w:tc>
          <w:tcPr>
            <w:tcW w:w="2992" w:type="dxa"/>
          </w:tcPr>
          <w:p>
            <w:pPr>
              <w:pStyle w:val="14"/>
              <w:spacing w:before="138" w:line="242" w:lineRule="auto"/>
              <w:ind w:left="760" w:right="30" w:hanging="761"/>
              <w:jc w:val="left"/>
              <w:rPr>
                <w:sz w:val="21"/>
              </w:rPr>
            </w:pPr>
            <w:r>
              <w:rPr>
                <w:sz w:val="21"/>
              </w:rPr>
              <w:t>增加厂区绿化面积，临时占地恢复原有生态植被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008" w:type="dxa"/>
          </w:tcPr>
          <w:p>
            <w:pPr>
              <w:pStyle w:val="14"/>
              <w:spacing w:before="136"/>
              <w:ind w:left="6"/>
              <w:rPr>
                <w:sz w:val="21"/>
              </w:rPr>
            </w:pPr>
            <w:r>
              <w:rPr>
                <w:w w:val="99"/>
                <w:sz w:val="21"/>
              </w:rPr>
              <w:t>七</w:t>
            </w:r>
          </w:p>
        </w:tc>
        <w:tc>
          <w:tcPr>
            <w:tcW w:w="2340" w:type="dxa"/>
          </w:tcPr>
          <w:p>
            <w:pPr>
              <w:pStyle w:val="14"/>
              <w:spacing w:before="136"/>
              <w:ind w:left="592"/>
              <w:jc w:val="left"/>
              <w:rPr>
                <w:sz w:val="21"/>
              </w:rPr>
            </w:pPr>
            <w:r>
              <w:rPr>
                <w:sz w:val="21"/>
              </w:rPr>
              <w:t>水土保持措施</w:t>
            </w:r>
          </w:p>
        </w:tc>
        <w:tc>
          <w:tcPr>
            <w:tcW w:w="3060" w:type="dxa"/>
          </w:tcPr>
          <w:p>
            <w:pPr>
              <w:pStyle w:val="14"/>
              <w:spacing w:before="136"/>
              <w:ind w:left="91" w:right="82"/>
              <w:rPr>
                <w:sz w:val="21"/>
              </w:rPr>
            </w:pPr>
            <w:r>
              <w:rPr>
                <w:sz w:val="21"/>
              </w:rPr>
              <w:t>采用种草植树等方式</w:t>
            </w:r>
          </w:p>
        </w:tc>
        <w:tc>
          <w:tcPr>
            <w:tcW w:w="2992" w:type="dxa"/>
          </w:tcPr>
          <w:p>
            <w:pPr>
              <w:pStyle w:val="14"/>
              <w:spacing w:before="1" w:line="270" w:lineRule="atLeast"/>
              <w:ind w:left="1391" w:right="119" w:hanging="1260"/>
              <w:jc w:val="left"/>
              <w:rPr>
                <w:sz w:val="21"/>
              </w:rPr>
            </w:pPr>
            <w:r>
              <w:rPr>
                <w:sz w:val="21"/>
              </w:rPr>
              <w:t>降低水土流失量，保护生态环境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1008" w:type="dxa"/>
          </w:tcPr>
          <w:p>
            <w:pPr>
              <w:pStyle w:val="14"/>
              <w:spacing w:before="136"/>
              <w:ind w:left="6"/>
              <w:rPr>
                <w:sz w:val="21"/>
              </w:rPr>
            </w:pPr>
            <w:r>
              <w:rPr>
                <w:w w:val="99"/>
                <w:sz w:val="21"/>
              </w:rPr>
              <w:t>八</w:t>
            </w:r>
          </w:p>
        </w:tc>
        <w:tc>
          <w:tcPr>
            <w:tcW w:w="2340" w:type="dxa"/>
          </w:tcPr>
          <w:p>
            <w:pPr>
              <w:pStyle w:val="14"/>
              <w:spacing w:before="136"/>
              <w:ind w:left="433"/>
              <w:jc w:val="left"/>
              <w:rPr>
                <w:sz w:val="21"/>
              </w:rPr>
            </w:pPr>
            <w:r>
              <w:rPr>
                <w:sz w:val="21"/>
              </w:rPr>
              <w:t>环境监测、监理</w:t>
            </w:r>
          </w:p>
        </w:tc>
        <w:tc>
          <w:tcPr>
            <w:tcW w:w="3060" w:type="dxa"/>
          </w:tcPr>
          <w:p>
            <w:pPr>
              <w:pStyle w:val="14"/>
              <w:spacing w:before="136"/>
              <w:ind w:left="161" w:right="49"/>
              <w:rPr>
                <w:sz w:val="21"/>
              </w:rPr>
            </w:pPr>
            <w:r>
              <w:rPr>
                <w:sz w:val="21"/>
              </w:rPr>
              <w:t>进行常规的监测和监理</w:t>
            </w:r>
          </w:p>
        </w:tc>
        <w:tc>
          <w:tcPr>
            <w:tcW w:w="2992" w:type="dxa"/>
          </w:tcPr>
          <w:p>
            <w:pPr>
              <w:pStyle w:val="14"/>
              <w:spacing w:line="268" w:lineRule="exact"/>
              <w:ind w:left="10"/>
              <w:rPr>
                <w:sz w:val="21"/>
              </w:rPr>
            </w:pPr>
            <w:r>
              <w:rPr>
                <w:sz w:val="21"/>
              </w:rPr>
              <w:t>监督项目环境保护措施的落实</w:t>
            </w:r>
          </w:p>
          <w:p>
            <w:pPr>
              <w:pStyle w:val="14"/>
              <w:spacing w:before="4" w:line="251" w:lineRule="exact"/>
              <w:ind w:left="7"/>
              <w:rPr>
                <w:sz w:val="21"/>
              </w:rPr>
            </w:pPr>
            <w:r>
              <w:rPr>
                <w:sz w:val="21"/>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008" w:type="dxa"/>
          </w:tcPr>
          <w:p>
            <w:pPr>
              <w:pStyle w:val="14"/>
              <w:spacing w:before="136"/>
              <w:ind w:left="6"/>
              <w:rPr>
                <w:sz w:val="21"/>
              </w:rPr>
            </w:pPr>
            <w:r>
              <w:rPr>
                <w:w w:val="99"/>
                <w:sz w:val="21"/>
              </w:rPr>
              <w:t>九</w:t>
            </w:r>
          </w:p>
        </w:tc>
        <w:tc>
          <w:tcPr>
            <w:tcW w:w="2340" w:type="dxa"/>
          </w:tcPr>
          <w:p>
            <w:pPr>
              <w:pStyle w:val="14"/>
              <w:spacing w:before="136"/>
              <w:ind w:left="330"/>
              <w:jc w:val="left"/>
              <w:rPr>
                <w:sz w:val="21"/>
              </w:rPr>
            </w:pPr>
            <w:r>
              <w:rPr>
                <w:sz w:val="21"/>
              </w:rPr>
              <w:t>服务期满设施关闭</w:t>
            </w:r>
          </w:p>
        </w:tc>
        <w:tc>
          <w:tcPr>
            <w:tcW w:w="3060" w:type="dxa"/>
          </w:tcPr>
          <w:p>
            <w:pPr>
              <w:pStyle w:val="14"/>
              <w:spacing w:before="1" w:line="270" w:lineRule="atLeast"/>
              <w:ind w:left="585" w:right="96" w:hanging="478"/>
              <w:jc w:val="left"/>
              <w:rPr>
                <w:sz w:val="21"/>
              </w:rPr>
            </w:pPr>
            <w:r>
              <w:rPr>
                <w:spacing w:val="-11"/>
                <w:sz w:val="21"/>
              </w:rPr>
              <w:t>井口、设立警示牌，编制闭矿报</w:t>
            </w:r>
            <w:r>
              <w:rPr>
                <w:sz w:val="21"/>
              </w:rPr>
              <w:t>告、水土保持方案等</w:t>
            </w:r>
          </w:p>
        </w:tc>
        <w:tc>
          <w:tcPr>
            <w:tcW w:w="2992" w:type="dxa"/>
          </w:tcPr>
          <w:p>
            <w:pPr>
              <w:pStyle w:val="14"/>
              <w:spacing w:before="1" w:line="270" w:lineRule="atLeast"/>
              <w:ind w:left="1285" w:right="119" w:hanging="1155"/>
              <w:jc w:val="left"/>
              <w:rPr>
                <w:sz w:val="21"/>
              </w:rPr>
            </w:pPr>
            <w:r>
              <w:rPr>
                <w:sz w:val="21"/>
              </w:rPr>
              <w:t>恢复生态环境，保护人民生命安全</w:t>
            </w:r>
          </w:p>
        </w:tc>
      </w:tr>
    </w:tbl>
    <w:p>
      <w:pPr>
        <w:spacing w:after="0" w:line="270" w:lineRule="atLeast"/>
        <w:jc w:val="left"/>
        <w:rPr>
          <w:sz w:val="21"/>
        </w:rPr>
        <w:sectPr>
          <w:pgSz w:w="11910" w:h="16840"/>
          <w:pgMar w:top="1400" w:right="1020" w:bottom="1100" w:left="1140" w:header="0" w:footer="917" w:gutter="0"/>
        </w:sectPr>
      </w:pPr>
    </w:p>
    <w:p>
      <w:pPr>
        <w:pStyle w:val="6"/>
        <w:rPr>
          <w:b/>
          <w:sz w:val="30"/>
        </w:rPr>
      </w:pPr>
    </w:p>
    <w:p>
      <w:pPr>
        <w:pStyle w:val="6"/>
        <w:spacing w:before="12"/>
        <w:rPr>
          <w:b/>
          <w:sz w:val="27"/>
        </w:rPr>
      </w:pPr>
    </w:p>
    <w:p>
      <w:pPr>
        <w:pStyle w:val="13"/>
        <w:numPr>
          <w:ilvl w:val="1"/>
          <w:numId w:val="104"/>
        </w:numPr>
        <w:tabs>
          <w:tab w:val="left" w:pos="852"/>
        </w:tabs>
        <w:spacing w:before="0" w:after="0" w:line="240" w:lineRule="auto"/>
        <w:ind w:left="852" w:right="0" w:hanging="632"/>
        <w:jc w:val="left"/>
        <w:rPr>
          <w:rFonts w:ascii="Times New Roman" w:eastAsia="Times New Roman"/>
          <w:b/>
          <w:sz w:val="28"/>
        </w:rPr>
      </w:pPr>
      <w:bookmarkStart w:id="1227" w:name="14.1 场址方案概述"/>
      <w:bookmarkEnd w:id="1227"/>
      <w:bookmarkStart w:id="1228" w:name="_bookmark79"/>
      <w:bookmarkEnd w:id="1228"/>
      <w:bookmarkStart w:id="1229" w:name="_bookmark79"/>
      <w:bookmarkEnd w:id="1229"/>
      <w:r>
        <w:rPr>
          <w:b/>
          <w:spacing w:val="-3"/>
          <w:sz w:val="28"/>
        </w:rPr>
        <w:t>场址方案概述</w:t>
      </w:r>
    </w:p>
    <w:p>
      <w:pPr>
        <w:pStyle w:val="2"/>
        <w:numPr>
          <w:ilvl w:val="0"/>
          <w:numId w:val="62"/>
        </w:numPr>
        <w:tabs>
          <w:tab w:val="left" w:pos="474"/>
        </w:tabs>
        <w:spacing w:before="41" w:after="0" w:line="240" w:lineRule="auto"/>
        <w:ind w:left="473" w:right="0" w:hanging="452"/>
        <w:jc w:val="left"/>
      </w:pPr>
      <w:bookmarkStart w:id="1230" w:name="14.项目选址环境可行性分析"/>
      <w:bookmarkEnd w:id="1230"/>
      <w:bookmarkStart w:id="1231" w:name="_bookmark80"/>
      <w:bookmarkEnd w:id="1231"/>
      <w:bookmarkStart w:id="1232" w:name="_bookmark80"/>
      <w:bookmarkEnd w:id="1232"/>
      <w:r>
        <w:rPr>
          <w:spacing w:val="2"/>
          <w:w w:val="99"/>
        </w:rPr>
        <w:br w:type="column"/>
      </w:r>
      <w:r>
        <w:rPr>
          <w:spacing w:val="-2"/>
        </w:rPr>
        <w:t>项目选址环境可行性分析</w:t>
      </w:r>
    </w:p>
    <w:p>
      <w:pPr>
        <w:spacing w:after="0" w:line="240" w:lineRule="auto"/>
        <w:jc w:val="left"/>
        <w:sectPr>
          <w:pgSz w:w="11910" w:h="16840"/>
          <w:pgMar w:top="1360" w:right="1020" w:bottom="1100" w:left="1140" w:header="0" w:footer="917" w:gutter="0"/>
          <w:cols w:equalWidth="0" w:num="2">
            <w:col w:w="2540" w:space="40"/>
            <w:col w:w="7170"/>
          </w:cols>
        </w:sectPr>
      </w:pPr>
    </w:p>
    <w:p>
      <w:pPr>
        <w:pStyle w:val="6"/>
        <w:spacing w:before="9"/>
        <w:rPr>
          <w:b/>
          <w:sz w:val="8"/>
        </w:rPr>
      </w:pPr>
    </w:p>
    <w:p>
      <w:pPr>
        <w:pStyle w:val="6"/>
        <w:spacing w:before="74" w:line="364" w:lineRule="auto"/>
        <w:ind w:left="220" w:right="338" w:firstLine="480"/>
        <w:jc w:val="both"/>
      </w:pPr>
      <w:bookmarkStart w:id="1233" w:name="双鸭山大顺矿业有限公司位于双鸭山矿业集团岭东煤矿南7km处，在双鸭山市司法局劳教"/>
      <w:bookmarkEnd w:id="1233"/>
      <w:r>
        <w:rPr>
          <w:spacing w:val="-3"/>
        </w:rPr>
        <w:t xml:space="preserve">双鸭山大顺矿业有限公司位于双鸭山矿业集团岭东煤矿南 </w:t>
      </w:r>
      <w:r>
        <w:rPr>
          <w:rFonts w:ascii="Times New Roman" w:eastAsia="Times New Roman"/>
        </w:rPr>
        <w:t xml:space="preserve">7km </w:t>
      </w:r>
      <w:r>
        <w:rPr>
          <w:spacing w:val="-4"/>
        </w:rPr>
        <w:t>处，在双鸭山市司法</w:t>
      </w:r>
      <w:r>
        <w:t>局劳教所东部。从岭东矿通往矿井有砂石公路可直达，距双鸭山矿业集团内部运煤专用</w:t>
      </w:r>
      <w:r>
        <w:rPr>
          <w:spacing w:val="-8"/>
        </w:rPr>
        <w:t xml:space="preserve">铁路线岭东车站 </w:t>
      </w:r>
      <w:r>
        <w:rPr>
          <w:rFonts w:ascii="Times New Roman" w:eastAsia="Times New Roman"/>
        </w:rPr>
        <w:t>7km</w:t>
      </w:r>
      <w:r>
        <w:rPr>
          <w:spacing w:val="-7"/>
        </w:rPr>
        <w:t xml:space="preserve">，距双鸭山火车站 </w:t>
      </w:r>
      <w:r>
        <w:rPr>
          <w:rFonts w:ascii="Times New Roman" w:eastAsia="Times New Roman"/>
        </w:rPr>
        <w:t>15km</w:t>
      </w:r>
      <w:r>
        <w:t>，交通较为方便。</w:t>
      </w:r>
    </w:p>
    <w:p>
      <w:pPr>
        <w:pStyle w:val="6"/>
        <w:spacing w:line="364" w:lineRule="auto"/>
        <w:ind w:left="220" w:right="217" w:firstLine="480"/>
        <w:jc w:val="both"/>
      </w:pPr>
      <w:bookmarkStart w:id="1234" w:name="矿区行政区划属双鸭山市岭东区，中心地理位置坐标经度131°09＇48″，纬度46"/>
      <w:bookmarkEnd w:id="1234"/>
      <w:r>
        <w:rPr>
          <w:spacing w:val="-6"/>
        </w:rPr>
        <w:t xml:space="preserve">矿区行政区划属双鸭山市岭东区，中心地理位置坐标经度 </w:t>
      </w:r>
      <w:r>
        <w:rPr>
          <w:rFonts w:ascii="Times New Roman" w:hAnsi="Times New Roman" w:eastAsia="Times New Roman"/>
          <w:spacing w:val="-7"/>
        </w:rPr>
        <w:t>131°09</w:t>
      </w:r>
      <w:r>
        <w:rPr>
          <w:spacing w:val="-7"/>
        </w:rPr>
        <w:t>＇</w:t>
      </w:r>
      <w:r>
        <w:rPr>
          <w:rFonts w:ascii="Times New Roman" w:hAnsi="Times New Roman" w:eastAsia="Times New Roman"/>
          <w:spacing w:val="-7"/>
        </w:rPr>
        <w:t>48″</w:t>
      </w:r>
      <w:r>
        <w:rPr>
          <w:spacing w:val="-17"/>
        </w:rPr>
        <w:t xml:space="preserve">，纬度 </w:t>
      </w:r>
      <w:r>
        <w:rPr>
          <w:rFonts w:ascii="Times New Roman" w:hAnsi="Times New Roman" w:eastAsia="Times New Roman"/>
          <w:spacing w:val="-3"/>
        </w:rPr>
        <w:t>46°29</w:t>
      </w:r>
      <w:r>
        <w:rPr>
          <w:spacing w:val="-3"/>
        </w:rPr>
        <w:t xml:space="preserve">＇ </w:t>
      </w:r>
      <w:r>
        <w:rPr>
          <w:rFonts w:ascii="Times New Roman" w:hAnsi="Times New Roman" w:eastAsia="Times New Roman"/>
        </w:rPr>
        <w:t>54″</w:t>
      </w:r>
      <w:r>
        <w:t>。地表为双鸭山林业局青山林场经营的次生林地。</w:t>
      </w:r>
    </w:p>
    <w:p>
      <w:pPr>
        <w:pStyle w:val="4"/>
        <w:numPr>
          <w:ilvl w:val="1"/>
          <w:numId w:val="104"/>
        </w:numPr>
        <w:tabs>
          <w:tab w:val="left" w:pos="852"/>
        </w:tabs>
        <w:spacing w:before="0" w:after="0" w:line="240" w:lineRule="auto"/>
        <w:ind w:left="852" w:right="0" w:hanging="632"/>
        <w:jc w:val="both"/>
        <w:rPr>
          <w:rFonts w:ascii="Times New Roman" w:eastAsia="Times New Roman"/>
        </w:rPr>
      </w:pPr>
      <w:bookmarkStart w:id="1235" w:name="_bookmark81"/>
      <w:bookmarkEnd w:id="1235"/>
      <w:bookmarkStart w:id="1236" w:name="14.2 厂址方案的技术经济比较"/>
      <w:bookmarkEnd w:id="1236"/>
      <w:bookmarkStart w:id="1237" w:name="_bookmark81"/>
      <w:bookmarkEnd w:id="1237"/>
      <w:r>
        <w:t>厂址方案的技术经济比较</w:t>
      </w:r>
    </w:p>
    <w:p>
      <w:pPr>
        <w:pStyle w:val="6"/>
        <w:spacing w:before="184" w:line="364" w:lineRule="auto"/>
        <w:ind w:left="220" w:right="338" w:firstLine="480"/>
        <w:jc w:val="both"/>
      </w:pPr>
      <w:bookmarkStart w:id="1238" w:name="双鸭山大顺矿业有限公司位于双鸭山矿业集团岭东煤矿南7km处，在双鸭山市司法局劳教"/>
      <w:bookmarkEnd w:id="1238"/>
      <w:r>
        <w:rPr>
          <w:spacing w:val="-3"/>
        </w:rPr>
        <w:t xml:space="preserve">双鸭山大顺矿业有限公司位于双鸭山矿业集团岭东煤矿南 </w:t>
      </w:r>
      <w:r>
        <w:rPr>
          <w:rFonts w:ascii="Times New Roman" w:eastAsia="Times New Roman"/>
        </w:rPr>
        <w:t xml:space="preserve">7km </w:t>
      </w:r>
      <w:r>
        <w:rPr>
          <w:spacing w:val="-4"/>
        </w:rPr>
        <w:t>处，在双鸭山市司法</w:t>
      </w:r>
      <w:r>
        <w:t>局劳教所东部。行政区划隶属双鸭山市岭东区管辖，地表为双鸭山林业局青山林场经营的次生林地。该建设场地位于无树木废弃地，周围无居民区、学校、大型医院、文物保护和风景名胜等。工程地质条件、水文地质条件、公用工程等条件满足项目建设需要和环保要求，该场址满足项目建设要求，地类现状为建设用地。</w:t>
      </w:r>
    </w:p>
    <w:p>
      <w:pPr>
        <w:pStyle w:val="4"/>
        <w:numPr>
          <w:ilvl w:val="1"/>
          <w:numId w:val="104"/>
        </w:numPr>
        <w:tabs>
          <w:tab w:val="left" w:pos="852"/>
        </w:tabs>
        <w:spacing w:before="0" w:after="0" w:line="355" w:lineRule="exact"/>
        <w:ind w:left="852" w:right="0" w:hanging="632"/>
        <w:jc w:val="both"/>
        <w:rPr>
          <w:rFonts w:ascii="Times New Roman" w:eastAsia="Times New Roman"/>
        </w:rPr>
      </w:pPr>
      <w:bookmarkStart w:id="1239" w:name="_bookmark82"/>
      <w:bookmarkEnd w:id="1239"/>
      <w:bookmarkStart w:id="1240" w:name="14.3 设计场地环境制约因素分析"/>
      <w:bookmarkEnd w:id="1240"/>
      <w:bookmarkStart w:id="1241" w:name="_bookmark82"/>
      <w:bookmarkEnd w:id="1241"/>
      <w:r>
        <w:t>设计场地环境制约因素分析</w:t>
      </w:r>
    </w:p>
    <w:p>
      <w:pPr>
        <w:pStyle w:val="6"/>
        <w:spacing w:before="186"/>
        <w:ind w:left="700"/>
      </w:pPr>
      <w:r>
        <w:t>场地所在地区为农村地区，环境空气属二类功能区，执行《环境空气质量标准》</w:t>
      </w:r>
    </w:p>
    <w:p>
      <w:pPr>
        <w:pStyle w:val="6"/>
        <w:spacing w:before="160" w:line="362" w:lineRule="auto"/>
        <w:ind w:left="220" w:right="287"/>
      </w:pPr>
      <w:r>
        <w:t>（</w:t>
      </w:r>
      <w:r>
        <w:rPr>
          <w:rFonts w:ascii="Times New Roman" w:eastAsia="Times New Roman"/>
        </w:rPr>
        <w:t>GB3095</w:t>
      </w:r>
      <w:r>
        <w:t>－</w:t>
      </w:r>
      <w:r>
        <w:rPr>
          <w:rFonts w:ascii="Times New Roman" w:eastAsia="Times New Roman"/>
        </w:rPr>
        <w:t>2012</w:t>
      </w:r>
      <w:r>
        <w:t>）二级标准；该地区工业污染源较少，项目所在地区域环境空气质量本底较好，具有一定的环境容量。</w:t>
      </w:r>
    </w:p>
    <w:p>
      <w:pPr>
        <w:pStyle w:val="6"/>
        <w:spacing w:before="3" w:line="364" w:lineRule="auto"/>
        <w:ind w:left="220" w:right="342" w:firstLine="480"/>
      </w:pPr>
      <w:r>
        <w:t>项目生活污水经生活污水处理站处理后全部回用，不外排；矿井涌水经矿井水处理站处理后，部分回用，部分外排，汇入扁石河。</w:t>
      </w:r>
    </w:p>
    <w:p>
      <w:pPr>
        <w:pStyle w:val="6"/>
        <w:spacing w:before="1" w:line="364" w:lineRule="auto"/>
        <w:ind w:left="220" w:right="316" w:firstLine="480"/>
        <w:jc w:val="both"/>
      </w:pPr>
      <w:r>
        <w:t>经预测，本项目矿井涌水通过采取措施处理达标后外排，最终汇入扁石河。污水与</w:t>
      </w:r>
      <w:r>
        <w:rPr>
          <w:spacing w:val="-5"/>
        </w:rPr>
        <w:t xml:space="preserve">河水完全混合后，对扁石河 </w:t>
      </w:r>
      <w:r>
        <w:rPr>
          <w:rFonts w:ascii="Times New Roman" w:eastAsia="Times New Roman"/>
        </w:rPr>
        <w:t>COD</w:t>
      </w:r>
      <w:r>
        <w:rPr>
          <w:spacing w:val="-1"/>
        </w:rPr>
        <w:t xml:space="preserve">、悬浮物浓度贡献值较小，对受纳水体水质影响较小， </w:t>
      </w:r>
      <w:r>
        <w:t>所以，本项目的污水外排至扁石河是可行的。</w:t>
      </w:r>
    </w:p>
    <w:p>
      <w:pPr>
        <w:pStyle w:val="3"/>
        <w:numPr>
          <w:ilvl w:val="1"/>
          <w:numId w:val="104"/>
        </w:numPr>
        <w:tabs>
          <w:tab w:val="left" w:pos="821"/>
        </w:tabs>
        <w:spacing w:before="0" w:after="0" w:line="384" w:lineRule="exact"/>
        <w:ind w:left="820" w:right="0" w:hanging="601"/>
        <w:jc w:val="both"/>
        <w:rPr>
          <w:rFonts w:ascii="Times New Roman" w:eastAsia="Times New Roman"/>
        </w:rPr>
      </w:pPr>
      <w:bookmarkStart w:id="1242" w:name="14.4排矸场的环境可行性"/>
      <w:bookmarkEnd w:id="1242"/>
      <w:bookmarkStart w:id="1243" w:name="_bookmark83"/>
      <w:bookmarkEnd w:id="1243"/>
      <w:bookmarkStart w:id="1244" w:name="_bookmark83"/>
      <w:bookmarkEnd w:id="1244"/>
      <w:r>
        <w:t>排矸场的环境可行性</w:t>
      </w:r>
    </w:p>
    <w:p>
      <w:pPr>
        <w:pStyle w:val="4"/>
        <w:numPr>
          <w:ilvl w:val="2"/>
          <w:numId w:val="104"/>
        </w:numPr>
        <w:tabs>
          <w:tab w:val="left" w:pos="1061"/>
        </w:tabs>
        <w:spacing w:before="197" w:after="0" w:line="240" w:lineRule="auto"/>
        <w:ind w:left="1060" w:right="0" w:hanging="841"/>
        <w:jc w:val="both"/>
      </w:pPr>
      <w:bookmarkStart w:id="1245" w:name="14.4.1 煤矸石转运场地形地貌、占地类型及周围环境概况"/>
      <w:bookmarkEnd w:id="1245"/>
      <w:bookmarkStart w:id="1246" w:name="14.4.1 煤矸石转运场地形地貌、占地类型及周围环境概况"/>
      <w:bookmarkEnd w:id="1246"/>
      <w:r>
        <w:t>煤矸石转运场地形地貌、占地类型及周围环境概况</w:t>
      </w:r>
    </w:p>
    <w:p>
      <w:pPr>
        <w:pStyle w:val="13"/>
        <w:numPr>
          <w:ilvl w:val="3"/>
          <w:numId w:val="104"/>
        </w:numPr>
        <w:tabs>
          <w:tab w:val="left" w:pos="1302"/>
        </w:tabs>
        <w:spacing w:before="185" w:after="0" w:line="240" w:lineRule="auto"/>
        <w:ind w:left="1301" w:right="0" w:hanging="602"/>
        <w:jc w:val="left"/>
        <w:rPr>
          <w:sz w:val="24"/>
        </w:rPr>
      </w:pPr>
      <w:r>
        <w:rPr>
          <w:sz w:val="24"/>
        </w:rPr>
        <w:t>地形地貌、占地类型</w:t>
      </w:r>
    </w:p>
    <w:p>
      <w:pPr>
        <w:pStyle w:val="6"/>
        <w:spacing w:before="161" w:line="364" w:lineRule="auto"/>
        <w:ind w:left="220" w:right="218" w:firstLine="480"/>
      </w:pPr>
      <w:r>
        <w:t>据调查煤矸石转运场地面。第四系不整合在穆棱组之上，上部为黑色腐殖土，其下</w:t>
      </w:r>
      <w:r>
        <w:rPr>
          <w:spacing w:val="-5"/>
        </w:rPr>
        <w:t xml:space="preserve">部位黄色亚粘土等组成。土壤一般厚 </w:t>
      </w:r>
      <w:r>
        <w:rPr>
          <w:rFonts w:ascii="Times New Roman" w:eastAsia="Times New Roman"/>
        </w:rPr>
        <w:t>0.5-1.0m</w:t>
      </w:r>
      <w:r>
        <w:rPr>
          <w:spacing w:val="-3"/>
        </w:rPr>
        <w:t>，渗透性较差，可以防止矸石淋滤液下渗。</w:t>
      </w:r>
    </w:p>
    <w:p>
      <w:pPr>
        <w:pStyle w:val="6"/>
        <w:spacing w:line="306" w:lineRule="exact"/>
        <w:ind w:left="700"/>
      </w:pPr>
      <w:r>
        <w:t>项目区内主要为林地，占地类型为建设用地。</w:t>
      </w:r>
    </w:p>
    <w:p>
      <w:pPr>
        <w:spacing w:after="0" w:line="306" w:lineRule="exact"/>
        <w:sectPr>
          <w:type w:val="continuous"/>
          <w:pgSz w:w="11910" w:h="16840"/>
          <w:pgMar w:top="1580" w:right="1020" w:bottom="280" w:left="1140" w:header="720" w:footer="720" w:gutter="0"/>
        </w:sectPr>
      </w:pPr>
    </w:p>
    <w:p>
      <w:pPr>
        <w:pStyle w:val="13"/>
        <w:numPr>
          <w:ilvl w:val="3"/>
          <w:numId w:val="104"/>
        </w:numPr>
        <w:tabs>
          <w:tab w:val="left" w:pos="1302"/>
        </w:tabs>
        <w:spacing w:before="61" w:after="0" w:line="240" w:lineRule="auto"/>
        <w:ind w:left="1301" w:right="0" w:hanging="602"/>
        <w:jc w:val="left"/>
        <w:rPr>
          <w:sz w:val="24"/>
        </w:rPr>
      </w:pPr>
      <w:r>
        <w:rPr>
          <w:sz w:val="24"/>
        </w:rPr>
        <w:t>周围环境概况</w:t>
      </w:r>
    </w:p>
    <w:p>
      <w:pPr>
        <w:pStyle w:val="6"/>
        <w:spacing w:before="158"/>
        <w:ind w:left="700"/>
      </w:pPr>
      <w:r>
        <w:t xml:space="preserve">通过现场调查可知，目前井田多为林地，煤矸石转运场周围 </w:t>
      </w:r>
      <w:r>
        <w:rPr>
          <w:rFonts w:ascii="Times New Roman" w:eastAsia="Times New Roman"/>
        </w:rPr>
        <w:t xml:space="preserve">500m </w:t>
      </w:r>
      <w:r>
        <w:t>范围内无村屯。</w:t>
      </w:r>
    </w:p>
    <w:p>
      <w:pPr>
        <w:pStyle w:val="13"/>
        <w:numPr>
          <w:ilvl w:val="3"/>
          <w:numId w:val="104"/>
        </w:numPr>
        <w:tabs>
          <w:tab w:val="left" w:pos="1302"/>
        </w:tabs>
        <w:spacing w:before="161" w:after="0" w:line="240" w:lineRule="auto"/>
        <w:ind w:left="1301" w:right="0" w:hanging="602"/>
        <w:jc w:val="left"/>
        <w:rPr>
          <w:sz w:val="24"/>
        </w:rPr>
      </w:pPr>
      <w:r>
        <w:rPr>
          <w:sz w:val="24"/>
        </w:rPr>
        <w:t>工程地质和水文地质特征</w:t>
      </w:r>
    </w:p>
    <w:p>
      <w:pPr>
        <w:pStyle w:val="6"/>
        <w:spacing w:before="160" w:line="362" w:lineRule="auto"/>
        <w:ind w:left="220" w:right="340" w:firstLine="480"/>
      </w:pPr>
      <w:r>
        <w:t>煤矸石转运场表层均为第四系，分布较广，附近没有断层、陷落柱、孔洞等不良地质状况。</w:t>
      </w:r>
    </w:p>
    <w:p>
      <w:pPr>
        <w:pStyle w:val="4"/>
        <w:numPr>
          <w:ilvl w:val="2"/>
          <w:numId w:val="104"/>
        </w:numPr>
        <w:tabs>
          <w:tab w:val="left" w:pos="1061"/>
        </w:tabs>
        <w:spacing w:before="6" w:after="0" w:line="240" w:lineRule="auto"/>
        <w:ind w:left="1060" w:right="0" w:hanging="841"/>
        <w:jc w:val="left"/>
      </w:pPr>
      <w:bookmarkStart w:id="1247" w:name="14.4.2 煤矸石转运场选址的环境可行性"/>
      <w:bookmarkEnd w:id="1247"/>
      <w:bookmarkStart w:id="1248" w:name="14.4.2 煤矸石转运场选址的环境可行性"/>
      <w:bookmarkEnd w:id="1248"/>
      <w:r>
        <w:t>煤矸石转运场选址的环境可行性</w:t>
      </w:r>
    </w:p>
    <w:p>
      <w:pPr>
        <w:pStyle w:val="13"/>
        <w:numPr>
          <w:ilvl w:val="0"/>
          <w:numId w:val="105"/>
        </w:numPr>
        <w:tabs>
          <w:tab w:val="left" w:pos="1302"/>
        </w:tabs>
        <w:spacing w:before="185" w:after="0" w:line="362" w:lineRule="auto"/>
        <w:ind w:left="220" w:right="338" w:firstLine="480"/>
        <w:jc w:val="left"/>
        <w:rPr>
          <w:sz w:val="24"/>
        </w:rPr>
      </w:pPr>
      <w:r>
        <w:rPr>
          <w:spacing w:val="-4"/>
          <w:sz w:val="24"/>
        </w:rPr>
        <w:t>煤矸石转运场为暂时性储存场，待塌陷区稳定后逐步用于回填采空区、铺路等</w:t>
      </w:r>
      <w:r>
        <w:rPr>
          <w:sz w:val="24"/>
        </w:rPr>
        <w:t>工程。本项目煤矸石转运场选址符合当地土地利用规划要求。</w:t>
      </w:r>
    </w:p>
    <w:p>
      <w:pPr>
        <w:pStyle w:val="13"/>
        <w:numPr>
          <w:ilvl w:val="0"/>
          <w:numId w:val="105"/>
        </w:numPr>
        <w:tabs>
          <w:tab w:val="left" w:pos="1302"/>
        </w:tabs>
        <w:spacing w:before="5" w:after="0" w:line="362" w:lineRule="auto"/>
        <w:ind w:left="220" w:right="338" w:firstLine="480"/>
        <w:jc w:val="left"/>
        <w:rPr>
          <w:sz w:val="24"/>
        </w:rPr>
      </w:pPr>
      <w:r>
        <w:rPr>
          <w:spacing w:val="-7"/>
          <w:sz w:val="24"/>
        </w:rPr>
        <w:t xml:space="preserve">煤矸石转运场周边 </w:t>
      </w:r>
      <w:r>
        <w:rPr>
          <w:rFonts w:ascii="Times New Roman" w:eastAsia="Times New Roman"/>
          <w:sz w:val="24"/>
        </w:rPr>
        <w:t xml:space="preserve">500m </w:t>
      </w:r>
      <w:r>
        <w:rPr>
          <w:spacing w:val="-2"/>
          <w:sz w:val="24"/>
        </w:rPr>
        <w:t>范围内无集中居民点，本项目煤矸石转运场经采取洒</w:t>
      </w:r>
      <w:r>
        <w:rPr>
          <w:sz w:val="24"/>
        </w:rPr>
        <w:t>水措施和种植防护林后对其影响较小。</w:t>
      </w:r>
    </w:p>
    <w:p>
      <w:pPr>
        <w:pStyle w:val="13"/>
        <w:numPr>
          <w:ilvl w:val="0"/>
          <w:numId w:val="105"/>
        </w:numPr>
        <w:tabs>
          <w:tab w:val="left" w:pos="1302"/>
        </w:tabs>
        <w:spacing w:before="5" w:after="0" w:line="362" w:lineRule="auto"/>
        <w:ind w:left="220" w:right="338" w:firstLine="480"/>
        <w:jc w:val="left"/>
        <w:rPr>
          <w:sz w:val="24"/>
        </w:rPr>
      </w:pPr>
      <w:r>
        <w:rPr>
          <w:spacing w:val="-2"/>
          <w:sz w:val="24"/>
        </w:rPr>
        <w:t>本项目矸石属于第Ⅰ类一般工业固体废物，煤矸石转运场可按Ⅰ类贮存场选</w:t>
      </w:r>
      <w:r>
        <w:rPr>
          <w:spacing w:val="-4"/>
          <w:sz w:val="24"/>
        </w:rPr>
        <w:t>址和设计。</w:t>
      </w:r>
    </w:p>
    <w:p>
      <w:pPr>
        <w:pStyle w:val="13"/>
        <w:numPr>
          <w:ilvl w:val="0"/>
          <w:numId w:val="105"/>
        </w:numPr>
        <w:tabs>
          <w:tab w:val="left" w:pos="1302"/>
        </w:tabs>
        <w:spacing w:before="5" w:after="0" w:line="362" w:lineRule="auto"/>
        <w:ind w:left="220" w:right="283" w:firstLine="480"/>
        <w:jc w:val="left"/>
        <w:rPr>
          <w:sz w:val="24"/>
        </w:rPr>
      </w:pPr>
      <w:r>
        <w:rPr>
          <w:spacing w:val="-1"/>
          <w:sz w:val="24"/>
        </w:rPr>
        <w:t xml:space="preserve">本项目矸石堆放自燃的可能性较小。矸石排入煤矸石转运场后能够及时清运， </w:t>
      </w:r>
      <w:r>
        <w:rPr>
          <w:sz w:val="24"/>
        </w:rPr>
        <w:t>对周围环境空气的影响较小。</w:t>
      </w:r>
    </w:p>
    <w:p>
      <w:pPr>
        <w:pStyle w:val="13"/>
        <w:numPr>
          <w:ilvl w:val="0"/>
          <w:numId w:val="105"/>
        </w:numPr>
        <w:tabs>
          <w:tab w:val="left" w:pos="1302"/>
        </w:tabs>
        <w:spacing w:before="5" w:after="0" w:line="362" w:lineRule="auto"/>
        <w:ind w:left="220" w:right="338" w:firstLine="480"/>
        <w:jc w:val="left"/>
        <w:rPr>
          <w:sz w:val="24"/>
        </w:rPr>
      </w:pPr>
      <w:r>
        <w:rPr>
          <w:spacing w:val="-4"/>
          <w:sz w:val="24"/>
        </w:rPr>
        <w:t>煤矸石转运场工程地质条件稳定、无断层、破碎带以及滑坡等不良地质灾害影</w:t>
      </w:r>
      <w:r>
        <w:rPr>
          <w:sz w:val="24"/>
        </w:rPr>
        <w:t>响，煤矸石转运场沟底标高高出当地最高洪水水位，不受洪水威胁。</w:t>
      </w:r>
    </w:p>
    <w:p>
      <w:pPr>
        <w:pStyle w:val="6"/>
        <w:spacing w:before="5" w:line="364" w:lineRule="auto"/>
        <w:ind w:left="220" w:right="218" w:firstLine="480"/>
      </w:pPr>
      <w:r>
        <w:rPr>
          <w:spacing w:val="-8"/>
        </w:rPr>
        <w:t xml:space="preserve">根据以上分析，本项目煤矸石转运场经采取洒水措施和种植防护林后对其影响较小； </w:t>
      </w:r>
      <w:r>
        <w:t>从环境保护的角度而言，本煤矸石转运场选址符合《一般工业固体废弃物贮存、处置场污染控制标准》中的有关规定，煤矸石转运场的选址是可行的。</w:t>
      </w:r>
    </w:p>
    <w:p>
      <w:pPr>
        <w:pStyle w:val="4"/>
        <w:numPr>
          <w:ilvl w:val="1"/>
          <w:numId w:val="104"/>
        </w:numPr>
        <w:tabs>
          <w:tab w:val="left" w:pos="780"/>
        </w:tabs>
        <w:spacing w:before="0" w:after="0" w:line="240" w:lineRule="auto"/>
        <w:ind w:left="780" w:right="0" w:hanging="560"/>
        <w:jc w:val="left"/>
        <w:rPr>
          <w:rFonts w:ascii="Times New Roman" w:eastAsia="Times New Roman"/>
        </w:rPr>
      </w:pPr>
      <w:bookmarkStart w:id="1249" w:name="14.5项目选址环境可行性综合分析"/>
      <w:bookmarkEnd w:id="1249"/>
      <w:bookmarkStart w:id="1250" w:name="_bookmark84"/>
      <w:bookmarkEnd w:id="1250"/>
      <w:bookmarkStart w:id="1251" w:name="_bookmark84"/>
      <w:bookmarkEnd w:id="1251"/>
      <w:r>
        <w:t>项目选址环境可行性综合分析</w:t>
      </w:r>
    </w:p>
    <w:p>
      <w:pPr>
        <w:pStyle w:val="6"/>
        <w:spacing w:before="10"/>
        <w:rPr>
          <w:b/>
          <w:sz w:val="21"/>
        </w:rPr>
      </w:pPr>
    </w:p>
    <w:p>
      <w:pPr>
        <w:pStyle w:val="6"/>
        <w:ind w:left="700"/>
      </w:pPr>
      <w:r>
        <w:rPr>
          <w:rFonts w:ascii="Times New Roman" w:eastAsia="Times New Roman"/>
        </w:rPr>
        <w:t>1</w:t>
      </w:r>
      <w:r>
        <w:t>、环境空气</w:t>
      </w:r>
    </w:p>
    <w:p>
      <w:pPr>
        <w:pStyle w:val="6"/>
        <w:spacing w:before="158" w:line="364" w:lineRule="auto"/>
        <w:ind w:left="220" w:right="213" w:firstLine="480"/>
      </w:pPr>
      <w:r>
        <w:t>在采取本评价提出的严格抑尘措施后，无组织排放对区域环境空气质量影响较小。</w:t>
      </w:r>
      <w:r>
        <w:rPr>
          <w:spacing w:val="-11"/>
        </w:rPr>
        <w:t>油烟排放浓度满足《饮食业油烟排放标准</w:t>
      </w:r>
      <w:r>
        <w:rPr>
          <w:spacing w:val="-224"/>
        </w:rPr>
        <w:t>》</w:t>
      </w:r>
      <w:r>
        <w:rPr>
          <w:spacing w:val="-3"/>
        </w:rPr>
        <w:t>（</w:t>
      </w:r>
      <w:r>
        <w:rPr>
          <w:rFonts w:ascii="Times New Roman" w:eastAsia="Times New Roman"/>
          <w:spacing w:val="-1"/>
        </w:rPr>
        <w:t>G</w:t>
      </w:r>
      <w:r>
        <w:rPr>
          <w:rFonts w:ascii="Times New Roman" w:eastAsia="Times New Roman"/>
        </w:rPr>
        <w:t>B 18483</w:t>
      </w:r>
      <w:r>
        <w:rPr>
          <w:rFonts w:ascii="Times New Roman" w:eastAsia="Times New Roman"/>
          <w:spacing w:val="-1"/>
        </w:rPr>
        <w:t>-</w:t>
      </w:r>
      <w:r>
        <w:rPr>
          <w:rFonts w:ascii="Times New Roman" w:eastAsia="Times New Roman"/>
        </w:rPr>
        <w:t>200</w:t>
      </w:r>
      <w:r>
        <w:rPr>
          <w:rFonts w:ascii="Times New Roman" w:eastAsia="Times New Roman"/>
          <w:spacing w:val="2"/>
        </w:rPr>
        <w:t>1</w:t>
      </w:r>
      <w:r>
        <w:rPr>
          <w:spacing w:val="-111"/>
        </w:rPr>
        <w:t>）</w:t>
      </w:r>
      <w:r>
        <w:rPr>
          <w:spacing w:val="-7"/>
        </w:rPr>
        <w:t xml:space="preserve">最高允许排放浓度 </w:t>
      </w:r>
      <w:r>
        <w:rPr>
          <w:rFonts w:ascii="Times New Roman" w:eastAsia="Times New Roman"/>
        </w:rPr>
        <w:t>2.0m</w:t>
      </w:r>
      <w:r>
        <w:rPr>
          <w:rFonts w:ascii="Times New Roman" w:eastAsia="Times New Roman"/>
          <w:spacing w:val="-3"/>
        </w:rPr>
        <w:t>g</w:t>
      </w:r>
      <w:r>
        <w:rPr>
          <w:rFonts w:ascii="Times New Roman" w:eastAsia="Times New Roman"/>
        </w:rPr>
        <w:t>/m</w:t>
      </w:r>
      <w:r>
        <w:rPr>
          <w:rFonts w:ascii="Times New Roman" w:eastAsia="Times New Roman"/>
          <w:spacing w:val="1"/>
          <w:w w:val="104"/>
          <w:position w:val="8"/>
          <w:sz w:val="15"/>
        </w:rPr>
        <w:t>3</w:t>
      </w:r>
      <w:r>
        <w:t>。本矿井为低瓦斯矿井，通过对该矿井产生的瓦斯进行抽排，抽排后的瓦斯浓度较低，本区扩散较好，因此，瓦斯排放对环境空气影响较小。总体来说，本项目对评价区域环境空气质量影响很小，排放的大气污染物可被现有环境所接受。</w:t>
      </w:r>
    </w:p>
    <w:p>
      <w:pPr>
        <w:pStyle w:val="6"/>
        <w:spacing w:line="306" w:lineRule="exact"/>
        <w:ind w:left="700"/>
      </w:pPr>
      <w:r>
        <w:rPr>
          <w:rFonts w:ascii="Times New Roman" w:eastAsia="Times New Roman"/>
        </w:rPr>
        <w:t>2</w:t>
      </w:r>
      <w:r>
        <w:t>、地表水</w:t>
      </w:r>
    </w:p>
    <w:p>
      <w:pPr>
        <w:pStyle w:val="6"/>
        <w:spacing w:before="158" w:line="364" w:lineRule="auto"/>
        <w:ind w:left="220" w:right="338" w:firstLine="480"/>
      </w:pPr>
      <w:r>
        <w:t>本项目污水排放对地表水体影响不大，按煤炭企业设计相应规范要求，在运营期严禁污水直排现象发生。从地表水环境的角度分析，本项目在该厂址建设是可行的。</w:t>
      </w:r>
    </w:p>
    <w:p>
      <w:pPr>
        <w:spacing w:after="0" w:line="364" w:lineRule="auto"/>
        <w:sectPr>
          <w:pgSz w:w="11910" w:h="16840"/>
          <w:pgMar w:top="1340" w:right="1020" w:bottom="1180" w:left="1140" w:header="0" w:footer="917" w:gutter="0"/>
        </w:sectPr>
      </w:pPr>
    </w:p>
    <w:p>
      <w:pPr>
        <w:pStyle w:val="6"/>
        <w:spacing w:before="61"/>
        <w:ind w:left="700"/>
      </w:pPr>
      <w:r>
        <w:rPr>
          <w:rFonts w:ascii="Times New Roman" w:eastAsia="Times New Roman"/>
        </w:rPr>
        <w:t>3</w:t>
      </w:r>
      <w:r>
        <w:t>、地下水</w:t>
      </w:r>
    </w:p>
    <w:p>
      <w:pPr>
        <w:pStyle w:val="6"/>
        <w:spacing w:before="158" w:line="364" w:lineRule="auto"/>
        <w:ind w:left="220" w:right="170" w:firstLine="480"/>
      </w:pPr>
      <w:r>
        <w:t>按照地下水环境质量标准，本次收集井田勘探资料，并进行了评价区水文地质调查， 对地下水进行了采样监测，经过系统分析、全面对比、综合研究从地下水环境的角度分析，本项目在该厂址建设是可行的。</w:t>
      </w:r>
    </w:p>
    <w:p>
      <w:pPr>
        <w:pStyle w:val="6"/>
        <w:spacing w:line="307" w:lineRule="exact"/>
        <w:ind w:left="700"/>
      </w:pPr>
      <w:r>
        <w:rPr>
          <w:rFonts w:ascii="Times New Roman" w:eastAsia="Times New Roman"/>
        </w:rPr>
        <w:t>4</w:t>
      </w:r>
      <w:r>
        <w:t>、噪声</w:t>
      </w:r>
    </w:p>
    <w:p>
      <w:pPr>
        <w:pStyle w:val="6"/>
        <w:spacing w:before="161" w:line="362" w:lineRule="auto"/>
        <w:ind w:left="220" w:right="338" w:firstLine="480"/>
      </w:pPr>
      <w:r>
        <w:t xml:space="preserve">本项目主要噪声源相对较集中，周围 </w:t>
      </w:r>
      <w:r>
        <w:rPr>
          <w:rFonts w:ascii="Times New Roman" w:eastAsia="Times New Roman"/>
        </w:rPr>
        <w:t xml:space="preserve">200m </w:t>
      </w:r>
      <w:r>
        <w:t>内没有居民分布，本评价认为，在严格执行评价提出的防治措施前提下，从声环境角度而言，本项目在该厂址建设可行。</w:t>
      </w:r>
    </w:p>
    <w:p>
      <w:pPr>
        <w:pStyle w:val="6"/>
        <w:spacing w:before="5"/>
        <w:ind w:left="700"/>
      </w:pPr>
      <w:r>
        <w:rPr>
          <w:rFonts w:ascii="Times New Roman" w:eastAsia="Times New Roman"/>
        </w:rPr>
        <w:t>5</w:t>
      </w:r>
      <w:r>
        <w:t>、固体废弃物</w:t>
      </w:r>
    </w:p>
    <w:p>
      <w:pPr>
        <w:pStyle w:val="6"/>
        <w:spacing w:before="158" w:line="364" w:lineRule="auto"/>
        <w:ind w:left="220" w:right="338" w:firstLine="480"/>
        <w:jc w:val="both"/>
      </w:pPr>
      <w:r>
        <w:t>本矿井施工期产出的矸石全部用于修路和工业场地的平整，服务期产生的矸石暂存于矸石转运场，用来平整工业场地；用作公路的路基石料；用于填沟造地。本项目煤矸石转运场周围设置拦矸坝和截流沟，使煤矸石转运场淋溶的雨水经导流沟排入矿井水处理站的沉淀池，进入矿井处理系统，这样既保证了污染物不外排。煤矸石转运场采取洒水抑尘，可有效控制扬尘污染。</w:t>
      </w:r>
    </w:p>
    <w:p>
      <w:pPr>
        <w:pStyle w:val="6"/>
        <w:spacing w:line="364" w:lineRule="auto"/>
        <w:ind w:left="220" w:right="340" w:firstLine="480"/>
        <w:jc w:val="both"/>
      </w:pPr>
      <w:r>
        <w:t xml:space="preserve">本项目产生生活垃圾集中收集，定期按环卫部门要求统一处理；矸石回填采空区和塌陷区、修路；生活污水处理站污泥按市政环卫部门要求统一处理；废机油委托有资质的单位处理。本项目服务期固体废物处理率达 </w:t>
      </w:r>
      <w:r>
        <w:rPr>
          <w:rFonts w:ascii="Times New Roman" w:eastAsia="Times New Roman"/>
        </w:rPr>
        <w:t>100%</w:t>
      </w:r>
      <w:r>
        <w:t>，对外环境影响较小。</w:t>
      </w:r>
    </w:p>
    <w:p>
      <w:pPr>
        <w:pStyle w:val="6"/>
        <w:spacing w:line="307" w:lineRule="exact"/>
        <w:ind w:left="220"/>
      </w:pPr>
      <w:r>
        <w:t>综上所述，本项目选址合理。</w:t>
      </w:r>
    </w:p>
    <w:p>
      <w:pPr>
        <w:spacing w:after="0" w:line="307" w:lineRule="exact"/>
        <w:sectPr>
          <w:pgSz w:w="11910" w:h="16840"/>
          <w:pgMar w:top="1340" w:right="1020" w:bottom="1180" w:left="1140" w:header="0" w:footer="917" w:gutter="0"/>
        </w:sectPr>
      </w:pPr>
    </w:p>
    <w:p>
      <w:pPr>
        <w:pStyle w:val="6"/>
        <w:rPr>
          <w:sz w:val="20"/>
        </w:rPr>
      </w:pPr>
    </w:p>
    <w:p>
      <w:pPr>
        <w:pStyle w:val="6"/>
        <w:spacing w:before="4"/>
        <w:rPr>
          <w:sz w:val="23"/>
        </w:rPr>
      </w:pPr>
    </w:p>
    <w:p>
      <w:pPr>
        <w:spacing w:after="0"/>
        <w:rPr>
          <w:sz w:val="23"/>
        </w:rPr>
        <w:sectPr>
          <w:pgSz w:w="11910" w:h="16840"/>
          <w:pgMar w:top="1580" w:right="1020" w:bottom="1180" w:left="1140" w:header="0" w:footer="917" w:gutter="0"/>
        </w:sectPr>
      </w:pPr>
    </w:p>
    <w:p>
      <w:pPr>
        <w:pStyle w:val="6"/>
        <w:rPr>
          <w:sz w:val="32"/>
        </w:rPr>
      </w:pPr>
    </w:p>
    <w:p>
      <w:pPr>
        <w:pStyle w:val="6"/>
        <w:spacing w:before="5"/>
        <w:rPr>
          <w:sz w:val="27"/>
        </w:rPr>
      </w:pPr>
    </w:p>
    <w:p>
      <w:pPr>
        <w:pStyle w:val="3"/>
        <w:numPr>
          <w:ilvl w:val="1"/>
          <w:numId w:val="106"/>
        </w:numPr>
        <w:tabs>
          <w:tab w:val="left" w:pos="896"/>
        </w:tabs>
        <w:spacing w:before="0" w:after="0" w:line="240" w:lineRule="auto"/>
        <w:ind w:left="895" w:right="0" w:hanging="676"/>
        <w:jc w:val="left"/>
      </w:pPr>
      <w:bookmarkStart w:id="1252" w:name="15.1 评价依据"/>
      <w:bookmarkEnd w:id="1252"/>
      <w:bookmarkStart w:id="1253" w:name="_bookmark85"/>
      <w:bookmarkEnd w:id="1253"/>
      <w:bookmarkStart w:id="1254" w:name="_bookmark85"/>
      <w:bookmarkEnd w:id="1254"/>
      <w:r>
        <w:t>评价依据</w:t>
      </w:r>
    </w:p>
    <w:p>
      <w:pPr>
        <w:pStyle w:val="2"/>
        <w:numPr>
          <w:ilvl w:val="0"/>
          <w:numId w:val="62"/>
        </w:numPr>
        <w:tabs>
          <w:tab w:val="left" w:pos="852"/>
        </w:tabs>
        <w:spacing w:before="61" w:after="0" w:line="240" w:lineRule="auto"/>
        <w:ind w:left="852" w:right="0" w:hanging="632"/>
        <w:jc w:val="left"/>
      </w:pPr>
      <w:bookmarkStart w:id="1255" w:name="_bookmark86"/>
      <w:bookmarkEnd w:id="1255"/>
      <w:bookmarkStart w:id="1256" w:name="_bookmark86"/>
      <w:bookmarkEnd w:id="1256"/>
      <w:bookmarkStart w:id="1257" w:name="15. 环境风险影响分析"/>
      <w:bookmarkEnd w:id="1257"/>
      <w:r>
        <w:rPr>
          <w:spacing w:val="2"/>
          <w:w w:val="99"/>
        </w:rPr>
        <w:br w:type="column"/>
      </w:r>
      <w:r>
        <w:t>环境风险影响分析</w:t>
      </w:r>
    </w:p>
    <w:p>
      <w:pPr>
        <w:spacing w:after="0" w:line="240" w:lineRule="auto"/>
        <w:jc w:val="left"/>
        <w:sectPr>
          <w:type w:val="continuous"/>
          <w:pgSz w:w="11910" w:h="16840"/>
          <w:pgMar w:top="1580" w:right="1020" w:bottom="280" w:left="1140" w:header="720" w:footer="720" w:gutter="0"/>
          <w:cols w:equalWidth="0" w:num="2">
            <w:col w:w="2138" w:space="1054"/>
            <w:col w:w="6558"/>
          </w:cols>
        </w:sectPr>
      </w:pPr>
    </w:p>
    <w:p>
      <w:pPr>
        <w:pStyle w:val="6"/>
        <w:spacing w:before="1"/>
        <w:rPr>
          <w:b/>
          <w:sz w:val="10"/>
        </w:rPr>
      </w:pPr>
    </w:p>
    <w:p>
      <w:pPr>
        <w:pStyle w:val="4"/>
        <w:numPr>
          <w:ilvl w:val="2"/>
          <w:numId w:val="106"/>
        </w:numPr>
        <w:tabs>
          <w:tab w:val="left" w:pos="1061"/>
        </w:tabs>
        <w:spacing w:before="71" w:after="0" w:line="240" w:lineRule="auto"/>
        <w:ind w:left="1060" w:right="0" w:hanging="841"/>
        <w:jc w:val="left"/>
      </w:pPr>
      <w:bookmarkStart w:id="1258" w:name="15.1.1 项目环境风险源调查"/>
      <w:bookmarkEnd w:id="1258"/>
      <w:bookmarkStart w:id="1259" w:name="15.1.1 项目环境风险源调查"/>
      <w:bookmarkEnd w:id="1259"/>
      <w:r>
        <w:t>项目环境风险源调查</w:t>
      </w:r>
    </w:p>
    <w:p>
      <w:pPr>
        <w:pStyle w:val="6"/>
        <w:spacing w:before="148" w:line="520" w:lineRule="atLeast"/>
        <w:ind w:left="220" w:right="340" w:firstLine="480"/>
      </w:pPr>
      <w:r>
        <w:t>环境风险源指“存在物质或能量意外释放，并可能产生环境危害的源”，本项目风险源为柴油罐、危废暂存间。</w:t>
      </w:r>
    </w:p>
    <w:p>
      <w:pPr>
        <w:pStyle w:val="4"/>
        <w:numPr>
          <w:ilvl w:val="2"/>
          <w:numId w:val="106"/>
        </w:numPr>
        <w:tabs>
          <w:tab w:val="left" w:pos="1061"/>
        </w:tabs>
        <w:spacing w:before="40" w:after="0" w:line="240" w:lineRule="auto"/>
        <w:ind w:left="1060" w:right="0" w:hanging="841"/>
        <w:jc w:val="left"/>
      </w:pPr>
      <w:bookmarkStart w:id="1260" w:name="15.1.2 环境风险潜势初判及评价等级确定"/>
      <w:bookmarkEnd w:id="1260"/>
      <w:bookmarkStart w:id="1261" w:name="15.1.2 环境风险潜势初判及评价等级确定"/>
      <w:bookmarkEnd w:id="1261"/>
      <w:r>
        <w:t>环境风险潜势初判及评价等级确定</w:t>
      </w:r>
    </w:p>
    <w:p>
      <w:pPr>
        <w:pStyle w:val="6"/>
        <w:spacing w:before="182"/>
        <w:ind w:left="700"/>
      </w:pPr>
      <w:r>
        <w:t>本项目危险物质主要为油类物质。</w:t>
      </w:r>
    </w:p>
    <w:p>
      <w:pPr>
        <w:pStyle w:val="6"/>
        <w:spacing w:before="161" w:line="362" w:lineRule="auto"/>
        <w:ind w:left="220" w:right="338" w:firstLine="480"/>
      </w:pPr>
      <w:r>
        <w:t>根据《建设项目环境风险评价技术导则》（</w:t>
      </w:r>
      <w:r>
        <w:rPr>
          <w:rFonts w:ascii="Times New Roman" w:eastAsia="Times New Roman"/>
        </w:rPr>
        <w:t>HJ169-2018</w:t>
      </w:r>
      <w:r>
        <w:t>）中关于环境风险潜势初判方式首先按式计算物质总量与临界量比值（</w:t>
      </w:r>
      <w:r>
        <w:rPr>
          <w:rFonts w:ascii="Times New Roman" w:eastAsia="Times New Roman"/>
        </w:rPr>
        <w:t>Q</w:t>
      </w:r>
      <w:r>
        <w:t>）</w:t>
      </w:r>
    </w:p>
    <w:p>
      <w:pPr>
        <w:spacing w:after="0" w:line="362" w:lineRule="auto"/>
        <w:sectPr>
          <w:type w:val="continuous"/>
          <w:pgSz w:w="11910" w:h="16840"/>
          <w:pgMar w:top="1580" w:right="1020" w:bottom="280" w:left="1140" w:header="720" w:footer="720" w:gutter="0"/>
        </w:sectPr>
      </w:pPr>
    </w:p>
    <w:p>
      <w:pPr>
        <w:spacing w:before="44" w:line="187" w:lineRule="auto"/>
        <w:ind w:left="3082" w:right="0" w:firstLine="0"/>
        <w:jc w:val="left"/>
        <w:rPr>
          <w:rFonts w:ascii="Times New Roman" w:hAnsi="Times New Roman"/>
          <w:sz w:val="22"/>
        </w:rPr>
      </w:pPr>
      <w:r>
        <mc:AlternateContent>
          <mc:Choice Requires="wps">
            <w:drawing>
              <wp:anchor distT="0" distB="0" distL="114300" distR="114300" simplePos="0" relativeHeight="214254592" behindDoc="1" locked="0" layoutInCell="1" allowOverlap="1">
                <wp:simplePos x="0" y="0"/>
                <wp:positionH relativeFrom="page">
                  <wp:posOffset>3105150</wp:posOffset>
                </wp:positionH>
                <wp:positionV relativeFrom="paragraph">
                  <wp:posOffset>325755</wp:posOffset>
                </wp:positionV>
                <wp:extent cx="280035" cy="0"/>
                <wp:effectExtent l="0" t="0" r="0" b="0"/>
                <wp:wrapNone/>
                <wp:docPr id="96" name="直线 218"/>
                <wp:cNvGraphicFramePr/>
                <a:graphic xmlns:a="http://schemas.openxmlformats.org/drawingml/2006/main">
                  <a:graphicData uri="http://schemas.microsoft.com/office/word/2010/wordprocessingShape">
                    <wps:wsp>
                      <wps:cNvSpPr/>
                      <wps:spPr>
                        <a:xfrm>
                          <a:off x="0" y="0"/>
                          <a:ext cx="280035" cy="0"/>
                        </a:xfrm>
                        <a:prstGeom prst="line">
                          <a:avLst/>
                        </a:prstGeom>
                        <a:ln w="10109" cap="flat" cmpd="sng">
                          <a:solidFill>
                            <a:srgbClr val="000000"/>
                          </a:solidFill>
                          <a:prstDash val="solid"/>
                          <a:headEnd type="none" w="med" len="med"/>
                          <a:tailEnd type="none" w="med" len="med"/>
                        </a:ln>
                      </wps:spPr>
                      <wps:bodyPr upright="1"/>
                    </wps:wsp>
                  </a:graphicData>
                </a:graphic>
              </wp:anchor>
            </w:drawing>
          </mc:Choice>
          <mc:Fallback>
            <w:pict>
              <v:line id="直线 218" o:spid="_x0000_s1026" o:spt="20" style="position:absolute;left:0pt;margin-left:244.5pt;margin-top:25.65pt;height:0pt;width:22.05pt;mso-position-horizontal-relative:page;z-index:-289061888;mso-width-relative:page;mso-height-relative:page;" filled="f" stroked="t" coordsize="21600,21600" o:gfxdata="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JwUptoAAAAJAQAADwAAAAAAAAABACAAAAAi&#10;AAAAZHJzL2Rvd25yZXYueG1sUEsBAhQAFAAAAAgAh07iQKojwDnPAQAAkAMAAA4AAAAAAAAAAQAg&#10;AAAAKQEAAGRycy9lMm9Eb2MueG1sUEsFBgAAAAAGAAYAWQEAAGoFAAAAAA==&#10;">
                <v:fill on="f" focussize="0,0"/>
                <v:stroke weight="0.795984251968504pt" color="#000000" joinstyle="round"/>
                <v:imagedata o:title=""/>
                <o:lock v:ext="edit" aspectratio="f"/>
              </v:line>
            </w:pict>
          </mc:Fallback>
        </mc:AlternateContent>
      </w:r>
      <w:r>
        <mc:AlternateContent>
          <mc:Choice Requires="wps">
            <w:drawing>
              <wp:anchor distT="0" distB="0" distL="114300" distR="114300" simplePos="0" relativeHeight="214255616" behindDoc="1" locked="0" layoutInCell="1" allowOverlap="1">
                <wp:simplePos x="0" y="0"/>
                <wp:positionH relativeFrom="page">
                  <wp:posOffset>3616325</wp:posOffset>
                </wp:positionH>
                <wp:positionV relativeFrom="paragraph">
                  <wp:posOffset>325755</wp:posOffset>
                </wp:positionV>
                <wp:extent cx="306705" cy="0"/>
                <wp:effectExtent l="0" t="0" r="0" b="0"/>
                <wp:wrapNone/>
                <wp:docPr id="97" name="直线 219"/>
                <wp:cNvGraphicFramePr/>
                <a:graphic xmlns:a="http://schemas.openxmlformats.org/drawingml/2006/main">
                  <a:graphicData uri="http://schemas.microsoft.com/office/word/2010/wordprocessingShape">
                    <wps:wsp>
                      <wps:cNvSpPr/>
                      <wps:spPr>
                        <a:xfrm>
                          <a:off x="0" y="0"/>
                          <a:ext cx="306705" cy="0"/>
                        </a:xfrm>
                        <a:prstGeom prst="line">
                          <a:avLst/>
                        </a:prstGeom>
                        <a:ln w="10109" cap="flat" cmpd="sng">
                          <a:solidFill>
                            <a:srgbClr val="000000"/>
                          </a:solidFill>
                          <a:prstDash val="solid"/>
                          <a:headEnd type="none" w="med" len="med"/>
                          <a:tailEnd type="none" w="med" len="med"/>
                        </a:ln>
                      </wps:spPr>
                      <wps:bodyPr upright="1"/>
                    </wps:wsp>
                  </a:graphicData>
                </a:graphic>
              </wp:anchor>
            </w:drawing>
          </mc:Choice>
          <mc:Fallback>
            <w:pict>
              <v:line id="直线 219" o:spid="_x0000_s1026" o:spt="20" style="position:absolute;left:0pt;margin-left:284.75pt;margin-top:25.65pt;height:0pt;width:24.15pt;mso-position-horizontal-relative:page;z-index:-289060864;mso-width-relative:page;mso-height-relative:page;" filled="f" stroked="t" coordsize="21600,21600" o:gfxdata="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Fv+PbYAAAACQEAAA8AAAAAAAAAAQAgAAAAIgAA&#10;AGRycy9kb3ducmV2LnhtbFBLAQIUABQAAAAIAIdO4kCzPB3VzwEAAJADAAAOAAAAAAAAAAEAIAAA&#10;ACcBAABkcnMvZTJvRG9jLnhtbFBLBQYAAAAABgAGAFkBAABoBQAAAAA=&#10;">
                <v:fill on="f" focussize="0,0"/>
                <v:stroke weight="0.795984251968504pt" color="#000000" joinstyle="round"/>
                <v:imagedata o:title=""/>
                <o:lock v:ext="edit" aspectratio="f"/>
              </v:line>
            </w:pict>
          </mc:Fallback>
        </mc:AlternateContent>
      </w:r>
      <w:r>
        <w:rPr>
          <w:rFonts w:ascii="Times New Roman" w:hAnsi="Times New Roman"/>
          <w:position w:val="-23"/>
          <w:sz w:val="38"/>
        </w:rPr>
        <w:t xml:space="preserve">Q </w:t>
      </w:r>
      <w:r>
        <w:rPr>
          <w:rFonts w:ascii="Symbol" w:hAnsi="Symbol"/>
          <w:position w:val="-23"/>
          <w:sz w:val="38"/>
        </w:rPr>
        <w:t></w:t>
      </w:r>
      <w:r>
        <w:rPr>
          <w:rFonts w:ascii="Times New Roman" w:hAnsi="Times New Roman"/>
          <w:position w:val="-23"/>
          <w:sz w:val="38"/>
        </w:rPr>
        <w:t xml:space="preserve"> </w:t>
      </w:r>
      <w:r>
        <w:rPr>
          <w:rFonts w:ascii="Times New Roman" w:hAnsi="Times New Roman"/>
          <w:sz w:val="38"/>
        </w:rPr>
        <w:t xml:space="preserve">q </w:t>
      </w:r>
      <w:r>
        <w:rPr>
          <w:rFonts w:ascii="Times New Roman" w:hAnsi="Times New Roman"/>
          <w:sz w:val="22"/>
        </w:rPr>
        <w:t xml:space="preserve">1  </w:t>
      </w:r>
      <w:r>
        <w:rPr>
          <w:rFonts w:ascii="Symbol" w:hAnsi="Symbol"/>
          <w:position w:val="-23"/>
          <w:sz w:val="38"/>
        </w:rPr>
        <w:t></w:t>
      </w:r>
      <w:r>
        <w:rPr>
          <w:rFonts w:ascii="Times New Roman" w:hAnsi="Times New Roman"/>
          <w:position w:val="-23"/>
          <w:sz w:val="38"/>
        </w:rPr>
        <w:t xml:space="preserve"> </w:t>
      </w:r>
      <w:r>
        <w:rPr>
          <w:rFonts w:ascii="Times New Roman" w:hAnsi="Times New Roman"/>
          <w:sz w:val="38"/>
        </w:rPr>
        <w:t>q</w:t>
      </w:r>
      <w:r>
        <w:rPr>
          <w:rFonts w:ascii="Times New Roman" w:hAnsi="Times New Roman"/>
          <w:spacing w:val="18"/>
          <w:sz w:val="38"/>
        </w:rPr>
        <w:t xml:space="preserve"> </w:t>
      </w:r>
      <w:r>
        <w:rPr>
          <w:rFonts w:ascii="Times New Roman" w:hAnsi="Times New Roman"/>
          <w:sz w:val="22"/>
        </w:rPr>
        <w:t>2</w:t>
      </w:r>
    </w:p>
    <w:p>
      <w:pPr>
        <w:tabs>
          <w:tab w:val="left" w:pos="804"/>
        </w:tabs>
        <w:spacing w:before="0" w:line="366" w:lineRule="exact"/>
        <w:ind w:left="0" w:right="0" w:firstLine="0"/>
        <w:jc w:val="right"/>
        <w:rPr>
          <w:rFonts w:ascii="Times New Roman"/>
          <w:sz w:val="22"/>
        </w:rPr>
      </w:pPr>
      <w:r>
        <w:rPr>
          <w:rFonts w:ascii="Times New Roman"/>
          <w:spacing w:val="14"/>
          <w:sz w:val="38"/>
        </w:rPr>
        <w:t>Q</w:t>
      </w:r>
      <w:r>
        <w:rPr>
          <w:rFonts w:ascii="Times New Roman"/>
          <w:spacing w:val="14"/>
          <w:sz w:val="22"/>
        </w:rPr>
        <w:t>1</w:t>
      </w:r>
      <w:r>
        <w:rPr>
          <w:rFonts w:ascii="Times New Roman"/>
          <w:spacing w:val="14"/>
          <w:sz w:val="22"/>
        </w:rPr>
        <w:tab/>
      </w:r>
      <w:r>
        <w:rPr>
          <w:rFonts w:ascii="Times New Roman"/>
          <w:sz w:val="38"/>
        </w:rPr>
        <w:t>Q</w:t>
      </w:r>
      <w:r>
        <w:rPr>
          <w:rFonts w:ascii="Times New Roman"/>
          <w:spacing w:val="-38"/>
          <w:sz w:val="38"/>
        </w:rPr>
        <w:t xml:space="preserve"> </w:t>
      </w:r>
      <w:r>
        <w:rPr>
          <w:rFonts w:ascii="Times New Roman"/>
          <w:sz w:val="22"/>
        </w:rPr>
        <w:t>2</w:t>
      </w:r>
    </w:p>
    <w:p>
      <w:pPr>
        <w:spacing w:before="15" w:line="675" w:lineRule="exact"/>
        <w:ind w:left="57" w:right="0" w:firstLine="0"/>
        <w:jc w:val="left"/>
        <w:rPr>
          <w:rFonts w:ascii="Times New Roman" w:hAnsi="Times New Roman"/>
          <w:sz w:val="22"/>
        </w:rPr>
      </w:pPr>
      <w:r>
        <w:br w:type="column"/>
      </w:r>
      <w:r>
        <w:rPr>
          <w:rFonts w:ascii="Symbol" w:hAnsi="Symbol"/>
          <w:spacing w:val="22"/>
          <w:sz w:val="38"/>
        </w:rPr>
        <w:t></w:t>
      </w:r>
      <w:r>
        <w:rPr>
          <w:rFonts w:ascii="MT Extra" w:hAnsi="MT Extra"/>
          <w:spacing w:val="22"/>
          <w:sz w:val="38"/>
        </w:rPr>
        <w:t></w:t>
      </w:r>
      <w:r>
        <w:rPr>
          <w:rFonts w:ascii="Symbol" w:hAnsi="Symbol"/>
          <w:spacing w:val="22"/>
          <w:sz w:val="38"/>
        </w:rPr>
        <w:t></w:t>
      </w:r>
      <w:r>
        <w:rPr>
          <w:rFonts w:ascii="Times New Roman" w:hAnsi="Times New Roman"/>
          <w:spacing w:val="52"/>
          <w:sz w:val="38"/>
        </w:rPr>
        <w:t xml:space="preserve"> </w:t>
      </w:r>
      <w:r>
        <w:rPr>
          <w:rFonts w:ascii="Times New Roman" w:hAnsi="Times New Roman"/>
          <w:position w:val="24"/>
          <w:sz w:val="38"/>
        </w:rPr>
        <w:t>q</w:t>
      </w:r>
      <w:r>
        <w:rPr>
          <w:rFonts w:ascii="Times New Roman" w:hAnsi="Times New Roman"/>
          <w:position w:val="24"/>
          <w:sz w:val="22"/>
        </w:rPr>
        <w:t>n</w:t>
      </w:r>
    </w:p>
    <w:p>
      <w:pPr>
        <w:spacing w:before="0" w:line="301" w:lineRule="exact"/>
        <w:ind w:left="1025" w:right="0" w:firstLine="0"/>
        <w:jc w:val="left"/>
        <w:rPr>
          <w:rFonts w:ascii="Times New Roman"/>
          <w:sz w:val="22"/>
        </w:rPr>
      </w:pPr>
      <w:r>
        <mc:AlternateContent>
          <mc:Choice Requires="wps">
            <w:drawing>
              <wp:anchor distT="0" distB="0" distL="114300" distR="114300" simplePos="0" relativeHeight="214256640" behindDoc="1" locked="0" layoutInCell="1" allowOverlap="1">
                <wp:simplePos x="0" y="0"/>
                <wp:positionH relativeFrom="page">
                  <wp:posOffset>4574540</wp:posOffset>
                </wp:positionH>
                <wp:positionV relativeFrom="paragraph">
                  <wp:posOffset>-111760</wp:posOffset>
                </wp:positionV>
                <wp:extent cx="277495" cy="0"/>
                <wp:effectExtent l="0" t="0" r="0" b="0"/>
                <wp:wrapNone/>
                <wp:docPr id="98" name="直线 220"/>
                <wp:cNvGraphicFramePr/>
                <a:graphic xmlns:a="http://schemas.openxmlformats.org/drawingml/2006/main">
                  <a:graphicData uri="http://schemas.microsoft.com/office/word/2010/wordprocessingShape">
                    <wps:wsp>
                      <wps:cNvSpPr/>
                      <wps:spPr>
                        <a:xfrm>
                          <a:off x="0" y="0"/>
                          <a:ext cx="277495" cy="0"/>
                        </a:xfrm>
                        <a:prstGeom prst="line">
                          <a:avLst/>
                        </a:prstGeom>
                        <a:ln w="10109" cap="flat" cmpd="sng">
                          <a:solidFill>
                            <a:srgbClr val="000000"/>
                          </a:solidFill>
                          <a:prstDash val="solid"/>
                          <a:headEnd type="none" w="med" len="med"/>
                          <a:tailEnd type="none" w="med" len="med"/>
                        </a:ln>
                      </wps:spPr>
                      <wps:bodyPr upright="1"/>
                    </wps:wsp>
                  </a:graphicData>
                </a:graphic>
              </wp:anchor>
            </w:drawing>
          </mc:Choice>
          <mc:Fallback>
            <w:pict>
              <v:line id="直线 220" o:spid="_x0000_s1026" o:spt="20" style="position:absolute;left:0pt;margin-left:360.2pt;margin-top:-8.8pt;height:0pt;width:21.85pt;mso-position-horizontal-relative:page;z-index:-289059840;mso-width-relative:page;mso-height-relative:page;" filled="f" stroked="t" coordsize="21600,21600" o:gfxdata="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yiBPjdkAAAALAQAADwAAAAAAAAABACAAAAAiAAAA&#10;ZHJzL2Rvd25yZXYueG1sUEsBAhQAFAAAAAgAh07iQKgOPRnNAQAAkAMAAA4AAAAAAAAAAQAgAAAA&#10;KAEAAGRycy9lMm9Eb2MueG1sUEsFBgAAAAAGAAYAWQEAAGcFAAAAAA==&#10;">
                <v:fill on="f" focussize="0,0"/>
                <v:stroke weight="0.795984251968504pt" color="#000000" joinstyle="round"/>
                <v:imagedata o:title=""/>
                <o:lock v:ext="edit" aspectratio="f"/>
              </v:line>
            </w:pict>
          </mc:Fallback>
        </mc:AlternateContent>
      </w:r>
      <w:r>
        <w:rPr>
          <w:rFonts w:ascii="Times New Roman"/>
          <w:sz w:val="38"/>
        </w:rPr>
        <w:t>Q</w:t>
      </w:r>
      <w:r>
        <w:rPr>
          <w:rFonts w:ascii="Times New Roman"/>
          <w:sz w:val="22"/>
        </w:rPr>
        <w:t>n</w:t>
      </w:r>
    </w:p>
    <w:p>
      <w:pPr>
        <w:spacing w:after="0" w:line="301" w:lineRule="exact"/>
        <w:jc w:val="left"/>
        <w:rPr>
          <w:rFonts w:ascii="Times New Roman"/>
          <w:sz w:val="22"/>
        </w:rPr>
        <w:sectPr>
          <w:type w:val="continuous"/>
          <w:pgSz w:w="11910" w:h="16840"/>
          <w:pgMar w:top="1580" w:right="1020" w:bottom="280" w:left="1140" w:header="720" w:footer="720" w:gutter="0"/>
          <w:cols w:equalWidth="0" w:num="2">
            <w:col w:w="5019" w:space="40"/>
            <w:col w:w="4691"/>
          </w:cols>
        </w:sectPr>
      </w:pPr>
    </w:p>
    <w:p>
      <w:pPr>
        <w:pStyle w:val="6"/>
        <w:spacing w:before="2"/>
        <w:rPr>
          <w:rFonts w:ascii="Times New Roman"/>
          <w:sz w:val="11"/>
        </w:rPr>
      </w:pPr>
    </w:p>
    <w:p>
      <w:pPr>
        <w:pStyle w:val="6"/>
        <w:spacing w:before="71"/>
        <w:ind w:left="700"/>
      </w:pPr>
      <w:r>
        <w:rPr>
          <w:position w:val="2"/>
        </w:rPr>
        <w:t>式中：</w:t>
      </w:r>
      <w:r>
        <w:rPr>
          <w:rFonts w:ascii="Times New Roman" w:hAnsi="Times New Roman" w:eastAsia="Times New Roman"/>
          <w:position w:val="2"/>
        </w:rPr>
        <w:t>q</w:t>
      </w:r>
      <w:r>
        <w:rPr>
          <w:rFonts w:ascii="Times New Roman" w:hAnsi="Times New Roman" w:eastAsia="Times New Roman"/>
          <w:position w:val="2"/>
          <w:vertAlign w:val="subscript"/>
        </w:rPr>
        <w:t>1</w:t>
      </w:r>
      <w:r>
        <w:rPr>
          <w:rFonts w:ascii="Times New Roman" w:hAnsi="Times New Roman" w:eastAsia="Times New Roman"/>
          <w:position w:val="2"/>
          <w:vertAlign w:val="baseline"/>
        </w:rPr>
        <w:t>,q</w:t>
      </w:r>
      <w:r>
        <w:rPr>
          <w:rFonts w:ascii="Times New Roman" w:hAnsi="Times New Roman" w:eastAsia="Times New Roman"/>
          <w:position w:val="2"/>
          <w:vertAlign w:val="subscript"/>
        </w:rPr>
        <w:t>2</w:t>
      </w:r>
      <w:r>
        <w:rPr>
          <w:rFonts w:ascii="Times New Roman" w:hAnsi="Times New Roman" w:eastAsia="Times New Roman"/>
          <w:position w:val="2"/>
          <w:vertAlign w:val="baseline"/>
        </w:rPr>
        <w:t>,…,q</w:t>
      </w:r>
      <w:r>
        <w:rPr>
          <w:rFonts w:ascii="Times New Roman" w:hAnsi="Times New Roman" w:eastAsia="Times New Roman"/>
          <w:position w:val="2"/>
          <w:vertAlign w:val="subscript"/>
        </w:rPr>
        <w:t>n</w:t>
      </w:r>
      <w:r>
        <w:rPr>
          <w:rFonts w:ascii="Times New Roman" w:hAnsi="Times New Roman" w:eastAsia="Times New Roman"/>
          <w:position w:val="2"/>
          <w:vertAlign w:val="baseline"/>
        </w:rPr>
        <w:t>——</w:t>
      </w:r>
      <w:r>
        <w:rPr>
          <w:position w:val="2"/>
          <w:vertAlign w:val="baseline"/>
        </w:rPr>
        <w:t>每种危险物质的最大存在总量，</w:t>
      </w:r>
      <w:r>
        <w:rPr>
          <w:rFonts w:ascii="Times New Roman" w:hAnsi="Times New Roman" w:eastAsia="Times New Roman"/>
          <w:position w:val="2"/>
          <w:vertAlign w:val="baseline"/>
        </w:rPr>
        <w:t>t</w:t>
      </w:r>
      <w:r>
        <w:rPr>
          <w:position w:val="2"/>
          <w:vertAlign w:val="baseline"/>
        </w:rPr>
        <w:t>；</w:t>
      </w:r>
    </w:p>
    <w:p>
      <w:pPr>
        <w:pStyle w:val="6"/>
        <w:spacing w:before="156" w:line="362" w:lineRule="auto"/>
        <w:ind w:left="700" w:right="4444"/>
      </w:pPr>
      <w:r>
        <w:rPr>
          <w:rFonts w:ascii="Times New Roman" w:hAnsi="Times New Roman" w:eastAsia="Times New Roman"/>
          <w:position w:val="2"/>
        </w:rPr>
        <w:t>Q</w:t>
      </w:r>
      <w:r>
        <w:rPr>
          <w:rFonts w:ascii="Times New Roman" w:hAnsi="Times New Roman" w:eastAsia="Times New Roman"/>
          <w:position w:val="2"/>
          <w:vertAlign w:val="subscript"/>
        </w:rPr>
        <w:t>1</w:t>
      </w:r>
      <w:r>
        <w:rPr>
          <w:rFonts w:ascii="Times New Roman" w:hAnsi="Times New Roman" w:eastAsia="Times New Roman"/>
          <w:position w:val="2"/>
          <w:vertAlign w:val="baseline"/>
        </w:rPr>
        <w:t>,Q</w:t>
      </w:r>
      <w:r>
        <w:rPr>
          <w:rFonts w:ascii="Times New Roman" w:hAnsi="Times New Roman" w:eastAsia="Times New Roman"/>
          <w:position w:val="2"/>
          <w:vertAlign w:val="subscript"/>
        </w:rPr>
        <w:t>2</w:t>
      </w:r>
      <w:r>
        <w:rPr>
          <w:rFonts w:ascii="Times New Roman" w:hAnsi="Times New Roman" w:eastAsia="Times New Roman"/>
          <w:position w:val="2"/>
          <w:vertAlign w:val="baseline"/>
        </w:rPr>
        <w:t>,…,Q</w:t>
      </w:r>
      <w:r>
        <w:rPr>
          <w:rFonts w:ascii="Times New Roman" w:hAnsi="Times New Roman" w:eastAsia="Times New Roman"/>
          <w:position w:val="2"/>
          <w:vertAlign w:val="subscript"/>
        </w:rPr>
        <w:t>n</w:t>
      </w:r>
      <w:r>
        <w:rPr>
          <w:rFonts w:ascii="Times New Roman" w:hAnsi="Times New Roman" w:eastAsia="Times New Roman"/>
          <w:position w:val="2"/>
          <w:vertAlign w:val="baseline"/>
        </w:rPr>
        <w:t>——</w:t>
      </w:r>
      <w:r>
        <w:rPr>
          <w:position w:val="2"/>
          <w:vertAlign w:val="baseline"/>
        </w:rPr>
        <w:t>每种危险物质的临界量，</w:t>
      </w:r>
      <w:r>
        <w:rPr>
          <w:rFonts w:ascii="Times New Roman" w:hAnsi="Times New Roman" w:eastAsia="Times New Roman"/>
          <w:position w:val="2"/>
          <w:vertAlign w:val="baseline"/>
        </w:rPr>
        <w:t>t</w:t>
      </w:r>
      <w:r>
        <w:rPr>
          <w:position w:val="2"/>
          <w:vertAlign w:val="baseline"/>
        </w:rPr>
        <w:t>。</w:t>
      </w:r>
      <w:r>
        <w:rPr>
          <w:vertAlign w:val="baseline"/>
        </w:rPr>
        <w:t xml:space="preserve">当 </w:t>
      </w:r>
      <w:r>
        <w:rPr>
          <w:rFonts w:ascii="Times New Roman" w:hAnsi="Times New Roman" w:eastAsia="Times New Roman"/>
          <w:vertAlign w:val="baseline"/>
        </w:rPr>
        <w:t xml:space="preserve">Q&lt;1  </w:t>
      </w:r>
      <w:r>
        <w:rPr>
          <w:vertAlign w:val="baseline"/>
        </w:rPr>
        <w:t>时，该项目环境风险潜势为Ⅰ</w:t>
      </w:r>
    </w:p>
    <w:p>
      <w:pPr>
        <w:pStyle w:val="6"/>
        <w:spacing w:before="3"/>
        <w:ind w:left="700"/>
      </w:pPr>
      <w:r>
        <w:rPr>
          <w:spacing w:val="-1"/>
        </w:rPr>
        <w:t xml:space="preserve">当 </w:t>
      </w:r>
      <w:r>
        <w:rPr>
          <w:rFonts w:ascii="Times New Roman" w:hAnsi="Times New Roman" w:eastAsia="Times New Roman"/>
        </w:rPr>
        <w:t xml:space="preserve">Q≥1  </w:t>
      </w:r>
      <w:r>
        <w:rPr>
          <w:spacing w:val="-1"/>
        </w:rPr>
        <w:t xml:space="preserve">时，将 </w:t>
      </w:r>
      <w:r>
        <w:rPr>
          <w:rFonts w:ascii="Times New Roman" w:hAnsi="Times New Roman" w:eastAsia="Times New Roman"/>
        </w:rPr>
        <w:t>Q</w:t>
      </w:r>
      <w:r>
        <w:rPr>
          <w:rFonts w:ascii="Times New Roman" w:hAnsi="Times New Roman" w:eastAsia="Times New Roman"/>
          <w:spacing w:val="59"/>
        </w:rPr>
        <w:t xml:space="preserve"> </w:t>
      </w:r>
      <w:r>
        <w:t>值划分为：（</w:t>
      </w:r>
      <w:r>
        <w:rPr>
          <w:rFonts w:ascii="Times New Roman" w:hAnsi="Times New Roman" w:eastAsia="Times New Roman"/>
        </w:rPr>
        <w:t>1</w:t>
      </w:r>
      <w:r>
        <w:t>）</w:t>
      </w:r>
      <w:r>
        <w:rPr>
          <w:rFonts w:ascii="Times New Roman" w:hAnsi="Times New Roman" w:eastAsia="Times New Roman"/>
        </w:rPr>
        <w:t>1≤Q&lt;10</w:t>
      </w:r>
      <w:r>
        <w:t>；（</w:t>
      </w:r>
      <w:r>
        <w:rPr>
          <w:rFonts w:ascii="Times New Roman" w:hAnsi="Times New Roman" w:eastAsia="Times New Roman"/>
        </w:rPr>
        <w:t>2</w:t>
      </w:r>
      <w:r>
        <w:t>）</w:t>
      </w:r>
      <w:r>
        <w:rPr>
          <w:rFonts w:ascii="Times New Roman" w:hAnsi="Times New Roman" w:eastAsia="Times New Roman"/>
        </w:rPr>
        <w:t>10≤Q&lt;100</w:t>
      </w:r>
      <w:r>
        <w:t>；（</w:t>
      </w:r>
      <w:r>
        <w:rPr>
          <w:rFonts w:ascii="Times New Roman" w:hAnsi="Times New Roman" w:eastAsia="Times New Roman"/>
        </w:rPr>
        <w:t>3</w:t>
      </w:r>
      <w:r>
        <w:t>）</w:t>
      </w:r>
      <w:r>
        <w:rPr>
          <w:rFonts w:ascii="Times New Roman" w:hAnsi="Times New Roman" w:eastAsia="Times New Roman"/>
        </w:rPr>
        <w:t>Q≥100</w:t>
      </w:r>
      <w:r>
        <w:t>。</w:t>
      </w:r>
    </w:p>
    <w:p>
      <w:pPr>
        <w:spacing w:before="160"/>
        <w:ind w:left="0" w:right="110" w:firstLine="0"/>
        <w:jc w:val="center"/>
        <w:rPr>
          <w:b/>
          <w:sz w:val="21"/>
        </w:rPr>
      </w:pPr>
      <w:r>
        <w:rPr>
          <w:b/>
          <w:spacing w:val="-28"/>
          <w:sz w:val="21"/>
        </w:rPr>
        <w:t xml:space="preserve">表 </w:t>
      </w:r>
      <w:r>
        <w:rPr>
          <w:rFonts w:ascii="Calibri" w:eastAsia="Calibri"/>
          <w:b/>
          <w:sz w:val="21"/>
        </w:rPr>
        <w:t>15</w:t>
      </w:r>
      <w:r>
        <w:rPr>
          <w:rFonts w:ascii="Times New Roman" w:eastAsia="Times New Roman"/>
          <w:b/>
          <w:sz w:val="21"/>
        </w:rPr>
        <w:t>.1-1</w:t>
      </w:r>
      <w:r>
        <w:rPr>
          <w:rFonts w:ascii="Times New Roman" w:eastAsia="Times New Roman"/>
          <w:b/>
          <w:spacing w:val="52"/>
          <w:sz w:val="21"/>
        </w:rPr>
        <w:t xml:space="preserve"> </w:t>
      </w:r>
      <w:r>
        <w:rPr>
          <w:b/>
          <w:spacing w:val="-11"/>
          <w:sz w:val="21"/>
        </w:rPr>
        <w:t xml:space="preserve">建设项目 </w:t>
      </w:r>
      <w:r>
        <w:rPr>
          <w:rFonts w:ascii="Times New Roman" w:eastAsia="Times New Roman"/>
          <w:b/>
          <w:sz w:val="21"/>
        </w:rPr>
        <w:t xml:space="preserve">Q </w:t>
      </w:r>
      <w:r>
        <w:rPr>
          <w:b/>
          <w:sz w:val="21"/>
        </w:rPr>
        <w:t>值确定表</w:t>
      </w:r>
    </w:p>
    <w:p>
      <w:pPr>
        <w:pStyle w:val="6"/>
        <w:spacing w:before="9"/>
        <w:rPr>
          <w:b/>
          <w:sz w:val="10"/>
        </w:rPr>
      </w:pPr>
    </w:p>
    <w:tbl>
      <w:tblPr>
        <w:tblStyle w:val="10"/>
        <w:tblW w:w="0" w:type="auto"/>
        <w:tblInd w:w="19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66"/>
        <w:gridCol w:w="1614"/>
        <w:gridCol w:w="1285"/>
        <w:gridCol w:w="1957"/>
        <w:gridCol w:w="1555"/>
        <w:gridCol w:w="187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966" w:type="dxa"/>
            <w:tcBorders>
              <w:bottom w:val="single" w:color="000000" w:sz="4" w:space="0"/>
              <w:right w:val="single" w:color="000000" w:sz="4" w:space="0"/>
            </w:tcBorders>
          </w:tcPr>
          <w:p>
            <w:pPr>
              <w:pStyle w:val="14"/>
              <w:spacing w:before="92"/>
              <w:ind w:left="250" w:right="241"/>
              <w:rPr>
                <w:sz w:val="21"/>
              </w:rPr>
            </w:pPr>
            <w:r>
              <w:rPr>
                <w:sz w:val="21"/>
              </w:rPr>
              <w:t>序号</w:t>
            </w:r>
          </w:p>
        </w:tc>
        <w:tc>
          <w:tcPr>
            <w:tcW w:w="1614" w:type="dxa"/>
            <w:tcBorders>
              <w:left w:val="single" w:color="000000" w:sz="4" w:space="0"/>
              <w:bottom w:val="single" w:color="000000" w:sz="4" w:space="0"/>
              <w:right w:val="single" w:color="000000" w:sz="4" w:space="0"/>
            </w:tcBorders>
          </w:tcPr>
          <w:p>
            <w:pPr>
              <w:pStyle w:val="14"/>
              <w:spacing w:before="92"/>
              <w:ind w:left="155" w:right="139"/>
              <w:rPr>
                <w:sz w:val="21"/>
              </w:rPr>
            </w:pPr>
            <w:r>
              <w:rPr>
                <w:sz w:val="21"/>
              </w:rPr>
              <w:t>危险物质名称</w:t>
            </w:r>
          </w:p>
        </w:tc>
        <w:tc>
          <w:tcPr>
            <w:tcW w:w="1285" w:type="dxa"/>
            <w:tcBorders>
              <w:left w:val="single" w:color="000000" w:sz="4" w:space="0"/>
              <w:bottom w:val="single" w:color="000000" w:sz="4" w:space="0"/>
              <w:right w:val="single" w:color="000000" w:sz="4" w:space="0"/>
            </w:tcBorders>
          </w:tcPr>
          <w:p>
            <w:pPr>
              <w:pStyle w:val="14"/>
              <w:spacing w:before="92"/>
              <w:ind w:left="287" w:right="268"/>
              <w:rPr>
                <w:sz w:val="21"/>
              </w:rPr>
            </w:pPr>
            <w:r>
              <w:rPr>
                <w:rFonts w:ascii="Times New Roman" w:eastAsia="Times New Roman"/>
                <w:sz w:val="21"/>
              </w:rPr>
              <w:t xml:space="preserve">CAS </w:t>
            </w:r>
            <w:r>
              <w:rPr>
                <w:sz w:val="21"/>
              </w:rPr>
              <w:t>号</w:t>
            </w:r>
          </w:p>
        </w:tc>
        <w:tc>
          <w:tcPr>
            <w:tcW w:w="1957" w:type="dxa"/>
            <w:tcBorders>
              <w:left w:val="single" w:color="000000" w:sz="4" w:space="0"/>
              <w:bottom w:val="single" w:color="000000" w:sz="4" w:space="0"/>
              <w:right w:val="single" w:color="000000" w:sz="4" w:space="0"/>
            </w:tcBorders>
          </w:tcPr>
          <w:p>
            <w:pPr>
              <w:pStyle w:val="14"/>
              <w:spacing w:before="92"/>
              <w:ind w:left="88" w:right="71"/>
              <w:rPr>
                <w:sz w:val="21"/>
              </w:rPr>
            </w:pPr>
            <w:r>
              <w:rPr>
                <w:sz w:val="21"/>
              </w:rPr>
              <w:t>最大存在总量（</w:t>
            </w:r>
            <w:r>
              <w:rPr>
                <w:rFonts w:ascii="Times New Roman" w:eastAsia="Times New Roman"/>
                <w:sz w:val="21"/>
              </w:rPr>
              <w:t>t</w:t>
            </w:r>
            <w:r>
              <w:rPr>
                <w:sz w:val="21"/>
              </w:rPr>
              <w:t>）</w:t>
            </w:r>
          </w:p>
        </w:tc>
        <w:tc>
          <w:tcPr>
            <w:tcW w:w="1555" w:type="dxa"/>
            <w:tcBorders>
              <w:left w:val="single" w:color="000000" w:sz="4" w:space="0"/>
              <w:bottom w:val="single" w:color="000000" w:sz="4" w:space="0"/>
              <w:right w:val="single" w:color="000000" w:sz="4" w:space="0"/>
            </w:tcBorders>
          </w:tcPr>
          <w:p>
            <w:pPr>
              <w:pStyle w:val="14"/>
              <w:spacing w:before="92"/>
              <w:ind w:left="125" w:right="109"/>
              <w:rPr>
                <w:sz w:val="21"/>
              </w:rPr>
            </w:pPr>
            <w:r>
              <w:rPr>
                <w:sz w:val="21"/>
              </w:rPr>
              <w:t>临界量（</w:t>
            </w:r>
            <w:r>
              <w:rPr>
                <w:rFonts w:ascii="Times New Roman" w:eastAsia="Times New Roman"/>
                <w:sz w:val="21"/>
              </w:rPr>
              <w:t>t</w:t>
            </w:r>
            <w:r>
              <w:rPr>
                <w:sz w:val="21"/>
              </w:rPr>
              <w:t>）</w:t>
            </w:r>
          </w:p>
        </w:tc>
        <w:tc>
          <w:tcPr>
            <w:tcW w:w="1871" w:type="dxa"/>
            <w:tcBorders>
              <w:left w:val="single" w:color="000000" w:sz="4" w:space="0"/>
              <w:bottom w:val="single" w:color="000000" w:sz="4" w:space="0"/>
            </w:tcBorders>
          </w:tcPr>
          <w:p>
            <w:pPr>
              <w:pStyle w:val="14"/>
              <w:spacing w:before="92"/>
              <w:ind w:left="134" w:right="111"/>
              <w:rPr>
                <w:sz w:val="21"/>
              </w:rPr>
            </w:pPr>
            <w:r>
              <w:rPr>
                <w:sz w:val="21"/>
              </w:rPr>
              <w:t xml:space="preserve">该种危险物 </w:t>
            </w:r>
            <w:r>
              <w:rPr>
                <w:rFonts w:ascii="Times New Roman" w:eastAsia="Times New Roman"/>
                <w:sz w:val="21"/>
              </w:rPr>
              <w:t xml:space="preserve">Q </w:t>
            </w:r>
            <w:r>
              <w:rPr>
                <w:sz w:val="21"/>
              </w:rPr>
              <w:t>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966" w:type="dxa"/>
            <w:tcBorders>
              <w:top w:val="single" w:color="000000" w:sz="4" w:space="0"/>
              <w:right w:val="single" w:color="000000" w:sz="4" w:space="0"/>
            </w:tcBorders>
          </w:tcPr>
          <w:p>
            <w:pPr>
              <w:pStyle w:val="14"/>
              <w:spacing w:before="105"/>
              <w:ind w:left="13"/>
              <w:rPr>
                <w:rFonts w:ascii="Times New Roman"/>
                <w:sz w:val="21"/>
              </w:rPr>
            </w:pPr>
            <w:r>
              <w:rPr>
                <w:rFonts w:ascii="Times New Roman"/>
                <w:w w:val="99"/>
                <w:sz w:val="21"/>
              </w:rPr>
              <w:t>1</w:t>
            </w:r>
          </w:p>
        </w:tc>
        <w:tc>
          <w:tcPr>
            <w:tcW w:w="1614" w:type="dxa"/>
            <w:tcBorders>
              <w:top w:val="single" w:color="000000" w:sz="4" w:space="0"/>
              <w:left w:val="single" w:color="000000" w:sz="4" w:space="0"/>
              <w:right w:val="single" w:color="000000" w:sz="4" w:space="0"/>
            </w:tcBorders>
          </w:tcPr>
          <w:p>
            <w:pPr>
              <w:pStyle w:val="14"/>
              <w:spacing w:before="91"/>
              <w:ind w:left="155" w:right="141"/>
              <w:rPr>
                <w:sz w:val="21"/>
              </w:rPr>
            </w:pPr>
            <w:r>
              <w:rPr>
                <w:sz w:val="21"/>
              </w:rPr>
              <w:t>油类物质</w:t>
            </w:r>
          </w:p>
        </w:tc>
        <w:tc>
          <w:tcPr>
            <w:tcW w:w="1285" w:type="dxa"/>
            <w:tcBorders>
              <w:top w:val="single" w:color="000000" w:sz="4" w:space="0"/>
              <w:left w:val="single" w:color="000000" w:sz="4" w:space="0"/>
              <w:right w:val="single" w:color="000000" w:sz="4" w:space="0"/>
            </w:tcBorders>
          </w:tcPr>
          <w:p>
            <w:pPr>
              <w:pStyle w:val="14"/>
              <w:spacing w:before="105"/>
              <w:ind w:left="17"/>
              <w:rPr>
                <w:rFonts w:ascii="Times New Roman"/>
                <w:sz w:val="21"/>
              </w:rPr>
            </w:pPr>
            <w:r>
              <w:rPr>
                <w:rFonts w:ascii="Times New Roman"/>
                <w:w w:val="99"/>
                <w:sz w:val="21"/>
              </w:rPr>
              <w:t>/</w:t>
            </w:r>
          </w:p>
        </w:tc>
        <w:tc>
          <w:tcPr>
            <w:tcW w:w="1957" w:type="dxa"/>
            <w:tcBorders>
              <w:top w:val="single" w:color="000000" w:sz="4" w:space="0"/>
              <w:left w:val="single" w:color="000000" w:sz="4" w:space="0"/>
              <w:right w:val="single" w:color="000000" w:sz="4" w:space="0"/>
            </w:tcBorders>
          </w:tcPr>
          <w:p>
            <w:pPr>
              <w:pStyle w:val="14"/>
              <w:spacing w:before="105"/>
              <w:ind w:left="88" w:right="70"/>
              <w:rPr>
                <w:rFonts w:ascii="Times New Roman"/>
                <w:sz w:val="21"/>
              </w:rPr>
            </w:pPr>
            <w:r>
              <w:rPr>
                <w:rFonts w:ascii="Times New Roman"/>
                <w:sz w:val="21"/>
              </w:rPr>
              <w:t>20</w:t>
            </w:r>
          </w:p>
        </w:tc>
        <w:tc>
          <w:tcPr>
            <w:tcW w:w="1555" w:type="dxa"/>
            <w:tcBorders>
              <w:top w:val="single" w:color="000000" w:sz="4" w:space="0"/>
              <w:left w:val="single" w:color="000000" w:sz="4" w:space="0"/>
              <w:right w:val="single" w:color="000000" w:sz="4" w:space="0"/>
            </w:tcBorders>
          </w:tcPr>
          <w:p>
            <w:pPr>
              <w:pStyle w:val="14"/>
              <w:spacing w:before="105"/>
              <w:ind w:left="125" w:right="105"/>
              <w:rPr>
                <w:rFonts w:ascii="Times New Roman"/>
                <w:sz w:val="21"/>
              </w:rPr>
            </w:pPr>
            <w:r>
              <w:rPr>
                <w:rFonts w:ascii="Times New Roman"/>
                <w:sz w:val="21"/>
              </w:rPr>
              <w:t>2500</w:t>
            </w:r>
          </w:p>
        </w:tc>
        <w:tc>
          <w:tcPr>
            <w:tcW w:w="1871" w:type="dxa"/>
            <w:tcBorders>
              <w:top w:val="single" w:color="000000" w:sz="4" w:space="0"/>
              <w:left w:val="single" w:color="000000" w:sz="4" w:space="0"/>
            </w:tcBorders>
          </w:tcPr>
          <w:p>
            <w:pPr>
              <w:pStyle w:val="14"/>
              <w:spacing w:before="105"/>
              <w:ind w:left="134" w:right="110"/>
              <w:rPr>
                <w:rFonts w:ascii="Times New Roman"/>
                <w:sz w:val="21"/>
              </w:rPr>
            </w:pPr>
            <w:r>
              <w:rPr>
                <w:rFonts w:ascii="Times New Roman"/>
                <w:sz w:val="21"/>
              </w:rPr>
              <w:t>0.008</w:t>
            </w:r>
          </w:p>
        </w:tc>
      </w:tr>
    </w:tbl>
    <w:p>
      <w:pPr>
        <w:pStyle w:val="6"/>
        <w:spacing w:before="3"/>
        <w:ind w:left="700"/>
      </w:pPr>
      <w:r>
        <w:rPr>
          <w:rFonts w:ascii="Times New Roman" w:hAnsi="Times New Roman" w:eastAsia="Times New Roman"/>
        </w:rPr>
        <w:t>Q&lt;1</w:t>
      </w:r>
      <w:r>
        <w:t>，因此本项目环境风险潜势为Ⅰ。</w:t>
      </w:r>
    </w:p>
    <w:p>
      <w:pPr>
        <w:pStyle w:val="6"/>
        <w:spacing w:before="158"/>
        <w:ind w:left="700"/>
      </w:pPr>
      <w:r>
        <w:t>根据《建设项目环境风险评价技术导则》（</w:t>
      </w:r>
      <w:r>
        <w:rPr>
          <w:rFonts w:ascii="Times New Roman" w:eastAsia="Times New Roman"/>
        </w:rPr>
        <w:t>HJ169-2018</w:t>
      </w:r>
      <w:r>
        <w:t>）中评价等级划分表，见表</w:t>
      </w:r>
    </w:p>
    <w:p>
      <w:pPr>
        <w:pStyle w:val="6"/>
        <w:spacing w:before="161"/>
        <w:ind w:left="220"/>
      </w:pPr>
      <w:r>
        <w:rPr>
          <w:rFonts w:ascii="Times New Roman" w:eastAsia="Times New Roman"/>
        </w:rPr>
        <w:t>15.1-2</w:t>
      </w:r>
      <w:r>
        <w:rPr>
          <w:rFonts w:ascii="Times New Roman" w:eastAsia="Times New Roman"/>
          <w:spacing w:val="59"/>
        </w:rPr>
        <w:t xml:space="preserve"> </w:t>
      </w:r>
      <w:r>
        <w:t>及本项目风险潜势判断结果，本项目环境风险评价简单分析即可。</w:t>
      </w:r>
    </w:p>
    <w:p>
      <w:pPr>
        <w:spacing w:before="159"/>
        <w:ind w:left="0" w:right="112" w:firstLine="0"/>
        <w:jc w:val="center"/>
        <w:rPr>
          <w:b/>
          <w:sz w:val="21"/>
        </w:rPr>
      </w:pPr>
      <w:r>
        <w:rPr>
          <w:b/>
          <w:sz w:val="21"/>
        </w:rPr>
        <w:t xml:space="preserve">表 </w:t>
      </w:r>
      <w:r>
        <w:rPr>
          <w:rFonts w:ascii="Calibri" w:eastAsia="Calibri"/>
          <w:b/>
          <w:sz w:val="21"/>
        </w:rPr>
        <w:t>15</w:t>
      </w:r>
      <w:r>
        <w:rPr>
          <w:rFonts w:ascii="Times New Roman" w:eastAsia="Times New Roman"/>
          <w:b/>
          <w:sz w:val="21"/>
        </w:rPr>
        <w:t xml:space="preserve">.1-2  </w:t>
      </w:r>
      <w:r>
        <w:rPr>
          <w:b/>
          <w:sz w:val="21"/>
        </w:rPr>
        <w:t>评价工作等级划分</w:t>
      </w:r>
    </w:p>
    <w:p>
      <w:pPr>
        <w:pStyle w:val="6"/>
        <w:spacing w:before="9"/>
        <w:rPr>
          <w:b/>
          <w:sz w:val="10"/>
        </w:rPr>
      </w:pPr>
    </w:p>
    <w:tbl>
      <w:tblPr>
        <w:tblStyle w:val="10"/>
        <w:tblW w:w="0" w:type="auto"/>
        <w:tblInd w:w="23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302"/>
        <w:gridCol w:w="1888"/>
        <w:gridCol w:w="1490"/>
        <w:gridCol w:w="1490"/>
        <w:gridCol w:w="203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2302" w:type="dxa"/>
            <w:tcBorders>
              <w:bottom w:val="single" w:color="000000" w:sz="4" w:space="0"/>
              <w:right w:val="single" w:color="000000" w:sz="4" w:space="0"/>
            </w:tcBorders>
          </w:tcPr>
          <w:p>
            <w:pPr>
              <w:pStyle w:val="14"/>
              <w:spacing w:before="90"/>
              <w:ind w:left="501" w:right="486"/>
              <w:rPr>
                <w:sz w:val="21"/>
              </w:rPr>
            </w:pPr>
            <w:r>
              <w:rPr>
                <w:sz w:val="21"/>
              </w:rPr>
              <w:t>环境风险潜势</w:t>
            </w:r>
          </w:p>
        </w:tc>
        <w:tc>
          <w:tcPr>
            <w:tcW w:w="1888" w:type="dxa"/>
            <w:tcBorders>
              <w:left w:val="single" w:color="000000" w:sz="4" w:space="0"/>
              <w:bottom w:val="single" w:color="000000" w:sz="4" w:space="0"/>
              <w:right w:val="single" w:color="000000" w:sz="4" w:space="0"/>
            </w:tcBorders>
          </w:tcPr>
          <w:p>
            <w:pPr>
              <w:pStyle w:val="14"/>
              <w:spacing w:before="90"/>
              <w:ind w:left="554" w:right="535"/>
              <w:rPr>
                <w:rFonts w:ascii="Times New Roman" w:hAnsi="Times New Roman" w:eastAsia="Times New Roman"/>
                <w:sz w:val="21"/>
              </w:rPr>
            </w:pPr>
            <w:r>
              <w:rPr>
                <w:sz w:val="21"/>
              </w:rPr>
              <w:t>Ⅳ，Ⅳ</w:t>
            </w:r>
            <w:r>
              <w:rPr>
                <w:rFonts w:ascii="Times New Roman" w:hAnsi="Times New Roman" w:eastAsia="Times New Roman"/>
                <w:sz w:val="21"/>
              </w:rPr>
              <w:t>+</w:t>
            </w:r>
          </w:p>
        </w:tc>
        <w:tc>
          <w:tcPr>
            <w:tcW w:w="1490" w:type="dxa"/>
            <w:tcBorders>
              <w:left w:val="single" w:color="000000" w:sz="4" w:space="0"/>
              <w:bottom w:val="single" w:color="000000" w:sz="4" w:space="0"/>
              <w:right w:val="single" w:color="000000" w:sz="4" w:space="0"/>
            </w:tcBorders>
          </w:tcPr>
          <w:p>
            <w:pPr>
              <w:pStyle w:val="14"/>
              <w:spacing w:before="90"/>
              <w:ind w:left="20"/>
              <w:rPr>
                <w:sz w:val="21"/>
              </w:rPr>
            </w:pPr>
            <w:r>
              <w:rPr>
                <w:w w:val="99"/>
                <w:sz w:val="21"/>
              </w:rPr>
              <w:t>Ⅲ</w:t>
            </w:r>
          </w:p>
        </w:tc>
        <w:tc>
          <w:tcPr>
            <w:tcW w:w="1490" w:type="dxa"/>
            <w:tcBorders>
              <w:left w:val="single" w:color="000000" w:sz="4" w:space="0"/>
              <w:bottom w:val="single" w:color="000000" w:sz="4" w:space="0"/>
              <w:right w:val="single" w:color="000000" w:sz="4" w:space="0"/>
            </w:tcBorders>
          </w:tcPr>
          <w:p>
            <w:pPr>
              <w:pStyle w:val="14"/>
              <w:spacing w:before="90"/>
              <w:ind w:left="16"/>
              <w:rPr>
                <w:sz w:val="21"/>
              </w:rPr>
            </w:pPr>
            <w:r>
              <w:rPr>
                <w:w w:val="99"/>
                <w:sz w:val="21"/>
              </w:rPr>
              <w:t>Ⅱ</w:t>
            </w:r>
          </w:p>
        </w:tc>
        <w:tc>
          <w:tcPr>
            <w:tcW w:w="2030" w:type="dxa"/>
            <w:tcBorders>
              <w:left w:val="single" w:color="000000" w:sz="4" w:space="0"/>
              <w:bottom w:val="single" w:color="000000" w:sz="4" w:space="0"/>
            </w:tcBorders>
          </w:tcPr>
          <w:p>
            <w:pPr>
              <w:pStyle w:val="14"/>
              <w:spacing w:before="90"/>
              <w:ind w:left="14"/>
              <w:rPr>
                <w:sz w:val="21"/>
              </w:rPr>
            </w:pPr>
            <w:r>
              <w:rPr>
                <w:w w:val="99"/>
                <w:sz w:val="21"/>
              </w:rPr>
              <w:t>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2302" w:type="dxa"/>
            <w:tcBorders>
              <w:top w:val="single" w:color="000000" w:sz="4" w:space="0"/>
              <w:bottom w:val="single" w:color="000000" w:sz="4" w:space="0"/>
              <w:right w:val="single" w:color="000000" w:sz="4" w:space="0"/>
            </w:tcBorders>
          </w:tcPr>
          <w:p>
            <w:pPr>
              <w:pStyle w:val="14"/>
              <w:spacing w:before="91"/>
              <w:ind w:left="501" w:right="486"/>
              <w:rPr>
                <w:sz w:val="21"/>
              </w:rPr>
            </w:pPr>
            <w:r>
              <w:rPr>
                <w:sz w:val="21"/>
              </w:rPr>
              <w:t>评价工作等级</w:t>
            </w:r>
          </w:p>
        </w:tc>
        <w:tc>
          <w:tcPr>
            <w:tcW w:w="1888" w:type="dxa"/>
            <w:tcBorders>
              <w:top w:val="single" w:color="000000" w:sz="4" w:space="0"/>
              <w:left w:val="single" w:color="000000" w:sz="4" w:space="0"/>
              <w:bottom w:val="single" w:color="000000" w:sz="4" w:space="0"/>
              <w:right w:val="single" w:color="000000" w:sz="4" w:space="0"/>
            </w:tcBorders>
          </w:tcPr>
          <w:p>
            <w:pPr>
              <w:pStyle w:val="14"/>
              <w:spacing w:before="91"/>
              <w:ind w:left="19"/>
              <w:rPr>
                <w:sz w:val="21"/>
              </w:rPr>
            </w:pPr>
            <w:r>
              <w:rPr>
                <w:w w:val="99"/>
                <w:sz w:val="21"/>
              </w:rPr>
              <w:t>一</w:t>
            </w:r>
          </w:p>
        </w:tc>
        <w:tc>
          <w:tcPr>
            <w:tcW w:w="1490" w:type="dxa"/>
            <w:tcBorders>
              <w:top w:val="single" w:color="000000" w:sz="4" w:space="0"/>
              <w:left w:val="single" w:color="000000" w:sz="4" w:space="0"/>
              <w:bottom w:val="single" w:color="000000" w:sz="4" w:space="0"/>
              <w:right w:val="single" w:color="000000" w:sz="4" w:space="0"/>
            </w:tcBorders>
          </w:tcPr>
          <w:p>
            <w:pPr>
              <w:pStyle w:val="14"/>
              <w:spacing w:before="91"/>
              <w:ind w:left="20"/>
              <w:rPr>
                <w:sz w:val="21"/>
              </w:rPr>
            </w:pPr>
            <w:r>
              <w:rPr>
                <w:w w:val="99"/>
                <w:sz w:val="21"/>
              </w:rPr>
              <w:t>二</w:t>
            </w:r>
          </w:p>
        </w:tc>
        <w:tc>
          <w:tcPr>
            <w:tcW w:w="1490" w:type="dxa"/>
            <w:tcBorders>
              <w:top w:val="single" w:color="000000" w:sz="4" w:space="0"/>
              <w:left w:val="single" w:color="000000" w:sz="4" w:space="0"/>
              <w:bottom w:val="single" w:color="000000" w:sz="4" w:space="0"/>
              <w:right w:val="single" w:color="000000" w:sz="4" w:space="0"/>
            </w:tcBorders>
          </w:tcPr>
          <w:p>
            <w:pPr>
              <w:pStyle w:val="14"/>
              <w:spacing w:before="91"/>
              <w:ind w:left="16"/>
              <w:rPr>
                <w:sz w:val="21"/>
              </w:rPr>
            </w:pPr>
            <w:r>
              <w:rPr>
                <w:w w:val="99"/>
                <w:sz w:val="21"/>
              </w:rPr>
              <w:t>三</w:t>
            </w:r>
          </w:p>
        </w:tc>
        <w:tc>
          <w:tcPr>
            <w:tcW w:w="2030" w:type="dxa"/>
            <w:tcBorders>
              <w:top w:val="single" w:color="000000" w:sz="4" w:space="0"/>
              <w:left w:val="single" w:color="000000" w:sz="4" w:space="0"/>
              <w:bottom w:val="single" w:color="000000" w:sz="4" w:space="0"/>
            </w:tcBorders>
          </w:tcPr>
          <w:p>
            <w:pPr>
              <w:pStyle w:val="14"/>
              <w:spacing w:before="91"/>
              <w:ind w:left="496" w:right="476"/>
              <w:rPr>
                <w:rFonts w:ascii="Times New Roman" w:eastAsia="Times New Roman"/>
                <w:sz w:val="13"/>
              </w:rPr>
            </w:pPr>
            <w:r>
              <w:rPr>
                <w:sz w:val="21"/>
              </w:rPr>
              <w:t xml:space="preserve">简单分析 </w:t>
            </w:r>
            <w:r>
              <w:rPr>
                <w:rFonts w:ascii="Times New Roman" w:eastAsia="Times New Roman"/>
                <w:position w:val="7"/>
                <w:sz w:val="13"/>
              </w:rPr>
              <w: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9200" w:type="dxa"/>
            <w:gridSpan w:val="5"/>
            <w:tcBorders>
              <w:top w:val="single" w:color="000000" w:sz="4" w:space="0"/>
            </w:tcBorders>
          </w:tcPr>
          <w:p>
            <w:pPr>
              <w:pStyle w:val="14"/>
              <w:spacing w:before="1" w:line="270" w:lineRule="atLeast"/>
              <w:ind w:left="9" w:right="46"/>
              <w:jc w:val="left"/>
              <w:rPr>
                <w:sz w:val="21"/>
              </w:rPr>
            </w:pPr>
            <w:r>
              <w:rPr>
                <w:rFonts w:ascii="Times New Roman" w:eastAsia="Times New Roman"/>
                <w:position w:val="7"/>
                <w:sz w:val="13"/>
              </w:rPr>
              <w:t xml:space="preserve">a </w:t>
            </w:r>
            <w:r>
              <w:rPr>
                <w:sz w:val="21"/>
              </w:rPr>
              <w:t>是相对于详细评价工作内容而言，在描述危险物质、环境影响途径、环境危害后果、风险防范措施等方面给出定性的说明。</w:t>
            </w:r>
          </w:p>
        </w:tc>
      </w:tr>
    </w:tbl>
    <w:p>
      <w:pPr>
        <w:pStyle w:val="3"/>
        <w:numPr>
          <w:ilvl w:val="1"/>
          <w:numId w:val="106"/>
        </w:numPr>
        <w:tabs>
          <w:tab w:val="left" w:pos="896"/>
        </w:tabs>
        <w:spacing w:before="3" w:after="0" w:line="240" w:lineRule="auto"/>
        <w:ind w:left="895" w:right="0" w:hanging="676"/>
        <w:jc w:val="left"/>
      </w:pPr>
      <w:bookmarkStart w:id="1262" w:name="15.2 环境敏感目标调查"/>
      <w:bookmarkEnd w:id="1262"/>
      <w:bookmarkStart w:id="1263" w:name="_bookmark87"/>
      <w:bookmarkEnd w:id="1263"/>
      <w:bookmarkStart w:id="1264" w:name="_bookmark87"/>
      <w:bookmarkEnd w:id="1264"/>
      <w:r>
        <w:t>环境敏感目标调查</w:t>
      </w:r>
    </w:p>
    <w:p>
      <w:pPr>
        <w:spacing w:after="0" w:line="240" w:lineRule="auto"/>
        <w:jc w:val="left"/>
        <w:sectPr>
          <w:type w:val="continuous"/>
          <w:pgSz w:w="11910" w:h="16840"/>
          <w:pgMar w:top="1580" w:right="1020" w:bottom="280" w:left="1140" w:header="720" w:footer="720" w:gutter="0"/>
        </w:sectPr>
      </w:pPr>
    </w:p>
    <w:p>
      <w:pPr>
        <w:pStyle w:val="6"/>
        <w:spacing w:before="41"/>
        <w:ind w:left="700"/>
      </w:pPr>
      <w:r>
        <w:t>环境敏感目标见下表。</w:t>
      </w:r>
    </w:p>
    <w:p>
      <w:pPr>
        <w:spacing w:before="157"/>
        <w:ind w:left="0" w:right="110" w:firstLine="0"/>
        <w:jc w:val="center"/>
        <w:rPr>
          <w:b/>
          <w:sz w:val="21"/>
        </w:rPr>
      </w:pPr>
      <w:r>
        <w:rPr>
          <w:b/>
          <w:spacing w:val="-28"/>
          <w:sz w:val="21"/>
        </w:rPr>
        <w:t xml:space="preserve">表 </w:t>
      </w:r>
      <w:r>
        <w:rPr>
          <w:rFonts w:ascii="Times New Roman" w:eastAsia="Times New Roman"/>
          <w:b/>
          <w:sz w:val="21"/>
        </w:rPr>
        <w:t>15.2-1</w:t>
      </w:r>
      <w:r>
        <w:rPr>
          <w:rFonts w:ascii="Times New Roman" w:eastAsia="Times New Roman"/>
          <w:b/>
          <w:spacing w:val="52"/>
          <w:sz w:val="21"/>
        </w:rPr>
        <w:t xml:space="preserve"> </w:t>
      </w:r>
      <w:r>
        <w:rPr>
          <w:b/>
          <w:sz w:val="21"/>
        </w:rPr>
        <w:t>建设项目环境敏感特征表</w:t>
      </w:r>
    </w:p>
    <w:p>
      <w:pPr>
        <w:pStyle w:val="6"/>
        <w:spacing w:before="12"/>
        <w:rPr>
          <w:b/>
          <w:sz w:val="10"/>
        </w:rPr>
      </w:pPr>
    </w:p>
    <w:tbl>
      <w:tblPr>
        <w:tblStyle w:val="10"/>
        <w:tblW w:w="0" w:type="auto"/>
        <w:tblInd w:w="20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4"/>
        <w:gridCol w:w="584"/>
        <w:gridCol w:w="1761"/>
        <w:gridCol w:w="1392"/>
        <w:gridCol w:w="1705"/>
        <w:gridCol w:w="1127"/>
        <w:gridCol w:w="720"/>
        <w:gridCol w:w="121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624" w:type="dxa"/>
            <w:tcBorders>
              <w:bottom w:val="single" w:color="000000" w:sz="4" w:space="0"/>
              <w:right w:val="single" w:color="000000" w:sz="4" w:space="0"/>
            </w:tcBorders>
          </w:tcPr>
          <w:p>
            <w:pPr>
              <w:pStyle w:val="14"/>
              <w:spacing w:before="34"/>
              <w:ind w:left="101"/>
              <w:jc w:val="left"/>
              <w:rPr>
                <w:sz w:val="21"/>
              </w:rPr>
            </w:pPr>
            <w:r>
              <w:rPr>
                <w:sz w:val="21"/>
              </w:rPr>
              <w:t>类别</w:t>
            </w:r>
          </w:p>
        </w:tc>
        <w:tc>
          <w:tcPr>
            <w:tcW w:w="8502" w:type="dxa"/>
            <w:gridSpan w:val="7"/>
            <w:tcBorders>
              <w:left w:val="single" w:color="000000" w:sz="4" w:space="0"/>
              <w:bottom w:val="single" w:color="000000" w:sz="4" w:space="0"/>
            </w:tcBorders>
          </w:tcPr>
          <w:p>
            <w:pPr>
              <w:pStyle w:val="14"/>
              <w:spacing w:before="34"/>
              <w:ind w:left="3232" w:right="3211"/>
              <w:rPr>
                <w:sz w:val="21"/>
              </w:rPr>
            </w:pPr>
            <w:r>
              <w:rPr>
                <w:sz w:val="21"/>
              </w:rPr>
              <w:t>环境敏感特征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624" w:type="dxa"/>
            <w:vMerge w:val="restart"/>
            <w:tcBorders>
              <w:top w:val="single" w:color="000000" w:sz="4" w:space="0"/>
              <w:bottom w:val="single" w:color="000000" w:sz="4" w:space="0"/>
              <w:right w:val="single" w:color="000000" w:sz="4" w:space="0"/>
            </w:tcBorders>
          </w:tcPr>
          <w:p>
            <w:pPr>
              <w:pStyle w:val="14"/>
              <w:jc w:val="left"/>
              <w:rPr>
                <w:b/>
                <w:sz w:val="20"/>
              </w:rPr>
            </w:pPr>
          </w:p>
          <w:p>
            <w:pPr>
              <w:pStyle w:val="14"/>
              <w:jc w:val="left"/>
              <w:rPr>
                <w:b/>
                <w:sz w:val="20"/>
              </w:rPr>
            </w:pPr>
          </w:p>
          <w:p>
            <w:pPr>
              <w:pStyle w:val="14"/>
              <w:spacing w:before="7"/>
              <w:jc w:val="left"/>
              <w:rPr>
                <w:b/>
                <w:sz w:val="14"/>
              </w:rPr>
            </w:pPr>
          </w:p>
          <w:p>
            <w:pPr>
              <w:pStyle w:val="14"/>
              <w:spacing w:line="244" w:lineRule="auto"/>
              <w:ind w:left="101" w:right="87"/>
              <w:jc w:val="left"/>
              <w:rPr>
                <w:sz w:val="21"/>
              </w:rPr>
            </w:pPr>
            <w:r>
              <w:rPr>
                <w:sz w:val="21"/>
              </w:rPr>
              <w:t>环境空气</w:t>
            </w:r>
          </w:p>
        </w:tc>
        <w:tc>
          <w:tcPr>
            <w:tcW w:w="8502" w:type="dxa"/>
            <w:gridSpan w:val="7"/>
            <w:tcBorders>
              <w:top w:val="single" w:color="000000" w:sz="4" w:space="0"/>
              <w:left w:val="single" w:color="000000" w:sz="4" w:space="0"/>
              <w:bottom w:val="single" w:color="000000" w:sz="4" w:space="0"/>
            </w:tcBorders>
          </w:tcPr>
          <w:p>
            <w:pPr>
              <w:pStyle w:val="14"/>
              <w:spacing w:before="34"/>
              <w:ind w:left="3234" w:right="3211"/>
              <w:rPr>
                <w:sz w:val="21"/>
              </w:rPr>
            </w:pPr>
            <w:r>
              <w:rPr>
                <w:sz w:val="21"/>
              </w:rPr>
              <w:t xml:space="preserve">厂址周边 </w:t>
            </w:r>
            <w:r>
              <w:rPr>
                <w:rFonts w:ascii="Times New Roman" w:eastAsia="Times New Roman"/>
                <w:sz w:val="21"/>
              </w:rPr>
              <w:t xml:space="preserve">5km </w:t>
            </w:r>
            <w:r>
              <w:rPr>
                <w:sz w:val="21"/>
              </w:rPr>
              <w:t>范围内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624" w:type="dxa"/>
            <w:vMerge w:val="continue"/>
            <w:tcBorders>
              <w:top w:val="nil"/>
              <w:bottom w:val="single" w:color="000000" w:sz="4" w:space="0"/>
              <w:right w:val="single" w:color="000000" w:sz="4" w:space="0"/>
            </w:tcBorders>
          </w:tcPr>
          <w:p>
            <w:pPr>
              <w:rPr>
                <w:sz w:val="2"/>
                <w:szCs w:val="2"/>
              </w:rPr>
            </w:pPr>
          </w:p>
        </w:tc>
        <w:tc>
          <w:tcPr>
            <w:tcW w:w="584" w:type="dxa"/>
            <w:tcBorders>
              <w:top w:val="single" w:color="000000" w:sz="4" w:space="0"/>
              <w:left w:val="single" w:color="000000" w:sz="4" w:space="0"/>
              <w:bottom w:val="single" w:color="000000" w:sz="4" w:space="0"/>
              <w:right w:val="single" w:color="000000" w:sz="4" w:space="0"/>
            </w:tcBorders>
          </w:tcPr>
          <w:p>
            <w:pPr>
              <w:pStyle w:val="14"/>
              <w:spacing w:before="136"/>
              <w:ind w:left="66" w:right="48"/>
              <w:rPr>
                <w:sz w:val="21"/>
              </w:rPr>
            </w:pPr>
            <w:r>
              <w:rPr>
                <w:sz w:val="21"/>
              </w:rPr>
              <w:t>序号</w:t>
            </w:r>
          </w:p>
        </w:tc>
        <w:tc>
          <w:tcPr>
            <w:tcW w:w="1761" w:type="dxa"/>
            <w:tcBorders>
              <w:top w:val="single" w:color="000000" w:sz="4" w:space="0"/>
              <w:left w:val="single" w:color="000000" w:sz="4" w:space="0"/>
              <w:bottom w:val="single" w:color="000000" w:sz="4" w:space="0"/>
              <w:right w:val="single" w:color="000000" w:sz="4" w:space="0"/>
            </w:tcBorders>
          </w:tcPr>
          <w:p>
            <w:pPr>
              <w:pStyle w:val="14"/>
              <w:spacing w:before="136"/>
              <w:ind w:left="228" w:right="212"/>
              <w:rPr>
                <w:sz w:val="21"/>
              </w:rPr>
            </w:pPr>
            <w:r>
              <w:rPr>
                <w:sz w:val="21"/>
              </w:rPr>
              <w:t>敏感目标名称</w:t>
            </w:r>
          </w:p>
        </w:tc>
        <w:tc>
          <w:tcPr>
            <w:tcW w:w="1392" w:type="dxa"/>
            <w:tcBorders>
              <w:top w:val="single" w:color="000000" w:sz="4" w:space="0"/>
              <w:left w:val="single" w:color="000000" w:sz="4" w:space="0"/>
              <w:bottom w:val="single" w:color="000000" w:sz="4" w:space="0"/>
              <w:right w:val="single" w:color="000000" w:sz="4" w:space="0"/>
            </w:tcBorders>
          </w:tcPr>
          <w:p>
            <w:pPr>
              <w:pStyle w:val="14"/>
              <w:spacing w:before="136"/>
              <w:ind w:left="258" w:right="244"/>
              <w:rPr>
                <w:sz w:val="21"/>
              </w:rPr>
            </w:pPr>
            <w:r>
              <w:rPr>
                <w:sz w:val="21"/>
              </w:rPr>
              <w:t>相对方位</w:t>
            </w:r>
          </w:p>
        </w:tc>
        <w:tc>
          <w:tcPr>
            <w:tcW w:w="1705" w:type="dxa"/>
            <w:tcBorders>
              <w:top w:val="single" w:color="000000" w:sz="4" w:space="0"/>
              <w:left w:val="single" w:color="000000" w:sz="4" w:space="0"/>
              <w:bottom w:val="single" w:color="000000" w:sz="4" w:space="0"/>
              <w:right w:val="single" w:color="000000" w:sz="4" w:space="0"/>
            </w:tcBorders>
          </w:tcPr>
          <w:p>
            <w:pPr>
              <w:pStyle w:val="14"/>
              <w:spacing w:before="1"/>
              <w:ind w:left="120"/>
              <w:jc w:val="left"/>
              <w:rPr>
                <w:sz w:val="21"/>
              </w:rPr>
            </w:pPr>
            <w:r>
              <w:rPr>
                <w:w w:val="95"/>
                <w:sz w:val="21"/>
              </w:rPr>
              <w:t>距本项目装置区</w:t>
            </w:r>
          </w:p>
          <w:p>
            <w:pPr>
              <w:pStyle w:val="14"/>
              <w:spacing w:before="2" w:line="252" w:lineRule="exact"/>
              <w:ind w:left="116"/>
              <w:jc w:val="left"/>
              <w:rPr>
                <w:rFonts w:ascii="Times New Roman" w:eastAsia="Times New Roman"/>
                <w:sz w:val="21"/>
              </w:rPr>
            </w:pPr>
            <w:r>
              <w:rPr>
                <w:w w:val="95"/>
                <w:sz w:val="21"/>
              </w:rPr>
              <w:t>最近距离距离</w:t>
            </w:r>
            <w:r>
              <w:rPr>
                <w:rFonts w:ascii="Times New Roman" w:eastAsia="Times New Roman"/>
                <w:w w:val="95"/>
                <w:sz w:val="21"/>
              </w:rPr>
              <w:t>/m</w:t>
            </w:r>
          </w:p>
        </w:tc>
        <w:tc>
          <w:tcPr>
            <w:tcW w:w="1847" w:type="dxa"/>
            <w:gridSpan w:val="2"/>
            <w:tcBorders>
              <w:top w:val="single" w:color="000000" w:sz="4" w:space="0"/>
              <w:left w:val="single" w:color="000000" w:sz="4" w:space="0"/>
              <w:bottom w:val="single" w:color="000000" w:sz="4" w:space="0"/>
              <w:right w:val="single" w:color="000000" w:sz="4" w:space="0"/>
            </w:tcBorders>
          </w:tcPr>
          <w:p>
            <w:pPr>
              <w:pStyle w:val="14"/>
              <w:spacing w:before="136"/>
              <w:ind w:left="696" w:right="681"/>
              <w:rPr>
                <w:sz w:val="21"/>
              </w:rPr>
            </w:pPr>
            <w:r>
              <w:rPr>
                <w:sz w:val="21"/>
              </w:rPr>
              <w:t>属性</w:t>
            </w:r>
          </w:p>
        </w:tc>
        <w:tc>
          <w:tcPr>
            <w:tcW w:w="1213" w:type="dxa"/>
            <w:tcBorders>
              <w:top w:val="single" w:color="000000" w:sz="4" w:space="0"/>
              <w:left w:val="single" w:color="000000" w:sz="4" w:space="0"/>
              <w:bottom w:val="single" w:color="000000" w:sz="4" w:space="0"/>
            </w:tcBorders>
          </w:tcPr>
          <w:p>
            <w:pPr>
              <w:pStyle w:val="14"/>
              <w:spacing w:before="136"/>
              <w:ind w:left="275" w:right="252"/>
              <w:rPr>
                <w:sz w:val="21"/>
              </w:rPr>
            </w:pPr>
            <w:r>
              <w:rPr>
                <w:sz w:val="21"/>
              </w:rPr>
              <w:t>人口数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624" w:type="dxa"/>
            <w:vMerge w:val="continue"/>
            <w:tcBorders>
              <w:top w:val="nil"/>
              <w:bottom w:val="single" w:color="000000" w:sz="4" w:space="0"/>
              <w:right w:val="single" w:color="000000" w:sz="4" w:space="0"/>
            </w:tcBorders>
          </w:tcPr>
          <w:p>
            <w:pPr>
              <w:rPr>
                <w:sz w:val="2"/>
                <w:szCs w:val="2"/>
              </w:rPr>
            </w:pPr>
          </w:p>
        </w:tc>
        <w:tc>
          <w:tcPr>
            <w:tcW w:w="584" w:type="dxa"/>
            <w:tcBorders>
              <w:top w:val="single" w:color="000000" w:sz="4" w:space="0"/>
              <w:left w:val="single" w:color="000000" w:sz="4" w:space="0"/>
              <w:bottom w:val="single" w:color="000000" w:sz="4" w:space="0"/>
              <w:right w:val="single" w:color="000000" w:sz="4" w:space="0"/>
            </w:tcBorders>
          </w:tcPr>
          <w:p>
            <w:pPr>
              <w:pStyle w:val="14"/>
              <w:spacing w:before="48"/>
              <w:ind w:left="17"/>
              <w:rPr>
                <w:rFonts w:ascii="Times New Roman"/>
                <w:sz w:val="21"/>
              </w:rPr>
            </w:pPr>
            <w:r>
              <w:rPr>
                <w:rFonts w:ascii="Times New Roman"/>
                <w:w w:val="99"/>
                <w:sz w:val="21"/>
              </w:rPr>
              <w:t>1</w:t>
            </w:r>
          </w:p>
        </w:tc>
        <w:tc>
          <w:tcPr>
            <w:tcW w:w="1761" w:type="dxa"/>
            <w:tcBorders>
              <w:top w:val="single" w:color="000000" w:sz="4" w:space="0"/>
              <w:left w:val="single" w:color="000000" w:sz="4" w:space="0"/>
              <w:bottom w:val="single" w:color="000000" w:sz="4" w:space="0"/>
              <w:right w:val="single" w:color="000000" w:sz="4" w:space="0"/>
            </w:tcBorders>
          </w:tcPr>
          <w:p>
            <w:pPr>
              <w:pStyle w:val="14"/>
              <w:spacing w:before="8"/>
              <w:ind w:left="228" w:right="215"/>
              <w:rPr>
                <w:sz w:val="21"/>
              </w:rPr>
            </w:pPr>
            <w:r>
              <w:rPr>
                <w:sz w:val="21"/>
              </w:rPr>
              <w:t>青山林场</w:t>
            </w:r>
          </w:p>
        </w:tc>
        <w:tc>
          <w:tcPr>
            <w:tcW w:w="1392" w:type="dxa"/>
            <w:tcBorders>
              <w:top w:val="single" w:color="000000" w:sz="4" w:space="0"/>
              <w:left w:val="single" w:color="000000" w:sz="4" w:space="0"/>
              <w:bottom w:val="single" w:color="000000" w:sz="4" w:space="0"/>
              <w:right w:val="single" w:color="000000" w:sz="4" w:space="0"/>
            </w:tcBorders>
          </w:tcPr>
          <w:p>
            <w:pPr>
              <w:pStyle w:val="14"/>
              <w:spacing w:before="24"/>
              <w:ind w:left="258" w:right="239"/>
              <w:rPr>
                <w:rFonts w:ascii="Times New Roman"/>
                <w:sz w:val="21"/>
              </w:rPr>
            </w:pPr>
            <w:r>
              <w:rPr>
                <w:rFonts w:ascii="Times New Roman"/>
                <w:sz w:val="21"/>
              </w:rPr>
              <w:t>SE</w:t>
            </w:r>
          </w:p>
        </w:tc>
        <w:tc>
          <w:tcPr>
            <w:tcW w:w="1705" w:type="dxa"/>
            <w:tcBorders>
              <w:top w:val="single" w:color="000000" w:sz="4" w:space="0"/>
              <w:left w:val="single" w:color="000000" w:sz="4" w:space="0"/>
              <w:bottom w:val="single" w:color="000000" w:sz="4" w:space="0"/>
              <w:right w:val="single" w:color="000000" w:sz="4" w:space="0"/>
            </w:tcBorders>
          </w:tcPr>
          <w:p>
            <w:pPr>
              <w:pStyle w:val="14"/>
              <w:spacing w:before="24"/>
              <w:ind w:left="406" w:right="387"/>
              <w:rPr>
                <w:rFonts w:ascii="Times New Roman"/>
                <w:sz w:val="21"/>
              </w:rPr>
            </w:pPr>
            <w:r>
              <w:rPr>
                <w:rFonts w:ascii="Times New Roman"/>
                <w:sz w:val="21"/>
              </w:rPr>
              <w:t>1340</w:t>
            </w:r>
          </w:p>
        </w:tc>
        <w:tc>
          <w:tcPr>
            <w:tcW w:w="1847" w:type="dxa"/>
            <w:gridSpan w:val="2"/>
            <w:tcBorders>
              <w:top w:val="single" w:color="000000" w:sz="4" w:space="0"/>
              <w:left w:val="single" w:color="000000" w:sz="4" w:space="0"/>
              <w:bottom w:val="single" w:color="000000" w:sz="4" w:space="0"/>
              <w:right w:val="single" w:color="000000" w:sz="4" w:space="0"/>
            </w:tcBorders>
          </w:tcPr>
          <w:p>
            <w:pPr>
              <w:pStyle w:val="14"/>
              <w:spacing w:before="34"/>
              <w:ind w:left="696" w:right="681"/>
              <w:rPr>
                <w:sz w:val="21"/>
              </w:rPr>
            </w:pPr>
            <w:r>
              <w:rPr>
                <w:sz w:val="21"/>
              </w:rPr>
              <w:t>林场</w:t>
            </w:r>
          </w:p>
        </w:tc>
        <w:tc>
          <w:tcPr>
            <w:tcW w:w="1213" w:type="dxa"/>
            <w:tcBorders>
              <w:top w:val="single" w:color="000000" w:sz="4" w:space="0"/>
              <w:left w:val="single" w:color="000000" w:sz="4" w:space="0"/>
              <w:bottom w:val="single" w:color="000000" w:sz="4" w:space="0"/>
            </w:tcBorders>
          </w:tcPr>
          <w:p>
            <w:pPr>
              <w:pStyle w:val="14"/>
              <w:spacing w:before="8"/>
              <w:ind w:left="275" w:right="252"/>
              <w:rPr>
                <w:sz w:val="21"/>
              </w:rPr>
            </w:pPr>
            <w:r>
              <w:rPr>
                <w:rFonts w:ascii="Times New Roman" w:eastAsia="Times New Roman"/>
                <w:sz w:val="21"/>
              </w:rPr>
              <w:t xml:space="preserve">350 </w:t>
            </w:r>
            <w:r>
              <w:rPr>
                <w:sz w:val="21"/>
              </w:rPr>
              <w:t>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624" w:type="dxa"/>
            <w:vMerge w:val="continue"/>
            <w:tcBorders>
              <w:top w:val="nil"/>
              <w:bottom w:val="single" w:color="000000" w:sz="4" w:space="0"/>
              <w:right w:val="single" w:color="000000" w:sz="4" w:space="0"/>
            </w:tcBorders>
          </w:tcPr>
          <w:p>
            <w:pPr>
              <w:rPr>
                <w:sz w:val="2"/>
                <w:szCs w:val="2"/>
              </w:rPr>
            </w:pPr>
          </w:p>
        </w:tc>
        <w:tc>
          <w:tcPr>
            <w:tcW w:w="7289" w:type="dxa"/>
            <w:gridSpan w:val="6"/>
            <w:tcBorders>
              <w:top w:val="single" w:color="000000" w:sz="4" w:space="0"/>
              <w:left w:val="single" w:color="000000" w:sz="4" w:space="0"/>
              <w:bottom w:val="single" w:color="000000" w:sz="4" w:space="0"/>
              <w:right w:val="single" w:color="000000" w:sz="4" w:space="0"/>
            </w:tcBorders>
          </w:tcPr>
          <w:p>
            <w:pPr>
              <w:pStyle w:val="14"/>
              <w:spacing w:before="34"/>
              <w:ind w:left="2048" w:right="2034"/>
              <w:rPr>
                <w:sz w:val="21"/>
              </w:rPr>
            </w:pPr>
            <w:r>
              <w:rPr>
                <w:sz w:val="21"/>
              </w:rPr>
              <w:t xml:space="preserve">厂址周边 </w:t>
            </w:r>
            <w:r>
              <w:rPr>
                <w:rFonts w:ascii="Times New Roman" w:eastAsia="Times New Roman"/>
                <w:sz w:val="21"/>
              </w:rPr>
              <w:t xml:space="preserve">500m </w:t>
            </w:r>
            <w:r>
              <w:rPr>
                <w:sz w:val="21"/>
              </w:rPr>
              <w:t>范围内人口数小计</w:t>
            </w:r>
          </w:p>
        </w:tc>
        <w:tc>
          <w:tcPr>
            <w:tcW w:w="1213" w:type="dxa"/>
            <w:tcBorders>
              <w:top w:val="single" w:color="000000" w:sz="4" w:space="0"/>
              <w:left w:val="single" w:color="000000" w:sz="4" w:space="0"/>
              <w:bottom w:val="single" w:color="000000" w:sz="4" w:space="0"/>
            </w:tcBorders>
          </w:tcPr>
          <w:p>
            <w:pPr>
              <w:pStyle w:val="14"/>
              <w:spacing w:before="48"/>
              <w:ind w:left="22"/>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624" w:type="dxa"/>
            <w:vMerge w:val="continue"/>
            <w:tcBorders>
              <w:top w:val="nil"/>
              <w:bottom w:val="single" w:color="000000" w:sz="4" w:space="0"/>
              <w:right w:val="single" w:color="000000" w:sz="4" w:space="0"/>
            </w:tcBorders>
          </w:tcPr>
          <w:p>
            <w:pPr>
              <w:rPr>
                <w:sz w:val="2"/>
                <w:szCs w:val="2"/>
              </w:rPr>
            </w:pPr>
          </w:p>
        </w:tc>
        <w:tc>
          <w:tcPr>
            <w:tcW w:w="7289" w:type="dxa"/>
            <w:gridSpan w:val="6"/>
            <w:tcBorders>
              <w:top w:val="single" w:color="000000" w:sz="4" w:space="0"/>
              <w:left w:val="single" w:color="000000" w:sz="4" w:space="0"/>
              <w:bottom w:val="single" w:color="000000" w:sz="4" w:space="0"/>
              <w:right w:val="single" w:color="000000" w:sz="4" w:space="0"/>
            </w:tcBorders>
          </w:tcPr>
          <w:p>
            <w:pPr>
              <w:pStyle w:val="14"/>
              <w:spacing w:before="35"/>
              <w:ind w:left="2048" w:right="2029"/>
              <w:rPr>
                <w:sz w:val="21"/>
              </w:rPr>
            </w:pPr>
            <w:r>
              <w:rPr>
                <w:sz w:val="21"/>
              </w:rPr>
              <w:t xml:space="preserve">厂址周边 </w:t>
            </w:r>
            <w:r>
              <w:rPr>
                <w:rFonts w:ascii="Times New Roman" w:eastAsia="Times New Roman"/>
                <w:sz w:val="21"/>
              </w:rPr>
              <w:t xml:space="preserve">5km </w:t>
            </w:r>
            <w:r>
              <w:rPr>
                <w:sz w:val="21"/>
              </w:rPr>
              <w:t>范围内人口数小计</w:t>
            </w:r>
          </w:p>
        </w:tc>
        <w:tc>
          <w:tcPr>
            <w:tcW w:w="1213" w:type="dxa"/>
            <w:tcBorders>
              <w:top w:val="single" w:color="000000" w:sz="4" w:space="0"/>
              <w:left w:val="single" w:color="000000" w:sz="4" w:space="0"/>
              <w:bottom w:val="single" w:color="000000" w:sz="4" w:space="0"/>
            </w:tcBorders>
          </w:tcPr>
          <w:p>
            <w:pPr>
              <w:pStyle w:val="14"/>
              <w:spacing w:before="35"/>
              <w:ind w:left="275" w:right="252"/>
              <w:rPr>
                <w:sz w:val="21"/>
              </w:rPr>
            </w:pPr>
            <w:r>
              <w:rPr>
                <w:rFonts w:ascii="Times New Roman" w:eastAsia="Times New Roman"/>
                <w:sz w:val="21"/>
              </w:rPr>
              <w:t xml:space="preserve">350 </w:t>
            </w:r>
            <w:r>
              <w:rPr>
                <w:sz w:val="21"/>
              </w:rPr>
              <w:t>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5" w:hRule="atLeast"/>
        </w:trPr>
        <w:tc>
          <w:tcPr>
            <w:tcW w:w="624" w:type="dxa"/>
            <w:vMerge w:val="restart"/>
            <w:tcBorders>
              <w:top w:val="single" w:color="000000" w:sz="4" w:space="0"/>
              <w:right w:val="single" w:color="000000" w:sz="4" w:space="0"/>
            </w:tcBorders>
          </w:tcPr>
          <w:p>
            <w:pPr>
              <w:pStyle w:val="14"/>
              <w:spacing w:before="5"/>
              <w:jc w:val="left"/>
              <w:rPr>
                <w:b/>
                <w:sz w:val="19"/>
              </w:rPr>
            </w:pPr>
          </w:p>
          <w:p>
            <w:pPr>
              <w:pStyle w:val="14"/>
              <w:spacing w:line="242" w:lineRule="auto"/>
              <w:ind w:left="207" w:right="87" w:hanging="106"/>
              <w:jc w:val="left"/>
              <w:rPr>
                <w:sz w:val="21"/>
              </w:rPr>
            </w:pPr>
            <w:r>
              <w:rPr>
                <w:sz w:val="21"/>
              </w:rPr>
              <w:t>地表水</w:t>
            </w:r>
          </w:p>
        </w:tc>
        <w:tc>
          <w:tcPr>
            <w:tcW w:w="8502" w:type="dxa"/>
            <w:gridSpan w:val="7"/>
            <w:tcBorders>
              <w:top w:val="single" w:color="000000" w:sz="4" w:space="0"/>
              <w:left w:val="single" w:color="000000" w:sz="4" w:space="0"/>
              <w:bottom w:val="single" w:color="000000" w:sz="4" w:space="0"/>
            </w:tcBorders>
          </w:tcPr>
          <w:p>
            <w:pPr>
              <w:pStyle w:val="14"/>
              <w:spacing w:before="33"/>
              <w:ind w:left="3234" w:right="3211"/>
              <w:rPr>
                <w:sz w:val="21"/>
              </w:rPr>
            </w:pPr>
            <w:r>
              <w:rPr>
                <w:sz w:val="21"/>
              </w:rPr>
              <w:t>受纳水体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624" w:type="dxa"/>
            <w:vMerge w:val="continue"/>
            <w:tcBorders>
              <w:top w:val="nil"/>
              <w:right w:val="single" w:color="000000" w:sz="4" w:space="0"/>
            </w:tcBorders>
          </w:tcPr>
          <w:p>
            <w:pPr>
              <w:rPr>
                <w:sz w:val="2"/>
                <w:szCs w:val="2"/>
              </w:rPr>
            </w:pPr>
          </w:p>
        </w:tc>
        <w:tc>
          <w:tcPr>
            <w:tcW w:w="584" w:type="dxa"/>
            <w:tcBorders>
              <w:top w:val="single" w:color="000000" w:sz="4" w:space="0"/>
              <w:left w:val="single" w:color="000000" w:sz="4" w:space="0"/>
              <w:bottom w:val="single" w:color="000000" w:sz="4" w:space="0"/>
              <w:right w:val="single" w:color="000000" w:sz="4" w:space="0"/>
            </w:tcBorders>
          </w:tcPr>
          <w:p>
            <w:pPr>
              <w:pStyle w:val="14"/>
              <w:spacing w:before="28"/>
              <w:ind w:left="66" w:right="48"/>
              <w:rPr>
                <w:sz w:val="21"/>
              </w:rPr>
            </w:pPr>
            <w:r>
              <w:rPr>
                <w:sz w:val="21"/>
              </w:rPr>
              <w:t>序号</w:t>
            </w:r>
          </w:p>
        </w:tc>
        <w:tc>
          <w:tcPr>
            <w:tcW w:w="1761" w:type="dxa"/>
            <w:tcBorders>
              <w:top w:val="single" w:color="000000" w:sz="4" w:space="0"/>
              <w:left w:val="single" w:color="000000" w:sz="4" w:space="0"/>
              <w:bottom w:val="single" w:color="000000" w:sz="4" w:space="0"/>
              <w:right w:val="single" w:color="000000" w:sz="4" w:space="0"/>
            </w:tcBorders>
          </w:tcPr>
          <w:p>
            <w:pPr>
              <w:pStyle w:val="14"/>
              <w:spacing w:before="28"/>
              <w:ind w:left="228" w:right="212"/>
              <w:rPr>
                <w:sz w:val="21"/>
              </w:rPr>
            </w:pPr>
            <w:r>
              <w:rPr>
                <w:sz w:val="21"/>
              </w:rPr>
              <w:t>受纳水体名称</w:t>
            </w:r>
          </w:p>
        </w:tc>
        <w:tc>
          <w:tcPr>
            <w:tcW w:w="4224" w:type="dxa"/>
            <w:gridSpan w:val="3"/>
            <w:tcBorders>
              <w:top w:val="single" w:color="000000" w:sz="4" w:space="0"/>
              <w:left w:val="single" w:color="000000" w:sz="4" w:space="0"/>
              <w:bottom w:val="single" w:color="000000" w:sz="4" w:space="0"/>
              <w:right w:val="single" w:color="000000" w:sz="4" w:space="0"/>
            </w:tcBorders>
          </w:tcPr>
          <w:p>
            <w:pPr>
              <w:pStyle w:val="14"/>
              <w:spacing w:before="28"/>
              <w:ind w:left="1172"/>
              <w:jc w:val="left"/>
              <w:rPr>
                <w:sz w:val="21"/>
              </w:rPr>
            </w:pPr>
            <w:r>
              <w:rPr>
                <w:sz w:val="21"/>
              </w:rPr>
              <w:t>排放点水域环境功能</w:t>
            </w:r>
          </w:p>
        </w:tc>
        <w:tc>
          <w:tcPr>
            <w:tcW w:w="1933" w:type="dxa"/>
            <w:gridSpan w:val="2"/>
            <w:tcBorders>
              <w:top w:val="single" w:color="000000" w:sz="4" w:space="0"/>
              <w:left w:val="single" w:color="000000" w:sz="4" w:space="0"/>
              <w:bottom w:val="single" w:color="000000" w:sz="4" w:space="0"/>
            </w:tcBorders>
          </w:tcPr>
          <w:p>
            <w:pPr>
              <w:pStyle w:val="14"/>
              <w:spacing w:before="28"/>
              <w:ind w:left="125"/>
              <w:jc w:val="left"/>
              <w:rPr>
                <w:rFonts w:ascii="Times New Roman" w:eastAsia="Times New Roman"/>
                <w:sz w:val="21"/>
              </w:rPr>
            </w:pPr>
            <w:r>
              <w:rPr>
                <w:rFonts w:ascii="Times New Roman" w:eastAsia="Times New Roman"/>
                <w:sz w:val="21"/>
              </w:rPr>
              <w:t>24h</w:t>
            </w:r>
            <w:r>
              <w:rPr>
                <w:sz w:val="21"/>
              </w:rPr>
              <w:t>内流经范围</w:t>
            </w:r>
            <w:r>
              <w:rPr>
                <w:rFonts w:ascii="Times New Roman" w:eastAsia="Times New Roman"/>
                <w:sz w:val="21"/>
              </w:rPr>
              <w:t>/km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4" w:hRule="atLeast"/>
        </w:trPr>
        <w:tc>
          <w:tcPr>
            <w:tcW w:w="624" w:type="dxa"/>
            <w:vMerge w:val="continue"/>
            <w:tcBorders>
              <w:top w:val="nil"/>
              <w:right w:val="single" w:color="000000" w:sz="4" w:space="0"/>
            </w:tcBorders>
          </w:tcPr>
          <w:p>
            <w:pPr>
              <w:rPr>
                <w:sz w:val="2"/>
                <w:szCs w:val="2"/>
              </w:rPr>
            </w:pPr>
          </w:p>
        </w:tc>
        <w:tc>
          <w:tcPr>
            <w:tcW w:w="584" w:type="dxa"/>
            <w:tcBorders>
              <w:top w:val="single" w:color="000000" w:sz="4" w:space="0"/>
              <w:left w:val="single" w:color="000000" w:sz="4" w:space="0"/>
              <w:right w:val="single" w:color="000000" w:sz="4" w:space="0"/>
            </w:tcBorders>
          </w:tcPr>
          <w:p>
            <w:pPr>
              <w:pStyle w:val="14"/>
              <w:spacing w:before="43"/>
              <w:ind w:left="17"/>
              <w:rPr>
                <w:rFonts w:ascii="Times New Roman"/>
                <w:sz w:val="21"/>
              </w:rPr>
            </w:pPr>
            <w:r>
              <w:rPr>
                <w:rFonts w:ascii="Times New Roman"/>
                <w:w w:val="99"/>
                <w:sz w:val="21"/>
              </w:rPr>
              <w:t>1</w:t>
            </w:r>
          </w:p>
        </w:tc>
        <w:tc>
          <w:tcPr>
            <w:tcW w:w="1761" w:type="dxa"/>
            <w:tcBorders>
              <w:top w:val="single" w:color="000000" w:sz="4" w:space="0"/>
              <w:left w:val="single" w:color="000000" w:sz="4" w:space="0"/>
              <w:right w:val="single" w:color="000000" w:sz="4" w:space="0"/>
            </w:tcBorders>
          </w:tcPr>
          <w:p>
            <w:pPr>
              <w:pStyle w:val="14"/>
              <w:spacing w:before="29"/>
              <w:ind w:left="228" w:right="212"/>
              <w:rPr>
                <w:sz w:val="21"/>
              </w:rPr>
            </w:pPr>
            <w:r>
              <w:rPr>
                <w:sz w:val="21"/>
              </w:rPr>
              <w:t>扁石河</w:t>
            </w:r>
          </w:p>
        </w:tc>
        <w:tc>
          <w:tcPr>
            <w:tcW w:w="4224" w:type="dxa"/>
            <w:gridSpan w:val="3"/>
            <w:tcBorders>
              <w:top w:val="single" w:color="000000" w:sz="4" w:space="0"/>
              <w:left w:val="single" w:color="000000" w:sz="4" w:space="0"/>
              <w:right w:val="single" w:color="000000" w:sz="4" w:space="0"/>
            </w:tcBorders>
          </w:tcPr>
          <w:p>
            <w:pPr>
              <w:pStyle w:val="14"/>
              <w:spacing w:before="29"/>
              <w:ind w:left="19"/>
              <w:rPr>
                <w:sz w:val="21"/>
              </w:rPr>
            </w:pPr>
            <w:r>
              <w:rPr>
                <w:w w:val="99"/>
                <w:sz w:val="21"/>
              </w:rPr>
              <w:t>Ⅲ</w:t>
            </w:r>
          </w:p>
        </w:tc>
        <w:tc>
          <w:tcPr>
            <w:tcW w:w="1933" w:type="dxa"/>
            <w:gridSpan w:val="2"/>
            <w:tcBorders>
              <w:top w:val="single" w:color="000000" w:sz="4" w:space="0"/>
              <w:left w:val="single" w:color="000000" w:sz="4" w:space="0"/>
            </w:tcBorders>
          </w:tcPr>
          <w:p>
            <w:pPr>
              <w:pStyle w:val="14"/>
              <w:spacing w:before="43"/>
              <w:ind w:left="23"/>
              <w:rPr>
                <w:rFonts w:ascii="Times New Roman"/>
                <w:sz w:val="21"/>
              </w:rPr>
            </w:pPr>
            <w:r>
              <w:rPr>
                <w:rFonts w:ascii="Times New Roman"/>
                <w:w w:val="99"/>
                <w:sz w:val="21"/>
              </w:rPr>
              <w:t>/</w:t>
            </w:r>
          </w:p>
        </w:tc>
      </w:tr>
    </w:tbl>
    <w:p>
      <w:pPr>
        <w:pStyle w:val="6"/>
        <w:spacing w:before="4"/>
        <w:rPr>
          <w:b/>
          <w:sz w:val="27"/>
        </w:rPr>
      </w:pPr>
    </w:p>
    <w:p>
      <w:pPr>
        <w:pStyle w:val="3"/>
        <w:numPr>
          <w:ilvl w:val="1"/>
          <w:numId w:val="106"/>
        </w:numPr>
        <w:tabs>
          <w:tab w:val="left" w:pos="896"/>
        </w:tabs>
        <w:spacing w:before="67" w:after="0" w:line="240" w:lineRule="auto"/>
        <w:ind w:left="895" w:right="0" w:hanging="676"/>
        <w:jc w:val="left"/>
      </w:pPr>
      <w:bookmarkStart w:id="1265" w:name="_bookmark88"/>
      <w:bookmarkEnd w:id="1265"/>
      <w:bookmarkStart w:id="1266" w:name="_bookmark88"/>
      <w:bookmarkEnd w:id="1266"/>
      <w:bookmarkStart w:id="1267" w:name="15.3 环境风险识别"/>
      <w:bookmarkEnd w:id="1267"/>
      <w:r>
        <w:t>环境风险识别</w:t>
      </w:r>
    </w:p>
    <w:p>
      <w:pPr>
        <w:pStyle w:val="6"/>
        <w:spacing w:before="199" w:line="362" w:lineRule="auto"/>
        <w:ind w:left="700" w:right="1123"/>
      </w:pPr>
      <w:r>
        <w:t>本煤矿环境风险评价重点为柴油罐泄露的环境风险以及对环境造成的影响。本项目风险识别具体内容见下表。</w:t>
      </w:r>
    </w:p>
    <w:p>
      <w:pPr>
        <w:spacing w:before="4"/>
        <w:ind w:left="3307" w:right="0" w:firstLine="0"/>
        <w:jc w:val="left"/>
        <w:rPr>
          <w:b/>
          <w:sz w:val="21"/>
        </w:rPr>
      </w:pPr>
      <w:r>
        <w:rPr>
          <w:b/>
          <w:spacing w:val="-26"/>
          <w:sz w:val="21"/>
        </w:rPr>
        <w:t xml:space="preserve">表 </w:t>
      </w:r>
      <w:r>
        <w:rPr>
          <w:rFonts w:ascii="Times New Roman" w:eastAsia="Times New Roman"/>
          <w:b/>
          <w:sz w:val="21"/>
        </w:rPr>
        <w:t>15.3-1</w:t>
      </w:r>
      <w:r>
        <w:rPr>
          <w:rFonts w:ascii="Times New Roman" w:eastAsia="Times New Roman"/>
          <w:b/>
          <w:spacing w:val="52"/>
          <w:sz w:val="21"/>
        </w:rPr>
        <w:t xml:space="preserve"> </w:t>
      </w:r>
      <w:r>
        <w:rPr>
          <w:b/>
          <w:sz w:val="21"/>
        </w:rPr>
        <w:t>建设项目环境风险识别</w:t>
      </w:r>
    </w:p>
    <w:p>
      <w:pPr>
        <w:pStyle w:val="6"/>
        <w:spacing w:before="10"/>
        <w:rPr>
          <w:b/>
          <w:sz w:val="10"/>
        </w:rPr>
      </w:pPr>
    </w:p>
    <w:tbl>
      <w:tblPr>
        <w:tblStyle w:val="10"/>
        <w:tblW w:w="0" w:type="auto"/>
        <w:tblInd w:w="1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2"/>
        <w:gridCol w:w="1989"/>
        <w:gridCol w:w="1214"/>
        <w:gridCol w:w="1260"/>
        <w:gridCol w:w="1199"/>
        <w:gridCol w:w="2294"/>
        <w:gridCol w:w="7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692" w:type="dxa"/>
          </w:tcPr>
          <w:p>
            <w:pPr>
              <w:pStyle w:val="14"/>
              <w:spacing w:before="134"/>
              <w:ind w:left="114" w:right="107"/>
              <w:rPr>
                <w:sz w:val="21"/>
              </w:rPr>
            </w:pPr>
            <w:r>
              <w:rPr>
                <w:sz w:val="21"/>
              </w:rPr>
              <w:t>序号</w:t>
            </w:r>
          </w:p>
        </w:tc>
        <w:tc>
          <w:tcPr>
            <w:tcW w:w="1989" w:type="dxa"/>
          </w:tcPr>
          <w:p>
            <w:pPr>
              <w:pStyle w:val="14"/>
              <w:spacing w:before="134"/>
              <w:ind w:right="668"/>
              <w:jc w:val="right"/>
              <w:rPr>
                <w:sz w:val="21"/>
              </w:rPr>
            </w:pPr>
            <w:r>
              <w:rPr>
                <w:w w:val="95"/>
                <w:sz w:val="21"/>
              </w:rPr>
              <w:t>风险源</w:t>
            </w:r>
          </w:p>
        </w:tc>
        <w:tc>
          <w:tcPr>
            <w:tcW w:w="1214" w:type="dxa"/>
          </w:tcPr>
          <w:p>
            <w:pPr>
              <w:pStyle w:val="14"/>
              <w:ind w:left="164" w:right="159"/>
              <w:rPr>
                <w:sz w:val="21"/>
              </w:rPr>
            </w:pPr>
            <w:r>
              <w:rPr>
                <w:sz w:val="21"/>
              </w:rPr>
              <w:t>主要危险</w:t>
            </w:r>
          </w:p>
          <w:p>
            <w:pPr>
              <w:pStyle w:val="14"/>
              <w:spacing w:before="2" w:line="254" w:lineRule="exact"/>
              <w:ind w:left="164" w:right="156"/>
              <w:rPr>
                <w:sz w:val="21"/>
              </w:rPr>
            </w:pPr>
            <w:r>
              <w:rPr>
                <w:sz w:val="21"/>
              </w:rPr>
              <w:t>物质</w:t>
            </w:r>
          </w:p>
        </w:tc>
        <w:tc>
          <w:tcPr>
            <w:tcW w:w="1260" w:type="dxa"/>
          </w:tcPr>
          <w:p>
            <w:pPr>
              <w:pStyle w:val="14"/>
              <w:ind w:left="189" w:right="181"/>
              <w:rPr>
                <w:sz w:val="21"/>
              </w:rPr>
            </w:pPr>
            <w:r>
              <w:rPr>
                <w:sz w:val="21"/>
              </w:rPr>
              <w:t>环境风险</w:t>
            </w:r>
          </w:p>
          <w:p>
            <w:pPr>
              <w:pStyle w:val="14"/>
              <w:spacing w:before="2" w:line="254" w:lineRule="exact"/>
              <w:ind w:left="187" w:right="181"/>
              <w:rPr>
                <w:sz w:val="21"/>
              </w:rPr>
            </w:pPr>
            <w:r>
              <w:rPr>
                <w:sz w:val="21"/>
              </w:rPr>
              <w:t>类型</w:t>
            </w:r>
          </w:p>
        </w:tc>
        <w:tc>
          <w:tcPr>
            <w:tcW w:w="1199" w:type="dxa"/>
          </w:tcPr>
          <w:p>
            <w:pPr>
              <w:pStyle w:val="14"/>
              <w:ind w:left="158" w:right="151"/>
              <w:rPr>
                <w:sz w:val="21"/>
              </w:rPr>
            </w:pPr>
            <w:r>
              <w:rPr>
                <w:sz w:val="21"/>
              </w:rPr>
              <w:t>环境影响</w:t>
            </w:r>
          </w:p>
          <w:p>
            <w:pPr>
              <w:pStyle w:val="14"/>
              <w:spacing w:before="2" w:line="254" w:lineRule="exact"/>
              <w:ind w:left="155" w:right="151"/>
              <w:rPr>
                <w:sz w:val="21"/>
              </w:rPr>
            </w:pPr>
            <w:r>
              <w:rPr>
                <w:sz w:val="21"/>
              </w:rPr>
              <w:t>途径</w:t>
            </w:r>
          </w:p>
        </w:tc>
        <w:tc>
          <w:tcPr>
            <w:tcW w:w="2294" w:type="dxa"/>
          </w:tcPr>
          <w:p>
            <w:pPr>
              <w:pStyle w:val="14"/>
              <w:ind w:left="65" w:right="57"/>
              <w:rPr>
                <w:sz w:val="21"/>
              </w:rPr>
            </w:pPr>
            <w:r>
              <w:rPr>
                <w:sz w:val="21"/>
              </w:rPr>
              <w:t>可能受影响的环境敏</w:t>
            </w:r>
          </w:p>
          <w:p>
            <w:pPr>
              <w:pStyle w:val="14"/>
              <w:spacing w:before="2" w:line="254" w:lineRule="exact"/>
              <w:ind w:left="63" w:right="57"/>
              <w:rPr>
                <w:sz w:val="21"/>
              </w:rPr>
            </w:pPr>
            <w:r>
              <w:rPr>
                <w:sz w:val="21"/>
              </w:rPr>
              <w:t>感目标</w:t>
            </w:r>
          </w:p>
        </w:tc>
        <w:tc>
          <w:tcPr>
            <w:tcW w:w="746" w:type="dxa"/>
          </w:tcPr>
          <w:p>
            <w:pPr>
              <w:pStyle w:val="14"/>
              <w:spacing w:before="134"/>
              <w:ind w:left="163"/>
              <w:jc w:val="left"/>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692" w:type="dxa"/>
          </w:tcPr>
          <w:p>
            <w:pPr>
              <w:pStyle w:val="14"/>
              <w:spacing w:before="150"/>
              <w:ind w:left="6"/>
              <w:rPr>
                <w:rFonts w:ascii="Times New Roman"/>
                <w:sz w:val="21"/>
              </w:rPr>
            </w:pPr>
            <w:r>
              <w:rPr>
                <w:rFonts w:ascii="Times New Roman"/>
                <w:w w:val="99"/>
                <w:sz w:val="21"/>
              </w:rPr>
              <w:t>1</w:t>
            </w:r>
          </w:p>
        </w:tc>
        <w:tc>
          <w:tcPr>
            <w:tcW w:w="1989" w:type="dxa"/>
          </w:tcPr>
          <w:p>
            <w:pPr>
              <w:pStyle w:val="14"/>
              <w:spacing w:before="136"/>
              <w:ind w:right="668"/>
              <w:jc w:val="right"/>
              <w:rPr>
                <w:sz w:val="21"/>
              </w:rPr>
            </w:pPr>
            <w:r>
              <w:rPr>
                <w:w w:val="95"/>
                <w:sz w:val="21"/>
              </w:rPr>
              <w:t>柴油罐</w:t>
            </w:r>
          </w:p>
        </w:tc>
        <w:tc>
          <w:tcPr>
            <w:tcW w:w="1214" w:type="dxa"/>
          </w:tcPr>
          <w:p>
            <w:pPr>
              <w:pStyle w:val="14"/>
              <w:spacing w:before="136"/>
              <w:ind w:left="185"/>
              <w:jc w:val="left"/>
              <w:rPr>
                <w:sz w:val="21"/>
              </w:rPr>
            </w:pPr>
            <w:r>
              <w:rPr>
                <w:sz w:val="21"/>
              </w:rPr>
              <w:t>油类物质</w:t>
            </w:r>
          </w:p>
        </w:tc>
        <w:tc>
          <w:tcPr>
            <w:tcW w:w="1260" w:type="dxa"/>
          </w:tcPr>
          <w:p>
            <w:pPr>
              <w:pStyle w:val="14"/>
              <w:spacing w:line="268" w:lineRule="exact"/>
              <w:ind w:left="189" w:right="181"/>
              <w:rPr>
                <w:sz w:val="21"/>
              </w:rPr>
            </w:pPr>
            <w:r>
              <w:rPr>
                <w:sz w:val="21"/>
              </w:rPr>
              <w:t>危险物质</w:t>
            </w:r>
          </w:p>
          <w:p>
            <w:pPr>
              <w:pStyle w:val="14"/>
              <w:spacing w:before="4" w:line="251" w:lineRule="exact"/>
              <w:ind w:left="187" w:right="181"/>
              <w:rPr>
                <w:sz w:val="21"/>
              </w:rPr>
            </w:pPr>
            <w:r>
              <w:rPr>
                <w:sz w:val="21"/>
              </w:rPr>
              <w:t>泄露</w:t>
            </w:r>
          </w:p>
        </w:tc>
        <w:tc>
          <w:tcPr>
            <w:tcW w:w="1199" w:type="dxa"/>
          </w:tcPr>
          <w:p>
            <w:pPr>
              <w:pStyle w:val="14"/>
              <w:spacing w:line="268" w:lineRule="exact"/>
              <w:ind w:left="158" w:right="151"/>
              <w:rPr>
                <w:sz w:val="21"/>
              </w:rPr>
            </w:pPr>
            <w:r>
              <w:rPr>
                <w:sz w:val="21"/>
              </w:rPr>
              <w:t>漫流、下</w:t>
            </w:r>
          </w:p>
          <w:p>
            <w:pPr>
              <w:pStyle w:val="14"/>
              <w:spacing w:before="4" w:line="251" w:lineRule="exact"/>
              <w:ind w:left="7"/>
              <w:rPr>
                <w:sz w:val="21"/>
              </w:rPr>
            </w:pPr>
            <w:r>
              <w:rPr>
                <w:w w:val="99"/>
                <w:sz w:val="21"/>
              </w:rPr>
              <w:t>渗</w:t>
            </w:r>
          </w:p>
        </w:tc>
        <w:tc>
          <w:tcPr>
            <w:tcW w:w="2294" w:type="dxa"/>
          </w:tcPr>
          <w:p>
            <w:pPr>
              <w:pStyle w:val="14"/>
              <w:spacing w:line="268" w:lineRule="exact"/>
              <w:ind w:left="87" w:right="57"/>
              <w:rPr>
                <w:sz w:val="21"/>
              </w:rPr>
            </w:pPr>
            <w:r>
              <w:rPr>
                <w:sz w:val="21"/>
              </w:rPr>
              <w:t>工业场地下游地下水、</w:t>
            </w:r>
          </w:p>
          <w:p>
            <w:pPr>
              <w:pStyle w:val="14"/>
              <w:spacing w:before="4" w:line="251" w:lineRule="exact"/>
              <w:ind w:left="65" w:right="57"/>
              <w:rPr>
                <w:sz w:val="21"/>
              </w:rPr>
            </w:pPr>
            <w:r>
              <w:rPr>
                <w:sz w:val="21"/>
              </w:rPr>
              <w:t>地表水水质</w:t>
            </w:r>
          </w:p>
        </w:tc>
        <w:tc>
          <w:tcPr>
            <w:tcW w:w="746" w:type="dxa"/>
          </w:tcPr>
          <w:p>
            <w:pPr>
              <w:pStyle w:val="14"/>
              <w:jc w:val="left"/>
              <w:rPr>
                <w:rFonts w:ascii="Times New Roman"/>
                <w:sz w:val="22"/>
              </w:rPr>
            </w:pPr>
          </w:p>
        </w:tc>
      </w:tr>
    </w:tbl>
    <w:p>
      <w:pPr>
        <w:pStyle w:val="3"/>
        <w:numPr>
          <w:ilvl w:val="1"/>
          <w:numId w:val="106"/>
        </w:numPr>
        <w:tabs>
          <w:tab w:val="left" w:pos="896"/>
        </w:tabs>
        <w:spacing w:before="3" w:after="0" w:line="240" w:lineRule="auto"/>
        <w:ind w:left="895" w:right="0" w:hanging="676"/>
        <w:jc w:val="left"/>
      </w:pPr>
      <w:bookmarkStart w:id="1268" w:name="_bookmark89"/>
      <w:bookmarkEnd w:id="1268"/>
      <w:bookmarkStart w:id="1269" w:name="15.4 环境风险分析"/>
      <w:bookmarkEnd w:id="1269"/>
      <w:bookmarkStart w:id="1270" w:name="_bookmark89"/>
      <w:bookmarkEnd w:id="1270"/>
      <w:r>
        <w:t>环境风险分析</w:t>
      </w:r>
    </w:p>
    <w:p>
      <w:pPr>
        <w:pStyle w:val="4"/>
        <w:numPr>
          <w:ilvl w:val="2"/>
          <w:numId w:val="106"/>
        </w:numPr>
        <w:tabs>
          <w:tab w:val="left" w:pos="1061"/>
        </w:tabs>
        <w:spacing w:before="198" w:after="0" w:line="240" w:lineRule="auto"/>
        <w:ind w:left="1060" w:right="0" w:hanging="841"/>
        <w:jc w:val="left"/>
      </w:pPr>
      <w:r>
        <w:t>柴油罐泄漏风险事故影响分析</w:t>
      </w:r>
    </w:p>
    <w:p>
      <w:pPr>
        <w:pStyle w:val="6"/>
        <w:spacing w:before="185"/>
        <w:ind w:left="700"/>
      </w:pPr>
      <w:r>
        <w:rPr>
          <w:rFonts w:ascii="Times New Roman" w:eastAsia="Times New Roman"/>
        </w:rPr>
        <w:t>1</w:t>
      </w:r>
      <w:r>
        <w:t>、柴油罐泄露源项分析</w:t>
      </w:r>
    </w:p>
    <w:p>
      <w:pPr>
        <w:pStyle w:val="6"/>
        <w:spacing w:before="160" w:line="364" w:lineRule="auto"/>
        <w:ind w:left="220" w:right="338" w:firstLine="480"/>
      </w:pPr>
      <w:r>
        <w:rPr>
          <w:spacing w:val="-6"/>
        </w:rPr>
        <w:t xml:space="preserve">本项目柴油罐储量为 </w:t>
      </w:r>
      <w:r>
        <w:rPr>
          <w:rFonts w:ascii="Times New Roman" w:eastAsia="Times New Roman"/>
          <w:spacing w:val="-16"/>
        </w:rPr>
        <w:t>20t</w:t>
      </w:r>
      <w:r>
        <w:rPr>
          <w:spacing w:val="-5"/>
        </w:rPr>
        <w:t>，在发生柴油罐损坏破裂后会在短时间内泄漏出一定量的油</w:t>
      </w:r>
      <w:r>
        <w:t>品。</w:t>
      </w:r>
    </w:p>
    <w:p>
      <w:pPr>
        <w:pStyle w:val="6"/>
        <w:spacing w:line="306" w:lineRule="exact"/>
        <w:ind w:left="700"/>
      </w:pPr>
      <w:r>
        <w:rPr>
          <w:rFonts w:ascii="Times New Roman" w:eastAsia="Times New Roman"/>
        </w:rPr>
        <w:t>2</w:t>
      </w:r>
      <w:r>
        <w:t>、柴油罐泄露风险分析</w:t>
      </w:r>
    </w:p>
    <w:p>
      <w:pPr>
        <w:pStyle w:val="6"/>
        <w:spacing w:before="161" w:line="364" w:lineRule="auto"/>
        <w:ind w:left="220" w:right="338" w:firstLine="480"/>
        <w:jc w:val="both"/>
      </w:pPr>
      <w:r>
        <w:t>事故性的泄漏可能渗入土壤环境、地下水水环境，从而对柴油罐周边的土壤及地下水环境产生一定的影响。但一般情况下，柴油罐发生泄漏事故而成品油泄漏于地表的量有限，且按照应急管理要求，柴油罐设有事故池（即集油（水）坑），如果处理及时得当，则可有效地控制对周围环境的影响。</w:t>
      </w:r>
    </w:p>
    <w:p>
      <w:pPr>
        <w:pStyle w:val="3"/>
        <w:numPr>
          <w:ilvl w:val="1"/>
          <w:numId w:val="106"/>
        </w:numPr>
        <w:tabs>
          <w:tab w:val="left" w:pos="821"/>
        </w:tabs>
        <w:spacing w:before="0" w:after="0" w:line="382" w:lineRule="exact"/>
        <w:ind w:left="820" w:right="0" w:hanging="601"/>
        <w:jc w:val="left"/>
      </w:pPr>
      <w:bookmarkStart w:id="1271" w:name="_bookmark90"/>
      <w:bookmarkEnd w:id="1271"/>
      <w:bookmarkStart w:id="1272" w:name="_bookmark90"/>
      <w:bookmarkEnd w:id="1272"/>
      <w:bookmarkStart w:id="1273" w:name="15.5环境风险防范措施及环应急要求"/>
      <w:bookmarkEnd w:id="1273"/>
      <w:r>
        <w:t>环境风险防范措施及环应急要求</w:t>
      </w:r>
    </w:p>
    <w:p>
      <w:pPr>
        <w:pStyle w:val="4"/>
        <w:numPr>
          <w:ilvl w:val="2"/>
          <w:numId w:val="106"/>
        </w:numPr>
        <w:tabs>
          <w:tab w:val="left" w:pos="1061"/>
        </w:tabs>
        <w:spacing w:before="199" w:after="0" w:line="240" w:lineRule="auto"/>
        <w:ind w:left="1060" w:right="0" w:hanging="841"/>
        <w:jc w:val="left"/>
      </w:pPr>
      <w:r>
        <w:t>环境风险防范措施</w:t>
      </w:r>
    </w:p>
    <w:p>
      <w:pPr>
        <w:spacing w:after="0" w:line="240" w:lineRule="auto"/>
        <w:jc w:val="left"/>
        <w:sectPr>
          <w:pgSz w:w="11910" w:h="16840"/>
          <w:pgMar w:top="1360" w:right="1020" w:bottom="1180" w:left="1140" w:header="0" w:footer="917" w:gutter="0"/>
        </w:sectPr>
      </w:pPr>
    </w:p>
    <w:p>
      <w:pPr>
        <w:pStyle w:val="6"/>
        <w:spacing w:before="61"/>
        <w:ind w:left="700"/>
      </w:pPr>
      <w:r>
        <w:rPr>
          <w:rFonts w:ascii="Times New Roman" w:eastAsia="Times New Roman"/>
        </w:rPr>
        <w:t>1</w:t>
      </w:r>
      <w:r>
        <w:t>、柴油罐风险事故防范措施</w:t>
      </w:r>
    </w:p>
    <w:p>
      <w:pPr>
        <w:pStyle w:val="13"/>
        <w:numPr>
          <w:ilvl w:val="3"/>
          <w:numId w:val="106"/>
        </w:numPr>
        <w:tabs>
          <w:tab w:val="left" w:pos="1302"/>
        </w:tabs>
        <w:spacing w:before="158" w:after="0" w:line="240" w:lineRule="auto"/>
        <w:ind w:left="1301" w:right="0" w:hanging="602"/>
        <w:jc w:val="left"/>
        <w:rPr>
          <w:sz w:val="24"/>
        </w:rPr>
      </w:pPr>
      <w:r>
        <w:rPr>
          <w:spacing w:val="-2"/>
          <w:sz w:val="24"/>
        </w:rPr>
        <w:t>柴油罐内设有防治流体流散的设施和集油</w:t>
      </w:r>
      <w:r>
        <w:rPr>
          <w:sz w:val="24"/>
        </w:rPr>
        <w:t>（水</w:t>
      </w:r>
      <w:r>
        <w:rPr>
          <w:spacing w:val="-29"/>
          <w:sz w:val="24"/>
        </w:rPr>
        <w:t>）</w:t>
      </w:r>
      <w:r>
        <w:rPr>
          <w:spacing w:val="-16"/>
          <w:sz w:val="24"/>
        </w:rPr>
        <w:t xml:space="preserve">坑，地面按 </w:t>
      </w:r>
      <w:r>
        <w:rPr>
          <w:rFonts w:ascii="Times New Roman" w:hAnsi="Times New Roman" w:eastAsia="Times New Roman"/>
          <w:sz w:val="24"/>
        </w:rPr>
        <w:t>5‰</w:t>
      </w:r>
      <w:r>
        <w:rPr>
          <w:sz w:val="24"/>
        </w:rPr>
        <w:t>坡度设集油坑。</w:t>
      </w:r>
    </w:p>
    <w:p>
      <w:pPr>
        <w:pStyle w:val="13"/>
        <w:numPr>
          <w:ilvl w:val="3"/>
          <w:numId w:val="106"/>
        </w:numPr>
        <w:tabs>
          <w:tab w:val="left" w:pos="1302"/>
        </w:tabs>
        <w:spacing w:before="161" w:after="0" w:line="364" w:lineRule="auto"/>
        <w:ind w:left="220" w:right="337" w:firstLine="480"/>
        <w:jc w:val="left"/>
        <w:rPr>
          <w:sz w:val="24"/>
        </w:rPr>
      </w:pPr>
      <w:r>
        <w:rPr>
          <w:spacing w:val="-6"/>
          <w:sz w:val="24"/>
        </w:rPr>
        <w:t>设立标志，加强巡检，防止人为破坏。建成营运后，要提髙操作人员的素质和</w:t>
      </w:r>
      <w:r>
        <w:rPr>
          <w:sz w:val="24"/>
        </w:rPr>
        <w:t>管理水平，防止或减少事故风险的发生，确保柴油罐状况正常。</w:t>
      </w:r>
    </w:p>
    <w:p>
      <w:pPr>
        <w:pStyle w:val="4"/>
        <w:numPr>
          <w:ilvl w:val="2"/>
          <w:numId w:val="106"/>
        </w:numPr>
        <w:tabs>
          <w:tab w:val="left" w:pos="992"/>
        </w:tabs>
        <w:spacing w:before="0" w:after="0" w:line="358" w:lineRule="exact"/>
        <w:ind w:left="991" w:right="0" w:hanging="772"/>
        <w:jc w:val="left"/>
      </w:pPr>
      <w:r>
        <w:t>应急要求</w:t>
      </w:r>
    </w:p>
    <w:p>
      <w:pPr>
        <w:pStyle w:val="13"/>
        <w:numPr>
          <w:ilvl w:val="0"/>
          <w:numId w:val="107"/>
        </w:numPr>
        <w:tabs>
          <w:tab w:val="left" w:pos="1302"/>
        </w:tabs>
        <w:spacing w:before="185" w:after="0" w:line="240" w:lineRule="auto"/>
        <w:ind w:left="1301" w:right="0" w:hanging="602"/>
        <w:jc w:val="left"/>
        <w:rPr>
          <w:sz w:val="24"/>
        </w:rPr>
      </w:pPr>
      <w:r>
        <w:rPr>
          <w:sz w:val="24"/>
        </w:rPr>
        <w:t>组织机构及职责</w:t>
      </w:r>
    </w:p>
    <w:p>
      <w:pPr>
        <w:pStyle w:val="6"/>
        <w:spacing w:before="160"/>
        <w:ind w:left="700"/>
      </w:pPr>
      <w:r>
        <w:t>建设单位应设置专门机构负责项目建设及运营期的环境安全。其职责包括：</w:t>
      </w:r>
    </w:p>
    <w:p>
      <w:pPr>
        <w:pStyle w:val="6"/>
        <w:spacing w:before="159" w:line="364" w:lineRule="auto"/>
        <w:ind w:left="220" w:right="338" w:firstLine="480"/>
        <w:jc w:val="both"/>
      </w:pPr>
      <w:r>
        <w:t>①负责统一协调突发环境事件的应对工作，负责应急统一指挥，同时还负责与矿区外界保持紧密联系，将事态的发展向外部的支持保障机构发出信号，并及时将反馈信息应用于事故应急的领导和指挥当中。</w:t>
      </w:r>
    </w:p>
    <w:p>
      <w:pPr>
        <w:pStyle w:val="6"/>
        <w:spacing w:line="364" w:lineRule="auto"/>
        <w:ind w:left="220" w:right="218" w:firstLine="480"/>
      </w:pPr>
      <w:r>
        <w:t>②保证应对事故的各项资源，包括建立企业救援队，并与社会可利用资源建立长期</w:t>
      </w:r>
      <w:r>
        <w:rPr>
          <w:spacing w:val="-7"/>
        </w:rPr>
        <w:t xml:space="preserve">合作关系；当建设单位内部资源不足、不能应对环境事故，需要区域内其他部门增援时， </w:t>
      </w:r>
      <w:r>
        <w:t>由建设单位的环境安全管理部门提出增援请求。</w:t>
      </w:r>
    </w:p>
    <w:p>
      <w:pPr>
        <w:pStyle w:val="6"/>
        <w:spacing w:line="364" w:lineRule="auto"/>
        <w:ind w:left="220" w:right="341" w:firstLine="480"/>
      </w:pPr>
      <w:r>
        <w:t>③在事故处理终止或者处理过程中，要向公众及时、准确地发布反映环境安全事故的信息，引导正确的舆论导向，对社会和公众负责。</w:t>
      </w:r>
    </w:p>
    <w:p>
      <w:pPr>
        <w:pStyle w:val="13"/>
        <w:numPr>
          <w:ilvl w:val="0"/>
          <w:numId w:val="107"/>
        </w:numPr>
        <w:tabs>
          <w:tab w:val="left" w:pos="1302"/>
        </w:tabs>
        <w:spacing w:before="0" w:after="0" w:line="306" w:lineRule="exact"/>
        <w:ind w:left="1301" w:right="0" w:hanging="602"/>
        <w:jc w:val="left"/>
        <w:rPr>
          <w:sz w:val="24"/>
        </w:rPr>
      </w:pPr>
      <w:r>
        <w:rPr>
          <w:sz w:val="24"/>
        </w:rPr>
        <w:t>应急预案内容</w:t>
      </w:r>
    </w:p>
    <w:p>
      <w:pPr>
        <w:pStyle w:val="6"/>
        <w:spacing w:before="156" w:line="364" w:lineRule="auto"/>
        <w:ind w:left="220" w:right="218" w:firstLine="480"/>
      </w:pPr>
      <w:r>
        <w:rPr>
          <w:spacing w:val="-5"/>
        </w:rPr>
        <w:t>建设单位应对本次评价提出的可能的环境事故，根据《突发环境事件应急管理办法》</w:t>
      </w:r>
      <w:r>
        <w:t>相关要求，编制《双鸭山大顺矿业有限公司突发环境事件应急预案》，并在相关环保部门进行备案。</w:t>
      </w:r>
    </w:p>
    <w:p>
      <w:pPr>
        <w:pStyle w:val="6"/>
        <w:spacing w:line="364" w:lineRule="auto"/>
        <w:ind w:left="220" w:right="338" w:firstLine="480"/>
        <w:jc w:val="both"/>
      </w:pPr>
      <w:r>
        <w:t>从应急工作程序上，可以分为预防预警、应急响应、应急处理、应急终止、信息发布五个步骤。建设单位编制的环境事故应急预案应对以下内容进行细化，并明确各项工作的责任人。</w:t>
      </w:r>
    </w:p>
    <w:p>
      <w:pPr>
        <w:pStyle w:val="6"/>
        <w:spacing w:line="304" w:lineRule="exact"/>
        <w:ind w:left="700"/>
      </w:pPr>
      <w:r>
        <w:t>①预防预警</w:t>
      </w:r>
    </w:p>
    <w:p>
      <w:pPr>
        <w:pStyle w:val="6"/>
        <w:spacing w:before="158"/>
        <w:ind w:left="700"/>
      </w:pPr>
      <w:r>
        <w:t>预防与预警是处理环境安全突发事件的必要前提。</w:t>
      </w:r>
    </w:p>
    <w:p>
      <w:pPr>
        <w:pStyle w:val="6"/>
        <w:spacing w:before="160" w:line="364" w:lineRule="auto"/>
        <w:ind w:left="220" w:right="338" w:firstLine="480"/>
      </w:pPr>
      <w:r>
        <w:t>根据突发事件的严重性、紧急程度和可能波及的范围，划分预警级别，并根据事态的发展情况和采取措施的效果，提高或者降低应急预警级别。</w:t>
      </w:r>
    </w:p>
    <w:p>
      <w:pPr>
        <w:pStyle w:val="6"/>
        <w:spacing w:line="306" w:lineRule="exact"/>
        <w:ind w:left="700"/>
        <w:jc w:val="both"/>
      </w:pPr>
      <w:r>
        <w:t>② 应急响应</w:t>
      </w:r>
    </w:p>
    <w:p>
      <w:pPr>
        <w:pStyle w:val="6"/>
        <w:spacing w:before="161" w:line="364" w:lineRule="auto"/>
        <w:ind w:left="220" w:right="338" w:firstLine="480"/>
        <w:jc w:val="both"/>
      </w:pPr>
      <w:r>
        <w:t>环境风险突发事件发生后，应立即启动并实施相应应急预案，及时向晋中市生态环境局寿阳分局、寿阳县政府上报；同时，启动建设单位应急专业指挥机构；应急救援力量应立即开展应急救援工作；需要其他应急救援力量支援时，应及时向寿阳县政府提出</w:t>
      </w:r>
    </w:p>
    <w:p>
      <w:pPr>
        <w:spacing w:after="0" w:line="364" w:lineRule="auto"/>
        <w:jc w:val="both"/>
        <w:sectPr>
          <w:pgSz w:w="11910" w:h="16840"/>
          <w:pgMar w:top="1340" w:right="1020" w:bottom="1180" w:left="1140" w:header="0" w:footer="917" w:gutter="0"/>
        </w:sectPr>
      </w:pPr>
    </w:p>
    <w:p>
      <w:pPr>
        <w:pStyle w:val="6"/>
        <w:spacing w:before="41"/>
        <w:ind w:left="220"/>
      </w:pPr>
      <w:r>
        <w:t>申请。</w:t>
      </w:r>
    </w:p>
    <w:p>
      <w:pPr>
        <w:pStyle w:val="6"/>
        <w:spacing w:before="158"/>
        <w:ind w:left="700"/>
      </w:pPr>
      <w:r>
        <w:t>③应急处理</w:t>
      </w:r>
    </w:p>
    <w:p>
      <w:pPr>
        <w:pStyle w:val="6"/>
        <w:spacing w:before="161" w:line="364" w:lineRule="auto"/>
        <w:ind w:left="700" w:right="161"/>
      </w:pPr>
      <w:r>
        <w:t>对各类环境事故，根据相应的救援方案进行救援的处理，同时应进行应急环境监测。根据监测结果，综合分析突发环境事件污染变化趋势，并通过专家咨询和讨论的方</w:t>
      </w:r>
    </w:p>
    <w:p>
      <w:pPr>
        <w:pStyle w:val="6"/>
        <w:spacing w:line="364" w:lineRule="auto"/>
        <w:ind w:left="220" w:right="338"/>
      </w:pPr>
      <w:r>
        <w:t>式，预测并报告突发环境事件的发展情况和污染物的变化情况，作为突发环境事件应急决策的依据。</w:t>
      </w:r>
    </w:p>
    <w:p>
      <w:pPr>
        <w:pStyle w:val="6"/>
        <w:spacing w:line="306" w:lineRule="exact"/>
        <w:ind w:left="700"/>
      </w:pPr>
      <w:r>
        <w:t>④ 应急终止</w:t>
      </w:r>
    </w:p>
    <w:p>
      <w:pPr>
        <w:pStyle w:val="6"/>
        <w:spacing w:before="159" w:line="362" w:lineRule="auto"/>
        <w:ind w:left="220" w:right="338" w:firstLine="480"/>
      </w:pPr>
      <w:r>
        <w:t>应急终止须经现场救援指挥部确认，由现场救援指挥部向所属各专业应急救援队伍下达应急终止命令。</w:t>
      </w:r>
    </w:p>
    <w:p>
      <w:pPr>
        <w:pStyle w:val="6"/>
        <w:spacing w:before="5" w:line="362" w:lineRule="auto"/>
        <w:ind w:left="220" w:right="338" w:firstLine="480"/>
      </w:pPr>
      <w:r>
        <w:t>应急状态终止后，建设单位应根据上级有关指示和实际情况，继续进行环境监测和评价工作，直至其他补救措施无需继续进行为止。</w:t>
      </w:r>
    </w:p>
    <w:p>
      <w:pPr>
        <w:pStyle w:val="6"/>
        <w:spacing w:before="5"/>
        <w:ind w:left="700"/>
      </w:pPr>
      <w:r>
        <w:t>⑤信息发布</w:t>
      </w:r>
    </w:p>
    <w:p>
      <w:pPr>
        <w:pStyle w:val="6"/>
        <w:spacing w:before="158" w:line="364" w:lineRule="auto"/>
        <w:ind w:left="220" w:right="338" w:firstLine="480"/>
      </w:pPr>
      <w:r>
        <w:t>突发环境安全事件终止后，要通过报纸、广播、电视和网络等多种媒体方式，及时发布准确、权威的信息，正确引导社会舆论，增强对于环境安全应急措施的透明度。</w:t>
      </w:r>
    </w:p>
    <w:p>
      <w:pPr>
        <w:pStyle w:val="13"/>
        <w:numPr>
          <w:ilvl w:val="0"/>
          <w:numId w:val="107"/>
        </w:numPr>
        <w:tabs>
          <w:tab w:val="left" w:pos="1302"/>
        </w:tabs>
        <w:spacing w:before="1" w:after="0" w:line="240" w:lineRule="auto"/>
        <w:ind w:left="1301" w:right="0" w:hanging="602"/>
        <w:jc w:val="left"/>
        <w:rPr>
          <w:sz w:val="24"/>
        </w:rPr>
      </w:pPr>
      <w:r>
        <w:rPr>
          <w:sz w:val="24"/>
        </w:rPr>
        <w:t>监督管理</w:t>
      </w:r>
    </w:p>
    <w:p>
      <w:pPr>
        <w:pStyle w:val="6"/>
        <w:spacing w:before="158"/>
        <w:ind w:left="700"/>
      </w:pPr>
      <w:r>
        <w:t>① 预案演练</w:t>
      </w:r>
    </w:p>
    <w:p>
      <w:pPr>
        <w:pStyle w:val="6"/>
        <w:spacing w:before="161" w:line="362" w:lineRule="auto"/>
        <w:ind w:left="220" w:right="338" w:firstLine="480"/>
      </w:pPr>
      <w:r>
        <w:t>按照环境应急预案及相关单项预案，建设单位应定期组织不同类型的环境应急实战演练，提高防范和处置突发环境事件的技能，增强实战能力。</w:t>
      </w:r>
    </w:p>
    <w:p>
      <w:pPr>
        <w:pStyle w:val="6"/>
        <w:spacing w:before="2"/>
        <w:ind w:left="700"/>
      </w:pPr>
      <w:r>
        <w:t>②宣传与培训</w:t>
      </w:r>
    </w:p>
    <w:p>
      <w:pPr>
        <w:pStyle w:val="6"/>
        <w:spacing w:before="161" w:line="364" w:lineRule="auto"/>
        <w:ind w:left="220" w:right="338" w:firstLine="480"/>
        <w:jc w:val="both"/>
      </w:pPr>
      <w:r>
        <w:t>建设单位加强环境保护科普宣传教育工作，普及环境污染事件预防常识，编印、发放有毒有害物质污染公众防护</w:t>
      </w:r>
      <w:r>
        <w:rPr>
          <w:rFonts w:ascii="Times New Roman" w:hAnsi="Times New Roman" w:eastAsia="Times New Roman"/>
        </w:rPr>
        <w:t>“</w:t>
      </w:r>
      <w:r>
        <w:t>明白卡</w:t>
      </w:r>
      <w:r>
        <w:rPr>
          <w:rFonts w:ascii="Times New Roman" w:hAnsi="Times New Roman" w:eastAsia="Times New Roman"/>
        </w:rPr>
        <w:t>”</w:t>
      </w:r>
      <w:r>
        <w:t>，增强公众的防范意识和相关心理准备，提高公众的防范能力。</w:t>
      </w:r>
    </w:p>
    <w:p>
      <w:pPr>
        <w:pStyle w:val="6"/>
        <w:spacing w:line="362" w:lineRule="auto"/>
        <w:ind w:left="220" w:right="338" w:firstLine="480"/>
      </w:pPr>
      <w:r>
        <w:t>企业内工作人员应积极主动接受日常培训，企业应对重要目标工作人员进行培训和管理。</w:t>
      </w:r>
    </w:p>
    <w:p>
      <w:pPr>
        <w:pStyle w:val="6"/>
        <w:spacing w:before="4"/>
        <w:ind w:left="700"/>
      </w:pPr>
      <w:r>
        <w:t>③监督与评价</w:t>
      </w:r>
    </w:p>
    <w:p>
      <w:pPr>
        <w:pStyle w:val="6"/>
        <w:spacing w:before="158" w:line="364" w:lineRule="auto"/>
        <w:ind w:left="220" w:right="338" w:firstLine="480"/>
        <w:jc w:val="both"/>
      </w:pPr>
      <w:r>
        <w:t>为保障环境应急体系始终处于良好的战备状态，并实现持续改进，建设单位应在环境应急能力评价体系中实行自上而下的监督、检查和考核机制。监督和评价内容包括： 应急机构的设置；应急工作程序的建立与执行情况；应急救援队伍的建设；应急人员培训与考核情况；应急装备使用和经费管理情况等。</w:t>
      </w:r>
    </w:p>
    <w:p>
      <w:pPr>
        <w:pStyle w:val="3"/>
        <w:numPr>
          <w:ilvl w:val="1"/>
          <w:numId w:val="106"/>
        </w:numPr>
        <w:tabs>
          <w:tab w:val="left" w:pos="896"/>
        </w:tabs>
        <w:spacing w:before="0" w:after="0" w:line="240" w:lineRule="auto"/>
        <w:ind w:left="895" w:right="0" w:hanging="676"/>
        <w:jc w:val="left"/>
      </w:pPr>
      <w:bookmarkStart w:id="1274" w:name="_bookmark91"/>
      <w:bookmarkEnd w:id="1274"/>
      <w:bookmarkStart w:id="1275" w:name="_bookmark91"/>
      <w:bookmarkEnd w:id="1275"/>
      <w:bookmarkStart w:id="1276" w:name="15.6 分析结论"/>
      <w:bookmarkEnd w:id="1276"/>
      <w:r>
        <w:t>分析结论</w:t>
      </w:r>
    </w:p>
    <w:p>
      <w:pPr>
        <w:spacing w:after="0" w:line="240" w:lineRule="auto"/>
        <w:jc w:val="left"/>
        <w:sectPr>
          <w:pgSz w:w="11910" w:h="16840"/>
          <w:pgMar w:top="1360" w:right="1020" w:bottom="1180" w:left="1140" w:header="0" w:footer="917" w:gutter="0"/>
        </w:sectPr>
      </w:pPr>
    </w:p>
    <w:p>
      <w:pPr>
        <w:pStyle w:val="6"/>
        <w:spacing w:before="41" w:line="364" w:lineRule="auto"/>
        <w:ind w:left="220" w:right="338" w:firstLine="480"/>
        <w:jc w:val="both"/>
      </w:pPr>
      <w:r>
        <w:t>本项目风险源项主要为柴油罐泄露，所在区域主要环境敏感目标为周边村民住户， 本项目环境风险可防控，已根据本项目可能影响的范围和程度逐项提出缓解环境风险的建议措施。</w:t>
      </w:r>
    </w:p>
    <w:p>
      <w:pPr>
        <w:pStyle w:val="6"/>
        <w:spacing w:line="307" w:lineRule="exact"/>
        <w:ind w:left="700"/>
        <w:jc w:val="both"/>
      </w:pPr>
      <w:r>
        <w:t xml:space="preserve">基于本次环境风险评价内容，建设项目环境风险简单分析内容汇总见表 </w:t>
      </w:r>
      <w:r>
        <w:rPr>
          <w:rFonts w:ascii="Times New Roman" w:eastAsia="Times New Roman"/>
        </w:rPr>
        <w:t>15.6-1</w:t>
      </w:r>
      <w:r>
        <w:t>。</w:t>
      </w:r>
    </w:p>
    <w:p>
      <w:pPr>
        <w:spacing w:before="157"/>
        <w:ind w:left="0" w:right="105" w:firstLine="0"/>
        <w:jc w:val="center"/>
        <w:rPr>
          <w:b/>
          <w:sz w:val="21"/>
        </w:rPr>
      </w:pPr>
      <w:r>
        <w:rPr>
          <w:b/>
          <w:sz w:val="21"/>
        </w:rPr>
        <w:t xml:space="preserve">表 </w:t>
      </w:r>
      <w:r>
        <w:rPr>
          <w:rFonts w:ascii="Times New Roman" w:eastAsia="Times New Roman"/>
          <w:b/>
          <w:sz w:val="21"/>
        </w:rPr>
        <w:t xml:space="preserve">15.6-1 </w:t>
      </w:r>
      <w:r>
        <w:rPr>
          <w:b/>
          <w:sz w:val="21"/>
        </w:rPr>
        <w:t>建设项目环境风险简单分析内容表</w:t>
      </w:r>
    </w:p>
    <w:p>
      <w:pPr>
        <w:pStyle w:val="6"/>
        <w:spacing w:before="11"/>
        <w:rPr>
          <w:b/>
          <w:sz w:val="10"/>
        </w:rPr>
      </w:pPr>
    </w:p>
    <w:tbl>
      <w:tblPr>
        <w:tblStyle w:val="10"/>
        <w:tblW w:w="0" w:type="auto"/>
        <w:tblInd w:w="1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80"/>
        <w:gridCol w:w="2860"/>
        <w:gridCol w:w="2423"/>
        <w:gridCol w:w="24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80" w:type="dxa"/>
          </w:tcPr>
          <w:p>
            <w:pPr>
              <w:pStyle w:val="14"/>
              <w:spacing w:before="64"/>
              <w:ind w:left="137" w:right="133"/>
              <w:rPr>
                <w:sz w:val="21"/>
              </w:rPr>
            </w:pPr>
            <w:r>
              <w:rPr>
                <w:sz w:val="21"/>
              </w:rPr>
              <w:t>建设项目名称</w:t>
            </w:r>
          </w:p>
        </w:tc>
        <w:tc>
          <w:tcPr>
            <w:tcW w:w="7706" w:type="dxa"/>
            <w:gridSpan w:val="3"/>
          </w:tcPr>
          <w:p>
            <w:pPr>
              <w:pStyle w:val="14"/>
              <w:spacing w:before="64"/>
              <w:ind w:left="2152" w:right="2143"/>
              <w:rPr>
                <w:sz w:val="21"/>
              </w:rPr>
            </w:pPr>
            <w:r>
              <w:rPr>
                <w:sz w:val="21"/>
              </w:rPr>
              <w:t>双鸭山大顺矿业有限公司改扩建项目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80" w:type="dxa"/>
          </w:tcPr>
          <w:p>
            <w:pPr>
              <w:pStyle w:val="14"/>
              <w:spacing w:before="63"/>
              <w:ind w:left="137" w:right="130"/>
              <w:rPr>
                <w:sz w:val="21"/>
              </w:rPr>
            </w:pPr>
            <w:r>
              <w:rPr>
                <w:sz w:val="21"/>
              </w:rPr>
              <w:t>建设地点</w:t>
            </w:r>
          </w:p>
        </w:tc>
        <w:tc>
          <w:tcPr>
            <w:tcW w:w="2860" w:type="dxa"/>
          </w:tcPr>
          <w:p>
            <w:pPr>
              <w:pStyle w:val="14"/>
              <w:spacing w:before="63"/>
              <w:ind w:left="777" w:right="773"/>
              <w:rPr>
                <w:sz w:val="21"/>
              </w:rPr>
            </w:pPr>
            <w:r>
              <w:rPr>
                <w:sz w:val="21"/>
              </w:rPr>
              <w:t>黑龙江（省）</w:t>
            </w:r>
          </w:p>
        </w:tc>
        <w:tc>
          <w:tcPr>
            <w:tcW w:w="2423" w:type="dxa"/>
          </w:tcPr>
          <w:p>
            <w:pPr>
              <w:pStyle w:val="14"/>
              <w:spacing w:before="63"/>
              <w:ind w:left="580"/>
              <w:jc w:val="left"/>
              <w:rPr>
                <w:sz w:val="21"/>
              </w:rPr>
            </w:pPr>
            <w:r>
              <w:rPr>
                <w:sz w:val="21"/>
              </w:rPr>
              <w:t>双鸭山（市）</w:t>
            </w:r>
          </w:p>
        </w:tc>
        <w:tc>
          <w:tcPr>
            <w:tcW w:w="2423" w:type="dxa"/>
          </w:tcPr>
          <w:p>
            <w:pPr>
              <w:pStyle w:val="14"/>
              <w:spacing w:before="63"/>
              <w:ind w:left="685"/>
              <w:jc w:val="left"/>
              <w:rPr>
                <w:sz w:val="21"/>
              </w:rPr>
            </w:pPr>
            <w:r>
              <w:rPr>
                <w:sz w:val="21"/>
              </w:rPr>
              <w:t>（自治县）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580" w:type="dxa"/>
            <w:vMerge w:val="restart"/>
          </w:tcPr>
          <w:p>
            <w:pPr>
              <w:pStyle w:val="14"/>
              <w:jc w:val="left"/>
              <w:rPr>
                <w:b/>
                <w:sz w:val="23"/>
              </w:rPr>
            </w:pPr>
          </w:p>
          <w:p>
            <w:pPr>
              <w:pStyle w:val="14"/>
              <w:ind w:left="369"/>
              <w:jc w:val="left"/>
              <w:rPr>
                <w:sz w:val="21"/>
              </w:rPr>
            </w:pPr>
            <w:r>
              <w:rPr>
                <w:sz w:val="21"/>
              </w:rPr>
              <w:t>地理坐标</w:t>
            </w:r>
          </w:p>
        </w:tc>
        <w:tc>
          <w:tcPr>
            <w:tcW w:w="2860" w:type="dxa"/>
          </w:tcPr>
          <w:p>
            <w:pPr>
              <w:pStyle w:val="14"/>
              <w:spacing w:before="64"/>
              <w:ind w:left="777" w:right="773"/>
              <w:rPr>
                <w:sz w:val="21"/>
              </w:rPr>
            </w:pPr>
            <w:r>
              <w:rPr>
                <w:sz w:val="21"/>
              </w:rPr>
              <w:t>东经</w:t>
            </w:r>
          </w:p>
        </w:tc>
        <w:tc>
          <w:tcPr>
            <w:tcW w:w="4846" w:type="dxa"/>
            <w:gridSpan w:val="2"/>
          </w:tcPr>
          <w:p>
            <w:pPr>
              <w:pStyle w:val="14"/>
              <w:spacing w:before="64"/>
              <w:ind w:left="1781" w:right="1771"/>
              <w:rPr>
                <w:rFonts w:ascii="Times New Roman" w:hAnsi="Times New Roman" w:eastAsia="Times New Roman"/>
                <w:sz w:val="21"/>
              </w:rPr>
            </w:pPr>
            <w:r>
              <w:rPr>
                <w:rFonts w:ascii="Times New Roman" w:hAnsi="Times New Roman" w:eastAsia="Times New Roman"/>
                <w:sz w:val="21"/>
              </w:rPr>
              <w:t>131</w:t>
            </w:r>
            <w:r>
              <w:rPr>
                <w:sz w:val="21"/>
              </w:rPr>
              <w:t>°</w:t>
            </w:r>
            <w:r>
              <w:rPr>
                <w:rFonts w:ascii="Times New Roman" w:hAnsi="Times New Roman" w:eastAsia="Times New Roman"/>
                <w:sz w:val="21"/>
              </w:rPr>
              <w:t>09</w:t>
            </w:r>
            <w:r>
              <w:rPr>
                <w:sz w:val="21"/>
              </w:rPr>
              <w:t>＇</w:t>
            </w:r>
            <w:r>
              <w:rPr>
                <w:rFonts w:ascii="Times New Roman" w:hAnsi="Times New Roman" w:eastAsia="Times New Roman"/>
                <w:sz w:val="21"/>
              </w:rPr>
              <w:t>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80" w:type="dxa"/>
            <w:vMerge w:val="continue"/>
            <w:tcBorders>
              <w:top w:val="nil"/>
            </w:tcBorders>
          </w:tcPr>
          <w:p>
            <w:pPr>
              <w:rPr>
                <w:sz w:val="2"/>
                <w:szCs w:val="2"/>
              </w:rPr>
            </w:pPr>
          </w:p>
        </w:tc>
        <w:tc>
          <w:tcPr>
            <w:tcW w:w="2860" w:type="dxa"/>
          </w:tcPr>
          <w:p>
            <w:pPr>
              <w:pStyle w:val="14"/>
              <w:spacing w:before="64"/>
              <w:ind w:left="777" w:right="773"/>
              <w:rPr>
                <w:sz w:val="21"/>
              </w:rPr>
            </w:pPr>
            <w:r>
              <w:rPr>
                <w:sz w:val="21"/>
              </w:rPr>
              <w:t>北纬</w:t>
            </w:r>
          </w:p>
        </w:tc>
        <w:tc>
          <w:tcPr>
            <w:tcW w:w="4846" w:type="dxa"/>
            <w:gridSpan w:val="2"/>
          </w:tcPr>
          <w:p>
            <w:pPr>
              <w:pStyle w:val="14"/>
              <w:spacing w:before="64"/>
              <w:ind w:left="1779" w:right="1771"/>
              <w:rPr>
                <w:rFonts w:ascii="Times New Roman" w:hAnsi="Times New Roman" w:eastAsia="Times New Roman"/>
                <w:sz w:val="21"/>
              </w:rPr>
            </w:pPr>
            <w:r>
              <w:rPr>
                <w:rFonts w:ascii="Times New Roman" w:hAnsi="Times New Roman" w:eastAsia="Times New Roman"/>
                <w:sz w:val="21"/>
              </w:rPr>
              <w:t>46</w:t>
            </w:r>
            <w:r>
              <w:rPr>
                <w:sz w:val="21"/>
              </w:rPr>
              <w:t>°</w:t>
            </w:r>
            <w:r>
              <w:rPr>
                <w:rFonts w:ascii="Times New Roman" w:hAnsi="Times New Roman" w:eastAsia="Times New Roman"/>
                <w:sz w:val="21"/>
              </w:rPr>
              <w:t>29</w:t>
            </w:r>
            <w:r>
              <w:rPr>
                <w:sz w:val="21"/>
              </w:rPr>
              <w:t>＇</w:t>
            </w:r>
            <w:r>
              <w:rPr>
                <w:rFonts w:ascii="Times New Roman" w:hAnsi="Times New Roman" w:eastAsia="Times New Roman"/>
                <w:sz w:val="21"/>
              </w:rPr>
              <w:t>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1580" w:type="dxa"/>
          </w:tcPr>
          <w:p>
            <w:pPr>
              <w:pStyle w:val="14"/>
              <w:spacing w:before="1"/>
              <w:ind w:left="137" w:right="133"/>
              <w:rPr>
                <w:sz w:val="21"/>
              </w:rPr>
            </w:pPr>
            <w:r>
              <w:rPr>
                <w:sz w:val="21"/>
              </w:rPr>
              <w:t>主要危险物质</w:t>
            </w:r>
          </w:p>
          <w:p>
            <w:pPr>
              <w:pStyle w:val="14"/>
              <w:spacing w:before="57"/>
              <w:ind w:left="137" w:right="128"/>
              <w:rPr>
                <w:sz w:val="21"/>
              </w:rPr>
            </w:pPr>
            <w:r>
              <w:rPr>
                <w:sz w:val="21"/>
              </w:rPr>
              <w:t>及分布</w:t>
            </w:r>
          </w:p>
        </w:tc>
        <w:tc>
          <w:tcPr>
            <w:tcW w:w="7706" w:type="dxa"/>
            <w:gridSpan w:val="3"/>
          </w:tcPr>
          <w:p>
            <w:pPr>
              <w:pStyle w:val="14"/>
              <w:spacing w:before="1"/>
              <w:ind w:left="107"/>
              <w:jc w:val="left"/>
              <w:rPr>
                <w:sz w:val="21"/>
              </w:rPr>
            </w:pPr>
            <w:r>
              <w:rPr>
                <w:sz w:val="21"/>
              </w:rPr>
              <w:t xml:space="preserve">主要危险物质为丙类油脂（如润滑油、机油、重油及闪点大于或等于 </w:t>
            </w:r>
            <w:r>
              <w:rPr>
                <w:rFonts w:ascii="Times New Roman" w:eastAsia="Times New Roman"/>
                <w:sz w:val="21"/>
              </w:rPr>
              <w:t xml:space="preserve">60 </w:t>
            </w:r>
            <w:r>
              <w:rPr>
                <w:sz w:val="21"/>
              </w:rPr>
              <w:t>摄氏度的</w:t>
            </w:r>
          </w:p>
          <w:p>
            <w:pPr>
              <w:pStyle w:val="14"/>
              <w:spacing w:before="57"/>
              <w:ind w:left="107"/>
              <w:jc w:val="left"/>
              <w:rPr>
                <w:sz w:val="21"/>
              </w:rPr>
            </w:pPr>
            <w:r>
              <w:rPr>
                <w:sz w:val="21"/>
              </w:rPr>
              <w:t>柴油等），储存于柴油罐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1580" w:type="dxa"/>
          </w:tcPr>
          <w:p>
            <w:pPr>
              <w:pStyle w:val="14"/>
              <w:spacing w:line="268" w:lineRule="exact"/>
              <w:ind w:left="137" w:right="133"/>
              <w:rPr>
                <w:sz w:val="21"/>
              </w:rPr>
            </w:pPr>
            <w:r>
              <w:rPr>
                <w:sz w:val="21"/>
              </w:rPr>
              <w:t>环境影响途径</w:t>
            </w:r>
          </w:p>
          <w:p>
            <w:pPr>
              <w:pStyle w:val="14"/>
              <w:spacing w:before="57"/>
              <w:ind w:left="137" w:right="130"/>
              <w:rPr>
                <w:sz w:val="21"/>
              </w:rPr>
            </w:pPr>
            <w:r>
              <w:rPr>
                <w:sz w:val="21"/>
              </w:rPr>
              <w:t>及危害后果</w:t>
            </w:r>
          </w:p>
        </w:tc>
        <w:tc>
          <w:tcPr>
            <w:tcW w:w="7706" w:type="dxa"/>
            <w:gridSpan w:val="3"/>
          </w:tcPr>
          <w:p>
            <w:pPr>
              <w:pStyle w:val="14"/>
              <w:spacing w:line="268" w:lineRule="exact"/>
              <w:ind w:left="107" w:right="-15"/>
              <w:jc w:val="left"/>
              <w:rPr>
                <w:sz w:val="21"/>
              </w:rPr>
            </w:pPr>
            <w:r>
              <w:rPr>
                <w:spacing w:val="-13"/>
                <w:w w:val="95"/>
                <w:sz w:val="21"/>
              </w:rPr>
              <w:t>最不利情况下，柴油罐发生泄漏事故造成丙类油脂泄漏于地表，如果处理及时得当，</w:t>
            </w:r>
          </w:p>
          <w:p>
            <w:pPr>
              <w:pStyle w:val="14"/>
              <w:spacing w:before="57"/>
              <w:ind w:left="107"/>
              <w:jc w:val="left"/>
              <w:rPr>
                <w:sz w:val="21"/>
              </w:rPr>
            </w:pPr>
            <w:r>
              <w:rPr>
                <w:sz w:val="21"/>
              </w:rPr>
              <w:t>则可有效地控制对周围环境的影响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1" w:hRule="atLeast"/>
        </w:trPr>
        <w:tc>
          <w:tcPr>
            <w:tcW w:w="1580" w:type="dxa"/>
          </w:tcPr>
          <w:p>
            <w:pPr>
              <w:pStyle w:val="14"/>
              <w:spacing w:before="164" w:line="290" w:lineRule="auto"/>
              <w:ind w:left="578" w:right="151" w:hanging="420"/>
              <w:jc w:val="left"/>
              <w:rPr>
                <w:sz w:val="21"/>
              </w:rPr>
            </w:pPr>
            <w:r>
              <w:rPr>
                <w:sz w:val="21"/>
              </w:rPr>
              <w:t>风险防范措施要求</w:t>
            </w:r>
          </w:p>
        </w:tc>
        <w:tc>
          <w:tcPr>
            <w:tcW w:w="7706" w:type="dxa"/>
            <w:gridSpan w:val="3"/>
          </w:tcPr>
          <w:p>
            <w:pPr>
              <w:pStyle w:val="14"/>
              <w:spacing w:before="1" w:line="290" w:lineRule="auto"/>
              <w:ind w:left="107" w:right="132"/>
              <w:jc w:val="left"/>
              <w:rPr>
                <w:sz w:val="21"/>
              </w:rPr>
            </w:pPr>
            <w:r>
              <w:rPr>
                <w:rFonts w:ascii="Times New Roman" w:eastAsia="Times New Roman"/>
                <w:w w:val="95"/>
                <w:sz w:val="21"/>
              </w:rPr>
              <w:t>1</w:t>
            </w:r>
            <w:r>
              <w:rPr>
                <w:w w:val="95"/>
                <w:sz w:val="21"/>
              </w:rPr>
              <w:t xml:space="preserve">、设立标志，加强巡检，防止人为破坏。建成营运后，要提髙操作人员的素质和  </w:t>
            </w:r>
            <w:r>
              <w:rPr>
                <w:sz w:val="21"/>
              </w:rPr>
              <w:t>管理水平，防止或减少事故风险的发生，确保柴油罐状态正常。</w:t>
            </w:r>
          </w:p>
          <w:p>
            <w:pPr>
              <w:pStyle w:val="14"/>
              <w:spacing w:before="1"/>
              <w:ind w:left="107"/>
              <w:jc w:val="left"/>
              <w:rPr>
                <w:sz w:val="21"/>
              </w:rPr>
            </w:pPr>
            <w:r>
              <w:rPr>
                <w:rFonts w:ascii="Times New Roman" w:eastAsia="Times New Roman"/>
                <w:sz w:val="21"/>
              </w:rPr>
              <w:t>2</w:t>
            </w:r>
            <w:r>
              <w:rPr>
                <w:sz w:val="21"/>
              </w:rPr>
              <w:t>、重视环境管理工作，加强监督，及时发现各设施存在的环境隐患。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286" w:type="dxa"/>
            <w:gridSpan w:val="4"/>
          </w:tcPr>
          <w:p>
            <w:pPr>
              <w:pStyle w:val="14"/>
              <w:spacing w:before="63"/>
              <w:ind w:left="108"/>
              <w:jc w:val="left"/>
              <w:rPr>
                <w:sz w:val="21"/>
              </w:rPr>
            </w:pPr>
            <w:r>
              <w:rPr>
                <w:sz w:val="21"/>
              </w:rPr>
              <w:t>填表说明：无</w:t>
            </w:r>
          </w:p>
        </w:tc>
      </w:tr>
    </w:tbl>
    <w:p>
      <w:pPr>
        <w:spacing w:after="0"/>
        <w:jc w:val="left"/>
        <w:rPr>
          <w:sz w:val="21"/>
        </w:rPr>
        <w:sectPr>
          <w:pgSz w:w="11910" w:h="16840"/>
          <w:pgMar w:top="1360" w:right="1020" w:bottom="1180" w:left="1140" w:header="0" w:footer="917" w:gutter="0"/>
        </w:sectPr>
      </w:pPr>
    </w:p>
    <w:p>
      <w:pPr>
        <w:pStyle w:val="2"/>
        <w:numPr>
          <w:ilvl w:val="0"/>
          <w:numId w:val="62"/>
        </w:numPr>
        <w:tabs>
          <w:tab w:val="left" w:pos="3684"/>
        </w:tabs>
        <w:spacing w:before="41" w:after="0" w:line="240" w:lineRule="auto"/>
        <w:ind w:left="3684" w:right="0" w:hanging="632"/>
        <w:jc w:val="left"/>
      </w:pPr>
      <w:bookmarkStart w:id="1277" w:name="16. 环境经济损益分析"/>
      <w:bookmarkEnd w:id="1277"/>
      <w:bookmarkStart w:id="1278" w:name="_bookmark92"/>
      <w:bookmarkEnd w:id="1278"/>
      <w:bookmarkStart w:id="1279" w:name="_bookmark92"/>
      <w:bookmarkEnd w:id="1279"/>
      <w:r>
        <w:t>环境经济损益分析</w:t>
      </w:r>
    </w:p>
    <w:p>
      <w:pPr>
        <w:pStyle w:val="4"/>
        <w:numPr>
          <w:ilvl w:val="1"/>
          <w:numId w:val="108"/>
        </w:numPr>
        <w:tabs>
          <w:tab w:val="left" w:pos="780"/>
        </w:tabs>
        <w:spacing w:before="240" w:after="0" w:line="240" w:lineRule="auto"/>
        <w:ind w:left="780" w:right="0" w:hanging="560"/>
        <w:jc w:val="left"/>
      </w:pPr>
      <w:bookmarkStart w:id="1280" w:name="16.1环境保护工程投资分析"/>
      <w:bookmarkEnd w:id="1280"/>
      <w:bookmarkStart w:id="1281" w:name="_bookmark93"/>
      <w:bookmarkEnd w:id="1281"/>
      <w:bookmarkStart w:id="1282" w:name="_bookmark93"/>
      <w:bookmarkEnd w:id="1282"/>
      <w:r>
        <w:t>环境保护工程投资分析</w:t>
      </w:r>
    </w:p>
    <w:p>
      <w:pPr>
        <w:pStyle w:val="6"/>
        <w:spacing w:before="186"/>
        <w:ind w:left="700"/>
      </w:pPr>
      <w:r>
        <w:t xml:space="preserve">本项目环境保护投资估算结果见表 </w:t>
      </w:r>
      <w:r>
        <w:rPr>
          <w:rFonts w:ascii="Times New Roman" w:eastAsia="Times New Roman"/>
        </w:rPr>
        <w:t>16.1-1</w:t>
      </w:r>
      <w:r>
        <w:t>。</w:t>
      </w:r>
    </w:p>
    <w:p>
      <w:pPr>
        <w:pStyle w:val="5"/>
        <w:tabs>
          <w:tab w:val="left" w:pos="1159"/>
        </w:tabs>
        <w:spacing w:before="158" w:after="3"/>
        <w:ind w:right="110"/>
        <w:jc w:val="center"/>
      </w:pPr>
      <w:r>
        <w:t>表</w:t>
      </w:r>
      <w:r>
        <w:rPr>
          <w:spacing w:val="-62"/>
        </w:rPr>
        <w:t xml:space="preserve"> </w:t>
      </w:r>
      <w:r>
        <w:rPr>
          <w:rFonts w:ascii="Times New Roman" w:eastAsia="Times New Roman"/>
        </w:rPr>
        <w:t>16.1-1</w:t>
      </w:r>
      <w:r>
        <w:rPr>
          <w:rFonts w:ascii="Times New Roman" w:eastAsia="Times New Roman"/>
        </w:rPr>
        <w:tab/>
      </w:r>
      <w:r>
        <w:t>矿井环保投资估算表</w:t>
      </w:r>
    </w:p>
    <w:tbl>
      <w:tblPr>
        <w:tblStyle w:val="10"/>
        <w:tblW w:w="0" w:type="auto"/>
        <w:tblInd w:w="1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2589"/>
        <w:gridCol w:w="2199"/>
        <w:gridCol w:w="36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99" w:type="dxa"/>
          </w:tcPr>
          <w:p>
            <w:pPr>
              <w:pStyle w:val="14"/>
              <w:spacing w:before="62"/>
              <w:ind w:left="168" w:right="160"/>
              <w:rPr>
                <w:sz w:val="21"/>
              </w:rPr>
            </w:pPr>
            <w:r>
              <w:rPr>
                <w:sz w:val="21"/>
              </w:rPr>
              <w:t>序号</w:t>
            </w:r>
          </w:p>
        </w:tc>
        <w:tc>
          <w:tcPr>
            <w:tcW w:w="2589" w:type="dxa"/>
          </w:tcPr>
          <w:p>
            <w:pPr>
              <w:pStyle w:val="14"/>
              <w:spacing w:before="62"/>
              <w:ind w:left="852" w:right="846"/>
              <w:rPr>
                <w:sz w:val="21"/>
              </w:rPr>
            </w:pPr>
            <w:r>
              <w:rPr>
                <w:sz w:val="21"/>
              </w:rPr>
              <w:t>环保项目</w:t>
            </w:r>
          </w:p>
        </w:tc>
        <w:tc>
          <w:tcPr>
            <w:tcW w:w="2199" w:type="dxa"/>
          </w:tcPr>
          <w:p>
            <w:pPr>
              <w:pStyle w:val="14"/>
              <w:spacing w:before="62"/>
              <w:ind w:left="342" w:right="336"/>
              <w:rPr>
                <w:sz w:val="21"/>
              </w:rPr>
            </w:pPr>
            <w:r>
              <w:rPr>
                <w:sz w:val="21"/>
              </w:rPr>
              <w:t>投资估算：万元</w:t>
            </w:r>
          </w:p>
        </w:tc>
        <w:tc>
          <w:tcPr>
            <w:tcW w:w="3699" w:type="dxa"/>
          </w:tcPr>
          <w:p>
            <w:pPr>
              <w:pStyle w:val="14"/>
              <w:spacing w:before="62"/>
              <w:ind w:left="148" w:right="141"/>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99" w:type="dxa"/>
          </w:tcPr>
          <w:p>
            <w:pPr>
              <w:pStyle w:val="14"/>
              <w:spacing w:before="63"/>
              <w:ind w:left="5"/>
              <w:rPr>
                <w:sz w:val="21"/>
              </w:rPr>
            </w:pPr>
            <w:r>
              <w:rPr>
                <w:w w:val="99"/>
                <w:sz w:val="21"/>
              </w:rPr>
              <w:t>一</w:t>
            </w:r>
          </w:p>
        </w:tc>
        <w:tc>
          <w:tcPr>
            <w:tcW w:w="2589" w:type="dxa"/>
          </w:tcPr>
          <w:p>
            <w:pPr>
              <w:pStyle w:val="14"/>
              <w:spacing w:before="63"/>
              <w:ind w:left="852" w:right="846"/>
              <w:rPr>
                <w:sz w:val="21"/>
              </w:rPr>
            </w:pPr>
            <w:r>
              <w:rPr>
                <w:sz w:val="21"/>
              </w:rPr>
              <w:t>污水处理</w:t>
            </w:r>
          </w:p>
        </w:tc>
        <w:tc>
          <w:tcPr>
            <w:tcW w:w="2199" w:type="dxa"/>
          </w:tcPr>
          <w:p>
            <w:pPr>
              <w:pStyle w:val="14"/>
              <w:spacing w:before="77"/>
              <w:ind w:left="342" w:right="332"/>
              <w:rPr>
                <w:rFonts w:ascii="Times New Roman"/>
                <w:sz w:val="21"/>
              </w:rPr>
            </w:pPr>
            <w:r>
              <w:rPr>
                <w:rFonts w:ascii="Times New Roman"/>
                <w:sz w:val="21"/>
              </w:rPr>
              <w:t>130</w:t>
            </w:r>
          </w:p>
        </w:tc>
        <w:tc>
          <w:tcPr>
            <w:tcW w:w="3699" w:type="dxa"/>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99" w:type="dxa"/>
          </w:tcPr>
          <w:p>
            <w:pPr>
              <w:pStyle w:val="14"/>
              <w:spacing w:before="76"/>
              <w:ind w:left="7"/>
              <w:rPr>
                <w:rFonts w:ascii="Times New Roman"/>
                <w:sz w:val="21"/>
              </w:rPr>
            </w:pPr>
            <w:r>
              <w:rPr>
                <w:rFonts w:ascii="Times New Roman"/>
                <w:w w:val="99"/>
                <w:sz w:val="21"/>
              </w:rPr>
              <w:t>1</w:t>
            </w:r>
          </w:p>
        </w:tc>
        <w:tc>
          <w:tcPr>
            <w:tcW w:w="2589" w:type="dxa"/>
          </w:tcPr>
          <w:p>
            <w:pPr>
              <w:pStyle w:val="14"/>
              <w:spacing w:before="62"/>
              <w:ind w:left="662"/>
              <w:jc w:val="left"/>
              <w:rPr>
                <w:sz w:val="21"/>
              </w:rPr>
            </w:pPr>
            <w:r>
              <w:rPr>
                <w:sz w:val="21"/>
              </w:rPr>
              <w:t>生活污水处理</w:t>
            </w:r>
          </w:p>
        </w:tc>
        <w:tc>
          <w:tcPr>
            <w:tcW w:w="2199" w:type="dxa"/>
          </w:tcPr>
          <w:p>
            <w:pPr>
              <w:pStyle w:val="14"/>
              <w:spacing w:before="76"/>
              <w:ind w:left="342" w:right="332"/>
              <w:rPr>
                <w:rFonts w:ascii="Times New Roman"/>
                <w:sz w:val="21"/>
              </w:rPr>
            </w:pPr>
            <w:r>
              <w:rPr>
                <w:rFonts w:ascii="Times New Roman"/>
                <w:sz w:val="21"/>
              </w:rPr>
              <w:t>50</w:t>
            </w:r>
          </w:p>
        </w:tc>
        <w:tc>
          <w:tcPr>
            <w:tcW w:w="3699" w:type="dxa"/>
          </w:tcPr>
          <w:p>
            <w:pPr>
              <w:pStyle w:val="14"/>
              <w:spacing w:before="62"/>
              <w:ind w:left="146" w:right="141"/>
              <w:rPr>
                <w:sz w:val="21"/>
              </w:rPr>
            </w:pPr>
            <w:r>
              <w:rPr>
                <w:sz w:val="21"/>
              </w:rPr>
              <w:t>“三同时”工程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99" w:type="dxa"/>
          </w:tcPr>
          <w:p>
            <w:pPr>
              <w:pStyle w:val="14"/>
              <w:spacing w:before="77"/>
              <w:ind w:left="7"/>
              <w:rPr>
                <w:rFonts w:ascii="Times New Roman"/>
                <w:sz w:val="21"/>
              </w:rPr>
            </w:pPr>
            <w:r>
              <w:rPr>
                <w:rFonts w:ascii="Times New Roman"/>
                <w:w w:val="99"/>
                <w:sz w:val="21"/>
              </w:rPr>
              <w:t>2</w:t>
            </w:r>
          </w:p>
        </w:tc>
        <w:tc>
          <w:tcPr>
            <w:tcW w:w="2589" w:type="dxa"/>
          </w:tcPr>
          <w:p>
            <w:pPr>
              <w:pStyle w:val="14"/>
              <w:spacing w:before="63"/>
              <w:ind w:left="768"/>
              <w:jc w:val="left"/>
              <w:rPr>
                <w:sz w:val="21"/>
              </w:rPr>
            </w:pPr>
            <w:r>
              <w:rPr>
                <w:sz w:val="21"/>
              </w:rPr>
              <w:t>矿井水处理</w:t>
            </w:r>
          </w:p>
        </w:tc>
        <w:tc>
          <w:tcPr>
            <w:tcW w:w="2199" w:type="dxa"/>
          </w:tcPr>
          <w:p>
            <w:pPr>
              <w:pStyle w:val="14"/>
              <w:spacing w:before="77"/>
              <w:ind w:left="342" w:right="332"/>
              <w:rPr>
                <w:rFonts w:ascii="Times New Roman"/>
                <w:sz w:val="21"/>
              </w:rPr>
            </w:pPr>
            <w:r>
              <w:rPr>
                <w:rFonts w:ascii="Times New Roman"/>
                <w:sz w:val="21"/>
              </w:rPr>
              <w:t>80</w:t>
            </w:r>
          </w:p>
        </w:tc>
        <w:tc>
          <w:tcPr>
            <w:tcW w:w="3699" w:type="dxa"/>
          </w:tcPr>
          <w:p>
            <w:pPr>
              <w:pStyle w:val="14"/>
              <w:spacing w:before="63"/>
              <w:ind w:left="146" w:right="141"/>
              <w:rPr>
                <w:sz w:val="21"/>
              </w:rPr>
            </w:pPr>
            <w:r>
              <w:rPr>
                <w:sz w:val="21"/>
              </w:rPr>
              <w:t>“三同时”工程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99" w:type="dxa"/>
          </w:tcPr>
          <w:p>
            <w:pPr>
              <w:pStyle w:val="14"/>
              <w:spacing w:before="64"/>
              <w:ind w:left="5"/>
              <w:rPr>
                <w:sz w:val="21"/>
              </w:rPr>
            </w:pPr>
            <w:r>
              <w:rPr>
                <w:w w:val="99"/>
                <w:sz w:val="21"/>
              </w:rPr>
              <w:t>二</w:t>
            </w:r>
          </w:p>
        </w:tc>
        <w:tc>
          <w:tcPr>
            <w:tcW w:w="2589" w:type="dxa"/>
          </w:tcPr>
          <w:p>
            <w:pPr>
              <w:pStyle w:val="14"/>
              <w:spacing w:before="64"/>
              <w:ind w:left="662"/>
              <w:jc w:val="left"/>
              <w:rPr>
                <w:sz w:val="21"/>
              </w:rPr>
            </w:pPr>
            <w:r>
              <w:rPr>
                <w:sz w:val="21"/>
              </w:rPr>
              <w:t>大气污染防治</w:t>
            </w:r>
          </w:p>
        </w:tc>
        <w:tc>
          <w:tcPr>
            <w:tcW w:w="2199" w:type="dxa"/>
          </w:tcPr>
          <w:p>
            <w:pPr>
              <w:pStyle w:val="14"/>
              <w:spacing w:before="78"/>
              <w:ind w:left="342" w:right="332"/>
              <w:rPr>
                <w:rFonts w:ascii="Times New Roman"/>
                <w:sz w:val="21"/>
              </w:rPr>
            </w:pPr>
            <w:r>
              <w:rPr>
                <w:rFonts w:ascii="Times New Roman"/>
                <w:sz w:val="21"/>
              </w:rPr>
              <w:t>74</w:t>
            </w:r>
          </w:p>
        </w:tc>
        <w:tc>
          <w:tcPr>
            <w:tcW w:w="3699" w:type="dxa"/>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99" w:type="dxa"/>
          </w:tcPr>
          <w:p>
            <w:pPr>
              <w:pStyle w:val="14"/>
              <w:spacing w:before="76"/>
              <w:ind w:left="7"/>
              <w:rPr>
                <w:rFonts w:ascii="Times New Roman"/>
                <w:sz w:val="21"/>
              </w:rPr>
            </w:pPr>
            <w:r>
              <w:rPr>
                <w:rFonts w:ascii="Times New Roman"/>
                <w:w w:val="99"/>
                <w:sz w:val="21"/>
              </w:rPr>
              <w:t>1</w:t>
            </w:r>
          </w:p>
        </w:tc>
        <w:tc>
          <w:tcPr>
            <w:tcW w:w="2589" w:type="dxa"/>
          </w:tcPr>
          <w:p>
            <w:pPr>
              <w:pStyle w:val="14"/>
              <w:spacing w:before="63"/>
              <w:ind w:left="242"/>
              <w:jc w:val="left"/>
              <w:rPr>
                <w:sz w:val="21"/>
              </w:rPr>
            </w:pPr>
            <w:r>
              <w:rPr>
                <w:sz w:val="21"/>
              </w:rPr>
              <w:t>筛分、转载点粉尘治理</w:t>
            </w:r>
          </w:p>
        </w:tc>
        <w:tc>
          <w:tcPr>
            <w:tcW w:w="2199" w:type="dxa"/>
          </w:tcPr>
          <w:p>
            <w:pPr>
              <w:pStyle w:val="14"/>
              <w:spacing w:before="76"/>
              <w:ind w:left="342" w:right="332"/>
              <w:rPr>
                <w:rFonts w:ascii="Times New Roman"/>
                <w:sz w:val="21"/>
              </w:rPr>
            </w:pPr>
            <w:r>
              <w:rPr>
                <w:rFonts w:ascii="Times New Roman"/>
                <w:sz w:val="21"/>
              </w:rPr>
              <w:t>10</w:t>
            </w:r>
          </w:p>
        </w:tc>
        <w:tc>
          <w:tcPr>
            <w:tcW w:w="3699" w:type="dxa"/>
          </w:tcPr>
          <w:p>
            <w:pPr>
              <w:pStyle w:val="14"/>
              <w:spacing w:before="63"/>
              <w:ind w:left="146" w:right="141"/>
              <w:rPr>
                <w:sz w:val="21"/>
              </w:rPr>
            </w:pPr>
            <w:r>
              <w:rPr>
                <w:sz w:val="21"/>
              </w:rPr>
              <w:t>“三同时”工程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99" w:type="dxa"/>
          </w:tcPr>
          <w:p>
            <w:pPr>
              <w:pStyle w:val="14"/>
              <w:spacing w:before="77"/>
              <w:ind w:left="7"/>
              <w:rPr>
                <w:rFonts w:ascii="Times New Roman"/>
                <w:sz w:val="21"/>
              </w:rPr>
            </w:pPr>
            <w:r>
              <w:rPr>
                <w:rFonts w:ascii="Times New Roman"/>
                <w:w w:val="99"/>
                <w:sz w:val="21"/>
              </w:rPr>
              <w:t>2</w:t>
            </w:r>
          </w:p>
        </w:tc>
        <w:tc>
          <w:tcPr>
            <w:tcW w:w="2589" w:type="dxa"/>
          </w:tcPr>
          <w:p>
            <w:pPr>
              <w:pStyle w:val="14"/>
              <w:spacing w:before="63"/>
              <w:ind w:left="242"/>
              <w:jc w:val="left"/>
              <w:rPr>
                <w:sz w:val="21"/>
              </w:rPr>
            </w:pPr>
            <w:r>
              <w:rPr>
                <w:sz w:val="21"/>
              </w:rPr>
              <w:t>煤矸石转运场洒水抑尘</w:t>
            </w:r>
          </w:p>
        </w:tc>
        <w:tc>
          <w:tcPr>
            <w:tcW w:w="2199" w:type="dxa"/>
          </w:tcPr>
          <w:p>
            <w:pPr>
              <w:pStyle w:val="14"/>
              <w:spacing w:before="77"/>
              <w:ind w:left="342" w:right="332"/>
              <w:rPr>
                <w:rFonts w:ascii="Times New Roman"/>
                <w:sz w:val="21"/>
              </w:rPr>
            </w:pPr>
            <w:r>
              <w:rPr>
                <w:rFonts w:ascii="Times New Roman"/>
                <w:sz w:val="21"/>
              </w:rPr>
              <w:t>10</w:t>
            </w:r>
          </w:p>
        </w:tc>
        <w:tc>
          <w:tcPr>
            <w:tcW w:w="3699" w:type="dxa"/>
          </w:tcPr>
          <w:p>
            <w:pPr>
              <w:pStyle w:val="14"/>
              <w:spacing w:before="63"/>
              <w:ind w:left="146" w:right="141"/>
              <w:rPr>
                <w:sz w:val="21"/>
              </w:rPr>
            </w:pPr>
            <w:r>
              <w:rPr>
                <w:sz w:val="21"/>
              </w:rPr>
              <w:t>“三同时”工程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99" w:type="dxa"/>
          </w:tcPr>
          <w:p>
            <w:pPr>
              <w:pStyle w:val="14"/>
              <w:spacing w:before="76"/>
              <w:ind w:left="7"/>
              <w:rPr>
                <w:rFonts w:ascii="Times New Roman"/>
                <w:sz w:val="21"/>
              </w:rPr>
            </w:pPr>
            <w:r>
              <w:rPr>
                <w:rFonts w:ascii="Times New Roman"/>
                <w:w w:val="99"/>
                <w:sz w:val="21"/>
              </w:rPr>
              <w:t>3</w:t>
            </w:r>
          </w:p>
        </w:tc>
        <w:tc>
          <w:tcPr>
            <w:tcW w:w="2589" w:type="dxa"/>
          </w:tcPr>
          <w:p>
            <w:pPr>
              <w:pStyle w:val="14"/>
              <w:spacing w:before="62"/>
              <w:ind w:left="139"/>
              <w:jc w:val="left"/>
              <w:rPr>
                <w:sz w:val="21"/>
              </w:rPr>
            </w:pPr>
            <w:r>
              <w:rPr>
                <w:sz w:val="21"/>
              </w:rPr>
              <w:t>工业广场、道路扬尘治理</w:t>
            </w:r>
          </w:p>
        </w:tc>
        <w:tc>
          <w:tcPr>
            <w:tcW w:w="2199" w:type="dxa"/>
          </w:tcPr>
          <w:p>
            <w:pPr>
              <w:pStyle w:val="14"/>
              <w:spacing w:before="76"/>
              <w:ind w:left="342" w:right="335"/>
              <w:rPr>
                <w:rFonts w:ascii="Times New Roman"/>
                <w:sz w:val="21"/>
              </w:rPr>
            </w:pPr>
            <w:r>
              <w:rPr>
                <w:rFonts w:ascii="Times New Roman"/>
                <w:sz w:val="21"/>
              </w:rPr>
              <w:t>10</w:t>
            </w:r>
          </w:p>
        </w:tc>
        <w:tc>
          <w:tcPr>
            <w:tcW w:w="3699" w:type="dxa"/>
          </w:tcPr>
          <w:p>
            <w:pPr>
              <w:pStyle w:val="14"/>
              <w:spacing w:before="62"/>
              <w:ind w:left="146" w:right="141"/>
              <w:rPr>
                <w:sz w:val="21"/>
              </w:rPr>
            </w:pPr>
            <w:r>
              <w:rPr>
                <w:sz w:val="21"/>
              </w:rPr>
              <w:t>“三同时”工程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99" w:type="dxa"/>
          </w:tcPr>
          <w:p>
            <w:pPr>
              <w:pStyle w:val="14"/>
              <w:spacing w:before="77"/>
              <w:ind w:left="7"/>
              <w:rPr>
                <w:rFonts w:ascii="Times New Roman"/>
                <w:sz w:val="21"/>
              </w:rPr>
            </w:pPr>
            <w:r>
              <w:rPr>
                <w:rFonts w:ascii="Times New Roman"/>
                <w:w w:val="99"/>
                <w:sz w:val="21"/>
              </w:rPr>
              <w:t>4</w:t>
            </w:r>
          </w:p>
        </w:tc>
        <w:tc>
          <w:tcPr>
            <w:tcW w:w="2589" w:type="dxa"/>
          </w:tcPr>
          <w:p>
            <w:pPr>
              <w:pStyle w:val="14"/>
              <w:spacing w:before="63"/>
              <w:ind w:left="662"/>
              <w:jc w:val="left"/>
              <w:rPr>
                <w:sz w:val="21"/>
              </w:rPr>
            </w:pPr>
            <w:r>
              <w:rPr>
                <w:sz w:val="21"/>
              </w:rPr>
              <w:t>食堂油烟治理</w:t>
            </w:r>
          </w:p>
        </w:tc>
        <w:tc>
          <w:tcPr>
            <w:tcW w:w="2199" w:type="dxa"/>
          </w:tcPr>
          <w:p>
            <w:pPr>
              <w:pStyle w:val="14"/>
              <w:spacing w:before="77"/>
              <w:ind w:left="10"/>
              <w:rPr>
                <w:rFonts w:ascii="Times New Roman"/>
                <w:sz w:val="21"/>
              </w:rPr>
            </w:pPr>
            <w:r>
              <w:rPr>
                <w:rFonts w:ascii="Times New Roman"/>
                <w:w w:val="99"/>
                <w:sz w:val="21"/>
              </w:rPr>
              <w:t>4</w:t>
            </w:r>
          </w:p>
        </w:tc>
        <w:tc>
          <w:tcPr>
            <w:tcW w:w="3699" w:type="dxa"/>
          </w:tcPr>
          <w:p>
            <w:pPr>
              <w:pStyle w:val="14"/>
              <w:spacing w:before="63"/>
              <w:ind w:left="146" w:right="141"/>
              <w:rPr>
                <w:sz w:val="21"/>
              </w:rPr>
            </w:pPr>
            <w:r>
              <w:rPr>
                <w:sz w:val="21"/>
              </w:rPr>
              <w:t>“三同时”工程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99" w:type="dxa"/>
          </w:tcPr>
          <w:p>
            <w:pPr>
              <w:pStyle w:val="14"/>
              <w:spacing w:before="76"/>
              <w:ind w:left="7"/>
              <w:rPr>
                <w:rFonts w:ascii="Times New Roman"/>
                <w:sz w:val="21"/>
              </w:rPr>
            </w:pPr>
            <w:r>
              <w:rPr>
                <w:rFonts w:ascii="Times New Roman"/>
                <w:w w:val="99"/>
                <w:sz w:val="21"/>
              </w:rPr>
              <w:t>5</w:t>
            </w:r>
          </w:p>
        </w:tc>
        <w:tc>
          <w:tcPr>
            <w:tcW w:w="2589" w:type="dxa"/>
          </w:tcPr>
          <w:p>
            <w:pPr>
              <w:pStyle w:val="14"/>
              <w:spacing w:before="62"/>
              <w:ind w:left="242"/>
              <w:jc w:val="left"/>
              <w:rPr>
                <w:sz w:val="21"/>
              </w:rPr>
            </w:pPr>
            <w:r>
              <w:rPr>
                <w:sz w:val="21"/>
              </w:rPr>
              <w:t>锅炉及热风炉烟气净化</w:t>
            </w:r>
          </w:p>
        </w:tc>
        <w:tc>
          <w:tcPr>
            <w:tcW w:w="2199" w:type="dxa"/>
          </w:tcPr>
          <w:p>
            <w:pPr>
              <w:pStyle w:val="14"/>
              <w:spacing w:before="76"/>
              <w:ind w:left="342" w:right="332"/>
              <w:rPr>
                <w:rFonts w:ascii="Times New Roman"/>
                <w:sz w:val="21"/>
              </w:rPr>
            </w:pPr>
            <w:r>
              <w:rPr>
                <w:rFonts w:ascii="Times New Roman"/>
                <w:sz w:val="21"/>
              </w:rPr>
              <w:t>40</w:t>
            </w:r>
          </w:p>
        </w:tc>
        <w:tc>
          <w:tcPr>
            <w:tcW w:w="3699" w:type="dxa"/>
          </w:tcPr>
          <w:p>
            <w:pPr>
              <w:pStyle w:val="14"/>
              <w:spacing w:before="62"/>
              <w:ind w:left="146" w:right="141"/>
              <w:rPr>
                <w:sz w:val="21"/>
              </w:rPr>
            </w:pPr>
            <w:r>
              <w:rPr>
                <w:sz w:val="21"/>
              </w:rPr>
              <w:t>“三同时”工程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99" w:type="dxa"/>
          </w:tcPr>
          <w:p>
            <w:pPr>
              <w:pStyle w:val="14"/>
              <w:spacing w:before="63"/>
              <w:ind w:left="5"/>
              <w:rPr>
                <w:sz w:val="21"/>
              </w:rPr>
            </w:pPr>
            <w:r>
              <w:rPr>
                <w:w w:val="99"/>
                <w:sz w:val="21"/>
              </w:rPr>
              <w:t>三</w:t>
            </w:r>
          </w:p>
        </w:tc>
        <w:tc>
          <w:tcPr>
            <w:tcW w:w="2589" w:type="dxa"/>
          </w:tcPr>
          <w:p>
            <w:pPr>
              <w:pStyle w:val="14"/>
              <w:spacing w:before="63"/>
              <w:ind w:left="852" w:right="846"/>
              <w:rPr>
                <w:sz w:val="21"/>
              </w:rPr>
            </w:pPr>
            <w:r>
              <w:rPr>
                <w:sz w:val="21"/>
              </w:rPr>
              <w:t>噪声控制</w:t>
            </w:r>
          </w:p>
        </w:tc>
        <w:tc>
          <w:tcPr>
            <w:tcW w:w="2199" w:type="dxa"/>
          </w:tcPr>
          <w:p>
            <w:pPr>
              <w:pStyle w:val="14"/>
              <w:spacing w:before="77"/>
              <w:ind w:left="342" w:right="332"/>
              <w:rPr>
                <w:rFonts w:ascii="Times New Roman"/>
                <w:sz w:val="21"/>
              </w:rPr>
            </w:pPr>
            <w:r>
              <w:rPr>
                <w:rFonts w:ascii="Times New Roman"/>
                <w:sz w:val="21"/>
              </w:rPr>
              <w:t>20</w:t>
            </w:r>
          </w:p>
        </w:tc>
        <w:tc>
          <w:tcPr>
            <w:tcW w:w="3699" w:type="dxa"/>
          </w:tcPr>
          <w:p>
            <w:pPr>
              <w:pStyle w:val="14"/>
              <w:spacing w:before="63"/>
              <w:ind w:left="146" w:right="141"/>
              <w:rPr>
                <w:sz w:val="21"/>
              </w:rPr>
            </w:pPr>
            <w:r>
              <w:rPr>
                <w:sz w:val="21"/>
              </w:rPr>
              <w:t>“三同时”工程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99" w:type="dxa"/>
          </w:tcPr>
          <w:p>
            <w:pPr>
              <w:pStyle w:val="14"/>
              <w:spacing w:before="64"/>
              <w:ind w:left="5"/>
              <w:rPr>
                <w:sz w:val="21"/>
              </w:rPr>
            </w:pPr>
            <w:r>
              <w:rPr>
                <w:w w:val="99"/>
                <w:sz w:val="21"/>
              </w:rPr>
              <w:t>四</w:t>
            </w:r>
          </w:p>
        </w:tc>
        <w:tc>
          <w:tcPr>
            <w:tcW w:w="2589" w:type="dxa"/>
          </w:tcPr>
          <w:p>
            <w:pPr>
              <w:pStyle w:val="14"/>
              <w:spacing w:before="64"/>
              <w:ind w:left="401"/>
              <w:jc w:val="left"/>
              <w:rPr>
                <w:sz w:val="21"/>
              </w:rPr>
            </w:pPr>
            <w:r>
              <w:rPr>
                <w:sz w:val="21"/>
              </w:rPr>
              <w:t>固体废物污染防治</w:t>
            </w:r>
          </w:p>
        </w:tc>
        <w:tc>
          <w:tcPr>
            <w:tcW w:w="2199" w:type="dxa"/>
          </w:tcPr>
          <w:p>
            <w:pPr>
              <w:pStyle w:val="14"/>
              <w:spacing w:before="78"/>
              <w:ind w:left="342" w:right="332"/>
              <w:rPr>
                <w:rFonts w:ascii="Times New Roman"/>
                <w:sz w:val="21"/>
              </w:rPr>
            </w:pPr>
            <w:r>
              <w:rPr>
                <w:rFonts w:ascii="Times New Roman"/>
                <w:sz w:val="21"/>
              </w:rPr>
              <w:t>25</w:t>
            </w:r>
          </w:p>
        </w:tc>
        <w:tc>
          <w:tcPr>
            <w:tcW w:w="3699" w:type="dxa"/>
          </w:tcPr>
          <w:p>
            <w:pPr>
              <w:pStyle w:val="14"/>
              <w:spacing w:before="64"/>
              <w:ind w:left="146" w:right="141"/>
              <w:rPr>
                <w:sz w:val="21"/>
              </w:rPr>
            </w:pPr>
            <w:r>
              <w:rPr>
                <w:sz w:val="21"/>
              </w:rPr>
              <w:t>“三同时”工程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99" w:type="dxa"/>
          </w:tcPr>
          <w:p>
            <w:pPr>
              <w:pStyle w:val="14"/>
              <w:spacing w:before="62"/>
              <w:ind w:left="5"/>
              <w:rPr>
                <w:sz w:val="21"/>
              </w:rPr>
            </w:pPr>
            <w:r>
              <w:rPr>
                <w:w w:val="99"/>
                <w:sz w:val="21"/>
              </w:rPr>
              <w:t>五</w:t>
            </w:r>
          </w:p>
        </w:tc>
        <w:tc>
          <w:tcPr>
            <w:tcW w:w="2589" w:type="dxa"/>
          </w:tcPr>
          <w:p>
            <w:pPr>
              <w:pStyle w:val="14"/>
              <w:spacing w:before="62"/>
              <w:ind w:left="747" w:right="846"/>
              <w:rPr>
                <w:sz w:val="21"/>
              </w:rPr>
            </w:pPr>
            <w:r>
              <w:rPr>
                <w:sz w:val="21"/>
              </w:rPr>
              <w:t>绿化</w:t>
            </w:r>
          </w:p>
        </w:tc>
        <w:tc>
          <w:tcPr>
            <w:tcW w:w="2199" w:type="dxa"/>
          </w:tcPr>
          <w:p>
            <w:pPr>
              <w:pStyle w:val="14"/>
              <w:spacing w:before="76"/>
              <w:ind w:left="342" w:right="332"/>
              <w:rPr>
                <w:rFonts w:ascii="Times New Roman"/>
                <w:sz w:val="21"/>
              </w:rPr>
            </w:pPr>
            <w:r>
              <w:rPr>
                <w:rFonts w:ascii="Times New Roman"/>
                <w:sz w:val="21"/>
              </w:rPr>
              <w:t>30</w:t>
            </w:r>
          </w:p>
        </w:tc>
        <w:tc>
          <w:tcPr>
            <w:tcW w:w="3699" w:type="dxa"/>
          </w:tcPr>
          <w:p>
            <w:pPr>
              <w:pStyle w:val="14"/>
              <w:spacing w:before="62"/>
              <w:ind w:left="146" w:right="141"/>
              <w:rPr>
                <w:sz w:val="21"/>
              </w:rPr>
            </w:pPr>
            <w:r>
              <w:rPr>
                <w:sz w:val="21"/>
              </w:rPr>
              <w:t>“三同时”工程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99" w:type="dxa"/>
          </w:tcPr>
          <w:p>
            <w:pPr>
              <w:pStyle w:val="14"/>
              <w:spacing w:before="63"/>
              <w:ind w:left="5"/>
              <w:rPr>
                <w:sz w:val="21"/>
              </w:rPr>
            </w:pPr>
            <w:r>
              <w:rPr>
                <w:w w:val="99"/>
                <w:sz w:val="21"/>
              </w:rPr>
              <w:t>六</w:t>
            </w:r>
          </w:p>
        </w:tc>
        <w:tc>
          <w:tcPr>
            <w:tcW w:w="2589" w:type="dxa"/>
          </w:tcPr>
          <w:p>
            <w:pPr>
              <w:pStyle w:val="14"/>
              <w:spacing w:before="63"/>
              <w:ind w:left="453"/>
              <w:jc w:val="left"/>
              <w:rPr>
                <w:sz w:val="21"/>
              </w:rPr>
            </w:pPr>
            <w:r>
              <w:rPr>
                <w:sz w:val="21"/>
              </w:rPr>
              <w:t>环保设施运行费用</w:t>
            </w:r>
          </w:p>
        </w:tc>
        <w:tc>
          <w:tcPr>
            <w:tcW w:w="2199" w:type="dxa"/>
          </w:tcPr>
          <w:p>
            <w:pPr>
              <w:pStyle w:val="14"/>
              <w:spacing w:before="77"/>
              <w:ind w:left="342" w:right="332"/>
              <w:rPr>
                <w:rFonts w:ascii="Times New Roman"/>
                <w:sz w:val="21"/>
              </w:rPr>
            </w:pPr>
            <w:r>
              <w:rPr>
                <w:rFonts w:ascii="Times New Roman"/>
                <w:sz w:val="21"/>
              </w:rPr>
              <w:t>20</w:t>
            </w:r>
          </w:p>
        </w:tc>
        <w:tc>
          <w:tcPr>
            <w:tcW w:w="3699" w:type="dxa"/>
          </w:tcPr>
          <w:p>
            <w:pPr>
              <w:pStyle w:val="14"/>
              <w:spacing w:before="63"/>
              <w:ind w:left="146" w:right="141"/>
              <w:rPr>
                <w:sz w:val="21"/>
              </w:rPr>
            </w:pPr>
            <w:r>
              <w:rPr>
                <w:sz w:val="21"/>
              </w:rPr>
              <w:t>“三同时”工程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99" w:type="dxa"/>
          </w:tcPr>
          <w:p>
            <w:pPr>
              <w:pStyle w:val="14"/>
              <w:spacing w:before="62"/>
              <w:ind w:left="5"/>
              <w:rPr>
                <w:sz w:val="21"/>
              </w:rPr>
            </w:pPr>
            <w:r>
              <w:rPr>
                <w:w w:val="99"/>
                <w:sz w:val="21"/>
              </w:rPr>
              <w:t>七</w:t>
            </w:r>
          </w:p>
        </w:tc>
        <w:tc>
          <w:tcPr>
            <w:tcW w:w="2589" w:type="dxa"/>
          </w:tcPr>
          <w:p>
            <w:pPr>
              <w:pStyle w:val="14"/>
              <w:spacing w:before="62"/>
              <w:ind w:left="852" w:right="846"/>
              <w:rPr>
                <w:sz w:val="21"/>
              </w:rPr>
            </w:pPr>
            <w:r>
              <w:rPr>
                <w:sz w:val="21"/>
              </w:rPr>
              <w:t>预备费用</w:t>
            </w:r>
          </w:p>
        </w:tc>
        <w:tc>
          <w:tcPr>
            <w:tcW w:w="2199" w:type="dxa"/>
          </w:tcPr>
          <w:p>
            <w:pPr>
              <w:pStyle w:val="14"/>
              <w:spacing w:before="76"/>
              <w:ind w:left="342" w:right="332"/>
              <w:rPr>
                <w:rFonts w:ascii="Times New Roman"/>
                <w:sz w:val="21"/>
              </w:rPr>
            </w:pPr>
            <w:r>
              <w:rPr>
                <w:rFonts w:ascii="Times New Roman"/>
                <w:sz w:val="21"/>
              </w:rPr>
              <w:t>29.9</w:t>
            </w:r>
          </w:p>
        </w:tc>
        <w:tc>
          <w:tcPr>
            <w:tcW w:w="3699" w:type="dxa"/>
          </w:tcPr>
          <w:p>
            <w:pPr>
              <w:pStyle w:val="14"/>
              <w:spacing w:before="62"/>
              <w:ind w:left="148" w:right="139"/>
              <w:rPr>
                <w:rFonts w:ascii="Times New Roman" w:eastAsia="Times New Roman"/>
                <w:sz w:val="21"/>
              </w:rPr>
            </w:pPr>
            <w:r>
              <w:rPr>
                <w:sz w:val="21"/>
              </w:rPr>
              <w:t xml:space="preserve">前六项的 </w:t>
            </w:r>
            <w:r>
              <w:rPr>
                <w:rFonts w:ascii="Times New Roman" w:eastAsia="Times New Roman"/>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799" w:type="dxa"/>
          </w:tcPr>
          <w:p>
            <w:pPr>
              <w:pStyle w:val="14"/>
              <w:spacing w:before="63"/>
              <w:ind w:left="5"/>
              <w:rPr>
                <w:sz w:val="21"/>
              </w:rPr>
            </w:pPr>
            <w:r>
              <w:rPr>
                <w:w w:val="99"/>
                <w:sz w:val="21"/>
              </w:rPr>
              <w:t>八</w:t>
            </w:r>
          </w:p>
        </w:tc>
        <w:tc>
          <w:tcPr>
            <w:tcW w:w="2589" w:type="dxa"/>
          </w:tcPr>
          <w:p>
            <w:pPr>
              <w:pStyle w:val="14"/>
              <w:spacing w:before="63"/>
              <w:ind w:left="852" w:right="846"/>
              <w:rPr>
                <w:sz w:val="21"/>
              </w:rPr>
            </w:pPr>
            <w:r>
              <w:rPr>
                <w:sz w:val="21"/>
              </w:rPr>
              <w:t>其他费用</w:t>
            </w:r>
          </w:p>
        </w:tc>
        <w:tc>
          <w:tcPr>
            <w:tcW w:w="2199" w:type="dxa"/>
          </w:tcPr>
          <w:p>
            <w:pPr>
              <w:pStyle w:val="14"/>
              <w:spacing w:before="77"/>
              <w:ind w:left="342" w:right="330"/>
              <w:rPr>
                <w:rFonts w:ascii="Times New Roman"/>
                <w:sz w:val="21"/>
              </w:rPr>
            </w:pPr>
            <w:r>
              <w:rPr>
                <w:rFonts w:ascii="Times New Roman"/>
                <w:sz w:val="21"/>
              </w:rPr>
              <w:t>186.0125</w:t>
            </w:r>
          </w:p>
        </w:tc>
        <w:tc>
          <w:tcPr>
            <w:tcW w:w="3699" w:type="dxa"/>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99" w:type="dxa"/>
          </w:tcPr>
          <w:p>
            <w:pPr>
              <w:pStyle w:val="14"/>
              <w:spacing w:before="78"/>
              <w:ind w:left="7"/>
              <w:rPr>
                <w:rFonts w:ascii="Times New Roman"/>
                <w:sz w:val="21"/>
              </w:rPr>
            </w:pPr>
            <w:r>
              <w:rPr>
                <w:rFonts w:ascii="Times New Roman"/>
                <w:w w:val="99"/>
                <w:sz w:val="21"/>
              </w:rPr>
              <w:t>1</w:t>
            </w:r>
          </w:p>
        </w:tc>
        <w:tc>
          <w:tcPr>
            <w:tcW w:w="2589" w:type="dxa"/>
          </w:tcPr>
          <w:p>
            <w:pPr>
              <w:pStyle w:val="14"/>
              <w:spacing w:before="64"/>
              <w:ind w:left="295"/>
              <w:jc w:val="left"/>
              <w:rPr>
                <w:sz w:val="21"/>
              </w:rPr>
            </w:pPr>
            <w:r>
              <w:rPr>
                <w:sz w:val="21"/>
              </w:rPr>
              <w:t>环境治理和土地复垦</w:t>
            </w:r>
          </w:p>
        </w:tc>
        <w:tc>
          <w:tcPr>
            <w:tcW w:w="2199" w:type="dxa"/>
          </w:tcPr>
          <w:p>
            <w:pPr>
              <w:pStyle w:val="14"/>
              <w:spacing w:before="78"/>
              <w:ind w:left="342" w:right="330"/>
              <w:rPr>
                <w:rFonts w:ascii="Times New Roman"/>
                <w:sz w:val="21"/>
              </w:rPr>
            </w:pPr>
            <w:r>
              <w:rPr>
                <w:rFonts w:ascii="Times New Roman"/>
                <w:sz w:val="21"/>
              </w:rPr>
              <w:t>186.0125</w:t>
            </w:r>
          </w:p>
        </w:tc>
        <w:tc>
          <w:tcPr>
            <w:tcW w:w="3699" w:type="dxa"/>
          </w:tcPr>
          <w:p>
            <w:pPr>
              <w:pStyle w:val="14"/>
              <w:spacing w:before="64"/>
              <w:ind w:left="148" w:right="141"/>
              <w:rPr>
                <w:sz w:val="21"/>
              </w:rPr>
            </w:pPr>
            <w:r>
              <w:rPr>
                <w:sz w:val="21"/>
              </w:rPr>
              <w:t>不纳入“三同时”工程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99" w:type="dxa"/>
          </w:tcPr>
          <w:p>
            <w:pPr>
              <w:pStyle w:val="14"/>
              <w:spacing w:before="63"/>
              <w:ind w:left="168" w:right="160"/>
              <w:rPr>
                <w:sz w:val="21"/>
              </w:rPr>
            </w:pPr>
            <w:r>
              <w:rPr>
                <w:sz w:val="21"/>
              </w:rPr>
              <w:t>合计</w:t>
            </w:r>
          </w:p>
        </w:tc>
        <w:tc>
          <w:tcPr>
            <w:tcW w:w="2589" w:type="dxa"/>
          </w:tcPr>
          <w:p>
            <w:pPr>
              <w:pStyle w:val="14"/>
              <w:spacing w:before="63"/>
              <w:ind w:left="609"/>
              <w:jc w:val="left"/>
              <w:rPr>
                <w:sz w:val="21"/>
              </w:rPr>
            </w:pPr>
            <w:r>
              <w:rPr>
                <w:sz w:val="21"/>
              </w:rPr>
              <w:t>环境工程投资</w:t>
            </w:r>
          </w:p>
        </w:tc>
        <w:tc>
          <w:tcPr>
            <w:tcW w:w="2199" w:type="dxa"/>
          </w:tcPr>
          <w:p>
            <w:pPr>
              <w:pStyle w:val="14"/>
              <w:spacing w:before="76"/>
              <w:ind w:left="243" w:right="336"/>
              <w:rPr>
                <w:rFonts w:ascii="Times New Roman"/>
                <w:sz w:val="21"/>
              </w:rPr>
            </w:pPr>
            <w:r>
              <w:rPr>
                <w:rFonts w:ascii="Times New Roman"/>
                <w:sz w:val="21"/>
              </w:rPr>
              <w:t>328.9</w:t>
            </w:r>
          </w:p>
        </w:tc>
        <w:tc>
          <w:tcPr>
            <w:tcW w:w="3699" w:type="dxa"/>
          </w:tcPr>
          <w:p>
            <w:pPr>
              <w:pStyle w:val="14"/>
              <w:spacing w:before="63"/>
              <w:ind w:left="148" w:right="141"/>
              <w:rPr>
                <w:sz w:val="21"/>
              </w:rPr>
            </w:pPr>
            <w:r>
              <w:rPr>
                <w:sz w:val="21"/>
              </w:rPr>
              <w:t>“三同时”工程投资，不包含第八项</w:t>
            </w:r>
          </w:p>
        </w:tc>
      </w:tr>
    </w:tbl>
    <w:p>
      <w:pPr>
        <w:pStyle w:val="6"/>
        <w:spacing w:before="2" w:line="362" w:lineRule="auto"/>
        <w:ind w:left="220" w:right="338" w:firstLine="480"/>
        <w:jc w:val="both"/>
      </w:pPr>
      <w:r>
        <w:rPr>
          <w:spacing w:val="-7"/>
        </w:rPr>
        <w:t xml:space="preserve">本项目建设总投资 </w:t>
      </w:r>
      <w:r>
        <w:rPr>
          <w:rFonts w:ascii="Times New Roman" w:eastAsia="Times New Roman"/>
        </w:rPr>
        <w:t xml:space="preserve">6755.07 </w:t>
      </w:r>
      <w:r>
        <w:rPr>
          <w:spacing w:val="-12"/>
        </w:rPr>
        <w:t xml:space="preserve">万元，环保工程投资 </w:t>
      </w:r>
      <w:r>
        <w:rPr>
          <w:rFonts w:ascii="Times New Roman" w:eastAsia="Times New Roman"/>
        </w:rPr>
        <w:t xml:space="preserve">328.9 </w:t>
      </w:r>
      <w:r>
        <w:rPr>
          <w:spacing w:val="-6"/>
        </w:rPr>
        <w:t xml:space="preserve">万元，项目环保工程投资占项目建设总投资的比例为 </w:t>
      </w:r>
      <w:r>
        <w:rPr>
          <w:rFonts w:ascii="Times New Roman" w:eastAsia="Times New Roman"/>
        </w:rPr>
        <w:t>4.87%</w:t>
      </w:r>
      <w:r>
        <w:t>。</w:t>
      </w:r>
    </w:p>
    <w:p>
      <w:pPr>
        <w:pStyle w:val="4"/>
        <w:numPr>
          <w:ilvl w:val="1"/>
          <w:numId w:val="108"/>
        </w:numPr>
        <w:tabs>
          <w:tab w:val="left" w:pos="852"/>
        </w:tabs>
        <w:spacing w:before="6" w:after="0" w:line="240" w:lineRule="auto"/>
        <w:ind w:left="852" w:right="0" w:hanging="632"/>
        <w:jc w:val="left"/>
      </w:pPr>
      <w:bookmarkStart w:id="1283" w:name="_bookmark94"/>
      <w:bookmarkEnd w:id="1283"/>
      <w:bookmarkStart w:id="1284" w:name="_bookmark94"/>
      <w:bookmarkEnd w:id="1284"/>
      <w:bookmarkStart w:id="1285" w:name="16.2 环境经济效益分析与评价"/>
      <w:bookmarkEnd w:id="1285"/>
      <w:r>
        <w:t>环境经济效益分析与评价</w:t>
      </w:r>
    </w:p>
    <w:p>
      <w:pPr>
        <w:pStyle w:val="5"/>
        <w:numPr>
          <w:ilvl w:val="2"/>
          <w:numId w:val="108"/>
        </w:numPr>
        <w:tabs>
          <w:tab w:val="left" w:pos="881"/>
        </w:tabs>
        <w:spacing w:before="186" w:after="0" w:line="240" w:lineRule="auto"/>
        <w:ind w:left="880" w:right="0" w:hanging="661"/>
        <w:jc w:val="left"/>
        <w:rPr>
          <w:rFonts w:ascii="Times New Roman" w:eastAsia="Times New Roman"/>
        </w:rPr>
      </w:pPr>
      <w:bookmarkStart w:id="1286" w:name="16.2.1环境效益分析"/>
      <w:bookmarkEnd w:id="1286"/>
      <w:bookmarkStart w:id="1287" w:name="16.2.1环境效益分析"/>
      <w:bookmarkEnd w:id="1287"/>
      <w:r>
        <w:t>环境效益分析</w:t>
      </w:r>
    </w:p>
    <w:p>
      <w:pPr>
        <w:pStyle w:val="6"/>
        <w:spacing w:before="158" w:line="364" w:lineRule="auto"/>
        <w:ind w:left="220" w:right="338" w:firstLine="470"/>
        <w:jc w:val="both"/>
      </w:pPr>
      <w:r>
        <w:t>尽管本项目采取了比较完善的环境保护措施，但投入运行后仍然存在</w:t>
      </w:r>
      <w:r>
        <w:rPr>
          <w:rFonts w:ascii="Times New Roman" w:hAnsi="Times New Roman" w:eastAsia="Times New Roman"/>
        </w:rPr>
        <w:t>“</w:t>
      </w:r>
      <w:r>
        <w:t>三废</w:t>
      </w:r>
      <w:r>
        <w:rPr>
          <w:rFonts w:ascii="Times New Roman" w:hAnsi="Times New Roman" w:eastAsia="Times New Roman"/>
        </w:rPr>
        <w:t>”</w:t>
      </w:r>
      <w:r>
        <w:t>和噪声排放。也将不可避免地形成地表塌陷，因此对周围环境空气、地面水、地下水、声学环境、生态环境质量会带来一定程度的负面影响。另一方面本工程建成后将向社会提供低硫的产品，符合国家的产业政策和环保政策，具有积极的环保意义。</w:t>
      </w:r>
    </w:p>
    <w:p>
      <w:pPr>
        <w:pStyle w:val="5"/>
        <w:numPr>
          <w:ilvl w:val="2"/>
          <w:numId w:val="108"/>
        </w:numPr>
        <w:tabs>
          <w:tab w:val="left" w:pos="881"/>
        </w:tabs>
        <w:spacing w:before="0" w:after="0" w:line="305" w:lineRule="exact"/>
        <w:ind w:left="880" w:right="0" w:hanging="661"/>
        <w:jc w:val="left"/>
        <w:rPr>
          <w:rFonts w:ascii="Times New Roman" w:eastAsia="Times New Roman"/>
        </w:rPr>
      </w:pPr>
      <w:bookmarkStart w:id="1288" w:name="16.2.2社会效益分析"/>
      <w:bookmarkEnd w:id="1288"/>
      <w:bookmarkStart w:id="1289" w:name="16.2.2社会效益分析"/>
      <w:bookmarkEnd w:id="1289"/>
      <w:r>
        <w:t>社会效益分析</w:t>
      </w:r>
    </w:p>
    <w:p>
      <w:pPr>
        <w:pStyle w:val="6"/>
        <w:spacing w:before="160"/>
        <w:ind w:left="780"/>
      </w:pPr>
      <w:r>
        <w:t>（</w:t>
      </w:r>
      <w:r>
        <w:rPr>
          <w:spacing w:val="-80"/>
        </w:rPr>
        <w:t xml:space="preserve"> </w:t>
      </w:r>
      <w:r>
        <w:rPr>
          <w:rFonts w:ascii="Times New Roman" w:eastAsia="Times New Roman"/>
          <w:spacing w:val="9"/>
        </w:rPr>
        <w:t>1</w:t>
      </w:r>
      <w:r>
        <w:rPr>
          <w:spacing w:val="9"/>
        </w:rPr>
        <w:t>）</w:t>
      </w:r>
      <w:r>
        <w:rPr>
          <w:spacing w:val="26"/>
        </w:rPr>
        <w:t xml:space="preserve"> 项目建设符合国家产业政策和环境保护政策</w:t>
      </w:r>
    </w:p>
    <w:p>
      <w:pPr>
        <w:spacing w:after="0"/>
        <w:sectPr>
          <w:footerReference r:id="rId34" w:type="default"/>
          <w:pgSz w:w="11910" w:h="16840"/>
          <w:pgMar w:top="1360" w:right="1020" w:bottom="1100" w:left="1140" w:header="0" w:footer="917" w:gutter="0"/>
          <w:pgNumType w:start="200"/>
        </w:sectPr>
      </w:pPr>
    </w:p>
    <w:p>
      <w:pPr>
        <w:pStyle w:val="6"/>
        <w:spacing w:before="41" w:line="362" w:lineRule="auto"/>
        <w:ind w:left="220" w:right="218" w:firstLine="480"/>
      </w:pPr>
      <w:r>
        <w:t>目前我国煤炭供应严重短缺，优质动力煤和化工原料煤供应不足，影响了经济的发</w:t>
      </w:r>
      <w:r>
        <w:rPr>
          <w:spacing w:val="-12"/>
        </w:rPr>
        <w:t xml:space="preserve">展。因此本项目建成后每年将向社会提供 </w:t>
      </w:r>
      <w:r>
        <w:rPr>
          <w:rFonts w:ascii="Times New Roman" w:eastAsia="Times New Roman"/>
        </w:rPr>
        <w:t xml:space="preserve">30 </w:t>
      </w:r>
      <w:r>
        <w:rPr>
          <w:spacing w:val="-30"/>
        </w:rPr>
        <w:t xml:space="preserve">万 </w:t>
      </w:r>
      <w:r>
        <w:rPr>
          <w:rFonts w:ascii="Times New Roman" w:eastAsia="Times New Roman"/>
        </w:rPr>
        <w:t xml:space="preserve">t </w:t>
      </w:r>
      <w:r>
        <w:rPr>
          <w:spacing w:val="-9"/>
        </w:rPr>
        <w:t>优质煤，项目开发符合国家的产业政策。</w:t>
      </w:r>
    </w:p>
    <w:p>
      <w:pPr>
        <w:pStyle w:val="6"/>
        <w:spacing w:before="5"/>
        <w:ind w:left="700"/>
      </w:pPr>
      <w:r>
        <w:t>（</w:t>
      </w:r>
      <w:r>
        <w:rPr>
          <w:spacing w:val="-80"/>
        </w:rPr>
        <w:t xml:space="preserve"> </w:t>
      </w:r>
      <w:r>
        <w:rPr>
          <w:rFonts w:ascii="Times New Roman" w:eastAsia="Times New Roman"/>
          <w:spacing w:val="9"/>
        </w:rPr>
        <w:t>2</w:t>
      </w:r>
      <w:r>
        <w:rPr>
          <w:spacing w:val="9"/>
        </w:rPr>
        <w:t>）</w:t>
      </w:r>
      <w:r>
        <w:rPr>
          <w:spacing w:val="22"/>
        </w:rPr>
        <w:t xml:space="preserve"> 项目建设对就业的影响</w:t>
      </w:r>
    </w:p>
    <w:p>
      <w:pPr>
        <w:pStyle w:val="6"/>
        <w:spacing w:before="161" w:line="364" w:lineRule="auto"/>
        <w:ind w:left="220" w:right="218" w:firstLine="470"/>
      </w:pPr>
      <w:r>
        <w:t>本工程投入运行后可直接产生多个为矿井生产提供服务的岗位，这对改善当地的就业状况、促进社会稳定有积极意义。但建设单位应尽可能地安排附近农民从事与矿井生</w:t>
      </w:r>
      <w:r>
        <w:rPr>
          <w:spacing w:val="-5"/>
        </w:rPr>
        <w:t xml:space="preserve">产相关的服务性行业，并且从严把关。对于确实不能安排的，也要尽可能围绕煤矿生产， </w:t>
      </w:r>
      <w:r>
        <w:t>引导并为当地农民创造就业条件，充分利用煤炭开采过程中形成的矿井涌水、矸石，进行综合性开发，补偿提高受影响农民的收入。</w:t>
      </w:r>
    </w:p>
    <w:p>
      <w:pPr>
        <w:pStyle w:val="6"/>
        <w:spacing w:line="303" w:lineRule="exact"/>
        <w:ind w:left="691"/>
      </w:pPr>
      <w:r>
        <w:t>（</w:t>
      </w:r>
      <w:r>
        <w:rPr>
          <w:rFonts w:ascii="Times New Roman" w:eastAsia="Times New Roman"/>
        </w:rPr>
        <w:t>3</w:t>
      </w:r>
      <w:r>
        <w:t>）项目建设对促进当地经济发展的意义</w:t>
      </w:r>
    </w:p>
    <w:p>
      <w:pPr>
        <w:pStyle w:val="6"/>
        <w:spacing w:before="160" w:line="364" w:lineRule="auto"/>
        <w:ind w:left="220" w:right="338" w:firstLine="470"/>
        <w:jc w:val="both"/>
      </w:pPr>
      <w:r>
        <w:t xml:space="preserve">本工程建成后每年销售收入 </w:t>
      </w:r>
      <w:r>
        <w:rPr>
          <w:rFonts w:ascii="Times New Roman" w:eastAsia="Times New Roman"/>
        </w:rPr>
        <w:t xml:space="preserve">15080 </w:t>
      </w:r>
      <w:r>
        <w:t>万元，这对带动经济发展具有重要意义。项目建设也将使当地的商业、医疗卫生条件和文化教育设施得到不同程度的改善，这将间接地促进当地经济的发展。此外本工程建成后，可以利用建成的供电、供水、供热和交通基础设施，以及工程余水、余渣，进行区域性农业经济开发，改善当地居民的生活质量。</w:t>
      </w:r>
    </w:p>
    <w:p>
      <w:pPr>
        <w:pStyle w:val="5"/>
        <w:numPr>
          <w:ilvl w:val="2"/>
          <w:numId w:val="108"/>
        </w:numPr>
        <w:tabs>
          <w:tab w:val="left" w:pos="881"/>
        </w:tabs>
        <w:spacing w:before="0" w:after="0" w:line="305" w:lineRule="exact"/>
        <w:ind w:left="880" w:right="0" w:hanging="661"/>
        <w:jc w:val="left"/>
        <w:rPr>
          <w:rFonts w:ascii="Times New Roman" w:eastAsia="Times New Roman"/>
        </w:rPr>
      </w:pPr>
      <w:bookmarkStart w:id="1290" w:name="16.2.3经济效益评价"/>
      <w:bookmarkEnd w:id="1290"/>
      <w:bookmarkStart w:id="1291" w:name="16.2.3经济效益评价"/>
      <w:bookmarkEnd w:id="1291"/>
      <w:r>
        <w:t>经济效益评价</w:t>
      </w:r>
    </w:p>
    <w:p>
      <w:pPr>
        <w:pStyle w:val="6"/>
        <w:spacing w:before="161" w:line="364" w:lineRule="auto"/>
        <w:ind w:left="220" w:right="338" w:firstLine="470"/>
        <w:jc w:val="both"/>
      </w:pPr>
      <w:r>
        <w:rPr>
          <w:spacing w:val="-6"/>
        </w:rPr>
        <w:t xml:space="preserve">本矿井年平均税后利润 </w:t>
      </w:r>
      <w:r>
        <w:rPr>
          <w:rFonts w:ascii="Times New Roman" w:eastAsia="Times New Roman"/>
        </w:rPr>
        <w:t xml:space="preserve">3899.15 </w:t>
      </w:r>
      <w:r>
        <w:rPr>
          <w:spacing w:val="-8"/>
        </w:rPr>
        <w:t>万元，动态投资回收期</w:t>
      </w:r>
      <w:r>
        <w:t>（含建设期</w:t>
      </w:r>
      <w:r>
        <w:rPr>
          <w:spacing w:val="-6"/>
        </w:rPr>
        <w:t>）</w:t>
      </w:r>
      <w:r>
        <w:rPr>
          <w:rFonts w:ascii="Times New Roman" w:eastAsia="Times New Roman"/>
          <w:spacing w:val="-6"/>
        </w:rPr>
        <w:t xml:space="preserve">4.15 </w:t>
      </w:r>
      <w:r>
        <w:rPr>
          <w:spacing w:val="-10"/>
        </w:rPr>
        <w:t>年，本项目</w:t>
      </w:r>
      <w:r>
        <w:t>的各项财务评价指标，均满足煤炭行业的基准要求，并具有较强的盈利能力和抗风险能力。该项目资源可靠，生产技术成熟，产品市场看好。综合来看项目经济效益较好，从经济角度看本工程是可行的。</w:t>
      </w:r>
    </w:p>
    <w:p>
      <w:pPr>
        <w:pStyle w:val="4"/>
        <w:numPr>
          <w:ilvl w:val="1"/>
          <w:numId w:val="108"/>
        </w:numPr>
        <w:tabs>
          <w:tab w:val="left" w:pos="780"/>
        </w:tabs>
        <w:spacing w:before="0" w:after="0" w:line="357" w:lineRule="exact"/>
        <w:ind w:left="780" w:right="0" w:hanging="560"/>
        <w:jc w:val="left"/>
      </w:pPr>
      <w:bookmarkStart w:id="1292" w:name="16.3环境经济损益简要分析"/>
      <w:bookmarkEnd w:id="1292"/>
      <w:bookmarkStart w:id="1293" w:name="_bookmark95"/>
      <w:bookmarkEnd w:id="1293"/>
      <w:bookmarkStart w:id="1294" w:name="_bookmark95"/>
      <w:bookmarkEnd w:id="1294"/>
      <w:r>
        <w:t>环境经济损益简要分析</w:t>
      </w:r>
    </w:p>
    <w:p>
      <w:pPr>
        <w:pStyle w:val="5"/>
        <w:numPr>
          <w:ilvl w:val="2"/>
          <w:numId w:val="108"/>
        </w:numPr>
        <w:tabs>
          <w:tab w:val="left" w:pos="881"/>
        </w:tabs>
        <w:spacing w:before="185" w:after="0" w:line="240" w:lineRule="auto"/>
        <w:ind w:left="880" w:right="0" w:hanging="661"/>
        <w:jc w:val="left"/>
        <w:rPr>
          <w:rFonts w:ascii="Times New Roman" w:eastAsia="Times New Roman"/>
        </w:rPr>
      </w:pPr>
      <w:bookmarkStart w:id="1295" w:name="16.3.1环保费用的确定和估算"/>
      <w:bookmarkEnd w:id="1295"/>
      <w:bookmarkStart w:id="1296" w:name="16.3.1环保费用的确定和估算"/>
      <w:bookmarkEnd w:id="1296"/>
      <w:r>
        <w:t>环保费用的确定和估算</w:t>
      </w:r>
    </w:p>
    <w:p>
      <w:pPr>
        <w:pStyle w:val="6"/>
        <w:spacing w:before="158"/>
        <w:ind w:left="700"/>
      </w:pPr>
      <w:r>
        <w:t>环保费用一般可分为外部费用和内部费用，用下式表示：</w:t>
      </w:r>
    </w:p>
    <w:p>
      <w:pPr>
        <w:pStyle w:val="6"/>
        <w:spacing w:before="157"/>
        <w:ind w:left="1180"/>
        <w:rPr>
          <w:rFonts w:ascii="Times New Roman"/>
        </w:rPr>
      </w:pPr>
      <w:r>
        <w:rPr>
          <w:rFonts w:ascii="Times New Roman"/>
        </w:rPr>
        <w:t>Et=Et(O)+Et(I)</w:t>
      </w:r>
    </w:p>
    <w:p>
      <w:pPr>
        <w:pStyle w:val="6"/>
        <w:spacing w:before="140" w:line="364" w:lineRule="auto"/>
        <w:ind w:left="1809" w:right="4254" w:hanging="629"/>
      </w:pPr>
      <w:r>
        <w:t>式中：</w:t>
      </w:r>
      <w:r>
        <w:rPr>
          <w:rFonts w:ascii="Times New Roman" w:hAnsi="Times New Roman" w:eastAsia="Times New Roman"/>
        </w:rPr>
        <w:t>Et—</w:t>
      </w:r>
      <w:r>
        <w:t xml:space="preserve">环境保护费用（万元） </w:t>
      </w:r>
      <w:r>
        <w:rPr>
          <w:rFonts w:ascii="Times New Roman" w:hAnsi="Times New Roman" w:eastAsia="Times New Roman"/>
        </w:rPr>
        <w:t>Et(O)—</w:t>
      </w:r>
      <w:r>
        <w:t xml:space="preserve">环境保护外部费用（万元） </w:t>
      </w:r>
      <w:r>
        <w:rPr>
          <w:rFonts w:ascii="Times New Roman" w:hAnsi="Times New Roman" w:eastAsia="Times New Roman"/>
        </w:rPr>
        <w:t>Et(I)—</w:t>
      </w:r>
      <w:r>
        <w:t>环境保护内部费用（万元）</w:t>
      </w:r>
    </w:p>
    <w:p>
      <w:pPr>
        <w:pStyle w:val="13"/>
        <w:numPr>
          <w:ilvl w:val="3"/>
          <w:numId w:val="108"/>
        </w:numPr>
        <w:tabs>
          <w:tab w:val="left" w:pos="1302"/>
        </w:tabs>
        <w:spacing w:before="0" w:after="0" w:line="307" w:lineRule="exact"/>
        <w:ind w:left="1301" w:right="0" w:hanging="602"/>
        <w:jc w:val="left"/>
        <w:rPr>
          <w:sz w:val="24"/>
        </w:rPr>
      </w:pPr>
      <w:r>
        <w:rPr>
          <w:sz w:val="24"/>
        </w:rPr>
        <w:t>外部费用的确定与估算</w:t>
      </w:r>
    </w:p>
    <w:p>
      <w:pPr>
        <w:pStyle w:val="6"/>
        <w:spacing w:before="158" w:line="364" w:lineRule="auto"/>
        <w:ind w:left="220" w:right="338" w:firstLine="480"/>
      </w:pPr>
      <w:r>
        <w:t>外部费用是指由于项目开发形成对环境损害所带来的费用，主要为矿山地质环境保</w:t>
      </w:r>
      <w:r>
        <w:rPr>
          <w:spacing w:val="-8"/>
        </w:rPr>
        <w:t xml:space="preserve">护费用和土地复垦费用，矿山地质环境保护估算动态总投资为 </w:t>
      </w:r>
      <w:r>
        <w:rPr>
          <w:rFonts w:ascii="Times New Roman" w:eastAsia="Times New Roman"/>
        </w:rPr>
        <w:t xml:space="preserve">41.1422 </w:t>
      </w:r>
      <w:r>
        <w:rPr>
          <w:spacing w:val="-10"/>
        </w:rPr>
        <w:t>万元，矿山土地复</w:t>
      </w:r>
    </w:p>
    <w:p>
      <w:pPr>
        <w:pStyle w:val="6"/>
        <w:spacing w:line="306" w:lineRule="exact"/>
        <w:ind w:left="220"/>
      </w:pPr>
      <w:r>
        <w:rPr>
          <w:spacing w:val="-9"/>
        </w:rPr>
        <w:t xml:space="preserve">垦估算投资为 </w:t>
      </w:r>
      <w:r>
        <w:rPr>
          <w:rFonts w:ascii="Times New Roman" w:eastAsia="Times New Roman"/>
        </w:rPr>
        <w:t xml:space="preserve">144.8703 </w:t>
      </w:r>
      <w:r>
        <w:rPr>
          <w:spacing w:val="-10"/>
        </w:rPr>
        <w:t xml:space="preserve">万元，总计 </w:t>
      </w:r>
      <w:r>
        <w:rPr>
          <w:rFonts w:ascii="Times New Roman" w:eastAsia="Times New Roman"/>
        </w:rPr>
        <w:t xml:space="preserve">186.0125 </w:t>
      </w:r>
      <w:r>
        <w:rPr>
          <w:spacing w:val="-5"/>
        </w:rPr>
        <w:t xml:space="preserve">万元，分摊到每年外部费用为 </w:t>
      </w:r>
      <w:r>
        <w:rPr>
          <w:rFonts w:ascii="Times New Roman" w:eastAsia="Times New Roman"/>
        </w:rPr>
        <w:t xml:space="preserve">12.08 </w:t>
      </w:r>
      <w:r>
        <w:t>万元。</w:t>
      </w:r>
    </w:p>
    <w:p>
      <w:pPr>
        <w:pStyle w:val="13"/>
        <w:numPr>
          <w:ilvl w:val="3"/>
          <w:numId w:val="108"/>
        </w:numPr>
        <w:tabs>
          <w:tab w:val="left" w:pos="1302"/>
        </w:tabs>
        <w:spacing w:before="161" w:after="0" w:line="240" w:lineRule="auto"/>
        <w:ind w:left="1301" w:right="0" w:hanging="602"/>
        <w:jc w:val="left"/>
        <w:rPr>
          <w:sz w:val="24"/>
        </w:rPr>
      </w:pPr>
      <w:r>
        <w:rPr>
          <w:sz w:val="24"/>
        </w:rPr>
        <w:t>内部费用的确定与估算</w:t>
      </w:r>
    </w:p>
    <w:p>
      <w:pPr>
        <w:spacing w:after="0" w:line="240" w:lineRule="auto"/>
        <w:jc w:val="left"/>
        <w:rPr>
          <w:sz w:val="24"/>
        </w:rPr>
        <w:sectPr>
          <w:pgSz w:w="11910" w:h="16840"/>
          <w:pgMar w:top="1360" w:right="1020" w:bottom="1180" w:left="1140" w:header="0" w:footer="917" w:gutter="0"/>
        </w:sectPr>
      </w:pPr>
    </w:p>
    <w:p>
      <w:pPr>
        <w:pStyle w:val="6"/>
        <w:spacing w:before="41" w:line="362" w:lineRule="auto"/>
        <w:ind w:left="220" w:right="154" w:firstLine="480"/>
      </w:pPr>
      <w:r>
        <w:t xml:space="preserve">内部费用是指项目开发过程中，建设单位为了防止环境污染而付出的环境保护费用， 由基本建设费和运行费两部分组成。环境保护基本建设费用为 </w:t>
      </w:r>
      <w:r>
        <w:rPr>
          <w:rFonts w:ascii="Times New Roman" w:eastAsia="Times New Roman"/>
        </w:rPr>
        <w:t xml:space="preserve">328.9 </w:t>
      </w:r>
      <w:r>
        <w:t>万元，折算到每年，</w:t>
      </w:r>
    </w:p>
    <w:p>
      <w:pPr>
        <w:pStyle w:val="6"/>
        <w:spacing w:before="5"/>
        <w:ind w:left="220"/>
      </w:pPr>
      <w:r>
        <w:t xml:space="preserve">每年投入的环境保护基本建设费用为 </w:t>
      </w:r>
      <w:r>
        <w:rPr>
          <w:rFonts w:ascii="Times New Roman" w:eastAsia="Times New Roman"/>
        </w:rPr>
        <w:t xml:space="preserve">21.36 </w:t>
      </w:r>
      <w:r>
        <w:t>万元。</w:t>
      </w:r>
    </w:p>
    <w:p>
      <w:pPr>
        <w:pStyle w:val="6"/>
        <w:spacing w:before="161" w:line="364" w:lineRule="auto"/>
        <w:ind w:left="220" w:right="217" w:firstLine="480"/>
      </w:pPr>
      <w:r>
        <w:t>运行费用是指矿井各项环保工程、水土保持、绿化、环保监测和管理等环境保护工程的运行、管理费用，按生产要素计算，运行费用主要由各项环保工程的折旧费、设备</w:t>
      </w:r>
      <w:r>
        <w:rPr>
          <w:spacing w:val="-8"/>
        </w:rPr>
        <w:t>大修费用、耗电费、材料消耗费、人工工资及福利费、运输费、设备维护费和管理费等。</w:t>
      </w:r>
      <w:r>
        <w:rPr>
          <w:spacing w:val="-21"/>
        </w:rPr>
        <w:t xml:space="preserve">对表 </w:t>
      </w:r>
      <w:r>
        <w:rPr>
          <w:rFonts w:ascii="Times New Roman" w:eastAsia="Times New Roman"/>
        </w:rPr>
        <w:t xml:space="preserve">16.1-1 </w:t>
      </w:r>
      <w:r>
        <w:t>中各项环保工程逐项进行运行费用计算，结果为本工程环保工程运行费用为</w:t>
      </w:r>
    </w:p>
    <w:p>
      <w:pPr>
        <w:pStyle w:val="6"/>
        <w:spacing w:line="305" w:lineRule="exact"/>
        <w:ind w:left="220"/>
      </w:pPr>
      <w:r>
        <w:rPr>
          <w:rFonts w:ascii="Times New Roman" w:eastAsia="Times New Roman"/>
        </w:rPr>
        <w:t xml:space="preserve">10 </w:t>
      </w:r>
      <w:r>
        <w:t>万元</w:t>
      </w:r>
      <w:r>
        <w:rPr>
          <w:rFonts w:ascii="Times New Roman" w:eastAsia="Times New Roman"/>
        </w:rPr>
        <w:t>/</w:t>
      </w:r>
      <w:r>
        <w:t>年。</w:t>
      </w:r>
    </w:p>
    <w:p>
      <w:pPr>
        <w:pStyle w:val="6"/>
        <w:spacing w:before="158"/>
        <w:ind w:left="700"/>
      </w:pPr>
      <w:r>
        <w:t xml:space="preserve">年环境保护内部费用为 </w:t>
      </w:r>
      <w:r>
        <w:rPr>
          <w:rFonts w:ascii="Times New Roman" w:eastAsia="Times New Roman"/>
        </w:rPr>
        <w:t xml:space="preserve">31.36 </w:t>
      </w:r>
      <w:r>
        <w:t>万元</w:t>
      </w:r>
      <w:r>
        <w:rPr>
          <w:rFonts w:ascii="Times New Roman" w:eastAsia="Times New Roman"/>
        </w:rPr>
        <w:t>/</w:t>
      </w:r>
      <w:r>
        <w:t xml:space="preserve">年，年环境保护外部费用为 </w:t>
      </w:r>
      <w:r>
        <w:rPr>
          <w:rFonts w:ascii="Times New Roman" w:eastAsia="Times New Roman"/>
        </w:rPr>
        <w:t xml:space="preserve">12.08 </w:t>
      </w:r>
      <w:r>
        <w:t>万元</w:t>
      </w:r>
      <w:r>
        <w:rPr>
          <w:rFonts w:ascii="Times New Roman" w:eastAsia="Times New Roman"/>
        </w:rPr>
        <w:t>/</w:t>
      </w:r>
      <w:r>
        <w:t>年，年环</w:t>
      </w:r>
    </w:p>
    <w:p>
      <w:pPr>
        <w:pStyle w:val="6"/>
        <w:spacing w:before="160"/>
        <w:ind w:left="220"/>
      </w:pPr>
      <w:r>
        <w:t xml:space="preserve">境保护费用为 </w:t>
      </w:r>
      <w:r>
        <w:rPr>
          <w:rFonts w:ascii="Times New Roman" w:eastAsia="Times New Roman"/>
        </w:rPr>
        <w:t xml:space="preserve">43.44 </w:t>
      </w:r>
      <w:r>
        <w:t>万元</w:t>
      </w:r>
      <w:r>
        <w:rPr>
          <w:rFonts w:ascii="Times New Roman" w:eastAsia="Times New Roman"/>
        </w:rPr>
        <w:t>/</w:t>
      </w:r>
      <w:r>
        <w:t>年。</w:t>
      </w:r>
    </w:p>
    <w:p>
      <w:pPr>
        <w:pStyle w:val="5"/>
        <w:numPr>
          <w:ilvl w:val="2"/>
          <w:numId w:val="108"/>
        </w:numPr>
        <w:tabs>
          <w:tab w:val="left" w:pos="881"/>
        </w:tabs>
        <w:spacing w:before="158" w:after="0" w:line="240" w:lineRule="auto"/>
        <w:ind w:left="880" w:right="0" w:hanging="661"/>
        <w:jc w:val="left"/>
        <w:rPr>
          <w:rFonts w:ascii="Times New Roman" w:eastAsia="Times New Roman"/>
        </w:rPr>
      </w:pPr>
      <w:bookmarkStart w:id="1297" w:name="16.3.2年环境损失费用的确定和估算"/>
      <w:bookmarkEnd w:id="1297"/>
      <w:bookmarkStart w:id="1298" w:name="16.3.2年环境损失费用的确定和估算"/>
      <w:bookmarkEnd w:id="1298"/>
      <w:r>
        <w:t>年环境损失费用的确定和估算</w:t>
      </w:r>
    </w:p>
    <w:p>
      <w:pPr>
        <w:pStyle w:val="6"/>
        <w:spacing w:before="161" w:line="362" w:lineRule="auto"/>
        <w:ind w:left="220" w:right="337" w:firstLine="480"/>
      </w:pPr>
      <w:r>
        <w:t>年环境损失费用</w:t>
      </w:r>
      <w:r>
        <w:rPr>
          <w:rFonts w:ascii="Times New Roman" w:hAnsi="Times New Roman" w:eastAsia="Times New Roman"/>
        </w:rPr>
        <w:t>(Hs)</w:t>
      </w:r>
      <w:r>
        <w:rPr>
          <w:spacing w:val="-10"/>
        </w:rPr>
        <w:t>即指矿井投产后，每年资源的流失和</w:t>
      </w:r>
      <w:r>
        <w:rPr>
          <w:rFonts w:ascii="Times New Roman" w:hAnsi="Times New Roman" w:eastAsia="Times New Roman"/>
        </w:rPr>
        <w:t>“</w:t>
      </w:r>
      <w:r>
        <w:t>三废</w:t>
      </w:r>
      <w:r>
        <w:rPr>
          <w:rFonts w:ascii="Times New Roman" w:hAnsi="Times New Roman" w:eastAsia="Times New Roman"/>
        </w:rPr>
        <w:t>”</w:t>
      </w:r>
      <w:r>
        <w:rPr>
          <w:spacing w:val="-2"/>
        </w:rPr>
        <w:t>及噪声排放对环境造</w:t>
      </w:r>
      <w:r>
        <w:t>成的损失，以及原环境功能发生了改变等原因带来的损失。主要包括以下几项：</w:t>
      </w:r>
    </w:p>
    <w:p>
      <w:pPr>
        <w:pStyle w:val="13"/>
        <w:numPr>
          <w:ilvl w:val="0"/>
          <w:numId w:val="109"/>
        </w:numPr>
        <w:tabs>
          <w:tab w:val="left" w:pos="981"/>
        </w:tabs>
        <w:spacing w:before="5" w:after="0" w:line="240" w:lineRule="auto"/>
        <w:ind w:left="980" w:right="0" w:hanging="281"/>
        <w:jc w:val="left"/>
        <w:rPr>
          <w:sz w:val="24"/>
        </w:rPr>
      </w:pPr>
      <w:r>
        <w:rPr>
          <w:sz w:val="24"/>
        </w:rPr>
        <w:t>煤炭资源的流失价值</w:t>
      </w:r>
    </w:p>
    <w:p>
      <w:pPr>
        <w:pStyle w:val="6"/>
        <w:spacing w:before="160" w:line="362" w:lineRule="auto"/>
        <w:ind w:left="220" w:right="338" w:firstLine="480"/>
      </w:pPr>
      <w:r>
        <w:t>这里煤炭资源流失价值，是指因煤炭外运、装卸、风蚀、雨蚀等原因造成的煤炭资源损失，本项目由于采取了很完善的防治措施，煤炭资源流失很少，可以忽略不计。</w:t>
      </w:r>
    </w:p>
    <w:p>
      <w:pPr>
        <w:pStyle w:val="13"/>
        <w:numPr>
          <w:ilvl w:val="0"/>
          <w:numId w:val="109"/>
        </w:numPr>
        <w:tabs>
          <w:tab w:val="left" w:pos="981"/>
        </w:tabs>
        <w:spacing w:before="5" w:after="0" w:line="240" w:lineRule="auto"/>
        <w:ind w:left="980" w:right="0" w:hanging="281"/>
        <w:jc w:val="left"/>
        <w:rPr>
          <w:sz w:val="24"/>
        </w:rPr>
      </w:pPr>
      <w:r>
        <w:rPr>
          <w:sz w:val="24"/>
        </w:rPr>
        <w:t>水资源的流失价值</w:t>
      </w:r>
    </w:p>
    <w:p>
      <w:pPr>
        <w:pStyle w:val="6"/>
        <w:spacing w:before="158" w:line="362" w:lineRule="auto"/>
        <w:ind w:left="220" w:right="337" w:firstLine="480"/>
      </w:pPr>
      <w:r>
        <w:rPr>
          <w:spacing w:val="-7"/>
        </w:rPr>
        <w:t xml:space="preserve">本项目矿井水大部分回用，仍有部分排放，排污费按 </w:t>
      </w:r>
      <w:r>
        <w:rPr>
          <w:rFonts w:ascii="Times New Roman" w:eastAsia="Times New Roman"/>
        </w:rPr>
        <w:t xml:space="preserve">0.2 </w:t>
      </w:r>
      <w:r>
        <w:t>元</w:t>
      </w:r>
      <w:r>
        <w:rPr>
          <w:rFonts w:ascii="Times New Roman" w:eastAsia="Times New Roman"/>
        </w:rPr>
        <w:t xml:space="preserve">/t </w:t>
      </w:r>
      <w:r>
        <w:rPr>
          <w:spacing w:val="-7"/>
        </w:rPr>
        <w:t>计，则每年浪费水资源</w:t>
      </w:r>
      <w:r>
        <w:rPr>
          <w:spacing w:val="-15"/>
        </w:rPr>
        <w:t xml:space="preserve">价值约 </w:t>
      </w:r>
      <w:r>
        <w:rPr>
          <w:rFonts w:ascii="Times New Roman" w:eastAsia="Times New Roman"/>
        </w:rPr>
        <w:t xml:space="preserve">9.85 </w:t>
      </w:r>
      <w:r>
        <w:t>万元。</w:t>
      </w:r>
    </w:p>
    <w:p>
      <w:pPr>
        <w:pStyle w:val="13"/>
        <w:numPr>
          <w:ilvl w:val="0"/>
          <w:numId w:val="109"/>
        </w:numPr>
        <w:tabs>
          <w:tab w:val="left" w:pos="981"/>
        </w:tabs>
        <w:spacing w:before="5" w:after="0" w:line="240" w:lineRule="auto"/>
        <w:ind w:left="980" w:right="0" w:hanging="281"/>
        <w:jc w:val="left"/>
        <w:rPr>
          <w:sz w:val="24"/>
        </w:rPr>
      </w:pPr>
      <w:r>
        <w:rPr>
          <w:rFonts w:ascii="Times New Roman" w:hAnsi="Times New Roman" w:eastAsia="Times New Roman"/>
          <w:sz w:val="24"/>
        </w:rPr>
        <w:t>“</w:t>
      </w:r>
      <w:r>
        <w:rPr>
          <w:sz w:val="24"/>
        </w:rPr>
        <w:t>三废</w:t>
      </w:r>
      <w:r>
        <w:rPr>
          <w:rFonts w:ascii="Times New Roman" w:hAnsi="Times New Roman" w:eastAsia="Times New Roman"/>
          <w:sz w:val="24"/>
        </w:rPr>
        <w:t>’</w:t>
      </w:r>
      <w:r>
        <w:rPr>
          <w:sz w:val="24"/>
        </w:rPr>
        <w:t>排放和噪声污染带来的损失</w:t>
      </w:r>
    </w:p>
    <w:p>
      <w:pPr>
        <w:pStyle w:val="6"/>
        <w:spacing w:before="161" w:line="364" w:lineRule="auto"/>
        <w:ind w:left="220" w:right="218" w:firstLine="480"/>
      </w:pPr>
      <w:r>
        <w:t>由于本项目排放的</w:t>
      </w:r>
      <w:r>
        <w:rPr>
          <w:rFonts w:ascii="Times New Roman" w:hAnsi="Times New Roman" w:eastAsia="Times New Roman"/>
          <w:spacing w:val="3"/>
        </w:rPr>
        <w:t>“</w:t>
      </w:r>
      <w:r>
        <w:t>三废</w:t>
      </w:r>
      <w:r>
        <w:rPr>
          <w:rFonts w:ascii="Times New Roman" w:hAnsi="Times New Roman" w:eastAsia="Times New Roman"/>
        </w:rPr>
        <w:t>”</w:t>
      </w:r>
      <w:r>
        <w:t>均通过比较完善的污染控制工程进行了妥善处理，达到国</w:t>
      </w:r>
      <w:r>
        <w:rPr>
          <w:spacing w:val="-4"/>
        </w:rPr>
        <w:t xml:space="preserve">家排放标准和区域环境规划的目标，对周围环境污染很小，但排污必定带来一定的损失， 这部分损失按收取的排污费计为 </w:t>
      </w:r>
      <w:r>
        <w:rPr>
          <w:rFonts w:ascii="Times New Roman" w:hAnsi="Times New Roman" w:eastAsia="Times New Roman"/>
        </w:rPr>
        <w:t xml:space="preserve">5 </w:t>
      </w:r>
      <w:r>
        <w:t>万元。</w:t>
      </w:r>
    </w:p>
    <w:p>
      <w:pPr>
        <w:pStyle w:val="6"/>
        <w:spacing w:line="305" w:lineRule="exact"/>
        <w:ind w:left="700"/>
      </w:pPr>
      <w:r>
        <w:t>所以本项目的环境损失费用</w:t>
      </w:r>
      <w:r>
        <w:rPr>
          <w:rFonts w:ascii="Times New Roman" w:eastAsia="Times New Roman"/>
        </w:rPr>
        <w:t xml:space="preserve">(1)+(2)+(3)=14.85 </w:t>
      </w:r>
      <w:r>
        <w:t>万元</w:t>
      </w:r>
      <w:r>
        <w:rPr>
          <w:rFonts w:ascii="Times New Roman" w:eastAsia="Times New Roman"/>
        </w:rPr>
        <w:t>/</w:t>
      </w:r>
      <w:r>
        <w:t>年</w:t>
      </w:r>
    </w:p>
    <w:p>
      <w:pPr>
        <w:pStyle w:val="5"/>
        <w:numPr>
          <w:ilvl w:val="2"/>
          <w:numId w:val="108"/>
        </w:numPr>
        <w:tabs>
          <w:tab w:val="left" w:pos="881"/>
        </w:tabs>
        <w:spacing w:before="160" w:after="0" w:line="240" w:lineRule="auto"/>
        <w:ind w:left="880" w:right="0" w:hanging="661"/>
        <w:jc w:val="left"/>
        <w:rPr>
          <w:rFonts w:ascii="Times New Roman" w:eastAsia="Times New Roman"/>
        </w:rPr>
      </w:pPr>
      <w:bookmarkStart w:id="1299" w:name="16.3.3环境成本和环境系数的确定与分析"/>
      <w:bookmarkEnd w:id="1299"/>
      <w:bookmarkStart w:id="1300" w:name="16.3.3环境成本和环境系数的确定与分析"/>
      <w:bookmarkEnd w:id="1300"/>
      <w:r>
        <w:t>环境成本和环境系数的确定与分析</w:t>
      </w:r>
    </w:p>
    <w:p>
      <w:pPr>
        <w:pStyle w:val="13"/>
        <w:numPr>
          <w:ilvl w:val="0"/>
          <w:numId w:val="110"/>
        </w:numPr>
        <w:tabs>
          <w:tab w:val="left" w:pos="1101"/>
        </w:tabs>
        <w:spacing w:before="158" w:after="0" w:line="240" w:lineRule="auto"/>
        <w:ind w:left="1100" w:right="0" w:hanging="281"/>
        <w:jc w:val="left"/>
        <w:rPr>
          <w:sz w:val="24"/>
        </w:rPr>
      </w:pPr>
      <w:r>
        <w:rPr>
          <w:sz w:val="24"/>
        </w:rPr>
        <w:t>年环境代价</w:t>
      </w:r>
    </w:p>
    <w:p>
      <w:pPr>
        <w:pStyle w:val="6"/>
        <w:spacing w:before="161" w:line="362" w:lineRule="auto"/>
        <w:ind w:left="220" w:right="269" w:firstLine="600"/>
      </w:pPr>
      <w:r>
        <w:t xml:space="preserve">年环境代价 </w:t>
      </w:r>
      <w:r>
        <w:rPr>
          <w:rFonts w:ascii="Times New Roman" w:eastAsia="Times New Roman"/>
        </w:rPr>
        <w:t xml:space="preserve">Hd </w:t>
      </w:r>
      <w:r>
        <w:t xml:space="preserve">即是项目投入的年环境保护费用 </w:t>
      </w:r>
      <w:r>
        <w:rPr>
          <w:rFonts w:ascii="Times New Roman" w:eastAsia="Times New Roman"/>
        </w:rPr>
        <w:t>Et(</w:t>
      </w:r>
      <w:r>
        <w:t>包括外部费用和内部费用</w:t>
      </w:r>
      <w:r>
        <w:rPr>
          <w:rFonts w:ascii="Times New Roman" w:eastAsia="Times New Roman"/>
        </w:rPr>
        <w:t>)</w:t>
      </w:r>
      <w:r>
        <w:t xml:space="preserve">和年环境损失费用 </w:t>
      </w:r>
      <w:r>
        <w:rPr>
          <w:rFonts w:ascii="Times New Roman" w:eastAsia="Times New Roman"/>
        </w:rPr>
        <w:t xml:space="preserve">Hs </w:t>
      </w:r>
      <w:r>
        <w:t xml:space="preserve">之和，合计为 </w:t>
      </w:r>
      <w:r>
        <w:rPr>
          <w:rFonts w:ascii="Times New Roman" w:eastAsia="Times New Roman"/>
        </w:rPr>
        <w:t xml:space="preserve">58.29 </w:t>
      </w:r>
      <w:r>
        <w:t>万元</w:t>
      </w:r>
      <w:r>
        <w:rPr>
          <w:rFonts w:ascii="Times New Roman" w:eastAsia="Times New Roman"/>
        </w:rPr>
        <w:t>/</w:t>
      </w:r>
      <w:r>
        <w:t>年。</w:t>
      </w:r>
    </w:p>
    <w:p>
      <w:pPr>
        <w:pStyle w:val="13"/>
        <w:numPr>
          <w:ilvl w:val="0"/>
          <w:numId w:val="110"/>
        </w:numPr>
        <w:tabs>
          <w:tab w:val="left" w:pos="981"/>
        </w:tabs>
        <w:spacing w:before="5" w:after="0" w:line="240" w:lineRule="auto"/>
        <w:ind w:left="980" w:right="0" w:hanging="281"/>
        <w:jc w:val="left"/>
        <w:rPr>
          <w:sz w:val="24"/>
        </w:rPr>
      </w:pPr>
      <w:r>
        <w:rPr>
          <w:sz w:val="24"/>
        </w:rPr>
        <w:t>环境成本的确定</w:t>
      </w:r>
    </w:p>
    <w:p>
      <w:pPr>
        <w:pStyle w:val="6"/>
        <w:spacing w:before="158"/>
        <w:ind w:left="700"/>
      </w:pPr>
      <w:r>
        <w:t xml:space="preserve">环境成本 </w:t>
      </w:r>
      <w:r>
        <w:rPr>
          <w:rFonts w:ascii="Times New Roman" w:eastAsia="Times New Roman"/>
        </w:rPr>
        <w:t xml:space="preserve">Hb </w:t>
      </w:r>
      <w:r>
        <w:t xml:space="preserve">是指开发项目单位产品的环境代价，即 </w:t>
      </w:r>
      <w:r>
        <w:rPr>
          <w:rFonts w:ascii="Times New Roman" w:eastAsia="Times New Roman"/>
        </w:rPr>
        <w:t>Hb=Hd</w:t>
      </w:r>
      <w:r>
        <w:t>／</w:t>
      </w:r>
      <w:r>
        <w:rPr>
          <w:rFonts w:ascii="Times New Roman" w:eastAsia="Times New Roman"/>
        </w:rPr>
        <w:t>M</w:t>
      </w:r>
      <w:r>
        <w:t>，</w:t>
      </w:r>
      <w:r>
        <w:rPr>
          <w:rFonts w:ascii="Times New Roman" w:eastAsia="Times New Roman"/>
        </w:rPr>
        <w:t xml:space="preserve">M </w:t>
      </w:r>
      <w:r>
        <w:t>是产品产量</w:t>
      </w:r>
      <w:r>
        <w:rPr>
          <w:rFonts w:ascii="Times New Roman" w:eastAsia="Times New Roman"/>
        </w:rPr>
        <w:t>(</w:t>
      </w:r>
      <w:r>
        <w:t>按</w:t>
      </w:r>
    </w:p>
    <w:p>
      <w:pPr>
        <w:spacing w:after="0"/>
        <w:sectPr>
          <w:pgSz w:w="11910" w:h="16840"/>
          <w:pgMar w:top="1360" w:right="1020" w:bottom="1180" w:left="1140" w:header="0" w:footer="917" w:gutter="0"/>
        </w:sectPr>
      </w:pPr>
    </w:p>
    <w:p>
      <w:pPr>
        <w:pStyle w:val="6"/>
        <w:spacing w:before="61"/>
        <w:ind w:left="220"/>
      </w:pPr>
      <w:r>
        <w:t>新增原煤产量计</w:t>
      </w:r>
      <w:r>
        <w:rPr>
          <w:rFonts w:ascii="Times New Roman" w:eastAsia="Times New Roman"/>
        </w:rPr>
        <w:t>)</w:t>
      </w:r>
      <w:r>
        <w:t xml:space="preserve">，经计算，项目的年环境成本为 </w:t>
      </w:r>
      <w:r>
        <w:rPr>
          <w:rFonts w:ascii="Times New Roman" w:eastAsia="Times New Roman"/>
        </w:rPr>
        <w:t xml:space="preserve">1.94 </w:t>
      </w:r>
      <w:r>
        <w:t>元</w:t>
      </w:r>
      <w:r>
        <w:rPr>
          <w:rFonts w:ascii="Times New Roman" w:eastAsia="Times New Roman"/>
        </w:rPr>
        <w:t xml:space="preserve">/t </w:t>
      </w:r>
      <w:r>
        <w:t>原煤。</w:t>
      </w:r>
    </w:p>
    <w:p>
      <w:pPr>
        <w:pStyle w:val="6"/>
        <w:spacing w:before="158" w:line="364" w:lineRule="auto"/>
        <w:ind w:left="220" w:right="338" w:firstLine="480"/>
      </w:pPr>
      <w:r>
        <w:t>总的看来，本项目采取了完善污染防治措施，且由于矿井涌水量不大，虽水资源利用率低，但付出的环境代价相对不高。</w:t>
      </w:r>
    </w:p>
    <w:p>
      <w:pPr>
        <w:pStyle w:val="13"/>
        <w:numPr>
          <w:ilvl w:val="0"/>
          <w:numId w:val="110"/>
        </w:numPr>
        <w:tabs>
          <w:tab w:val="left" w:pos="981"/>
        </w:tabs>
        <w:spacing w:before="1" w:after="0" w:line="240" w:lineRule="auto"/>
        <w:ind w:left="980" w:right="0" w:hanging="281"/>
        <w:jc w:val="left"/>
        <w:rPr>
          <w:sz w:val="24"/>
        </w:rPr>
      </w:pPr>
      <w:r>
        <w:rPr>
          <w:sz w:val="24"/>
        </w:rPr>
        <w:t>环境系数的确定</w:t>
      </w:r>
    </w:p>
    <w:p>
      <w:pPr>
        <w:pStyle w:val="6"/>
        <w:spacing w:before="158"/>
        <w:ind w:left="700"/>
      </w:pPr>
      <w:r>
        <w:t xml:space="preserve">环境系数是指年环境代价与年工业产值的比值，即 </w:t>
      </w:r>
      <w:r>
        <w:rPr>
          <w:rFonts w:ascii="Times New Roman" w:eastAsia="Times New Roman"/>
        </w:rPr>
        <w:t>Hx=Hd</w:t>
      </w:r>
      <w:r>
        <w:t>／</w:t>
      </w:r>
      <w:r>
        <w:rPr>
          <w:rFonts w:ascii="Times New Roman" w:eastAsia="Times New Roman"/>
        </w:rPr>
        <w:t>Ge</w:t>
      </w:r>
      <w:r>
        <w:t>。</w:t>
      </w:r>
    </w:p>
    <w:p>
      <w:pPr>
        <w:pStyle w:val="6"/>
        <w:spacing w:before="161" w:line="362" w:lineRule="auto"/>
        <w:ind w:left="220" w:right="338" w:firstLine="480"/>
      </w:pPr>
      <w:r>
        <w:rPr>
          <w:spacing w:val="-9"/>
        </w:rPr>
        <w:t xml:space="preserve">经计算，本项目环境系数为 </w:t>
      </w:r>
      <w:r>
        <w:rPr>
          <w:rFonts w:ascii="Times New Roman" w:eastAsia="Times New Roman"/>
          <w:spacing w:val="-3"/>
        </w:rPr>
        <w:t>0.00387</w:t>
      </w:r>
      <w:r>
        <w:rPr>
          <w:spacing w:val="-9"/>
        </w:rPr>
        <w:t xml:space="preserve">，说明项目创造 </w:t>
      </w:r>
      <w:r>
        <w:rPr>
          <w:rFonts w:ascii="Times New Roman" w:eastAsia="Times New Roman"/>
        </w:rPr>
        <w:t xml:space="preserve">1 </w:t>
      </w:r>
      <w:r>
        <w:rPr>
          <w:spacing w:val="-5"/>
        </w:rPr>
        <w:t>万元的产值，付出的环境代价</w:t>
      </w:r>
      <w:r>
        <w:rPr>
          <w:spacing w:val="-30"/>
        </w:rPr>
        <w:t xml:space="preserve">达 </w:t>
      </w:r>
      <w:r>
        <w:rPr>
          <w:rFonts w:ascii="Times New Roman" w:eastAsia="Times New Roman"/>
        </w:rPr>
        <w:t xml:space="preserve">38.7 </w:t>
      </w:r>
      <w:r>
        <w:t>元。</w:t>
      </w:r>
    </w:p>
    <w:p>
      <w:pPr>
        <w:pStyle w:val="5"/>
        <w:spacing w:before="163" w:after="33"/>
        <w:ind w:right="110"/>
        <w:jc w:val="center"/>
        <w:rPr>
          <w:rFonts w:hint="eastAsia" w:ascii="黑体" w:eastAsia="黑体"/>
        </w:rPr>
      </w:pPr>
      <w:r>
        <w:rPr>
          <w:rFonts w:hint="eastAsia" w:ascii="黑体" w:eastAsia="黑体"/>
        </w:rPr>
        <w:t xml:space="preserve">表 </w:t>
      </w:r>
      <w:r>
        <w:rPr>
          <w:rFonts w:ascii="Times New Roman" w:eastAsia="Times New Roman"/>
        </w:rPr>
        <w:t xml:space="preserve">16.3-1  </w:t>
      </w:r>
      <w:r>
        <w:rPr>
          <w:rFonts w:hint="eastAsia" w:ascii="黑体" w:eastAsia="黑体"/>
        </w:rPr>
        <w:t>环境经济损失分析表</w:t>
      </w:r>
    </w:p>
    <w:tbl>
      <w:tblPr>
        <w:tblStyle w:val="10"/>
        <w:tblW w:w="0" w:type="auto"/>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0"/>
        <w:gridCol w:w="782"/>
        <w:gridCol w:w="795"/>
        <w:gridCol w:w="912"/>
        <w:gridCol w:w="1112"/>
        <w:gridCol w:w="1449"/>
        <w:gridCol w:w="1166"/>
        <w:gridCol w:w="1338"/>
        <w:gridCol w:w="13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3129" w:type="dxa"/>
            <w:gridSpan w:val="4"/>
          </w:tcPr>
          <w:p>
            <w:pPr>
              <w:pStyle w:val="14"/>
              <w:jc w:val="left"/>
              <w:rPr>
                <w:rFonts w:ascii="黑体"/>
                <w:b/>
                <w:sz w:val="14"/>
              </w:rPr>
            </w:pPr>
          </w:p>
          <w:p>
            <w:pPr>
              <w:pStyle w:val="14"/>
              <w:ind w:left="1123" w:right="1116"/>
              <w:rPr>
                <w:sz w:val="21"/>
              </w:rPr>
            </w:pPr>
            <w:r>
              <w:rPr>
                <w:sz w:val="21"/>
              </w:rPr>
              <w:t>指标名称</w:t>
            </w:r>
          </w:p>
        </w:tc>
        <w:tc>
          <w:tcPr>
            <w:tcW w:w="1112" w:type="dxa"/>
          </w:tcPr>
          <w:p>
            <w:pPr>
              <w:pStyle w:val="14"/>
              <w:spacing w:before="31"/>
              <w:ind w:left="134"/>
              <w:jc w:val="left"/>
              <w:rPr>
                <w:sz w:val="21"/>
              </w:rPr>
            </w:pPr>
            <w:r>
              <w:rPr>
                <w:w w:val="95"/>
                <w:sz w:val="21"/>
              </w:rPr>
              <w:t>单项费用</w:t>
            </w:r>
          </w:p>
          <w:p>
            <w:pPr>
              <w:pStyle w:val="14"/>
              <w:spacing w:before="31" w:line="249" w:lineRule="exact"/>
              <w:ind w:left="134"/>
              <w:jc w:val="left"/>
              <w:rPr>
                <w:sz w:val="21"/>
              </w:rPr>
            </w:pPr>
            <w:r>
              <w:rPr>
                <w:w w:val="95"/>
                <w:sz w:val="21"/>
              </w:rPr>
              <w:t>（万元）</w:t>
            </w:r>
          </w:p>
        </w:tc>
        <w:tc>
          <w:tcPr>
            <w:tcW w:w="1449" w:type="dxa"/>
          </w:tcPr>
          <w:p>
            <w:pPr>
              <w:pStyle w:val="14"/>
              <w:spacing w:line="300" w:lineRule="atLeast"/>
              <w:ind w:left="198" w:right="189"/>
              <w:jc w:val="left"/>
              <w:rPr>
                <w:sz w:val="21"/>
              </w:rPr>
            </w:pPr>
            <w:r>
              <w:rPr>
                <w:sz w:val="21"/>
              </w:rPr>
              <w:t>单项费用小计（万元）</w:t>
            </w:r>
          </w:p>
        </w:tc>
        <w:tc>
          <w:tcPr>
            <w:tcW w:w="1166" w:type="dxa"/>
          </w:tcPr>
          <w:p>
            <w:pPr>
              <w:pStyle w:val="14"/>
              <w:spacing w:line="300" w:lineRule="atLeast"/>
              <w:ind w:left="237" w:right="97" w:hanging="130"/>
              <w:jc w:val="left"/>
              <w:rPr>
                <w:sz w:val="21"/>
              </w:rPr>
            </w:pPr>
            <w:r>
              <w:rPr>
                <w:spacing w:val="-34"/>
                <w:sz w:val="21"/>
              </w:rPr>
              <w:t>年费用</w:t>
            </w:r>
            <w:r>
              <w:rPr>
                <w:sz w:val="21"/>
              </w:rPr>
              <w:t>（</w:t>
            </w:r>
            <w:r>
              <w:rPr>
                <w:spacing w:val="-14"/>
                <w:sz w:val="21"/>
              </w:rPr>
              <w:t>万</w:t>
            </w:r>
            <w:r>
              <w:rPr>
                <w:sz w:val="21"/>
              </w:rPr>
              <w:t>元</w:t>
            </w:r>
            <w:r>
              <w:rPr>
                <w:rFonts w:ascii="Times New Roman" w:eastAsia="Times New Roman"/>
                <w:sz w:val="21"/>
              </w:rPr>
              <w:t>/</w:t>
            </w:r>
            <w:r>
              <w:rPr>
                <w:sz w:val="21"/>
              </w:rPr>
              <w:t>年）</w:t>
            </w:r>
          </w:p>
        </w:tc>
        <w:tc>
          <w:tcPr>
            <w:tcW w:w="1338" w:type="dxa"/>
          </w:tcPr>
          <w:p>
            <w:pPr>
              <w:pStyle w:val="14"/>
              <w:spacing w:before="31"/>
              <w:ind w:left="144"/>
              <w:jc w:val="left"/>
              <w:rPr>
                <w:sz w:val="21"/>
              </w:rPr>
            </w:pPr>
            <w:r>
              <w:rPr>
                <w:w w:val="95"/>
                <w:sz w:val="21"/>
              </w:rPr>
              <w:t>年费用小计</w:t>
            </w:r>
          </w:p>
          <w:p>
            <w:pPr>
              <w:pStyle w:val="14"/>
              <w:spacing w:before="31" w:line="249" w:lineRule="exact"/>
              <w:ind w:left="115"/>
              <w:jc w:val="left"/>
              <w:rPr>
                <w:sz w:val="21"/>
              </w:rPr>
            </w:pPr>
            <w:r>
              <w:rPr>
                <w:spacing w:val="-1"/>
                <w:w w:val="95"/>
                <w:sz w:val="21"/>
              </w:rPr>
              <w:t>（万元</w:t>
            </w:r>
            <w:r>
              <w:rPr>
                <w:rFonts w:ascii="Times New Roman" w:eastAsia="Times New Roman"/>
                <w:w w:val="95"/>
                <w:sz w:val="21"/>
              </w:rPr>
              <w:t>/</w:t>
            </w:r>
            <w:r>
              <w:rPr>
                <w:w w:val="95"/>
                <w:sz w:val="21"/>
              </w:rPr>
              <w:t>年）</w:t>
            </w:r>
          </w:p>
        </w:tc>
        <w:tc>
          <w:tcPr>
            <w:tcW w:w="1325" w:type="dxa"/>
          </w:tcPr>
          <w:p>
            <w:pPr>
              <w:pStyle w:val="14"/>
              <w:spacing w:before="31"/>
              <w:ind w:left="135"/>
              <w:jc w:val="left"/>
              <w:rPr>
                <w:sz w:val="21"/>
              </w:rPr>
            </w:pPr>
            <w:r>
              <w:rPr>
                <w:w w:val="95"/>
                <w:sz w:val="21"/>
              </w:rPr>
              <w:t>年费用合计</w:t>
            </w:r>
          </w:p>
          <w:p>
            <w:pPr>
              <w:pStyle w:val="14"/>
              <w:spacing w:before="31" w:line="249" w:lineRule="exact"/>
              <w:ind w:left="107"/>
              <w:jc w:val="left"/>
              <w:rPr>
                <w:sz w:val="21"/>
              </w:rPr>
            </w:pPr>
            <w:r>
              <w:rPr>
                <w:w w:val="95"/>
                <w:sz w:val="21"/>
              </w:rPr>
              <w:t>（万元</w:t>
            </w:r>
            <w:r>
              <w:rPr>
                <w:rFonts w:ascii="Times New Roman" w:eastAsia="Times New Roman"/>
                <w:w w:val="95"/>
                <w:sz w:val="21"/>
              </w:rPr>
              <w:t>/</w:t>
            </w:r>
            <w:r>
              <w:rPr>
                <w:w w:val="95"/>
                <w:sz w:val="21"/>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640" w:type="dxa"/>
            <w:vMerge w:val="restart"/>
          </w:tcPr>
          <w:p>
            <w:pPr>
              <w:pStyle w:val="14"/>
              <w:jc w:val="left"/>
              <w:rPr>
                <w:rFonts w:ascii="黑体"/>
                <w:b/>
                <w:sz w:val="20"/>
              </w:rPr>
            </w:pPr>
          </w:p>
          <w:p>
            <w:pPr>
              <w:pStyle w:val="14"/>
              <w:jc w:val="left"/>
              <w:rPr>
                <w:rFonts w:ascii="黑体"/>
                <w:b/>
                <w:sz w:val="20"/>
              </w:rPr>
            </w:pPr>
          </w:p>
          <w:p>
            <w:pPr>
              <w:pStyle w:val="14"/>
              <w:jc w:val="left"/>
              <w:rPr>
                <w:rFonts w:ascii="黑体"/>
                <w:b/>
                <w:sz w:val="20"/>
              </w:rPr>
            </w:pPr>
          </w:p>
          <w:p>
            <w:pPr>
              <w:pStyle w:val="14"/>
              <w:jc w:val="left"/>
              <w:rPr>
                <w:rFonts w:ascii="黑体"/>
                <w:b/>
                <w:sz w:val="20"/>
              </w:rPr>
            </w:pPr>
          </w:p>
          <w:p>
            <w:pPr>
              <w:pStyle w:val="14"/>
              <w:jc w:val="left"/>
              <w:rPr>
                <w:rFonts w:ascii="黑体"/>
                <w:b/>
                <w:sz w:val="20"/>
              </w:rPr>
            </w:pPr>
          </w:p>
          <w:p>
            <w:pPr>
              <w:pStyle w:val="14"/>
              <w:jc w:val="left"/>
              <w:rPr>
                <w:rFonts w:ascii="黑体"/>
                <w:b/>
                <w:sz w:val="20"/>
              </w:rPr>
            </w:pPr>
          </w:p>
          <w:p>
            <w:pPr>
              <w:pStyle w:val="14"/>
              <w:jc w:val="left"/>
              <w:rPr>
                <w:rFonts w:ascii="黑体"/>
                <w:b/>
                <w:sz w:val="20"/>
              </w:rPr>
            </w:pPr>
          </w:p>
          <w:p>
            <w:pPr>
              <w:pStyle w:val="14"/>
              <w:spacing w:before="7"/>
              <w:jc w:val="left"/>
              <w:rPr>
                <w:rFonts w:ascii="黑体"/>
                <w:b/>
                <w:sz w:val="16"/>
              </w:rPr>
            </w:pPr>
          </w:p>
          <w:p>
            <w:pPr>
              <w:pStyle w:val="14"/>
              <w:spacing w:line="266" w:lineRule="auto"/>
              <w:ind w:left="109" w:right="100"/>
              <w:jc w:val="left"/>
              <w:rPr>
                <w:sz w:val="21"/>
              </w:rPr>
            </w:pPr>
            <w:r>
              <w:rPr>
                <w:sz w:val="21"/>
              </w:rPr>
              <w:t>环境代价</w:t>
            </w:r>
          </w:p>
        </w:tc>
        <w:tc>
          <w:tcPr>
            <w:tcW w:w="782" w:type="dxa"/>
            <w:vMerge w:val="restart"/>
          </w:tcPr>
          <w:p>
            <w:pPr>
              <w:pStyle w:val="14"/>
              <w:jc w:val="left"/>
              <w:rPr>
                <w:rFonts w:ascii="黑体"/>
                <w:b/>
                <w:sz w:val="20"/>
              </w:rPr>
            </w:pPr>
          </w:p>
          <w:p>
            <w:pPr>
              <w:pStyle w:val="14"/>
              <w:spacing w:before="10"/>
              <w:jc w:val="left"/>
              <w:rPr>
                <w:rFonts w:ascii="黑体"/>
                <w:b/>
                <w:sz w:val="17"/>
              </w:rPr>
            </w:pPr>
          </w:p>
          <w:p>
            <w:pPr>
              <w:pStyle w:val="14"/>
              <w:spacing w:line="266" w:lineRule="auto"/>
              <w:ind w:left="180" w:right="171"/>
              <w:jc w:val="both"/>
              <w:rPr>
                <w:sz w:val="21"/>
              </w:rPr>
            </w:pPr>
            <w:r>
              <w:rPr>
                <w:sz w:val="21"/>
              </w:rPr>
              <w:t>环境保护费用</w:t>
            </w:r>
          </w:p>
        </w:tc>
        <w:tc>
          <w:tcPr>
            <w:tcW w:w="795" w:type="dxa"/>
          </w:tcPr>
          <w:p>
            <w:pPr>
              <w:pStyle w:val="14"/>
              <w:spacing w:before="179" w:line="266" w:lineRule="auto"/>
              <w:ind w:left="185" w:right="179"/>
              <w:jc w:val="left"/>
              <w:rPr>
                <w:sz w:val="21"/>
              </w:rPr>
            </w:pPr>
            <w:r>
              <w:rPr>
                <w:sz w:val="21"/>
              </w:rPr>
              <w:t>外部费用</w:t>
            </w:r>
          </w:p>
        </w:tc>
        <w:tc>
          <w:tcPr>
            <w:tcW w:w="912" w:type="dxa"/>
          </w:tcPr>
          <w:p>
            <w:pPr>
              <w:pStyle w:val="14"/>
              <w:spacing w:line="300" w:lineRule="atLeast"/>
              <w:ind w:left="141" w:right="129"/>
              <w:jc w:val="both"/>
              <w:rPr>
                <w:sz w:val="21"/>
              </w:rPr>
            </w:pPr>
            <w:r>
              <w:rPr>
                <w:sz w:val="21"/>
              </w:rPr>
              <w:t>环境治理和土地复垦</w:t>
            </w:r>
          </w:p>
        </w:tc>
        <w:tc>
          <w:tcPr>
            <w:tcW w:w="1112" w:type="dxa"/>
          </w:tcPr>
          <w:p>
            <w:pPr>
              <w:pStyle w:val="14"/>
              <w:spacing w:before="11"/>
              <w:jc w:val="left"/>
              <w:rPr>
                <w:rFonts w:ascii="黑体"/>
                <w:b/>
                <w:sz w:val="26"/>
              </w:rPr>
            </w:pPr>
          </w:p>
          <w:p>
            <w:pPr>
              <w:pStyle w:val="14"/>
              <w:ind w:left="141" w:right="133"/>
              <w:rPr>
                <w:rFonts w:ascii="Times New Roman"/>
                <w:sz w:val="21"/>
              </w:rPr>
            </w:pPr>
            <w:r>
              <w:rPr>
                <w:rFonts w:ascii="Times New Roman"/>
                <w:sz w:val="21"/>
              </w:rPr>
              <w:t>186.0125</w:t>
            </w:r>
          </w:p>
        </w:tc>
        <w:tc>
          <w:tcPr>
            <w:tcW w:w="1449" w:type="dxa"/>
          </w:tcPr>
          <w:p>
            <w:pPr>
              <w:pStyle w:val="14"/>
              <w:spacing w:before="11"/>
              <w:jc w:val="left"/>
              <w:rPr>
                <w:rFonts w:ascii="黑体"/>
                <w:b/>
                <w:sz w:val="26"/>
              </w:rPr>
            </w:pPr>
          </w:p>
          <w:p>
            <w:pPr>
              <w:pStyle w:val="14"/>
              <w:ind w:left="330"/>
              <w:jc w:val="left"/>
              <w:rPr>
                <w:rFonts w:ascii="Times New Roman"/>
                <w:sz w:val="21"/>
              </w:rPr>
            </w:pPr>
            <w:r>
              <w:rPr>
                <w:rFonts w:ascii="Times New Roman"/>
                <w:sz w:val="21"/>
              </w:rPr>
              <w:t>186.0125</w:t>
            </w:r>
          </w:p>
        </w:tc>
        <w:tc>
          <w:tcPr>
            <w:tcW w:w="1166" w:type="dxa"/>
          </w:tcPr>
          <w:p>
            <w:pPr>
              <w:pStyle w:val="14"/>
              <w:spacing w:before="11"/>
              <w:jc w:val="left"/>
              <w:rPr>
                <w:rFonts w:ascii="黑体"/>
                <w:b/>
                <w:sz w:val="26"/>
              </w:rPr>
            </w:pPr>
          </w:p>
          <w:p>
            <w:pPr>
              <w:pStyle w:val="14"/>
              <w:ind w:left="326" w:right="317"/>
              <w:rPr>
                <w:rFonts w:ascii="Times New Roman"/>
                <w:sz w:val="21"/>
              </w:rPr>
            </w:pPr>
            <w:r>
              <w:rPr>
                <w:rFonts w:ascii="Times New Roman"/>
                <w:sz w:val="21"/>
              </w:rPr>
              <w:t>12.08</w:t>
            </w:r>
          </w:p>
        </w:tc>
        <w:tc>
          <w:tcPr>
            <w:tcW w:w="1338" w:type="dxa"/>
            <w:vMerge w:val="restart"/>
          </w:tcPr>
          <w:p>
            <w:pPr>
              <w:pStyle w:val="14"/>
              <w:jc w:val="left"/>
              <w:rPr>
                <w:rFonts w:ascii="黑体"/>
                <w:b/>
                <w:sz w:val="22"/>
              </w:rPr>
            </w:pPr>
          </w:p>
          <w:p>
            <w:pPr>
              <w:pStyle w:val="14"/>
              <w:jc w:val="left"/>
              <w:rPr>
                <w:rFonts w:ascii="黑体"/>
                <w:b/>
                <w:sz w:val="22"/>
              </w:rPr>
            </w:pPr>
          </w:p>
          <w:p>
            <w:pPr>
              <w:pStyle w:val="14"/>
              <w:jc w:val="left"/>
              <w:rPr>
                <w:rFonts w:ascii="黑体"/>
                <w:b/>
                <w:sz w:val="22"/>
              </w:rPr>
            </w:pPr>
          </w:p>
          <w:p>
            <w:pPr>
              <w:pStyle w:val="14"/>
              <w:spacing w:before="11"/>
              <w:jc w:val="left"/>
              <w:rPr>
                <w:rFonts w:ascii="黑体"/>
                <w:b/>
                <w:sz w:val="31"/>
              </w:rPr>
            </w:pPr>
          </w:p>
          <w:p>
            <w:pPr>
              <w:pStyle w:val="14"/>
              <w:ind w:left="432"/>
              <w:jc w:val="left"/>
              <w:rPr>
                <w:rFonts w:ascii="Times New Roman"/>
                <w:sz w:val="21"/>
              </w:rPr>
            </w:pPr>
            <w:r>
              <w:rPr>
                <w:rFonts w:ascii="Times New Roman"/>
                <w:sz w:val="21"/>
              </w:rPr>
              <w:t>43.44</w:t>
            </w:r>
          </w:p>
        </w:tc>
        <w:tc>
          <w:tcPr>
            <w:tcW w:w="1325" w:type="dxa"/>
            <w:vMerge w:val="restart"/>
          </w:tcPr>
          <w:p>
            <w:pPr>
              <w:pStyle w:val="14"/>
              <w:jc w:val="left"/>
              <w:rPr>
                <w:rFonts w:ascii="黑体"/>
                <w:b/>
                <w:sz w:val="22"/>
              </w:rPr>
            </w:pPr>
          </w:p>
          <w:p>
            <w:pPr>
              <w:pStyle w:val="14"/>
              <w:jc w:val="left"/>
              <w:rPr>
                <w:rFonts w:ascii="黑体"/>
                <w:b/>
                <w:sz w:val="22"/>
              </w:rPr>
            </w:pPr>
          </w:p>
          <w:p>
            <w:pPr>
              <w:pStyle w:val="14"/>
              <w:jc w:val="left"/>
              <w:rPr>
                <w:rFonts w:ascii="黑体"/>
                <w:b/>
                <w:sz w:val="22"/>
              </w:rPr>
            </w:pPr>
          </w:p>
          <w:p>
            <w:pPr>
              <w:pStyle w:val="14"/>
              <w:jc w:val="left"/>
              <w:rPr>
                <w:rFonts w:ascii="黑体"/>
                <w:b/>
                <w:sz w:val="22"/>
              </w:rPr>
            </w:pPr>
          </w:p>
          <w:p>
            <w:pPr>
              <w:pStyle w:val="14"/>
              <w:jc w:val="left"/>
              <w:rPr>
                <w:rFonts w:ascii="黑体"/>
                <w:b/>
                <w:sz w:val="22"/>
              </w:rPr>
            </w:pPr>
          </w:p>
          <w:p>
            <w:pPr>
              <w:pStyle w:val="14"/>
              <w:jc w:val="left"/>
              <w:rPr>
                <w:rFonts w:ascii="黑体"/>
                <w:b/>
                <w:sz w:val="22"/>
              </w:rPr>
            </w:pPr>
          </w:p>
          <w:p>
            <w:pPr>
              <w:pStyle w:val="14"/>
              <w:jc w:val="left"/>
              <w:rPr>
                <w:rFonts w:ascii="黑体"/>
                <w:b/>
                <w:sz w:val="22"/>
              </w:rPr>
            </w:pPr>
          </w:p>
          <w:p>
            <w:pPr>
              <w:pStyle w:val="14"/>
              <w:spacing w:before="195"/>
              <w:ind w:left="426"/>
              <w:jc w:val="left"/>
              <w:rPr>
                <w:rFonts w:ascii="Times New Roman"/>
                <w:sz w:val="21"/>
              </w:rPr>
            </w:pPr>
            <w:r>
              <w:rPr>
                <w:rFonts w:ascii="Times New Roman"/>
                <w:sz w:val="21"/>
              </w:rPr>
              <w:t>58.29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trPr>
        <w:tc>
          <w:tcPr>
            <w:tcW w:w="640" w:type="dxa"/>
            <w:vMerge w:val="continue"/>
            <w:tcBorders>
              <w:top w:val="nil"/>
            </w:tcBorders>
          </w:tcPr>
          <w:p>
            <w:pPr>
              <w:rPr>
                <w:sz w:val="2"/>
                <w:szCs w:val="2"/>
              </w:rPr>
            </w:pPr>
          </w:p>
        </w:tc>
        <w:tc>
          <w:tcPr>
            <w:tcW w:w="782" w:type="dxa"/>
            <w:vMerge w:val="continue"/>
            <w:tcBorders>
              <w:top w:val="nil"/>
            </w:tcBorders>
          </w:tcPr>
          <w:p>
            <w:pPr>
              <w:rPr>
                <w:sz w:val="2"/>
                <w:szCs w:val="2"/>
              </w:rPr>
            </w:pPr>
          </w:p>
        </w:tc>
        <w:tc>
          <w:tcPr>
            <w:tcW w:w="795" w:type="dxa"/>
          </w:tcPr>
          <w:p>
            <w:pPr>
              <w:pStyle w:val="14"/>
              <w:spacing w:before="179" w:line="266" w:lineRule="auto"/>
              <w:ind w:left="185" w:right="179"/>
              <w:jc w:val="left"/>
              <w:rPr>
                <w:sz w:val="21"/>
              </w:rPr>
            </w:pPr>
            <w:r>
              <w:rPr>
                <w:sz w:val="21"/>
              </w:rPr>
              <w:t>内部费用</w:t>
            </w:r>
          </w:p>
        </w:tc>
        <w:tc>
          <w:tcPr>
            <w:tcW w:w="912" w:type="dxa"/>
          </w:tcPr>
          <w:p>
            <w:pPr>
              <w:pStyle w:val="14"/>
              <w:spacing w:line="300" w:lineRule="exact"/>
              <w:ind w:left="141" w:right="129"/>
              <w:jc w:val="both"/>
              <w:rPr>
                <w:sz w:val="21"/>
              </w:rPr>
            </w:pPr>
            <w:r>
              <w:rPr>
                <w:sz w:val="21"/>
              </w:rPr>
              <w:t>环境保护工程投资</w:t>
            </w:r>
          </w:p>
        </w:tc>
        <w:tc>
          <w:tcPr>
            <w:tcW w:w="1112" w:type="dxa"/>
          </w:tcPr>
          <w:p>
            <w:pPr>
              <w:pStyle w:val="14"/>
              <w:spacing w:before="11"/>
              <w:jc w:val="left"/>
              <w:rPr>
                <w:rFonts w:ascii="黑体"/>
                <w:b/>
                <w:sz w:val="26"/>
              </w:rPr>
            </w:pPr>
          </w:p>
          <w:p>
            <w:pPr>
              <w:pStyle w:val="14"/>
              <w:ind w:left="141" w:right="131"/>
              <w:rPr>
                <w:rFonts w:ascii="Times New Roman"/>
                <w:sz w:val="21"/>
              </w:rPr>
            </w:pPr>
            <w:r>
              <w:rPr>
                <w:rFonts w:ascii="Times New Roman"/>
                <w:sz w:val="21"/>
              </w:rPr>
              <w:t>328.9</w:t>
            </w:r>
          </w:p>
        </w:tc>
        <w:tc>
          <w:tcPr>
            <w:tcW w:w="1449" w:type="dxa"/>
            <w:vMerge w:val="restart"/>
          </w:tcPr>
          <w:p>
            <w:pPr>
              <w:pStyle w:val="14"/>
              <w:jc w:val="left"/>
              <w:rPr>
                <w:rFonts w:ascii="黑体"/>
                <w:b/>
                <w:sz w:val="22"/>
              </w:rPr>
            </w:pPr>
          </w:p>
          <w:p>
            <w:pPr>
              <w:pStyle w:val="14"/>
              <w:jc w:val="left"/>
              <w:rPr>
                <w:rFonts w:ascii="黑体"/>
                <w:b/>
                <w:sz w:val="22"/>
              </w:rPr>
            </w:pPr>
          </w:p>
          <w:p>
            <w:pPr>
              <w:pStyle w:val="14"/>
              <w:spacing w:before="3"/>
              <w:jc w:val="left"/>
              <w:rPr>
                <w:rFonts w:ascii="黑体"/>
                <w:b/>
                <w:sz w:val="18"/>
              </w:rPr>
            </w:pPr>
          </w:p>
          <w:p>
            <w:pPr>
              <w:pStyle w:val="14"/>
              <w:ind w:left="486"/>
              <w:jc w:val="left"/>
              <w:rPr>
                <w:rFonts w:ascii="Times New Roman"/>
                <w:sz w:val="21"/>
              </w:rPr>
            </w:pPr>
            <w:r>
              <w:rPr>
                <w:rFonts w:ascii="Times New Roman"/>
                <w:sz w:val="21"/>
              </w:rPr>
              <w:t>482.9</w:t>
            </w:r>
          </w:p>
        </w:tc>
        <w:tc>
          <w:tcPr>
            <w:tcW w:w="1166" w:type="dxa"/>
          </w:tcPr>
          <w:p>
            <w:pPr>
              <w:pStyle w:val="14"/>
              <w:spacing w:before="11"/>
              <w:jc w:val="left"/>
              <w:rPr>
                <w:rFonts w:ascii="黑体"/>
                <w:b/>
                <w:sz w:val="26"/>
              </w:rPr>
            </w:pPr>
          </w:p>
          <w:p>
            <w:pPr>
              <w:pStyle w:val="14"/>
              <w:ind w:left="326" w:right="317"/>
              <w:rPr>
                <w:rFonts w:ascii="Times New Roman"/>
                <w:sz w:val="21"/>
              </w:rPr>
            </w:pPr>
            <w:r>
              <w:rPr>
                <w:rFonts w:ascii="Times New Roman"/>
                <w:sz w:val="21"/>
              </w:rPr>
              <w:t>21.36</w:t>
            </w:r>
          </w:p>
        </w:tc>
        <w:tc>
          <w:tcPr>
            <w:tcW w:w="1338" w:type="dxa"/>
            <w:vMerge w:val="continue"/>
            <w:tcBorders>
              <w:top w:val="nil"/>
            </w:tcBorders>
          </w:tcPr>
          <w:p>
            <w:pPr>
              <w:rPr>
                <w:sz w:val="2"/>
                <w:szCs w:val="2"/>
              </w:rPr>
            </w:pPr>
          </w:p>
        </w:tc>
        <w:tc>
          <w:tcPr>
            <w:tcW w:w="132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trPr>
        <w:tc>
          <w:tcPr>
            <w:tcW w:w="640" w:type="dxa"/>
            <w:vMerge w:val="continue"/>
            <w:tcBorders>
              <w:top w:val="nil"/>
            </w:tcBorders>
          </w:tcPr>
          <w:p>
            <w:pPr>
              <w:rPr>
                <w:sz w:val="2"/>
                <w:szCs w:val="2"/>
              </w:rPr>
            </w:pPr>
          </w:p>
        </w:tc>
        <w:tc>
          <w:tcPr>
            <w:tcW w:w="782" w:type="dxa"/>
          </w:tcPr>
          <w:p>
            <w:pPr>
              <w:pStyle w:val="14"/>
              <w:jc w:val="left"/>
              <w:rPr>
                <w:rFonts w:ascii="Times New Roman"/>
                <w:sz w:val="22"/>
              </w:rPr>
            </w:pPr>
          </w:p>
        </w:tc>
        <w:tc>
          <w:tcPr>
            <w:tcW w:w="795" w:type="dxa"/>
          </w:tcPr>
          <w:p>
            <w:pPr>
              <w:pStyle w:val="14"/>
              <w:jc w:val="left"/>
              <w:rPr>
                <w:rFonts w:ascii="Times New Roman"/>
                <w:sz w:val="22"/>
              </w:rPr>
            </w:pPr>
          </w:p>
        </w:tc>
        <w:tc>
          <w:tcPr>
            <w:tcW w:w="912" w:type="dxa"/>
          </w:tcPr>
          <w:p>
            <w:pPr>
              <w:pStyle w:val="14"/>
              <w:spacing w:line="300" w:lineRule="exact"/>
              <w:ind w:left="141" w:right="129"/>
              <w:jc w:val="both"/>
              <w:rPr>
                <w:sz w:val="21"/>
              </w:rPr>
            </w:pPr>
            <w:r>
              <w:rPr>
                <w:sz w:val="21"/>
              </w:rPr>
              <w:t>环保工程运行费用</w:t>
            </w:r>
          </w:p>
        </w:tc>
        <w:tc>
          <w:tcPr>
            <w:tcW w:w="1112" w:type="dxa"/>
          </w:tcPr>
          <w:p>
            <w:pPr>
              <w:pStyle w:val="14"/>
              <w:spacing w:before="10"/>
              <w:jc w:val="left"/>
              <w:rPr>
                <w:rFonts w:ascii="黑体"/>
                <w:b/>
                <w:sz w:val="26"/>
              </w:rPr>
            </w:pPr>
          </w:p>
          <w:p>
            <w:pPr>
              <w:pStyle w:val="14"/>
              <w:spacing w:before="1"/>
              <w:ind w:left="141" w:right="131"/>
              <w:rPr>
                <w:rFonts w:ascii="Times New Roman"/>
                <w:sz w:val="21"/>
              </w:rPr>
            </w:pPr>
            <w:r>
              <w:rPr>
                <w:rFonts w:ascii="Times New Roman"/>
                <w:sz w:val="21"/>
              </w:rPr>
              <w:t>154</w:t>
            </w:r>
          </w:p>
        </w:tc>
        <w:tc>
          <w:tcPr>
            <w:tcW w:w="1449" w:type="dxa"/>
            <w:vMerge w:val="continue"/>
            <w:tcBorders>
              <w:top w:val="nil"/>
            </w:tcBorders>
          </w:tcPr>
          <w:p>
            <w:pPr>
              <w:rPr>
                <w:sz w:val="2"/>
                <w:szCs w:val="2"/>
              </w:rPr>
            </w:pPr>
          </w:p>
        </w:tc>
        <w:tc>
          <w:tcPr>
            <w:tcW w:w="1166" w:type="dxa"/>
          </w:tcPr>
          <w:p>
            <w:pPr>
              <w:pStyle w:val="14"/>
              <w:spacing w:before="10"/>
              <w:jc w:val="left"/>
              <w:rPr>
                <w:rFonts w:ascii="黑体"/>
                <w:b/>
                <w:sz w:val="26"/>
              </w:rPr>
            </w:pPr>
          </w:p>
          <w:p>
            <w:pPr>
              <w:pStyle w:val="14"/>
              <w:spacing w:before="1"/>
              <w:ind w:left="326" w:right="317"/>
              <w:rPr>
                <w:rFonts w:ascii="Times New Roman"/>
                <w:sz w:val="21"/>
              </w:rPr>
            </w:pPr>
            <w:r>
              <w:rPr>
                <w:rFonts w:ascii="Times New Roman"/>
                <w:sz w:val="21"/>
              </w:rPr>
              <w:t>10</w:t>
            </w:r>
          </w:p>
        </w:tc>
        <w:tc>
          <w:tcPr>
            <w:tcW w:w="1338" w:type="dxa"/>
            <w:vMerge w:val="continue"/>
            <w:tcBorders>
              <w:top w:val="nil"/>
            </w:tcBorders>
          </w:tcPr>
          <w:p>
            <w:pPr>
              <w:rPr>
                <w:sz w:val="2"/>
                <w:szCs w:val="2"/>
              </w:rPr>
            </w:pPr>
          </w:p>
        </w:tc>
        <w:tc>
          <w:tcPr>
            <w:tcW w:w="132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640" w:type="dxa"/>
            <w:vMerge w:val="continue"/>
            <w:tcBorders>
              <w:top w:val="nil"/>
            </w:tcBorders>
          </w:tcPr>
          <w:p>
            <w:pPr>
              <w:rPr>
                <w:sz w:val="2"/>
                <w:szCs w:val="2"/>
              </w:rPr>
            </w:pPr>
          </w:p>
        </w:tc>
        <w:tc>
          <w:tcPr>
            <w:tcW w:w="782" w:type="dxa"/>
            <w:vMerge w:val="restart"/>
          </w:tcPr>
          <w:p>
            <w:pPr>
              <w:pStyle w:val="14"/>
              <w:jc w:val="left"/>
              <w:rPr>
                <w:rFonts w:ascii="黑体"/>
                <w:b/>
                <w:sz w:val="20"/>
              </w:rPr>
            </w:pPr>
          </w:p>
          <w:p>
            <w:pPr>
              <w:pStyle w:val="14"/>
              <w:spacing w:before="3"/>
              <w:jc w:val="left"/>
              <w:rPr>
                <w:rFonts w:ascii="黑体"/>
                <w:b/>
                <w:sz w:val="18"/>
              </w:rPr>
            </w:pPr>
          </w:p>
          <w:p>
            <w:pPr>
              <w:pStyle w:val="14"/>
              <w:spacing w:line="266" w:lineRule="auto"/>
              <w:ind w:left="180" w:right="171"/>
              <w:jc w:val="both"/>
              <w:rPr>
                <w:sz w:val="21"/>
              </w:rPr>
            </w:pPr>
            <w:r>
              <w:rPr>
                <w:sz w:val="21"/>
              </w:rPr>
              <w:t>环境保护损失</w:t>
            </w:r>
          </w:p>
        </w:tc>
        <w:tc>
          <w:tcPr>
            <w:tcW w:w="1707" w:type="dxa"/>
            <w:gridSpan w:val="2"/>
          </w:tcPr>
          <w:p>
            <w:pPr>
              <w:pStyle w:val="14"/>
              <w:spacing w:before="29"/>
              <w:ind w:left="97" w:right="89"/>
              <w:rPr>
                <w:sz w:val="21"/>
              </w:rPr>
            </w:pPr>
            <w:r>
              <w:rPr>
                <w:sz w:val="21"/>
              </w:rPr>
              <w:t>煤炭资源流失价</w:t>
            </w:r>
          </w:p>
          <w:p>
            <w:pPr>
              <w:pStyle w:val="14"/>
              <w:spacing w:before="31" w:line="250" w:lineRule="exact"/>
              <w:ind w:left="6"/>
              <w:rPr>
                <w:sz w:val="21"/>
              </w:rPr>
            </w:pPr>
            <w:r>
              <w:rPr>
                <w:w w:val="99"/>
                <w:sz w:val="21"/>
              </w:rPr>
              <w:t>值</w:t>
            </w:r>
          </w:p>
        </w:tc>
        <w:tc>
          <w:tcPr>
            <w:tcW w:w="1112" w:type="dxa"/>
          </w:tcPr>
          <w:p>
            <w:pPr>
              <w:pStyle w:val="14"/>
              <w:spacing w:before="194"/>
              <w:ind w:left="6"/>
              <w:rPr>
                <w:rFonts w:ascii="Times New Roman"/>
                <w:sz w:val="21"/>
              </w:rPr>
            </w:pPr>
            <w:r>
              <w:rPr>
                <w:rFonts w:ascii="Times New Roman"/>
                <w:w w:val="99"/>
                <w:sz w:val="21"/>
              </w:rPr>
              <w:t>0</w:t>
            </w:r>
          </w:p>
        </w:tc>
        <w:tc>
          <w:tcPr>
            <w:tcW w:w="1449" w:type="dxa"/>
            <w:vMerge w:val="restart"/>
          </w:tcPr>
          <w:p>
            <w:pPr>
              <w:pStyle w:val="14"/>
              <w:jc w:val="left"/>
              <w:rPr>
                <w:rFonts w:ascii="黑体"/>
                <w:b/>
                <w:sz w:val="22"/>
              </w:rPr>
            </w:pPr>
          </w:p>
          <w:p>
            <w:pPr>
              <w:pStyle w:val="14"/>
              <w:jc w:val="left"/>
              <w:rPr>
                <w:rFonts w:ascii="黑体"/>
                <w:b/>
                <w:sz w:val="22"/>
              </w:rPr>
            </w:pPr>
          </w:p>
          <w:p>
            <w:pPr>
              <w:pStyle w:val="14"/>
              <w:spacing w:before="9"/>
              <w:jc w:val="left"/>
              <w:rPr>
                <w:rFonts w:ascii="黑体"/>
                <w:b/>
                <w:sz w:val="18"/>
              </w:rPr>
            </w:pPr>
          </w:p>
          <w:p>
            <w:pPr>
              <w:pStyle w:val="14"/>
              <w:spacing w:before="1"/>
              <w:ind w:left="486"/>
              <w:jc w:val="left"/>
              <w:rPr>
                <w:rFonts w:ascii="Times New Roman"/>
                <w:sz w:val="21"/>
              </w:rPr>
            </w:pPr>
            <w:r>
              <w:rPr>
                <w:rFonts w:ascii="Times New Roman"/>
                <w:sz w:val="21"/>
              </w:rPr>
              <w:t>14.85</w:t>
            </w:r>
          </w:p>
        </w:tc>
        <w:tc>
          <w:tcPr>
            <w:tcW w:w="1166" w:type="dxa"/>
            <w:vMerge w:val="restart"/>
          </w:tcPr>
          <w:p>
            <w:pPr>
              <w:pStyle w:val="14"/>
              <w:jc w:val="left"/>
              <w:rPr>
                <w:rFonts w:ascii="黑体"/>
                <w:b/>
                <w:sz w:val="22"/>
              </w:rPr>
            </w:pPr>
          </w:p>
          <w:p>
            <w:pPr>
              <w:pStyle w:val="14"/>
              <w:jc w:val="left"/>
              <w:rPr>
                <w:rFonts w:ascii="黑体"/>
                <w:b/>
                <w:sz w:val="22"/>
              </w:rPr>
            </w:pPr>
          </w:p>
          <w:p>
            <w:pPr>
              <w:pStyle w:val="14"/>
              <w:spacing w:before="9"/>
              <w:jc w:val="left"/>
              <w:rPr>
                <w:rFonts w:ascii="黑体"/>
                <w:b/>
                <w:sz w:val="18"/>
              </w:rPr>
            </w:pPr>
          </w:p>
          <w:p>
            <w:pPr>
              <w:pStyle w:val="14"/>
              <w:spacing w:before="1"/>
              <w:ind w:left="345"/>
              <w:jc w:val="left"/>
              <w:rPr>
                <w:rFonts w:ascii="Times New Roman"/>
                <w:sz w:val="21"/>
              </w:rPr>
            </w:pPr>
            <w:r>
              <w:rPr>
                <w:rFonts w:ascii="Times New Roman"/>
                <w:sz w:val="21"/>
              </w:rPr>
              <w:t>14.85</w:t>
            </w:r>
          </w:p>
        </w:tc>
        <w:tc>
          <w:tcPr>
            <w:tcW w:w="1338" w:type="dxa"/>
            <w:vMerge w:val="restart"/>
          </w:tcPr>
          <w:p>
            <w:pPr>
              <w:pStyle w:val="14"/>
              <w:jc w:val="left"/>
              <w:rPr>
                <w:rFonts w:ascii="黑体"/>
                <w:b/>
                <w:sz w:val="22"/>
              </w:rPr>
            </w:pPr>
          </w:p>
          <w:p>
            <w:pPr>
              <w:pStyle w:val="14"/>
              <w:jc w:val="left"/>
              <w:rPr>
                <w:rFonts w:ascii="黑体"/>
                <w:b/>
                <w:sz w:val="22"/>
              </w:rPr>
            </w:pPr>
          </w:p>
          <w:p>
            <w:pPr>
              <w:pStyle w:val="14"/>
              <w:spacing w:before="9"/>
              <w:jc w:val="left"/>
              <w:rPr>
                <w:rFonts w:ascii="黑体"/>
                <w:b/>
                <w:sz w:val="18"/>
              </w:rPr>
            </w:pPr>
          </w:p>
          <w:p>
            <w:pPr>
              <w:pStyle w:val="14"/>
              <w:spacing w:before="1"/>
              <w:ind w:left="432"/>
              <w:jc w:val="left"/>
              <w:rPr>
                <w:rFonts w:ascii="Times New Roman"/>
                <w:sz w:val="21"/>
              </w:rPr>
            </w:pPr>
            <w:r>
              <w:rPr>
                <w:rFonts w:ascii="Times New Roman"/>
                <w:sz w:val="21"/>
              </w:rPr>
              <w:t>14.85</w:t>
            </w:r>
          </w:p>
        </w:tc>
        <w:tc>
          <w:tcPr>
            <w:tcW w:w="132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640" w:type="dxa"/>
            <w:vMerge w:val="continue"/>
            <w:tcBorders>
              <w:top w:val="nil"/>
            </w:tcBorders>
          </w:tcPr>
          <w:p>
            <w:pPr>
              <w:rPr>
                <w:sz w:val="2"/>
                <w:szCs w:val="2"/>
              </w:rPr>
            </w:pPr>
          </w:p>
        </w:tc>
        <w:tc>
          <w:tcPr>
            <w:tcW w:w="782" w:type="dxa"/>
            <w:vMerge w:val="continue"/>
            <w:tcBorders>
              <w:top w:val="nil"/>
            </w:tcBorders>
          </w:tcPr>
          <w:p>
            <w:pPr>
              <w:rPr>
                <w:sz w:val="2"/>
                <w:szCs w:val="2"/>
              </w:rPr>
            </w:pPr>
          </w:p>
        </w:tc>
        <w:tc>
          <w:tcPr>
            <w:tcW w:w="1707" w:type="dxa"/>
            <w:gridSpan w:val="2"/>
          </w:tcPr>
          <w:p>
            <w:pPr>
              <w:pStyle w:val="14"/>
              <w:spacing w:before="29" w:line="251" w:lineRule="exact"/>
              <w:ind w:left="118"/>
              <w:jc w:val="left"/>
              <w:rPr>
                <w:sz w:val="21"/>
              </w:rPr>
            </w:pPr>
            <w:r>
              <w:rPr>
                <w:sz w:val="21"/>
              </w:rPr>
              <w:t>水资源流失价值</w:t>
            </w:r>
          </w:p>
        </w:tc>
        <w:tc>
          <w:tcPr>
            <w:tcW w:w="1112" w:type="dxa"/>
          </w:tcPr>
          <w:p>
            <w:pPr>
              <w:pStyle w:val="14"/>
              <w:spacing w:before="43" w:line="237" w:lineRule="exact"/>
              <w:ind w:left="141" w:right="131"/>
              <w:rPr>
                <w:rFonts w:ascii="Times New Roman"/>
                <w:sz w:val="21"/>
              </w:rPr>
            </w:pPr>
            <w:r>
              <w:rPr>
                <w:rFonts w:ascii="Times New Roman"/>
                <w:sz w:val="21"/>
              </w:rPr>
              <w:t>9.85</w:t>
            </w:r>
          </w:p>
        </w:tc>
        <w:tc>
          <w:tcPr>
            <w:tcW w:w="1449" w:type="dxa"/>
            <w:vMerge w:val="continue"/>
            <w:tcBorders>
              <w:top w:val="nil"/>
            </w:tcBorders>
          </w:tcPr>
          <w:p>
            <w:pPr>
              <w:rPr>
                <w:sz w:val="2"/>
                <w:szCs w:val="2"/>
              </w:rPr>
            </w:pPr>
          </w:p>
        </w:tc>
        <w:tc>
          <w:tcPr>
            <w:tcW w:w="1166" w:type="dxa"/>
            <w:vMerge w:val="continue"/>
            <w:tcBorders>
              <w:top w:val="nil"/>
            </w:tcBorders>
          </w:tcPr>
          <w:p>
            <w:pPr>
              <w:rPr>
                <w:sz w:val="2"/>
                <w:szCs w:val="2"/>
              </w:rPr>
            </w:pPr>
          </w:p>
        </w:tc>
        <w:tc>
          <w:tcPr>
            <w:tcW w:w="1338" w:type="dxa"/>
            <w:vMerge w:val="continue"/>
            <w:tcBorders>
              <w:top w:val="nil"/>
            </w:tcBorders>
          </w:tcPr>
          <w:p>
            <w:pPr>
              <w:rPr>
                <w:sz w:val="2"/>
                <w:szCs w:val="2"/>
              </w:rPr>
            </w:pPr>
          </w:p>
        </w:tc>
        <w:tc>
          <w:tcPr>
            <w:tcW w:w="132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640" w:type="dxa"/>
            <w:vMerge w:val="continue"/>
            <w:tcBorders>
              <w:top w:val="nil"/>
            </w:tcBorders>
          </w:tcPr>
          <w:p>
            <w:pPr>
              <w:rPr>
                <w:sz w:val="2"/>
                <w:szCs w:val="2"/>
              </w:rPr>
            </w:pPr>
          </w:p>
        </w:tc>
        <w:tc>
          <w:tcPr>
            <w:tcW w:w="782" w:type="dxa"/>
            <w:vMerge w:val="continue"/>
            <w:tcBorders>
              <w:top w:val="nil"/>
            </w:tcBorders>
          </w:tcPr>
          <w:p>
            <w:pPr>
              <w:rPr>
                <w:sz w:val="2"/>
                <w:szCs w:val="2"/>
              </w:rPr>
            </w:pPr>
          </w:p>
        </w:tc>
        <w:tc>
          <w:tcPr>
            <w:tcW w:w="1707" w:type="dxa"/>
            <w:gridSpan w:val="2"/>
          </w:tcPr>
          <w:p>
            <w:pPr>
              <w:pStyle w:val="14"/>
              <w:spacing w:line="300" w:lineRule="atLeast"/>
              <w:ind w:left="118" w:right="107"/>
              <w:rPr>
                <w:sz w:val="21"/>
              </w:rPr>
            </w:pPr>
            <w:r>
              <w:rPr>
                <w:rFonts w:ascii="Times New Roman" w:hAnsi="Times New Roman" w:eastAsia="Times New Roman"/>
                <w:sz w:val="21"/>
              </w:rPr>
              <w:t>“</w:t>
            </w:r>
            <w:r>
              <w:rPr>
                <w:sz w:val="21"/>
              </w:rPr>
              <w:t>三废</w:t>
            </w:r>
            <w:r>
              <w:rPr>
                <w:rFonts w:ascii="Times New Roman" w:hAnsi="Times New Roman" w:eastAsia="Times New Roman"/>
                <w:sz w:val="21"/>
              </w:rPr>
              <w:t>’</w:t>
            </w:r>
            <w:r>
              <w:rPr>
                <w:sz w:val="21"/>
              </w:rPr>
              <w:t>排放和噪声污染带来的损失</w:t>
            </w:r>
          </w:p>
        </w:tc>
        <w:tc>
          <w:tcPr>
            <w:tcW w:w="1112" w:type="dxa"/>
          </w:tcPr>
          <w:p>
            <w:pPr>
              <w:pStyle w:val="14"/>
              <w:spacing w:before="12"/>
              <w:jc w:val="left"/>
              <w:rPr>
                <w:rFonts w:ascii="黑体"/>
                <w:b/>
                <w:sz w:val="26"/>
              </w:rPr>
            </w:pPr>
          </w:p>
          <w:p>
            <w:pPr>
              <w:pStyle w:val="14"/>
              <w:ind w:left="6"/>
              <w:rPr>
                <w:rFonts w:ascii="Times New Roman"/>
                <w:sz w:val="21"/>
              </w:rPr>
            </w:pPr>
            <w:r>
              <w:rPr>
                <w:rFonts w:ascii="Times New Roman"/>
                <w:w w:val="99"/>
                <w:sz w:val="21"/>
              </w:rPr>
              <w:t>5</w:t>
            </w:r>
          </w:p>
        </w:tc>
        <w:tc>
          <w:tcPr>
            <w:tcW w:w="1449" w:type="dxa"/>
            <w:vMerge w:val="continue"/>
            <w:tcBorders>
              <w:top w:val="nil"/>
            </w:tcBorders>
          </w:tcPr>
          <w:p>
            <w:pPr>
              <w:rPr>
                <w:sz w:val="2"/>
                <w:szCs w:val="2"/>
              </w:rPr>
            </w:pPr>
          </w:p>
        </w:tc>
        <w:tc>
          <w:tcPr>
            <w:tcW w:w="1166" w:type="dxa"/>
            <w:vMerge w:val="continue"/>
            <w:tcBorders>
              <w:top w:val="nil"/>
            </w:tcBorders>
          </w:tcPr>
          <w:p>
            <w:pPr>
              <w:rPr>
                <w:sz w:val="2"/>
                <w:szCs w:val="2"/>
              </w:rPr>
            </w:pPr>
          </w:p>
        </w:tc>
        <w:tc>
          <w:tcPr>
            <w:tcW w:w="1338" w:type="dxa"/>
            <w:vMerge w:val="continue"/>
            <w:tcBorders>
              <w:top w:val="nil"/>
            </w:tcBorders>
          </w:tcPr>
          <w:p>
            <w:pPr>
              <w:rPr>
                <w:sz w:val="2"/>
                <w:szCs w:val="2"/>
              </w:rPr>
            </w:pPr>
          </w:p>
        </w:tc>
        <w:tc>
          <w:tcPr>
            <w:tcW w:w="132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3129" w:type="dxa"/>
            <w:gridSpan w:val="4"/>
          </w:tcPr>
          <w:p>
            <w:pPr>
              <w:pStyle w:val="14"/>
              <w:spacing w:before="30" w:line="249" w:lineRule="exact"/>
              <w:ind w:left="275"/>
              <w:jc w:val="left"/>
              <w:rPr>
                <w:sz w:val="21"/>
              </w:rPr>
            </w:pPr>
            <w:r>
              <w:rPr>
                <w:sz w:val="21"/>
              </w:rPr>
              <w:t>吨煤环境代价（元</w:t>
            </w:r>
            <w:r>
              <w:rPr>
                <w:rFonts w:ascii="Times New Roman" w:eastAsia="Times New Roman"/>
                <w:sz w:val="21"/>
              </w:rPr>
              <w:t>/</w:t>
            </w:r>
            <w:r>
              <w:rPr>
                <w:sz w:val="21"/>
              </w:rPr>
              <w:t>吨原煤）</w:t>
            </w:r>
          </w:p>
        </w:tc>
        <w:tc>
          <w:tcPr>
            <w:tcW w:w="6390" w:type="dxa"/>
            <w:gridSpan w:val="5"/>
          </w:tcPr>
          <w:p>
            <w:pPr>
              <w:pStyle w:val="14"/>
              <w:spacing w:before="44" w:line="235" w:lineRule="exact"/>
              <w:ind w:left="2884" w:right="2876"/>
              <w:rPr>
                <w:rFonts w:ascii="Times New Roman"/>
                <w:sz w:val="21"/>
              </w:rPr>
            </w:pPr>
            <w:r>
              <w:rPr>
                <w:rFonts w:ascii="Times New Roman"/>
                <w:sz w:val="21"/>
              </w:rPr>
              <w:t>1.94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3129" w:type="dxa"/>
            <w:gridSpan w:val="4"/>
          </w:tcPr>
          <w:p>
            <w:pPr>
              <w:pStyle w:val="14"/>
              <w:spacing w:before="30" w:line="250" w:lineRule="exact"/>
              <w:ind w:left="275"/>
              <w:jc w:val="left"/>
              <w:rPr>
                <w:sz w:val="21"/>
              </w:rPr>
            </w:pPr>
            <w:r>
              <w:rPr>
                <w:sz w:val="21"/>
              </w:rPr>
              <w:t>煤炭开采成本（元</w:t>
            </w:r>
            <w:r>
              <w:rPr>
                <w:rFonts w:ascii="Times New Roman" w:eastAsia="Times New Roman"/>
                <w:sz w:val="21"/>
              </w:rPr>
              <w:t>/</w:t>
            </w:r>
            <w:r>
              <w:rPr>
                <w:sz w:val="21"/>
              </w:rPr>
              <w:t>吨原煤）</w:t>
            </w:r>
          </w:p>
        </w:tc>
        <w:tc>
          <w:tcPr>
            <w:tcW w:w="6390" w:type="dxa"/>
            <w:gridSpan w:val="5"/>
          </w:tcPr>
          <w:p>
            <w:pPr>
              <w:pStyle w:val="14"/>
              <w:spacing w:before="44" w:line="236" w:lineRule="exact"/>
              <w:ind w:left="2886" w:right="2876"/>
              <w:rPr>
                <w:rFonts w:ascii="Times New Roman"/>
                <w:sz w:val="21"/>
              </w:rPr>
            </w:pPr>
            <w:r>
              <w:rPr>
                <w:rFonts w:ascii="Times New Roman"/>
                <w:sz w:val="21"/>
              </w:rPr>
              <w:t>314.59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3129" w:type="dxa"/>
            <w:gridSpan w:val="4"/>
          </w:tcPr>
          <w:p>
            <w:pPr>
              <w:pStyle w:val="14"/>
              <w:spacing w:line="300" w:lineRule="exact"/>
              <w:ind w:left="1161" w:right="189" w:hanging="963"/>
              <w:jc w:val="left"/>
              <w:rPr>
                <w:sz w:val="21"/>
              </w:rPr>
            </w:pPr>
            <w:r>
              <w:rPr>
                <w:sz w:val="21"/>
              </w:rPr>
              <w:t>环境代价占煤炭开采成本的比例（</w:t>
            </w:r>
            <w:r>
              <w:rPr>
                <w:rFonts w:ascii="Times New Roman" w:eastAsia="Times New Roman"/>
                <w:sz w:val="21"/>
              </w:rPr>
              <w:t>%</w:t>
            </w:r>
            <w:r>
              <w:rPr>
                <w:sz w:val="21"/>
              </w:rPr>
              <w:t>）</w:t>
            </w:r>
          </w:p>
        </w:tc>
        <w:tc>
          <w:tcPr>
            <w:tcW w:w="6390" w:type="dxa"/>
            <w:gridSpan w:val="5"/>
          </w:tcPr>
          <w:p>
            <w:pPr>
              <w:pStyle w:val="14"/>
              <w:spacing w:before="195"/>
              <w:ind w:left="2884" w:right="2876"/>
              <w:rPr>
                <w:rFonts w:ascii="Times New Roman"/>
                <w:sz w:val="21"/>
              </w:rPr>
            </w:pPr>
            <w:r>
              <w:rPr>
                <w:rFonts w:ascii="Times New Roman"/>
                <w:sz w:val="21"/>
              </w:rPr>
              <w:t>0.62</w:t>
            </w:r>
          </w:p>
        </w:tc>
      </w:tr>
    </w:tbl>
    <w:p>
      <w:pPr>
        <w:pStyle w:val="6"/>
        <w:spacing w:before="3"/>
        <w:rPr>
          <w:rFonts w:ascii="黑体"/>
          <w:b/>
          <w:sz w:val="20"/>
        </w:rPr>
      </w:pPr>
    </w:p>
    <w:p>
      <w:pPr>
        <w:pStyle w:val="13"/>
        <w:numPr>
          <w:ilvl w:val="1"/>
          <w:numId w:val="108"/>
        </w:numPr>
        <w:tabs>
          <w:tab w:val="left" w:pos="780"/>
        </w:tabs>
        <w:spacing w:before="0" w:after="0" w:line="240" w:lineRule="auto"/>
        <w:ind w:left="780" w:right="0" w:hanging="560"/>
        <w:jc w:val="left"/>
        <w:rPr>
          <w:b/>
          <w:sz w:val="28"/>
        </w:rPr>
      </w:pPr>
      <w:bookmarkStart w:id="1301" w:name="_bookmark96"/>
      <w:bookmarkEnd w:id="1301"/>
      <w:bookmarkStart w:id="1302" w:name="_bookmark96"/>
      <w:bookmarkEnd w:id="1302"/>
      <w:bookmarkStart w:id="1303" w:name="16.4环境保护工程的经济效益分析"/>
      <w:bookmarkEnd w:id="1303"/>
      <w:r>
        <w:rPr>
          <w:b/>
          <w:sz w:val="28"/>
        </w:rPr>
        <w:t>环境保护工程的经济效益分析</w:t>
      </w:r>
    </w:p>
    <w:p>
      <w:pPr>
        <w:pStyle w:val="13"/>
        <w:numPr>
          <w:ilvl w:val="2"/>
          <w:numId w:val="108"/>
        </w:numPr>
        <w:tabs>
          <w:tab w:val="left" w:pos="881"/>
        </w:tabs>
        <w:spacing w:before="185" w:after="0" w:line="240" w:lineRule="auto"/>
        <w:ind w:left="880" w:right="0" w:hanging="661"/>
        <w:jc w:val="left"/>
        <w:rPr>
          <w:rFonts w:ascii="Times New Roman" w:eastAsia="Times New Roman"/>
          <w:b/>
          <w:sz w:val="24"/>
        </w:rPr>
      </w:pPr>
      <w:bookmarkStart w:id="1304" w:name="16.4.1环境污染控制措施的经济效益"/>
      <w:bookmarkEnd w:id="1304"/>
      <w:bookmarkStart w:id="1305" w:name="16.4.1环境污染控制措施的经济效益"/>
      <w:bookmarkEnd w:id="1305"/>
      <w:r>
        <w:rPr>
          <w:b/>
          <w:sz w:val="24"/>
        </w:rPr>
        <w:t>环境污染控制措施的经济效益</w:t>
      </w:r>
    </w:p>
    <w:p>
      <w:pPr>
        <w:pStyle w:val="6"/>
        <w:spacing w:before="155" w:line="362" w:lineRule="auto"/>
        <w:ind w:left="220" w:right="338" w:firstLine="480"/>
      </w:pPr>
      <w:r>
        <w:rPr>
          <w:position w:val="2"/>
        </w:rPr>
        <w:t>环境污染控制措施的经济效益包括两方面，一是直接经济效益（</w:t>
      </w:r>
      <w:r>
        <w:rPr>
          <w:rFonts w:ascii="Times New Roman" w:eastAsia="Times New Roman"/>
          <w:position w:val="2"/>
        </w:rPr>
        <w:t>R</w:t>
      </w:r>
      <w:r>
        <w:rPr>
          <w:rFonts w:ascii="Times New Roman" w:eastAsia="Times New Roman"/>
          <w:position w:val="2"/>
          <w:vertAlign w:val="subscript"/>
        </w:rPr>
        <w:t>1</w:t>
      </w:r>
      <w:r>
        <w:rPr>
          <w:position w:val="2"/>
          <w:vertAlign w:val="baseline"/>
        </w:rPr>
        <w:t>），二是间接经济效益（</w:t>
      </w:r>
      <w:r>
        <w:rPr>
          <w:rFonts w:ascii="Times New Roman" w:eastAsia="Times New Roman"/>
          <w:position w:val="2"/>
          <w:vertAlign w:val="baseline"/>
        </w:rPr>
        <w:t>R</w:t>
      </w:r>
      <w:r>
        <w:rPr>
          <w:rFonts w:ascii="Times New Roman" w:eastAsia="Times New Roman"/>
          <w:position w:val="2"/>
          <w:vertAlign w:val="subscript"/>
        </w:rPr>
        <w:t>2</w:t>
      </w:r>
      <w:r>
        <w:rPr>
          <w:position w:val="2"/>
          <w:vertAlign w:val="baseline"/>
        </w:rPr>
        <w:t>）。</w:t>
      </w:r>
    </w:p>
    <w:p>
      <w:pPr>
        <w:tabs>
          <w:tab w:val="left" w:pos="2706"/>
          <w:tab w:val="left" w:pos="3358"/>
        </w:tabs>
        <w:spacing w:before="21" w:line="51" w:lineRule="exact"/>
        <w:ind w:left="1979" w:right="0" w:firstLine="0"/>
        <w:jc w:val="left"/>
        <w:rPr>
          <w:rFonts w:ascii="Times New Roman"/>
          <w:i/>
          <w:sz w:val="11"/>
        </w:rPr>
      </w:pPr>
      <w:r>
        <w:rPr>
          <w:rFonts w:ascii="Times New Roman"/>
          <w:i/>
          <w:sz w:val="11"/>
        </w:rPr>
        <w:t>n</w:t>
      </w:r>
      <w:r>
        <w:rPr>
          <w:rFonts w:ascii="Times New Roman"/>
          <w:i/>
          <w:sz w:val="11"/>
        </w:rPr>
        <w:tab/>
      </w:r>
      <w:r>
        <w:rPr>
          <w:rFonts w:ascii="Times New Roman"/>
          <w:i/>
          <w:sz w:val="11"/>
        </w:rPr>
        <w:t>n</w:t>
      </w:r>
      <w:r>
        <w:rPr>
          <w:rFonts w:ascii="Times New Roman"/>
          <w:i/>
          <w:sz w:val="11"/>
        </w:rPr>
        <w:tab/>
      </w:r>
      <w:r>
        <w:rPr>
          <w:rFonts w:ascii="Times New Roman"/>
          <w:i/>
          <w:sz w:val="11"/>
        </w:rPr>
        <w:t>i</w:t>
      </w:r>
    </w:p>
    <w:p>
      <w:pPr>
        <w:spacing w:before="0" w:line="315" w:lineRule="exact"/>
        <w:ind w:left="1488" w:right="0" w:firstLine="0"/>
        <w:jc w:val="left"/>
        <w:rPr>
          <w:rFonts w:ascii="Times New Roman" w:hAnsi="Times New Roman"/>
          <w:i/>
          <w:sz w:val="11"/>
        </w:rPr>
      </w:pPr>
      <w:r>
        <w:rPr>
          <w:rFonts w:ascii="Times New Roman" w:hAnsi="Times New Roman"/>
          <w:i/>
          <w:spacing w:val="-9"/>
          <w:w w:val="99"/>
          <w:position w:val="1"/>
          <w:sz w:val="29"/>
        </w:rPr>
        <w:t>R</w:t>
      </w:r>
      <w:r>
        <w:rPr>
          <w:rFonts w:ascii="Times New Roman" w:hAnsi="Times New Roman"/>
          <w:w w:val="101"/>
          <w:sz w:val="11"/>
        </w:rPr>
        <w:t>1</w:t>
      </w:r>
      <w:r>
        <w:rPr>
          <w:rFonts w:ascii="Times New Roman" w:hAnsi="Times New Roman"/>
          <w:sz w:val="11"/>
        </w:rPr>
        <w:t xml:space="preserve"> </w:t>
      </w:r>
      <w:r>
        <w:rPr>
          <w:rFonts w:ascii="Times New Roman" w:hAnsi="Times New Roman"/>
          <w:spacing w:val="-14"/>
          <w:sz w:val="11"/>
        </w:rPr>
        <w:t xml:space="preserve"> </w:t>
      </w:r>
      <w:r>
        <w:rPr>
          <w:rFonts w:ascii="Symbol" w:hAnsi="Symbol"/>
          <w:w w:val="101"/>
          <w:position w:val="7"/>
          <w:sz w:val="19"/>
        </w:rPr>
        <w:t></w:t>
      </w:r>
      <w:r>
        <w:rPr>
          <w:rFonts w:ascii="Times New Roman" w:hAnsi="Times New Roman"/>
          <w:spacing w:val="-1"/>
          <w:position w:val="7"/>
          <w:sz w:val="19"/>
        </w:rPr>
        <w:t xml:space="preserve"> </w:t>
      </w:r>
      <w:r>
        <w:rPr>
          <w:rFonts w:ascii="Symbol" w:hAnsi="Symbol"/>
          <w:w w:val="99"/>
          <w:position w:val="3"/>
          <w:sz w:val="29"/>
        </w:rPr>
        <w:t></w:t>
      </w:r>
      <w:r>
        <w:rPr>
          <w:rFonts w:ascii="Times New Roman" w:hAnsi="Times New Roman"/>
          <w:spacing w:val="-47"/>
          <w:position w:val="3"/>
          <w:sz w:val="29"/>
        </w:rPr>
        <w:t xml:space="preserve"> </w:t>
      </w:r>
      <w:r>
        <w:rPr>
          <w:rFonts w:ascii="Times New Roman" w:hAnsi="Times New Roman"/>
          <w:i/>
          <w:spacing w:val="38"/>
          <w:w w:val="99"/>
          <w:position w:val="1"/>
          <w:sz w:val="29"/>
        </w:rPr>
        <w:t>M</w:t>
      </w:r>
      <w:r>
        <w:rPr>
          <w:rFonts w:ascii="Times New Roman" w:hAnsi="Times New Roman"/>
          <w:i/>
          <w:w w:val="101"/>
          <w:sz w:val="11"/>
        </w:rPr>
        <w:t>i</w:t>
      </w:r>
      <w:r>
        <w:rPr>
          <w:rFonts w:ascii="Times New Roman" w:hAnsi="Times New Roman"/>
          <w:i/>
          <w:sz w:val="11"/>
        </w:rPr>
        <w:t xml:space="preserve"> </w:t>
      </w:r>
      <w:r>
        <w:rPr>
          <w:rFonts w:ascii="Times New Roman" w:hAnsi="Times New Roman"/>
          <w:i/>
          <w:spacing w:val="-13"/>
          <w:sz w:val="11"/>
        </w:rPr>
        <w:t xml:space="preserve"> </w:t>
      </w:r>
      <w:r>
        <w:rPr>
          <w:rFonts w:ascii="Symbol" w:hAnsi="Symbol"/>
          <w:w w:val="101"/>
          <w:position w:val="7"/>
          <w:sz w:val="19"/>
        </w:rPr>
        <w:t></w:t>
      </w:r>
      <w:r>
        <w:rPr>
          <w:rFonts w:ascii="Times New Roman" w:hAnsi="Times New Roman"/>
          <w:spacing w:val="-9"/>
          <w:position w:val="7"/>
          <w:sz w:val="19"/>
        </w:rPr>
        <w:t xml:space="preserve"> </w:t>
      </w:r>
      <w:r>
        <w:rPr>
          <w:rFonts w:ascii="Symbol" w:hAnsi="Symbol"/>
          <w:spacing w:val="12"/>
          <w:w w:val="99"/>
          <w:position w:val="3"/>
          <w:sz w:val="29"/>
        </w:rPr>
        <w:t></w:t>
      </w:r>
      <w:r>
        <w:rPr>
          <w:rFonts w:ascii="Times New Roman" w:hAnsi="Times New Roman"/>
          <w:i/>
          <w:spacing w:val="-1"/>
          <w:w w:val="99"/>
          <w:position w:val="1"/>
          <w:sz w:val="29"/>
        </w:rPr>
        <w:t>O</w:t>
      </w:r>
      <w:r>
        <w:rPr>
          <w:rFonts w:ascii="Times New Roman" w:hAnsi="Times New Roman"/>
          <w:i/>
          <w:w w:val="101"/>
          <w:sz w:val="11"/>
        </w:rPr>
        <w:t>i</w:t>
      </w:r>
      <w:r>
        <w:rPr>
          <w:rFonts w:ascii="Times New Roman" w:hAnsi="Times New Roman"/>
          <w:i/>
          <w:sz w:val="11"/>
        </w:rPr>
        <w:t xml:space="preserve"> </w:t>
      </w:r>
      <w:r>
        <w:rPr>
          <w:rFonts w:ascii="Times New Roman" w:hAnsi="Times New Roman"/>
          <w:i/>
          <w:spacing w:val="-13"/>
          <w:sz w:val="11"/>
        </w:rPr>
        <w:t xml:space="preserve"> </w:t>
      </w:r>
      <w:r>
        <w:rPr>
          <w:rFonts w:ascii="Symbol" w:hAnsi="Symbol"/>
          <w:w w:val="101"/>
          <w:position w:val="7"/>
          <w:sz w:val="19"/>
        </w:rPr>
        <w:t></w:t>
      </w:r>
      <w:r>
        <w:rPr>
          <w:rFonts w:ascii="Times New Roman" w:hAnsi="Times New Roman"/>
          <w:spacing w:val="-10"/>
          <w:position w:val="7"/>
          <w:sz w:val="19"/>
        </w:rPr>
        <w:t xml:space="preserve"> </w:t>
      </w:r>
      <w:r>
        <w:rPr>
          <w:rFonts w:ascii="Symbol" w:hAnsi="Symbol"/>
          <w:w w:val="99"/>
          <w:position w:val="3"/>
          <w:sz w:val="29"/>
        </w:rPr>
        <w:t></w:t>
      </w:r>
      <w:r>
        <w:rPr>
          <w:rFonts w:ascii="Times New Roman" w:hAnsi="Times New Roman"/>
          <w:spacing w:val="-47"/>
          <w:position w:val="3"/>
          <w:sz w:val="29"/>
        </w:rPr>
        <w:t xml:space="preserve"> </w:t>
      </w:r>
      <w:r>
        <w:rPr>
          <w:rFonts w:ascii="Times New Roman" w:hAnsi="Times New Roman"/>
          <w:i/>
          <w:spacing w:val="18"/>
          <w:w w:val="99"/>
          <w:position w:val="1"/>
          <w:sz w:val="29"/>
        </w:rPr>
        <w:t>S</w:t>
      </w:r>
      <w:r>
        <w:rPr>
          <w:rFonts w:ascii="Times New Roman" w:hAnsi="Times New Roman"/>
          <w:i/>
          <w:w w:val="101"/>
          <w:sz w:val="11"/>
        </w:rPr>
        <w:t>i</w:t>
      </w:r>
    </w:p>
    <w:p>
      <w:pPr>
        <w:spacing w:after="0" w:line="315" w:lineRule="exact"/>
        <w:jc w:val="left"/>
        <w:rPr>
          <w:rFonts w:ascii="Times New Roman" w:hAnsi="Times New Roman"/>
          <w:sz w:val="11"/>
        </w:rPr>
        <w:sectPr>
          <w:pgSz w:w="11910" w:h="16840"/>
          <w:pgMar w:top="1340" w:right="1020" w:bottom="1180" w:left="1140" w:header="0" w:footer="917" w:gutter="0"/>
        </w:sectPr>
      </w:pPr>
    </w:p>
    <w:p>
      <w:pPr>
        <w:spacing w:before="2"/>
        <w:ind w:left="0" w:right="0" w:firstLine="0"/>
        <w:jc w:val="right"/>
        <w:rPr>
          <w:rFonts w:ascii="Times New Roman" w:hAnsi="Times New Roman"/>
          <w:sz w:val="11"/>
        </w:rPr>
      </w:pPr>
      <w:r>
        <w:rPr>
          <w:rFonts w:ascii="Times New Roman" w:hAnsi="Times New Roman"/>
          <w:i/>
          <w:sz w:val="11"/>
        </w:rPr>
        <w:t>i</w:t>
      </w:r>
      <w:r>
        <w:rPr>
          <w:rFonts w:ascii="Symbol" w:hAnsi="Symbol"/>
          <w:sz w:val="11"/>
        </w:rPr>
        <w:t></w:t>
      </w:r>
      <w:r>
        <w:rPr>
          <w:rFonts w:ascii="Times New Roman" w:hAnsi="Times New Roman"/>
          <w:sz w:val="11"/>
        </w:rPr>
        <w:t>1</w:t>
      </w:r>
    </w:p>
    <w:p>
      <w:pPr>
        <w:spacing w:before="2"/>
        <w:ind w:left="0" w:right="0" w:firstLine="0"/>
        <w:jc w:val="right"/>
        <w:rPr>
          <w:rFonts w:ascii="Times New Roman" w:hAnsi="Times New Roman"/>
          <w:sz w:val="11"/>
        </w:rPr>
      </w:pPr>
      <w:r>
        <w:br w:type="column"/>
      </w:r>
      <w:r>
        <w:rPr>
          <w:rFonts w:ascii="Times New Roman" w:hAnsi="Times New Roman"/>
          <w:i/>
          <w:sz w:val="11"/>
        </w:rPr>
        <w:t>i</w:t>
      </w:r>
      <w:r>
        <w:rPr>
          <w:rFonts w:ascii="Symbol" w:hAnsi="Symbol"/>
          <w:sz w:val="11"/>
        </w:rPr>
        <w:t></w:t>
      </w:r>
      <w:r>
        <w:rPr>
          <w:rFonts w:ascii="Times New Roman" w:hAnsi="Times New Roman"/>
          <w:sz w:val="11"/>
        </w:rPr>
        <w:t>1</w:t>
      </w:r>
    </w:p>
    <w:p>
      <w:pPr>
        <w:spacing w:before="2"/>
        <w:ind w:left="452" w:right="0" w:firstLine="0"/>
        <w:jc w:val="left"/>
        <w:rPr>
          <w:rFonts w:ascii="Times New Roman" w:hAnsi="Times New Roman"/>
          <w:sz w:val="11"/>
        </w:rPr>
      </w:pPr>
      <w:r>
        <w:br w:type="column"/>
      </w:r>
      <w:r>
        <w:rPr>
          <w:rFonts w:ascii="Times New Roman" w:hAnsi="Times New Roman"/>
          <w:i/>
          <w:sz w:val="11"/>
        </w:rPr>
        <w:t>i</w:t>
      </w:r>
      <w:r>
        <w:rPr>
          <w:rFonts w:ascii="Symbol" w:hAnsi="Symbol"/>
          <w:sz w:val="11"/>
        </w:rPr>
        <w:t></w:t>
      </w:r>
      <w:r>
        <w:rPr>
          <w:rFonts w:ascii="Times New Roman" w:hAnsi="Times New Roman"/>
          <w:sz w:val="11"/>
        </w:rPr>
        <w:t>1</w:t>
      </w:r>
    </w:p>
    <w:p>
      <w:pPr>
        <w:spacing w:after="0"/>
        <w:jc w:val="left"/>
        <w:rPr>
          <w:rFonts w:ascii="Times New Roman" w:hAnsi="Times New Roman"/>
          <w:sz w:val="11"/>
        </w:rPr>
        <w:sectPr>
          <w:type w:val="continuous"/>
          <w:pgSz w:w="11910" w:h="16840"/>
          <w:pgMar w:top="1580" w:right="1020" w:bottom="280" w:left="1140" w:header="720" w:footer="720" w:gutter="0"/>
          <w:cols w:equalWidth="0" w:num="3">
            <w:col w:w="2086" w:space="40"/>
            <w:col w:w="688" w:space="39"/>
            <w:col w:w="6897"/>
          </w:cols>
        </w:sectPr>
      </w:pPr>
    </w:p>
    <w:p>
      <w:pPr>
        <w:pStyle w:val="6"/>
        <w:spacing w:before="152"/>
        <w:ind w:left="971"/>
      </w:pPr>
      <w:r>
        <w:rPr>
          <w:position w:val="2"/>
        </w:rPr>
        <w:t>式中：</w:t>
      </w:r>
      <w:r>
        <w:rPr>
          <w:rFonts w:ascii="Times New Roman" w:hAnsi="Times New Roman" w:eastAsia="Times New Roman"/>
          <w:position w:val="2"/>
        </w:rPr>
        <w:t>M</w:t>
      </w:r>
      <w:r>
        <w:rPr>
          <w:rFonts w:ascii="Times New Roman" w:hAnsi="Times New Roman" w:eastAsia="Times New Roman"/>
          <w:position w:val="2"/>
          <w:vertAlign w:val="subscript"/>
        </w:rPr>
        <w:t>i</w:t>
      </w:r>
      <w:r>
        <w:rPr>
          <w:rFonts w:ascii="Times New Roman" w:hAnsi="Times New Roman" w:eastAsia="Times New Roman"/>
          <w:position w:val="2"/>
          <w:vertAlign w:val="baseline"/>
        </w:rPr>
        <w:t xml:space="preserve"> ——</w:t>
      </w:r>
      <w:r>
        <w:rPr>
          <w:position w:val="2"/>
          <w:vertAlign w:val="baseline"/>
        </w:rPr>
        <w:t>为水资源利用的经济效益</w:t>
      </w:r>
    </w:p>
    <w:p>
      <w:pPr>
        <w:pStyle w:val="6"/>
        <w:spacing w:before="154"/>
        <w:ind w:left="1744"/>
      </w:pPr>
      <w:r>
        <w:rPr>
          <w:rFonts w:ascii="Times New Roman" w:hAnsi="Times New Roman" w:eastAsia="Times New Roman"/>
          <w:position w:val="2"/>
        </w:rPr>
        <w:t>O</w:t>
      </w:r>
      <w:r>
        <w:rPr>
          <w:rFonts w:ascii="Times New Roman" w:hAnsi="Times New Roman" w:eastAsia="Times New Roman"/>
          <w:position w:val="2"/>
          <w:vertAlign w:val="subscript"/>
        </w:rPr>
        <w:t>i——</w:t>
      </w:r>
      <w:r>
        <w:rPr>
          <w:position w:val="2"/>
          <w:vertAlign w:val="baseline"/>
        </w:rPr>
        <w:t>为废气利用的经济效益</w:t>
      </w:r>
    </w:p>
    <w:p>
      <w:pPr>
        <w:spacing w:after="0"/>
        <w:sectPr>
          <w:type w:val="continuous"/>
          <w:pgSz w:w="11910" w:h="16840"/>
          <w:pgMar w:top="1580" w:right="1020" w:bottom="280" w:left="1140" w:header="720" w:footer="720" w:gutter="0"/>
        </w:sectPr>
      </w:pPr>
    </w:p>
    <w:p>
      <w:pPr>
        <w:pStyle w:val="6"/>
        <w:spacing w:before="58"/>
        <w:ind w:left="1768"/>
      </w:pPr>
      <w:r>
        <w:rPr>
          <w:rFonts w:ascii="Times New Roman" w:hAnsi="Times New Roman" w:eastAsia="Times New Roman"/>
          <w:position w:val="2"/>
        </w:rPr>
        <w:t>S</w:t>
      </w:r>
      <w:r>
        <w:rPr>
          <w:rFonts w:ascii="Times New Roman" w:hAnsi="Times New Roman" w:eastAsia="Times New Roman"/>
          <w:position w:val="2"/>
          <w:vertAlign w:val="subscript"/>
        </w:rPr>
        <w:t>i——</w:t>
      </w:r>
      <w:r>
        <w:rPr>
          <w:position w:val="2"/>
          <w:vertAlign w:val="baseline"/>
        </w:rPr>
        <w:t>为固废利用的经济效益</w:t>
      </w:r>
    </w:p>
    <w:p>
      <w:pPr>
        <w:pStyle w:val="6"/>
        <w:spacing w:before="11"/>
        <w:rPr>
          <w:sz w:val="13"/>
        </w:rPr>
      </w:pPr>
    </w:p>
    <w:p>
      <w:pPr>
        <w:tabs>
          <w:tab w:val="left" w:pos="2639"/>
          <w:tab w:val="left" w:pos="3332"/>
        </w:tabs>
        <w:spacing w:before="0" w:line="51" w:lineRule="exact"/>
        <w:ind w:left="2011" w:right="0" w:firstLine="0"/>
        <w:jc w:val="left"/>
        <w:rPr>
          <w:rFonts w:ascii="Times New Roman"/>
          <w:i/>
          <w:sz w:val="11"/>
        </w:rPr>
      </w:pPr>
      <w:r>
        <w:rPr>
          <w:rFonts w:ascii="Times New Roman"/>
          <w:i/>
          <w:sz w:val="11"/>
        </w:rPr>
        <w:t>n</w:t>
      </w:r>
      <w:r>
        <w:rPr>
          <w:rFonts w:ascii="Times New Roman"/>
          <w:i/>
          <w:sz w:val="11"/>
        </w:rPr>
        <w:tab/>
      </w:r>
      <w:r>
        <w:rPr>
          <w:rFonts w:ascii="Times New Roman"/>
          <w:i/>
          <w:sz w:val="11"/>
        </w:rPr>
        <w:t>n</w:t>
      </w:r>
      <w:r>
        <w:rPr>
          <w:rFonts w:ascii="Times New Roman"/>
          <w:i/>
          <w:sz w:val="11"/>
        </w:rPr>
        <w:tab/>
      </w:r>
      <w:r>
        <w:rPr>
          <w:rFonts w:ascii="Times New Roman"/>
          <w:i/>
          <w:sz w:val="11"/>
        </w:rPr>
        <w:t>i</w:t>
      </w:r>
    </w:p>
    <w:p>
      <w:pPr>
        <w:spacing w:before="0" w:line="315" w:lineRule="exact"/>
        <w:ind w:left="1488" w:right="0" w:firstLine="0"/>
        <w:jc w:val="left"/>
        <w:rPr>
          <w:rFonts w:ascii="Times New Roman" w:hAnsi="Times New Roman"/>
          <w:i/>
          <w:sz w:val="11"/>
        </w:rPr>
      </w:pPr>
      <w:r>
        <w:rPr>
          <w:rFonts w:ascii="Times New Roman" w:hAnsi="Times New Roman"/>
          <w:i/>
          <w:spacing w:val="7"/>
          <w:w w:val="99"/>
          <w:position w:val="1"/>
          <w:sz w:val="29"/>
        </w:rPr>
        <w:t>R</w:t>
      </w:r>
      <w:r>
        <w:rPr>
          <w:rFonts w:ascii="Times New Roman" w:hAnsi="Times New Roman"/>
          <w:w w:val="101"/>
          <w:sz w:val="11"/>
        </w:rPr>
        <w:t>2</w:t>
      </w:r>
      <w:r>
        <w:rPr>
          <w:rFonts w:ascii="Times New Roman" w:hAnsi="Times New Roman"/>
          <w:sz w:val="11"/>
        </w:rPr>
        <w:t xml:space="preserve"> </w:t>
      </w:r>
      <w:r>
        <w:rPr>
          <w:rFonts w:ascii="Times New Roman" w:hAnsi="Times New Roman"/>
          <w:spacing w:val="-3"/>
          <w:sz w:val="11"/>
        </w:rPr>
        <w:t xml:space="preserve"> </w:t>
      </w:r>
      <w:r>
        <w:rPr>
          <w:rFonts w:ascii="Symbol" w:hAnsi="Symbol"/>
          <w:w w:val="101"/>
          <w:position w:val="7"/>
          <w:sz w:val="19"/>
        </w:rPr>
        <w:t></w:t>
      </w:r>
      <w:r>
        <w:rPr>
          <w:rFonts w:ascii="Times New Roman" w:hAnsi="Times New Roman"/>
          <w:spacing w:val="3"/>
          <w:position w:val="7"/>
          <w:sz w:val="19"/>
        </w:rPr>
        <w:t xml:space="preserve"> </w:t>
      </w:r>
      <w:r>
        <w:rPr>
          <w:rFonts w:ascii="Symbol" w:hAnsi="Symbol"/>
          <w:w w:val="99"/>
          <w:position w:val="3"/>
          <w:sz w:val="29"/>
        </w:rPr>
        <w:t></w:t>
      </w:r>
      <w:r>
        <w:rPr>
          <w:rFonts w:ascii="Times New Roman" w:hAnsi="Times New Roman"/>
          <w:spacing w:val="-33"/>
          <w:position w:val="3"/>
          <w:sz w:val="29"/>
        </w:rPr>
        <w:t xml:space="preserve"> </w:t>
      </w:r>
      <w:r>
        <w:rPr>
          <w:rFonts w:ascii="Times New Roman" w:hAnsi="Times New Roman"/>
          <w:i/>
          <w:w w:val="99"/>
          <w:position w:val="1"/>
          <w:sz w:val="29"/>
        </w:rPr>
        <w:t>J</w:t>
      </w:r>
      <w:r>
        <w:rPr>
          <w:rFonts w:ascii="Times New Roman" w:hAnsi="Times New Roman"/>
          <w:i/>
          <w:spacing w:val="-40"/>
          <w:position w:val="1"/>
          <w:sz w:val="29"/>
        </w:rPr>
        <w:t xml:space="preserve"> </w:t>
      </w:r>
      <w:r>
        <w:rPr>
          <w:rFonts w:ascii="Times New Roman" w:hAnsi="Times New Roman"/>
          <w:i/>
          <w:w w:val="101"/>
          <w:sz w:val="11"/>
        </w:rPr>
        <w:t>i</w:t>
      </w:r>
      <w:r>
        <w:rPr>
          <w:rFonts w:ascii="Times New Roman" w:hAnsi="Times New Roman"/>
          <w:i/>
          <w:sz w:val="11"/>
        </w:rPr>
        <w:t xml:space="preserve"> </w:t>
      </w:r>
      <w:r>
        <w:rPr>
          <w:rFonts w:ascii="Times New Roman" w:hAnsi="Times New Roman"/>
          <w:i/>
          <w:spacing w:val="-11"/>
          <w:sz w:val="11"/>
        </w:rPr>
        <w:t xml:space="preserve"> </w:t>
      </w:r>
      <w:r>
        <w:rPr>
          <w:rFonts w:ascii="Symbol" w:hAnsi="Symbol"/>
          <w:w w:val="101"/>
          <w:position w:val="7"/>
          <w:sz w:val="19"/>
        </w:rPr>
        <w:t></w:t>
      </w:r>
      <w:r>
        <w:rPr>
          <w:rFonts w:ascii="Times New Roman" w:hAnsi="Times New Roman"/>
          <w:spacing w:val="-7"/>
          <w:position w:val="7"/>
          <w:sz w:val="19"/>
        </w:rPr>
        <w:t xml:space="preserve"> </w:t>
      </w:r>
      <w:r>
        <w:rPr>
          <w:rFonts w:ascii="Symbol" w:hAnsi="Symbol"/>
          <w:w w:val="99"/>
          <w:position w:val="3"/>
          <w:sz w:val="29"/>
        </w:rPr>
        <w:t></w:t>
      </w:r>
      <w:r>
        <w:rPr>
          <w:rFonts w:ascii="Times New Roman" w:hAnsi="Times New Roman"/>
          <w:spacing w:val="-38"/>
          <w:position w:val="3"/>
          <w:sz w:val="29"/>
        </w:rPr>
        <w:t xml:space="preserve"> </w:t>
      </w:r>
      <w:r>
        <w:rPr>
          <w:rFonts w:ascii="Times New Roman" w:hAnsi="Times New Roman"/>
          <w:i/>
          <w:spacing w:val="28"/>
          <w:w w:val="99"/>
          <w:position w:val="1"/>
          <w:sz w:val="29"/>
        </w:rPr>
        <w:t>K</w:t>
      </w:r>
      <w:r>
        <w:rPr>
          <w:rFonts w:ascii="Times New Roman" w:hAnsi="Times New Roman"/>
          <w:i/>
          <w:w w:val="101"/>
          <w:sz w:val="11"/>
        </w:rPr>
        <w:t>i</w:t>
      </w:r>
      <w:r>
        <w:rPr>
          <w:rFonts w:ascii="Times New Roman" w:hAnsi="Times New Roman"/>
          <w:i/>
          <w:sz w:val="11"/>
        </w:rPr>
        <w:t xml:space="preserve"> </w:t>
      </w:r>
      <w:r>
        <w:rPr>
          <w:rFonts w:ascii="Times New Roman" w:hAnsi="Times New Roman"/>
          <w:i/>
          <w:spacing w:val="-11"/>
          <w:sz w:val="11"/>
        </w:rPr>
        <w:t xml:space="preserve"> </w:t>
      </w:r>
      <w:r>
        <w:rPr>
          <w:rFonts w:ascii="Symbol" w:hAnsi="Symbol"/>
          <w:w w:val="101"/>
          <w:position w:val="7"/>
          <w:sz w:val="19"/>
        </w:rPr>
        <w:t></w:t>
      </w:r>
      <w:r>
        <w:rPr>
          <w:rFonts w:ascii="Times New Roman" w:hAnsi="Times New Roman"/>
          <w:spacing w:val="-7"/>
          <w:position w:val="7"/>
          <w:sz w:val="19"/>
        </w:rPr>
        <w:t xml:space="preserve"> </w:t>
      </w:r>
      <w:r>
        <w:rPr>
          <w:rFonts w:ascii="Symbol" w:hAnsi="Symbol"/>
          <w:w w:val="99"/>
          <w:position w:val="3"/>
          <w:sz w:val="29"/>
        </w:rPr>
        <w:t></w:t>
      </w:r>
      <w:r>
        <w:rPr>
          <w:rFonts w:ascii="Times New Roman" w:hAnsi="Times New Roman"/>
          <w:spacing w:val="-37"/>
          <w:position w:val="3"/>
          <w:sz w:val="29"/>
        </w:rPr>
        <w:t xml:space="preserve"> </w:t>
      </w:r>
      <w:r>
        <w:rPr>
          <w:rFonts w:ascii="Times New Roman" w:hAnsi="Times New Roman"/>
          <w:i/>
          <w:spacing w:val="12"/>
          <w:w w:val="99"/>
          <w:position w:val="1"/>
          <w:sz w:val="29"/>
        </w:rPr>
        <w:t>E</w:t>
      </w:r>
      <w:r>
        <w:rPr>
          <w:rFonts w:ascii="Times New Roman" w:hAnsi="Times New Roman"/>
          <w:i/>
          <w:w w:val="101"/>
          <w:sz w:val="11"/>
        </w:rPr>
        <w:t>i</w:t>
      </w:r>
    </w:p>
    <w:p>
      <w:pPr>
        <w:spacing w:after="0" w:line="315" w:lineRule="exact"/>
        <w:jc w:val="left"/>
        <w:rPr>
          <w:rFonts w:ascii="Times New Roman" w:hAnsi="Times New Roman"/>
          <w:sz w:val="11"/>
        </w:rPr>
        <w:sectPr>
          <w:pgSz w:w="11910" w:h="16840"/>
          <w:pgMar w:top="1340" w:right="1020" w:bottom="1180" w:left="1140" w:header="0" w:footer="917" w:gutter="0"/>
        </w:sectPr>
      </w:pPr>
    </w:p>
    <w:p>
      <w:pPr>
        <w:spacing w:before="2"/>
        <w:ind w:left="0" w:right="0" w:firstLine="0"/>
        <w:jc w:val="right"/>
        <w:rPr>
          <w:rFonts w:ascii="Times New Roman" w:hAnsi="Times New Roman"/>
          <w:sz w:val="11"/>
        </w:rPr>
      </w:pPr>
      <w:r>
        <w:rPr>
          <w:rFonts w:ascii="Times New Roman" w:hAnsi="Times New Roman"/>
          <w:i/>
          <w:sz w:val="11"/>
        </w:rPr>
        <w:t>i</w:t>
      </w:r>
      <w:r>
        <w:rPr>
          <w:rFonts w:ascii="Symbol" w:hAnsi="Symbol"/>
          <w:sz w:val="11"/>
        </w:rPr>
        <w:t></w:t>
      </w:r>
      <w:r>
        <w:rPr>
          <w:rFonts w:ascii="Times New Roman" w:hAnsi="Times New Roman"/>
          <w:sz w:val="11"/>
        </w:rPr>
        <w:t>1</w:t>
      </w:r>
    </w:p>
    <w:p>
      <w:pPr>
        <w:spacing w:before="2"/>
        <w:ind w:left="0" w:right="0" w:firstLine="0"/>
        <w:jc w:val="right"/>
        <w:rPr>
          <w:rFonts w:ascii="Times New Roman" w:hAnsi="Times New Roman"/>
          <w:sz w:val="11"/>
        </w:rPr>
      </w:pPr>
      <w:r>
        <w:br w:type="column"/>
      </w:r>
      <w:r>
        <w:rPr>
          <w:rFonts w:ascii="Times New Roman" w:hAnsi="Times New Roman"/>
          <w:i/>
          <w:sz w:val="11"/>
        </w:rPr>
        <w:t>i</w:t>
      </w:r>
      <w:r>
        <w:rPr>
          <w:rFonts w:ascii="Symbol" w:hAnsi="Symbol"/>
          <w:sz w:val="11"/>
        </w:rPr>
        <w:t></w:t>
      </w:r>
      <w:r>
        <w:rPr>
          <w:rFonts w:ascii="Times New Roman" w:hAnsi="Times New Roman"/>
          <w:sz w:val="11"/>
        </w:rPr>
        <w:t>1</w:t>
      </w:r>
    </w:p>
    <w:p>
      <w:pPr>
        <w:spacing w:before="2"/>
        <w:ind w:left="490" w:right="0" w:firstLine="0"/>
        <w:jc w:val="left"/>
        <w:rPr>
          <w:rFonts w:ascii="Times New Roman" w:hAnsi="Times New Roman"/>
          <w:sz w:val="11"/>
        </w:rPr>
      </w:pPr>
      <w:r>
        <w:br w:type="column"/>
      </w:r>
      <w:r>
        <w:rPr>
          <w:rFonts w:ascii="Times New Roman" w:hAnsi="Times New Roman"/>
          <w:i/>
          <w:sz w:val="11"/>
        </w:rPr>
        <w:t>i</w:t>
      </w:r>
      <w:r>
        <w:rPr>
          <w:rFonts w:ascii="Symbol" w:hAnsi="Symbol"/>
          <w:sz w:val="11"/>
        </w:rPr>
        <w:t></w:t>
      </w:r>
      <w:r>
        <w:rPr>
          <w:rFonts w:ascii="Times New Roman" w:hAnsi="Times New Roman"/>
          <w:sz w:val="11"/>
        </w:rPr>
        <w:t>1</w:t>
      </w:r>
    </w:p>
    <w:p>
      <w:pPr>
        <w:spacing w:after="0"/>
        <w:jc w:val="left"/>
        <w:rPr>
          <w:rFonts w:ascii="Times New Roman" w:hAnsi="Times New Roman"/>
          <w:sz w:val="11"/>
        </w:rPr>
        <w:sectPr>
          <w:type w:val="continuous"/>
          <w:pgSz w:w="11910" w:h="16840"/>
          <w:pgMar w:top="1580" w:right="1020" w:bottom="280" w:left="1140" w:header="720" w:footer="720" w:gutter="0"/>
          <w:cols w:equalWidth="0" w:num="3">
            <w:col w:w="2120" w:space="40"/>
            <w:col w:w="589" w:space="39"/>
            <w:col w:w="6962"/>
          </w:cols>
        </w:sectPr>
      </w:pPr>
    </w:p>
    <w:p>
      <w:pPr>
        <w:pStyle w:val="6"/>
        <w:spacing w:before="152"/>
        <w:ind w:left="971"/>
      </w:pPr>
      <w:r>
        <w:rPr>
          <w:position w:val="2"/>
        </w:rPr>
        <w:t>式中：</w:t>
      </w:r>
      <w:r>
        <w:rPr>
          <w:rFonts w:ascii="Times New Roman" w:hAnsi="Times New Roman" w:eastAsia="Times New Roman"/>
          <w:position w:val="2"/>
        </w:rPr>
        <w:t>J</w:t>
      </w:r>
      <w:r>
        <w:rPr>
          <w:rFonts w:ascii="Times New Roman" w:hAnsi="Times New Roman" w:eastAsia="Times New Roman"/>
          <w:position w:val="2"/>
          <w:vertAlign w:val="subscript"/>
        </w:rPr>
        <w:t>i</w:t>
      </w:r>
      <w:r>
        <w:rPr>
          <w:rFonts w:ascii="Times New Roman" w:hAnsi="Times New Roman" w:eastAsia="Times New Roman"/>
          <w:position w:val="2"/>
          <w:vertAlign w:val="baseline"/>
        </w:rPr>
        <w:t>—</w:t>
      </w:r>
      <w:r>
        <w:rPr>
          <w:position w:val="2"/>
          <w:vertAlign w:val="baseline"/>
        </w:rPr>
        <w:t>为控制污染后对环境减少的损失</w:t>
      </w:r>
    </w:p>
    <w:p>
      <w:pPr>
        <w:pStyle w:val="6"/>
        <w:spacing w:before="156"/>
        <w:ind w:left="1668"/>
      </w:pPr>
      <w:r>
        <w:rPr>
          <w:rFonts w:ascii="Times New Roman" w:hAnsi="Times New Roman" w:eastAsia="Times New Roman"/>
          <w:position w:val="2"/>
        </w:rPr>
        <w:t>K</w:t>
      </w:r>
      <w:r>
        <w:rPr>
          <w:rFonts w:ascii="Times New Roman" w:hAnsi="Times New Roman" w:eastAsia="Times New Roman"/>
          <w:position w:val="2"/>
          <w:vertAlign w:val="subscript"/>
        </w:rPr>
        <w:t>i——</w:t>
      </w:r>
      <w:r>
        <w:rPr>
          <w:position w:val="2"/>
          <w:vertAlign w:val="baseline"/>
        </w:rPr>
        <w:t>为控制污染后对人体健康减少的损失</w:t>
      </w:r>
    </w:p>
    <w:p>
      <w:pPr>
        <w:pStyle w:val="6"/>
        <w:spacing w:before="154"/>
        <w:ind w:left="1692"/>
      </w:pPr>
      <w:r>
        <w:rPr>
          <w:rFonts w:ascii="Times New Roman" w:hAnsi="Times New Roman" w:eastAsia="Times New Roman"/>
          <w:position w:val="2"/>
        </w:rPr>
        <w:t>E</w:t>
      </w:r>
      <w:r>
        <w:rPr>
          <w:rFonts w:ascii="Times New Roman" w:hAnsi="Times New Roman" w:eastAsia="Times New Roman"/>
          <w:position w:val="2"/>
          <w:vertAlign w:val="subscript"/>
        </w:rPr>
        <w:t>i</w:t>
      </w:r>
      <w:r>
        <w:rPr>
          <w:rFonts w:ascii="Times New Roman" w:hAnsi="Times New Roman" w:eastAsia="Times New Roman"/>
          <w:position w:val="2"/>
          <w:vertAlign w:val="baseline"/>
        </w:rPr>
        <w:t>—</w:t>
      </w:r>
      <w:r>
        <w:rPr>
          <w:position w:val="2"/>
          <w:vertAlign w:val="baseline"/>
        </w:rPr>
        <w:t>为控制污染后减少的排污费、赔偿费、罚款等</w:t>
      </w:r>
    </w:p>
    <w:p>
      <w:pPr>
        <w:pStyle w:val="6"/>
        <w:spacing w:before="159"/>
        <w:ind w:right="338"/>
        <w:jc w:val="right"/>
        <w:rPr>
          <w:rFonts w:ascii="Times New Roman" w:eastAsia="Times New Roman"/>
        </w:rPr>
      </w:pPr>
      <w:r>
        <w:rPr>
          <w:spacing w:val="-4"/>
        </w:rPr>
        <w:t xml:space="preserve">具体分析如下：每年处理后回用水 </w:t>
      </w:r>
      <w:r>
        <w:rPr>
          <w:rFonts w:ascii="Times New Roman" w:eastAsia="Times New Roman"/>
        </w:rPr>
        <w:t>15.68</w:t>
      </w:r>
      <w:r>
        <w:rPr>
          <w:rFonts w:ascii="Times New Roman" w:eastAsia="Times New Roman"/>
          <w:spacing w:val="8"/>
        </w:rPr>
        <w:t xml:space="preserve"> </w:t>
      </w:r>
      <w:r>
        <w:rPr>
          <w:spacing w:val="-28"/>
        </w:rPr>
        <w:t xml:space="preserve">万 </w:t>
      </w:r>
      <w:r>
        <w:rPr>
          <w:rFonts w:ascii="Times New Roman" w:eastAsia="Times New Roman"/>
          <w:spacing w:val="3"/>
        </w:rPr>
        <w:t>t</w:t>
      </w:r>
      <w:r>
        <w:rPr>
          <w:spacing w:val="-10"/>
        </w:rPr>
        <w:t xml:space="preserve">，按单价 </w:t>
      </w:r>
      <w:r>
        <w:rPr>
          <w:rFonts w:ascii="Times New Roman" w:eastAsia="Times New Roman"/>
        </w:rPr>
        <w:t>2</w:t>
      </w:r>
      <w:r>
        <w:rPr>
          <w:rFonts w:ascii="Times New Roman" w:eastAsia="Times New Roman"/>
          <w:spacing w:val="8"/>
        </w:rPr>
        <w:t xml:space="preserve"> </w:t>
      </w:r>
      <w:r>
        <w:rPr>
          <w:spacing w:val="-6"/>
        </w:rPr>
        <w:t xml:space="preserve">元计算，每年可节约 </w:t>
      </w:r>
      <w:r>
        <w:rPr>
          <w:rFonts w:ascii="Times New Roman" w:eastAsia="Times New Roman"/>
        </w:rPr>
        <w:t>31.36</w:t>
      </w:r>
    </w:p>
    <w:p>
      <w:pPr>
        <w:pStyle w:val="6"/>
        <w:spacing w:before="158"/>
        <w:ind w:right="338"/>
        <w:jc w:val="right"/>
        <w:rPr>
          <w:rFonts w:ascii="Times New Roman" w:eastAsia="Times New Roman"/>
        </w:rPr>
      </w:pPr>
      <w:r>
        <w:rPr>
          <w:spacing w:val="-13"/>
        </w:rPr>
        <w:t xml:space="preserve">万元，同时对废水、废气、噪声和固废的治理每年可减少排污费 </w:t>
      </w:r>
      <w:r>
        <w:rPr>
          <w:rFonts w:ascii="Times New Roman" w:eastAsia="Times New Roman"/>
        </w:rPr>
        <w:t xml:space="preserve">20 </w:t>
      </w:r>
      <w:r>
        <w:rPr>
          <w:spacing w:val="-12"/>
        </w:rPr>
        <w:t xml:space="preserve">万元，减少赔偿费 </w:t>
      </w:r>
      <w:r>
        <w:rPr>
          <w:rFonts w:ascii="Times New Roman" w:eastAsia="Times New Roman"/>
        </w:rPr>
        <w:t>25</w:t>
      </w:r>
    </w:p>
    <w:p>
      <w:pPr>
        <w:pStyle w:val="6"/>
        <w:spacing w:before="161"/>
        <w:ind w:left="220"/>
      </w:pPr>
      <w:r>
        <w:t xml:space="preserve">万元，合计 </w:t>
      </w:r>
      <w:r>
        <w:rPr>
          <w:rFonts w:ascii="Times New Roman" w:eastAsia="Times New Roman"/>
        </w:rPr>
        <w:t xml:space="preserve">76.36 </w:t>
      </w:r>
      <w:r>
        <w:t>万元。</w:t>
      </w:r>
    </w:p>
    <w:p>
      <w:pPr>
        <w:pStyle w:val="5"/>
        <w:numPr>
          <w:ilvl w:val="2"/>
          <w:numId w:val="108"/>
        </w:numPr>
        <w:tabs>
          <w:tab w:val="left" w:pos="881"/>
        </w:tabs>
        <w:spacing w:before="158" w:after="0" w:line="240" w:lineRule="auto"/>
        <w:ind w:left="880" w:right="0" w:hanging="661"/>
        <w:jc w:val="left"/>
        <w:rPr>
          <w:rFonts w:ascii="Times New Roman" w:eastAsia="Times New Roman"/>
        </w:rPr>
      </w:pPr>
      <w:bookmarkStart w:id="1306" w:name="16.4.2费用效益比"/>
      <w:bookmarkEnd w:id="1306"/>
      <w:bookmarkStart w:id="1307" w:name="16.4.2费用效益比"/>
      <w:bookmarkEnd w:id="1307"/>
      <w:r>
        <w:t>费用效益比</w:t>
      </w:r>
    </w:p>
    <w:p>
      <w:pPr>
        <w:pStyle w:val="6"/>
        <w:spacing w:before="160" w:line="362" w:lineRule="auto"/>
        <w:ind w:left="220" w:right="338" w:firstLine="480"/>
      </w:pPr>
      <w:r>
        <w:t>费用效益比指因环境污染治理减少的经济损失与年环保费用的百分比，即单位环保费用所产生的经济价值。</w:t>
      </w:r>
    </w:p>
    <w:p>
      <w:pPr>
        <w:pStyle w:val="6"/>
        <w:spacing w:before="5"/>
        <w:ind w:left="580"/>
      </w:pPr>
      <w:r>
        <mc:AlternateContent>
          <mc:Choice Requires="wps">
            <w:drawing>
              <wp:anchor distT="0" distB="0" distL="0" distR="0" simplePos="0" relativeHeight="251816960" behindDoc="1" locked="0" layoutInCell="1" allowOverlap="1">
                <wp:simplePos x="0" y="0"/>
                <wp:positionH relativeFrom="page">
                  <wp:posOffset>3199765</wp:posOffset>
                </wp:positionH>
                <wp:positionV relativeFrom="paragraph">
                  <wp:posOffset>313055</wp:posOffset>
                </wp:positionV>
                <wp:extent cx="44450" cy="97790"/>
                <wp:effectExtent l="0" t="0" r="0" b="0"/>
                <wp:wrapTopAndBottom/>
                <wp:docPr id="260" name="文本框 221"/>
                <wp:cNvGraphicFramePr/>
                <a:graphic xmlns:a="http://schemas.openxmlformats.org/drawingml/2006/main">
                  <a:graphicData uri="http://schemas.microsoft.com/office/word/2010/wordprocessingShape">
                    <wps:wsp>
                      <wps:cNvSpPr txBox="1"/>
                      <wps:spPr>
                        <a:xfrm>
                          <a:off x="0" y="0"/>
                          <a:ext cx="44450" cy="97790"/>
                        </a:xfrm>
                        <a:prstGeom prst="rect">
                          <a:avLst/>
                        </a:prstGeom>
                        <a:noFill/>
                        <a:ln>
                          <a:noFill/>
                        </a:ln>
                      </wps:spPr>
                      <wps:txbx>
                        <w:txbxContent>
                          <w:p>
                            <w:pPr>
                              <w:spacing w:before="0" w:line="154" w:lineRule="exact"/>
                              <w:ind w:left="0" w:right="0" w:firstLine="0"/>
                              <w:jc w:val="left"/>
                              <w:rPr>
                                <w:rFonts w:ascii="Times New Roman"/>
                                <w:i/>
                                <w:sz w:val="14"/>
                              </w:rPr>
                            </w:pPr>
                            <w:r>
                              <w:rPr>
                                <w:rFonts w:ascii="Times New Roman"/>
                                <w:i/>
                                <w:w w:val="99"/>
                                <w:sz w:val="14"/>
                              </w:rPr>
                              <w:t>n</w:t>
                            </w:r>
                          </w:p>
                        </w:txbxContent>
                      </wps:txbx>
                      <wps:bodyPr lIns="0" tIns="0" rIns="0" bIns="0" upright="1"/>
                    </wps:wsp>
                  </a:graphicData>
                </a:graphic>
              </wp:anchor>
            </w:drawing>
          </mc:Choice>
          <mc:Fallback>
            <w:pict>
              <v:shape id="文本框 221" o:spid="_x0000_s1026" o:spt="202" type="#_x0000_t202" style="position:absolute;left:0pt;margin-left:251.95pt;margin-top:24.65pt;height:7.7pt;width:3.5pt;mso-position-horizontal-relative:page;mso-wrap-distance-bottom:0pt;mso-wrap-distance-top:0pt;z-index:-251499520;mso-width-relative:page;mso-height-relative:page;" filled="f" stroked="f" coordsize="21600,21600" o:gfxdata="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kN0pL2AAAAAkBAAAPAAAAAAAA&#10;AAEAIAAAACIAAABkcnMvZG93bnJldi54bWxQSwECFAAUAAAACACHTuJAKEP1waABAAAlAwAADgAA&#10;AAAAAAABACAAAAAnAQAAZHJzL2Uyb0RvYy54bWxQSwUGAAAAAAYABgBZAQAAOQUAAAAA&#10;">
                <v:fill on="f" focussize="0,0"/>
                <v:stroke on="f"/>
                <v:imagedata o:title=""/>
                <o:lock v:ext="edit" aspectratio="f"/>
                <v:textbox inset="0mm,0mm,0mm,0mm">
                  <w:txbxContent>
                    <w:p>
                      <w:pPr>
                        <w:spacing w:before="0" w:line="154" w:lineRule="exact"/>
                        <w:ind w:left="0" w:right="0" w:firstLine="0"/>
                        <w:jc w:val="left"/>
                        <w:rPr>
                          <w:rFonts w:ascii="Times New Roman"/>
                          <w:i/>
                          <w:sz w:val="14"/>
                        </w:rPr>
                      </w:pPr>
                      <w:r>
                        <w:rPr>
                          <w:rFonts w:ascii="Times New Roman"/>
                          <w:i/>
                          <w:w w:val="99"/>
                          <w:sz w:val="14"/>
                        </w:rPr>
                        <w:t>n</w:t>
                      </w:r>
                    </w:p>
                  </w:txbxContent>
                </v:textbox>
                <w10:wrap type="topAndBottom"/>
              </v:shape>
            </w:pict>
          </mc:Fallback>
        </mc:AlternateContent>
      </w:r>
      <w:r>
        <w:t>费用效益比按下式计算：</w:t>
      </w:r>
    </w:p>
    <w:p>
      <w:pPr>
        <w:pStyle w:val="6"/>
        <w:spacing w:before="5"/>
        <w:rPr>
          <w:sz w:val="11"/>
        </w:rPr>
      </w:pPr>
    </w:p>
    <w:p>
      <w:pPr>
        <w:spacing w:before="0" w:line="310" w:lineRule="exact"/>
        <w:ind w:left="0" w:right="1621" w:firstLine="0"/>
        <w:jc w:val="center"/>
        <w:rPr>
          <w:rFonts w:ascii="Times New Roman" w:hAnsi="Times New Roman"/>
          <w:i/>
          <w:sz w:val="24"/>
        </w:rPr>
      </w:pPr>
      <w:r>
        <w:rPr>
          <w:rFonts w:ascii="Symbol" w:hAnsi="Symbol"/>
          <w:position w:val="-5"/>
          <w:sz w:val="35"/>
        </w:rPr>
        <w:t></w:t>
      </w:r>
      <w:r>
        <w:rPr>
          <w:rFonts w:ascii="Times New Roman" w:hAnsi="Times New Roman"/>
          <w:position w:val="-5"/>
          <w:sz w:val="35"/>
        </w:rPr>
        <w:t xml:space="preserve"> </w:t>
      </w:r>
      <w:r>
        <w:rPr>
          <w:rFonts w:ascii="Times New Roman" w:hAnsi="Times New Roman"/>
          <w:i/>
          <w:sz w:val="24"/>
        </w:rPr>
        <w:t>Ri</w:t>
      </w:r>
    </w:p>
    <w:p>
      <w:pPr>
        <w:tabs>
          <w:tab w:val="left" w:pos="1072"/>
        </w:tabs>
        <w:spacing w:before="0" w:line="225" w:lineRule="exact"/>
        <w:ind w:left="0" w:right="2149" w:firstLine="0"/>
        <w:jc w:val="center"/>
        <w:rPr>
          <w:rFonts w:ascii="Times New Roman" w:hAnsi="Times New Roman"/>
          <w:sz w:val="14"/>
        </w:rPr>
      </w:pPr>
      <w:r>
        <w:rPr>
          <w:rFonts w:ascii="Times New Roman" w:hAnsi="Times New Roman"/>
          <w:i/>
          <w:position w:val="-9"/>
          <w:sz w:val="24"/>
        </w:rPr>
        <w:t xml:space="preserve">ZJ  </w:t>
      </w:r>
      <w:r>
        <w:rPr>
          <w:rFonts w:ascii="Symbol" w:hAnsi="Symbol"/>
          <w:position w:val="-9"/>
          <w:sz w:val="24"/>
        </w:rPr>
        <w:t></w:t>
      </w:r>
      <w:r>
        <w:rPr>
          <w:rFonts w:ascii="Times New Roman" w:hAnsi="Times New Roman"/>
          <w:spacing w:val="33"/>
          <w:sz w:val="24"/>
          <w:u w:val="single"/>
        </w:rPr>
        <w:t xml:space="preserve"> </w:t>
      </w:r>
      <w:r>
        <w:rPr>
          <w:rFonts w:ascii="Times New Roman" w:hAnsi="Times New Roman"/>
          <w:i/>
          <w:sz w:val="14"/>
          <w:u w:val="single"/>
        </w:rPr>
        <w:t>i</w:t>
      </w:r>
      <w:r>
        <w:rPr>
          <w:rFonts w:ascii="Symbol" w:hAnsi="Symbol"/>
          <w:sz w:val="14"/>
          <w:u w:val="single"/>
        </w:rPr>
        <w:t></w:t>
      </w:r>
      <w:r>
        <w:rPr>
          <w:rFonts w:ascii="Times New Roman" w:hAnsi="Times New Roman"/>
          <w:sz w:val="14"/>
          <w:u w:val="single"/>
        </w:rPr>
        <w:t>1</w:t>
      </w:r>
      <w:r>
        <w:rPr>
          <w:rFonts w:ascii="Times New Roman" w:hAnsi="Times New Roman"/>
          <w:sz w:val="14"/>
          <w:u w:val="single"/>
        </w:rPr>
        <w:tab/>
      </w:r>
    </w:p>
    <w:p>
      <w:pPr>
        <w:spacing w:before="0" w:line="231" w:lineRule="exact"/>
        <w:ind w:left="0" w:right="1619" w:firstLine="0"/>
        <w:jc w:val="center"/>
        <w:rPr>
          <w:rFonts w:ascii="Times New Roman"/>
          <w:i/>
          <w:sz w:val="24"/>
        </w:rPr>
      </w:pPr>
      <w:r>
        <w:rPr>
          <w:rFonts w:ascii="Times New Roman"/>
          <w:i/>
          <w:sz w:val="24"/>
        </w:rPr>
        <w:t>HE</w:t>
      </w:r>
    </w:p>
    <w:p>
      <w:pPr>
        <w:pStyle w:val="6"/>
        <w:spacing w:before="140"/>
        <w:ind w:left="580"/>
      </w:pPr>
      <w:r>
        <w:t>式中：</w:t>
      </w:r>
      <w:r>
        <w:rPr>
          <w:rFonts w:ascii="Times New Roman" w:hAnsi="Times New Roman" w:eastAsia="Times New Roman"/>
        </w:rPr>
        <w:t>ZJ——</w:t>
      </w:r>
      <w:r>
        <w:t>费用效益比</w:t>
      </w:r>
    </w:p>
    <w:p>
      <w:pPr>
        <w:pStyle w:val="6"/>
        <w:spacing w:before="158" w:line="364" w:lineRule="auto"/>
        <w:ind w:left="1300" w:right="3897"/>
      </w:pPr>
      <w:r>
        <w:rPr>
          <w:rFonts w:ascii="Times New Roman" w:hAnsi="Times New Roman" w:eastAsia="Times New Roman"/>
        </w:rPr>
        <w:t>Ri——</w:t>
      </w:r>
      <w:r>
        <w:t>因污染防治而减少的经济损失，万元</w:t>
      </w:r>
      <w:r>
        <w:rPr>
          <w:rFonts w:ascii="Times New Roman" w:hAnsi="Times New Roman" w:eastAsia="Times New Roman"/>
        </w:rPr>
        <w:t>HE——</w:t>
      </w:r>
      <w:r>
        <w:t>年环保费用，万元。</w:t>
      </w:r>
    </w:p>
    <w:p>
      <w:pPr>
        <w:pStyle w:val="6"/>
        <w:spacing w:before="1"/>
        <w:ind w:left="700"/>
      </w:pPr>
      <w:r>
        <w:t xml:space="preserve">通过计算，费用效益比为 </w:t>
      </w:r>
      <w:r>
        <w:rPr>
          <w:rFonts w:ascii="Times New Roman" w:eastAsia="Times New Roman"/>
        </w:rPr>
        <w:t>1.31</w:t>
      </w:r>
      <w:r>
        <w:t>。说明此项目具有良好的环境效益。</w:t>
      </w:r>
    </w:p>
    <w:p>
      <w:pPr>
        <w:pStyle w:val="4"/>
        <w:numPr>
          <w:ilvl w:val="1"/>
          <w:numId w:val="108"/>
        </w:numPr>
        <w:tabs>
          <w:tab w:val="left" w:pos="780"/>
        </w:tabs>
        <w:spacing w:before="159" w:after="0" w:line="240" w:lineRule="auto"/>
        <w:ind w:left="780" w:right="0" w:hanging="560"/>
        <w:jc w:val="left"/>
      </w:pPr>
      <w:bookmarkStart w:id="1308" w:name="_bookmark97"/>
      <w:bookmarkEnd w:id="1308"/>
      <w:bookmarkStart w:id="1309" w:name="16.5环境经济分析结论"/>
      <w:bookmarkEnd w:id="1309"/>
      <w:bookmarkStart w:id="1310" w:name="_bookmark97"/>
      <w:bookmarkEnd w:id="1310"/>
      <w:r>
        <w:t>环境经济分析结论</w:t>
      </w:r>
    </w:p>
    <w:p>
      <w:pPr>
        <w:pStyle w:val="6"/>
        <w:spacing w:before="185" w:line="362" w:lineRule="auto"/>
        <w:ind w:left="220" w:right="218" w:firstLine="559"/>
      </w:pPr>
      <w:r>
        <w:rPr>
          <w:spacing w:val="-2"/>
        </w:rPr>
        <w:t>通过以上对本工程建设的社会、经济和环境效益分析可知，本项目的建设能够达到</w:t>
      </w:r>
      <w:r>
        <w:rPr>
          <w:spacing w:val="-9"/>
        </w:rPr>
        <w:t>经济效益、社会效益和环境效益的统一。从环境经济角度论证该项目的可行性和合理性。</w:t>
      </w:r>
    </w:p>
    <w:p>
      <w:pPr>
        <w:spacing w:after="0" w:line="362" w:lineRule="auto"/>
        <w:sectPr>
          <w:type w:val="continuous"/>
          <w:pgSz w:w="11910" w:h="16840"/>
          <w:pgMar w:top="1580" w:right="1020" w:bottom="280" w:left="1140" w:header="720" w:footer="720" w:gutter="0"/>
        </w:sectPr>
      </w:pPr>
    </w:p>
    <w:p>
      <w:pPr>
        <w:pStyle w:val="2"/>
        <w:numPr>
          <w:ilvl w:val="0"/>
          <w:numId w:val="62"/>
        </w:numPr>
        <w:tabs>
          <w:tab w:val="left" w:pos="3324"/>
        </w:tabs>
        <w:spacing w:before="155" w:after="0" w:line="240" w:lineRule="auto"/>
        <w:ind w:left="3324" w:right="0" w:hanging="632"/>
        <w:jc w:val="left"/>
      </w:pPr>
      <w:bookmarkStart w:id="1311" w:name="_bookmark98"/>
      <w:bookmarkEnd w:id="1311"/>
      <w:bookmarkStart w:id="1312" w:name="17. 选址及规划符合性分析"/>
      <w:bookmarkEnd w:id="1312"/>
      <w:bookmarkStart w:id="1313" w:name="_bookmark98"/>
      <w:bookmarkEnd w:id="1313"/>
      <w:r>
        <w:t>选址及规划符合性分析</w:t>
      </w:r>
    </w:p>
    <w:p>
      <w:pPr>
        <w:pStyle w:val="3"/>
        <w:numPr>
          <w:ilvl w:val="1"/>
          <w:numId w:val="111"/>
        </w:numPr>
        <w:tabs>
          <w:tab w:val="left" w:pos="1260"/>
        </w:tabs>
        <w:spacing w:before="357" w:after="0" w:line="240" w:lineRule="auto"/>
        <w:ind w:left="1260" w:right="0" w:hanging="600"/>
        <w:jc w:val="left"/>
      </w:pPr>
      <w:bookmarkStart w:id="1314" w:name="_bookmark99"/>
      <w:bookmarkEnd w:id="1314"/>
      <w:bookmarkStart w:id="1315" w:name="17.1与国家产业政策符合性分析"/>
      <w:bookmarkEnd w:id="1315"/>
      <w:bookmarkStart w:id="1316" w:name="_bookmark99"/>
      <w:bookmarkEnd w:id="1316"/>
      <w:r>
        <w:t>与国家产业政策符合性分析</w:t>
      </w:r>
    </w:p>
    <w:p>
      <w:pPr>
        <w:pStyle w:val="13"/>
        <w:numPr>
          <w:ilvl w:val="2"/>
          <w:numId w:val="111"/>
        </w:numPr>
        <w:tabs>
          <w:tab w:val="left" w:pos="1748"/>
        </w:tabs>
        <w:spacing w:before="122" w:after="0" w:line="364" w:lineRule="auto"/>
        <w:ind w:left="660" w:right="775" w:firstLine="480"/>
        <w:jc w:val="both"/>
        <w:rPr>
          <w:sz w:val="24"/>
        </w:rPr>
      </w:pPr>
      <w:r>
        <w:rPr>
          <w:spacing w:val="-5"/>
          <w:sz w:val="24"/>
        </w:rPr>
        <w:t xml:space="preserve">本项目生产规模为 </w:t>
      </w:r>
      <w:r>
        <w:rPr>
          <w:rFonts w:ascii="Times New Roman" w:eastAsia="Times New Roman"/>
          <w:sz w:val="24"/>
        </w:rPr>
        <w:t>30</w:t>
      </w:r>
      <w:r>
        <w:rPr>
          <w:rFonts w:ascii="Times New Roman" w:eastAsia="Times New Roman"/>
          <w:spacing w:val="22"/>
          <w:sz w:val="24"/>
        </w:rPr>
        <w:t xml:space="preserve"> </w:t>
      </w:r>
      <w:r>
        <w:rPr>
          <w:spacing w:val="2"/>
          <w:sz w:val="24"/>
        </w:rPr>
        <w:t>万吨</w:t>
      </w:r>
      <w:r>
        <w:rPr>
          <w:rFonts w:ascii="Times New Roman" w:eastAsia="Times New Roman"/>
          <w:sz w:val="24"/>
        </w:rPr>
        <w:t>/</w:t>
      </w:r>
      <w:r>
        <w:rPr>
          <w:sz w:val="24"/>
        </w:rPr>
        <w:t>年的小型煤矿，采煤方法采用走向长壁后</w:t>
      </w:r>
      <w:r>
        <w:rPr>
          <w:spacing w:val="-12"/>
          <w:sz w:val="24"/>
        </w:rPr>
        <w:t xml:space="preserve">退式，全部垮落法管理顶板。装备先进，回采区回采率不低于 </w:t>
      </w:r>
      <w:r>
        <w:rPr>
          <w:rFonts w:ascii="Times New Roman" w:eastAsia="Times New Roman"/>
          <w:sz w:val="24"/>
        </w:rPr>
        <w:t>85%</w:t>
      </w:r>
      <w:r>
        <w:rPr>
          <w:spacing w:val="-9"/>
          <w:sz w:val="24"/>
        </w:rPr>
        <w:t>。从国家的产业政策上看，本项目煤矿的建设规模、开采工艺符合高产、高效、高技术含量的</w:t>
      </w:r>
      <w:r>
        <w:rPr>
          <w:sz w:val="24"/>
        </w:rPr>
        <w:t>现代化生产煤矿的要求。</w:t>
      </w:r>
    </w:p>
    <w:p>
      <w:pPr>
        <w:pStyle w:val="13"/>
        <w:numPr>
          <w:ilvl w:val="2"/>
          <w:numId w:val="111"/>
        </w:numPr>
        <w:tabs>
          <w:tab w:val="left" w:pos="1741"/>
        </w:tabs>
        <w:spacing w:before="0" w:after="0" w:line="364" w:lineRule="auto"/>
        <w:ind w:left="660" w:right="772" w:firstLine="480"/>
        <w:jc w:val="both"/>
        <w:rPr>
          <w:sz w:val="24"/>
        </w:rPr>
      </w:pPr>
      <w:r>
        <w:rPr>
          <w:spacing w:val="-9"/>
          <w:sz w:val="24"/>
        </w:rPr>
        <w:t xml:space="preserve">本项目开采的 </w:t>
      </w:r>
      <w:r>
        <w:rPr>
          <w:rFonts w:ascii="Times New Roman" w:hAnsi="Times New Roman" w:eastAsia="Times New Roman"/>
          <w:sz w:val="24"/>
        </w:rPr>
        <w:t>10</w:t>
      </w:r>
      <w:r>
        <w:rPr>
          <w:spacing w:val="-15"/>
          <w:sz w:val="24"/>
        </w:rPr>
        <w:t>、</w:t>
      </w:r>
      <w:r>
        <w:rPr>
          <w:rFonts w:ascii="Times New Roman" w:hAnsi="Times New Roman" w:eastAsia="Times New Roman"/>
          <w:sz w:val="24"/>
        </w:rPr>
        <w:t>15</w:t>
      </w:r>
      <w:r>
        <w:rPr>
          <w:spacing w:val="-17"/>
          <w:sz w:val="24"/>
        </w:rPr>
        <w:t>、</w:t>
      </w:r>
      <w:r>
        <w:rPr>
          <w:rFonts w:ascii="Times New Roman" w:hAnsi="Times New Roman" w:eastAsia="Times New Roman"/>
          <w:sz w:val="24"/>
        </w:rPr>
        <w:t>20</w:t>
      </w:r>
      <w:r>
        <w:rPr>
          <w:spacing w:val="-15"/>
          <w:sz w:val="24"/>
        </w:rPr>
        <w:t>、</w:t>
      </w:r>
      <w:r>
        <w:rPr>
          <w:rFonts w:ascii="Times New Roman" w:hAnsi="Times New Roman" w:eastAsia="Times New Roman"/>
          <w:sz w:val="24"/>
        </w:rPr>
        <w:t>30</w:t>
      </w:r>
      <w:r>
        <w:rPr>
          <w:rFonts w:ascii="Times New Roman" w:hAnsi="Times New Roman" w:eastAsia="Times New Roman"/>
          <w:spacing w:val="1"/>
          <w:sz w:val="24"/>
        </w:rPr>
        <w:t xml:space="preserve"> </w:t>
      </w:r>
      <w:r>
        <w:rPr>
          <w:spacing w:val="-6"/>
          <w:sz w:val="24"/>
        </w:rPr>
        <w:t>号煤层，本矿井原煤煤质为低灰分、特</w:t>
      </w:r>
      <w:r>
        <w:rPr>
          <w:spacing w:val="-5"/>
          <w:sz w:val="24"/>
        </w:rPr>
        <w:t>低硫、低磷、中</w:t>
      </w:r>
      <w:r>
        <w:rPr>
          <w:rFonts w:ascii="Times New Roman" w:hAnsi="Times New Roman" w:eastAsia="Times New Roman"/>
          <w:sz w:val="24"/>
        </w:rPr>
        <w:t>-</w:t>
      </w:r>
      <w:r>
        <w:rPr>
          <w:sz w:val="24"/>
        </w:rPr>
        <w:t>中高</w:t>
      </w:r>
      <w:r>
        <w:rPr>
          <w:rFonts w:ascii="Times New Roman" w:hAnsi="Times New Roman" w:eastAsia="Times New Roman"/>
          <w:sz w:val="24"/>
        </w:rPr>
        <w:t>-</w:t>
      </w:r>
      <w:r>
        <w:rPr>
          <w:spacing w:val="-3"/>
          <w:sz w:val="24"/>
        </w:rPr>
        <w:t>特高发热量煤。符合国务院〔</w:t>
      </w:r>
      <w:r>
        <w:rPr>
          <w:rFonts w:ascii="Times New Roman" w:hAnsi="Times New Roman" w:eastAsia="Times New Roman"/>
          <w:sz w:val="24"/>
        </w:rPr>
        <w:t>1998</w:t>
      </w:r>
      <w:r>
        <w:rPr>
          <w:spacing w:val="-12"/>
          <w:sz w:val="24"/>
        </w:rPr>
        <w:t>〕</w:t>
      </w:r>
      <w:r>
        <w:rPr>
          <w:rFonts w:ascii="Times New Roman" w:hAnsi="Times New Roman" w:eastAsia="Times New Roman"/>
          <w:sz w:val="24"/>
        </w:rPr>
        <w:t>5</w:t>
      </w:r>
      <w:r>
        <w:rPr>
          <w:rFonts w:ascii="Times New Roman" w:hAnsi="Times New Roman" w:eastAsia="Times New Roman"/>
          <w:spacing w:val="2"/>
          <w:sz w:val="24"/>
        </w:rPr>
        <w:t xml:space="preserve"> </w:t>
      </w:r>
      <w:r>
        <w:rPr>
          <w:sz w:val="24"/>
        </w:rPr>
        <w:t>号文</w:t>
      </w:r>
      <w:r>
        <w:rPr>
          <w:rFonts w:ascii="Times New Roman" w:hAnsi="Times New Roman" w:eastAsia="Times New Roman"/>
          <w:sz w:val="24"/>
        </w:rPr>
        <w:t>“</w:t>
      </w:r>
      <w:r>
        <w:rPr>
          <w:spacing w:val="-3"/>
          <w:sz w:val="24"/>
        </w:rPr>
        <w:t>禁止新建煤层</w:t>
      </w:r>
      <w:r>
        <w:rPr>
          <w:spacing w:val="-11"/>
          <w:sz w:val="24"/>
        </w:rPr>
        <w:t xml:space="preserve">含硫量大于 </w:t>
      </w:r>
      <w:r>
        <w:rPr>
          <w:rFonts w:ascii="Times New Roman" w:hAnsi="Times New Roman" w:eastAsia="Times New Roman"/>
          <w:sz w:val="24"/>
        </w:rPr>
        <w:t>3%</w:t>
      </w:r>
      <w:r>
        <w:rPr>
          <w:sz w:val="24"/>
        </w:rPr>
        <w:t>的煤矿</w:t>
      </w:r>
      <w:r>
        <w:rPr>
          <w:rFonts w:ascii="Times New Roman" w:hAnsi="Times New Roman" w:eastAsia="Times New Roman"/>
          <w:sz w:val="24"/>
        </w:rPr>
        <w:t>”</w:t>
      </w:r>
      <w:r>
        <w:rPr>
          <w:sz w:val="24"/>
        </w:rPr>
        <w:t>的国家环境保护政策要求。</w:t>
      </w:r>
    </w:p>
    <w:p>
      <w:pPr>
        <w:pStyle w:val="13"/>
        <w:numPr>
          <w:ilvl w:val="2"/>
          <w:numId w:val="111"/>
        </w:numPr>
        <w:tabs>
          <w:tab w:val="left" w:pos="1741"/>
        </w:tabs>
        <w:spacing w:before="0" w:after="0" w:line="362" w:lineRule="auto"/>
        <w:ind w:left="660" w:right="780" w:firstLine="480"/>
        <w:jc w:val="left"/>
        <w:rPr>
          <w:sz w:val="24"/>
        </w:rPr>
      </w:pPr>
      <w:r>
        <w:rPr>
          <w:spacing w:val="-1"/>
          <w:sz w:val="24"/>
        </w:rPr>
        <w:t>建设期掘进矸石全部用于铺路及回填矿坑，符合《煤矸石综合利用管</w:t>
      </w:r>
      <w:r>
        <w:rPr>
          <w:sz w:val="24"/>
        </w:rPr>
        <w:t>理办法》</w:t>
      </w:r>
    </w:p>
    <w:p>
      <w:pPr>
        <w:pStyle w:val="13"/>
        <w:numPr>
          <w:ilvl w:val="2"/>
          <w:numId w:val="111"/>
        </w:numPr>
        <w:tabs>
          <w:tab w:val="left" w:pos="1741"/>
        </w:tabs>
        <w:spacing w:before="2" w:after="0" w:line="362" w:lineRule="auto"/>
        <w:ind w:left="660" w:right="777" w:firstLine="480"/>
        <w:jc w:val="left"/>
        <w:rPr>
          <w:sz w:val="24"/>
        </w:rPr>
      </w:pPr>
      <w:r>
        <w:rPr>
          <w:spacing w:val="-5"/>
          <w:sz w:val="24"/>
        </w:rPr>
        <w:t>根据《产业结构调整指导目录</w:t>
      </w:r>
      <w:r>
        <w:rPr>
          <w:sz w:val="24"/>
        </w:rPr>
        <w:t>（</w:t>
      </w:r>
      <w:r>
        <w:rPr>
          <w:rFonts w:ascii="Times New Roman" w:hAnsi="Times New Roman" w:eastAsia="Times New Roman"/>
          <w:sz w:val="24"/>
        </w:rPr>
        <w:t>2019</w:t>
      </w:r>
      <w:r>
        <w:rPr>
          <w:rFonts w:ascii="Times New Roman" w:hAnsi="Times New Roman" w:eastAsia="Times New Roman"/>
          <w:spacing w:val="60"/>
          <w:sz w:val="24"/>
        </w:rPr>
        <w:t xml:space="preserve"> </w:t>
      </w:r>
      <w:r>
        <w:rPr>
          <w:sz w:val="24"/>
        </w:rPr>
        <w:t>年本</w:t>
      </w:r>
      <w:r>
        <w:rPr>
          <w:spacing w:val="-17"/>
          <w:sz w:val="24"/>
        </w:rPr>
        <w:t>）</w:t>
      </w:r>
      <w:r>
        <w:rPr>
          <w:spacing w:val="-7"/>
          <w:sz w:val="24"/>
        </w:rPr>
        <w:t>》，本项目不属于限制类</w:t>
      </w:r>
      <w:r>
        <w:rPr>
          <w:sz w:val="24"/>
        </w:rPr>
        <w:t>及淘汰类产业项目，为“允许类”。</w:t>
      </w:r>
    </w:p>
    <w:p>
      <w:pPr>
        <w:pStyle w:val="6"/>
        <w:spacing w:before="5" w:line="362" w:lineRule="auto"/>
        <w:ind w:left="660" w:right="777" w:firstLine="480"/>
      </w:pPr>
      <w:r>
        <w:rPr>
          <w:spacing w:val="-10"/>
        </w:rPr>
        <w:t>综合上述分析，本项目的规模、工艺、产品及资源利用均符合相关产业政策</w:t>
      </w:r>
      <w:r>
        <w:t>要求。</w:t>
      </w:r>
    </w:p>
    <w:p>
      <w:pPr>
        <w:pStyle w:val="3"/>
        <w:numPr>
          <w:ilvl w:val="1"/>
          <w:numId w:val="111"/>
        </w:numPr>
        <w:tabs>
          <w:tab w:val="left" w:pos="1186"/>
        </w:tabs>
        <w:spacing w:before="5" w:after="0" w:line="240" w:lineRule="auto"/>
        <w:ind w:left="1185" w:right="0" w:hanging="526"/>
        <w:jc w:val="left"/>
      </w:pPr>
      <w:bookmarkStart w:id="1317" w:name="17.2“三线一单”符合性"/>
      <w:bookmarkEnd w:id="1317"/>
      <w:bookmarkStart w:id="1318" w:name="_bookmark100"/>
      <w:bookmarkEnd w:id="1318"/>
      <w:bookmarkStart w:id="1319" w:name="_bookmark100"/>
      <w:bookmarkEnd w:id="1319"/>
      <w:r>
        <w:t>“三线一单”符合性</w:t>
      </w:r>
    </w:p>
    <w:p>
      <w:pPr>
        <w:pStyle w:val="6"/>
        <w:spacing w:before="199"/>
        <w:ind w:left="1140"/>
      </w:pPr>
      <w:r>
        <w:t xml:space="preserve">本项目与“三线一单”符合性分析见表 </w:t>
      </w:r>
      <w:r>
        <w:rPr>
          <w:rFonts w:ascii="Times New Roman" w:hAnsi="Times New Roman" w:eastAsia="Times New Roman"/>
        </w:rPr>
        <w:t>17.2-1</w:t>
      </w:r>
      <w:r>
        <w:t>。</w:t>
      </w:r>
    </w:p>
    <w:p>
      <w:pPr>
        <w:pStyle w:val="5"/>
        <w:tabs>
          <w:tab w:val="left" w:pos="1101"/>
        </w:tabs>
        <w:spacing w:before="160" w:after="2"/>
        <w:ind w:right="105"/>
        <w:jc w:val="center"/>
      </w:pPr>
      <w:r>
        <w:t>表</w:t>
      </w:r>
      <w:r>
        <w:rPr>
          <w:rFonts w:ascii="Times New Roman" w:hAnsi="Times New Roman" w:eastAsia="Times New Roman"/>
        </w:rPr>
        <w:t>17.2-1</w:t>
      </w:r>
      <w:r>
        <w:rPr>
          <w:rFonts w:ascii="Times New Roman" w:hAnsi="Times New Roman" w:eastAsia="Times New Roman"/>
        </w:rPr>
        <w:tab/>
      </w:r>
      <w:r>
        <w:t>本项目与</w:t>
      </w:r>
      <w:r>
        <w:rPr>
          <w:rFonts w:ascii="Times New Roman" w:hAnsi="Times New Roman" w:eastAsia="Times New Roman"/>
        </w:rPr>
        <w:t>“</w:t>
      </w:r>
      <w:r>
        <w:t>三线一单</w:t>
      </w:r>
      <w:r>
        <w:rPr>
          <w:rFonts w:ascii="Times New Roman" w:hAnsi="Times New Roman" w:eastAsia="Times New Roman"/>
        </w:rPr>
        <w:t>”</w:t>
      </w:r>
      <w:r>
        <w:t>符合性分析</w:t>
      </w:r>
    </w:p>
    <w:tbl>
      <w:tblPr>
        <w:tblStyle w:val="10"/>
        <w:tblW w:w="0" w:type="auto"/>
        <w:tblInd w:w="5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0"/>
        <w:gridCol w:w="5627"/>
        <w:gridCol w:w="15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700" w:type="dxa"/>
          </w:tcPr>
          <w:p>
            <w:pPr>
              <w:pStyle w:val="14"/>
              <w:spacing w:before="1" w:line="252" w:lineRule="exact"/>
              <w:ind w:left="94" w:right="83"/>
              <w:rPr>
                <w:b/>
                <w:sz w:val="21"/>
              </w:rPr>
            </w:pPr>
            <w:r>
              <w:rPr>
                <w:b/>
                <w:sz w:val="21"/>
              </w:rPr>
              <w:t>内容</w:t>
            </w:r>
          </w:p>
        </w:tc>
        <w:tc>
          <w:tcPr>
            <w:tcW w:w="5627" w:type="dxa"/>
          </w:tcPr>
          <w:p>
            <w:pPr>
              <w:pStyle w:val="14"/>
              <w:spacing w:before="1" w:line="252" w:lineRule="exact"/>
              <w:ind w:left="2266" w:right="2255"/>
              <w:rPr>
                <w:b/>
                <w:sz w:val="21"/>
              </w:rPr>
            </w:pPr>
            <w:r>
              <w:rPr>
                <w:b/>
                <w:sz w:val="21"/>
              </w:rPr>
              <w:t>符合性分析</w:t>
            </w:r>
          </w:p>
        </w:tc>
        <w:tc>
          <w:tcPr>
            <w:tcW w:w="1504" w:type="dxa"/>
          </w:tcPr>
          <w:p>
            <w:pPr>
              <w:pStyle w:val="14"/>
              <w:spacing w:before="1" w:line="252" w:lineRule="exact"/>
              <w:ind w:left="101" w:right="88"/>
              <w:rPr>
                <w:b/>
                <w:sz w:val="21"/>
              </w:rPr>
            </w:pPr>
            <w:r>
              <w:rPr>
                <w:b/>
                <w:sz w:val="21"/>
              </w:rPr>
              <w:t>整改措施建议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4" w:hRule="atLeast"/>
        </w:trPr>
        <w:tc>
          <w:tcPr>
            <w:tcW w:w="1700" w:type="dxa"/>
          </w:tcPr>
          <w:p>
            <w:pPr>
              <w:pStyle w:val="14"/>
              <w:jc w:val="left"/>
              <w:rPr>
                <w:b/>
                <w:sz w:val="20"/>
              </w:rPr>
            </w:pPr>
          </w:p>
          <w:p>
            <w:pPr>
              <w:pStyle w:val="14"/>
              <w:jc w:val="left"/>
              <w:rPr>
                <w:b/>
                <w:sz w:val="20"/>
              </w:rPr>
            </w:pPr>
          </w:p>
          <w:p>
            <w:pPr>
              <w:pStyle w:val="14"/>
              <w:spacing w:before="168"/>
              <w:ind w:left="94" w:right="86"/>
              <w:rPr>
                <w:sz w:val="21"/>
              </w:rPr>
            </w:pPr>
            <w:r>
              <w:rPr>
                <w:sz w:val="21"/>
              </w:rPr>
              <w:t>生态保护红线</w:t>
            </w:r>
          </w:p>
        </w:tc>
        <w:tc>
          <w:tcPr>
            <w:tcW w:w="5627" w:type="dxa"/>
          </w:tcPr>
          <w:p>
            <w:pPr>
              <w:pStyle w:val="14"/>
              <w:spacing w:line="242" w:lineRule="auto"/>
              <w:ind w:left="106" w:right="98"/>
              <w:jc w:val="left"/>
              <w:rPr>
                <w:sz w:val="21"/>
              </w:rPr>
            </w:pPr>
            <w:r>
              <w:rPr>
                <w:spacing w:val="-1"/>
                <w:sz w:val="21"/>
              </w:rPr>
              <w:t>本项目位于双鸭山市岭东区，根据黑龙江省自然资源厅 黑龙江省林业和草原局联合呈报黑龙江省生态保护红线评估</w:t>
            </w:r>
            <w:r>
              <w:rPr>
                <w:spacing w:val="-4"/>
                <w:w w:val="95"/>
                <w:sz w:val="21"/>
              </w:rPr>
              <w:t>调整和自然保护地整合优化阶段性成果的报告</w:t>
            </w:r>
            <w:r>
              <w:rPr>
                <w:w w:val="95"/>
                <w:sz w:val="21"/>
              </w:rPr>
              <w:t>（黑自然资发</w:t>
            </w:r>
          </w:p>
          <w:p>
            <w:pPr>
              <w:pStyle w:val="14"/>
              <w:spacing w:before="2" w:line="242" w:lineRule="auto"/>
              <w:ind w:left="106" w:right="98"/>
              <w:jc w:val="left"/>
              <w:rPr>
                <w:sz w:val="21"/>
              </w:rPr>
            </w:pPr>
            <w:r>
              <w:rPr>
                <w:sz w:val="21"/>
              </w:rPr>
              <w:t>〔</w:t>
            </w:r>
            <w:r>
              <w:rPr>
                <w:rFonts w:ascii="Times New Roman" w:eastAsia="Times New Roman"/>
                <w:sz w:val="21"/>
              </w:rPr>
              <w:t>2020</w:t>
            </w:r>
            <w:r>
              <w:rPr>
                <w:sz w:val="21"/>
              </w:rPr>
              <w:t>〕</w:t>
            </w:r>
            <w:r>
              <w:rPr>
                <w:rFonts w:ascii="Times New Roman" w:eastAsia="Times New Roman"/>
                <w:sz w:val="21"/>
              </w:rPr>
              <w:t>229</w:t>
            </w:r>
            <w:r>
              <w:rPr>
                <w:rFonts w:ascii="Times New Roman" w:eastAsia="Times New Roman"/>
                <w:spacing w:val="-11"/>
                <w:sz w:val="21"/>
              </w:rPr>
              <w:t xml:space="preserve"> </w:t>
            </w:r>
            <w:r>
              <w:rPr>
                <w:sz w:val="21"/>
              </w:rPr>
              <w:t>号）文件可知，本项目拟选厂址不在黑龙江省</w:t>
            </w:r>
            <w:r>
              <w:rPr>
                <w:spacing w:val="-3"/>
                <w:w w:val="95"/>
                <w:sz w:val="21"/>
              </w:rPr>
              <w:t>生态保护红线黑龙江省青山国家森林公园范围内，因此，本</w:t>
            </w:r>
          </w:p>
          <w:p>
            <w:pPr>
              <w:pStyle w:val="14"/>
              <w:spacing w:before="1" w:line="252" w:lineRule="exact"/>
              <w:ind w:left="106"/>
              <w:jc w:val="left"/>
              <w:rPr>
                <w:sz w:val="21"/>
              </w:rPr>
            </w:pPr>
            <w:r>
              <w:rPr>
                <w:sz w:val="21"/>
              </w:rPr>
              <w:t>项目符合生态保护红线要求。</w:t>
            </w:r>
          </w:p>
        </w:tc>
        <w:tc>
          <w:tcPr>
            <w:tcW w:w="1504" w:type="dxa"/>
          </w:tcPr>
          <w:p>
            <w:pPr>
              <w:pStyle w:val="14"/>
              <w:jc w:val="left"/>
              <w:rPr>
                <w:b/>
                <w:sz w:val="20"/>
              </w:rPr>
            </w:pPr>
          </w:p>
          <w:p>
            <w:pPr>
              <w:pStyle w:val="14"/>
              <w:jc w:val="left"/>
              <w:rPr>
                <w:b/>
                <w:sz w:val="20"/>
              </w:rPr>
            </w:pPr>
          </w:p>
          <w:p>
            <w:pPr>
              <w:pStyle w:val="14"/>
              <w:spacing w:before="168"/>
              <w:ind w:left="6"/>
              <w:rPr>
                <w:sz w:val="21"/>
              </w:rPr>
            </w:pPr>
            <w:r>
              <w:rPr>
                <w:w w:val="99"/>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0" w:hRule="atLeast"/>
        </w:trPr>
        <w:tc>
          <w:tcPr>
            <w:tcW w:w="1700" w:type="dxa"/>
          </w:tcPr>
          <w:p>
            <w:pPr>
              <w:pStyle w:val="14"/>
              <w:jc w:val="left"/>
              <w:rPr>
                <w:b/>
                <w:sz w:val="20"/>
              </w:rPr>
            </w:pPr>
          </w:p>
          <w:p>
            <w:pPr>
              <w:pStyle w:val="14"/>
              <w:spacing w:before="5"/>
              <w:jc w:val="left"/>
              <w:rPr>
                <w:b/>
                <w:sz w:val="22"/>
              </w:rPr>
            </w:pPr>
          </w:p>
          <w:p>
            <w:pPr>
              <w:pStyle w:val="14"/>
              <w:ind w:left="94" w:right="86"/>
              <w:rPr>
                <w:sz w:val="21"/>
              </w:rPr>
            </w:pPr>
            <w:r>
              <w:rPr>
                <w:sz w:val="21"/>
              </w:rPr>
              <w:t>资源利用上线</w:t>
            </w:r>
          </w:p>
        </w:tc>
        <w:tc>
          <w:tcPr>
            <w:tcW w:w="5627" w:type="dxa"/>
          </w:tcPr>
          <w:p>
            <w:pPr>
              <w:pStyle w:val="14"/>
              <w:spacing w:line="242" w:lineRule="auto"/>
              <w:ind w:left="106" w:right="98"/>
              <w:jc w:val="left"/>
              <w:rPr>
                <w:sz w:val="21"/>
              </w:rPr>
            </w:pPr>
            <w:r>
              <w:rPr>
                <w:sz w:val="21"/>
              </w:rPr>
              <w:t>①水资源：生产用水由本矿井涌水经过矿井水处理站处理</w:t>
            </w:r>
            <w:r>
              <w:rPr>
                <w:spacing w:val="-7"/>
                <w:w w:val="95"/>
                <w:sz w:val="21"/>
              </w:rPr>
              <w:t xml:space="preserve">后，回用于矿井生产、消防等用水。生活饮用水为外部购置 </w:t>
            </w:r>
            <w:r>
              <w:rPr>
                <w:spacing w:val="-9"/>
                <w:w w:val="95"/>
                <w:sz w:val="21"/>
              </w:rPr>
              <w:t>达标饮用水。满足水资源利用上限要求；②土地资源：本项</w:t>
            </w:r>
          </w:p>
          <w:p>
            <w:pPr>
              <w:pStyle w:val="14"/>
              <w:spacing w:before="1" w:line="270" w:lineRule="atLeast"/>
              <w:ind w:left="106" w:right="69"/>
              <w:jc w:val="left"/>
              <w:rPr>
                <w:sz w:val="21"/>
              </w:rPr>
            </w:pPr>
            <w:r>
              <w:rPr>
                <w:sz w:val="21"/>
              </w:rPr>
              <w:t xml:space="preserve">目工业广场总面积 </w:t>
            </w:r>
            <w:r>
              <w:rPr>
                <w:rFonts w:ascii="Times New Roman" w:eastAsia="Times New Roman"/>
                <w:sz w:val="21"/>
              </w:rPr>
              <w:t>2.9767hm</w:t>
            </w:r>
            <w:r>
              <w:rPr>
                <w:rFonts w:ascii="Times New Roman" w:eastAsia="Times New Roman"/>
                <w:position w:val="7"/>
                <w:sz w:val="13"/>
              </w:rPr>
              <w:t>2</w:t>
            </w:r>
            <w:r>
              <w:rPr>
                <w:sz w:val="21"/>
              </w:rPr>
              <w:t>，占地为采矿用地，满足资源利用上线要求</w:t>
            </w:r>
          </w:p>
        </w:tc>
        <w:tc>
          <w:tcPr>
            <w:tcW w:w="1504" w:type="dxa"/>
          </w:tcPr>
          <w:p>
            <w:pPr>
              <w:pStyle w:val="14"/>
              <w:jc w:val="left"/>
              <w:rPr>
                <w:b/>
                <w:sz w:val="20"/>
              </w:rPr>
            </w:pPr>
          </w:p>
          <w:p>
            <w:pPr>
              <w:pStyle w:val="14"/>
              <w:spacing w:before="5"/>
              <w:jc w:val="left"/>
              <w:rPr>
                <w:b/>
                <w:sz w:val="22"/>
              </w:rPr>
            </w:pPr>
          </w:p>
          <w:p>
            <w:pPr>
              <w:pStyle w:val="14"/>
              <w:ind w:left="6"/>
              <w:rPr>
                <w:sz w:val="21"/>
              </w:rPr>
            </w:pPr>
            <w:r>
              <w:rPr>
                <w:w w:val="99"/>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0" w:hRule="atLeast"/>
        </w:trPr>
        <w:tc>
          <w:tcPr>
            <w:tcW w:w="1700" w:type="dxa"/>
          </w:tcPr>
          <w:p>
            <w:pPr>
              <w:pStyle w:val="14"/>
              <w:jc w:val="left"/>
              <w:rPr>
                <w:b/>
                <w:sz w:val="20"/>
              </w:rPr>
            </w:pPr>
          </w:p>
          <w:p>
            <w:pPr>
              <w:pStyle w:val="14"/>
              <w:spacing w:before="7"/>
              <w:jc w:val="left"/>
              <w:rPr>
                <w:b/>
                <w:sz w:val="22"/>
              </w:rPr>
            </w:pPr>
          </w:p>
          <w:p>
            <w:pPr>
              <w:pStyle w:val="14"/>
              <w:ind w:left="94" w:right="86"/>
              <w:rPr>
                <w:sz w:val="21"/>
              </w:rPr>
            </w:pPr>
            <w:r>
              <w:rPr>
                <w:sz w:val="21"/>
              </w:rPr>
              <w:t>环境质量底线</w:t>
            </w:r>
          </w:p>
        </w:tc>
        <w:tc>
          <w:tcPr>
            <w:tcW w:w="5627" w:type="dxa"/>
          </w:tcPr>
          <w:p>
            <w:pPr>
              <w:pStyle w:val="14"/>
              <w:spacing w:line="242" w:lineRule="auto"/>
              <w:ind w:left="106" w:right="31"/>
              <w:jc w:val="left"/>
              <w:rPr>
                <w:sz w:val="21"/>
              </w:rPr>
            </w:pPr>
            <w:r>
              <w:rPr>
                <w:spacing w:val="-4"/>
                <w:sz w:val="21"/>
              </w:rPr>
              <w:t>①本项目地处双鸭山市岭东区，属于城市环境空气质量达标区。本项目大气污染物主要为锅炉及热风炉燃烧煤产生的</w:t>
            </w:r>
            <w:r>
              <w:rPr>
                <w:rFonts w:ascii="Times New Roman" w:hAnsi="Times New Roman" w:eastAsia="Times New Roman"/>
                <w:spacing w:val="-4"/>
                <w:position w:val="2"/>
                <w:sz w:val="21"/>
              </w:rPr>
              <w:t>SO</w:t>
            </w:r>
            <w:r>
              <w:rPr>
                <w:rFonts w:ascii="Times New Roman" w:hAnsi="Times New Roman" w:eastAsia="Times New Roman"/>
                <w:spacing w:val="-4"/>
                <w:position w:val="2"/>
                <w:sz w:val="21"/>
                <w:vertAlign w:val="subscript"/>
              </w:rPr>
              <w:t>2</w:t>
            </w:r>
            <w:r>
              <w:rPr>
                <w:spacing w:val="-4"/>
                <w:position w:val="2"/>
                <w:sz w:val="21"/>
                <w:vertAlign w:val="baseline"/>
              </w:rPr>
              <w:t>、</w:t>
            </w:r>
            <w:r>
              <w:rPr>
                <w:rFonts w:ascii="Times New Roman" w:hAnsi="Times New Roman" w:eastAsia="Times New Roman"/>
                <w:spacing w:val="-4"/>
                <w:position w:val="2"/>
                <w:sz w:val="21"/>
                <w:vertAlign w:val="baseline"/>
              </w:rPr>
              <w:t xml:space="preserve">NOx </w:t>
            </w:r>
            <w:r>
              <w:rPr>
                <w:position w:val="2"/>
                <w:sz w:val="21"/>
                <w:vertAlign w:val="baseline"/>
              </w:rPr>
              <w:t>和颗粒物，根据估算模式结果，</w:t>
            </w:r>
            <w:r>
              <w:rPr>
                <w:rFonts w:ascii="Times New Roman" w:hAnsi="Times New Roman" w:eastAsia="Times New Roman"/>
                <w:position w:val="2"/>
                <w:sz w:val="21"/>
                <w:vertAlign w:val="baseline"/>
              </w:rPr>
              <w:t>SO</w:t>
            </w:r>
            <w:r>
              <w:rPr>
                <w:rFonts w:ascii="Times New Roman" w:hAnsi="Times New Roman" w:eastAsia="Times New Roman"/>
                <w:position w:val="2"/>
                <w:sz w:val="21"/>
                <w:vertAlign w:val="subscript"/>
              </w:rPr>
              <w:t>2</w:t>
            </w:r>
            <w:r>
              <w:rPr>
                <w:position w:val="2"/>
                <w:sz w:val="21"/>
                <w:vertAlign w:val="baseline"/>
              </w:rPr>
              <w:t>、</w:t>
            </w:r>
            <w:r>
              <w:rPr>
                <w:rFonts w:ascii="Times New Roman" w:hAnsi="Times New Roman" w:eastAsia="Times New Roman"/>
                <w:position w:val="2"/>
                <w:sz w:val="21"/>
                <w:vertAlign w:val="baseline"/>
              </w:rPr>
              <w:t xml:space="preserve">NOx </w:t>
            </w:r>
            <w:r>
              <w:rPr>
                <w:position w:val="2"/>
                <w:sz w:val="21"/>
                <w:vertAlign w:val="baseline"/>
              </w:rPr>
              <w:t>和颗</w:t>
            </w:r>
            <w:r>
              <w:rPr>
                <w:spacing w:val="-7"/>
                <w:sz w:val="21"/>
                <w:vertAlign w:val="baseline"/>
              </w:rPr>
              <w:t xml:space="preserve">粒物的占标率均低于 </w:t>
            </w:r>
            <w:r>
              <w:rPr>
                <w:rFonts w:ascii="Times New Roman" w:hAnsi="Times New Roman" w:eastAsia="Times New Roman"/>
                <w:sz w:val="21"/>
                <w:vertAlign w:val="baseline"/>
              </w:rPr>
              <w:t>10%</w:t>
            </w:r>
            <w:r>
              <w:rPr>
                <w:sz w:val="21"/>
                <w:vertAlign w:val="baseline"/>
              </w:rPr>
              <w:t>，对环境空气影响可接受；同时，</w:t>
            </w:r>
          </w:p>
          <w:p>
            <w:pPr>
              <w:pStyle w:val="14"/>
              <w:spacing w:line="246" w:lineRule="exact"/>
              <w:ind w:left="106"/>
              <w:jc w:val="left"/>
              <w:rPr>
                <w:sz w:val="21"/>
              </w:rPr>
            </w:pPr>
            <w:r>
              <w:rPr>
                <w:sz w:val="21"/>
              </w:rPr>
              <w:t>本次环境空气现状监测布设了</w:t>
            </w:r>
            <w:r>
              <w:rPr>
                <w:rFonts w:ascii="Times New Roman" w:eastAsia="Times New Roman"/>
                <w:sz w:val="21"/>
              </w:rPr>
              <w:t xml:space="preserve">2 </w:t>
            </w:r>
            <w:r>
              <w:rPr>
                <w:sz w:val="21"/>
              </w:rPr>
              <w:t>个监测点位针对其他污染物</w:t>
            </w:r>
          </w:p>
        </w:tc>
        <w:tc>
          <w:tcPr>
            <w:tcW w:w="1504" w:type="dxa"/>
          </w:tcPr>
          <w:p>
            <w:pPr>
              <w:pStyle w:val="14"/>
              <w:jc w:val="left"/>
              <w:rPr>
                <w:b/>
                <w:sz w:val="20"/>
              </w:rPr>
            </w:pPr>
          </w:p>
          <w:p>
            <w:pPr>
              <w:pStyle w:val="14"/>
              <w:spacing w:before="7"/>
              <w:jc w:val="left"/>
              <w:rPr>
                <w:b/>
                <w:sz w:val="22"/>
              </w:rPr>
            </w:pPr>
          </w:p>
          <w:p>
            <w:pPr>
              <w:pStyle w:val="14"/>
              <w:ind w:left="6"/>
              <w:rPr>
                <w:sz w:val="21"/>
              </w:rPr>
            </w:pPr>
            <w:r>
              <w:rPr>
                <w:w w:val="99"/>
                <w:sz w:val="21"/>
              </w:rPr>
              <w:t>无</w:t>
            </w:r>
          </w:p>
        </w:tc>
      </w:tr>
    </w:tbl>
    <w:p>
      <w:pPr>
        <w:spacing w:after="0"/>
        <w:rPr>
          <w:sz w:val="21"/>
        </w:rPr>
        <w:sectPr>
          <w:pgSz w:w="11910" w:h="16840"/>
          <w:pgMar w:top="1580" w:right="1020" w:bottom="1180" w:left="1140" w:header="0" w:footer="917" w:gutter="0"/>
        </w:sectPr>
      </w:pPr>
    </w:p>
    <w:tbl>
      <w:tblPr>
        <w:tblStyle w:val="10"/>
        <w:tblW w:w="0" w:type="auto"/>
        <w:tblInd w:w="5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0"/>
        <w:gridCol w:w="5627"/>
        <w:gridCol w:w="15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81" w:hRule="atLeast"/>
        </w:trPr>
        <w:tc>
          <w:tcPr>
            <w:tcW w:w="1700" w:type="dxa"/>
          </w:tcPr>
          <w:p>
            <w:pPr>
              <w:pStyle w:val="14"/>
              <w:jc w:val="left"/>
              <w:rPr>
                <w:rFonts w:ascii="Times New Roman"/>
                <w:sz w:val="20"/>
              </w:rPr>
            </w:pPr>
          </w:p>
        </w:tc>
        <w:tc>
          <w:tcPr>
            <w:tcW w:w="5627" w:type="dxa"/>
          </w:tcPr>
          <w:p>
            <w:pPr>
              <w:pStyle w:val="14"/>
              <w:spacing w:before="2" w:line="242" w:lineRule="auto"/>
              <w:ind w:left="106" w:right="97"/>
              <w:jc w:val="both"/>
              <w:rPr>
                <w:rFonts w:ascii="Times New Roman" w:hAnsi="Times New Roman" w:eastAsia="Times New Roman"/>
                <w:sz w:val="21"/>
              </w:rPr>
            </w:pPr>
            <w:r>
              <w:rPr>
                <w:spacing w:val="-4"/>
                <w:sz w:val="21"/>
              </w:rPr>
              <w:t>（</w:t>
            </w:r>
            <w:r>
              <w:rPr>
                <w:rFonts w:ascii="Times New Roman" w:hAnsi="Times New Roman" w:eastAsia="Times New Roman"/>
                <w:spacing w:val="-4"/>
                <w:sz w:val="21"/>
              </w:rPr>
              <w:t>TSP</w:t>
            </w:r>
            <w:r>
              <w:rPr>
                <w:spacing w:val="-4"/>
                <w:sz w:val="21"/>
              </w:rPr>
              <w:t>）</w:t>
            </w:r>
            <w:r>
              <w:rPr>
                <w:spacing w:val="-8"/>
                <w:sz w:val="21"/>
              </w:rPr>
              <w:t xml:space="preserve">进行监测，根据黑龙江康和检测有限公司 </w:t>
            </w:r>
            <w:r>
              <w:rPr>
                <w:rFonts w:ascii="Times New Roman" w:hAnsi="Times New Roman" w:eastAsia="Times New Roman"/>
                <w:sz w:val="21"/>
              </w:rPr>
              <w:t xml:space="preserve">2020 </w:t>
            </w:r>
            <w:r>
              <w:rPr>
                <w:spacing w:val="-29"/>
                <w:sz w:val="21"/>
              </w:rPr>
              <w:t xml:space="preserve">年 </w:t>
            </w:r>
            <w:r>
              <w:rPr>
                <w:rFonts w:ascii="Times New Roman" w:hAnsi="Times New Roman" w:eastAsia="Times New Roman"/>
                <w:sz w:val="21"/>
              </w:rPr>
              <w:t xml:space="preserve">4 </w:t>
            </w:r>
            <w:r>
              <w:rPr>
                <w:spacing w:val="-29"/>
                <w:sz w:val="21"/>
              </w:rPr>
              <w:t xml:space="preserve">月 </w:t>
            </w:r>
            <w:r>
              <w:rPr>
                <w:rFonts w:ascii="Times New Roman" w:hAnsi="Times New Roman" w:eastAsia="Times New Roman"/>
                <w:sz w:val="21"/>
              </w:rPr>
              <w:t xml:space="preserve">23 </w:t>
            </w:r>
            <w:r>
              <w:rPr>
                <w:spacing w:val="-4"/>
                <w:sz w:val="21"/>
              </w:rPr>
              <w:t xml:space="preserve">日出具的监测结果可知，其他污染物 </w:t>
            </w:r>
            <w:r>
              <w:rPr>
                <w:rFonts w:ascii="Times New Roman" w:hAnsi="Times New Roman" w:eastAsia="Times New Roman"/>
                <w:sz w:val="21"/>
              </w:rPr>
              <w:t xml:space="preserve">TSP </w:t>
            </w:r>
            <w:r>
              <w:rPr>
                <w:sz w:val="21"/>
              </w:rPr>
              <w:t>浓度值均满足《环境空气质量标准》（</w:t>
            </w:r>
            <w:r>
              <w:rPr>
                <w:rFonts w:ascii="Times New Roman" w:hAnsi="Times New Roman" w:eastAsia="Times New Roman"/>
                <w:sz w:val="21"/>
              </w:rPr>
              <w:t>GB3095-2012</w:t>
            </w:r>
            <w:r>
              <w:rPr>
                <w:sz w:val="21"/>
              </w:rPr>
              <w:t>）中二级标准和限</w:t>
            </w:r>
            <w:r>
              <w:rPr>
                <w:spacing w:val="-3"/>
                <w:sz w:val="21"/>
              </w:rPr>
              <w:t xml:space="preserve">值要求；②本次声环境现状监测在工业广场四周各布设了 </w:t>
            </w:r>
            <w:r>
              <w:rPr>
                <w:rFonts w:ascii="Times New Roman" w:hAnsi="Times New Roman" w:eastAsia="Times New Roman"/>
                <w:sz w:val="21"/>
              </w:rPr>
              <w:t>1</w:t>
            </w:r>
          </w:p>
          <w:p>
            <w:pPr>
              <w:pStyle w:val="14"/>
              <w:spacing w:line="244" w:lineRule="auto"/>
              <w:ind w:left="106" w:right="47"/>
              <w:jc w:val="both"/>
              <w:rPr>
                <w:sz w:val="21"/>
              </w:rPr>
            </w:pPr>
            <w:r>
              <w:rPr>
                <w:spacing w:val="-4"/>
                <w:sz w:val="21"/>
              </w:rPr>
              <w:t xml:space="preserve">个点位，根据黑龙江康和检测有限公司 </w:t>
            </w:r>
            <w:r>
              <w:rPr>
                <w:rFonts w:ascii="Times New Roman" w:eastAsia="Times New Roman"/>
                <w:sz w:val="21"/>
              </w:rPr>
              <w:t xml:space="preserve">2020 </w:t>
            </w:r>
            <w:r>
              <w:rPr>
                <w:spacing w:val="-27"/>
                <w:sz w:val="21"/>
              </w:rPr>
              <w:t xml:space="preserve">年 </w:t>
            </w:r>
            <w:r>
              <w:rPr>
                <w:rFonts w:ascii="Times New Roman" w:eastAsia="Times New Roman"/>
                <w:sz w:val="21"/>
              </w:rPr>
              <w:t xml:space="preserve">04 </w:t>
            </w:r>
            <w:r>
              <w:rPr>
                <w:spacing w:val="-27"/>
                <w:sz w:val="21"/>
              </w:rPr>
              <w:t xml:space="preserve">月 </w:t>
            </w:r>
            <w:r>
              <w:rPr>
                <w:rFonts w:ascii="Times New Roman" w:eastAsia="Times New Roman"/>
                <w:sz w:val="21"/>
              </w:rPr>
              <w:t xml:space="preserve">23 </w:t>
            </w:r>
            <w:r>
              <w:rPr>
                <w:sz w:val="21"/>
              </w:rPr>
              <w:t>日</w:t>
            </w:r>
            <w:r>
              <w:rPr>
                <w:w w:val="95"/>
                <w:sz w:val="21"/>
              </w:rPr>
              <w:t>出具的监测结果可知，四周厂界均满足《声环境质量标准》</w:t>
            </w:r>
          </w:p>
          <w:p>
            <w:pPr>
              <w:pStyle w:val="14"/>
              <w:spacing w:line="244" w:lineRule="auto"/>
              <w:ind w:left="106" w:right="98"/>
              <w:jc w:val="both"/>
              <w:rPr>
                <w:sz w:val="21"/>
              </w:rPr>
            </w:pPr>
            <w:r>
              <w:rPr>
                <w:sz w:val="21"/>
              </w:rPr>
              <w:t>（</w:t>
            </w:r>
            <w:r>
              <w:rPr>
                <w:rFonts w:ascii="Times New Roman" w:hAnsi="Times New Roman" w:eastAsia="Times New Roman"/>
                <w:sz w:val="21"/>
              </w:rPr>
              <w:t>GB3096-2008</w:t>
            </w:r>
            <w:r>
              <w:rPr>
                <w:sz w:val="21"/>
              </w:rPr>
              <w:t>）</w:t>
            </w:r>
            <w:r>
              <w:rPr>
                <w:rFonts w:ascii="Times New Roman" w:hAnsi="Times New Roman" w:eastAsia="Times New Roman"/>
                <w:sz w:val="21"/>
              </w:rPr>
              <w:t>2</w:t>
            </w:r>
            <w:r>
              <w:rPr>
                <w:rFonts w:ascii="Times New Roman" w:hAnsi="Times New Roman" w:eastAsia="Times New Roman"/>
                <w:spacing w:val="-6"/>
                <w:sz w:val="21"/>
              </w:rPr>
              <w:t xml:space="preserve"> </w:t>
            </w:r>
            <w:r>
              <w:rPr>
                <w:sz w:val="21"/>
              </w:rPr>
              <w:t>类区标准要求；③本次地下水环境现状</w:t>
            </w:r>
            <w:r>
              <w:rPr>
                <w:spacing w:val="-11"/>
                <w:sz w:val="21"/>
              </w:rPr>
              <w:t xml:space="preserve">监测布设 </w:t>
            </w:r>
            <w:r>
              <w:rPr>
                <w:rFonts w:ascii="Times New Roman" w:hAnsi="Times New Roman" w:eastAsia="Times New Roman"/>
                <w:sz w:val="21"/>
              </w:rPr>
              <w:t>5</w:t>
            </w:r>
            <w:r>
              <w:rPr>
                <w:rFonts w:ascii="Times New Roman" w:hAnsi="Times New Roman" w:eastAsia="Times New Roman"/>
                <w:spacing w:val="-4"/>
                <w:sz w:val="21"/>
              </w:rPr>
              <w:t xml:space="preserve"> </w:t>
            </w:r>
            <w:r>
              <w:rPr>
                <w:spacing w:val="-9"/>
                <w:sz w:val="21"/>
              </w:rPr>
              <w:t xml:space="preserve">个水质监测点 </w:t>
            </w:r>
            <w:r>
              <w:rPr>
                <w:rFonts w:ascii="Times New Roman" w:hAnsi="Times New Roman" w:eastAsia="Times New Roman"/>
                <w:sz w:val="21"/>
              </w:rPr>
              <w:t>5</w:t>
            </w:r>
            <w:r>
              <w:rPr>
                <w:rFonts w:ascii="Times New Roman" w:hAnsi="Times New Roman" w:eastAsia="Times New Roman"/>
                <w:spacing w:val="-3"/>
                <w:sz w:val="21"/>
              </w:rPr>
              <w:t xml:space="preserve"> </w:t>
            </w:r>
            <w:r>
              <w:rPr>
                <w:spacing w:val="-7"/>
                <w:sz w:val="21"/>
              </w:rPr>
              <w:t>个水位监测点，根据黑龙江康和</w:t>
            </w:r>
          </w:p>
          <w:p>
            <w:pPr>
              <w:pStyle w:val="14"/>
              <w:spacing w:line="242" w:lineRule="auto"/>
              <w:ind w:left="106" w:right="98"/>
              <w:jc w:val="both"/>
              <w:rPr>
                <w:sz w:val="21"/>
              </w:rPr>
            </w:pPr>
            <w:r>
              <w:rPr>
                <w:spacing w:val="-8"/>
                <w:sz w:val="21"/>
              </w:rPr>
              <w:t xml:space="preserve">检测有限公司 </w:t>
            </w:r>
            <w:r>
              <w:rPr>
                <w:rFonts w:ascii="Times New Roman" w:hAnsi="Times New Roman" w:eastAsia="Times New Roman"/>
                <w:sz w:val="21"/>
              </w:rPr>
              <w:t>2020</w:t>
            </w:r>
            <w:r>
              <w:rPr>
                <w:rFonts w:ascii="Times New Roman" w:hAnsi="Times New Roman" w:eastAsia="Times New Roman"/>
                <w:spacing w:val="-3"/>
                <w:sz w:val="21"/>
              </w:rPr>
              <w:t xml:space="preserve"> </w:t>
            </w:r>
            <w:r>
              <w:rPr>
                <w:spacing w:val="-28"/>
                <w:sz w:val="21"/>
              </w:rPr>
              <w:t xml:space="preserve">年 </w:t>
            </w:r>
            <w:r>
              <w:rPr>
                <w:rFonts w:ascii="Times New Roman" w:hAnsi="Times New Roman" w:eastAsia="Times New Roman"/>
                <w:sz w:val="21"/>
              </w:rPr>
              <w:t>06</w:t>
            </w:r>
            <w:r>
              <w:rPr>
                <w:rFonts w:ascii="Times New Roman" w:hAnsi="Times New Roman" w:eastAsia="Times New Roman"/>
                <w:spacing w:val="-1"/>
                <w:sz w:val="21"/>
              </w:rPr>
              <w:t xml:space="preserve"> </w:t>
            </w:r>
            <w:r>
              <w:rPr>
                <w:spacing w:val="-28"/>
                <w:sz w:val="21"/>
              </w:rPr>
              <w:t xml:space="preserve">月 </w:t>
            </w:r>
            <w:r>
              <w:rPr>
                <w:rFonts w:ascii="Times New Roman" w:hAnsi="Times New Roman" w:eastAsia="Times New Roman"/>
                <w:sz w:val="21"/>
              </w:rPr>
              <w:t>15</w:t>
            </w:r>
            <w:r>
              <w:rPr>
                <w:rFonts w:ascii="Times New Roman" w:hAnsi="Times New Roman" w:eastAsia="Times New Roman"/>
                <w:spacing w:val="-1"/>
                <w:sz w:val="21"/>
              </w:rPr>
              <w:t xml:space="preserve"> </w:t>
            </w:r>
            <w:r>
              <w:rPr>
                <w:sz w:val="21"/>
              </w:rPr>
              <w:t>日出具的监测结果可知，监</w:t>
            </w:r>
            <w:r>
              <w:rPr>
                <w:spacing w:val="-12"/>
                <w:sz w:val="21"/>
              </w:rPr>
              <w:t xml:space="preserve">测点水质良好，除 </w:t>
            </w:r>
            <w:r>
              <w:rPr>
                <w:rFonts w:ascii="Times New Roman" w:hAnsi="Times New Roman" w:eastAsia="Times New Roman"/>
                <w:sz w:val="21"/>
              </w:rPr>
              <w:t>4#</w:t>
            </w:r>
            <w:r>
              <w:rPr>
                <w:spacing w:val="-9"/>
                <w:sz w:val="21"/>
              </w:rPr>
              <w:t>水井总硬度、锰超标以外，其他监测因</w:t>
            </w:r>
            <w:r>
              <w:rPr>
                <w:spacing w:val="-13"/>
                <w:sz w:val="21"/>
              </w:rPr>
              <w:t xml:space="preserve">子均未超标；④本次地表水环境现状监测布设了 </w:t>
            </w:r>
            <w:r>
              <w:rPr>
                <w:rFonts w:ascii="Times New Roman" w:hAnsi="Times New Roman" w:eastAsia="Times New Roman"/>
                <w:sz w:val="21"/>
              </w:rPr>
              <w:t>3</w:t>
            </w:r>
            <w:r>
              <w:rPr>
                <w:rFonts w:ascii="Times New Roman" w:hAnsi="Times New Roman" w:eastAsia="Times New Roman"/>
                <w:spacing w:val="-6"/>
                <w:sz w:val="21"/>
              </w:rPr>
              <w:t xml:space="preserve"> </w:t>
            </w:r>
            <w:r>
              <w:rPr>
                <w:sz w:val="21"/>
              </w:rPr>
              <w:t>个监测点</w:t>
            </w:r>
          </w:p>
          <w:p>
            <w:pPr>
              <w:pStyle w:val="14"/>
              <w:spacing w:line="242" w:lineRule="auto"/>
              <w:ind w:left="106" w:right="47"/>
              <w:jc w:val="both"/>
              <w:rPr>
                <w:sz w:val="21"/>
              </w:rPr>
            </w:pPr>
            <w:r>
              <w:rPr>
                <w:spacing w:val="-4"/>
                <w:sz w:val="21"/>
              </w:rPr>
              <w:t xml:space="preserve">位，根据黑龙江康和检测有限公司 </w:t>
            </w:r>
            <w:r>
              <w:rPr>
                <w:rFonts w:ascii="Times New Roman" w:hAnsi="Times New Roman" w:eastAsia="Times New Roman"/>
                <w:sz w:val="21"/>
              </w:rPr>
              <w:t xml:space="preserve">2020 </w:t>
            </w:r>
            <w:r>
              <w:rPr>
                <w:spacing w:val="-27"/>
                <w:sz w:val="21"/>
              </w:rPr>
              <w:t xml:space="preserve">年 </w:t>
            </w:r>
            <w:r>
              <w:rPr>
                <w:rFonts w:ascii="Times New Roman" w:hAnsi="Times New Roman" w:eastAsia="Times New Roman"/>
                <w:sz w:val="21"/>
              </w:rPr>
              <w:t xml:space="preserve">06 </w:t>
            </w:r>
            <w:r>
              <w:rPr>
                <w:spacing w:val="-27"/>
                <w:sz w:val="21"/>
              </w:rPr>
              <w:t xml:space="preserve">月 </w:t>
            </w:r>
            <w:r>
              <w:rPr>
                <w:rFonts w:ascii="Times New Roman" w:hAnsi="Times New Roman" w:eastAsia="Times New Roman"/>
                <w:sz w:val="21"/>
              </w:rPr>
              <w:t xml:space="preserve">15 </w:t>
            </w:r>
            <w:r>
              <w:rPr>
                <w:sz w:val="21"/>
              </w:rPr>
              <w:t>日出具</w:t>
            </w:r>
            <w:r>
              <w:rPr>
                <w:spacing w:val="-3"/>
                <w:sz w:val="21"/>
              </w:rPr>
              <w:t>的监测结果可知，地表水环境除铁、</w:t>
            </w:r>
            <w:r>
              <w:rPr>
                <w:rFonts w:ascii="Times New Roman" w:hAnsi="Times New Roman" w:eastAsia="Times New Roman"/>
                <w:sz w:val="21"/>
              </w:rPr>
              <w:t>COD</w:t>
            </w:r>
            <w:r>
              <w:rPr>
                <w:spacing w:val="-15"/>
                <w:sz w:val="21"/>
              </w:rPr>
              <w:t>、</w:t>
            </w:r>
            <w:r>
              <w:rPr>
                <w:rFonts w:ascii="Times New Roman" w:hAnsi="Times New Roman" w:eastAsia="Times New Roman"/>
                <w:sz w:val="21"/>
              </w:rPr>
              <w:t xml:space="preserve">BOD5 </w:t>
            </w:r>
            <w:r>
              <w:rPr>
                <w:sz w:val="21"/>
              </w:rPr>
              <w:t>以外的监测指标均满足《地表水环境质量标准》（</w:t>
            </w:r>
            <w:r>
              <w:rPr>
                <w:rFonts w:ascii="Times New Roman" w:hAnsi="Times New Roman" w:eastAsia="Times New Roman"/>
                <w:sz w:val="21"/>
              </w:rPr>
              <w:t>GB3838-2002</w:t>
            </w:r>
            <w:r>
              <w:rPr>
                <w:sz w:val="21"/>
              </w:rPr>
              <w:t xml:space="preserve">）Ⅲ </w:t>
            </w:r>
            <w:r>
              <w:rPr>
                <w:spacing w:val="-4"/>
                <w:sz w:val="21"/>
              </w:rPr>
              <w:t xml:space="preserve">类标准；⑤本项目工业广场范围内 </w:t>
            </w:r>
            <w:r>
              <w:rPr>
                <w:rFonts w:ascii="Times New Roman" w:hAnsi="Times New Roman" w:eastAsia="Times New Roman"/>
                <w:sz w:val="21"/>
              </w:rPr>
              <w:t xml:space="preserve">3 </w:t>
            </w:r>
            <w:r>
              <w:rPr>
                <w:sz w:val="21"/>
              </w:rPr>
              <w:t>个表层样土壤监测点，</w:t>
            </w:r>
          </w:p>
          <w:p>
            <w:pPr>
              <w:pStyle w:val="14"/>
              <w:ind w:left="106"/>
              <w:jc w:val="both"/>
              <w:rPr>
                <w:sz w:val="21"/>
              </w:rPr>
            </w:pPr>
            <w:r>
              <w:rPr>
                <w:spacing w:val="-7"/>
                <w:sz w:val="21"/>
              </w:rPr>
              <w:t xml:space="preserve">工业场地占地范围外 </w:t>
            </w:r>
            <w:r>
              <w:rPr>
                <w:rFonts w:ascii="Times New Roman" w:eastAsia="Times New Roman"/>
                <w:sz w:val="21"/>
              </w:rPr>
              <w:t>2</w:t>
            </w:r>
            <w:r>
              <w:rPr>
                <w:rFonts w:ascii="Times New Roman" w:eastAsia="Times New Roman"/>
                <w:spacing w:val="-6"/>
                <w:sz w:val="21"/>
              </w:rPr>
              <w:t xml:space="preserve"> </w:t>
            </w:r>
            <w:r>
              <w:rPr>
                <w:spacing w:val="-5"/>
                <w:sz w:val="21"/>
              </w:rPr>
              <w:t>个表层样土壤监测点，根据黑龙江康</w:t>
            </w:r>
          </w:p>
          <w:p>
            <w:pPr>
              <w:pStyle w:val="14"/>
              <w:spacing w:line="242" w:lineRule="auto"/>
              <w:ind w:left="106" w:right="98"/>
              <w:jc w:val="both"/>
              <w:rPr>
                <w:sz w:val="21"/>
              </w:rPr>
            </w:pPr>
            <w:r>
              <w:rPr>
                <w:spacing w:val="-7"/>
                <w:sz w:val="21"/>
              </w:rPr>
              <w:t xml:space="preserve">和检测有限公司 </w:t>
            </w:r>
            <w:r>
              <w:rPr>
                <w:rFonts w:ascii="Times New Roman" w:eastAsia="Times New Roman"/>
                <w:sz w:val="21"/>
              </w:rPr>
              <w:t>2020</w:t>
            </w:r>
            <w:r>
              <w:rPr>
                <w:rFonts w:ascii="Times New Roman" w:eastAsia="Times New Roman"/>
                <w:spacing w:val="-1"/>
                <w:sz w:val="21"/>
              </w:rPr>
              <w:t xml:space="preserve"> </w:t>
            </w:r>
            <w:r>
              <w:rPr>
                <w:spacing w:val="-27"/>
                <w:sz w:val="21"/>
              </w:rPr>
              <w:t xml:space="preserve">年 </w:t>
            </w:r>
            <w:r>
              <w:rPr>
                <w:rFonts w:ascii="Times New Roman" w:eastAsia="Times New Roman"/>
                <w:sz w:val="21"/>
              </w:rPr>
              <w:t>06</w:t>
            </w:r>
            <w:r>
              <w:rPr>
                <w:rFonts w:ascii="Times New Roman" w:eastAsia="Times New Roman"/>
                <w:spacing w:val="-3"/>
                <w:sz w:val="21"/>
              </w:rPr>
              <w:t xml:space="preserve"> </w:t>
            </w:r>
            <w:r>
              <w:rPr>
                <w:spacing w:val="-28"/>
                <w:sz w:val="21"/>
              </w:rPr>
              <w:t xml:space="preserve">月 </w:t>
            </w:r>
            <w:r>
              <w:rPr>
                <w:rFonts w:ascii="Times New Roman" w:eastAsia="Times New Roman"/>
                <w:sz w:val="21"/>
              </w:rPr>
              <w:t xml:space="preserve">15 </w:t>
            </w:r>
            <w:r>
              <w:rPr>
                <w:sz w:val="21"/>
              </w:rPr>
              <w:t xml:space="preserve">日出具的监测结果可知， </w:t>
            </w:r>
            <w:r>
              <w:rPr>
                <w:spacing w:val="-1"/>
                <w:sz w:val="21"/>
              </w:rPr>
              <w:t>建设项目场地范围内土壤质量均满足《土壤环境质量 建设</w:t>
            </w:r>
            <w:r>
              <w:rPr>
                <w:spacing w:val="-3"/>
                <w:w w:val="95"/>
                <w:sz w:val="21"/>
              </w:rPr>
              <w:t>用地土壤污染风险管控标准</w:t>
            </w:r>
            <w:r>
              <w:rPr>
                <w:w w:val="95"/>
                <w:sz w:val="21"/>
              </w:rPr>
              <w:t>（试行</w:t>
            </w:r>
            <w:r>
              <w:rPr>
                <w:spacing w:val="-17"/>
                <w:w w:val="95"/>
                <w:sz w:val="21"/>
              </w:rPr>
              <w:t>）</w:t>
            </w:r>
            <w:r>
              <w:rPr>
                <w:spacing w:val="-37"/>
                <w:w w:val="95"/>
                <w:sz w:val="21"/>
              </w:rPr>
              <w:t>》</w:t>
            </w:r>
            <w:r>
              <w:rPr>
                <w:w w:val="95"/>
                <w:sz w:val="21"/>
              </w:rPr>
              <w:t>（</w:t>
            </w:r>
            <w:r>
              <w:rPr>
                <w:rFonts w:ascii="Times New Roman" w:eastAsia="Times New Roman"/>
                <w:w w:val="95"/>
                <w:sz w:val="21"/>
              </w:rPr>
              <w:t>GB36600-2018</w:t>
            </w:r>
            <w:r>
              <w:rPr>
                <w:w w:val="95"/>
                <w:sz w:val="21"/>
              </w:rPr>
              <w:t xml:space="preserve">）中 </w:t>
            </w:r>
            <w:r>
              <w:rPr>
                <w:spacing w:val="-5"/>
                <w:w w:val="95"/>
                <w:sz w:val="21"/>
              </w:rPr>
              <w:t>的第二类用地标准要求，工业场地占地范围外土壤质量满足</w:t>
            </w:r>
          </w:p>
          <w:p>
            <w:pPr>
              <w:pStyle w:val="14"/>
              <w:spacing w:before="2"/>
              <w:ind w:left="106"/>
              <w:jc w:val="left"/>
              <w:rPr>
                <w:sz w:val="21"/>
              </w:rPr>
            </w:pPr>
            <w:r>
              <w:rPr>
                <w:sz w:val="21"/>
              </w:rPr>
              <w:t>《土壤环境质量农用地土壤污染风险管控标准（试行）》</w:t>
            </w:r>
          </w:p>
          <w:p>
            <w:pPr>
              <w:pStyle w:val="14"/>
              <w:spacing w:before="5" w:line="242" w:lineRule="auto"/>
              <w:ind w:left="106" w:right="47"/>
              <w:jc w:val="both"/>
              <w:rPr>
                <w:sz w:val="21"/>
              </w:rPr>
            </w:pPr>
            <w:r>
              <w:rPr>
                <w:sz w:val="21"/>
              </w:rPr>
              <w:t>（</w:t>
            </w:r>
            <w:r>
              <w:rPr>
                <w:rFonts w:ascii="Times New Roman" w:eastAsia="Times New Roman"/>
                <w:sz w:val="21"/>
              </w:rPr>
              <w:t>GB/15618-2018</w:t>
            </w:r>
            <w:r>
              <w:rPr>
                <w:sz w:val="21"/>
              </w:rPr>
              <w:t>）标准要求；综上所述，本项目实施过程</w:t>
            </w:r>
            <w:r>
              <w:rPr>
                <w:spacing w:val="-6"/>
                <w:sz w:val="21"/>
              </w:rPr>
              <w:t>中，通过严格落实污染防治措施，可实现达标排放，且不会</w:t>
            </w:r>
            <w:r>
              <w:rPr>
                <w:spacing w:val="-6"/>
                <w:w w:val="95"/>
                <w:sz w:val="21"/>
              </w:rPr>
              <w:t xml:space="preserve">改变周边环境以及敏感目标处的各环境要素环境质量现状， </w:t>
            </w:r>
            <w:r>
              <w:rPr>
                <w:spacing w:val="-10"/>
                <w:sz w:val="21"/>
              </w:rPr>
              <w:t>符合在区域的环境空气、地表水、地下水和土壤符合环境质</w:t>
            </w:r>
          </w:p>
          <w:p>
            <w:pPr>
              <w:pStyle w:val="14"/>
              <w:spacing w:line="253" w:lineRule="exact"/>
              <w:ind w:left="106"/>
              <w:jc w:val="left"/>
              <w:rPr>
                <w:sz w:val="21"/>
              </w:rPr>
            </w:pPr>
            <w:r>
              <w:rPr>
                <w:sz w:val="21"/>
              </w:rPr>
              <w:t>量底线要求。</w:t>
            </w:r>
          </w:p>
        </w:tc>
        <w:tc>
          <w:tcPr>
            <w:tcW w:w="1504" w:type="dxa"/>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700" w:type="dxa"/>
          </w:tcPr>
          <w:p>
            <w:pPr>
              <w:pStyle w:val="14"/>
              <w:ind w:left="94" w:right="86"/>
              <w:rPr>
                <w:sz w:val="21"/>
              </w:rPr>
            </w:pPr>
            <w:r>
              <w:rPr>
                <w:sz w:val="21"/>
              </w:rPr>
              <w:t>环境准入负面清</w:t>
            </w:r>
          </w:p>
          <w:p>
            <w:pPr>
              <w:pStyle w:val="14"/>
              <w:spacing w:before="2" w:line="253" w:lineRule="exact"/>
              <w:ind w:left="6"/>
              <w:rPr>
                <w:sz w:val="21"/>
              </w:rPr>
            </w:pPr>
            <w:r>
              <w:rPr>
                <w:w w:val="99"/>
                <w:sz w:val="21"/>
              </w:rPr>
              <w:t>单</w:t>
            </w:r>
          </w:p>
        </w:tc>
        <w:tc>
          <w:tcPr>
            <w:tcW w:w="5627" w:type="dxa"/>
          </w:tcPr>
          <w:p>
            <w:pPr>
              <w:pStyle w:val="14"/>
              <w:ind w:left="106"/>
              <w:jc w:val="left"/>
              <w:rPr>
                <w:sz w:val="21"/>
              </w:rPr>
            </w:pPr>
            <w:r>
              <w:rPr>
                <w:sz w:val="21"/>
              </w:rPr>
              <w:t>项目所在区域不属于《黑龙江省重点生态功能区产业准入负</w:t>
            </w:r>
          </w:p>
          <w:p>
            <w:pPr>
              <w:pStyle w:val="14"/>
              <w:spacing w:before="2" w:line="253" w:lineRule="exact"/>
              <w:ind w:left="106"/>
              <w:jc w:val="left"/>
              <w:rPr>
                <w:sz w:val="21"/>
              </w:rPr>
            </w:pPr>
            <w:r>
              <w:rPr>
                <w:sz w:val="21"/>
              </w:rPr>
              <w:t>面清单（试行版）》中列出的有产业准入负面清单的区域。</w:t>
            </w:r>
          </w:p>
        </w:tc>
        <w:tc>
          <w:tcPr>
            <w:tcW w:w="1504" w:type="dxa"/>
          </w:tcPr>
          <w:p>
            <w:pPr>
              <w:pStyle w:val="14"/>
              <w:spacing w:before="135"/>
              <w:ind w:left="6"/>
              <w:rPr>
                <w:sz w:val="21"/>
              </w:rPr>
            </w:pPr>
            <w:r>
              <w:rPr>
                <w:w w:val="99"/>
                <w:sz w:val="21"/>
              </w:rPr>
              <w:t>无</w:t>
            </w:r>
          </w:p>
        </w:tc>
      </w:tr>
    </w:tbl>
    <w:p>
      <w:pPr>
        <w:pStyle w:val="3"/>
        <w:numPr>
          <w:ilvl w:val="1"/>
          <w:numId w:val="111"/>
        </w:numPr>
        <w:tabs>
          <w:tab w:val="left" w:pos="1260"/>
        </w:tabs>
        <w:spacing w:before="1" w:after="0" w:line="240" w:lineRule="auto"/>
        <w:ind w:left="1260" w:right="0" w:hanging="600"/>
        <w:jc w:val="left"/>
      </w:pPr>
      <w:bookmarkStart w:id="1320" w:name="_bookmark101"/>
      <w:bookmarkEnd w:id="1320"/>
      <w:bookmarkStart w:id="1321" w:name="_bookmark101"/>
      <w:bookmarkEnd w:id="1321"/>
      <w:bookmarkStart w:id="1322" w:name="17.3与黑龙江省相关政策、规划符合性"/>
      <w:bookmarkEnd w:id="1322"/>
      <w:r>
        <w:t>与黑龙江省相关政策、规划符合性</w:t>
      </w:r>
    </w:p>
    <w:p>
      <w:pPr>
        <w:tabs>
          <w:tab w:val="left" w:pos="1536"/>
        </w:tabs>
        <w:spacing w:before="201"/>
        <w:ind w:left="377" w:right="0" w:firstLine="0"/>
        <w:jc w:val="center"/>
        <w:rPr>
          <w:b/>
          <w:sz w:val="24"/>
        </w:rPr>
      </w:pPr>
      <w:r>
        <w:rPr>
          <w:b/>
          <w:sz w:val="24"/>
        </w:rPr>
        <w:t>表</w:t>
      </w:r>
      <w:r>
        <w:rPr>
          <w:b/>
          <w:spacing w:val="-62"/>
          <w:sz w:val="24"/>
        </w:rPr>
        <w:t xml:space="preserve"> </w:t>
      </w:r>
      <w:r>
        <w:rPr>
          <w:rFonts w:ascii="Times New Roman" w:eastAsia="Times New Roman"/>
          <w:b/>
          <w:sz w:val="24"/>
        </w:rPr>
        <w:t>17.3-1</w:t>
      </w:r>
      <w:r>
        <w:rPr>
          <w:rFonts w:ascii="Times New Roman" w:eastAsia="Times New Roman"/>
          <w:b/>
          <w:sz w:val="24"/>
        </w:rPr>
        <w:tab/>
      </w:r>
      <w:r>
        <w:rPr>
          <w:b/>
          <w:sz w:val="24"/>
        </w:rPr>
        <w:t>与相关规划、政策、条例、规范符合性分析</w:t>
      </w:r>
    </w:p>
    <w:tbl>
      <w:tblPr>
        <w:tblStyle w:val="10"/>
        <w:tblW w:w="0" w:type="auto"/>
        <w:tblInd w:w="6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4"/>
        <w:gridCol w:w="3686"/>
        <w:gridCol w:w="2591"/>
        <w:gridCol w:w="7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84" w:type="dxa"/>
          </w:tcPr>
          <w:p>
            <w:pPr>
              <w:pStyle w:val="14"/>
              <w:spacing w:before="21"/>
              <w:ind w:left="42" w:right="32"/>
              <w:rPr>
                <w:sz w:val="21"/>
              </w:rPr>
            </w:pPr>
            <w:r>
              <w:rPr>
                <w:sz w:val="21"/>
              </w:rPr>
              <w:t>相关政策、条</w:t>
            </w:r>
          </w:p>
          <w:p>
            <w:pPr>
              <w:pStyle w:val="14"/>
              <w:spacing w:before="43"/>
              <w:ind w:left="39" w:right="32"/>
              <w:rPr>
                <w:sz w:val="21"/>
              </w:rPr>
            </w:pPr>
            <w:r>
              <w:rPr>
                <w:sz w:val="21"/>
              </w:rPr>
              <w:t>例、规范</w:t>
            </w:r>
          </w:p>
        </w:tc>
        <w:tc>
          <w:tcPr>
            <w:tcW w:w="3686" w:type="dxa"/>
          </w:tcPr>
          <w:p>
            <w:pPr>
              <w:pStyle w:val="14"/>
              <w:spacing w:before="177"/>
              <w:ind w:left="1612" w:right="1604"/>
              <w:rPr>
                <w:sz w:val="21"/>
              </w:rPr>
            </w:pPr>
            <w:r>
              <w:rPr>
                <w:sz w:val="21"/>
              </w:rPr>
              <w:t>要求</w:t>
            </w:r>
          </w:p>
        </w:tc>
        <w:tc>
          <w:tcPr>
            <w:tcW w:w="2591" w:type="dxa"/>
          </w:tcPr>
          <w:p>
            <w:pPr>
              <w:pStyle w:val="14"/>
              <w:spacing w:before="177"/>
              <w:ind w:left="769"/>
              <w:jc w:val="left"/>
              <w:rPr>
                <w:sz w:val="21"/>
              </w:rPr>
            </w:pPr>
            <w:r>
              <w:rPr>
                <w:sz w:val="21"/>
              </w:rPr>
              <w:t>符合性分析</w:t>
            </w:r>
          </w:p>
        </w:tc>
        <w:tc>
          <w:tcPr>
            <w:tcW w:w="719" w:type="dxa"/>
          </w:tcPr>
          <w:p>
            <w:pPr>
              <w:pStyle w:val="14"/>
              <w:spacing w:before="21"/>
              <w:ind w:left="149"/>
              <w:jc w:val="left"/>
              <w:rPr>
                <w:sz w:val="21"/>
              </w:rPr>
            </w:pPr>
            <w:r>
              <w:rPr>
                <w:spacing w:val="-1"/>
                <w:w w:val="95"/>
                <w:sz w:val="21"/>
              </w:rPr>
              <w:t>是否</w:t>
            </w:r>
          </w:p>
          <w:p>
            <w:pPr>
              <w:pStyle w:val="14"/>
              <w:spacing w:before="43"/>
              <w:ind w:left="149"/>
              <w:jc w:val="left"/>
              <w:rPr>
                <w:sz w:val="21"/>
              </w:rPr>
            </w:pPr>
            <w:r>
              <w:rPr>
                <w:spacing w:val="-1"/>
                <w:w w:val="95"/>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8" w:hRule="atLeast"/>
        </w:trPr>
        <w:tc>
          <w:tcPr>
            <w:tcW w:w="1384" w:type="dxa"/>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9"/>
              <w:jc w:val="left"/>
              <w:rPr>
                <w:b/>
                <w:sz w:val="27"/>
              </w:rPr>
            </w:pPr>
          </w:p>
          <w:p>
            <w:pPr>
              <w:pStyle w:val="14"/>
              <w:spacing w:line="278" w:lineRule="auto"/>
              <w:ind w:left="166" w:right="156"/>
              <w:rPr>
                <w:sz w:val="21"/>
              </w:rPr>
            </w:pPr>
            <w:r>
              <w:rPr>
                <w:sz w:val="21"/>
              </w:rPr>
              <w:t>《黑龙江省主体功能区规划》</w:t>
            </w:r>
          </w:p>
        </w:tc>
        <w:tc>
          <w:tcPr>
            <w:tcW w:w="3686" w:type="dxa"/>
          </w:tcPr>
          <w:p>
            <w:pPr>
              <w:pStyle w:val="14"/>
              <w:spacing w:before="21" w:line="278" w:lineRule="auto"/>
              <w:ind w:left="587" w:right="149"/>
              <w:jc w:val="left"/>
              <w:rPr>
                <w:sz w:val="21"/>
              </w:rPr>
            </w:pPr>
            <w:r>
              <w:rPr>
                <w:sz w:val="21"/>
              </w:rPr>
              <w:t>第四章第三节省级重点开发区域一、东部煤电化基地</w:t>
            </w:r>
          </w:p>
          <w:p>
            <w:pPr>
              <w:pStyle w:val="14"/>
              <w:spacing w:line="278" w:lineRule="auto"/>
              <w:ind w:left="107" w:right="-15" w:firstLine="480"/>
              <w:jc w:val="left"/>
              <w:rPr>
                <w:sz w:val="21"/>
              </w:rPr>
            </w:pPr>
            <w:r>
              <w:rPr>
                <w:spacing w:val="-7"/>
                <w:sz w:val="21"/>
              </w:rPr>
              <w:t>以佳木斯、鸡西、双鸭山、鹤岗、</w:t>
            </w:r>
            <w:r>
              <w:rPr>
                <w:spacing w:val="-13"/>
                <w:sz w:val="21"/>
              </w:rPr>
              <w:t>七台河为区域中心城市，以能源与煤化</w:t>
            </w:r>
            <w:r>
              <w:rPr>
                <w:spacing w:val="-16"/>
                <w:sz w:val="21"/>
              </w:rPr>
              <w:t>工及其相关产业为主导，建设我省东部重要经济增长极。</w:t>
            </w:r>
          </w:p>
          <w:p>
            <w:pPr>
              <w:pStyle w:val="14"/>
              <w:spacing w:line="269" w:lineRule="exact"/>
              <w:ind w:left="587"/>
              <w:jc w:val="left"/>
              <w:rPr>
                <w:sz w:val="21"/>
              </w:rPr>
            </w:pPr>
            <w:r>
              <w:rPr>
                <w:sz w:val="21"/>
              </w:rPr>
              <w:t>（三）双鸭山。</w:t>
            </w:r>
          </w:p>
          <w:p>
            <w:pPr>
              <w:pStyle w:val="14"/>
              <w:spacing w:before="42" w:line="278" w:lineRule="auto"/>
              <w:ind w:left="107" w:right="98" w:firstLine="480"/>
              <w:jc w:val="left"/>
              <w:rPr>
                <w:sz w:val="21"/>
              </w:rPr>
            </w:pPr>
            <w:r>
              <w:rPr>
                <w:w w:val="95"/>
                <w:sz w:val="21"/>
              </w:rPr>
              <w:t>主要指双鸭山市辖区，包括尖山</w:t>
            </w:r>
            <w:r>
              <w:rPr>
                <w:sz w:val="21"/>
              </w:rPr>
              <w:t>区、岭东区、四方台区和宝山区。</w:t>
            </w:r>
          </w:p>
          <w:p>
            <w:pPr>
              <w:pStyle w:val="14"/>
              <w:spacing w:line="278" w:lineRule="auto"/>
              <w:ind w:left="107" w:right="96" w:firstLine="480"/>
              <w:jc w:val="both"/>
              <w:rPr>
                <w:sz w:val="21"/>
              </w:rPr>
            </w:pPr>
            <w:r>
              <w:rPr>
                <w:spacing w:val="3"/>
                <w:w w:val="95"/>
                <w:sz w:val="21"/>
              </w:rPr>
              <w:t>功能定位：全省重要的能源、煤</w:t>
            </w:r>
            <w:r>
              <w:rPr>
                <w:spacing w:val="-7"/>
                <w:sz w:val="21"/>
              </w:rPr>
              <w:t>电化基地和钢铁生产基地，安全优质农</w:t>
            </w:r>
            <w:r>
              <w:rPr>
                <w:sz w:val="21"/>
              </w:rPr>
              <w:t>畜产品生产加工基地。</w:t>
            </w:r>
          </w:p>
          <w:p>
            <w:pPr>
              <w:pStyle w:val="14"/>
              <w:spacing w:line="269" w:lineRule="exact"/>
              <w:ind w:left="107" w:right="-15" w:firstLine="480"/>
              <w:jc w:val="left"/>
              <w:rPr>
                <w:sz w:val="21"/>
              </w:rPr>
            </w:pPr>
            <w:r>
              <w:rPr>
                <w:spacing w:val="-6"/>
                <w:sz w:val="21"/>
              </w:rPr>
              <w:t>产业发展方向及布局：发展煤炭、</w:t>
            </w:r>
          </w:p>
          <w:p>
            <w:pPr>
              <w:pStyle w:val="14"/>
              <w:spacing w:before="2" w:line="310" w:lineRule="atLeast"/>
              <w:ind w:left="107" w:right="-15"/>
              <w:jc w:val="left"/>
              <w:rPr>
                <w:sz w:val="21"/>
              </w:rPr>
            </w:pPr>
            <w:r>
              <w:rPr>
                <w:sz w:val="21"/>
              </w:rPr>
              <w:t>电力、煤化工、钢铁、农畜产品加工、</w:t>
            </w:r>
            <w:r>
              <w:rPr>
                <w:spacing w:val="-11"/>
                <w:sz w:val="21"/>
              </w:rPr>
              <w:t>新建材、新能源等七大主导产业。煤化</w:t>
            </w:r>
          </w:p>
        </w:tc>
        <w:tc>
          <w:tcPr>
            <w:tcW w:w="2591" w:type="dxa"/>
          </w:tcPr>
          <w:p>
            <w:pPr>
              <w:pStyle w:val="14"/>
              <w:spacing w:before="21" w:line="278" w:lineRule="auto"/>
              <w:ind w:left="107" w:right="-15" w:firstLine="420"/>
              <w:jc w:val="left"/>
              <w:rPr>
                <w:sz w:val="21"/>
              </w:rPr>
            </w:pPr>
            <w:r>
              <w:rPr>
                <w:spacing w:val="7"/>
                <w:sz w:val="21"/>
              </w:rPr>
              <w:t>本项目位于双鸭山市</w:t>
            </w:r>
            <w:r>
              <w:rPr>
                <w:spacing w:val="6"/>
                <w:sz w:val="21"/>
              </w:rPr>
              <w:t>岭东区，双鸭山矿业集团</w:t>
            </w:r>
            <w:r>
              <w:rPr>
                <w:spacing w:val="-4"/>
                <w:sz w:val="21"/>
              </w:rPr>
              <w:t xml:space="preserve">岭东煤矿南 </w:t>
            </w:r>
            <w:r>
              <w:rPr>
                <w:rFonts w:ascii="Times New Roman" w:eastAsia="Times New Roman"/>
                <w:sz w:val="21"/>
              </w:rPr>
              <w:t>7km</w:t>
            </w:r>
            <w:r>
              <w:rPr>
                <w:rFonts w:ascii="Times New Roman" w:eastAsia="Times New Roman"/>
                <w:spacing w:val="-2"/>
                <w:sz w:val="21"/>
              </w:rPr>
              <w:t xml:space="preserve"> </w:t>
            </w:r>
            <w:r>
              <w:rPr>
                <w:spacing w:val="-41"/>
                <w:sz w:val="21"/>
              </w:rPr>
              <w:t>处，为《黑</w:t>
            </w:r>
            <w:r>
              <w:rPr>
                <w:spacing w:val="6"/>
                <w:sz w:val="21"/>
              </w:rPr>
              <w:t>龙江省主体功能区规划》中省级重点开发区域。并</w:t>
            </w:r>
            <w:r>
              <w:rPr>
                <w:spacing w:val="5"/>
                <w:sz w:val="21"/>
              </w:rPr>
              <w:t>且本项目为煤炭开采和洗</w:t>
            </w:r>
            <w:r>
              <w:rPr>
                <w:spacing w:val="6"/>
                <w:sz w:val="21"/>
              </w:rPr>
              <w:t>选业，双鸭山大顺矿业有限公司进行改扩建，是接续衰老报废矿井的需要。通过改扩建，提高生产效</w:t>
            </w:r>
            <w:r>
              <w:rPr>
                <w:spacing w:val="-6"/>
                <w:sz w:val="21"/>
              </w:rPr>
              <w:t xml:space="preserve">率，增加企业的经济效益， </w:t>
            </w:r>
            <w:r>
              <w:rPr>
                <w:spacing w:val="6"/>
                <w:sz w:val="21"/>
              </w:rPr>
              <w:t>满足了企业自身经济发展的需要。因此项目建设符合《黑龙江省主体功能区</w:t>
            </w:r>
          </w:p>
          <w:p>
            <w:pPr>
              <w:pStyle w:val="14"/>
              <w:spacing w:line="267" w:lineRule="exact"/>
              <w:ind w:left="107"/>
              <w:jc w:val="left"/>
              <w:rPr>
                <w:sz w:val="21"/>
              </w:rPr>
            </w:pPr>
            <w:r>
              <w:rPr>
                <w:sz w:val="21"/>
              </w:rPr>
              <w:t>规划》。</w:t>
            </w:r>
          </w:p>
        </w:tc>
        <w:tc>
          <w:tcPr>
            <w:tcW w:w="719" w:type="dxa"/>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155"/>
              <w:ind w:left="149"/>
              <w:jc w:val="left"/>
              <w:rPr>
                <w:sz w:val="21"/>
              </w:rPr>
            </w:pPr>
            <w:r>
              <w:rPr>
                <w:sz w:val="21"/>
              </w:rPr>
              <w:t>符合</w:t>
            </w:r>
          </w:p>
        </w:tc>
      </w:tr>
    </w:tbl>
    <w:p>
      <w:pPr>
        <w:spacing w:after="0"/>
        <w:jc w:val="left"/>
        <w:rPr>
          <w:sz w:val="21"/>
        </w:rPr>
        <w:sectPr>
          <w:pgSz w:w="11910" w:h="16840"/>
          <w:pgMar w:top="1420" w:right="1020" w:bottom="1180" w:left="1140" w:header="0" w:footer="917" w:gutter="0"/>
        </w:sectPr>
      </w:pPr>
    </w:p>
    <w:tbl>
      <w:tblPr>
        <w:tblStyle w:val="10"/>
        <w:tblW w:w="0" w:type="auto"/>
        <w:tblInd w:w="6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4"/>
        <w:gridCol w:w="3686"/>
        <w:gridCol w:w="2591"/>
        <w:gridCol w:w="7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84" w:type="dxa"/>
          </w:tcPr>
          <w:p>
            <w:pPr>
              <w:pStyle w:val="14"/>
              <w:spacing w:before="21"/>
              <w:ind w:left="42" w:right="32"/>
              <w:rPr>
                <w:sz w:val="21"/>
              </w:rPr>
            </w:pPr>
            <w:r>
              <w:rPr>
                <w:sz w:val="21"/>
              </w:rPr>
              <w:t>相关政策、条</w:t>
            </w:r>
          </w:p>
          <w:p>
            <w:pPr>
              <w:pStyle w:val="14"/>
              <w:spacing w:before="43"/>
              <w:ind w:left="39" w:right="32"/>
              <w:rPr>
                <w:sz w:val="21"/>
              </w:rPr>
            </w:pPr>
            <w:r>
              <w:rPr>
                <w:sz w:val="21"/>
              </w:rPr>
              <w:t>例、规范</w:t>
            </w:r>
          </w:p>
        </w:tc>
        <w:tc>
          <w:tcPr>
            <w:tcW w:w="3686" w:type="dxa"/>
          </w:tcPr>
          <w:p>
            <w:pPr>
              <w:pStyle w:val="14"/>
              <w:spacing w:before="177"/>
              <w:ind w:left="1612" w:right="1604"/>
              <w:rPr>
                <w:sz w:val="21"/>
              </w:rPr>
            </w:pPr>
            <w:r>
              <w:rPr>
                <w:sz w:val="21"/>
              </w:rPr>
              <w:t>要求</w:t>
            </w:r>
          </w:p>
        </w:tc>
        <w:tc>
          <w:tcPr>
            <w:tcW w:w="2591" w:type="dxa"/>
          </w:tcPr>
          <w:p>
            <w:pPr>
              <w:pStyle w:val="14"/>
              <w:spacing w:before="177"/>
              <w:ind w:left="769"/>
              <w:jc w:val="left"/>
              <w:rPr>
                <w:sz w:val="21"/>
              </w:rPr>
            </w:pPr>
            <w:r>
              <w:rPr>
                <w:sz w:val="21"/>
              </w:rPr>
              <w:t>符合性分析</w:t>
            </w:r>
          </w:p>
        </w:tc>
        <w:tc>
          <w:tcPr>
            <w:tcW w:w="719" w:type="dxa"/>
          </w:tcPr>
          <w:p>
            <w:pPr>
              <w:pStyle w:val="14"/>
              <w:spacing w:before="21"/>
              <w:ind w:left="149"/>
              <w:jc w:val="left"/>
              <w:rPr>
                <w:sz w:val="21"/>
              </w:rPr>
            </w:pPr>
            <w:r>
              <w:rPr>
                <w:spacing w:val="-1"/>
                <w:w w:val="95"/>
                <w:sz w:val="21"/>
              </w:rPr>
              <w:t>是否</w:t>
            </w:r>
          </w:p>
          <w:p>
            <w:pPr>
              <w:pStyle w:val="14"/>
              <w:spacing w:before="43"/>
              <w:ind w:left="149"/>
              <w:jc w:val="left"/>
              <w:rPr>
                <w:sz w:val="21"/>
              </w:rPr>
            </w:pPr>
            <w:r>
              <w:rPr>
                <w:spacing w:val="-1"/>
                <w:w w:val="95"/>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8" w:hRule="atLeast"/>
        </w:trPr>
        <w:tc>
          <w:tcPr>
            <w:tcW w:w="1384" w:type="dxa"/>
          </w:tcPr>
          <w:p>
            <w:pPr>
              <w:pStyle w:val="14"/>
              <w:jc w:val="left"/>
              <w:rPr>
                <w:rFonts w:ascii="Times New Roman"/>
                <w:sz w:val="20"/>
              </w:rPr>
            </w:pPr>
          </w:p>
        </w:tc>
        <w:tc>
          <w:tcPr>
            <w:tcW w:w="3686" w:type="dxa"/>
          </w:tcPr>
          <w:p>
            <w:pPr>
              <w:pStyle w:val="14"/>
              <w:spacing w:before="21" w:line="278" w:lineRule="auto"/>
              <w:ind w:left="107" w:right="96"/>
              <w:jc w:val="both"/>
              <w:rPr>
                <w:sz w:val="21"/>
              </w:rPr>
            </w:pPr>
            <w:r>
              <w:rPr>
                <w:spacing w:val="-10"/>
                <w:sz w:val="21"/>
              </w:rPr>
              <w:t>工产业重点发展煤炭气化、液化为路径</w:t>
            </w:r>
            <w:r>
              <w:rPr>
                <w:spacing w:val="-11"/>
                <w:sz w:val="21"/>
              </w:rPr>
              <w:t>的甲醇、合成氨、尿素等石化替代产业</w:t>
            </w:r>
            <w:r>
              <w:rPr>
                <w:spacing w:val="-10"/>
                <w:w w:val="95"/>
                <w:sz w:val="21"/>
              </w:rPr>
              <w:t>及其下游产品开发、石油和天然气的开</w:t>
            </w:r>
            <w:r>
              <w:rPr>
                <w:spacing w:val="-12"/>
                <w:sz w:val="21"/>
              </w:rPr>
              <w:t>发利用。钢铁产业重点发展优质特种钢和铸造、机械加工等产业。发展绿色食</w:t>
            </w:r>
            <w:r>
              <w:rPr>
                <w:spacing w:val="-11"/>
                <w:sz w:val="21"/>
              </w:rPr>
              <w:t>品精深加工、生物质能、生物化工、新</w:t>
            </w:r>
            <w:r>
              <w:rPr>
                <w:spacing w:val="-11"/>
                <w:w w:val="95"/>
                <w:sz w:val="21"/>
              </w:rPr>
              <w:t>建材、新能源等产业。尖山区重点发展</w:t>
            </w:r>
            <w:r>
              <w:rPr>
                <w:spacing w:val="-14"/>
                <w:sz w:val="21"/>
              </w:rPr>
              <w:t>现代服务业；岭东区重点发展煤炭、煤</w:t>
            </w:r>
            <w:r>
              <w:rPr>
                <w:spacing w:val="-11"/>
                <w:sz w:val="21"/>
              </w:rPr>
              <w:t>化工、冶金、建材产业；四方台区重点</w:t>
            </w:r>
            <w:r>
              <w:rPr>
                <w:spacing w:val="-11"/>
                <w:w w:val="95"/>
                <w:sz w:val="21"/>
              </w:rPr>
              <w:t>发展煤炭、煤炭深加工、建材、特种物</w:t>
            </w:r>
            <w:r>
              <w:rPr>
                <w:spacing w:val="-16"/>
                <w:sz w:val="21"/>
              </w:rPr>
              <w:t>流业以及煤化工产业配套行业；宝山区</w:t>
            </w:r>
            <w:r>
              <w:rPr>
                <w:spacing w:val="-11"/>
                <w:w w:val="95"/>
                <w:sz w:val="21"/>
              </w:rPr>
              <w:t>重点发展煤炭、电力以及能源综合利用</w:t>
            </w:r>
            <w:r>
              <w:rPr>
                <w:spacing w:val="-11"/>
                <w:sz w:val="21"/>
              </w:rPr>
              <w:t>产业。</w:t>
            </w:r>
          </w:p>
          <w:p>
            <w:pPr>
              <w:pStyle w:val="14"/>
              <w:spacing w:line="278" w:lineRule="auto"/>
              <w:ind w:left="107" w:right="-15" w:firstLine="480"/>
              <w:jc w:val="left"/>
              <w:rPr>
                <w:sz w:val="21"/>
              </w:rPr>
            </w:pPr>
            <w:r>
              <w:rPr>
                <w:spacing w:val="3"/>
                <w:sz w:val="21"/>
              </w:rPr>
              <w:t>生态建设：加强水土流失预防和</w:t>
            </w:r>
            <w:r>
              <w:rPr>
                <w:spacing w:val="-10"/>
                <w:sz w:val="21"/>
              </w:rPr>
              <w:t>治理。开展重点矿区生态修复、环境治</w:t>
            </w:r>
            <w:r>
              <w:rPr>
                <w:spacing w:val="-18"/>
                <w:sz w:val="21"/>
              </w:rPr>
              <w:t xml:space="preserve">理和水资源保护，加强煤矸石、粉煤灰、钢渣等废弃物和采煤沉陷区综合治理， </w:t>
            </w:r>
            <w:r>
              <w:rPr>
                <w:spacing w:val="6"/>
                <w:sz w:val="21"/>
              </w:rPr>
              <w:t>提高矿区土地复垦和矿井水回收利用率。</w:t>
            </w:r>
          </w:p>
          <w:p>
            <w:pPr>
              <w:pStyle w:val="14"/>
              <w:spacing w:line="278" w:lineRule="auto"/>
              <w:ind w:left="107" w:right="96" w:firstLine="480"/>
              <w:jc w:val="both"/>
              <w:rPr>
                <w:sz w:val="21"/>
              </w:rPr>
            </w:pPr>
            <w:r>
              <w:rPr>
                <w:spacing w:val="3"/>
                <w:w w:val="95"/>
                <w:sz w:val="21"/>
              </w:rPr>
              <w:t>基础设施建设：提升城市总体功</w:t>
            </w:r>
            <w:r>
              <w:rPr>
                <w:spacing w:val="-11"/>
                <w:sz w:val="21"/>
              </w:rPr>
              <w:t>能，完善各类产业园区的外部配套基础设施，加快东部煤、粮、钢等大宗物品</w:t>
            </w:r>
            <w:r>
              <w:rPr>
                <w:spacing w:val="-9"/>
                <w:sz w:val="21"/>
              </w:rPr>
              <w:t>的仓储物流以及运输通道建设，逐步实</w:t>
            </w:r>
          </w:p>
          <w:p>
            <w:pPr>
              <w:pStyle w:val="14"/>
              <w:spacing w:line="269" w:lineRule="exact"/>
              <w:ind w:left="107"/>
              <w:jc w:val="left"/>
              <w:rPr>
                <w:sz w:val="21"/>
              </w:rPr>
            </w:pPr>
            <w:r>
              <w:rPr>
                <w:sz w:val="21"/>
              </w:rPr>
              <w:t>施城市中心区扩大工程。</w:t>
            </w:r>
          </w:p>
        </w:tc>
        <w:tc>
          <w:tcPr>
            <w:tcW w:w="2591" w:type="dxa"/>
          </w:tcPr>
          <w:p>
            <w:pPr>
              <w:pStyle w:val="14"/>
              <w:jc w:val="left"/>
              <w:rPr>
                <w:rFonts w:ascii="Times New Roman"/>
                <w:sz w:val="20"/>
              </w:rPr>
            </w:pPr>
          </w:p>
        </w:tc>
        <w:tc>
          <w:tcPr>
            <w:tcW w:w="719" w:type="dxa"/>
          </w:tcPr>
          <w:p>
            <w:pPr>
              <w:pStyle w:val="14"/>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2" w:hRule="atLeast"/>
        </w:trPr>
        <w:tc>
          <w:tcPr>
            <w:tcW w:w="1384" w:type="dxa"/>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12"/>
              <w:jc w:val="left"/>
              <w:rPr>
                <w:b/>
                <w:sz w:val="18"/>
              </w:rPr>
            </w:pPr>
          </w:p>
          <w:p>
            <w:pPr>
              <w:pStyle w:val="14"/>
              <w:spacing w:line="278" w:lineRule="auto"/>
              <w:ind w:left="166" w:right="156"/>
              <w:rPr>
                <w:sz w:val="21"/>
              </w:rPr>
            </w:pPr>
            <w:r>
              <w:rPr>
                <w:sz w:val="21"/>
              </w:rPr>
              <w:t>《黑龙江省生态功能区划》</w:t>
            </w:r>
          </w:p>
        </w:tc>
        <w:tc>
          <w:tcPr>
            <w:tcW w:w="3686" w:type="dxa"/>
          </w:tcPr>
          <w:p>
            <w:pPr>
              <w:pStyle w:val="14"/>
              <w:spacing w:before="20" w:line="278" w:lineRule="auto"/>
              <w:ind w:left="107" w:right="-15" w:firstLine="420"/>
              <w:jc w:val="left"/>
              <w:rPr>
                <w:sz w:val="21"/>
              </w:rPr>
            </w:pPr>
            <w:r>
              <w:rPr>
                <w:sz w:val="21"/>
              </w:rPr>
              <w:t xml:space="preserve">根据《黑龙江省生态功能区划》， </w:t>
            </w:r>
            <w:r>
              <w:rPr>
                <w:spacing w:val="16"/>
                <w:sz w:val="21"/>
              </w:rPr>
              <w:t>双鸭山市属于</w:t>
            </w:r>
            <w:r>
              <w:rPr>
                <w:b/>
                <w:sz w:val="21"/>
              </w:rPr>
              <w:t>Ⅰ</w:t>
            </w:r>
            <w:r>
              <w:rPr>
                <w:rFonts w:ascii="Times New Roman" w:hAnsi="Times New Roman" w:eastAsia="Times New Roman"/>
                <w:b/>
                <w:sz w:val="21"/>
              </w:rPr>
              <w:t>—3—2—3</w:t>
            </w:r>
            <w:r>
              <w:rPr>
                <w:rFonts w:ascii="Times New Roman" w:hAnsi="Times New Roman" w:eastAsia="Times New Roman"/>
                <w:b/>
                <w:spacing w:val="9"/>
                <w:sz w:val="21"/>
              </w:rPr>
              <w:t xml:space="preserve"> </w:t>
            </w:r>
            <w:r>
              <w:rPr>
                <w:b/>
                <w:spacing w:val="17"/>
                <w:sz w:val="21"/>
              </w:rPr>
              <w:t>双鸭山</w:t>
            </w:r>
            <w:r>
              <w:rPr>
                <w:rFonts w:ascii="Times New Roman" w:hAnsi="Times New Roman" w:eastAsia="Times New Roman"/>
                <w:b/>
                <w:sz w:val="21"/>
              </w:rPr>
              <w:t xml:space="preserve">— </w:t>
            </w:r>
            <w:r>
              <w:rPr>
                <w:b/>
                <w:spacing w:val="8"/>
                <w:sz w:val="21"/>
              </w:rPr>
              <w:t>集贤矿业与林业、农业生态功能区</w:t>
            </w:r>
            <w:r>
              <w:rPr>
                <w:sz w:val="21"/>
              </w:rPr>
              <w:t xml:space="preserve">， </w:t>
            </w:r>
            <w:r>
              <w:rPr>
                <w:spacing w:val="-10"/>
                <w:sz w:val="21"/>
              </w:rPr>
              <w:t>主要生态环境问题：矿山开采导致生态</w:t>
            </w:r>
            <w:r>
              <w:rPr>
                <w:spacing w:val="-14"/>
                <w:sz w:val="21"/>
              </w:rPr>
              <w:t>环境极为脆弱；资源超采严重；产业结</w:t>
            </w:r>
            <w:r>
              <w:rPr>
                <w:spacing w:val="-13"/>
                <w:sz w:val="21"/>
              </w:rPr>
              <w:t>构不合理，物能消耗高，产生较大的环境压力。主要生态系统服务功能：土地</w:t>
            </w:r>
            <w:r>
              <w:rPr>
                <w:spacing w:val="-14"/>
                <w:sz w:val="21"/>
              </w:rPr>
              <w:t>沙漠化控制、土壤保持、矿、林、农业</w:t>
            </w:r>
            <w:r>
              <w:rPr>
                <w:spacing w:val="-13"/>
                <w:sz w:val="21"/>
              </w:rPr>
              <w:t>生产。保护措施与发展方向：加大对开</w:t>
            </w:r>
            <w:r>
              <w:rPr>
                <w:spacing w:val="-16"/>
                <w:sz w:val="21"/>
              </w:rPr>
              <w:t>采迹地的恢复工作，调整产业结构，加</w:t>
            </w:r>
          </w:p>
          <w:p>
            <w:pPr>
              <w:pStyle w:val="14"/>
              <w:spacing w:line="268" w:lineRule="exact"/>
              <w:ind w:left="107"/>
              <w:jc w:val="left"/>
              <w:rPr>
                <w:sz w:val="21"/>
              </w:rPr>
            </w:pPr>
            <w:r>
              <w:rPr>
                <w:sz w:val="21"/>
              </w:rPr>
              <w:t>大城市环境基础设施建设。</w:t>
            </w:r>
          </w:p>
        </w:tc>
        <w:tc>
          <w:tcPr>
            <w:tcW w:w="2591" w:type="dxa"/>
          </w:tcPr>
          <w:p>
            <w:pPr>
              <w:pStyle w:val="14"/>
              <w:spacing w:before="12"/>
              <w:jc w:val="left"/>
              <w:rPr>
                <w:b/>
                <w:sz w:val="25"/>
              </w:rPr>
            </w:pPr>
          </w:p>
          <w:p>
            <w:pPr>
              <w:pStyle w:val="14"/>
              <w:spacing w:line="278" w:lineRule="auto"/>
              <w:ind w:left="107" w:right="95" w:firstLine="420"/>
              <w:jc w:val="both"/>
              <w:rPr>
                <w:sz w:val="21"/>
              </w:rPr>
            </w:pPr>
            <w:r>
              <w:rPr>
                <w:spacing w:val="5"/>
                <w:sz w:val="21"/>
              </w:rPr>
              <w:t>本项目位于双鸭山市岭东区，双鸭山矿业集团</w:t>
            </w:r>
            <w:r>
              <w:rPr>
                <w:spacing w:val="-9"/>
                <w:sz w:val="21"/>
              </w:rPr>
              <w:t xml:space="preserve">岭东煤矿南 </w:t>
            </w:r>
            <w:r>
              <w:rPr>
                <w:rFonts w:ascii="Times New Roman" w:eastAsia="Times New Roman"/>
                <w:sz w:val="21"/>
              </w:rPr>
              <w:t xml:space="preserve">7km </w:t>
            </w:r>
            <w:r>
              <w:rPr>
                <w:spacing w:val="-4"/>
                <w:sz w:val="21"/>
              </w:rPr>
              <w:t>处，所占</w:t>
            </w:r>
            <w:r>
              <w:rPr>
                <w:spacing w:val="4"/>
                <w:sz w:val="21"/>
              </w:rPr>
              <w:t>用土地为工矿用地，确保</w:t>
            </w:r>
            <w:r>
              <w:rPr>
                <w:spacing w:val="5"/>
                <w:sz w:val="21"/>
              </w:rPr>
              <w:t>在施工期、运营期采取相应有效的生态环境保护措施，因此，本项目建设不违背《黑龙江省生态功能</w:t>
            </w:r>
            <w:r>
              <w:rPr>
                <w:sz w:val="21"/>
              </w:rPr>
              <w:t>区划》。</w:t>
            </w:r>
          </w:p>
        </w:tc>
        <w:tc>
          <w:tcPr>
            <w:tcW w:w="719" w:type="dxa"/>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4"/>
              <w:jc w:val="left"/>
              <w:rPr>
                <w:b/>
                <w:sz w:val="23"/>
              </w:rPr>
            </w:pPr>
          </w:p>
          <w:p>
            <w:pPr>
              <w:pStyle w:val="14"/>
              <w:ind w:left="128" w:right="121"/>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1" w:hRule="atLeast"/>
        </w:trPr>
        <w:tc>
          <w:tcPr>
            <w:tcW w:w="1384" w:type="dxa"/>
          </w:tcPr>
          <w:p>
            <w:pPr>
              <w:pStyle w:val="14"/>
              <w:jc w:val="left"/>
              <w:rPr>
                <w:b/>
                <w:sz w:val="20"/>
              </w:rPr>
            </w:pPr>
          </w:p>
          <w:p>
            <w:pPr>
              <w:pStyle w:val="14"/>
              <w:spacing w:before="1"/>
              <w:jc w:val="left"/>
              <w:rPr>
                <w:b/>
                <w:sz w:val="18"/>
              </w:rPr>
            </w:pPr>
          </w:p>
          <w:p>
            <w:pPr>
              <w:pStyle w:val="14"/>
              <w:spacing w:line="278" w:lineRule="auto"/>
              <w:ind w:left="108" w:right="5" w:hanging="94"/>
              <w:rPr>
                <w:sz w:val="21"/>
              </w:rPr>
            </w:pPr>
            <w:r>
              <w:rPr>
                <w:sz w:val="21"/>
              </w:rPr>
              <w:t xml:space="preserve">《黑龙江省 生态环境保 </w:t>
            </w:r>
            <w:r>
              <w:rPr>
                <w:spacing w:val="-3"/>
                <w:sz w:val="21"/>
              </w:rPr>
              <w:t xml:space="preserve">护“十三五” </w:t>
            </w:r>
            <w:r>
              <w:rPr>
                <w:sz w:val="21"/>
              </w:rPr>
              <w:t>规划》</w:t>
            </w:r>
          </w:p>
        </w:tc>
        <w:tc>
          <w:tcPr>
            <w:tcW w:w="3686" w:type="dxa"/>
          </w:tcPr>
          <w:p>
            <w:pPr>
              <w:pStyle w:val="14"/>
              <w:spacing w:before="20" w:line="278" w:lineRule="auto"/>
              <w:ind w:left="107" w:right="96" w:firstLine="420"/>
              <w:jc w:val="both"/>
              <w:rPr>
                <w:sz w:val="21"/>
              </w:rPr>
            </w:pPr>
            <w:r>
              <w:rPr>
                <w:spacing w:val="7"/>
                <w:w w:val="95"/>
                <w:sz w:val="21"/>
              </w:rPr>
              <w:t>《黑龙江省生态环境保护“十三</w:t>
            </w:r>
            <w:r>
              <w:rPr>
                <w:spacing w:val="-5"/>
                <w:sz w:val="21"/>
              </w:rPr>
              <w:t xml:space="preserve">五”规划》总体目标：到 </w:t>
            </w:r>
            <w:r>
              <w:rPr>
                <w:rFonts w:ascii="Times New Roman" w:hAnsi="Times New Roman" w:eastAsia="Times New Roman"/>
                <w:sz w:val="21"/>
              </w:rPr>
              <w:t xml:space="preserve">2020 </w:t>
            </w:r>
            <w:r>
              <w:rPr>
                <w:spacing w:val="-4"/>
                <w:sz w:val="21"/>
              </w:rPr>
              <w:t>年，全</w:t>
            </w:r>
            <w:r>
              <w:rPr>
                <w:spacing w:val="-10"/>
                <w:sz w:val="21"/>
              </w:rPr>
              <w:t>省生态环境质量总体改善。地表水水环</w:t>
            </w:r>
            <w:r>
              <w:rPr>
                <w:spacing w:val="5"/>
                <w:w w:val="95"/>
                <w:sz w:val="21"/>
              </w:rPr>
              <w:t>境质量在总体稳定的基础上进一步改</w:t>
            </w:r>
            <w:r>
              <w:rPr>
                <w:spacing w:val="-11"/>
                <w:w w:val="95"/>
                <w:sz w:val="21"/>
              </w:rPr>
              <w:t>善，污染严重水体得到有效治理，饮用</w:t>
            </w:r>
            <w:r>
              <w:rPr>
                <w:spacing w:val="-15"/>
                <w:w w:val="95"/>
                <w:sz w:val="21"/>
              </w:rPr>
              <w:t>水安全得到有效保障；城市大气环境质</w:t>
            </w:r>
          </w:p>
          <w:p>
            <w:pPr>
              <w:pStyle w:val="14"/>
              <w:spacing w:line="268" w:lineRule="exact"/>
              <w:ind w:left="107"/>
              <w:jc w:val="left"/>
              <w:rPr>
                <w:sz w:val="21"/>
              </w:rPr>
            </w:pPr>
            <w:r>
              <w:rPr>
                <w:spacing w:val="-11"/>
                <w:w w:val="95"/>
                <w:sz w:val="21"/>
              </w:rPr>
              <w:t>量持续改善，重点行业和重点区域大气</w:t>
            </w:r>
          </w:p>
        </w:tc>
        <w:tc>
          <w:tcPr>
            <w:tcW w:w="2591" w:type="dxa"/>
          </w:tcPr>
          <w:p>
            <w:pPr>
              <w:pStyle w:val="14"/>
              <w:spacing w:before="176" w:line="278" w:lineRule="auto"/>
              <w:ind w:left="107" w:right="-15" w:firstLine="420"/>
              <w:jc w:val="left"/>
              <w:rPr>
                <w:sz w:val="21"/>
              </w:rPr>
            </w:pPr>
            <w:r>
              <w:rPr>
                <w:spacing w:val="7"/>
                <w:sz w:val="21"/>
              </w:rPr>
              <w:t>本项目对矿井涌水、</w:t>
            </w:r>
            <w:r>
              <w:rPr>
                <w:spacing w:val="6"/>
                <w:sz w:val="21"/>
              </w:rPr>
              <w:t>矸石、土地复垦等采取了合理的环境治理和生态保护措施本项目与《黑龙江</w:t>
            </w:r>
            <w:r>
              <w:rPr>
                <w:spacing w:val="-1"/>
                <w:sz w:val="21"/>
              </w:rPr>
              <w:t>省生态环境保护“十三五” 规划》相符合。</w:t>
            </w:r>
          </w:p>
        </w:tc>
        <w:tc>
          <w:tcPr>
            <w:tcW w:w="719" w:type="dxa"/>
          </w:tcPr>
          <w:p>
            <w:pPr>
              <w:pStyle w:val="14"/>
              <w:jc w:val="left"/>
              <w:rPr>
                <w:b/>
                <w:sz w:val="20"/>
              </w:rPr>
            </w:pPr>
          </w:p>
          <w:p>
            <w:pPr>
              <w:pStyle w:val="14"/>
              <w:jc w:val="left"/>
              <w:rPr>
                <w:b/>
                <w:sz w:val="20"/>
              </w:rPr>
            </w:pPr>
          </w:p>
          <w:p>
            <w:pPr>
              <w:pStyle w:val="14"/>
              <w:jc w:val="left"/>
              <w:rPr>
                <w:b/>
                <w:sz w:val="20"/>
              </w:rPr>
            </w:pPr>
          </w:p>
          <w:p>
            <w:pPr>
              <w:pStyle w:val="14"/>
              <w:spacing w:before="7"/>
              <w:jc w:val="left"/>
              <w:rPr>
                <w:b/>
                <w:sz w:val="14"/>
              </w:rPr>
            </w:pPr>
          </w:p>
          <w:p>
            <w:pPr>
              <w:pStyle w:val="14"/>
              <w:spacing w:before="1"/>
              <w:ind w:left="128" w:right="121"/>
              <w:rPr>
                <w:sz w:val="21"/>
              </w:rPr>
            </w:pPr>
            <w:r>
              <w:rPr>
                <w:sz w:val="21"/>
              </w:rPr>
              <w:t>符合</w:t>
            </w:r>
          </w:p>
        </w:tc>
      </w:tr>
    </w:tbl>
    <w:p>
      <w:pPr>
        <w:spacing w:after="0"/>
        <w:rPr>
          <w:sz w:val="21"/>
        </w:rPr>
        <w:sectPr>
          <w:pgSz w:w="11910" w:h="16840"/>
          <w:pgMar w:top="1420" w:right="1020" w:bottom="1100" w:left="1140" w:header="0" w:footer="917" w:gutter="0"/>
        </w:sectPr>
      </w:pPr>
    </w:p>
    <w:tbl>
      <w:tblPr>
        <w:tblStyle w:val="10"/>
        <w:tblW w:w="0" w:type="auto"/>
        <w:tblInd w:w="6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4"/>
        <w:gridCol w:w="3686"/>
        <w:gridCol w:w="2591"/>
        <w:gridCol w:w="7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84" w:type="dxa"/>
          </w:tcPr>
          <w:p>
            <w:pPr>
              <w:pStyle w:val="14"/>
              <w:spacing w:before="21"/>
              <w:ind w:left="42" w:right="32"/>
              <w:rPr>
                <w:sz w:val="21"/>
              </w:rPr>
            </w:pPr>
            <w:r>
              <w:rPr>
                <w:sz w:val="21"/>
              </w:rPr>
              <w:t>相关政策、条</w:t>
            </w:r>
          </w:p>
          <w:p>
            <w:pPr>
              <w:pStyle w:val="14"/>
              <w:spacing w:before="43"/>
              <w:ind w:left="39" w:right="32"/>
              <w:rPr>
                <w:sz w:val="21"/>
              </w:rPr>
            </w:pPr>
            <w:r>
              <w:rPr>
                <w:sz w:val="21"/>
              </w:rPr>
              <w:t>例、规范</w:t>
            </w:r>
          </w:p>
        </w:tc>
        <w:tc>
          <w:tcPr>
            <w:tcW w:w="3686" w:type="dxa"/>
          </w:tcPr>
          <w:p>
            <w:pPr>
              <w:pStyle w:val="14"/>
              <w:spacing w:before="177"/>
              <w:ind w:left="1612" w:right="1604"/>
              <w:rPr>
                <w:sz w:val="21"/>
              </w:rPr>
            </w:pPr>
            <w:r>
              <w:rPr>
                <w:sz w:val="21"/>
              </w:rPr>
              <w:t>要求</w:t>
            </w:r>
          </w:p>
        </w:tc>
        <w:tc>
          <w:tcPr>
            <w:tcW w:w="2591" w:type="dxa"/>
          </w:tcPr>
          <w:p>
            <w:pPr>
              <w:pStyle w:val="14"/>
              <w:spacing w:before="177"/>
              <w:ind w:left="769"/>
              <w:jc w:val="left"/>
              <w:rPr>
                <w:sz w:val="21"/>
              </w:rPr>
            </w:pPr>
            <w:r>
              <w:rPr>
                <w:sz w:val="21"/>
              </w:rPr>
              <w:t>符合性分析</w:t>
            </w:r>
          </w:p>
        </w:tc>
        <w:tc>
          <w:tcPr>
            <w:tcW w:w="719" w:type="dxa"/>
          </w:tcPr>
          <w:p>
            <w:pPr>
              <w:pStyle w:val="14"/>
              <w:spacing w:before="21"/>
              <w:ind w:left="149"/>
              <w:jc w:val="left"/>
              <w:rPr>
                <w:sz w:val="21"/>
              </w:rPr>
            </w:pPr>
            <w:r>
              <w:rPr>
                <w:spacing w:val="-1"/>
                <w:w w:val="95"/>
                <w:sz w:val="21"/>
              </w:rPr>
              <w:t>是否</w:t>
            </w:r>
          </w:p>
          <w:p>
            <w:pPr>
              <w:pStyle w:val="14"/>
              <w:spacing w:before="43"/>
              <w:ind w:left="149"/>
              <w:jc w:val="left"/>
              <w:rPr>
                <w:sz w:val="21"/>
              </w:rPr>
            </w:pPr>
            <w:r>
              <w:rPr>
                <w:spacing w:val="-1"/>
                <w:w w:val="95"/>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6" w:hRule="atLeast"/>
        </w:trPr>
        <w:tc>
          <w:tcPr>
            <w:tcW w:w="1384" w:type="dxa"/>
          </w:tcPr>
          <w:p>
            <w:pPr>
              <w:pStyle w:val="14"/>
              <w:jc w:val="left"/>
              <w:rPr>
                <w:rFonts w:ascii="Times New Roman"/>
                <w:sz w:val="22"/>
              </w:rPr>
            </w:pPr>
          </w:p>
        </w:tc>
        <w:tc>
          <w:tcPr>
            <w:tcW w:w="3686" w:type="dxa"/>
          </w:tcPr>
          <w:p>
            <w:pPr>
              <w:pStyle w:val="14"/>
              <w:spacing w:before="21" w:line="278" w:lineRule="auto"/>
              <w:ind w:left="107" w:right="-15"/>
              <w:jc w:val="left"/>
              <w:rPr>
                <w:sz w:val="21"/>
              </w:rPr>
            </w:pPr>
            <w:r>
              <w:rPr>
                <w:spacing w:val="-10"/>
                <w:sz w:val="21"/>
              </w:rPr>
              <w:t xml:space="preserve">污染治理成效明显；土壤环境质量保持稳定；主要污染物排放总量显著减少； </w:t>
            </w:r>
            <w:r>
              <w:rPr>
                <w:spacing w:val="-15"/>
                <w:sz w:val="21"/>
              </w:rPr>
              <w:t xml:space="preserve">生态系统稳定性明显增强，农村环境质量初步改善；环境风险得到有效管控； </w:t>
            </w:r>
            <w:r>
              <w:rPr>
                <w:spacing w:val="6"/>
                <w:sz w:val="21"/>
              </w:rPr>
              <w:t>生态环境治理体系与治理能力现代化</w:t>
            </w:r>
            <w:r>
              <w:rPr>
                <w:spacing w:val="-10"/>
                <w:sz w:val="21"/>
              </w:rPr>
              <w:t>取得进展，筑牢“美丽龙江”的环境基</w:t>
            </w:r>
            <w:r>
              <w:rPr>
                <w:spacing w:val="-12"/>
                <w:sz w:val="21"/>
              </w:rPr>
              <w:t>础，使生态文明建设水平与全面建成小</w:t>
            </w:r>
          </w:p>
          <w:p>
            <w:pPr>
              <w:pStyle w:val="14"/>
              <w:spacing w:line="268" w:lineRule="exact"/>
              <w:ind w:left="107"/>
              <w:jc w:val="left"/>
              <w:rPr>
                <w:sz w:val="21"/>
              </w:rPr>
            </w:pPr>
            <w:r>
              <w:rPr>
                <w:sz w:val="21"/>
              </w:rPr>
              <w:t>康社会相适应。</w:t>
            </w:r>
          </w:p>
        </w:tc>
        <w:tc>
          <w:tcPr>
            <w:tcW w:w="2591" w:type="dxa"/>
          </w:tcPr>
          <w:p>
            <w:pPr>
              <w:pStyle w:val="14"/>
              <w:jc w:val="left"/>
              <w:rPr>
                <w:rFonts w:ascii="Times New Roman"/>
                <w:sz w:val="22"/>
              </w:rPr>
            </w:pPr>
          </w:p>
        </w:tc>
        <w:tc>
          <w:tcPr>
            <w:tcW w:w="719" w:type="dxa"/>
          </w:tcPr>
          <w:p>
            <w:pPr>
              <w:pStyle w:val="14"/>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4" w:hRule="atLeast"/>
        </w:trPr>
        <w:tc>
          <w:tcPr>
            <w:tcW w:w="1384" w:type="dxa"/>
          </w:tcPr>
          <w:p>
            <w:pPr>
              <w:pStyle w:val="14"/>
              <w:jc w:val="left"/>
              <w:rPr>
                <w:b/>
                <w:sz w:val="20"/>
              </w:rPr>
            </w:pPr>
          </w:p>
          <w:p>
            <w:pPr>
              <w:pStyle w:val="14"/>
              <w:jc w:val="left"/>
              <w:rPr>
                <w:b/>
                <w:sz w:val="20"/>
              </w:rPr>
            </w:pPr>
          </w:p>
          <w:p>
            <w:pPr>
              <w:pStyle w:val="14"/>
              <w:jc w:val="left"/>
              <w:rPr>
                <w:b/>
                <w:sz w:val="20"/>
              </w:rPr>
            </w:pPr>
          </w:p>
          <w:p>
            <w:pPr>
              <w:pStyle w:val="14"/>
              <w:spacing w:before="10"/>
              <w:jc w:val="left"/>
              <w:rPr>
                <w:b/>
                <w:sz w:val="26"/>
              </w:rPr>
            </w:pPr>
          </w:p>
          <w:p>
            <w:pPr>
              <w:pStyle w:val="14"/>
              <w:spacing w:line="278" w:lineRule="auto"/>
              <w:ind w:left="166" w:right="156"/>
              <w:rPr>
                <w:sz w:val="21"/>
              </w:rPr>
            </w:pPr>
            <w:r>
              <w:rPr>
                <w:sz w:val="21"/>
              </w:rPr>
              <w:t>《黑龙江省水土保持规划</w:t>
            </w:r>
          </w:p>
          <w:p>
            <w:pPr>
              <w:pStyle w:val="14"/>
              <w:spacing w:line="269" w:lineRule="exact"/>
              <w:ind w:left="42" w:right="79"/>
              <w:rPr>
                <w:rFonts w:ascii="Times New Roman" w:eastAsia="Times New Roman"/>
                <w:sz w:val="21"/>
              </w:rPr>
            </w:pPr>
            <w:r>
              <w:rPr>
                <w:sz w:val="21"/>
              </w:rPr>
              <w:t>（</w:t>
            </w:r>
            <w:r>
              <w:rPr>
                <w:rFonts w:ascii="Times New Roman" w:eastAsia="Times New Roman"/>
                <w:sz w:val="21"/>
              </w:rPr>
              <w:t>2015-2030</w:t>
            </w:r>
          </w:p>
          <w:p>
            <w:pPr>
              <w:pStyle w:val="14"/>
              <w:spacing w:before="43"/>
              <w:ind w:left="42" w:right="32"/>
              <w:rPr>
                <w:sz w:val="21"/>
              </w:rPr>
            </w:pPr>
            <w:r>
              <w:rPr>
                <w:sz w:val="21"/>
              </w:rPr>
              <w:t>年）》</w:t>
            </w:r>
          </w:p>
        </w:tc>
        <w:tc>
          <w:tcPr>
            <w:tcW w:w="3686" w:type="dxa"/>
          </w:tcPr>
          <w:p>
            <w:pPr>
              <w:pStyle w:val="14"/>
              <w:spacing w:before="176" w:line="278" w:lineRule="auto"/>
              <w:ind w:left="107" w:right="81" w:firstLine="420"/>
              <w:jc w:val="right"/>
              <w:rPr>
                <w:sz w:val="21"/>
              </w:rPr>
            </w:pPr>
            <w:r>
              <w:rPr>
                <w:spacing w:val="8"/>
                <w:w w:val="95"/>
                <w:sz w:val="21"/>
              </w:rPr>
              <w:t>双鸭山市属于东南部山地丘陵水</w:t>
            </w:r>
            <w:r>
              <w:rPr>
                <w:spacing w:val="-3"/>
                <w:w w:val="95"/>
                <w:sz w:val="21"/>
              </w:rPr>
              <w:t>质维护保土区</w:t>
            </w:r>
            <w:r>
              <w:rPr>
                <w:spacing w:val="-1"/>
                <w:w w:val="95"/>
                <w:sz w:val="21"/>
              </w:rPr>
              <w:t>（</w:t>
            </w:r>
            <w:r>
              <w:rPr>
                <w:rFonts w:ascii="Times New Roman" w:eastAsia="Times New Roman"/>
                <w:spacing w:val="-1"/>
                <w:w w:val="95"/>
                <w:sz w:val="21"/>
              </w:rPr>
              <w:t>I-2-3st</w:t>
            </w:r>
            <w:r>
              <w:rPr>
                <w:spacing w:val="-1"/>
                <w:w w:val="95"/>
                <w:sz w:val="21"/>
              </w:rPr>
              <w:t>），</w:t>
            </w:r>
            <w:r>
              <w:rPr>
                <w:w w:val="95"/>
                <w:sz w:val="21"/>
              </w:rPr>
              <w:t>本区包括五</w:t>
            </w:r>
            <w:r>
              <w:rPr>
                <w:spacing w:val="-11"/>
                <w:w w:val="95"/>
                <w:sz w:val="21"/>
              </w:rPr>
              <w:t>常市、尚志市、佳木斯市、双鸭山市和</w:t>
            </w:r>
            <w:r>
              <w:rPr>
                <w:spacing w:val="-15"/>
                <w:sz w:val="21"/>
              </w:rPr>
              <w:t xml:space="preserve">依兰县等 </w:t>
            </w:r>
            <w:r>
              <w:rPr>
                <w:rFonts w:ascii="Times New Roman" w:eastAsia="Times New Roman"/>
                <w:sz w:val="21"/>
              </w:rPr>
              <w:t xml:space="preserve">14 </w:t>
            </w:r>
            <w:r>
              <w:rPr>
                <w:sz w:val="21"/>
              </w:rPr>
              <w:t>市</w:t>
            </w:r>
            <w:r>
              <w:rPr>
                <w:rFonts w:ascii="Times New Roman" w:eastAsia="Times New Roman"/>
                <w:sz w:val="21"/>
              </w:rPr>
              <w:t>(</w:t>
            </w:r>
            <w:r>
              <w:rPr>
                <w:sz w:val="21"/>
              </w:rPr>
              <w:t>县</w:t>
            </w:r>
            <w:r>
              <w:rPr>
                <w:rFonts w:ascii="Times New Roman" w:eastAsia="Times New Roman"/>
                <w:sz w:val="21"/>
              </w:rPr>
              <w:t>)</w:t>
            </w:r>
            <w:r>
              <w:rPr>
                <w:spacing w:val="-7"/>
                <w:sz w:val="21"/>
              </w:rPr>
              <w:t xml:space="preserve">，区域总面积 </w:t>
            </w:r>
            <w:r>
              <w:rPr>
                <w:rFonts w:ascii="Times New Roman" w:eastAsia="Times New Roman"/>
                <w:sz w:val="21"/>
              </w:rPr>
              <w:t>4448</w:t>
            </w:r>
            <w:r>
              <w:rPr>
                <w:rFonts w:ascii="Times New Roman" w:eastAsia="Times New Roman"/>
                <w:w w:val="99"/>
                <w:sz w:val="21"/>
              </w:rPr>
              <w:t xml:space="preserve"> </w:t>
            </w:r>
            <w:r>
              <w:rPr>
                <w:rFonts w:ascii="Times New Roman" w:eastAsia="Times New Roman"/>
                <w:w w:val="95"/>
                <w:sz w:val="21"/>
              </w:rPr>
              <w:t>km</w:t>
            </w:r>
            <w:r>
              <w:rPr>
                <w:rFonts w:ascii="Times New Roman" w:eastAsia="Times New Roman"/>
                <w:w w:val="95"/>
                <w:position w:val="7"/>
                <w:sz w:val="13"/>
              </w:rPr>
              <w:t>2</w:t>
            </w:r>
            <w:r>
              <w:rPr>
                <w:w w:val="95"/>
                <w:sz w:val="21"/>
              </w:rPr>
              <w:t>，本区水土流失类型为水力侵蚀。</w:t>
            </w:r>
            <w:r>
              <w:rPr>
                <w:spacing w:val="8"/>
                <w:w w:val="95"/>
                <w:sz w:val="21"/>
              </w:rPr>
              <w:t>主导基础功能及社会经济功能本</w:t>
            </w:r>
          </w:p>
          <w:p>
            <w:pPr>
              <w:pStyle w:val="14"/>
              <w:spacing w:line="278" w:lineRule="auto"/>
              <w:ind w:left="107" w:right="-15"/>
              <w:jc w:val="left"/>
              <w:rPr>
                <w:sz w:val="21"/>
              </w:rPr>
            </w:pPr>
            <w:r>
              <w:rPr>
                <w:sz w:val="21"/>
              </w:rPr>
              <w:t>区水土保持主导基础功能为水质维护、</w:t>
            </w:r>
            <w:r>
              <w:rPr>
                <w:spacing w:val="2"/>
                <w:sz w:val="21"/>
              </w:rPr>
              <w:t>水源涵养、农田防护、拦沙减沙</w:t>
            </w:r>
            <w:r>
              <w:rPr>
                <w:rFonts w:ascii="Times New Roman" w:eastAsia="Times New Roman"/>
                <w:spacing w:val="4"/>
                <w:sz w:val="21"/>
              </w:rPr>
              <w:t>;</w:t>
            </w:r>
            <w:r>
              <w:rPr>
                <w:spacing w:val="2"/>
                <w:sz w:val="21"/>
              </w:rPr>
              <w:t>社会经济功能为农业林业生产、粮食生产、</w:t>
            </w:r>
            <w:r>
              <w:rPr>
                <w:spacing w:val="-10"/>
                <w:sz w:val="21"/>
              </w:rPr>
              <w:t>水源地保护、土地生产力保护、饮水安全保护。</w:t>
            </w:r>
          </w:p>
        </w:tc>
        <w:tc>
          <w:tcPr>
            <w:tcW w:w="2591" w:type="dxa"/>
          </w:tcPr>
          <w:p>
            <w:pPr>
              <w:pStyle w:val="14"/>
              <w:spacing w:before="20" w:line="278" w:lineRule="auto"/>
              <w:ind w:left="107" w:right="97" w:firstLine="420"/>
              <w:jc w:val="both"/>
              <w:rPr>
                <w:sz w:val="21"/>
              </w:rPr>
            </w:pPr>
            <w:r>
              <w:rPr>
                <w:sz w:val="21"/>
              </w:rPr>
              <w:t>本项目在施工及运营期间，企业应采取预防保护措施，保持区域生态功能，维持水源涵养和水质维护功能，按照《水土保持法》及其配套的法律法规，保护天然植被，防止乱砍滥伐，同时加强生产建设项目监督管理，预防水土流失。因此，本项目建设不违背《黑龙江省水</w:t>
            </w:r>
          </w:p>
          <w:p>
            <w:pPr>
              <w:pStyle w:val="14"/>
              <w:spacing w:line="268" w:lineRule="exact"/>
              <w:ind w:left="107"/>
              <w:jc w:val="left"/>
              <w:rPr>
                <w:sz w:val="21"/>
              </w:rPr>
            </w:pPr>
            <w:r>
              <w:rPr>
                <w:sz w:val="21"/>
              </w:rPr>
              <w:t>土保持规划》。</w:t>
            </w:r>
          </w:p>
        </w:tc>
        <w:tc>
          <w:tcPr>
            <w:tcW w:w="719" w:type="dxa"/>
          </w:tcPr>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jc w:val="left"/>
              <w:rPr>
                <w:b/>
                <w:sz w:val="20"/>
              </w:rPr>
            </w:pPr>
          </w:p>
          <w:p>
            <w:pPr>
              <w:pStyle w:val="14"/>
              <w:spacing w:before="6"/>
              <w:jc w:val="left"/>
              <w:rPr>
                <w:b/>
                <w:sz w:val="15"/>
              </w:rPr>
            </w:pPr>
          </w:p>
          <w:p>
            <w:pPr>
              <w:pStyle w:val="14"/>
              <w:ind w:left="149"/>
              <w:jc w:val="left"/>
              <w:rPr>
                <w:sz w:val="21"/>
              </w:rPr>
            </w:pPr>
            <w:r>
              <w:rPr>
                <w:sz w:val="21"/>
              </w:rPr>
              <w:t>符合</w:t>
            </w:r>
          </w:p>
        </w:tc>
      </w:tr>
    </w:tbl>
    <w:p>
      <w:pPr>
        <w:pStyle w:val="6"/>
        <w:spacing w:before="81" w:line="364" w:lineRule="auto"/>
        <w:ind w:left="660" w:right="777" w:firstLine="480"/>
      </w:pPr>
      <w:r>
        <w:t xml:space="preserve">本项目选址于位于双鸭山市岭东区，双鸭山矿业集团岭东煤矿南 </w:t>
      </w:r>
      <w:r>
        <w:rPr>
          <w:rFonts w:ascii="Times New Roman" w:eastAsia="Times New Roman"/>
        </w:rPr>
        <w:t xml:space="preserve">7km </w:t>
      </w:r>
      <w:r>
        <w:t>处的发展用地上，为建设用地。因此，本项目符合当地土地利用总体规划。</w:t>
      </w:r>
    </w:p>
    <w:p>
      <w:pPr>
        <w:pStyle w:val="3"/>
        <w:numPr>
          <w:ilvl w:val="1"/>
          <w:numId w:val="111"/>
        </w:numPr>
        <w:tabs>
          <w:tab w:val="left" w:pos="1260"/>
        </w:tabs>
        <w:spacing w:before="40" w:after="0" w:line="240" w:lineRule="auto"/>
        <w:ind w:left="1260" w:right="0" w:hanging="600"/>
        <w:jc w:val="left"/>
      </w:pPr>
      <w:bookmarkStart w:id="1323" w:name="_bookmark102"/>
      <w:bookmarkEnd w:id="1323"/>
      <w:bookmarkStart w:id="1324" w:name="17.4与双鸭山市城市总体规划符合性分析 "/>
      <w:bookmarkEnd w:id="1324"/>
      <w:bookmarkStart w:id="1325" w:name="_bookmark102"/>
      <w:bookmarkEnd w:id="1325"/>
      <w:r>
        <w:t>与双鸭山市城市总体规划符合性分析</w:t>
      </w:r>
    </w:p>
    <w:p>
      <w:pPr>
        <w:pStyle w:val="6"/>
        <w:spacing w:before="201" w:line="364" w:lineRule="auto"/>
        <w:ind w:left="660" w:right="777" w:firstLine="480"/>
      </w:pPr>
      <w:r>
        <w:rPr>
          <w:spacing w:val="-6"/>
        </w:rPr>
        <w:t>根据《双鸭山市城市总体规划</w:t>
      </w:r>
      <w:r>
        <w:rPr>
          <w:spacing w:val="-3"/>
        </w:rPr>
        <w:t>（</w:t>
      </w:r>
      <w:r>
        <w:rPr>
          <w:rFonts w:ascii="Times New Roman" w:eastAsia="Times New Roman"/>
          <w:spacing w:val="-3"/>
        </w:rPr>
        <w:t>2010</w:t>
      </w:r>
      <w:r>
        <w:rPr>
          <w:spacing w:val="-3"/>
        </w:rPr>
        <w:t>～</w:t>
      </w:r>
      <w:r>
        <w:rPr>
          <w:rFonts w:ascii="Times New Roman" w:eastAsia="Times New Roman"/>
          <w:spacing w:val="-3"/>
        </w:rPr>
        <w:t>2030</w:t>
      </w:r>
      <w:r>
        <w:rPr>
          <w:spacing w:val="-3"/>
        </w:rPr>
        <w:t>）</w:t>
      </w:r>
      <w:r>
        <w:rPr>
          <w:spacing w:val="-7"/>
        </w:rPr>
        <w:t>》，本项目所在地为二类工业</w:t>
      </w:r>
      <w:r>
        <w:t>用地，本项目为煤炭开采项目，应为二类工业用地。</w:t>
      </w:r>
    </w:p>
    <w:p>
      <w:pPr>
        <w:pStyle w:val="6"/>
        <w:spacing w:before="1" w:line="364" w:lineRule="auto"/>
        <w:ind w:left="660" w:right="565" w:firstLine="480"/>
      </w:pPr>
      <w:r>
        <w:rPr>
          <w:spacing w:val="-11"/>
        </w:rPr>
        <w:t>本项目位于双鸭山市岭东区，根据《双鸭山市城市总体规划</w:t>
      </w:r>
      <w:r>
        <w:rPr>
          <w:spacing w:val="-6"/>
        </w:rPr>
        <w:t>（</w:t>
      </w:r>
      <w:r>
        <w:rPr>
          <w:rFonts w:ascii="Times New Roman" w:eastAsia="Times New Roman"/>
          <w:spacing w:val="-6"/>
        </w:rPr>
        <w:t>2010</w:t>
      </w:r>
      <w:r>
        <w:rPr>
          <w:spacing w:val="-6"/>
        </w:rPr>
        <w:t>～</w:t>
      </w:r>
      <w:r>
        <w:rPr>
          <w:rFonts w:ascii="Times New Roman" w:eastAsia="Times New Roman"/>
          <w:spacing w:val="-6"/>
        </w:rPr>
        <w:t>2030</w:t>
      </w:r>
      <w:r>
        <w:rPr>
          <w:spacing w:val="-6"/>
        </w:rPr>
        <w:t>）</w:t>
      </w:r>
      <w:r>
        <w:rPr>
          <w:spacing w:val="-70"/>
        </w:rPr>
        <w:t xml:space="preserve">》， </w:t>
      </w:r>
      <w:r>
        <w:rPr>
          <w:spacing w:val="-4"/>
        </w:rPr>
        <w:t>双鸭山市总体功能布局将岭东片区作为区域性冶金中心，市区旅游服务基地，以</w:t>
      </w:r>
      <w:r>
        <w:rPr>
          <w:spacing w:val="-10"/>
        </w:rPr>
        <w:t>冶金、煤焦化、休闲旅游服务基地，以冶金、焦煤化等产业发展为主。本项目是煤炭开采改扩建项目，属于煤焦化及冶金配套产业，符合规划要求。</w:t>
      </w:r>
    </w:p>
    <w:p>
      <w:pPr>
        <w:pStyle w:val="6"/>
        <w:spacing w:before="3"/>
        <w:ind w:left="1140"/>
      </w:pPr>
      <w:r>
        <w:t>所以，本项目符合《双鸭山市城市总体规划（</w:t>
      </w:r>
      <w:r>
        <w:rPr>
          <w:rFonts w:ascii="Times New Roman" w:eastAsia="Times New Roman"/>
        </w:rPr>
        <w:t>2010</w:t>
      </w:r>
      <w:r>
        <w:t>～</w:t>
      </w:r>
      <w:r>
        <w:rPr>
          <w:rFonts w:ascii="Times New Roman" w:eastAsia="Times New Roman"/>
        </w:rPr>
        <w:t>2030</w:t>
      </w:r>
      <w:r>
        <w:t>）》。</w:t>
      </w:r>
    </w:p>
    <w:p>
      <w:pPr>
        <w:pStyle w:val="3"/>
        <w:numPr>
          <w:ilvl w:val="1"/>
          <w:numId w:val="111"/>
        </w:numPr>
        <w:tabs>
          <w:tab w:val="left" w:pos="1335"/>
        </w:tabs>
        <w:spacing w:before="81" w:after="0" w:line="240" w:lineRule="auto"/>
        <w:ind w:left="1334" w:right="0" w:hanging="675"/>
        <w:jc w:val="left"/>
      </w:pPr>
      <w:bookmarkStart w:id="1326" w:name="_bookmark103"/>
      <w:bookmarkEnd w:id="1326"/>
      <w:bookmarkStart w:id="1327" w:name="17.5 选址环境合理性分析"/>
      <w:bookmarkEnd w:id="1327"/>
      <w:bookmarkStart w:id="1328" w:name="_bookmark103"/>
      <w:bookmarkEnd w:id="1328"/>
      <w:r>
        <w:t>选址环境合理性分析</w:t>
      </w:r>
    </w:p>
    <w:p>
      <w:pPr>
        <w:pStyle w:val="6"/>
        <w:spacing w:before="278" w:line="364" w:lineRule="auto"/>
        <w:ind w:left="660" w:right="777" w:firstLine="480"/>
        <w:jc w:val="both"/>
      </w:pPr>
      <w:r>
        <w:rPr>
          <w:spacing w:val="-3"/>
        </w:rPr>
        <w:t xml:space="preserve">本项目位双鸭山矿业集团岭东煤矿南 </w:t>
      </w:r>
      <w:r>
        <w:rPr>
          <w:rFonts w:ascii="Times New Roman" w:eastAsia="Times New Roman"/>
        </w:rPr>
        <w:t xml:space="preserve">7km </w:t>
      </w:r>
      <w:r>
        <w:t>处，在双鸭山市司法局劳教所东</w:t>
      </w:r>
      <w:r>
        <w:rPr>
          <w:spacing w:val="-11"/>
        </w:rPr>
        <w:t xml:space="preserve">部。从岭东矿通往矿井有砂石公路可直达，距双鸭山矿业集团内部运煤专用铁路线岭东车站 </w:t>
      </w:r>
      <w:r>
        <w:rPr>
          <w:rFonts w:ascii="Times New Roman" w:eastAsia="Times New Roman"/>
        </w:rPr>
        <w:t>7km</w:t>
      </w:r>
      <w:r>
        <w:rPr>
          <w:spacing w:val="-7"/>
        </w:rPr>
        <w:t xml:space="preserve">，距双鸭山火车站 </w:t>
      </w:r>
      <w:r>
        <w:rPr>
          <w:rFonts w:ascii="Times New Roman" w:eastAsia="Times New Roman"/>
        </w:rPr>
        <w:t>15km</w:t>
      </w:r>
      <w:r>
        <w:t>，交通较为方便。</w:t>
      </w:r>
    </w:p>
    <w:p>
      <w:pPr>
        <w:spacing w:after="0" w:line="364" w:lineRule="auto"/>
        <w:jc w:val="both"/>
        <w:sectPr>
          <w:pgSz w:w="11910" w:h="16840"/>
          <w:pgMar w:top="1420" w:right="1020" w:bottom="1100" w:left="1140" w:header="0" w:footer="917" w:gutter="0"/>
        </w:sectPr>
      </w:pPr>
    </w:p>
    <w:p>
      <w:pPr>
        <w:pStyle w:val="6"/>
        <w:spacing w:before="42" w:line="364" w:lineRule="auto"/>
        <w:ind w:left="660" w:right="777" w:firstLine="480"/>
      </w:pPr>
      <w:r>
        <w:rPr>
          <w:spacing w:val="-7"/>
        </w:rPr>
        <w:t>矿区行政区划属双鸭山市岭东区。项目所占用土地为建设用地，符合相关用</w:t>
      </w:r>
      <w:r>
        <w:t>地规划要求，交通便利，项目用水、用电、交通、能源均有保障。</w:t>
      </w:r>
    </w:p>
    <w:p>
      <w:pPr>
        <w:pStyle w:val="6"/>
        <w:spacing w:before="1" w:line="364" w:lineRule="auto"/>
        <w:ind w:left="660" w:right="777" w:firstLine="480"/>
        <w:jc w:val="both"/>
      </w:pPr>
      <w:r>
        <w:rPr>
          <w:spacing w:val="-6"/>
        </w:rPr>
        <w:t>项目采取相应的防治措施后对周围影响较小，外环境对本项目建设没有较大</w:t>
      </w:r>
      <w:r>
        <w:rPr>
          <w:spacing w:val="-10"/>
        </w:rPr>
        <w:t>限制，本项目建设后也不会对周围环境产生较大的影响。综上所述，本项目选址</w:t>
      </w:r>
      <w:r>
        <w:t>是合理的。</w:t>
      </w: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2"/>
        <w:numPr>
          <w:ilvl w:val="0"/>
          <w:numId w:val="62"/>
        </w:numPr>
        <w:tabs>
          <w:tab w:val="left" w:pos="4224"/>
        </w:tabs>
        <w:spacing w:before="180" w:after="0" w:line="240" w:lineRule="auto"/>
        <w:ind w:left="4224" w:right="0" w:hanging="629"/>
        <w:jc w:val="left"/>
      </w:pPr>
      <w:bookmarkStart w:id="1329" w:name="_bookmark104"/>
      <w:bookmarkEnd w:id="1329"/>
      <w:bookmarkStart w:id="1330" w:name="_bookmark104"/>
      <w:bookmarkEnd w:id="1330"/>
      <w:bookmarkStart w:id="1331" w:name="18. 结论与建议"/>
      <w:bookmarkEnd w:id="1331"/>
      <w:r>
        <w:t>结论与建议</w:t>
      </w:r>
    </w:p>
    <w:p>
      <w:pPr>
        <w:pStyle w:val="3"/>
        <w:numPr>
          <w:ilvl w:val="1"/>
          <w:numId w:val="112"/>
        </w:numPr>
        <w:tabs>
          <w:tab w:val="left" w:pos="1260"/>
        </w:tabs>
        <w:spacing w:before="357" w:after="0" w:line="240" w:lineRule="auto"/>
        <w:ind w:left="1260" w:right="0" w:hanging="600"/>
        <w:jc w:val="left"/>
      </w:pPr>
      <w:bookmarkStart w:id="1332" w:name="_bookmark105"/>
      <w:bookmarkEnd w:id="1332"/>
      <w:bookmarkStart w:id="1333" w:name="_bookmark105"/>
      <w:bookmarkEnd w:id="1333"/>
      <w:bookmarkStart w:id="1334" w:name="18.1项目概况"/>
      <w:bookmarkEnd w:id="1334"/>
      <w:r>
        <w:t>项目概况</w:t>
      </w:r>
    </w:p>
    <w:p>
      <w:pPr>
        <w:pStyle w:val="6"/>
        <w:spacing w:before="122"/>
        <w:ind w:left="1140"/>
      </w:pPr>
      <w:r>
        <w:t>双鸭山大顺矿业有限公司位于双鸭山矿业集团岭东煤矿南</w:t>
      </w:r>
      <w:r>
        <w:rPr>
          <w:rFonts w:ascii="Times New Roman" w:eastAsia="Times New Roman"/>
        </w:rPr>
        <w:t>7km</w:t>
      </w:r>
      <w:r>
        <w:t>处，在双鸭山</w:t>
      </w:r>
    </w:p>
    <w:p>
      <w:pPr>
        <w:spacing w:after="0"/>
        <w:sectPr>
          <w:pgSz w:w="11910" w:h="16840"/>
          <w:pgMar w:top="1460" w:right="1020" w:bottom="1180" w:left="1140" w:header="0" w:footer="917" w:gutter="0"/>
        </w:sectPr>
      </w:pPr>
    </w:p>
    <w:p>
      <w:pPr>
        <w:pStyle w:val="6"/>
        <w:spacing w:before="43" w:line="364" w:lineRule="auto"/>
        <w:ind w:left="660" w:right="657"/>
      </w:pPr>
      <w:r>
        <w:rPr>
          <w:spacing w:val="-7"/>
        </w:rPr>
        <w:t>市司法局劳教所东部。从岭东矿通往矿井有砂石公路可直达，距双鸭山矿业集团内部运煤专用铁路线岭东车站</w:t>
      </w:r>
      <w:r>
        <w:rPr>
          <w:rFonts w:ascii="Times New Roman" w:hAnsi="Times New Roman" w:eastAsia="Times New Roman"/>
          <w:spacing w:val="-9"/>
        </w:rPr>
        <w:t>7km</w:t>
      </w:r>
      <w:r>
        <w:rPr>
          <w:spacing w:val="-3"/>
        </w:rPr>
        <w:t>，距双鸭山火车站</w:t>
      </w:r>
      <w:r>
        <w:rPr>
          <w:rFonts w:ascii="Times New Roman" w:hAnsi="Times New Roman" w:eastAsia="Times New Roman"/>
          <w:spacing w:val="-8"/>
        </w:rPr>
        <w:t>15km</w:t>
      </w:r>
      <w:r>
        <w:rPr>
          <w:spacing w:val="-8"/>
        </w:rPr>
        <w:t>，交通较为方便。矿区行政区划属双鸭山市岭东区，中心地理位置坐标经度</w:t>
      </w:r>
      <w:r>
        <w:rPr>
          <w:rFonts w:ascii="Times New Roman" w:hAnsi="Times New Roman" w:eastAsia="Times New Roman"/>
          <w:spacing w:val="-8"/>
        </w:rPr>
        <w:t>131°09</w:t>
      </w:r>
      <w:r>
        <w:rPr>
          <w:spacing w:val="-8"/>
        </w:rPr>
        <w:t>＇</w:t>
      </w:r>
      <w:r>
        <w:rPr>
          <w:rFonts w:ascii="Times New Roman" w:hAnsi="Times New Roman" w:eastAsia="Times New Roman"/>
          <w:spacing w:val="-8"/>
        </w:rPr>
        <w:t>48″</w:t>
      </w:r>
      <w:r>
        <w:rPr>
          <w:spacing w:val="-8"/>
        </w:rPr>
        <w:t>，纬度</w:t>
      </w:r>
      <w:r>
        <w:rPr>
          <w:rFonts w:ascii="Times New Roman" w:hAnsi="Times New Roman" w:eastAsia="Times New Roman"/>
          <w:spacing w:val="-8"/>
        </w:rPr>
        <w:t>46°29</w:t>
      </w:r>
      <w:r>
        <w:rPr>
          <w:spacing w:val="-8"/>
        </w:rPr>
        <w:t xml:space="preserve">＇ </w:t>
      </w:r>
      <w:r>
        <w:rPr>
          <w:rFonts w:ascii="Times New Roman" w:hAnsi="Times New Roman" w:eastAsia="Times New Roman"/>
          <w:spacing w:val="-8"/>
        </w:rPr>
        <w:t>54″</w:t>
      </w:r>
      <w:r>
        <w:rPr>
          <w:spacing w:val="-6"/>
        </w:rPr>
        <w:t>。开采</w:t>
      </w:r>
      <w:r>
        <w:rPr>
          <w:rFonts w:ascii="Times New Roman" w:hAnsi="Times New Roman" w:eastAsia="Times New Roman"/>
        </w:rPr>
        <w:t>10#</w:t>
      </w:r>
      <w:r>
        <w:rPr>
          <w:spacing w:val="-15"/>
        </w:rPr>
        <w:t>、</w:t>
      </w:r>
      <w:r>
        <w:rPr>
          <w:rFonts w:ascii="Times New Roman" w:hAnsi="Times New Roman" w:eastAsia="Times New Roman"/>
        </w:rPr>
        <w:t>15#</w:t>
      </w:r>
      <w:r>
        <w:rPr>
          <w:spacing w:val="-15"/>
        </w:rPr>
        <w:t>、</w:t>
      </w:r>
      <w:r>
        <w:rPr>
          <w:rFonts w:ascii="Times New Roman" w:hAnsi="Times New Roman" w:eastAsia="Times New Roman"/>
        </w:rPr>
        <w:t>20#</w:t>
      </w:r>
      <w:r>
        <w:rPr>
          <w:spacing w:val="-15"/>
        </w:rPr>
        <w:t>、</w:t>
      </w:r>
      <w:r>
        <w:rPr>
          <w:rFonts w:ascii="Times New Roman" w:hAnsi="Times New Roman" w:eastAsia="Times New Roman"/>
        </w:rPr>
        <w:t>30#</w:t>
      </w:r>
      <w:r>
        <w:t>共</w:t>
      </w:r>
      <w:r>
        <w:rPr>
          <w:rFonts w:ascii="Times New Roman" w:hAnsi="Times New Roman" w:eastAsia="Times New Roman"/>
        </w:rPr>
        <w:t>4</w:t>
      </w:r>
      <w:r>
        <w:rPr>
          <w:spacing w:val="-4"/>
        </w:rPr>
        <w:t>个煤层。双鸭山大顺矿业有限公司全矿井煤炭资源</w:t>
      </w:r>
      <w:r>
        <w:rPr>
          <w:rFonts w:ascii="Times New Roman" w:hAnsi="Times New Roman" w:eastAsia="Times New Roman"/>
          <w:spacing w:val="-4"/>
        </w:rPr>
        <w:t>/</w:t>
      </w:r>
      <w:r>
        <w:rPr>
          <w:spacing w:val="-4"/>
        </w:rPr>
        <w:t>储量为</w:t>
      </w:r>
      <w:r>
        <w:rPr>
          <w:rFonts w:ascii="Times New Roman" w:hAnsi="Times New Roman" w:eastAsia="Times New Roman"/>
          <w:spacing w:val="-4"/>
        </w:rPr>
        <w:t>952.98</w:t>
      </w:r>
      <w:r>
        <w:rPr>
          <w:spacing w:val="-4"/>
        </w:rPr>
        <w:t>万</w:t>
      </w:r>
      <w:r>
        <w:rPr>
          <w:rFonts w:ascii="Times New Roman" w:hAnsi="Times New Roman" w:eastAsia="Times New Roman"/>
          <w:spacing w:val="-4"/>
        </w:rPr>
        <w:t>t</w:t>
      </w:r>
      <w:r>
        <w:rPr>
          <w:spacing w:val="-4"/>
        </w:rPr>
        <w:t>，可采储量为</w:t>
      </w:r>
      <w:r>
        <w:rPr>
          <w:rFonts w:ascii="Times New Roman" w:hAnsi="Times New Roman" w:eastAsia="Times New Roman"/>
          <w:spacing w:val="-4"/>
        </w:rPr>
        <w:t>646.59</w:t>
      </w:r>
      <w:r>
        <w:rPr>
          <w:spacing w:val="-4"/>
        </w:rPr>
        <w:t>万</w:t>
      </w:r>
      <w:r>
        <w:rPr>
          <w:rFonts w:ascii="Times New Roman" w:hAnsi="Times New Roman" w:eastAsia="Times New Roman"/>
          <w:spacing w:val="-4"/>
        </w:rPr>
        <w:t>t</w:t>
      </w:r>
      <w:r>
        <w:rPr>
          <w:spacing w:val="-4"/>
        </w:rPr>
        <w:t>，矿井服务年限为</w:t>
      </w:r>
      <w:r>
        <w:rPr>
          <w:rFonts w:ascii="Times New Roman" w:hAnsi="Times New Roman" w:eastAsia="Times New Roman"/>
          <w:spacing w:val="-4"/>
        </w:rPr>
        <w:t>15.4a</w:t>
      </w:r>
      <w:r>
        <w:rPr>
          <w:spacing w:val="-4"/>
        </w:rPr>
        <w:t>，矿井改扩</w:t>
      </w:r>
      <w:r>
        <w:rPr>
          <w:spacing w:val="-17"/>
        </w:rPr>
        <w:t>建后服务年限满足《煤炭工业矿井设计规范》中关于改扩建矿井服务年限的规定。</w:t>
      </w:r>
      <w:r>
        <w:t>本项目建设总投资</w:t>
      </w:r>
      <w:r>
        <w:rPr>
          <w:rFonts w:ascii="Times New Roman" w:hAnsi="Times New Roman" w:eastAsia="Times New Roman"/>
        </w:rPr>
        <w:t>6755.07</w:t>
      </w:r>
      <w:r>
        <w:t>万元。</w:t>
      </w:r>
    </w:p>
    <w:p>
      <w:pPr>
        <w:pStyle w:val="3"/>
        <w:numPr>
          <w:ilvl w:val="1"/>
          <w:numId w:val="112"/>
        </w:numPr>
        <w:tabs>
          <w:tab w:val="left" w:pos="1335"/>
        </w:tabs>
        <w:spacing w:before="114" w:after="0" w:line="240" w:lineRule="auto"/>
        <w:ind w:left="1334" w:right="0" w:hanging="675"/>
        <w:jc w:val="left"/>
      </w:pPr>
      <w:bookmarkStart w:id="1335" w:name="_bookmark106"/>
      <w:bookmarkEnd w:id="1335"/>
      <w:bookmarkStart w:id="1336" w:name="_bookmark106"/>
      <w:bookmarkEnd w:id="1336"/>
      <w:bookmarkStart w:id="1337" w:name="18.2 项目环境影响结论"/>
      <w:bookmarkEnd w:id="1337"/>
      <w:r>
        <w:t>项目环境影响结论</w:t>
      </w:r>
    </w:p>
    <w:p>
      <w:pPr>
        <w:pStyle w:val="4"/>
        <w:numPr>
          <w:ilvl w:val="2"/>
          <w:numId w:val="112"/>
        </w:numPr>
        <w:tabs>
          <w:tab w:val="left" w:pos="1431"/>
        </w:tabs>
        <w:spacing w:before="123" w:after="0" w:line="240" w:lineRule="auto"/>
        <w:ind w:left="1430" w:right="0" w:hanging="771"/>
        <w:jc w:val="left"/>
      </w:pPr>
      <w:bookmarkStart w:id="1338" w:name="18.2.1工程污染防治措施结论"/>
      <w:bookmarkEnd w:id="1338"/>
      <w:bookmarkStart w:id="1339" w:name="18.2.1工程污染防治措施结论"/>
      <w:bookmarkEnd w:id="1339"/>
      <w:r>
        <w:t>工程污染防治措施结论</w:t>
      </w:r>
    </w:p>
    <w:p>
      <w:pPr>
        <w:pStyle w:val="6"/>
        <w:spacing w:before="185" w:line="364" w:lineRule="auto"/>
        <w:ind w:left="660" w:right="777" w:firstLine="480"/>
        <w:jc w:val="both"/>
      </w:pPr>
      <w:r>
        <w:rPr>
          <w:spacing w:val="-6"/>
        </w:rPr>
        <w:t>本工程在污染防治措施上加强了污染物全过程控制，从设计本身入手减少了</w:t>
      </w:r>
      <w:r>
        <w:rPr>
          <w:spacing w:val="-9"/>
        </w:rPr>
        <w:t>污染物的产生。为了进一步降减污染，使发展经济与保护环境协调统一，本评价</w:t>
      </w:r>
      <w:r>
        <w:t>借鉴国内煤炭行业的先进技术，对污染治理方案提出了进一步改进意见。</w:t>
      </w:r>
    </w:p>
    <w:p>
      <w:pPr>
        <w:pStyle w:val="6"/>
        <w:spacing w:line="304" w:lineRule="exact"/>
        <w:ind w:left="1140"/>
        <w:rPr>
          <w:sz w:val="21"/>
        </w:rPr>
      </w:pPr>
      <w:r>
        <w:t>通过采取报告书中提出的污染防治措施，各种污染物均能作到达标排放</w:t>
      </w:r>
      <w:r>
        <w:rPr>
          <w:sz w:val="21"/>
        </w:rPr>
        <w:t>。</w:t>
      </w:r>
    </w:p>
    <w:p>
      <w:pPr>
        <w:pStyle w:val="4"/>
        <w:numPr>
          <w:ilvl w:val="2"/>
          <w:numId w:val="112"/>
        </w:numPr>
        <w:tabs>
          <w:tab w:val="left" w:pos="1431"/>
        </w:tabs>
        <w:spacing w:before="162" w:after="0" w:line="240" w:lineRule="auto"/>
        <w:ind w:left="1430" w:right="0" w:hanging="771"/>
        <w:jc w:val="left"/>
      </w:pPr>
      <w:bookmarkStart w:id="1340" w:name="18.2.2项目环境影响预测结果"/>
      <w:bookmarkEnd w:id="1340"/>
      <w:bookmarkStart w:id="1341" w:name="18.2.2项目环境影响预测结果"/>
      <w:bookmarkEnd w:id="1341"/>
      <w:r>
        <w:t>项目环境影响预测结果</w:t>
      </w:r>
    </w:p>
    <w:p>
      <w:pPr>
        <w:pStyle w:val="13"/>
        <w:numPr>
          <w:ilvl w:val="3"/>
          <w:numId w:val="112"/>
        </w:numPr>
        <w:tabs>
          <w:tab w:val="left" w:pos="1741"/>
        </w:tabs>
        <w:spacing w:before="185" w:after="0" w:line="240" w:lineRule="auto"/>
        <w:ind w:left="1741" w:right="0" w:hanging="601"/>
        <w:jc w:val="left"/>
        <w:rPr>
          <w:sz w:val="24"/>
        </w:rPr>
      </w:pPr>
      <w:r>
        <w:rPr>
          <w:sz w:val="24"/>
        </w:rPr>
        <w:t>环境空气</w:t>
      </w:r>
    </w:p>
    <w:p>
      <w:pPr>
        <w:pStyle w:val="6"/>
        <w:spacing w:before="155" w:line="362" w:lineRule="auto"/>
        <w:ind w:left="660" w:right="652" w:firstLine="480"/>
      </w:pPr>
      <w:r>
        <w:rPr>
          <w:spacing w:val="-8"/>
          <w:position w:val="2"/>
        </w:rPr>
        <w:t>本项目服务期，工业广场和锅炉房排放的烟尘、</w:t>
      </w:r>
      <w:r>
        <w:rPr>
          <w:rFonts w:ascii="Times New Roman" w:eastAsia="Times New Roman"/>
          <w:position w:val="2"/>
        </w:rPr>
        <w:t>SO</w:t>
      </w:r>
      <w:r>
        <w:rPr>
          <w:rFonts w:ascii="Times New Roman" w:eastAsia="Times New Roman"/>
          <w:position w:val="2"/>
          <w:vertAlign w:val="subscript"/>
        </w:rPr>
        <w:t>2</w:t>
      </w:r>
      <w:r>
        <w:rPr>
          <w:rFonts w:ascii="Times New Roman" w:eastAsia="Times New Roman"/>
          <w:position w:val="2"/>
          <w:vertAlign w:val="baseline"/>
        </w:rPr>
        <w:t xml:space="preserve"> </w:t>
      </w:r>
      <w:r>
        <w:rPr>
          <w:spacing w:val="-30"/>
          <w:position w:val="2"/>
          <w:vertAlign w:val="baseline"/>
        </w:rPr>
        <w:t xml:space="preserve">和 </w:t>
      </w:r>
      <w:r>
        <w:rPr>
          <w:rFonts w:ascii="Times New Roman" w:eastAsia="Times New Roman"/>
          <w:position w:val="2"/>
          <w:vertAlign w:val="baseline"/>
        </w:rPr>
        <w:t>NO</w:t>
      </w:r>
      <w:r>
        <w:rPr>
          <w:rFonts w:ascii="Times New Roman" w:eastAsia="Times New Roman"/>
          <w:position w:val="2"/>
          <w:vertAlign w:val="subscript"/>
        </w:rPr>
        <w:t>2</w:t>
      </w:r>
      <w:r>
        <w:rPr>
          <w:rFonts w:ascii="Times New Roman" w:eastAsia="Times New Roman"/>
          <w:position w:val="2"/>
          <w:vertAlign w:val="baseline"/>
        </w:rPr>
        <w:t xml:space="preserve"> </w:t>
      </w:r>
      <w:r>
        <w:rPr>
          <w:position w:val="2"/>
          <w:vertAlign w:val="baseline"/>
        </w:rPr>
        <w:t>最大落地浓度均</w:t>
      </w:r>
      <w:r>
        <w:rPr>
          <w:vertAlign w:val="baseline"/>
        </w:rPr>
        <w:t>低于《锅炉大气污染物排放标准》（</w:t>
      </w:r>
      <w:r>
        <w:rPr>
          <w:rFonts w:ascii="Times New Roman" w:eastAsia="Times New Roman"/>
          <w:vertAlign w:val="baseline"/>
        </w:rPr>
        <w:t>GB13271-2014</w:t>
      </w:r>
      <w:r>
        <w:rPr>
          <w:vertAlign w:val="baseline"/>
        </w:rPr>
        <w:t>）标准限值要求，对所在区</w:t>
      </w:r>
      <w:r>
        <w:rPr>
          <w:spacing w:val="-12"/>
          <w:position w:val="2"/>
          <w:vertAlign w:val="baseline"/>
        </w:rPr>
        <w:t>域的环境空气质量影响较小；热风炉大气污染物颗粒物、</w:t>
      </w:r>
      <w:r>
        <w:rPr>
          <w:rFonts w:ascii="Times New Roman" w:eastAsia="Times New Roman"/>
          <w:position w:val="2"/>
          <w:vertAlign w:val="baseline"/>
        </w:rPr>
        <w:t>SO</w:t>
      </w:r>
      <w:r>
        <w:rPr>
          <w:rFonts w:ascii="Times New Roman" w:eastAsia="Times New Roman"/>
          <w:position w:val="2"/>
          <w:vertAlign w:val="subscript"/>
        </w:rPr>
        <w:t>2</w:t>
      </w:r>
      <w:r>
        <w:rPr>
          <w:rFonts w:ascii="Times New Roman" w:eastAsia="Times New Roman"/>
          <w:position w:val="2"/>
          <w:vertAlign w:val="baseline"/>
        </w:rPr>
        <w:t xml:space="preserve"> </w:t>
      </w:r>
      <w:r>
        <w:rPr>
          <w:spacing w:val="-11"/>
          <w:position w:val="2"/>
          <w:vertAlign w:val="baseline"/>
        </w:rPr>
        <w:t>排放浓度可满足《工</w:t>
      </w:r>
      <w:r>
        <w:rPr>
          <w:spacing w:val="-11"/>
          <w:vertAlign w:val="baseline"/>
        </w:rPr>
        <w:t>业炉窑大气污染物排放标准》</w:t>
      </w:r>
      <w:r>
        <w:rPr>
          <w:vertAlign w:val="baseline"/>
        </w:rPr>
        <w:t>（</w:t>
      </w:r>
      <w:r>
        <w:rPr>
          <w:rFonts w:ascii="Times New Roman" w:eastAsia="Times New Roman"/>
          <w:vertAlign w:val="baseline"/>
        </w:rPr>
        <w:t>GB9078-1996</w:t>
      </w:r>
      <w:r>
        <w:rPr>
          <w:vertAlign w:val="baseline"/>
        </w:rPr>
        <w:t>）</w:t>
      </w:r>
      <w:r>
        <w:rPr>
          <w:spacing w:val="-21"/>
          <w:vertAlign w:val="baseline"/>
        </w:rPr>
        <w:t xml:space="preserve">中表 </w:t>
      </w:r>
      <w:r>
        <w:rPr>
          <w:rFonts w:ascii="Times New Roman" w:eastAsia="Times New Roman"/>
          <w:vertAlign w:val="baseline"/>
        </w:rPr>
        <w:t xml:space="preserve">2 </w:t>
      </w:r>
      <w:r>
        <w:rPr>
          <w:spacing w:val="-20"/>
          <w:vertAlign w:val="baseline"/>
        </w:rPr>
        <w:t xml:space="preserve">及表 </w:t>
      </w:r>
      <w:r>
        <w:rPr>
          <w:rFonts w:ascii="Times New Roman" w:eastAsia="Times New Roman"/>
          <w:vertAlign w:val="baseline"/>
        </w:rPr>
        <w:t xml:space="preserve">4 </w:t>
      </w:r>
      <w:r>
        <w:rPr>
          <w:spacing w:val="-16"/>
          <w:vertAlign w:val="baseline"/>
        </w:rPr>
        <w:t xml:space="preserve">中烟尘 </w:t>
      </w:r>
      <w:r>
        <w:rPr>
          <w:rFonts w:ascii="Times New Roman" w:eastAsia="Times New Roman"/>
          <w:vertAlign w:val="baseline"/>
        </w:rPr>
        <w:t>200mg/m</w:t>
      </w:r>
      <w:r>
        <w:rPr>
          <w:rFonts w:ascii="Times New Roman" w:eastAsia="Times New Roman"/>
          <w:position w:val="8"/>
          <w:sz w:val="15"/>
          <w:vertAlign w:val="baseline"/>
        </w:rPr>
        <w:t>3</w:t>
      </w:r>
      <w:r>
        <w:rPr>
          <w:spacing w:val="-12"/>
          <w:vertAlign w:val="baseline"/>
        </w:rPr>
        <w:t>、</w:t>
      </w:r>
      <w:r>
        <w:rPr>
          <w:rFonts w:ascii="Times New Roman" w:eastAsia="Times New Roman"/>
          <w:position w:val="2"/>
          <w:vertAlign w:val="baseline"/>
        </w:rPr>
        <w:t>SO</w:t>
      </w:r>
      <w:r>
        <w:rPr>
          <w:rFonts w:ascii="Times New Roman" w:eastAsia="Times New Roman"/>
          <w:position w:val="2"/>
          <w:vertAlign w:val="subscript"/>
        </w:rPr>
        <w:t>2</w:t>
      </w:r>
      <w:r>
        <w:rPr>
          <w:rFonts w:ascii="Times New Roman" w:eastAsia="Times New Roman"/>
          <w:position w:val="2"/>
          <w:vertAlign w:val="baseline"/>
        </w:rPr>
        <w:t>850mg/m</w:t>
      </w:r>
      <w:r>
        <w:rPr>
          <w:rFonts w:ascii="Times New Roman" w:eastAsia="Times New Roman"/>
          <w:position w:val="2"/>
          <w:vertAlign w:val="superscript"/>
        </w:rPr>
        <w:t>3</w:t>
      </w:r>
      <w:r>
        <w:rPr>
          <w:rFonts w:ascii="Times New Roman" w:eastAsia="Times New Roman"/>
          <w:position w:val="2"/>
          <w:vertAlign w:val="baseline"/>
        </w:rPr>
        <w:t xml:space="preserve"> </w:t>
      </w:r>
      <w:r>
        <w:rPr>
          <w:spacing w:val="-7"/>
          <w:position w:val="2"/>
          <w:vertAlign w:val="baseline"/>
        </w:rPr>
        <w:t>的标准限值要求；筛分车间设置一套布袋除尘器，经布袋除尘器收</w:t>
      </w:r>
      <w:r>
        <w:rPr>
          <w:spacing w:val="-13"/>
          <w:vertAlign w:val="baseline"/>
        </w:rPr>
        <w:t xml:space="preserve">处理后由排气筒排放，除尘器除尘效率 </w:t>
      </w:r>
      <w:r>
        <w:rPr>
          <w:rFonts w:ascii="Times New Roman" w:eastAsia="Times New Roman"/>
          <w:spacing w:val="-10"/>
          <w:vertAlign w:val="baseline"/>
        </w:rPr>
        <w:t>99%</w:t>
      </w:r>
      <w:r>
        <w:rPr>
          <w:spacing w:val="-8"/>
          <w:vertAlign w:val="baseline"/>
        </w:rPr>
        <w:t>，颗粒物可满足《煤炭工业污染物排</w:t>
      </w:r>
      <w:r>
        <w:rPr>
          <w:spacing w:val="-1"/>
          <w:vertAlign w:val="baseline"/>
        </w:rPr>
        <w:t>放标准》</w:t>
      </w:r>
      <w:r>
        <w:rPr>
          <w:vertAlign w:val="baseline"/>
        </w:rPr>
        <w:t>（</w:t>
      </w:r>
      <w:r>
        <w:rPr>
          <w:rFonts w:ascii="Times New Roman" w:eastAsia="Times New Roman"/>
          <w:vertAlign w:val="baseline"/>
        </w:rPr>
        <w:t>GB20426-2006</w:t>
      </w:r>
      <w:r>
        <w:rPr>
          <w:vertAlign w:val="baseline"/>
        </w:rPr>
        <w:t>）</w:t>
      </w:r>
      <w:r>
        <w:rPr>
          <w:spacing w:val="-25"/>
          <w:vertAlign w:val="baseline"/>
        </w:rPr>
        <w:t xml:space="preserve">表 </w:t>
      </w:r>
      <w:r>
        <w:rPr>
          <w:rFonts w:ascii="Times New Roman" w:eastAsia="Times New Roman"/>
          <w:vertAlign w:val="baseline"/>
        </w:rPr>
        <w:t xml:space="preserve">4 </w:t>
      </w:r>
      <w:r>
        <w:rPr>
          <w:vertAlign w:val="baseline"/>
        </w:rPr>
        <w:t>及标准限值，在采取本评价提出的严格抑尘措</w:t>
      </w:r>
      <w:r>
        <w:rPr>
          <w:spacing w:val="23"/>
          <w:vertAlign w:val="baseline"/>
        </w:rPr>
        <w:t>施后， 本项目扬尘较小。油烟排放浓度满足《饮食业油烟排放标准》</w:t>
      </w:r>
    </w:p>
    <w:p>
      <w:pPr>
        <w:pStyle w:val="6"/>
        <w:spacing w:before="12" w:line="364" w:lineRule="auto"/>
        <w:ind w:left="660" w:right="652"/>
      </w:pPr>
      <w:r>
        <w:rPr>
          <w:spacing w:val="-3"/>
        </w:rPr>
        <w:t>（</w:t>
      </w:r>
      <w:r>
        <w:rPr>
          <w:rFonts w:ascii="Times New Roman" w:eastAsia="Times New Roman"/>
          <w:spacing w:val="-3"/>
        </w:rPr>
        <w:t>GB18483-2001</w:t>
      </w:r>
      <w:r>
        <w:rPr>
          <w:spacing w:val="-3"/>
        </w:rPr>
        <w:t>）</w:t>
      </w:r>
      <w:r>
        <w:rPr>
          <w:spacing w:val="-5"/>
        </w:rPr>
        <w:t xml:space="preserve">最高允许排放浓度 </w:t>
      </w:r>
      <w:r>
        <w:rPr>
          <w:rFonts w:ascii="Times New Roman" w:eastAsia="Times New Roman"/>
          <w:spacing w:val="-5"/>
        </w:rPr>
        <w:t>2.0mg/m</w:t>
      </w:r>
      <w:r>
        <w:rPr>
          <w:rFonts w:ascii="Times New Roman" w:eastAsia="Times New Roman"/>
          <w:spacing w:val="-5"/>
          <w:position w:val="8"/>
          <w:sz w:val="15"/>
        </w:rPr>
        <w:t>3</w:t>
      </w:r>
      <w:r>
        <w:rPr>
          <w:spacing w:val="-2"/>
        </w:rPr>
        <w:t>，减少了对周围环境空气的影响。</w:t>
      </w:r>
      <w:r>
        <w:rPr>
          <w:spacing w:val="-10"/>
        </w:rPr>
        <w:t>总体来说，本项目对评价区域环境空气质量影响很小，排放的大气污染物可被现有环境所接受。</w:t>
      </w:r>
    </w:p>
    <w:p>
      <w:pPr>
        <w:pStyle w:val="13"/>
        <w:numPr>
          <w:ilvl w:val="3"/>
          <w:numId w:val="112"/>
        </w:numPr>
        <w:tabs>
          <w:tab w:val="left" w:pos="1741"/>
        </w:tabs>
        <w:spacing w:before="0" w:after="0" w:line="304" w:lineRule="exact"/>
        <w:ind w:left="1741" w:right="0" w:hanging="601"/>
        <w:jc w:val="left"/>
        <w:rPr>
          <w:sz w:val="24"/>
        </w:rPr>
      </w:pPr>
      <w:r>
        <w:rPr>
          <w:sz w:val="24"/>
        </w:rPr>
        <w:t>地表水</w:t>
      </w:r>
    </w:p>
    <w:p>
      <w:pPr>
        <w:pStyle w:val="6"/>
        <w:spacing w:before="160" w:line="362" w:lineRule="auto"/>
        <w:ind w:left="660" w:right="775" w:firstLine="480"/>
      </w:pPr>
      <w:r>
        <w:rPr>
          <w:spacing w:val="-5"/>
        </w:rPr>
        <w:t xml:space="preserve">本工程矿井正常涌水量为 </w:t>
      </w:r>
      <w:r>
        <w:rPr>
          <w:rFonts w:ascii="Times New Roman" w:eastAsia="Times New Roman"/>
          <w:spacing w:val="-3"/>
        </w:rPr>
        <w:t>76m</w:t>
      </w:r>
      <w:r>
        <w:rPr>
          <w:rFonts w:ascii="Times New Roman" w:eastAsia="Times New Roman"/>
          <w:spacing w:val="-3"/>
          <w:position w:val="8"/>
          <w:sz w:val="15"/>
        </w:rPr>
        <w:t>3</w:t>
      </w:r>
      <w:r>
        <w:rPr>
          <w:rFonts w:ascii="Times New Roman" w:eastAsia="Times New Roman"/>
          <w:spacing w:val="-3"/>
        </w:rPr>
        <w:t>/h</w:t>
      </w:r>
      <w:r>
        <w:rPr>
          <w:spacing w:val="-9"/>
        </w:rPr>
        <w:t xml:space="preserve">，最大涌水量为 </w:t>
      </w:r>
      <w:r>
        <w:rPr>
          <w:rFonts w:ascii="Times New Roman" w:eastAsia="Times New Roman"/>
          <w:spacing w:val="-3"/>
        </w:rPr>
        <w:t>155m</w:t>
      </w:r>
      <w:r>
        <w:rPr>
          <w:rFonts w:ascii="Times New Roman" w:eastAsia="Times New Roman"/>
          <w:spacing w:val="-3"/>
          <w:position w:val="8"/>
          <w:sz w:val="15"/>
        </w:rPr>
        <w:t>3</w:t>
      </w:r>
      <w:r>
        <w:rPr>
          <w:rFonts w:ascii="Times New Roman" w:eastAsia="Times New Roman"/>
          <w:spacing w:val="-3"/>
        </w:rPr>
        <w:t>/h</w:t>
      </w:r>
      <w:r>
        <w:rPr>
          <w:spacing w:val="-4"/>
        </w:rPr>
        <w:t>，经矿井水处理站</w:t>
      </w:r>
      <w:r>
        <w:t>调节</w:t>
      </w:r>
      <w:r>
        <w:rPr>
          <w:rFonts w:ascii="Times New Roman" w:eastAsia="Times New Roman"/>
        </w:rPr>
        <w:t>+</w:t>
      </w:r>
      <w:r>
        <w:t>絮凝</w:t>
      </w:r>
      <w:r>
        <w:rPr>
          <w:rFonts w:ascii="Times New Roman" w:eastAsia="Times New Roman"/>
          <w:spacing w:val="3"/>
        </w:rPr>
        <w:t>+</w:t>
      </w:r>
      <w:r>
        <w:t>沉淀</w:t>
      </w:r>
      <w:r>
        <w:rPr>
          <w:rFonts w:ascii="Times New Roman" w:eastAsia="Times New Roman"/>
        </w:rPr>
        <w:t>+</w:t>
      </w:r>
      <w:r>
        <w:t>过滤</w:t>
      </w:r>
      <w:r>
        <w:rPr>
          <w:rFonts w:ascii="Times New Roman" w:eastAsia="Times New Roman"/>
        </w:rPr>
        <w:t>+</w:t>
      </w:r>
      <w:r>
        <w:t>消毒处理后部分用于生产用水，部分外排至扁石河，处</w:t>
      </w:r>
    </w:p>
    <w:p>
      <w:pPr>
        <w:spacing w:after="0" w:line="362" w:lineRule="auto"/>
        <w:sectPr>
          <w:footerReference r:id="rId35" w:type="default"/>
          <w:pgSz w:w="11910" w:h="16840"/>
          <w:pgMar w:top="1380" w:right="1020" w:bottom="1180" w:left="1140" w:header="0" w:footer="997" w:gutter="0"/>
          <w:pgNumType w:start="210"/>
        </w:sectPr>
      </w:pPr>
    </w:p>
    <w:p>
      <w:pPr>
        <w:pStyle w:val="6"/>
        <w:spacing w:before="43"/>
        <w:ind w:left="660"/>
      </w:pPr>
      <w:r>
        <w:t>理后的矿井水水质满足回用要求。</w:t>
      </w:r>
    </w:p>
    <w:p>
      <w:pPr>
        <w:pStyle w:val="6"/>
        <w:spacing w:before="160" w:line="364" w:lineRule="auto"/>
        <w:ind w:left="660" w:right="775" w:firstLine="480"/>
        <w:jc w:val="both"/>
      </w:pPr>
      <w:r>
        <w:rPr>
          <w:spacing w:val="-5"/>
        </w:rPr>
        <w:t xml:space="preserve">本项目生活污水产生量为 </w:t>
      </w:r>
      <w:r>
        <w:rPr>
          <w:rFonts w:ascii="Times New Roman" w:eastAsia="Times New Roman"/>
        </w:rPr>
        <w:t>86.92m</w:t>
      </w:r>
      <w:r>
        <w:rPr>
          <w:rFonts w:ascii="Times New Roman" w:eastAsia="Times New Roman"/>
          <w:spacing w:val="-2"/>
          <w:w w:val="104"/>
          <w:position w:val="8"/>
          <w:sz w:val="15"/>
        </w:rPr>
        <w:t>3</w:t>
      </w:r>
      <w:r>
        <w:rPr>
          <w:rFonts w:ascii="Times New Roman" w:eastAsia="Times New Roman"/>
        </w:rPr>
        <w:t>/d</w:t>
      </w:r>
      <w:r>
        <w:rPr>
          <w:spacing w:val="-15"/>
        </w:rPr>
        <w:t xml:space="preserve">，在工业广场设一座处理规模为 </w:t>
      </w:r>
      <w:r>
        <w:rPr>
          <w:rFonts w:ascii="Times New Roman" w:eastAsia="Times New Roman"/>
          <w:spacing w:val="-3"/>
        </w:rPr>
        <w:t>360</w:t>
      </w:r>
      <w:r>
        <w:rPr>
          <w:rFonts w:ascii="Times New Roman" w:eastAsia="Times New Roman"/>
          <w:spacing w:val="-5"/>
        </w:rPr>
        <w:t>m</w:t>
      </w:r>
      <w:r>
        <w:rPr>
          <w:rFonts w:ascii="Times New Roman" w:eastAsia="Times New Roman"/>
          <w:spacing w:val="-2"/>
          <w:w w:val="104"/>
          <w:position w:val="8"/>
          <w:sz w:val="15"/>
        </w:rPr>
        <w:t>3</w:t>
      </w:r>
      <w:r>
        <w:rPr>
          <w:rFonts w:ascii="Times New Roman" w:eastAsia="Times New Roman"/>
          <w:spacing w:val="-5"/>
        </w:rPr>
        <w:t>/</w:t>
      </w:r>
      <w:r>
        <w:rPr>
          <w:rFonts w:ascii="Times New Roman" w:eastAsia="Times New Roman"/>
          <w:spacing w:val="-3"/>
        </w:rPr>
        <w:t>d</w:t>
      </w:r>
      <w:r>
        <w:rPr>
          <w:spacing w:val="-10"/>
        </w:rPr>
        <w:t>的污水处理站，对工业广场所有生活污水进行集中处理。污水处理站设计采用二</w:t>
      </w:r>
      <w:r>
        <w:t>级生物处理工艺。处理后回用于生产、工业场地绿化洒水用水。</w:t>
      </w:r>
    </w:p>
    <w:p>
      <w:pPr>
        <w:pStyle w:val="6"/>
        <w:spacing w:line="364" w:lineRule="auto"/>
        <w:ind w:left="660" w:right="777" w:firstLine="480"/>
        <w:jc w:val="both"/>
      </w:pPr>
      <w:r>
        <w:rPr>
          <w:spacing w:val="-10"/>
        </w:rPr>
        <w:t>综上所述，本项目污水排放对地表水体影响不大，按煤炭企业设计相应规范要求，在运营期严禁污水直排现象发生。从地表水环境的角度分析，本项目在该</w:t>
      </w:r>
      <w:r>
        <w:t>厂址建设是可行的。</w:t>
      </w:r>
    </w:p>
    <w:p>
      <w:pPr>
        <w:pStyle w:val="13"/>
        <w:numPr>
          <w:ilvl w:val="3"/>
          <w:numId w:val="112"/>
        </w:numPr>
        <w:tabs>
          <w:tab w:val="left" w:pos="1741"/>
        </w:tabs>
        <w:spacing w:before="0" w:after="0" w:line="307" w:lineRule="exact"/>
        <w:ind w:left="1741" w:right="0" w:hanging="601"/>
        <w:jc w:val="left"/>
        <w:rPr>
          <w:sz w:val="24"/>
        </w:rPr>
      </w:pPr>
      <w:r>
        <w:rPr>
          <w:sz w:val="24"/>
        </w:rPr>
        <w:t>地下水</w:t>
      </w:r>
    </w:p>
    <w:p>
      <w:pPr>
        <w:pStyle w:val="6"/>
        <w:spacing w:before="158" w:line="364" w:lineRule="auto"/>
        <w:ind w:left="660" w:right="657" w:firstLine="480"/>
      </w:pPr>
      <w:r>
        <w:rPr>
          <w:spacing w:val="-3"/>
        </w:rPr>
        <w:t>建设项目对地下水的污染主要来自污水处理站下渗对地下水造成的污染，本</w:t>
      </w:r>
      <w:r>
        <w:rPr>
          <w:spacing w:val="-7"/>
        </w:rPr>
        <w:t>工程污水处理构筑物及污水管道均采取了防渗处理措施，在运行期间，通过加强</w:t>
      </w:r>
      <w:r>
        <w:rPr>
          <w:spacing w:val="-17"/>
        </w:rPr>
        <w:t xml:space="preserve">管理，严防污染物的跑、冒、滴、漏，将污染物渗漏的环境风险事故降到最低限， </w:t>
      </w:r>
      <w:r>
        <w:t>通过预测结果可以看出本工程污染物渗漏对地下水水质影响较小。</w:t>
      </w:r>
    </w:p>
    <w:p>
      <w:pPr>
        <w:pStyle w:val="13"/>
        <w:numPr>
          <w:ilvl w:val="3"/>
          <w:numId w:val="112"/>
        </w:numPr>
        <w:tabs>
          <w:tab w:val="left" w:pos="1741"/>
        </w:tabs>
        <w:spacing w:before="0" w:after="0" w:line="305" w:lineRule="exact"/>
        <w:ind w:left="1741" w:right="0" w:hanging="601"/>
        <w:jc w:val="left"/>
        <w:rPr>
          <w:sz w:val="24"/>
        </w:rPr>
      </w:pPr>
      <w:r>
        <w:rPr>
          <w:sz w:val="24"/>
        </w:rPr>
        <w:t>噪声</w:t>
      </w:r>
    </w:p>
    <w:p>
      <w:pPr>
        <w:pStyle w:val="6"/>
        <w:spacing w:before="158" w:line="364" w:lineRule="auto"/>
        <w:ind w:left="660" w:right="736" w:firstLine="480"/>
        <w:jc w:val="both"/>
      </w:pPr>
      <w:r>
        <w:rPr>
          <w:spacing w:val="-4"/>
        </w:rPr>
        <w:t xml:space="preserve">本项目主要噪声源相对较集中，周围 </w:t>
      </w:r>
      <w:r>
        <w:rPr>
          <w:rFonts w:ascii="Times New Roman" w:eastAsia="Times New Roman"/>
        </w:rPr>
        <w:t xml:space="preserve">200m </w:t>
      </w:r>
      <w:r>
        <w:rPr>
          <w:spacing w:val="-2"/>
        </w:rPr>
        <w:t xml:space="preserve">内没有居民分布，本评价认为， </w:t>
      </w:r>
      <w:r>
        <w:rPr>
          <w:spacing w:val="-5"/>
        </w:rPr>
        <w:t>在严格执行评价提出的防治措施前提下，从声环境角度而言，本项目在该厂址建设可行。</w:t>
      </w:r>
    </w:p>
    <w:p>
      <w:pPr>
        <w:pStyle w:val="13"/>
        <w:numPr>
          <w:ilvl w:val="3"/>
          <w:numId w:val="112"/>
        </w:numPr>
        <w:tabs>
          <w:tab w:val="left" w:pos="1741"/>
        </w:tabs>
        <w:spacing w:before="0" w:after="0" w:line="307" w:lineRule="exact"/>
        <w:ind w:left="1741" w:right="0" w:hanging="601"/>
        <w:jc w:val="left"/>
        <w:rPr>
          <w:sz w:val="24"/>
        </w:rPr>
      </w:pPr>
      <w:r>
        <w:rPr>
          <w:sz w:val="24"/>
        </w:rPr>
        <w:t>固体废弃物</w:t>
      </w:r>
    </w:p>
    <w:p>
      <w:pPr>
        <w:pStyle w:val="6"/>
        <w:spacing w:before="158" w:line="364" w:lineRule="auto"/>
        <w:ind w:left="660" w:right="777" w:firstLine="480"/>
        <w:jc w:val="both"/>
      </w:pPr>
      <w:r>
        <w:rPr>
          <w:spacing w:val="-6"/>
        </w:rPr>
        <w:t>本项目矸石场内暂存后用来平整工业场地；用作公路的路基石料；用于填沟</w:t>
      </w:r>
      <w:r>
        <w:rPr>
          <w:spacing w:val="-10"/>
        </w:rPr>
        <w:t>造地；生活垃圾与污泥委托市政环卫清运；灰渣用作农肥原料；废机油委托有资</w:t>
      </w:r>
      <w:r>
        <w:t>质单位处理；对环境影响较小。</w:t>
      </w:r>
    </w:p>
    <w:p>
      <w:pPr>
        <w:pStyle w:val="13"/>
        <w:numPr>
          <w:ilvl w:val="3"/>
          <w:numId w:val="112"/>
        </w:numPr>
        <w:tabs>
          <w:tab w:val="left" w:pos="1741"/>
        </w:tabs>
        <w:spacing w:before="0" w:after="0" w:line="307" w:lineRule="exact"/>
        <w:ind w:left="1741" w:right="0" w:hanging="601"/>
        <w:jc w:val="left"/>
        <w:rPr>
          <w:sz w:val="24"/>
        </w:rPr>
      </w:pPr>
      <w:r>
        <w:rPr>
          <w:sz w:val="24"/>
        </w:rPr>
        <w:t>地表沉陷预测与生态环境影响</w:t>
      </w:r>
    </w:p>
    <w:p>
      <w:pPr>
        <w:pStyle w:val="6"/>
        <w:spacing w:before="158" w:line="364" w:lineRule="auto"/>
        <w:ind w:left="660" w:right="777" w:firstLine="480"/>
        <w:jc w:val="both"/>
      </w:pPr>
      <w:r>
        <w:rPr>
          <w:spacing w:val="-11"/>
        </w:rPr>
        <w:t>全井田开采后，沉陷土地主要为林地。双鸭山大顺矿业有限公司改扩建项目</w:t>
      </w:r>
      <w:r>
        <w:rPr>
          <w:spacing w:val="-5"/>
        </w:rPr>
        <w:t>建设与开采沉陷对井田内林地的影响随着沉陷区生态的进行，大部分受影响的林</w:t>
      </w:r>
      <w:r>
        <w:t>地都能得到恢复。</w:t>
      </w:r>
    </w:p>
    <w:p>
      <w:pPr>
        <w:pStyle w:val="3"/>
        <w:numPr>
          <w:ilvl w:val="1"/>
          <w:numId w:val="112"/>
        </w:numPr>
        <w:tabs>
          <w:tab w:val="left" w:pos="1335"/>
        </w:tabs>
        <w:spacing w:before="117" w:after="0" w:line="240" w:lineRule="auto"/>
        <w:ind w:left="1334" w:right="0" w:hanging="675"/>
        <w:jc w:val="left"/>
      </w:pPr>
      <w:bookmarkStart w:id="1342" w:name="18.3 建设项目的环境可行性总结"/>
      <w:bookmarkEnd w:id="1342"/>
      <w:bookmarkStart w:id="1343" w:name="_bookmark107"/>
      <w:bookmarkEnd w:id="1343"/>
      <w:bookmarkStart w:id="1344" w:name="_bookmark107"/>
      <w:bookmarkEnd w:id="1344"/>
      <w:r>
        <w:t>建设项目的环境可行性总结</w:t>
      </w:r>
    </w:p>
    <w:p>
      <w:pPr>
        <w:pStyle w:val="6"/>
        <w:spacing w:before="122" w:line="364" w:lineRule="auto"/>
        <w:ind w:left="660" w:right="685" w:firstLine="480"/>
      </w:pPr>
      <w:r>
        <w:rPr>
          <w:spacing w:val="-5"/>
        </w:rPr>
        <w:t>综合环境影响预测结论及公众参与、厂址合理性分析、环境经济损益分析结</w:t>
      </w:r>
      <w:r>
        <w:rPr>
          <w:spacing w:val="-10"/>
        </w:rPr>
        <w:t>论，本工程在确保清洁生产工艺正常运行、全面严格落实本报告书所提各项污染</w:t>
      </w:r>
      <w:r>
        <w:rPr>
          <w:spacing w:val="-11"/>
        </w:rPr>
        <w:t xml:space="preserve">防治措施并正常运行的前提下，通过加强环境管理和环境监测，杜绝事故排放， </w:t>
      </w:r>
      <w:r>
        <w:rPr>
          <w:spacing w:val="-6"/>
        </w:rPr>
        <w:t>所排污染物均能做到达标排放，对周围环境影响较小，可被周围环境所接受，从</w:t>
      </w:r>
    </w:p>
    <w:p>
      <w:pPr>
        <w:spacing w:after="0" w:line="364" w:lineRule="auto"/>
        <w:sectPr>
          <w:pgSz w:w="11910" w:h="16840"/>
          <w:pgMar w:top="1380" w:right="1020" w:bottom="1180" w:left="1140" w:header="0" w:footer="997" w:gutter="0"/>
        </w:sectPr>
      </w:pPr>
    </w:p>
    <w:p>
      <w:pPr>
        <w:pStyle w:val="6"/>
        <w:spacing w:before="43"/>
        <w:ind w:left="660"/>
      </w:pPr>
      <w:r>
        <w:t>环境角度分析，本项目建设是可行的。</w:t>
      </w:r>
    </w:p>
    <w:sectPr>
      <w:pgSz w:w="11910" w:h="16840"/>
      <w:pgMar w:top="1380" w:right="1020" w:bottom="1180" w:left="1140" w:header="0" w:footer="997"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MT Extra">
    <w:panose1 w:val="05050102010205020202"/>
    <w:charset w:val="02"/>
    <w:family w:val="roman"/>
    <w:pitch w:val="default"/>
    <w:sig w:usb0="8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14098944" behindDoc="1" locked="0" layoutInCell="1" allowOverlap="1">
              <wp:simplePos x="0" y="0"/>
              <wp:positionH relativeFrom="page">
                <wp:posOffset>3726180</wp:posOffset>
              </wp:positionH>
              <wp:positionV relativeFrom="page">
                <wp:posOffset>9932670</wp:posOffset>
              </wp:positionV>
              <wp:extent cx="108585" cy="139700"/>
              <wp:effectExtent l="0" t="0" r="0" b="0"/>
              <wp:wrapNone/>
              <wp:docPr id="261" name="文本框 1"/>
              <wp:cNvGraphicFramePr/>
              <a:graphic xmlns:a="http://schemas.openxmlformats.org/drawingml/2006/main">
                <a:graphicData uri="http://schemas.microsoft.com/office/word/2010/wordprocessingShape">
                  <wps:wsp>
                    <wps:cNvSpPr txBox="1"/>
                    <wps:spPr>
                      <a:xfrm>
                        <a:off x="0" y="0"/>
                        <a:ext cx="10858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 ROMAN </w:instrText>
                          </w:r>
                          <w:r>
                            <w:fldChar w:fldCharType="separate"/>
                          </w:r>
                          <w:r>
                            <w:t>II</w:t>
                          </w:r>
                          <w:r>
                            <w:fldChar w:fldCharType="end"/>
                          </w:r>
                        </w:p>
                      </w:txbxContent>
                    </wps:txbx>
                    <wps:bodyPr lIns="0" tIns="0" rIns="0" bIns="0" upright="1"/>
                  </wps:wsp>
                </a:graphicData>
              </a:graphic>
            </wp:anchor>
          </w:drawing>
        </mc:Choice>
        <mc:Fallback>
          <w:pict>
            <v:shape id="文本框 1" o:spid="_x0000_s1026" o:spt="202" type="#_x0000_t202" style="position:absolute;left:0pt;margin-left:293.4pt;margin-top:782.1pt;height:11pt;width:8.55pt;mso-position-horizontal-relative:page;mso-position-vertical-relative:page;z-index:-289217536;mso-width-relative:page;mso-height-relative:page;" filled="f" stroked="f" coordsize="21600,21600" o:gfxdata="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KO5jsbaAAAADQEAAA8AAAAA&#10;AAAAAQAgAAAAIgAAAGRycy9kb3ducmV2LnhtbFBLAQIUABQAAAAIAIdO4kDv51qRoAEAACUDAAAO&#10;AAAAAAAAAAEAIAAAACkBAABkcnMvZTJvRG9jLnhtbFBLBQYAAAAABgAGAFkBAAA7BQ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 ROMAN </w:instrText>
                    </w:r>
                    <w:r>
                      <w:fldChar w:fldCharType="separate"/>
                    </w:r>
                    <w:r>
                      <w:t>II</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14108160" behindDoc="1" locked="0" layoutInCell="1" allowOverlap="1">
              <wp:simplePos x="0" y="0"/>
              <wp:positionH relativeFrom="page">
                <wp:posOffset>3695700</wp:posOffset>
              </wp:positionH>
              <wp:positionV relativeFrom="page">
                <wp:posOffset>9919335</wp:posOffset>
              </wp:positionV>
              <wp:extent cx="167005" cy="139700"/>
              <wp:effectExtent l="0" t="0" r="0" b="0"/>
              <wp:wrapNone/>
              <wp:docPr id="269" name="文本框 9"/>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61</w:t>
                          </w:r>
                          <w:r>
                            <w:fldChar w:fldCharType="end"/>
                          </w:r>
                        </w:p>
                      </w:txbxContent>
                    </wps:txbx>
                    <wps:bodyPr lIns="0" tIns="0" rIns="0" bIns="0" upright="1"/>
                  </wps:wsp>
                </a:graphicData>
              </a:graphic>
            </wp:anchor>
          </w:drawing>
        </mc:Choice>
        <mc:Fallback>
          <w:pict>
            <v:shape id="文本框 9" o:spid="_x0000_s1026" o:spt="202" type="#_x0000_t202" style="position:absolute;left:0pt;margin-left:291pt;margin-top:781.05pt;height:11pt;width:13.15pt;mso-position-horizontal-relative:page;mso-position-vertical-relative:page;z-index:-289208320;mso-width-relative:page;mso-height-relative:page;" filled="f" stroked="f" coordsize="21600,21600" o:gfxdata="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yw7NsAAAANAQAADwAAAAAA&#10;AAABACAAAAAiAAAAZHJzL2Rvd25yZXYueG1sUEsBAhQAFAAAAAgAh07iQLgEsmOeAQAAJQMAAA4A&#10;AAAAAAAAAQAgAAAAKgEAAGRycy9lMm9Eb2MueG1sUEsFBgAAAAAGAAYAWQEAADoFA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61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14109184" behindDoc="1" locked="0" layoutInCell="1" allowOverlap="1">
              <wp:simplePos x="0" y="0"/>
              <wp:positionH relativeFrom="page">
                <wp:posOffset>3695700</wp:posOffset>
              </wp:positionH>
              <wp:positionV relativeFrom="page">
                <wp:posOffset>9919335</wp:posOffset>
              </wp:positionV>
              <wp:extent cx="167005" cy="139700"/>
              <wp:effectExtent l="0" t="0" r="0" b="0"/>
              <wp:wrapNone/>
              <wp:docPr id="270" name="文本框 10"/>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70</w:t>
                          </w:r>
                          <w:r>
                            <w:fldChar w:fldCharType="end"/>
                          </w:r>
                        </w:p>
                      </w:txbxContent>
                    </wps:txbx>
                    <wps:bodyPr lIns="0" tIns="0" rIns="0" bIns="0" upright="1"/>
                  </wps:wsp>
                </a:graphicData>
              </a:graphic>
            </wp:anchor>
          </w:drawing>
        </mc:Choice>
        <mc:Fallback>
          <w:pict>
            <v:shape id="文本框 10" o:spid="_x0000_s1026" o:spt="202" type="#_x0000_t202" style="position:absolute;left:0pt;margin-left:291pt;margin-top:781.05pt;height:11pt;width:13.15pt;mso-position-horizontal-relative:page;mso-position-vertical-relative:page;z-index:-289207296;mso-width-relative:page;mso-height-relative:page;" filled="f" stroked="f" coordsize="21600,21600" o:gfxdata="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yw7NsAAAANAQAADwAAAAAA&#10;AAABACAAAAAiAAAAZHJzL2Rvd25yZXYueG1sUEsBAhQAFAAAAAgAh07iQJsTaVaeAQAAJgMAAA4A&#10;AAAAAAAAAQAgAAAAKgEAAGRycy9lMm9Eb2MueG1sUEsFBgAAAAAGAAYAWQEAADoFA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70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14110208" behindDoc="1" locked="0" layoutInCell="1" allowOverlap="1">
              <wp:simplePos x="0" y="0"/>
              <wp:positionH relativeFrom="page">
                <wp:posOffset>3695700</wp:posOffset>
              </wp:positionH>
              <wp:positionV relativeFrom="page">
                <wp:posOffset>9919335</wp:posOffset>
              </wp:positionV>
              <wp:extent cx="167005" cy="139700"/>
              <wp:effectExtent l="0" t="0" r="0" b="0"/>
              <wp:wrapNone/>
              <wp:docPr id="271" name="文本框 11"/>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78</w:t>
                          </w:r>
                          <w:r>
                            <w:fldChar w:fldCharType="end"/>
                          </w:r>
                        </w:p>
                      </w:txbxContent>
                    </wps:txbx>
                    <wps:bodyPr lIns="0" tIns="0" rIns="0" bIns="0" upright="1"/>
                  </wps:wsp>
                </a:graphicData>
              </a:graphic>
            </wp:anchor>
          </w:drawing>
        </mc:Choice>
        <mc:Fallback>
          <w:pict>
            <v:shape id="文本框 11" o:spid="_x0000_s1026" o:spt="202" type="#_x0000_t202" style="position:absolute;left:0pt;margin-left:291pt;margin-top:781.05pt;height:11pt;width:13.15pt;mso-position-horizontal-relative:page;mso-position-vertical-relative:page;z-index:-289206272;mso-width-relative:page;mso-height-relative:page;" filled="f" stroked="f" coordsize="21600,21600" o:gfxdata="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IvssOzbAAAADQEAAA8AAAAA&#10;AAAAAQAgAAAAIgAAAGRycy9kb3ducmV2LnhtbFBLAQIUABQAAAAIAIdO4kBeb1eOnwEAACYDAAAO&#10;AAAAAAAAAAEAIAAAACoBAABkcnMvZTJvRG9jLnhtbFBLBQYAAAAABgAGAFkBAAA7BQ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78</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14111232" behindDoc="1" locked="0" layoutInCell="1" allowOverlap="1">
              <wp:simplePos x="0" y="0"/>
              <wp:positionH relativeFrom="page">
                <wp:posOffset>3695700</wp:posOffset>
              </wp:positionH>
              <wp:positionV relativeFrom="page">
                <wp:posOffset>9919335</wp:posOffset>
              </wp:positionV>
              <wp:extent cx="167005" cy="139700"/>
              <wp:effectExtent l="0" t="0" r="0" b="0"/>
              <wp:wrapNone/>
              <wp:docPr id="272" name="文本框 12"/>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80</w:t>
                          </w:r>
                          <w:r>
                            <w:fldChar w:fldCharType="end"/>
                          </w:r>
                        </w:p>
                      </w:txbxContent>
                    </wps:txbx>
                    <wps:bodyPr lIns="0" tIns="0" rIns="0" bIns="0" upright="1"/>
                  </wps:wsp>
                </a:graphicData>
              </a:graphic>
            </wp:anchor>
          </w:drawing>
        </mc:Choice>
        <mc:Fallback>
          <w:pict>
            <v:shape id="文本框 12" o:spid="_x0000_s1026" o:spt="202" type="#_x0000_t202" style="position:absolute;left:0pt;margin-left:291pt;margin-top:781.05pt;height:11pt;width:13.15pt;mso-position-horizontal-relative:page;mso-position-vertical-relative:page;z-index:-289205248;mso-width-relative:page;mso-height-relative:page;" filled="f" stroked="f" coordsize="21600,21600" o:gfxdata="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IvssOzbAAAADQEAAA8AAAAA&#10;AAAAAQAgAAAAIgAAAGRycy9kb3ducmV2LnhtbFBLAQIUABQAAAAIAIdO4kBQ7GQ9nwEAACYDAAAO&#10;AAAAAAAAAAEAIAAAACoBAABkcnMvZTJvRG9jLnhtbFBLBQYAAAAABgAGAFkBAAA7BQ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80</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2"/>
      </w:rPr>
    </w:pPr>
    <w:r>
      <mc:AlternateContent>
        <mc:Choice Requires="wps">
          <w:drawing>
            <wp:anchor distT="0" distB="0" distL="114300" distR="114300" simplePos="0" relativeHeight="214112256" behindDoc="1" locked="0" layoutInCell="1" allowOverlap="1">
              <wp:simplePos x="0" y="0"/>
              <wp:positionH relativeFrom="page">
                <wp:posOffset>3695700</wp:posOffset>
              </wp:positionH>
              <wp:positionV relativeFrom="page">
                <wp:posOffset>9919335</wp:posOffset>
              </wp:positionV>
              <wp:extent cx="167005" cy="139700"/>
              <wp:effectExtent l="0" t="0" r="0" b="0"/>
              <wp:wrapNone/>
              <wp:docPr id="273" name="文本框 13"/>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91</w:t>
                          </w:r>
                          <w:r>
                            <w:fldChar w:fldCharType="end"/>
                          </w:r>
                        </w:p>
                      </w:txbxContent>
                    </wps:txbx>
                    <wps:bodyPr lIns="0" tIns="0" rIns="0" bIns="0" upright="1"/>
                  </wps:wsp>
                </a:graphicData>
              </a:graphic>
            </wp:anchor>
          </w:drawing>
        </mc:Choice>
        <mc:Fallback>
          <w:pict>
            <v:shape id="文本框 13" o:spid="_x0000_s1026" o:spt="202" type="#_x0000_t202" style="position:absolute;left:0pt;margin-left:291pt;margin-top:781.05pt;height:11pt;width:13.15pt;mso-position-horizontal-relative:page;mso-position-vertical-relative:page;z-index:-289204224;mso-width-relative:page;mso-height-relative:page;" filled="f" stroked="f" coordsize="21600,21600" o:gfxdata="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L7LDs2wAAAA0BAAAPAAAA&#10;AAAAAAEAIAAAACIAAABkcnMvZG93bnJldi54bWxQSwECFAAUAAAACACHTuJAlZBa5aABAAAmAwAA&#10;DgAAAAAAAAABACAAAAAqAQAAZHJzL2Uyb0RvYy54bWxQSwUGAAAAAAYABgBZAQAAPAU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91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14113280" behindDoc="1" locked="0" layoutInCell="1" allowOverlap="1">
              <wp:simplePos x="0" y="0"/>
              <wp:positionH relativeFrom="page">
                <wp:posOffset>3695700</wp:posOffset>
              </wp:positionH>
              <wp:positionV relativeFrom="page">
                <wp:posOffset>9919335</wp:posOffset>
              </wp:positionV>
              <wp:extent cx="167005" cy="139700"/>
              <wp:effectExtent l="0" t="0" r="0" b="0"/>
              <wp:wrapNone/>
              <wp:docPr id="274" name="文本框 14"/>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93</w:t>
                          </w:r>
                          <w:r>
                            <w:fldChar w:fldCharType="end"/>
                          </w:r>
                        </w:p>
                      </w:txbxContent>
                    </wps:txbx>
                    <wps:bodyPr lIns="0" tIns="0" rIns="0" bIns="0" upright="1"/>
                  </wps:wsp>
                </a:graphicData>
              </a:graphic>
            </wp:anchor>
          </w:drawing>
        </mc:Choice>
        <mc:Fallback>
          <w:pict>
            <v:shape id="文本框 14" o:spid="_x0000_s1026" o:spt="202" type="#_x0000_t202" style="position:absolute;left:0pt;margin-left:291pt;margin-top:781.05pt;height:11pt;width:13.15pt;mso-position-horizontal-relative:page;mso-position-vertical-relative:page;z-index:-289203200;mso-width-relative:page;mso-height-relative:page;" filled="f" stroked="f" coordsize="21600,21600" o:gfxdata="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L7LDs2wAAAA0BAAAPAAAA&#10;AAAAAAEAIAAAACIAAABkcnMvZG93bnJldi54bWxQSwECFAAUAAAACACHTuJADexygKABAAAmAwAA&#10;DgAAAAAAAAABACAAAAAqAQAAZHJzL2Uyb0RvYy54bWxQSwUGAAAAAAYABgBZAQAAPAU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93</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2"/>
      </w:rPr>
    </w:pPr>
    <w:r>
      <mc:AlternateContent>
        <mc:Choice Requires="wps">
          <w:drawing>
            <wp:anchor distT="0" distB="0" distL="114300" distR="114300" simplePos="0" relativeHeight="214114304" behindDoc="1" locked="0" layoutInCell="1" allowOverlap="1">
              <wp:simplePos x="0" y="0"/>
              <wp:positionH relativeFrom="page">
                <wp:posOffset>3667125</wp:posOffset>
              </wp:positionH>
              <wp:positionV relativeFrom="page">
                <wp:posOffset>9919335</wp:posOffset>
              </wp:positionV>
              <wp:extent cx="224790" cy="139700"/>
              <wp:effectExtent l="0" t="0" r="0" b="0"/>
              <wp:wrapNone/>
              <wp:docPr id="275" name="文本框 15"/>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108</w:t>
                          </w:r>
                          <w:r>
                            <w:fldChar w:fldCharType="end"/>
                          </w:r>
                        </w:p>
                      </w:txbxContent>
                    </wps:txbx>
                    <wps:bodyPr lIns="0" tIns="0" rIns="0" bIns="0" upright="1"/>
                  </wps:wsp>
                </a:graphicData>
              </a:graphic>
            </wp:anchor>
          </w:drawing>
        </mc:Choice>
        <mc:Fallback>
          <w:pict>
            <v:shape id="文本框 15" o:spid="_x0000_s1026" o:spt="202" type="#_x0000_t202" style="position:absolute;left:0pt;margin-left:288.75pt;margin-top:781.05pt;height:11pt;width:17.7pt;mso-position-horizontal-relative:page;mso-position-vertical-relative:page;z-index:-289202176;mso-width-relative:page;mso-height-relative:page;" filled="f" stroked="f" coordsize="21600,21600" o:gfxdata="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r2NQ7bAAAADQEAAA8A&#10;AAAAAAAAAQAgAAAAIgAAAGRycy9kb3ducmV2LnhtbFBLAQIUABQAAAAIAIdO4kALOupiogEAACYD&#10;AAAOAAAAAAAAAAEAIAAAACoBAABkcnMvZTJvRG9jLnhtbFBLBQYAAAAABgAGAFkBAAA+BQ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108</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14115328" behindDoc="1" locked="0" layoutInCell="1" allowOverlap="1">
              <wp:simplePos x="0" y="0"/>
              <wp:positionH relativeFrom="page">
                <wp:posOffset>3667125</wp:posOffset>
              </wp:positionH>
              <wp:positionV relativeFrom="page">
                <wp:posOffset>9919335</wp:posOffset>
              </wp:positionV>
              <wp:extent cx="224790" cy="139700"/>
              <wp:effectExtent l="0" t="0" r="0" b="0"/>
              <wp:wrapNone/>
              <wp:docPr id="276" name="文本框 16"/>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110</w:t>
                          </w:r>
                          <w:r>
                            <w:fldChar w:fldCharType="end"/>
                          </w:r>
                        </w:p>
                      </w:txbxContent>
                    </wps:txbx>
                    <wps:bodyPr lIns="0" tIns="0" rIns="0" bIns="0" upright="1"/>
                  </wps:wsp>
                </a:graphicData>
              </a:graphic>
            </wp:anchor>
          </w:drawing>
        </mc:Choice>
        <mc:Fallback>
          <w:pict>
            <v:shape id="文本框 16" o:spid="_x0000_s1026" o:spt="202" type="#_x0000_t202" style="position:absolute;left:0pt;margin-left:288.75pt;margin-top:781.05pt;height:11pt;width:17.7pt;mso-position-horizontal-relative:page;mso-position-vertical-relative:page;z-index:-289201152;mso-width-relative:page;mso-height-relative:page;" filled="f" stroked="f" coordsize="21600,21600" o:gfxdata="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yvY1DtsAAAANAQAADwAA&#10;AAAAAAABACAAAAAiAAAAZHJzL2Rvd25yZXYueG1sUEsBAhQAFAAAAAgAh07iQAW52dGhAQAAJgMA&#10;AA4AAAAAAAAAAQAgAAAAKgEAAGRycy9lMm9Eb2MueG1sUEsFBgAAAAAGAAYAWQEAAD0FA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110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14100992" behindDoc="1" locked="0" layoutInCell="1" allowOverlap="1">
              <wp:simplePos x="0" y="0"/>
              <wp:positionH relativeFrom="page">
                <wp:posOffset>3708400</wp:posOffset>
              </wp:positionH>
              <wp:positionV relativeFrom="page">
                <wp:posOffset>9932670</wp:posOffset>
              </wp:positionV>
              <wp:extent cx="144780" cy="139700"/>
              <wp:effectExtent l="0" t="0" r="0" b="0"/>
              <wp:wrapNone/>
              <wp:docPr id="262" name="文本框 2"/>
              <wp:cNvGraphicFramePr/>
              <a:graphic xmlns:a="http://schemas.openxmlformats.org/drawingml/2006/main">
                <a:graphicData uri="http://schemas.microsoft.com/office/word/2010/wordprocessingShape">
                  <wps:wsp>
                    <wps:cNvSpPr txBox="1"/>
                    <wps:spPr>
                      <a:xfrm>
                        <a:off x="0" y="0"/>
                        <a:ext cx="14478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 ROMAN </w:instrText>
                          </w:r>
                          <w:r>
                            <w:fldChar w:fldCharType="separate"/>
                          </w:r>
                          <w:r>
                            <w:t>IV</w:t>
                          </w:r>
                          <w:r>
                            <w:fldChar w:fldCharType="end"/>
                          </w:r>
                        </w:p>
                      </w:txbxContent>
                    </wps:txbx>
                    <wps:bodyPr lIns="0" tIns="0" rIns="0" bIns="0" upright="1"/>
                  </wps:wsp>
                </a:graphicData>
              </a:graphic>
            </wp:anchor>
          </w:drawing>
        </mc:Choice>
        <mc:Fallback>
          <w:pict>
            <v:shape id="文本框 2" o:spid="_x0000_s1026" o:spt="202" type="#_x0000_t202" style="position:absolute;left:0pt;margin-left:292pt;margin-top:782.1pt;height:11pt;width:11.4pt;mso-position-horizontal-relative:page;mso-position-vertical-relative:page;z-index:-289215488;mso-width-relative:page;mso-height-relative:page;" filled="f" stroked="f" coordsize="21600,21600" o:gfxdata="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Gk3VZvaAAAADQEAAA8AAAAA&#10;AAAAAQAgAAAAIgAAAGRycy9kb3ducmV2LnhtbFBLAQIUABQAAAAIAIdO4kCwyvE4oAEAACUDAAAO&#10;AAAAAAAAAAEAIAAAACkBAABkcnMvZTJvRG9jLnhtbFBLBQYAAAAABgAGAFkBAAA7BQ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 ROMAN </w:instrText>
                    </w:r>
                    <w:r>
                      <w:fldChar w:fldCharType="separate"/>
                    </w:r>
                    <w:r>
                      <w:t>IV</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14116352" behindDoc="1" locked="0" layoutInCell="1" allowOverlap="1">
              <wp:simplePos x="0" y="0"/>
              <wp:positionH relativeFrom="page">
                <wp:posOffset>3667125</wp:posOffset>
              </wp:positionH>
              <wp:positionV relativeFrom="page">
                <wp:posOffset>9919335</wp:posOffset>
              </wp:positionV>
              <wp:extent cx="224790" cy="139700"/>
              <wp:effectExtent l="0" t="0" r="0" b="0"/>
              <wp:wrapNone/>
              <wp:docPr id="277" name="文本框 17"/>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120</w:t>
                          </w:r>
                          <w:r>
                            <w:fldChar w:fldCharType="end"/>
                          </w:r>
                        </w:p>
                      </w:txbxContent>
                    </wps:txbx>
                    <wps:bodyPr lIns="0" tIns="0" rIns="0" bIns="0" upright="1"/>
                  </wps:wsp>
                </a:graphicData>
              </a:graphic>
            </wp:anchor>
          </w:drawing>
        </mc:Choice>
        <mc:Fallback>
          <w:pict>
            <v:shape id="文本框 17" o:spid="_x0000_s1026" o:spt="202" type="#_x0000_t202" style="position:absolute;left:0pt;margin-left:288.75pt;margin-top:781.05pt;height:11pt;width:17.7pt;mso-position-horizontal-relative:page;mso-position-vertical-relative:page;z-index:-289200128;mso-width-relative:page;mso-height-relative:page;" filled="f" stroked="f" coordsize="21600,21600" o:gfxdata="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yvY1DtsAAAANAQAADwAA&#10;AAAAAAABACAAAAAiAAAAZHJzL2Rvd25yZXYueG1sUEsBAhQAFAAAAAgAh07iQMDF5wmhAQAAJgMA&#10;AA4AAAAAAAAAAQAgAAAAKgEAAGRycy9lMm9Eb2MueG1sUEsFBgAAAAAGAAYAWQEAAD0FA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120</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2"/>
      </w:rPr>
    </w:pPr>
    <w:r>
      <mc:AlternateContent>
        <mc:Choice Requires="wps">
          <w:drawing>
            <wp:anchor distT="0" distB="0" distL="114300" distR="114300" simplePos="0" relativeHeight="214117376" behindDoc="1" locked="0" layoutInCell="1" allowOverlap="1">
              <wp:simplePos x="0" y="0"/>
              <wp:positionH relativeFrom="page">
                <wp:posOffset>3685540</wp:posOffset>
              </wp:positionH>
              <wp:positionV relativeFrom="page">
                <wp:posOffset>9829165</wp:posOffset>
              </wp:positionV>
              <wp:extent cx="224790" cy="139700"/>
              <wp:effectExtent l="0" t="0" r="0" b="0"/>
              <wp:wrapNone/>
              <wp:docPr id="278" name="文本框 18"/>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129</w:t>
                          </w:r>
                          <w:r>
                            <w:fldChar w:fldCharType="end"/>
                          </w:r>
                        </w:p>
                      </w:txbxContent>
                    </wps:txbx>
                    <wps:bodyPr lIns="0" tIns="0" rIns="0" bIns="0" upright="1"/>
                  </wps:wsp>
                </a:graphicData>
              </a:graphic>
            </wp:anchor>
          </w:drawing>
        </mc:Choice>
        <mc:Fallback>
          <w:pict>
            <v:shape id="文本框 18" o:spid="_x0000_s1026" o:spt="202" type="#_x0000_t202" style="position:absolute;left:0pt;margin-left:290.2pt;margin-top:773.95pt;height:11pt;width:17.7pt;mso-position-horizontal-relative:page;mso-position-vertical-relative:page;z-index:-289199104;mso-width-relative:page;mso-height-relative:page;" filled="f" stroked="f" coordsize="21600,21600" o:gfxdata="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n3Gre2gAAAA0BAAAPAAAA&#10;AAAAAAEAIAAAACIAAABkcnMvZG93bnJldi54bWxQSwECFAAUAAAACACHTuJANUCJG6EBAAAmAwAA&#10;DgAAAAAAAAABACAAAAApAQAAZHJzL2Uyb0RvYy54bWxQSwUGAAAAAAYABgBZAQAAPAU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129</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14118400" behindDoc="1" locked="0" layoutInCell="1" allowOverlap="1">
              <wp:simplePos x="0" y="0"/>
              <wp:positionH relativeFrom="page">
                <wp:posOffset>3685540</wp:posOffset>
              </wp:positionH>
              <wp:positionV relativeFrom="page">
                <wp:posOffset>9829165</wp:posOffset>
              </wp:positionV>
              <wp:extent cx="224790" cy="139700"/>
              <wp:effectExtent l="0" t="0" r="0" b="0"/>
              <wp:wrapNone/>
              <wp:docPr id="279" name="文本框 19"/>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130</w:t>
                          </w:r>
                          <w:r>
                            <w:fldChar w:fldCharType="end"/>
                          </w:r>
                        </w:p>
                      </w:txbxContent>
                    </wps:txbx>
                    <wps:bodyPr lIns="0" tIns="0" rIns="0" bIns="0" upright="1"/>
                  </wps:wsp>
                </a:graphicData>
              </a:graphic>
            </wp:anchor>
          </w:drawing>
        </mc:Choice>
        <mc:Fallback>
          <w:pict>
            <v:shape id="文本框 19" o:spid="_x0000_s1026" o:spt="202" type="#_x0000_t202" style="position:absolute;left:0pt;margin-left:290.2pt;margin-top:773.95pt;height:11pt;width:17.7pt;mso-position-horizontal-relative:page;mso-position-vertical-relative:page;z-index:-289198080;mso-width-relative:page;mso-height-relative:page;" filled="f" stroked="f" coordsize="21600,21600" o:gfxdata="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n3Gre2gAAAA0BAAAPAAAA&#10;AAAAAAEAIAAAACIAAABkcnMvZG93bnJldi54bWxQSwECFAAUAAAACACHTuJA8Dy3w6EBAAAmAwAA&#10;DgAAAAAAAAABACAAAAApAQAAZHJzL2Uyb0RvYy54bWxQSwUGAAAAAAYABgBZAQAAPAU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130</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14119424" behindDoc="1" locked="0" layoutInCell="1" allowOverlap="1">
              <wp:simplePos x="0" y="0"/>
              <wp:positionH relativeFrom="page">
                <wp:posOffset>3685540</wp:posOffset>
              </wp:positionH>
              <wp:positionV relativeFrom="page">
                <wp:posOffset>9829165</wp:posOffset>
              </wp:positionV>
              <wp:extent cx="224790" cy="139700"/>
              <wp:effectExtent l="0" t="0" r="0" b="0"/>
              <wp:wrapNone/>
              <wp:docPr id="280" name="文本框 20"/>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140</w:t>
                          </w:r>
                          <w:r>
                            <w:fldChar w:fldCharType="end"/>
                          </w:r>
                        </w:p>
                      </w:txbxContent>
                    </wps:txbx>
                    <wps:bodyPr lIns="0" tIns="0" rIns="0" bIns="0" upright="1"/>
                  </wps:wsp>
                </a:graphicData>
              </a:graphic>
            </wp:anchor>
          </w:drawing>
        </mc:Choice>
        <mc:Fallback>
          <w:pict>
            <v:shape id="文本框 20" o:spid="_x0000_s1026" o:spt="202" type="#_x0000_t202" style="position:absolute;left:0pt;margin-left:290.2pt;margin-top:773.95pt;height:11pt;width:17.7pt;mso-position-horizontal-relative:page;mso-position-vertical-relative:page;z-index:-289197056;mso-width-relative:page;mso-height-relative:page;" filled="f" stroked="f" coordsize="21600,21600" o:gfxdata="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Cfcat7aAAAADQEAAA8AAAAA&#10;AAAAAQAgAAAAIgAAAGRycy9kb3ducmV2LnhtbFBLAQIUABQAAAAIAIdO4kCgYmo3oAEAACYDAAAO&#10;AAAAAAAAAAEAIAAAACkBAABkcnMvZTJvRG9jLnhtbFBLBQYAAAAABgAGAFkBAAA7BQ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140</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2"/>
      </w:rPr>
    </w:pPr>
    <w:r>
      <mc:AlternateContent>
        <mc:Choice Requires="wps">
          <w:drawing>
            <wp:anchor distT="0" distB="0" distL="114300" distR="114300" simplePos="0" relativeHeight="214120448" behindDoc="1" locked="0" layoutInCell="1" allowOverlap="1">
              <wp:simplePos x="0" y="0"/>
              <wp:positionH relativeFrom="page">
                <wp:posOffset>3685540</wp:posOffset>
              </wp:positionH>
              <wp:positionV relativeFrom="page">
                <wp:posOffset>9829165</wp:posOffset>
              </wp:positionV>
              <wp:extent cx="224790" cy="139700"/>
              <wp:effectExtent l="0" t="0" r="0" b="0"/>
              <wp:wrapNone/>
              <wp:docPr id="281" name="文本框 21"/>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155</w:t>
                          </w:r>
                          <w:r>
                            <w:fldChar w:fldCharType="end"/>
                          </w:r>
                        </w:p>
                      </w:txbxContent>
                    </wps:txbx>
                    <wps:bodyPr lIns="0" tIns="0" rIns="0" bIns="0" upright="1"/>
                  </wps:wsp>
                </a:graphicData>
              </a:graphic>
            </wp:anchor>
          </w:drawing>
        </mc:Choice>
        <mc:Fallback>
          <w:pict>
            <v:shape id="文本框 21" o:spid="_x0000_s1026" o:spt="202" type="#_x0000_t202" style="position:absolute;left:0pt;margin-left:290.2pt;margin-top:773.95pt;height:11pt;width:17.7pt;mso-position-horizontal-relative:page;mso-position-vertical-relative:page;z-index:-289196032;mso-width-relative:page;mso-height-relative:page;" filled="f" stroked="f" coordsize="21600,21600" o:gfxdata="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J9xq3toAAAANAQAADwAA&#10;AAAAAAABACAAAAAiAAAAZHJzL2Rvd25yZXYueG1sUEsBAhQAFAAAAAgAh07iQGUeVO+iAQAAJgMA&#10;AA4AAAAAAAAAAQAgAAAAKQEAAGRycy9lMm9Eb2MueG1sUEsFBgAAAAAGAAYAWQEAAD0FA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155</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2"/>
      </w:rPr>
    </w:pPr>
    <w:r>
      <mc:AlternateContent>
        <mc:Choice Requires="wps">
          <w:drawing>
            <wp:anchor distT="0" distB="0" distL="114300" distR="114300" simplePos="0" relativeHeight="214121472" behindDoc="1" locked="0" layoutInCell="1" allowOverlap="1">
              <wp:simplePos x="0" y="0"/>
              <wp:positionH relativeFrom="page">
                <wp:posOffset>3685540</wp:posOffset>
              </wp:positionH>
              <wp:positionV relativeFrom="page">
                <wp:posOffset>9829165</wp:posOffset>
              </wp:positionV>
              <wp:extent cx="224790" cy="139700"/>
              <wp:effectExtent l="0" t="0" r="0" b="0"/>
              <wp:wrapNone/>
              <wp:docPr id="282" name="文本框 22"/>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162</w:t>
                          </w:r>
                          <w:r>
                            <w:fldChar w:fldCharType="end"/>
                          </w:r>
                        </w:p>
                      </w:txbxContent>
                    </wps:txbx>
                    <wps:bodyPr lIns="0" tIns="0" rIns="0" bIns="0" upright="1"/>
                  </wps:wsp>
                </a:graphicData>
              </a:graphic>
            </wp:anchor>
          </w:drawing>
        </mc:Choice>
        <mc:Fallback>
          <w:pict>
            <v:shape id="文本框 22" o:spid="_x0000_s1026" o:spt="202" type="#_x0000_t202" style="position:absolute;left:0pt;margin-left:290.2pt;margin-top:773.95pt;height:11pt;width:17.7pt;mso-position-horizontal-relative:page;mso-position-vertical-relative:page;z-index:-289195008;mso-width-relative:page;mso-height-relative:page;" filled="f" stroked="f" coordsize="21600,21600" o:gfxdata="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n3Gre2gAAAA0BAAAPAAAA&#10;AAAAAAEAIAAAACIAAABkcnMvZG93bnJldi54bWxQSwECFAAUAAAACACHTuJAa51nXKEBAAAmAwAA&#10;DgAAAAAAAAABACAAAAApAQAAZHJzL2Uyb0RvYy54bWxQSwUGAAAAAAYABgBZAQAAPAU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162</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2"/>
      </w:rPr>
    </w:pPr>
    <w:r>
      <mc:AlternateContent>
        <mc:Choice Requires="wps">
          <w:drawing>
            <wp:anchor distT="0" distB="0" distL="114300" distR="114300" simplePos="0" relativeHeight="214122496" behindDoc="1" locked="0" layoutInCell="1" allowOverlap="1">
              <wp:simplePos x="0" y="0"/>
              <wp:positionH relativeFrom="page">
                <wp:posOffset>5233670</wp:posOffset>
              </wp:positionH>
              <wp:positionV relativeFrom="page">
                <wp:posOffset>6985635</wp:posOffset>
              </wp:positionV>
              <wp:extent cx="224790" cy="139700"/>
              <wp:effectExtent l="0" t="0" r="0" b="0"/>
              <wp:wrapNone/>
              <wp:docPr id="283" name="文本框 23"/>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172</w:t>
                          </w:r>
                          <w:r>
                            <w:fldChar w:fldCharType="end"/>
                          </w:r>
                        </w:p>
                      </w:txbxContent>
                    </wps:txbx>
                    <wps:bodyPr lIns="0" tIns="0" rIns="0" bIns="0" upright="1"/>
                  </wps:wsp>
                </a:graphicData>
              </a:graphic>
            </wp:anchor>
          </w:drawing>
        </mc:Choice>
        <mc:Fallback>
          <w:pict>
            <v:shape id="文本框 23" o:spid="_x0000_s1026" o:spt="202" type="#_x0000_t202" style="position:absolute;left:0pt;margin-left:412.1pt;margin-top:550.05pt;height:11pt;width:17.7pt;mso-position-horizontal-relative:page;mso-position-vertical-relative:page;z-index:-289193984;mso-width-relative:page;mso-height-relative:page;" filled="f" stroked="f" coordsize="21600,21600" o:gfxdata="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b4hwyNoAAAANAQAADwAA&#10;AAAAAAABACAAAAAiAAAAZHJzL2Rvd25yZXYueG1sUEsBAhQAFAAAAAgAh07iQK7hWYSiAQAAJgMA&#10;AA4AAAAAAAAAAQAgAAAAKQEAAGRycy9lMm9Eb2MueG1sUEsFBgAAAAAGAAYAWQEAAD0FA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172</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14123520" behindDoc="1" locked="0" layoutInCell="1" allowOverlap="1">
              <wp:simplePos x="0" y="0"/>
              <wp:positionH relativeFrom="page">
                <wp:posOffset>3685540</wp:posOffset>
              </wp:positionH>
              <wp:positionV relativeFrom="page">
                <wp:posOffset>9829165</wp:posOffset>
              </wp:positionV>
              <wp:extent cx="224790" cy="139700"/>
              <wp:effectExtent l="0" t="0" r="0" b="0"/>
              <wp:wrapNone/>
              <wp:docPr id="284" name="文本框 24"/>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177</w:t>
                          </w:r>
                          <w:r>
                            <w:fldChar w:fldCharType="end"/>
                          </w:r>
                        </w:p>
                      </w:txbxContent>
                    </wps:txbx>
                    <wps:bodyPr lIns="0" tIns="0" rIns="0" bIns="0" upright="1"/>
                  </wps:wsp>
                </a:graphicData>
              </a:graphic>
            </wp:anchor>
          </w:drawing>
        </mc:Choice>
        <mc:Fallback>
          <w:pict>
            <v:shape id="文本框 24" o:spid="_x0000_s1026" o:spt="202" type="#_x0000_t202" style="position:absolute;left:0pt;margin-left:290.2pt;margin-top:773.95pt;height:11pt;width:17.7pt;mso-position-horizontal-relative:page;mso-position-vertical-relative:page;z-index:-289192960;mso-width-relative:page;mso-height-relative:page;" filled="f" stroked="f" coordsize="21600,21600" o:gfxdata="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n3Gre2gAAAA0BAAAPAAAA&#10;AAAAAAEAIAAAACIAAABkcnMvZG93bnJldi54bWxQSwECFAAUAAAACACHTuJANp1x4aEBAAAmAwAA&#10;DgAAAAAAAAABACAAAAApAQAAZHJzL2Uyb0RvYy54bWxQSwUGAAAAAAYABgBZAQAAPAU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177</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2"/>
      </w:rPr>
    </w:pPr>
    <w:r>
      <mc:AlternateContent>
        <mc:Choice Requires="wps">
          <w:drawing>
            <wp:anchor distT="0" distB="0" distL="114300" distR="114300" simplePos="0" relativeHeight="214124544" behindDoc="1" locked="0" layoutInCell="1" allowOverlap="1">
              <wp:simplePos x="0" y="0"/>
              <wp:positionH relativeFrom="page">
                <wp:posOffset>3685540</wp:posOffset>
              </wp:positionH>
              <wp:positionV relativeFrom="page">
                <wp:posOffset>9829165</wp:posOffset>
              </wp:positionV>
              <wp:extent cx="224790" cy="139700"/>
              <wp:effectExtent l="0" t="0" r="0" b="0"/>
              <wp:wrapNone/>
              <wp:docPr id="285" name="文本框 25"/>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185</w:t>
                          </w:r>
                          <w:r>
                            <w:fldChar w:fldCharType="end"/>
                          </w:r>
                        </w:p>
                      </w:txbxContent>
                    </wps:txbx>
                    <wps:bodyPr lIns="0" tIns="0" rIns="0" bIns="0" upright="1"/>
                  </wps:wsp>
                </a:graphicData>
              </a:graphic>
            </wp:anchor>
          </w:drawing>
        </mc:Choice>
        <mc:Fallback>
          <w:pict>
            <v:shape id="文本框 25" o:spid="_x0000_s1026" o:spt="202" type="#_x0000_t202" style="position:absolute;left:0pt;margin-left:290.2pt;margin-top:773.95pt;height:11pt;width:17.7pt;mso-position-horizontal-relative:page;mso-position-vertical-relative:page;z-index:-289191936;mso-width-relative:page;mso-height-relative:page;" filled="f" stroked="f" coordsize="21600,21600" o:gfxdata="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J9xq3toAAAANAQAADwAA&#10;AAAAAAABACAAAAAiAAAAZHJzL2Rvd25yZXYueG1sUEsBAhQAFAAAAAgAh07iQPPhTzmiAQAAJgMA&#10;AA4AAAAAAAAAAQAgAAAAKQEAAGRycy9lMm9Eb2MueG1sUEsFBgAAAAAGAAYAWQEAAD0FA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185</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14125568" behindDoc="1" locked="0" layoutInCell="1" allowOverlap="1">
              <wp:simplePos x="0" y="0"/>
              <wp:positionH relativeFrom="page">
                <wp:posOffset>5233670</wp:posOffset>
              </wp:positionH>
              <wp:positionV relativeFrom="page">
                <wp:posOffset>6697345</wp:posOffset>
              </wp:positionV>
              <wp:extent cx="224790" cy="139700"/>
              <wp:effectExtent l="0" t="0" r="0" b="0"/>
              <wp:wrapNone/>
              <wp:docPr id="286" name="文本框 26"/>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187</w:t>
                          </w:r>
                          <w:r>
                            <w:fldChar w:fldCharType="end"/>
                          </w:r>
                        </w:p>
                      </w:txbxContent>
                    </wps:txbx>
                    <wps:bodyPr lIns="0" tIns="0" rIns="0" bIns="0" upright="1"/>
                  </wps:wsp>
                </a:graphicData>
              </a:graphic>
            </wp:anchor>
          </w:drawing>
        </mc:Choice>
        <mc:Fallback>
          <w:pict>
            <v:shape id="文本框 26" o:spid="_x0000_s1026" o:spt="202" type="#_x0000_t202" style="position:absolute;left:0pt;margin-left:412.1pt;margin-top:527.35pt;height:11pt;width:17.7pt;mso-position-horizontal-relative:page;mso-position-vertical-relative:page;z-index:-289190912;mso-width-relative:page;mso-height-relative:page;" filled="f" stroked="f" coordsize="21600,21600" o:gfxdata="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0uIdbNsAAAANAQAADwAA&#10;AAAAAAABACAAAAAiAAAAZHJzL2Rvd25yZXYueG1sUEsBAhQAFAAAAAgAh07iQP1ifIqhAQAAJgMA&#10;AA4AAAAAAAAAAQAgAAAAKgEAAGRycy9lMm9Eb2MueG1sUEsFBgAAAAAGAAYAWQEAAD0FA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187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14102016" behindDoc="1" locked="0" layoutInCell="1" allowOverlap="1">
              <wp:simplePos x="0" y="0"/>
              <wp:positionH relativeFrom="page">
                <wp:posOffset>3724910</wp:posOffset>
              </wp:positionH>
              <wp:positionV relativeFrom="page">
                <wp:posOffset>9932670</wp:posOffset>
              </wp:positionV>
              <wp:extent cx="109220" cy="139700"/>
              <wp:effectExtent l="0" t="0" r="0" b="0"/>
              <wp:wrapNone/>
              <wp:docPr id="263" name="文本框 3"/>
              <wp:cNvGraphicFramePr/>
              <a:graphic xmlns:a="http://schemas.openxmlformats.org/drawingml/2006/main">
                <a:graphicData uri="http://schemas.microsoft.com/office/word/2010/wordprocessingShape">
                  <wps:wsp>
                    <wps:cNvSpPr txBox="1"/>
                    <wps:spPr>
                      <a:xfrm>
                        <a:off x="0" y="0"/>
                        <a:ext cx="10922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w:t>
                          </w:r>
                          <w:r>
                            <w:fldChar w:fldCharType="end"/>
                          </w:r>
                        </w:p>
                      </w:txbxContent>
                    </wps:txbx>
                    <wps:bodyPr lIns="0" tIns="0" rIns="0" bIns="0" upright="1"/>
                  </wps:wsp>
                </a:graphicData>
              </a:graphic>
            </wp:anchor>
          </w:drawing>
        </mc:Choice>
        <mc:Fallback>
          <w:pict>
            <v:shape id="文本框 3" o:spid="_x0000_s1026" o:spt="202" type="#_x0000_t202" style="position:absolute;left:0pt;margin-left:293.3pt;margin-top:782.1pt;height:11pt;width:8.6pt;mso-position-horizontal-relative:page;mso-position-vertical-relative:page;z-index:-289214464;mso-width-relative:page;mso-height-relative:page;" filled="f" stroked="f" coordsize="21600,21600" o:gfxdata="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O5q0x7aAAAADQEAAA8AAAAA&#10;AAAAAQAgAAAAIgAAAGRycy9kb3ducmV2LnhtbFBLAQIUABQAAAAIAIdO4kBF82NEoAEAACUDAAAO&#10;AAAAAAAAAAEAIAAAACkBAABkcnMvZTJvRG9jLnhtbFBLBQYAAAAABgAGAFkBAAA7BQ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14126592" behindDoc="1" locked="0" layoutInCell="1" allowOverlap="1">
              <wp:simplePos x="0" y="0"/>
              <wp:positionH relativeFrom="page">
                <wp:posOffset>3667125</wp:posOffset>
              </wp:positionH>
              <wp:positionV relativeFrom="page">
                <wp:posOffset>9919335</wp:posOffset>
              </wp:positionV>
              <wp:extent cx="224790" cy="139700"/>
              <wp:effectExtent l="0" t="0" r="0" b="0"/>
              <wp:wrapNone/>
              <wp:docPr id="287" name="文本框 27"/>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189</w:t>
                          </w:r>
                          <w:r>
                            <w:fldChar w:fldCharType="end"/>
                          </w:r>
                        </w:p>
                      </w:txbxContent>
                    </wps:txbx>
                    <wps:bodyPr lIns="0" tIns="0" rIns="0" bIns="0" upright="1"/>
                  </wps:wsp>
                </a:graphicData>
              </a:graphic>
            </wp:anchor>
          </w:drawing>
        </mc:Choice>
        <mc:Fallback>
          <w:pict>
            <v:shape id="文本框 27" o:spid="_x0000_s1026" o:spt="202" type="#_x0000_t202" style="position:absolute;left:0pt;margin-left:288.75pt;margin-top:781.05pt;height:11pt;width:17.7pt;mso-position-horizontal-relative:page;mso-position-vertical-relative:page;z-index:-289189888;mso-width-relative:page;mso-height-relative:page;" filled="f" stroked="f" coordsize="21600,21600" o:gfxdata="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yvY1DtsAAAANAQAADwAA&#10;AAAAAAABACAAAAAiAAAAZHJzL2Rvd25yZXYueG1sUEsBAhQAFAAAAAgAh07iQDgeQlKhAQAAJgMA&#10;AA4AAAAAAAAAAQAgAAAAKgEAAGRycy9lMm9Eb2MueG1sUEsFBgAAAAAGAAYAWQEAAD0FA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189</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2"/>
      </w:rPr>
    </w:pPr>
    <w:r>
      <mc:AlternateContent>
        <mc:Choice Requires="wps">
          <w:drawing>
            <wp:anchor distT="0" distB="0" distL="114300" distR="114300" simplePos="0" relativeHeight="214127616" behindDoc="1" locked="0" layoutInCell="1" allowOverlap="1">
              <wp:simplePos x="0" y="0"/>
              <wp:positionH relativeFrom="page">
                <wp:posOffset>3667125</wp:posOffset>
              </wp:positionH>
              <wp:positionV relativeFrom="page">
                <wp:posOffset>9919335</wp:posOffset>
              </wp:positionV>
              <wp:extent cx="224790" cy="139700"/>
              <wp:effectExtent l="0" t="0" r="0" b="0"/>
              <wp:wrapNone/>
              <wp:docPr id="288" name="文本框 28"/>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191</w:t>
                          </w:r>
                          <w:r>
                            <w:fldChar w:fldCharType="end"/>
                          </w:r>
                        </w:p>
                      </w:txbxContent>
                    </wps:txbx>
                    <wps:bodyPr lIns="0" tIns="0" rIns="0" bIns="0" upright="1"/>
                  </wps:wsp>
                </a:graphicData>
              </a:graphic>
            </wp:anchor>
          </w:drawing>
        </mc:Choice>
        <mc:Fallback>
          <w:pict>
            <v:shape id="文本框 28" o:spid="_x0000_s1026" o:spt="202" type="#_x0000_t202" style="position:absolute;left:0pt;margin-left:288.75pt;margin-top:781.05pt;height:11pt;width:17.7pt;mso-position-horizontal-relative:page;mso-position-vertical-relative:page;z-index:-289188864;mso-width-relative:page;mso-height-relative:page;" filled="f" stroked="f" coordsize="21600,21600" o:gfxdata="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yvY1DtsAAAANAQAADwAA&#10;AAAAAAABACAAAAAiAAAAZHJzL2Rvd25yZXYueG1sUEsBAhQAFAAAAAgAh07iQM2bLEChAQAAJgMA&#10;AA4AAAAAAAAAAQAgAAAAKgEAAGRycy9lMm9Eb2MueG1sUEsFBgAAAAAGAAYAWQEAAD0FA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191</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2"/>
      </w:rPr>
    </w:pPr>
    <w:r>
      <mc:AlternateContent>
        <mc:Choice Requires="wps">
          <w:drawing>
            <wp:anchor distT="0" distB="0" distL="114300" distR="114300" simplePos="0" relativeHeight="214128640" behindDoc="1" locked="0" layoutInCell="1" allowOverlap="1">
              <wp:simplePos x="0" y="0"/>
              <wp:positionH relativeFrom="page">
                <wp:posOffset>3667125</wp:posOffset>
              </wp:positionH>
              <wp:positionV relativeFrom="page">
                <wp:posOffset>9919335</wp:posOffset>
              </wp:positionV>
              <wp:extent cx="224790" cy="139700"/>
              <wp:effectExtent l="0" t="0" r="0" b="0"/>
              <wp:wrapNone/>
              <wp:docPr id="289" name="文本框 29"/>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207</w:t>
                          </w:r>
                          <w:r>
                            <w:fldChar w:fldCharType="end"/>
                          </w:r>
                        </w:p>
                      </w:txbxContent>
                    </wps:txbx>
                    <wps:bodyPr lIns="0" tIns="0" rIns="0" bIns="0" upright="1"/>
                  </wps:wsp>
                </a:graphicData>
              </a:graphic>
            </wp:anchor>
          </w:drawing>
        </mc:Choice>
        <mc:Fallback>
          <w:pict>
            <v:shape id="文本框 29" o:spid="_x0000_s1026" o:spt="202" type="#_x0000_t202" style="position:absolute;left:0pt;margin-left:288.75pt;margin-top:781.05pt;height:11pt;width:17.7pt;mso-position-horizontal-relative:page;mso-position-vertical-relative:page;z-index:-289187840;mso-width-relative:page;mso-height-relative:page;" filled="f" stroked="f" coordsize="21600,21600" o:gfxdata="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yvY1DtsAAAANAQAADwAA&#10;AAAAAAABACAAAAAiAAAAZHJzL2Rvd25yZXYueG1sUEsBAhQAFAAAAAgAh07iQAjnEpihAQAAJgMA&#10;AA4AAAAAAAAAAQAgAAAAKgEAAGRycy9lMm9Eb2MueG1sUEsFBgAAAAAGAAYAWQEAAD0FA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207</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14129664" behindDoc="1" locked="0" layoutInCell="1" allowOverlap="1">
              <wp:simplePos x="0" y="0"/>
              <wp:positionH relativeFrom="page">
                <wp:posOffset>3667125</wp:posOffset>
              </wp:positionH>
              <wp:positionV relativeFrom="page">
                <wp:posOffset>9919335</wp:posOffset>
              </wp:positionV>
              <wp:extent cx="224790" cy="139700"/>
              <wp:effectExtent l="0" t="0" r="0" b="0"/>
              <wp:wrapNone/>
              <wp:docPr id="290" name="文本框 30"/>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210</w:t>
                          </w:r>
                          <w:r>
                            <w:fldChar w:fldCharType="end"/>
                          </w:r>
                        </w:p>
                      </w:txbxContent>
                    </wps:txbx>
                    <wps:bodyPr lIns="0" tIns="0" rIns="0" bIns="0" upright="1"/>
                  </wps:wsp>
                </a:graphicData>
              </a:graphic>
            </wp:anchor>
          </w:drawing>
        </mc:Choice>
        <mc:Fallback>
          <w:pict>
            <v:shape id="文本框 30" o:spid="_x0000_s1026" o:spt="202" type="#_x0000_t202" style="position:absolute;left:0pt;margin-left:288.75pt;margin-top:781.05pt;height:11pt;width:17.7pt;mso-position-horizontal-relative:page;mso-position-vertical-relative:page;z-index:-289186816;mso-width-relative:page;mso-height-relative:page;" filled="f" stroked="f" coordsize="21600,21600" o:gfxdata="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r2NQ7bAAAADQEAAA8AAAAA&#10;AAAAAQAgAAAAIgAAAGRycy9kb3ducmV2LnhtbFBLAQIUABQAAAAIAIdO4kDjarzcnwEAACYDAAAO&#10;AAAAAAAAAAEAIAAAACoBAABkcnMvZTJvRG9jLnhtbFBLBQYAAAAABgAGAFkBAAA7BQ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210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14103040" behindDoc="1" locked="0" layoutInCell="1" allowOverlap="1">
              <wp:simplePos x="0" y="0"/>
              <wp:positionH relativeFrom="page">
                <wp:posOffset>3695700</wp:posOffset>
              </wp:positionH>
              <wp:positionV relativeFrom="page">
                <wp:posOffset>9932670</wp:posOffset>
              </wp:positionV>
              <wp:extent cx="167005" cy="139700"/>
              <wp:effectExtent l="0" t="0" r="0" b="0"/>
              <wp:wrapNone/>
              <wp:docPr id="264" name="文本框 4"/>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4" o:spid="_x0000_s1026" o:spt="202" type="#_x0000_t202" style="position:absolute;left:0pt;margin-left:291pt;margin-top:782.1pt;height:11pt;width:13.15pt;mso-position-horizontal-relative:page;mso-position-vertical-relative:page;z-index:-289213440;mso-width-relative:page;mso-height-relative:page;" filled="f" stroked="f" coordsize="21600,21600" o:gfxdata="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fiOHtNoAAAANAQAADwAAAAAA&#10;AAABACAAAAAiAAAAZHJzL2Rvd25yZXYueG1sUEsBAhQAFAAAAAgAh07iQDWktzifAQAAJQMAAA4A&#10;AAAAAAAAAQAgAAAAKQEAAGRycy9lMm9Eb2MueG1sUEsFBgAAAAAGAAYAWQEAADoFA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2"/>
      </w:rPr>
    </w:pPr>
    <w:r>
      <mc:AlternateContent>
        <mc:Choice Requires="wps">
          <w:drawing>
            <wp:anchor distT="0" distB="0" distL="114300" distR="114300" simplePos="0" relativeHeight="214104064" behindDoc="1" locked="0" layoutInCell="1" allowOverlap="1">
              <wp:simplePos x="0" y="0"/>
              <wp:positionH relativeFrom="page">
                <wp:posOffset>3686810</wp:posOffset>
              </wp:positionH>
              <wp:positionV relativeFrom="page">
                <wp:posOffset>9932670</wp:posOffset>
              </wp:positionV>
              <wp:extent cx="185420" cy="161290"/>
              <wp:effectExtent l="0" t="0" r="0" b="0"/>
              <wp:wrapNone/>
              <wp:docPr id="265" name="文本框 5"/>
              <wp:cNvGraphicFramePr/>
              <a:graphic xmlns:a="http://schemas.openxmlformats.org/drawingml/2006/main">
                <a:graphicData uri="http://schemas.microsoft.com/office/word/2010/wordprocessingShape">
                  <wps:wsp>
                    <wps:cNvSpPr txBox="1"/>
                    <wps:spPr>
                      <a:xfrm>
                        <a:off x="0" y="0"/>
                        <a:ext cx="185420" cy="161290"/>
                      </a:xfrm>
                      <a:prstGeom prst="rect">
                        <a:avLst/>
                      </a:prstGeom>
                      <a:noFill/>
                      <a:ln>
                        <a:noFill/>
                      </a:ln>
                    </wps:spPr>
                    <wps:txbx>
                      <w:txbxContent>
                        <w:p>
                          <w:pPr>
                            <w:spacing w:before="0" w:line="238" w:lineRule="exact"/>
                            <w:ind w:left="40" w:right="0" w:firstLine="0"/>
                            <w:jc w:val="left"/>
                            <w:rPr>
                              <w:rFonts w:ascii="Calibri"/>
                              <w:sz w:val="21"/>
                            </w:rPr>
                          </w:pPr>
                          <w:r>
                            <w:fldChar w:fldCharType="begin"/>
                          </w:r>
                          <w:r>
                            <w:rPr>
                              <w:rFonts w:ascii="Calibri"/>
                              <w:sz w:val="21"/>
                            </w:rPr>
                            <w:instrText xml:space="preserve"> PAGE </w:instrText>
                          </w:r>
                          <w:r>
                            <w:fldChar w:fldCharType="separate"/>
                          </w:r>
                          <w:r>
                            <w:t>28</w:t>
                          </w:r>
                          <w:r>
                            <w:fldChar w:fldCharType="end"/>
                          </w:r>
                        </w:p>
                      </w:txbxContent>
                    </wps:txbx>
                    <wps:bodyPr lIns="0" tIns="0" rIns="0" bIns="0" upright="1"/>
                  </wps:wsp>
                </a:graphicData>
              </a:graphic>
            </wp:anchor>
          </w:drawing>
        </mc:Choice>
        <mc:Fallback>
          <w:pict>
            <v:shape id="文本框 5" o:spid="_x0000_s1026" o:spt="202" type="#_x0000_t202" style="position:absolute;left:0pt;margin-left:290.3pt;margin-top:782.1pt;height:12.7pt;width:14.6pt;mso-position-horizontal-relative:page;mso-position-vertical-relative:page;z-index:-289212416;mso-width-relative:page;mso-height-relative:page;" filled="f" stroked="f" coordsize="21600,21600" o:gfxdata="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NQhoV7aAAAADQEAAA8AAAAA&#10;AAAAAQAgAAAAIgAAAGRycy9kb3ducmV2LnhtbFBLAQIUABQAAAAIAIdO4kB6AH2ToAEAACUDAAAO&#10;AAAAAAAAAAEAIAAAACkBAABkcnMvZTJvRG9jLnhtbFBLBQYAAAAABgAGAFkBAAA7BQAAAAA=&#10;">
              <v:fill on="f" focussize="0,0"/>
              <v:stroke on="f"/>
              <v:imagedata o:title=""/>
              <o:lock v:ext="edit" aspectratio="f"/>
              <v:textbox inset="0mm,0mm,0mm,0mm">
                <w:txbxContent>
                  <w:p>
                    <w:pPr>
                      <w:spacing w:before="0" w:line="238" w:lineRule="exact"/>
                      <w:ind w:left="40" w:right="0" w:firstLine="0"/>
                      <w:jc w:val="left"/>
                      <w:rPr>
                        <w:rFonts w:ascii="Calibri"/>
                        <w:sz w:val="21"/>
                      </w:rPr>
                    </w:pPr>
                    <w:r>
                      <w:fldChar w:fldCharType="begin"/>
                    </w:r>
                    <w:r>
                      <w:rPr>
                        <w:rFonts w:ascii="Calibri"/>
                        <w:sz w:val="21"/>
                      </w:rPr>
                      <w:instrText xml:space="preserve"> PAGE </w:instrText>
                    </w:r>
                    <w:r>
                      <w:fldChar w:fldCharType="separate"/>
                    </w:r>
                    <w:r>
                      <w:t>28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3"/>
      </w:rPr>
    </w:pPr>
    <w:r>
      <mc:AlternateContent>
        <mc:Choice Requires="wps">
          <w:drawing>
            <wp:anchor distT="0" distB="0" distL="114300" distR="114300" simplePos="0" relativeHeight="214105088" behindDoc="1" locked="0" layoutInCell="1" allowOverlap="1">
              <wp:simplePos x="0" y="0"/>
              <wp:positionH relativeFrom="page">
                <wp:posOffset>3686810</wp:posOffset>
              </wp:positionH>
              <wp:positionV relativeFrom="page">
                <wp:posOffset>9935845</wp:posOffset>
              </wp:positionV>
              <wp:extent cx="185420" cy="158115"/>
              <wp:effectExtent l="0" t="0" r="0" b="0"/>
              <wp:wrapNone/>
              <wp:docPr id="266" name="文本框 6"/>
              <wp:cNvGraphicFramePr/>
              <a:graphic xmlns:a="http://schemas.openxmlformats.org/drawingml/2006/main">
                <a:graphicData uri="http://schemas.microsoft.com/office/word/2010/wordprocessingShape">
                  <wps:wsp>
                    <wps:cNvSpPr txBox="1"/>
                    <wps:spPr>
                      <a:xfrm>
                        <a:off x="0" y="0"/>
                        <a:ext cx="185420" cy="158115"/>
                      </a:xfrm>
                      <a:prstGeom prst="rect">
                        <a:avLst/>
                      </a:prstGeom>
                      <a:noFill/>
                      <a:ln>
                        <a:noFill/>
                      </a:ln>
                    </wps:spPr>
                    <wps:txbx>
                      <w:txbxContent>
                        <w:p>
                          <w:pPr>
                            <w:spacing w:before="0" w:line="233" w:lineRule="exact"/>
                            <w:ind w:left="40" w:right="0" w:firstLine="0"/>
                            <w:jc w:val="left"/>
                            <w:rPr>
                              <w:rFonts w:ascii="Calibri"/>
                              <w:sz w:val="21"/>
                            </w:rPr>
                          </w:pPr>
                          <w:r>
                            <w:fldChar w:fldCharType="begin"/>
                          </w:r>
                          <w:r>
                            <w:rPr>
                              <w:rFonts w:ascii="Calibri"/>
                              <w:sz w:val="21"/>
                            </w:rPr>
                            <w:instrText xml:space="preserve"> PAGE </w:instrText>
                          </w:r>
                          <w:r>
                            <w:fldChar w:fldCharType="separate"/>
                          </w:r>
                          <w:r>
                            <w:t>32</w:t>
                          </w:r>
                          <w:r>
                            <w:fldChar w:fldCharType="end"/>
                          </w:r>
                        </w:p>
                      </w:txbxContent>
                    </wps:txbx>
                    <wps:bodyPr lIns="0" tIns="0" rIns="0" bIns="0" upright="1"/>
                  </wps:wsp>
                </a:graphicData>
              </a:graphic>
            </wp:anchor>
          </w:drawing>
        </mc:Choice>
        <mc:Fallback>
          <w:pict>
            <v:shape id="文本框 6" o:spid="_x0000_s1026" o:spt="202" type="#_x0000_t202" style="position:absolute;left:0pt;margin-left:290.3pt;margin-top:782.35pt;height:12.45pt;width:14.6pt;mso-position-horizontal-relative:page;mso-position-vertical-relative:page;z-index:-289211392;mso-width-relative:page;mso-height-relative:page;" filled="f" stroked="f" coordsize="21600,21600" o:gfxdata="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fSGZiNoAAAANAQAADwAAAAAA&#10;AAABACAAAAAiAAAAZHJzL2Rvd25yZXYueG1sUEsBAhQAFAAAAAgAh07iQEDrIY2fAQAAJQMAAA4A&#10;AAAAAAAAAQAgAAAAKQEAAGRycy9lMm9Eb2MueG1sUEsFBgAAAAAGAAYAWQEAADoFAAAAAA==&#10;">
              <v:fill on="f" focussize="0,0"/>
              <v:stroke on="f"/>
              <v:imagedata o:title=""/>
              <o:lock v:ext="edit" aspectratio="f"/>
              <v:textbox inset="0mm,0mm,0mm,0mm">
                <w:txbxContent>
                  <w:p>
                    <w:pPr>
                      <w:spacing w:before="0" w:line="233" w:lineRule="exact"/>
                      <w:ind w:left="40" w:right="0" w:firstLine="0"/>
                      <w:jc w:val="left"/>
                      <w:rPr>
                        <w:rFonts w:ascii="Calibri"/>
                        <w:sz w:val="21"/>
                      </w:rPr>
                    </w:pPr>
                    <w:r>
                      <w:fldChar w:fldCharType="begin"/>
                    </w:r>
                    <w:r>
                      <w:rPr>
                        <w:rFonts w:ascii="Calibri"/>
                        <w:sz w:val="21"/>
                      </w:rPr>
                      <w:instrText xml:space="preserve"> PAGE </w:instrText>
                    </w:r>
                    <w:r>
                      <w:fldChar w:fldCharType="separate"/>
                    </w:r>
                    <w:r>
                      <w:t>32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14106112" behindDoc="1" locked="0" layoutInCell="1" allowOverlap="1">
              <wp:simplePos x="0" y="0"/>
              <wp:positionH relativeFrom="page">
                <wp:posOffset>3686810</wp:posOffset>
              </wp:positionH>
              <wp:positionV relativeFrom="page">
                <wp:posOffset>9935845</wp:posOffset>
              </wp:positionV>
              <wp:extent cx="185420" cy="158115"/>
              <wp:effectExtent l="0" t="0" r="0" b="0"/>
              <wp:wrapNone/>
              <wp:docPr id="267" name="文本框 7"/>
              <wp:cNvGraphicFramePr/>
              <a:graphic xmlns:a="http://schemas.openxmlformats.org/drawingml/2006/main">
                <a:graphicData uri="http://schemas.microsoft.com/office/word/2010/wordprocessingShape">
                  <wps:wsp>
                    <wps:cNvSpPr txBox="1"/>
                    <wps:spPr>
                      <a:xfrm>
                        <a:off x="0" y="0"/>
                        <a:ext cx="185420" cy="158115"/>
                      </a:xfrm>
                      <a:prstGeom prst="rect">
                        <a:avLst/>
                      </a:prstGeom>
                      <a:noFill/>
                      <a:ln>
                        <a:noFill/>
                      </a:ln>
                    </wps:spPr>
                    <wps:txbx>
                      <w:txbxContent>
                        <w:p>
                          <w:pPr>
                            <w:spacing w:before="0" w:line="233" w:lineRule="exact"/>
                            <w:ind w:left="40" w:right="0" w:firstLine="0"/>
                            <w:jc w:val="left"/>
                            <w:rPr>
                              <w:rFonts w:ascii="Calibri"/>
                              <w:sz w:val="21"/>
                            </w:rPr>
                          </w:pPr>
                          <w:r>
                            <w:fldChar w:fldCharType="begin"/>
                          </w:r>
                          <w:r>
                            <w:rPr>
                              <w:rFonts w:ascii="Calibri"/>
                              <w:sz w:val="21"/>
                            </w:rPr>
                            <w:instrText xml:space="preserve"> PAGE </w:instrText>
                          </w:r>
                          <w:r>
                            <w:fldChar w:fldCharType="separate"/>
                          </w:r>
                          <w:r>
                            <w:t>40</w:t>
                          </w:r>
                          <w:r>
                            <w:fldChar w:fldCharType="end"/>
                          </w:r>
                        </w:p>
                      </w:txbxContent>
                    </wps:txbx>
                    <wps:bodyPr lIns="0" tIns="0" rIns="0" bIns="0" upright="1"/>
                  </wps:wsp>
                </a:graphicData>
              </a:graphic>
            </wp:anchor>
          </w:drawing>
        </mc:Choice>
        <mc:Fallback>
          <w:pict>
            <v:shape id="文本框 7" o:spid="_x0000_s1026" o:spt="202" type="#_x0000_t202" style="position:absolute;left:0pt;margin-left:290.3pt;margin-top:782.35pt;height:12.45pt;width:14.6pt;mso-position-horizontal-relative:page;mso-position-vertical-relative:page;z-index:-289210368;mso-width-relative:page;mso-height-relative:page;" filled="f" stroked="f" coordsize="21600,21600" o:gfxdata="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fSGZiNoAAAANAQAADwAAAAAA&#10;AAABACAAAAAiAAAAZHJzL2Rvd25yZXYueG1sUEsBAhQAFAAAAAgAh07iQLUaCC6fAQAAJQMAAA4A&#10;AAAAAAAAAQAgAAAAKQEAAGRycy9lMm9Eb2MueG1sUEsFBgAAAAAGAAYAWQEAADoFAAAAAA==&#10;">
              <v:fill on="f" focussize="0,0"/>
              <v:stroke on="f"/>
              <v:imagedata o:title=""/>
              <o:lock v:ext="edit" aspectratio="f"/>
              <v:textbox inset="0mm,0mm,0mm,0mm">
                <w:txbxContent>
                  <w:p>
                    <w:pPr>
                      <w:spacing w:before="0" w:line="233" w:lineRule="exact"/>
                      <w:ind w:left="40" w:right="0" w:firstLine="0"/>
                      <w:jc w:val="left"/>
                      <w:rPr>
                        <w:rFonts w:ascii="Calibri"/>
                        <w:sz w:val="21"/>
                      </w:rPr>
                    </w:pPr>
                    <w:r>
                      <w:fldChar w:fldCharType="begin"/>
                    </w:r>
                    <w:r>
                      <w:rPr>
                        <w:rFonts w:ascii="Calibri"/>
                        <w:sz w:val="21"/>
                      </w:rPr>
                      <w:instrText xml:space="preserve"> PAGE </w:instrText>
                    </w:r>
                    <w:r>
                      <w:fldChar w:fldCharType="separate"/>
                    </w:r>
                    <w:r>
                      <w:t>40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14107136" behindDoc="1" locked="0" layoutInCell="1" allowOverlap="1">
              <wp:simplePos x="0" y="0"/>
              <wp:positionH relativeFrom="page">
                <wp:posOffset>3686810</wp:posOffset>
              </wp:positionH>
              <wp:positionV relativeFrom="page">
                <wp:posOffset>9935845</wp:posOffset>
              </wp:positionV>
              <wp:extent cx="185420" cy="158115"/>
              <wp:effectExtent l="0" t="0" r="0" b="0"/>
              <wp:wrapNone/>
              <wp:docPr id="268" name="文本框 8"/>
              <wp:cNvGraphicFramePr/>
              <a:graphic xmlns:a="http://schemas.openxmlformats.org/drawingml/2006/main">
                <a:graphicData uri="http://schemas.microsoft.com/office/word/2010/wordprocessingShape">
                  <wps:wsp>
                    <wps:cNvSpPr txBox="1"/>
                    <wps:spPr>
                      <a:xfrm>
                        <a:off x="0" y="0"/>
                        <a:ext cx="185420" cy="158115"/>
                      </a:xfrm>
                      <a:prstGeom prst="rect">
                        <a:avLst/>
                      </a:prstGeom>
                      <a:noFill/>
                      <a:ln>
                        <a:noFill/>
                      </a:ln>
                    </wps:spPr>
                    <wps:txbx>
                      <w:txbxContent>
                        <w:p>
                          <w:pPr>
                            <w:spacing w:before="0" w:line="233" w:lineRule="exact"/>
                            <w:ind w:left="40" w:right="0" w:firstLine="0"/>
                            <w:jc w:val="left"/>
                            <w:rPr>
                              <w:rFonts w:ascii="Calibri"/>
                              <w:sz w:val="21"/>
                            </w:rPr>
                          </w:pPr>
                          <w:r>
                            <w:fldChar w:fldCharType="begin"/>
                          </w:r>
                          <w:r>
                            <w:rPr>
                              <w:rFonts w:ascii="Calibri"/>
                              <w:sz w:val="21"/>
                            </w:rPr>
                            <w:instrText xml:space="preserve"> PAGE </w:instrText>
                          </w:r>
                          <w:r>
                            <w:fldChar w:fldCharType="separate"/>
                          </w:r>
                          <w:r>
                            <w:t>50</w:t>
                          </w:r>
                          <w:r>
                            <w:fldChar w:fldCharType="end"/>
                          </w:r>
                        </w:p>
                      </w:txbxContent>
                    </wps:txbx>
                    <wps:bodyPr lIns="0" tIns="0" rIns="0" bIns="0" upright="1"/>
                  </wps:wsp>
                </a:graphicData>
              </a:graphic>
            </wp:anchor>
          </w:drawing>
        </mc:Choice>
        <mc:Fallback>
          <w:pict>
            <v:shape id="文本框 8" o:spid="_x0000_s1026" o:spt="202" type="#_x0000_t202" style="position:absolute;left:0pt;margin-left:290.3pt;margin-top:782.35pt;height:12.45pt;width:14.6pt;mso-position-horizontal-relative:page;mso-position-vertical-relative:page;z-index:-289209344;mso-width-relative:page;mso-height-relative:page;" filled="f" stroked="f" coordsize="21600,21600" o:gfxdata="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9IZmI2gAAAA0BAAAPAAAAAAAA&#10;AAEAIAAAACIAAABkcnMvZG93bnJldi54bWxQSwECFAAUAAAACACHTuJAk18v6J4BAAAlAwAADgAA&#10;AAAAAAABACAAAAApAQAAZHJzL2Uyb0RvYy54bWxQSwUGAAAAAAYABgBZAQAAOQUAAAAA&#10;">
              <v:fill on="f" focussize="0,0"/>
              <v:stroke on="f"/>
              <v:imagedata o:title=""/>
              <o:lock v:ext="edit" aspectratio="f"/>
              <v:textbox inset="0mm,0mm,0mm,0mm">
                <w:txbxContent>
                  <w:p>
                    <w:pPr>
                      <w:spacing w:before="0" w:line="233" w:lineRule="exact"/>
                      <w:ind w:left="40" w:right="0" w:firstLine="0"/>
                      <w:jc w:val="left"/>
                      <w:rPr>
                        <w:rFonts w:ascii="Calibri"/>
                        <w:sz w:val="21"/>
                      </w:rPr>
                    </w:pPr>
                    <w:r>
                      <w:fldChar w:fldCharType="begin"/>
                    </w:r>
                    <w:r>
                      <w:rPr>
                        <w:rFonts w:ascii="Calibri"/>
                        <w:sz w:val="21"/>
                      </w:rPr>
                      <w:instrText xml:space="preserve"> PAGE </w:instrText>
                    </w:r>
                    <w:r>
                      <w:fldChar w:fldCharType="separate"/>
                    </w:r>
                    <w:r>
                      <w:t>50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4E4E29"/>
    <w:multiLevelType w:val="multilevel"/>
    <w:tmpl w:val="804E4E29"/>
    <w:lvl w:ilvl="0" w:tentative="0">
      <w:start w:val="1"/>
      <w:numFmt w:val="decimal"/>
      <w:lvlText w:val="%1."/>
      <w:lvlJc w:val="left"/>
      <w:pPr>
        <w:ind w:left="270"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833" w:hanging="159"/>
      </w:pPr>
      <w:rPr>
        <w:rFonts w:hint="default"/>
        <w:lang w:val="zh-CN" w:eastAsia="zh-CN" w:bidi="zh-CN"/>
      </w:rPr>
    </w:lvl>
    <w:lvl w:ilvl="2" w:tentative="0">
      <w:start w:val="0"/>
      <w:numFmt w:val="bullet"/>
      <w:lvlText w:val="•"/>
      <w:lvlJc w:val="left"/>
      <w:pPr>
        <w:ind w:left="1387" w:hanging="159"/>
      </w:pPr>
      <w:rPr>
        <w:rFonts w:hint="default"/>
        <w:lang w:val="zh-CN" w:eastAsia="zh-CN" w:bidi="zh-CN"/>
      </w:rPr>
    </w:lvl>
    <w:lvl w:ilvl="3" w:tentative="0">
      <w:start w:val="0"/>
      <w:numFmt w:val="bullet"/>
      <w:lvlText w:val="•"/>
      <w:lvlJc w:val="left"/>
      <w:pPr>
        <w:ind w:left="1941" w:hanging="159"/>
      </w:pPr>
      <w:rPr>
        <w:rFonts w:hint="default"/>
        <w:lang w:val="zh-CN" w:eastAsia="zh-CN" w:bidi="zh-CN"/>
      </w:rPr>
    </w:lvl>
    <w:lvl w:ilvl="4" w:tentative="0">
      <w:start w:val="0"/>
      <w:numFmt w:val="bullet"/>
      <w:lvlText w:val="•"/>
      <w:lvlJc w:val="left"/>
      <w:pPr>
        <w:ind w:left="2494" w:hanging="159"/>
      </w:pPr>
      <w:rPr>
        <w:rFonts w:hint="default"/>
        <w:lang w:val="zh-CN" w:eastAsia="zh-CN" w:bidi="zh-CN"/>
      </w:rPr>
    </w:lvl>
    <w:lvl w:ilvl="5" w:tentative="0">
      <w:start w:val="0"/>
      <w:numFmt w:val="bullet"/>
      <w:lvlText w:val="•"/>
      <w:lvlJc w:val="left"/>
      <w:pPr>
        <w:ind w:left="3048" w:hanging="159"/>
      </w:pPr>
      <w:rPr>
        <w:rFonts w:hint="default"/>
        <w:lang w:val="zh-CN" w:eastAsia="zh-CN" w:bidi="zh-CN"/>
      </w:rPr>
    </w:lvl>
    <w:lvl w:ilvl="6" w:tentative="0">
      <w:start w:val="0"/>
      <w:numFmt w:val="bullet"/>
      <w:lvlText w:val="•"/>
      <w:lvlJc w:val="left"/>
      <w:pPr>
        <w:ind w:left="3602" w:hanging="159"/>
      </w:pPr>
      <w:rPr>
        <w:rFonts w:hint="default"/>
        <w:lang w:val="zh-CN" w:eastAsia="zh-CN" w:bidi="zh-CN"/>
      </w:rPr>
    </w:lvl>
    <w:lvl w:ilvl="7" w:tentative="0">
      <w:start w:val="0"/>
      <w:numFmt w:val="bullet"/>
      <w:lvlText w:val="•"/>
      <w:lvlJc w:val="left"/>
      <w:pPr>
        <w:ind w:left="4155" w:hanging="159"/>
      </w:pPr>
      <w:rPr>
        <w:rFonts w:hint="default"/>
        <w:lang w:val="zh-CN" w:eastAsia="zh-CN" w:bidi="zh-CN"/>
      </w:rPr>
    </w:lvl>
    <w:lvl w:ilvl="8" w:tentative="0">
      <w:start w:val="0"/>
      <w:numFmt w:val="bullet"/>
      <w:lvlText w:val="•"/>
      <w:lvlJc w:val="left"/>
      <w:pPr>
        <w:ind w:left="4709" w:hanging="159"/>
      </w:pPr>
      <w:rPr>
        <w:rFonts w:hint="default"/>
        <w:lang w:val="zh-CN" w:eastAsia="zh-CN" w:bidi="zh-CN"/>
      </w:rPr>
    </w:lvl>
  </w:abstractNum>
  <w:abstractNum w:abstractNumId="1">
    <w:nsid w:val="813A4B87"/>
    <w:multiLevelType w:val="multilevel"/>
    <w:tmpl w:val="813A4B87"/>
    <w:lvl w:ilvl="0" w:tentative="0">
      <w:start w:val="1"/>
      <w:numFmt w:val="decimal"/>
      <w:lvlText w:val="（%1）"/>
      <w:lvlJc w:val="left"/>
      <w:pPr>
        <w:ind w:left="159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84" w:hanging="601"/>
      </w:pPr>
      <w:rPr>
        <w:rFonts w:hint="default"/>
        <w:lang w:val="zh-CN" w:eastAsia="zh-CN" w:bidi="zh-CN"/>
      </w:rPr>
    </w:lvl>
    <w:lvl w:ilvl="2" w:tentative="0">
      <w:start w:val="0"/>
      <w:numFmt w:val="bullet"/>
      <w:lvlText w:val="•"/>
      <w:lvlJc w:val="left"/>
      <w:pPr>
        <w:ind w:left="3169" w:hanging="601"/>
      </w:pPr>
      <w:rPr>
        <w:rFonts w:hint="default"/>
        <w:lang w:val="zh-CN" w:eastAsia="zh-CN" w:bidi="zh-CN"/>
      </w:rPr>
    </w:lvl>
    <w:lvl w:ilvl="3" w:tentative="0">
      <w:start w:val="0"/>
      <w:numFmt w:val="bullet"/>
      <w:lvlText w:val="•"/>
      <w:lvlJc w:val="left"/>
      <w:pPr>
        <w:ind w:left="3953" w:hanging="601"/>
      </w:pPr>
      <w:rPr>
        <w:rFonts w:hint="default"/>
        <w:lang w:val="zh-CN" w:eastAsia="zh-CN" w:bidi="zh-CN"/>
      </w:rPr>
    </w:lvl>
    <w:lvl w:ilvl="4" w:tentative="0">
      <w:start w:val="0"/>
      <w:numFmt w:val="bullet"/>
      <w:lvlText w:val="•"/>
      <w:lvlJc w:val="left"/>
      <w:pPr>
        <w:ind w:left="4738"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7" w:hanging="601"/>
      </w:pPr>
      <w:rPr>
        <w:rFonts w:hint="default"/>
        <w:lang w:val="zh-CN" w:eastAsia="zh-CN" w:bidi="zh-CN"/>
      </w:rPr>
    </w:lvl>
    <w:lvl w:ilvl="7" w:tentative="0">
      <w:start w:val="0"/>
      <w:numFmt w:val="bullet"/>
      <w:lvlText w:val="•"/>
      <w:lvlJc w:val="left"/>
      <w:pPr>
        <w:ind w:left="7092" w:hanging="601"/>
      </w:pPr>
      <w:rPr>
        <w:rFonts w:hint="default"/>
        <w:lang w:val="zh-CN" w:eastAsia="zh-CN" w:bidi="zh-CN"/>
      </w:rPr>
    </w:lvl>
    <w:lvl w:ilvl="8" w:tentative="0">
      <w:start w:val="0"/>
      <w:numFmt w:val="bullet"/>
      <w:lvlText w:val="•"/>
      <w:lvlJc w:val="left"/>
      <w:pPr>
        <w:ind w:left="7876" w:hanging="601"/>
      </w:pPr>
      <w:rPr>
        <w:rFonts w:hint="default"/>
        <w:lang w:val="zh-CN" w:eastAsia="zh-CN" w:bidi="zh-CN"/>
      </w:rPr>
    </w:lvl>
  </w:abstractNum>
  <w:abstractNum w:abstractNumId="2">
    <w:nsid w:val="825EC3C5"/>
    <w:multiLevelType w:val="multilevel"/>
    <w:tmpl w:val="825EC3C5"/>
    <w:lvl w:ilvl="0" w:tentative="0">
      <w:start w:val="1"/>
      <w:numFmt w:val="decimal"/>
      <w:lvlText w:val="（%1）"/>
      <w:lvlJc w:val="left"/>
      <w:pPr>
        <w:ind w:left="130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4" w:hanging="601"/>
      </w:pPr>
      <w:rPr>
        <w:rFonts w:hint="default"/>
        <w:lang w:val="zh-CN" w:eastAsia="zh-CN" w:bidi="zh-CN"/>
      </w:rPr>
    </w:lvl>
    <w:lvl w:ilvl="2" w:tentative="0">
      <w:start w:val="0"/>
      <w:numFmt w:val="bullet"/>
      <w:lvlText w:val="•"/>
      <w:lvlJc w:val="left"/>
      <w:pPr>
        <w:ind w:left="2989" w:hanging="601"/>
      </w:pPr>
      <w:rPr>
        <w:rFonts w:hint="default"/>
        <w:lang w:val="zh-CN" w:eastAsia="zh-CN" w:bidi="zh-CN"/>
      </w:rPr>
    </w:lvl>
    <w:lvl w:ilvl="3" w:tentative="0">
      <w:start w:val="0"/>
      <w:numFmt w:val="bullet"/>
      <w:lvlText w:val="•"/>
      <w:lvlJc w:val="left"/>
      <w:pPr>
        <w:ind w:left="3833" w:hanging="601"/>
      </w:pPr>
      <w:rPr>
        <w:rFonts w:hint="default"/>
        <w:lang w:val="zh-CN" w:eastAsia="zh-CN" w:bidi="zh-CN"/>
      </w:rPr>
    </w:lvl>
    <w:lvl w:ilvl="4" w:tentative="0">
      <w:start w:val="0"/>
      <w:numFmt w:val="bullet"/>
      <w:lvlText w:val="•"/>
      <w:lvlJc w:val="left"/>
      <w:pPr>
        <w:ind w:left="4678"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67" w:hanging="601"/>
      </w:pPr>
      <w:rPr>
        <w:rFonts w:hint="default"/>
        <w:lang w:val="zh-CN" w:eastAsia="zh-CN" w:bidi="zh-CN"/>
      </w:rPr>
    </w:lvl>
    <w:lvl w:ilvl="7" w:tentative="0">
      <w:start w:val="0"/>
      <w:numFmt w:val="bullet"/>
      <w:lvlText w:val="•"/>
      <w:lvlJc w:val="left"/>
      <w:pPr>
        <w:ind w:left="7212" w:hanging="601"/>
      </w:pPr>
      <w:rPr>
        <w:rFonts w:hint="default"/>
        <w:lang w:val="zh-CN" w:eastAsia="zh-CN" w:bidi="zh-CN"/>
      </w:rPr>
    </w:lvl>
    <w:lvl w:ilvl="8" w:tentative="0">
      <w:start w:val="0"/>
      <w:numFmt w:val="bullet"/>
      <w:lvlText w:val="•"/>
      <w:lvlJc w:val="left"/>
      <w:pPr>
        <w:ind w:left="8056" w:hanging="601"/>
      </w:pPr>
      <w:rPr>
        <w:rFonts w:hint="default"/>
        <w:lang w:val="zh-CN" w:eastAsia="zh-CN" w:bidi="zh-CN"/>
      </w:rPr>
    </w:lvl>
  </w:abstractNum>
  <w:abstractNum w:abstractNumId="3">
    <w:nsid w:val="845B5372"/>
    <w:multiLevelType w:val="multilevel"/>
    <w:tmpl w:val="845B5372"/>
    <w:lvl w:ilvl="0" w:tentative="0">
      <w:start w:val="1"/>
      <w:numFmt w:val="decimal"/>
      <w:lvlText w:val="（%1）"/>
      <w:lvlJc w:val="left"/>
      <w:pPr>
        <w:ind w:left="163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68" w:hanging="601"/>
      </w:pPr>
      <w:rPr>
        <w:rFonts w:hint="default"/>
        <w:lang w:val="zh-CN" w:eastAsia="zh-CN" w:bidi="zh-CN"/>
      </w:rPr>
    </w:lvl>
    <w:lvl w:ilvl="2" w:tentative="0">
      <w:start w:val="0"/>
      <w:numFmt w:val="bullet"/>
      <w:lvlText w:val="•"/>
      <w:lvlJc w:val="left"/>
      <w:pPr>
        <w:ind w:left="3297" w:hanging="601"/>
      </w:pPr>
      <w:rPr>
        <w:rFonts w:hint="default"/>
        <w:lang w:val="zh-CN" w:eastAsia="zh-CN" w:bidi="zh-CN"/>
      </w:rPr>
    </w:lvl>
    <w:lvl w:ilvl="3" w:tentative="0">
      <w:start w:val="0"/>
      <w:numFmt w:val="bullet"/>
      <w:lvlText w:val="•"/>
      <w:lvlJc w:val="left"/>
      <w:pPr>
        <w:ind w:left="4125" w:hanging="601"/>
      </w:pPr>
      <w:rPr>
        <w:rFonts w:hint="default"/>
        <w:lang w:val="zh-CN" w:eastAsia="zh-CN" w:bidi="zh-CN"/>
      </w:rPr>
    </w:lvl>
    <w:lvl w:ilvl="4" w:tentative="0">
      <w:start w:val="0"/>
      <w:numFmt w:val="bullet"/>
      <w:lvlText w:val="•"/>
      <w:lvlJc w:val="left"/>
      <w:pPr>
        <w:ind w:left="4954" w:hanging="601"/>
      </w:pPr>
      <w:rPr>
        <w:rFonts w:hint="default"/>
        <w:lang w:val="zh-CN" w:eastAsia="zh-CN" w:bidi="zh-CN"/>
      </w:rPr>
    </w:lvl>
    <w:lvl w:ilvl="5" w:tentative="0">
      <w:start w:val="0"/>
      <w:numFmt w:val="bullet"/>
      <w:lvlText w:val="•"/>
      <w:lvlJc w:val="left"/>
      <w:pPr>
        <w:ind w:left="5783" w:hanging="601"/>
      </w:pPr>
      <w:rPr>
        <w:rFonts w:hint="default"/>
        <w:lang w:val="zh-CN" w:eastAsia="zh-CN" w:bidi="zh-CN"/>
      </w:rPr>
    </w:lvl>
    <w:lvl w:ilvl="6" w:tentative="0">
      <w:start w:val="0"/>
      <w:numFmt w:val="bullet"/>
      <w:lvlText w:val="•"/>
      <w:lvlJc w:val="left"/>
      <w:pPr>
        <w:ind w:left="6611" w:hanging="601"/>
      </w:pPr>
      <w:rPr>
        <w:rFonts w:hint="default"/>
        <w:lang w:val="zh-CN" w:eastAsia="zh-CN" w:bidi="zh-CN"/>
      </w:rPr>
    </w:lvl>
    <w:lvl w:ilvl="7" w:tentative="0">
      <w:start w:val="0"/>
      <w:numFmt w:val="bullet"/>
      <w:lvlText w:val="•"/>
      <w:lvlJc w:val="left"/>
      <w:pPr>
        <w:ind w:left="7440" w:hanging="601"/>
      </w:pPr>
      <w:rPr>
        <w:rFonts w:hint="default"/>
        <w:lang w:val="zh-CN" w:eastAsia="zh-CN" w:bidi="zh-CN"/>
      </w:rPr>
    </w:lvl>
    <w:lvl w:ilvl="8" w:tentative="0">
      <w:start w:val="0"/>
      <w:numFmt w:val="bullet"/>
      <w:lvlText w:val="•"/>
      <w:lvlJc w:val="left"/>
      <w:pPr>
        <w:ind w:left="8268" w:hanging="601"/>
      </w:pPr>
      <w:rPr>
        <w:rFonts w:hint="default"/>
        <w:lang w:val="zh-CN" w:eastAsia="zh-CN" w:bidi="zh-CN"/>
      </w:rPr>
    </w:lvl>
  </w:abstractNum>
  <w:abstractNum w:abstractNumId="4">
    <w:nsid w:val="8461FADE"/>
    <w:multiLevelType w:val="multilevel"/>
    <w:tmpl w:val="8461FADE"/>
    <w:lvl w:ilvl="0" w:tentative="0">
      <w:start w:val="1"/>
      <w:numFmt w:val="decimal"/>
      <w:lvlText w:val="（%1）"/>
      <w:lvlJc w:val="left"/>
      <w:pPr>
        <w:ind w:left="21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950" w:hanging="601"/>
      </w:pPr>
      <w:rPr>
        <w:rFonts w:hint="default"/>
        <w:lang w:val="zh-CN" w:eastAsia="zh-CN" w:bidi="zh-CN"/>
      </w:rPr>
    </w:lvl>
    <w:lvl w:ilvl="2" w:tentative="0">
      <w:start w:val="0"/>
      <w:numFmt w:val="bullet"/>
      <w:lvlText w:val="•"/>
      <w:lvlJc w:val="left"/>
      <w:pPr>
        <w:ind w:left="3781" w:hanging="601"/>
      </w:pPr>
      <w:rPr>
        <w:rFonts w:hint="default"/>
        <w:lang w:val="zh-CN" w:eastAsia="zh-CN" w:bidi="zh-CN"/>
      </w:rPr>
    </w:lvl>
    <w:lvl w:ilvl="3" w:tentative="0">
      <w:start w:val="0"/>
      <w:numFmt w:val="bullet"/>
      <w:lvlText w:val="•"/>
      <w:lvlJc w:val="left"/>
      <w:pPr>
        <w:ind w:left="4611" w:hanging="601"/>
      </w:pPr>
      <w:rPr>
        <w:rFonts w:hint="default"/>
        <w:lang w:val="zh-CN" w:eastAsia="zh-CN" w:bidi="zh-CN"/>
      </w:rPr>
    </w:lvl>
    <w:lvl w:ilvl="4" w:tentative="0">
      <w:start w:val="0"/>
      <w:numFmt w:val="bullet"/>
      <w:lvlText w:val="•"/>
      <w:lvlJc w:val="left"/>
      <w:pPr>
        <w:ind w:left="5442" w:hanging="601"/>
      </w:pPr>
      <w:rPr>
        <w:rFonts w:hint="default"/>
        <w:lang w:val="zh-CN" w:eastAsia="zh-CN" w:bidi="zh-CN"/>
      </w:rPr>
    </w:lvl>
    <w:lvl w:ilvl="5" w:tentative="0">
      <w:start w:val="0"/>
      <w:numFmt w:val="bullet"/>
      <w:lvlText w:val="•"/>
      <w:lvlJc w:val="left"/>
      <w:pPr>
        <w:ind w:left="6273" w:hanging="601"/>
      </w:pPr>
      <w:rPr>
        <w:rFonts w:hint="default"/>
        <w:lang w:val="zh-CN" w:eastAsia="zh-CN" w:bidi="zh-CN"/>
      </w:rPr>
    </w:lvl>
    <w:lvl w:ilvl="6" w:tentative="0">
      <w:start w:val="0"/>
      <w:numFmt w:val="bullet"/>
      <w:lvlText w:val="•"/>
      <w:lvlJc w:val="left"/>
      <w:pPr>
        <w:ind w:left="7103" w:hanging="601"/>
      </w:pPr>
      <w:rPr>
        <w:rFonts w:hint="default"/>
        <w:lang w:val="zh-CN" w:eastAsia="zh-CN" w:bidi="zh-CN"/>
      </w:rPr>
    </w:lvl>
    <w:lvl w:ilvl="7" w:tentative="0">
      <w:start w:val="0"/>
      <w:numFmt w:val="bullet"/>
      <w:lvlText w:val="•"/>
      <w:lvlJc w:val="left"/>
      <w:pPr>
        <w:ind w:left="7934" w:hanging="601"/>
      </w:pPr>
      <w:rPr>
        <w:rFonts w:hint="default"/>
        <w:lang w:val="zh-CN" w:eastAsia="zh-CN" w:bidi="zh-CN"/>
      </w:rPr>
    </w:lvl>
    <w:lvl w:ilvl="8" w:tentative="0">
      <w:start w:val="0"/>
      <w:numFmt w:val="bullet"/>
      <w:lvlText w:val="•"/>
      <w:lvlJc w:val="left"/>
      <w:pPr>
        <w:ind w:left="8764" w:hanging="601"/>
      </w:pPr>
      <w:rPr>
        <w:rFonts w:hint="default"/>
        <w:lang w:val="zh-CN" w:eastAsia="zh-CN" w:bidi="zh-CN"/>
      </w:rPr>
    </w:lvl>
  </w:abstractNum>
  <w:abstractNum w:abstractNumId="5">
    <w:nsid w:val="883B3669"/>
    <w:multiLevelType w:val="multilevel"/>
    <w:tmpl w:val="883B3669"/>
    <w:lvl w:ilvl="0" w:tentative="0">
      <w:start w:val="16"/>
      <w:numFmt w:val="decimal"/>
      <w:lvlText w:val="%1"/>
      <w:lvlJc w:val="left"/>
      <w:pPr>
        <w:ind w:left="780" w:hanging="560"/>
        <w:jc w:val="left"/>
      </w:pPr>
      <w:rPr>
        <w:rFonts w:hint="default"/>
        <w:lang w:val="zh-CN" w:eastAsia="zh-CN" w:bidi="zh-CN"/>
      </w:rPr>
    </w:lvl>
    <w:lvl w:ilvl="1" w:tentative="0">
      <w:start w:val="1"/>
      <w:numFmt w:val="decimal"/>
      <w:lvlText w:val="%1.%2"/>
      <w:lvlJc w:val="left"/>
      <w:pPr>
        <w:ind w:left="780" w:hanging="560"/>
        <w:jc w:val="left"/>
      </w:pPr>
      <w:rPr>
        <w:rFonts w:hint="default" w:ascii="Times New Roman" w:hAnsi="Times New Roman" w:eastAsia="Times New Roman" w:cs="Times New Roman"/>
        <w:b/>
        <w:bCs/>
        <w:spacing w:val="-2"/>
        <w:w w:val="100"/>
        <w:sz w:val="28"/>
        <w:szCs w:val="28"/>
        <w:lang w:val="zh-CN" w:eastAsia="zh-CN" w:bidi="zh-CN"/>
      </w:rPr>
    </w:lvl>
    <w:lvl w:ilvl="2" w:tentative="0">
      <w:start w:val="1"/>
      <w:numFmt w:val="decimal"/>
      <w:lvlText w:val="%1.%2.%3"/>
      <w:lvlJc w:val="left"/>
      <w:pPr>
        <w:ind w:left="880" w:hanging="660"/>
        <w:jc w:val="left"/>
      </w:pPr>
      <w:rPr>
        <w:rFonts w:hint="default"/>
        <w:b/>
        <w:bCs/>
        <w:w w:val="99"/>
        <w:lang w:val="zh-CN" w:eastAsia="zh-CN" w:bidi="zh-CN"/>
      </w:rPr>
    </w:lvl>
    <w:lvl w:ilvl="3" w:tentative="0">
      <w:start w:val="1"/>
      <w:numFmt w:val="decimal"/>
      <w:lvlText w:val="（%4）"/>
      <w:lvlJc w:val="left"/>
      <w:pPr>
        <w:ind w:left="1301" w:hanging="660"/>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3411" w:hanging="660"/>
      </w:pPr>
      <w:rPr>
        <w:rFonts w:hint="default"/>
        <w:lang w:val="zh-CN" w:eastAsia="zh-CN" w:bidi="zh-CN"/>
      </w:rPr>
    </w:lvl>
    <w:lvl w:ilvl="5" w:tentative="0">
      <w:start w:val="0"/>
      <w:numFmt w:val="bullet"/>
      <w:lvlText w:val="•"/>
      <w:lvlJc w:val="left"/>
      <w:pPr>
        <w:ind w:left="4467" w:hanging="660"/>
      </w:pPr>
      <w:rPr>
        <w:rFonts w:hint="default"/>
        <w:lang w:val="zh-CN" w:eastAsia="zh-CN" w:bidi="zh-CN"/>
      </w:rPr>
    </w:lvl>
    <w:lvl w:ilvl="6" w:tentative="0">
      <w:start w:val="0"/>
      <w:numFmt w:val="bullet"/>
      <w:lvlText w:val="•"/>
      <w:lvlJc w:val="left"/>
      <w:pPr>
        <w:ind w:left="5523" w:hanging="660"/>
      </w:pPr>
      <w:rPr>
        <w:rFonts w:hint="default"/>
        <w:lang w:val="zh-CN" w:eastAsia="zh-CN" w:bidi="zh-CN"/>
      </w:rPr>
    </w:lvl>
    <w:lvl w:ilvl="7" w:tentative="0">
      <w:start w:val="0"/>
      <w:numFmt w:val="bullet"/>
      <w:lvlText w:val="•"/>
      <w:lvlJc w:val="left"/>
      <w:pPr>
        <w:ind w:left="6578" w:hanging="660"/>
      </w:pPr>
      <w:rPr>
        <w:rFonts w:hint="default"/>
        <w:lang w:val="zh-CN" w:eastAsia="zh-CN" w:bidi="zh-CN"/>
      </w:rPr>
    </w:lvl>
    <w:lvl w:ilvl="8" w:tentative="0">
      <w:start w:val="0"/>
      <w:numFmt w:val="bullet"/>
      <w:lvlText w:val="•"/>
      <w:lvlJc w:val="left"/>
      <w:pPr>
        <w:ind w:left="7634" w:hanging="660"/>
      </w:pPr>
      <w:rPr>
        <w:rFonts w:hint="default"/>
        <w:lang w:val="zh-CN" w:eastAsia="zh-CN" w:bidi="zh-CN"/>
      </w:rPr>
    </w:lvl>
  </w:abstractNum>
  <w:abstractNum w:abstractNumId="6">
    <w:nsid w:val="8CAEB125"/>
    <w:multiLevelType w:val="multilevel"/>
    <w:tmpl w:val="8CAEB125"/>
    <w:lvl w:ilvl="0" w:tentative="0">
      <w:start w:val="1"/>
      <w:numFmt w:val="decimal"/>
      <w:lvlText w:val="（%1）"/>
      <w:lvlJc w:val="left"/>
      <w:pPr>
        <w:ind w:left="552" w:hanging="601"/>
        <w:jc w:val="left"/>
      </w:pPr>
      <w:rPr>
        <w:rFonts w:hint="default" w:ascii="宋体" w:hAnsi="宋体" w:eastAsia="宋体" w:cs="宋体"/>
        <w:spacing w:val="-34"/>
        <w:w w:val="100"/>
        <w:sz w:val="22"/>
        <w:szCs w:val="22"/>
        <w:lang w:val="zh-CN" w:eastAsia="zh-CN" w:bidi="zh-CN"/>
      </w:rPr>
    </w:lvl>
    <w:lvl w:ilvl="1" w:tentative="0">
      <w:start w:val="0"/>
      <w:numFmt w:val="bullet"/>
      <w:lvlText w:val="•"/>
      <w:lvlJc w:val="left"/>
      <w:pPr>
        <w:ind w:left="1496" w:hanging="601"/>
      </w:pPr>
      <w:rPr>
        <w:rFonts w:hint="default"/>
        <w:lang w:val="zh-CN" w:eastAsia="zh-CN" w:bidi="zh-CN"/>
      </w:rPr>
    </w:lvl>
    <w:lvl w:ilvl="2" w:tentative="0">
      <w:start w:val="0"/>
      <w:numFmt w:val="bullet"/>
      <w:lvlText w:val="•"/>
      <w:lvlJc w:val="left"/>
      <w:pPr>
        <w:ind w:left="2433" w:hanging="601"/>
      </w:pPr>
      <w:rPr>
        <w:rFonts w:hint="default"/>
        <w:lang w:val="zh-CN" w:eastAsia="zh-CN" w:bidi="zh-CN"/>
      </w:rPr>
    </w:lvl>
    <w:lvl w:ilvl="3" w:tentative="0">
      <w:start w:val="0"/>
      <w:numFmt w:val="bullet"/>
      <w:lvlText w:val="•"/>
      <w:lvlJc w:val="left"/>
      <w:pPr>
        <w:ind w:left="3369" w:hanging="601"/>
      </w:pPr>
      <w:rPr>
        <w:rFonts w:hint="default"/>
        <w:lang w:val="zh-CN" w:eastAsia="zh-CN" w:bidi="zh-CN"/>
      </w:rPr>
    </w:lvl>
    <w:lvl w:ilvl="4" w:tentative="0">
      <w:start w:val="0"/>
      <w:numFmt w:val="bullet"/>
      <w:lvlText w:val="•"/>
      <w:lvlJc w:val="left"/>
      <w:pPr>
        <w:ind w:left="4306" w:hanging="601"/>
      </w:pPr>
      <w:rPr>
        <w:rFonts w:hint="default"/>
        <w:lang w:val="zh-CN" w:eastAsia="zh-CN" w:bidi="zh-CN"/>
      </w:rPr>
    </w:lvl>
    <w:lvl w:ilvl="5" w:tentative="0">
      <w:start w:val="0"/>
      <w:numFmt w:val="bullet"/>
      <w:lvlText w:val="•"/>
      <w:lvlJc w:val="left"/>
      <w:pPr>
        <w:ind w:left="5243" w:hanging="601"/>
      </w:pPr>
      <w:rPr>
        <w:rFonts w:hint="default"/>
        <w:lang w:val="zh-CN" w:eastAsia="zh-CN" w:bidi="zh-CN"/>
      </w:rPr>
    </w:lvl>
    <w:lvl w:ilvl="6" w:tentative="0">
      <w:start w:val="0"/>
      <w:numFmt w:val="bullet"/>
      <w:lvlText w:val="•"/>
      <w:lvlJc w:val="left"/>
      <w:pPr>
        <w:ind w:left="6179" w:hanging="601"/>
      </w:pPr>
      <w:rPr>
        <w:rFonts w:hint="default"/>
        <w:lang w:val="zh-CN" w:eastAsia="zh-CN" w:bidi="zh-CN"/>
      </w:rPr>
    </w:lvl>
    <w:lvl w:ilvl="7" w:tentative="0">
      <w:start w:val="0"/>
      <w:numFmt w:val="bullet"/>
      <w:lvlText w:val="•"/>
      <w:lvlJc w:val="left"/>
      <w:pPr>
        <w:ind w:left="7116" w:hanging="601"/>
      </w:pPr>
      <w:rPr>
        <w:rFonts w:hint="default"/>
        <w:lang w:val="zh-CN" w:eastAsia="zh-CN" w:bidi="zh-CN"/>
      </w:rPr>
    </w:lvl>
    <w:lvl w:ilvl="8" w:tentative="0">
      <w:start w:val="0"/>
      <w:numFmt w:val="bullet"/>
      <w:lvlText w:val="•"/>
      <w:lvlJc w:val="left"/>
      <w:pPr>
        <w:ind w:left="8052" w:hanging="601"/>
      </w:pPr>
      <w:rPr>
        <w:rFonts w:hint="default"/>
        <w:lang w:val="zh-CN" w:eastAsia="zh-CN" w:bidi="zh-CN"/>
      </w:rPr>
    </w:lvl>
  </w:abstractNum>
  <w:abstractNum w:abstractNumId="7">
    <w:nsid w:val="91995D4F"/>
    <w:multiLevelType w:val="multilevel"/>
    <w:tmpl w:val="91995D4F"/>
    <w:lvl w:ilvl="0" w:tentative="0">
      <w:start w:val="5"/>
      <w:numFmt w:val="decimal"/>
      <w:lvlText w:val="%1"/>
      <w:lvlJc w:val="left"/>
      <w:pPr>
        <w:ind w:left="977" w:hanging="526"/>
        <w:jc w:val="left"/>
      </w:pPr>
      <w:rPr>
        <w:rFonts w:hint="default"/>
        <w:lang w:val="zh-CN" w:eastAsia="zh-CN" w:bidi="zh-CN"/>
      </w:rPr>
    </w:lvl>
    <w:lvl w:ilvl="1" w:tentative="0">
      <w:start w:val="4"/>
      <w:numFmt w:val="decimal"/>
      <w:lvlText w:val="%1.%2"/>
      <w:lvlJc w:val="left"/>
      <w:pPr>
        <w:ind w:left="977" w:hanging="526"/>
        <w:jc w:val="left"/>
      </w:pPr>
      <w:rPr>
        <w:rFonts w:hint="default" w:ascii="Times New Roman" w:hAnsi="Times New Roman" w:eastAsia="Times New Roman" w:cs="Times New Roman"/>
        <w:b/>
        <w:bCs/>
        <w:spacing w:val="-1"/>
        <w:w w:val="99"/>
        <w:sz w:val="30"/>
        <w:szCs w:val="30"/>
        <w:lang w:val="zh-CN" w:eastAsia="zh-CN" w:bidi="zh-CN"/>
      </w:rPr>
    </w:lvl>
    <w:lvl w:ilvl="2" w:tentative="0">
      <w:start w:val="1"/>
      <w:numFmt w:val="decimal"/>
      <w:lvlText w:val="%1.%2.%3"/>
      <w:lvlJc w:val="left"/>
      <w:pPr>
        <w:ind w:left="1080"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1.%2.%3.%4"/>
      <w:lvlJc w:val="left"/>
      <w:pPr>
        <w:ind w:left="1232" w:hanging="780"/>
        <w:jc w:val="left"/>
      </w:pPr>
      <w:rPr>
        <w:rFonts w:hint="default" w:ascii="Times New Roman" w:hAnsi="Times New Roman" w:eastAsia="Times New Roman" w:cs="Times New Roman"/>
        <w:b/>
        <w:bCs/>
        <w:w w:val="99"/>
        <w:sz w:val="24"/>
        <w:szCs w:val="24"/>
        <w:lang w:val="zh-CN" w:eastAsia="zh-CN" w:bidi="zh-CN"/>
      </w:rPr>
    </w:lvl>
    <w:lvl w:ilvl="4" w:tentative="0">
      <w:start w:val="1"/>
      <w:numFmt w:val="decimal"/>
      <w:lvlText w:val="（%5）"/>
      <w:lvlJc w:val="left"/>
      <w:pPr>
        <w:ind w:left="1533" w:hanging="601"/>
        <w:jc w:val="left"/>
      </w:pPr>
      <w:rPr>
        <w:rFonts w:hint="default" w:ascii="宋体" w:hAnsi="宋体" w:eastAsia="宋体" w:cs="宋体"/>
        <w:w w:val="100"/>
        <w:sz w:val="22"/>
        <w:szCs w:val="22"/>
        <w:lang w:val="zh-CN" w:eastAsia="zh-CN" w:bidi="zh-CN"/>
      </w:rPr>
    </w:lvl>
    <w:lvl w:ilvl="5" w:tentative="0">
      <w:start w:val="0"/>
      <w:numFmt w:val="bullet"/>
      <w:lvlText w:val="•"/>
      <w:lvlJc w:val="left"/>
      <w:pPr>
        <w:ind w:left="1280" w:hanging="601"/>
      </w:pPr>
      <w:rPr>
        <w:rFonts w:hint="default"/>
        <w:lang w:val="zh-CN" w:eastAsia="zh-CN" w:bidi="zh-CN"/>
      </w:rPr>
    </w:lvl>
    <w:lvl w:ilvl="6" w:tentative="0">
      <w:start w:val="0"/>
      <w:numFmt w:val="bullet"/>
      <w:lvlText w:val="•"/>
      <w:lvlJc w:val="left"/>
      <w:pPr>
        <w:ind w:left="1540" w:hanging="601"/>
      </w:pPr>
      <w:rPr>
        <w:rFonts w:hint="default"/>
        <w:lang w:val="zh-CN" w:eastAsia="zh-CN" w:bidi="zh-CN"/>
      </w:rPr>
    </w:lvl>
    <w:lvl w:ilvl="7" w:tentative="0">
      <w:start w:val="0"/>
      <w:numFmt w:val="bullet"/>
      <w:lvlText w:val="•"/>
      <w:lvlJc w:val="left"/>
      <w:pPr>
        <w:ind w:left="3481" w:hanging="601"/>
      </w:pPr>
      <w:rPr>
        <w:rFonts w:hint="default"/>
        <w:lang w:val="zh-CN" w:eastAsia="zh-CN" w:bidi="zh-CN"/>
      </w:rPr>
    </w:lvl>
    <w:lvl w:ilvl="8" w:tentative="0">
      <w:start w:val="0"/>
      <w:numFmt w:val="bullet"/>
      <w:lvlText w:val="•"/>
      <w:lvlJc w:val="left"/>
      <w:pPr>
        <w:ind w:left="5423" w:hanging="601"/>
      </w:pPr>
      <w:rPr>
        <w:rFonts w:hint="default"/>
        <w:lang w:val="zh-CN" w:eastAsia="zh-CN" w:bidi="zh-CN"/>
      </w:rPr>
    </w:lvl>
  </w:abstractNum>
  <w:abstractNum w:abstractNumId="8">
    <w:nsid w:val="91B69C97"/>
    <w:multiLevelType w:val="multilevel"/>
    <w:tmpl w:val="91B69C97"/>
    <w:lvl w:ilvl="0" w:tentative="0">
      <w:start w:val="1"/>
      <w:numFmt w:val="decimal"/>
      <w:lvlText w:val="%1."/>
      <w:lvlJc w:val="left"/>
      <w:pPr>
        <w:ind w:left="270"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833" w:hanging="159"/>
      </w:pPr>
      <w:rPr>
        <w:rFonts w:hint="default"/>
        <w:lang w:val="zh-CN" w:eastAsia="zh-CN" w:bidi="zh-CN"/>
      </w:rPr>
    </w:lvl>
    <w:lvl w:ilvl="2" w:tentative="0">
      <w:start w:val="0"/>
      <w:numFmt w:val="bullet"/>
      <w:lvlText w:val="•"/>
      <w:lvlJc w:val="left"/>
      <w:pPr>
        <w:ind w:left="1387" w:hanging="159"/>
      </w:pPr>
      <w:rPr>
        <w:rFonts w:hint="default"/>
        <w:lang w:val="zh-CN" w:eastAsia="zh-CN" w:bidi="zh-CN"/>
      </w:rPr>
    </w:lvl>
    <w:lvl w:ilvl="3" w:tentative="0">
      <w:start w:val="0"/>
      <w:numFmt w:val="bullet"/>
      <w:lvlText w:val="•"/>
      <w:lvlJc w:val="left"/>
      <w:pPr>
        <w:ind w:left="1941" w:hanging="159"/>
      </w:pPr>
      <w:rPr>
        <w:rFonts w:hint="default"/>
        <w:lang w:val="zh-CN" w:eastAsia="zh-CN" w:bidi="zh-CN"/>
      </w:rPr>
    </w:lvl>
    <w:lvl w:ilvl="4" w:tentative="0">
      <w:start w:val="0"/>
      <w:numFmt w:val="bullet"/>
      <w:lvlText w:val="•"/>
      <w:lvlJc w:val="left"/>
      <w:pPr>
        <w:ind w:left="2494" w:hanging="159"/>
      </w:pPr>
      <w:rPr>
        <w:rFonts w:hint="default"/>
        <w:lang w:val="zh-CN" w:eastAsia="zh-CN" w:bidi="zh-CN"/>
      </w:rPr>
    </w:lvl>
    <w:lvl w:ilvl="5" w:tentative="0">
      <w:start w:val="0"/>
      <w:numFmt w:val="bullet"/>
      <w:lvlText w:val="•"/>
      <w:lvlJc w:val="left"/>
      <w:pPr>
        <w:ind w:left="3048" w:hanging="159"/>
      </w:pPr>
      <w:rPr>
        <w:rFonts w:hint="default"/>
        <w:lang w:val="zh-CN" w:eastAsia="zh-CN" w:bidi="zh-CN"/>
      </w:rPr>
    </w:lvl>
    <w:lvl w:ilvl="6" w:tentative="0">
      <w:start w:val="0"/>
      <w:numFmt w:val="bullet"/>
      <w:lvlText w:val="•"/>
      <w:lvlJc w:val="left"/>
      <w:pPr>
        <w:ind w:left="3602" w:hanging="159"/>
      </w:pPr>
      <w:rPr>
        <w:rFonts w:hint="default"/>
        <w:lang w:val="zh-CN" w:eastAsia="zh-CN" w:bidi="zh-CN"/>
      </w:rPr>
    </w:lvl>
    <w:lvl w:ilvl="7" w:tentative="0">
      <w:start w:val="0"/>
      <w:numFmt w:val="bullet"/>
      <w:lvlText w:val="•"/>
      <w:lvlJc w:val="left"/>
      <w:pPr>
        <w:ind w:left="4155" w:hanging="159"/>
      </w:pPr>
      <w:rPr>
        <w:rFonts w:hint="default"/>
        <w:lang w:val="zh-CN" w:eastAsia="zh-CN" w:bidi="zh-CN"/>
      </w:rPr>
    </w:lvl>
    <w:lvl w:ilvl="8" w:tentative="0">
      <w:start w:val="0"/>
      <w:numFmt w:val="bullet"/>
      <w:lvlText w:val="•"/>
      <w:lvlJc w:val="left"/>
      <w:pPr>
        <w:ind w:left="4709" w:hanging="159"/>
      </w:pPr>
      <w:rPr>
        <w:rFonts w:hint="default"/>
        <w:lang w:val="zh-CN" w:eastAsia="zh-CN" w:bidi="zh-CN"/>
      </w:rPr>
    </w:lvl>
  </w:abstractNum>
  <w:abstractNum w:abstractNumId="9">
    <w:nsid w:val="9239341B"/>
    <w:multiLevelType w:val="multilevel"/>
    <w:tmpl w:val="9239341B"/>
    <w:lvl w:ilvl="0" w:tentative="0">
      <w:start w:val="18"/>
      <w:numFmt w:val="decimal"/>
      <w:lvlText w:val="(%1)"/>
      <w:lvlJc w:val="left"/>
      <w:pPr>
        <w:ind w:left="658" w:hanging="401"/>
        <w:jc w:val="left"/>
      </w:pPr>
      <w:rPr>
        <w:rFonts w:hint="default" w:ascii="Times New Roman" w:hAnsi="Times New Roman" w:eastAsia="Times New Roman" w:cs="Times New Roman"/>
        <w:spacing w:val="-6"/>
        <w:w w:val="100"/>
        <w:sz w:val="22"/>
        <w:szCs w:val="22"/>
        <w:lang w:val="zh-CN" w:eastAsia="zh-CN" w:bidi="zh-CN"/>
      </w:rPr>
    </w:lvl>
    <w:lvl w:ilvl="1" w:tentative="0">
      <w:start w:val="0"/>
      <w:numFmt w:val="bullet"/>
      <w:lvlText w:val="•"/>
      <w:lvlJc w:val="left"/>
      <w:pPr>
        <w:ind w:left="1636" w:hanging="401"/>
      </w:pPr>
      <w:rPr>
        <w:rFonts w:hint="default"/>
        <w:lang w:val="zh-CN" w:eastAsia="zh-CN" w:bidi="zh-CN"/>
      </w:rPr>
    </w:lvl>
    <w:lvl w:ilvl="2" w:tentative="0">
      <w:start w:val="0"/>
      <w:numFmt w:val="bullet"/>
      <w:lvlText w:val="•"/>
      <w:lvlJc w:val="left"/>
      <w:pPr>
        <w:ind w:left="2613" w:hanging="401"/>
      </w:pPr>
      <w:rPr>
        <w:rFonts w:hint="default"/>
        <w:lang w:val="zh-CN" w:eastAsia="zh-CN" w:bidi="zh-CN"/>
      </w:rPr>
    </w:lvl>
    <w:lvl w:ilvl="3" w:tentative="0">
      <w:start w:val="0"/>
      <w:numFmt w:val="bullet"/>
      <w:lvlText w:val="•"/>
      <w:lvlJc w:val="left"/>
      <w:pPr>
        <w:ind w:left="3589" w:hanging="401"/>
      </w:pPr>
      <w:rPr>
        <w:rFonts w:hint="default"/>
        <w:lang w:val="zh-CN" w:eastAsia="zh-CN" w:bidi="zh-CN"/>
      </w:rPr>
    </w:lvl>
    <w:lvl w:ilvl="4" w:tentative="0">
      <w:start w:val="0"/>
      <w:numFmt w:val="bullet"/>
      <w:lvlText w:val="•"/>
      <w:lvlJc w:val="left"/>
      <w:pPr>
        <w:ind w:left="4566" w:hanging="401"/>
      </w:pPr>
      <w:rPr>
        <w:rFonts w:hint="default"/>
        <w:lang w:val="zh-CN" w:eastAsia="zh-CN" w:bidi="zh-CN"/>
      </w:rPr>
    </w:lvl>
    <w:lvl w:ilvl="5" w:tentative="0">
      <w:start w:val="0"/>
      <w:numFmt w:val="bullet"/>
      <w:lvlText w:val="•"/>
      <w:lvlJc w:val="left"/>
      <w:pPr>
        <w:ind w:left="5543" w:hanging="401"/>
      </w:pPr>
      <w:rPr>
        <w:rFonts w:hint="default"/>
        <w:lang w:val="zh-CN" w:eastAsia="zh-CN" w:bidi="zh-CN"/>
      </w:rPr>
    </w:lvl>
    <w:lvl w:ilvl="6" w:tentative="0">
      <w:start w:val="0"/>
      <w:numFmt w:val="bullet"/>
      <w:lvlText w:val="•"/>
      <w:lvlJc w:val="left"/>
      <w:pPr>
        <w:ind w:left="6519" w:hanging="401"/>
      </w:pPr>
      <w:rPr>
        <w:rFonts w:hint="default"/>
        <w:lang w:val="zh-CN" w:eastAsia="zh-CN" w:bidi="zh-CN"/>
      </w:rPr>
    </w:lvl>
    <w:lvl w:ilvl="7" w:tentative="0">
      <w:start w:val="0"/>
      <w:numFmt w:val="bullet"/>
      <w:lvlText w:val="•"/>
      <w:lvlJc w:val="left"/>
      <w:pPr>
        <w:ind w:left="7496" w:hanging="401"/>
      </w:pPr>
      <w:rPr>
        <w:rFonts w:hint="default"/>
        <w:lang w:val="zh-CN" w:eastAsia="zh-CN" w:bidi="zh-CN"/>
      </w:rPr>
    </w:lvl>
    <w:lvl w:ilvl="8" w:tentative="0">
      <w:start w:val="0"/>
      <w:numFmt w:val="bullet"/>
      <w:lvlText w:val="•"/>
      <w:lvlJc w:val="left"/>
      <w:pPr>
        <w:ind w:left="8472" w:hanging="401"/>
      </w:pPr>
      <w:rPr>
        <w:rFonts w:hint="default"/>
        <w:lang w:val="zh-CN" w:eastAsia="zh-CN" w:bidi="zh-CN"/>
      </w:rPr>
    </w:lvl>
  </w:abstractNum>
  <w:abstractNum w:abstractNumId="10">
    <w:nsid w:val="9288B902"/>
    <w:multiLevelType w:val="multilevel"/>
    <w:tmpl w:val="9288B902"/>
    <w:lvl w:ilvl="0" w:tentative="0">
      <w:start w:val="3"/>
      <w:numFmt w:val="decimal"/>
      <w:lvlText w:val="%1"/>
      <w:lvlJc w:val="left"/>
      <w:pPr>
        <w:ind w:left="1565" w:hanging="526"/>
        <w:jc w:val="left"/>
      </w:pPr>
      <w:rPr>
        <w:rFonts w:hint="default"/>
        <w:lang w:val="zh-CN" w:eastAsia="zh-CN" w:bidi="zh-CN"/>
      </w:rPr>
    </w:lvl>
    <w:lvl w:ilvl="1" w:tentative="0">
      <w:start w:val="4"/>
      <w:numFmt w:val="decimal"/>
      <w:lvlText w:val="%1.%2"/>
      <w:lvlJc w:val="left"/>
      <w:pPr>
        <w:ind w:left="1565" w:hanging="526"/>
        <w:jc w:val="left"/>
      </w:pPr>
      <w:rPr>
        <w:rFonts w:hint="default" w:ascii="Times New Roman" w:hAnsi="Times New Roman" w:eastAsia="Times New Roman" w:cs="Times New Roman"/>
        <w:b/>
        <w:bCs/>
        <w:spacing w:val="-1"/>
        <w:w w:val="99"/>
        <w:sz w:val="30"/>
        <w:szCs w:val="30"/>
        <w:lang w:val="zh-CN" w:eastAsia="zh-CN" w:bidi="zh-CN"/>
      </w:rPr>
    </w:lvl>
    <w:lvl w:ilvl="2" w:tentative="0">
      <w:start w:val="1"/>
      <w:numFmt w:val="decimal"/>
      <w:lvlText w:val="%1.%2.%3"/>
      <w:lvlJc w:val="left"/>
      <w:pPr>
        <w:ind w:left="1668"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2121"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4196" w:hanging="601"/>
      </w:pPr>
      <w:rPr>
        <w:rFonts w:hint="default"/>
        <w:lang w:val="zh-CN" w:eastAsia="zh-CN" w:bidi="zh-CN"/>
      </w:rPr>
    </w:lvl>
    <w:lvl w:ilvl="5" w:tentative="0">
      <w:start w:val="0"/>
      <w:numFmt w:val="bullet"/>
      <w:lvlText w:val="•"/>
      <w:lvlJc w:val="left"/>
      <w:pPr>
        <w:ind w:left="5234" w:hanging="601"/>
      </w:pPr>
      <w:rPr>
        <w:rFonts w:hint="default"/>
        <w:lang w:val="zh-CN" w:eastAsia="zh-CN" w:bidi="zh-CN"/>
      </w:rPr>
    </w:lvl>
    <w:lvl w:ilvl="6" w:tentative="0">
      <w:start w:val="0"/>
      <w:numFmt w:val="bullet"/>
      <w:lvlText w:val="•"/>
      <w:lvlJc w:val="left"/>
      <w:pPr>
        <w:ind w:left="6273" w:hanging="601"/>
      </w:pPr>
      <w:rPr>
        <w:rFonts w:hint="default"/>
        <w:lang w:val="zh-CN" w:eastAsia="zh-CN" w:bidi="zh-CN"/>
      </w:rPr>
    </w:lvl>
    <w:lvl w:ilvl="7" w:tentative="0">
      <w:start w:val="0"/>
      <w:numFmt w:val="bullet"/>
      <w:lvlText w:val="•"/>
      <w:lvlJc w:val="left"/>
      <w:pPr>
        <w:ind w:left="7311" w:hanging="601"/>
      </w:pPr>
      <w:rPr>
        <w:rFonts w:hint="default"/>
        <w:lang w:val="zh-CN" w:eastAsia="zh-CN" w:bidi="zh-CN"/>
      </w:rPr>
    </w:lvl>
    <w:lvl w:ilvl="8" w:tentative="0">
      <w:start w:val="0"/>
      <w:numFmt w:val="bullet"/>
      <w:lvlText w:val="•"/>
      <w:lvlJc w:val="left"/>
      <w:pPr>
        <w:ind w:left="8349" w:hanging="601"/>
      </w:pPr>
      <w:rPr>
        <w:rFonts w:hint="default"/>
        <w:lang w:val="zh-CN" w:eastAsia="zh-CN" w:bidi="zh-CN"/>
      </w:rPr>
    </w:lvl>
  </w:abstractNum>
  <w:abstractNum w:abstractNumId="11">
    <w:nsid w:val="9377BC45"/>
    <w:multiLevelType w:val="multilevel"/>
    <w:tmpl w:val="9377BC45"/>
    <w:lvl w:ilvl="0" w:tentative="0">
      <w:start w:val="1"/>
      <w:numFmt w:val="decimal"/>
      <w:lvlText w:val="%1."/>
      <w:lvlJc w:val="left"/>
      <w:pPr>
        <w:ind w:left="270"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833" w:hanging="159"/>
      </w:pPr>
      <w:rPr>
        <w:rFonts w:hint="default"/>
        <w:lang w:val="zh-CN" w:eastAsia="zh-CN" w:bidi="zh-CN"/>
      </w:rPr>
    </w:lvl>
    <w:lvl w:ilvl="2" w:tentative="0">
      <w:start w:val="0"/>
      <w:numFmt w:val="bullet"/>
      <w:lvlText w:val="•"/>
      <w:lvlJc w:val="left"/>
      <w:pPr>
        <w:ind w:left="1387" w:hanging="159"/>
      </w:pPr>
      <w:rPr>
        <w:rFonts w:hint="default"/>
        <w:lang w:val="zh-CN" w:eastAsia="zh-CN" w:bidi="zh-CN"/>
      </w:rPr>
    </w:lvl>
    <w:lvl w:ilvl="3" w:tentative="0">
      <w:start w:val="0"/>
      <w:numFmt w:val="bullet"/>
      <w:lvlText w:val="•"/>
      <w:lvlJc w:val="left"/>
      <w:pPr>
        <w:ind w:left="1941" w:hanging="159"/>
      </w:pPr>
      <w:rPr>
        <w:rFonts w:hint="default"/>
        <w:lang w:val="zh-CN" w:eastAsia="zh-CN" w:bidi="zh-CN"/>
      </w:rPr>
    </w:lvl>
    <w:lvl w:ilvl="4" w:tentative="0">
      <w:start w:val="0"/>
      <w:numFmt w:val="bullet"/>
      <w:lvlText w:val="•"/>
      <w:lvlJc w:val="left"/>
      <w:pPr>
        <w:ind w:left="2494" w:hanging="159"/>
      </w:pPr>
      <w:rPr>
        <w:rFonts w:hint="default"/>
        <w:lang w:val="zh-CN" w:eastAsia="zh-CN" w:bidi="zh-CN"/>
      </w:rPr>
    </w:lvl>
    <w:lvl w:ilvl="5" w:tentative="0">
      <w:start w:val="0"/>
      <w:numFmt w:val="bullet"/>
      <w:lvlText w:val="•"/>
      <w:lvlJc w:val="left"/>
      <w:pPr>
        <w:ind w:left="3048" w:hanging="159"/>
      </w:pPr>
      <w:rPr>
        <w:rFonts w:hint="default"/>
        <w:lang w:val="zh-CN" w:eastAsia="zh-CN" w:bidi="zh-CN"/>
      </w:rPr>
    </w:lvl>
    <w:lvl w:ilvl="6" w:tentative="0">
      <w:start w:val="0"/>
      <w:numFmt w:val="bullet"/>
      <w:lvlText w:val="•"/>
      <w:lvlJc w:val="left"/>
      <w:pPr>
        <w:ind w:left="3602" w:hanging="159"/>
      </w:pPr>
      <w:rPr>
        <w:rFonts w:hint="default"/>
        <w:lang w:val="zh-CN" w:eastAsia="zh-CN" w:bidi="zh-CN"/>
      </w:rPr>
    </w:lvl>
    <w:lvl w:ilvl="7" w:tentative="0">
      <w:start w:val="0"/>
      <w:numFmt w:val="bullet"/>
      <w:lvlText w:val="•"/>
      <w:lvlJc w:val="left"/>
      <w:pPr>
        <w:ind w:left="4155" w:hanging="159"/>
      </w:pPr>
      <w:rPr>
        <w:rFonts w:hint="default"/>
        <w:lang w:val="zh-CN" w:eastAsia="zh-CN" w:bidi="zh-CN"/>
      </w:rPr>
    </w:lvl>
    <w:lvl w:ilvl="8" w:tentative="0">
      <w:start w:val="0"/>
      <w:numFmt w:val="bullet"/>
      <w:lvlText w:val="•"/>
      <w:lvlJc w:val="left"/>
      <w:pPr>
        <w:ind w:left="4709" w:hanging="159"/>
      </w:pPr>
      <w:rPr>
        <w:rFonts w:hint="default"/>
        <w:lang w:val="zh-CN" w:eastAsia="zh-CN" w:bidi="zh-CN"/>
      </w:rPr>
    </w:lvl>
  </w:abstractNum>
  <w:abstractNum w:abstractNumId="12">
    <w:nsid w:val="9ACF65A0"/>
    <w:multiLevelType w:val="multilevel"/>
    <w:tmpl w:val="9ACF65A0"/>
    <w:lvl w:ilvl="0" w:tentative="0">
      <w:start w:val="1"/>
      <w:numFmt w:val="decimal"/>
      <w:lvlText w:val="%1."/>
      <w:lvlJc w:val="left"/>
      <w:pPr>
        <w:ind w:left="111"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689" w:hanging="159"/>
      </w:pPr>
      <w:rPr>
        <w:rFonts w:hint="default"/>
        <w:lang w:val="zh-CN" w:eastAsia="zh-CN" w:bidi="zh-CN"/>
      </w:rPr>
    </w:lvl>
    <w:lvl w:ilvl="2" w:tentative="0">
      <w:start w:val="0"/>
      <w:numFmt w:val="bullet"/>
      <w:lvlText w:val="•"/>
      <w:lvlJc w:val="left"/>
      <w:pPr>
        <w:ind w:left="1259" w:hanging="159"/>
      </w:pPr>
      <w:rPr>
        <w:rFonts w:hint="default"/>
        <w:lang w:val="zh-CN" w:eastAsia="zh-CN" w:bidi="zh-CN"/>
      </w:rPr>
    </w:lvl>
    <w:lvl w:ilvl="3" w:tentative="0">
      <w:start w:val="0"/>
      <w:numFmt w:val="bullet"/>
      <w:lvlText w:val="•"/>
      <w:lvlJc w:val="left"/>
      <w:pPr>
        <w:ind w:left="1829" w:hanging="159"/>
      </w:pPr>
      <w:rPr>
        <w:rFonts w:hint="default"/>
        <w:lang w:val="zh-CN" w:eastAsia="zh-CN" w:bidi="zh-CN"/>
      </w:rPr>
    </w:lvl>
    <w:lvl w:ilvl="4" w:tentative="0">
      <w:start w:val="0"/>
      <w:numFmt w:val="bullet"/>
      <w:lvlText w:val="•"/>
      <w:lvlJc w:val="left"/>
      <w:pPr>
        <w:ind w:left="2398" w:hanging="159"/>
      </w:pPr>
      <w:rPr>
        <w:rFonts w:hint="default"/>
        <w:lang w:val="zh-CN" w:eastAsia="zh-CN" w:bidi="zh-CN"/>
      </w:rPr>
    </w:lvl>
    <w:lvl w:ilvl="5" w:tentative="0">
      <w:start w:val="0"/>
      <w:numFmt w:val="bullet"/>
      <w:lvlText w:val="•"/>
      <w:lvlJc w:val="left"/>
      <w:pPr>
        <w:ind w:left="2968" w:hanging="159"/>
      </w:pPr>
      <w:rPr>
        <w:rFonts w:hint="default"/>
        <w:lang w:val="zh-CN" w:eastAsia="zh-CN" w:bidi="zh-CN"/>
      </w:rPr>
    </w:lvl>
    <w:lvl w:ilvl="6" w:tentative="0">
      <w:start w:val="0"/>
      <w:numFmt w:val="bullet"/>
      <w:lvlText w:val="•"/>
      <w:lvlJc w:val="left"/>
      <w:pPr>
        <w:ind w:left="3538" w:hanging="159"/>
      </w:pPr>
      <w:rPr>
        <w:rFonts w:hint="default"/>
        <w:lang w:val="zh-CN" w:eastAsia="zh-CN" w:bidi="zh-CN"/>
      </w:rPr>
    </w:lvl>
    <w:lvl w:ilvl="7" w:tentative="0">
      <w:start w:val="0"/>
      <w:numFmt w:val="bullet"/>
      <w:lvlText w:val="•"/>
      <w:lvlJc w:val="left"/>
      <w:pPr>
        <w:ind w:left="4107" w:hanging="159"/>
      </w:pPr>
      <w:rPr>
        <w:rFonts w:hint="default"/>
        <w:lang w:val="zh-CN" w:eastAsia="zh-CN" w:bidi="zh-CN"/>
      </w:rPr>
    </w:lvl>
    <w:lvl w:ilvl="8" w:tentative="0">
      <w:start w:val="0"/>
      <w:numFmt w:val="bullet"/>
      <w:lvlText w:val="•"/>
      <w:lvlJc w:val="left"/>
      <w:pPr>
        <w:ind w:left="4677" w:hanging="159"/>
      </w:pPr>
      <w:rPr>
        <w:rFonts w:hint="default"/>
        <w:lang w:val="zh-CN" w:eastAsia="zh-CN" w:bidi="zh-CN"/>
      </w:rPr>
    </w:lvl>
  </w:abstractNum>
  <w:abstractNum w:abstractNumId="13">
    <w:nsid w:val="9C11E984"/>
    <w:multiLevelType w:val="multilevel"/>
    <w:tmpl w:val="9C11E984"/>
    <w:lvl w:ilvl="0" w:tentative="0">
      <w:start w:val="1"/>
      <w:numFmt w:val="decimal"/>
      <w:lvlText w:val="（%1）"/>
      <w:lvlJc w:val="left"/>
      <w:pPr>
        <w:ind w:left="1301" w:hanging="601"/>
        <w:jc w:val="left"/>
      </w:pPr>
      <w:rPr>
        <w:rFonts w:hint="default" w:ascii="宋体" w:hAnsi="宋体" w:eastAsia="宋体" w:cs="宋体"/>
        <w:spacing w:val="-15"/>
        <w:w w:val="100"/>
        <w:sz w:val="22"/>
        <w:szCs w:val="22"/>
        <w:lang w:val="zh-CN" w:eastAsia="zh-CN" w:bidi="zh-CN"/>
      </w:rPr>
    </w:lvl>
    <w:lvl w:ilvl="1" w:tentative="0">
      <w:start w:val="0"/>
      <w:numFmt w:val="bullet"/>
      <w:lvlText w:val="•"/>
      <w:lvlJc w:val="left"/>
      <w:pPr>
        <w:ind w:left="2144" w:hanging="601"/>
      </w:pPr>
      <w:rPr>
        <w:rFonts w:hint="default"/>
        <w:lang w:val="zh-CN" w:eastAsia="zh-CN" w:bidi="zh-CN"/>
      </w:rPr>
    </w:lvl>
    <w:lvl w:ilvl="2" w:tentative="0">
      <w:start w:val="0"/>
      <w:numFmt w:val="bullet"/>
      <w:lvlText w:val="•"/>
      <w:lvlJc w:val="left"/>
      <w:pPr>
        <w:ind w:left="2989" w:hanging="601"/>
      </w:pPr>
      <w:rPr>
        <w:rFonts w:hint="default"/>
        <w:lang w:val="zh-CN" w:eastAsia="zh-CN" w:bidi="zh-CN"/>
      </w:rPr>
    </w:lvl>
    <w:lvl w:ilvl="3" w:tentative="0">
      <w:start w:val="0"/>
      <w:numFmt w:val="bullet"/>
      <w:lvlText w:val="•"/>
      <w:lvlJc w:val="left"/>
      <w:pPr>
        <w:ind w:left="3833" w:hanging="601"/>
      </w:pPr>
      <w:rPr>
        <w:rFonts w:hint="default"/>
        <w:lang w:val="zh-CN" w:eastAsia="zh-CN" w:bidi="zh-CN"/>
      </w:rPr>
    </w:lvl>
    <w:lvl w:ilvl="4" w:tentative="0">
      <w:start w:val="0"/>
      <w:numFmt w:val="bullet"/>
      <w:lvlText w:val="•"/>
      <w:lvlJc w:val="left"/>
      <w:pPr>
        <w:ind w:left="4678"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67" w:hanging="601"/>
      </w:pPr>
      <w:rPr>
        <w:rFonts w:hint="default"/>
        <w:lang w:val="zh-CN" w:eastAsia="zh-CN" w:bidi="zh-CN"/>
      </w:rPr>
    </w:lvl>
    <w:lvl w:ilvl="7" w:tentative="0">
      <w:start w:val="0"/>
      <w:numFmt w:val="bullet"/>
      <w:lvlText w:val="•"/>
      <w:lvlJc w:val="left"/>
      <w:pPr>
        <w:ind w:left="7212" w:hanging="601"/>
      </w:pPr>
      <w:rPr>
        <w:rFonts w:hint="default"/>
        <w:lang w:val="zh-CN" w:eastAsia="zh-CN" w:bidi="zh-CN"/>
      </w:rPr>
    </w:lvl>
    <w:lvl w:ilvl="8" w:tentative="0">
      <w:start w:val="0"/>
      <w:numFmt w:val="bullet"/>
      <w:lvlText w:val="•"/>
      <w:lvlJc w:val="left"/>
      <w:pPr>
        <w:ind w:left="8056" w:hanging="601"/>
      </w:pPr>
      <w:rPr>
        <w:rFonts w:hint="default"/>
        <w:lang w:val="zh-CN" w:eastAsia="zh-CN" w:bidi="zh-CN"/>
      </w:rPr>
    </w:lvl>
  </w:abstractNum>
  <w:abstractNum w:abstractNumId="14">
    <w:nsid w:val="9C8AC8EF"/>
    <w:multiLevelType w:val="multilevel"/>
    <w:tmpl w:val="9C8AC8EF"/>
    <w:lvl w:ilvl="0" w:tentative="0">
      <w:start w:val="1"/>
      <w:numFmt w:val="decimal"/>
      <w:lvlText w:val="（%1）"/>
      <w:lvlJc w:val="left"/>
      <w:pPr>
        <w:ind w:left="2121" w:hanging="601"/>
        <w:jc w:val="left"/>
      </w:pPr>
      <w:rPr>
        <w:rFonts w:hint="default" w:ascii="宋体" w:hAnsi="宋体" w:eastAsia="宋体" w:cs="宋体"/>
        <w:spacing w:val="-60"/>
        <w:w w:val="100"/>
        <w:position w:val="2"/>
        <w:sz w:val="22"/>
        <w:szCs w:val="22"/>
        <w:lang w:val="zh-CN" w:eastAsia="zh-CN" w:bidi="zh-CN"/>
      </w:rPr>
    </w:lvl>
    <w:lvl w:ilvl="1" w:tentative="0">
      <w:start w:val="0"/>
      <w:numFmt w:val="bullet"/>
      <w:lvlText w:val="•"/>
      <w:lvlJc w:val="left"/>
      <w:pPr>
        <w:ind w:left="2950" w:hanging="601"/>
      </w:pPr>
      <w:rPr>
        <w:rFonts w:hint="default"/>
        <w:lang w:val="zh-CN" w:eastAsia="zh-CN" w:bidi="zh-CN"/>
      </w:rPr>
    </w:lvl>
    <w:lvl w:ilvl="2" w:tentative="0">
      <w:start w:val="0"/>
      <w:numFmt w:val="bullet"/>
      <w:lvlText w:val="•"/>
      <w:lvlJc w:val="left"/>
      <w:pPr>
        <w:ind w:left="3781" w:hanging="601"/>
      </w:pPr>
      <w:rPr>
        <w:rFonts w:hint="default"/>
        <w:lang w:val="zh-CN" w:eastAsia="zh-CN" w:bidi="zh-CN"/>
      </w:rPr>
    </w:lvl>
    <w:lvl w:ilvl="3" w:tentative="0">
      <w:start w:val="0"/>
      <w:numFmt w:val="bullet"/>
      <w:lvlText w:val="•"/>
      <w:lvlJc w:val="left"/>
      <w:pPr>
        <w:ind w:left="4611" w:hanging="601"/>
      </w:pPr>
      <w:rPr>
        <w:rFonts w:hint="default"/>
        <w:lang w:val="zh-CN" w:eastAsia="zh-CN" w:bidi="zh-CN"/>
      </w:rPr>
    </w:lvl>
    <w:lvl w:ilvl="4" w:tentative="0">
      <w:start w:val="0"/>
      <w:numFmt w:val="bullet"/>
      <w:lvlText w:val="•"/>
      <w:lvlJc w:val="left"/>
      <w:pPr>
        <w:ind w:left="5442" w:hanging="601"/>
      </w:pPr>
      <w:rPr>
        <w:rFonts w:hint="default"/>
        <w:lang w:val="zh-CN" w:eastAsia="zh-CN" w:bidi="zh-CN"/>
      </w:rPr>
    </w:lvl>
    <w:lvl w:ilvl="5" w:tentative="0">
      <w:start w:val="0"/>
      <w:numFmt w:val="bullet"/>
      <w:lvlText w:val="•"/>
      <w:lvlJc w:val="left"/>
      <w:pPr>
        <w:ind w:left="6273" w:hanging="601"/>
      </w:pPr>
      <w:rPr>
        <w:rFonts w:hint="default"/>
        <w:lang w:val="zh-CN" w:eastAsia="zh-CN" w:bidi="zh-CN"/>
      </w:rPr>
    </w:lvl>
    <w:lvl w:ilvl="6" w:tentative="0">
      <w:start w:val="0"/>
      <w:numFmt w:val="bullet"/>
      <w:lvlText w:val="•"/>
      <w:lvlJc w:val="left"/>
      <w:pPr>
        <w:ind w:left="7103" w:hanging="601"/>
      </w:pPr>
      <w:rPr>
        <w:rFonts w:hint="default"/>
        <w:lang w:val="zh-CN" w:eastAsia="zh-CN" w:bidi="zh-CN"/>
      </w:rPr>
    </w:lvl>
    <w:lvl w:ilvl="7" w:tentative="0">
      <w:start w:val="0"/>
      <w:numFmt w:val="bullet"/>
      <w:lvlText w:val="•"/>
      <w:lvlJc w:val="left"/>
      <w:pPr>
        <w:ind w:left="7934" w:hanging="601"/>
      </w:pPr>
      <w:rPr>
        <w:rFonts w:hint="default"/>
        <w:lang w:val="zh-CN" w:eastAsia="zh-CN" w:bidi="zh-CN"/>
      </w:rPr>
    </w:lvl>
    <w:lvl w:ilvl="8" w:tentative="0">
      <w:start w:val="0"/>
      <w:numFmt w:val="bullet"/>
      <w:lvlText w:val="•"/>
      <w:lvlJc w:val="left"/>
      <w:pPr>
        <w:ind w:left="8764" w:hanging="601"/>
      </w:pPr>
      <w:rPr>
        <w:rFonts w:hint="default"/>
        <w:lang w:val="zh-CN" w:eastAsia="zh-CN" w:bidi="zh-CN"/>
      </w:rPr>
    </w:lvl>
  </w:abstractNum>
  <w:abstractNum w:abstractNumId="15">
    <w:nsid w:val="9D5D7490"/>
    <w:multiLevelType w:val="multilevel"/>
    <w:tmpl w:val="9D5D7490"/>
    <w:lvl w:ilvl="0" w:tentative="0">
      <w:start w:val="1"/>
      <w:numFmt w:val="decimal"/>
      <w:lvlText w:val="%1."/>
      <w:lvlJc w:val="left"/>
      <w:pPr>
        <w:ind w:left="270"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833" w:hanging="159"/>
      </w:pPr>
      <w:rPr>
        <w:rFonts w:hint="default"/>
        <w:lang w:val="zh-CN" w:eastAsia="zh-CN" w:bidi="zh-CN"/>
      </w:rPr>
    </w:lvl>
    <w:lvl w:ilvl="2" w:tentative="0">
      <w:start w:val="0"/>
      <w:numFmt w:val="bullet"/>
      <w:lvlText w:val="•"/>
      <w:lvlJc w:val="left"/>
      <w:pPr>
        <w:ind w:left="1387" w:hanging="159"/>
      </w:pPr>
      <w:rPr>
        <w:rFonts w:hint="default"/>
        <w:lang w:val="zh-CN" w:eastAsia="zh-CN" w:bidi="zh-CN"/>
      </w:rPr>
    </w:lvl>
    <w:lvl w:ilvl="3" w:tentative="0">
      <w:start w:val="0"/>
      <w:numFmt w:val="bullet"/>
      <w:lvlText w:val="•"/>
      <w:lvlJc w:val="left"/>
      <w:pPr>
        <w:ind w:left="1941" w:hanging="159"/>
      </w:pPr>
      <w:rPr>
        <w:rFonts w:hint="default"/>
        <w:lang w:val="zh-CN" w:eastAsia="zh-CN" w:bidi="zh-CN"/>
      </w:rPr>
    </w:lvl>
    <w:lvl w:ilvl="4" w:tentative="0">
      <w:start w:val="0"/>
      <w:numFmt w:val="bullet"/>
      <w:lvlText w:val="•"/>
      <w:lvlJc w:val="left"/>
      <w:pPr>
        <w:ind w:left="2494" w:hanging="159"/>
      </w:pPr>
      <w:rPr>
        <w:rFonts w:hint="default"/>
        <w:lang w:val="zh-CN" w:eastAsia="zh-CN" w:bidi="zh-CN"/>
      </w:rPr>
    </w:lvl>
    <w:lvl w:ilvl="5" w:tentative="0">
      <w:start w:val="0"/>
      <w:numFmt w:val="bullet"/>
      <w:lvlText w:val="•"/>
      <w:lvlJc w:val="left"/>
      <w:pPr>
        <w:ind w:left="3048" w:hanging="159"/>
      </w:pPr>
      <w:rPr>
        <w:rFonts w:hint="default"/>
        <w:lang w:val="zh-CN" w:eastAsia="zh-CN" w:bidi="zh-CN"/>
      </w:rPr>
    </w:lvl>
    <w:lvl w:ilvl="6" w:tentative="0">
      <w:start w:val="0"/>
      <w:numFmt w:val="bullet"/>
      <w:lvlText w:val="•"/>
      <w:lvlJc w:val="left"/>
      <w:pPr>
        <w:ind w:left="3602" w:hanging="159"/>
      </w:pPr>
      <w:rPr>
        <w:rFonts w:hint="default"/>
        <w:lang w:val="zh-CN" w:eastAsia="zh-CN" w:bidi="zh-CN"/>
      </w:rPr>
    </w:lvl>
    <w:lvl w:ilvl="7" w:tentative="0">
      <w:start w:val="0"/>
      <w:numFmt w:val="bullet"/>
      <w:lvlText w:val="•"/>
      <w:lvlJc w:val="left"/>
      <w:pPr>
        <w:ind w:left="4155" w:hanging="159"/>
      </w:pPr>
      <w:rPr>
        <w:rFonts w:hint="default"/>
        <w:lang w:val="zh-CN" w:eastAsia="zh-CN" w:bidi="zh-CN"/>
      </w:rPr>
    </w:lvl>
    <w:lvl w:ilvl="8" w:tentative="0">
      <w:start w:val="0"/>
      <w:numFmt w:val="bullet"/>
      <w:lvlText w:val="•"/>
      <w:lvlJc w:val="left"/>
      <w:pPr>
        <w:ind w:left="4709" w:hanging="159"/>
      </w:pPr>
      <w:rPr>
        <w:rFonts w:hint="default"/>
        <w:lang w:val="zh-CN" w:eastAsia="zh-CN" w:bidi="zh-CN"/>
      </w:rPr>
    </w:lvl>
  </w:abstractNum>
  <w:abstractNum w:abstractNumId="16">
    <w:nsid w:val="9F81B9F9"/>
    <w:multiLevelType w:val="multilevel"/>
    <w:tmpl w:val="9F81B9F9"/>
    <w:lvl w:ilvl="0" w:tentative="0">
      <w:start w:val="1"/>
      <w:numFmt w:val="decimal"/>
      <w:lvlText w:val="(%1)"/>
      <w:lvlJc w:val="left"/>
      <w:pPr>
        <w:ind w:left="1100" w:hanging="281"/>
        <w:jc w:val="right"/>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1964" w:hanging="281"/>
      </w:pPr>
      <w:rPr>
        <w:rFonts w:hint="default"/>
        <w:lang w:val="zh-CN" w:eastAsia="zh-CN" w:bidi="zh-CN"/>
      </w:rPr>
    </w:lvl>
    <w:lvl w:ilvl="2" w:tentative="0">
      <w:start w:val="0"/>
      <w:numFmt w:val="bullet"/>
      <w:lvlText w:val="•"/>
      <w:lvlJc w:val="left"/>
      <w:pPr>
        <w:ind w:left="2829" w:hanging="281"/>
      </w:pPr>
      <w:rPr>
        <w:rFonts w:hint="default"/>
        <w:lang w:val="zh-CN" w:eastAsia="zh-CN" w:bidi="zh-CN"/>
      </w:rPr>
    </w:lvl>
    <w:lvl w:ilvl="3" w:tentative="0">
      <w:start w:val="0"/>
      <w:numFmt w:val="bullet"/>
      <w:lvlText w:val="•"/>
      <w:lvlJc w:val="left"/>
      <w:pPr>
        <w:ind w:left="3693" w:hanging="281"/>
      </w:pPr>
      <w:rPr>
        <w:rFonts w:hint="default"/>
        <w:lang w:val="zh-CN" w:eastAsia="zh-CN" w:bidi="zh-CN"/>
      </w:rPr>
    </w:lvl>
    <w:lvl w:ilvl="4" w:tentative="0">
      <w:start w:val="0"/>
      <w:numFmt w:val="bullet"/>
      <w:lvlText w:val="•"/>
      <w:lvlJc w:val="left"/>
      <w:pPr>
        <w:ind w:left="4558" w:hanging="281"/>
      </w:pPr>
      <w:rPr>
        <w:rFonts w:hint="default"/>
        <w:lang w:val="zh-CN" w:eastAsia="zh-CN" w:bidi="zh-CN"/>
      </w:rPr>
    </w:lvl>
    <w:lvl w:ilvl="5" w:tentative="0">
      <w:start w:val="0"/>
      <w:numFmt w:val="bullet"/>
      <w:lvlText w:val="•"/>
      <w:lvlJc w:val="left"/>
      <w:pPr>
        <w:ind w:left="5423" w:hanging="281"/>
      </w:pPr>
      <w:rPr>
        <w:rFonts w:hint="default"/>
        <w:lang w:val="zh-CN" w:eastAsia="zh-CN" w:bidi="zh-CN"/>
      </w:rPr>
    </w:lvl>
    <w:lvl w:ilvl="6" w:tentative="0">
      <w:start w:val="0"/>
      <w:numFmt w:val="bullet"/>
      <w:lvlText w:val="•"/>
      <w:lvlJc w:val="left"/>
      <w:pPr>
        <w:ind w:left="6287" w:hanging="281"/>
      </w:pPr>
      <w:rPr>
        <w:rFonts w:hint="default"/>
        <w:lang w:val="zh-CN" w:eastAsia="zh-CN" w:bidi="zh-CN"/>
      </w:rPr>
    </w:lvl>
    <w:lvl w:ilvl="7" w:tentative="0">
      <w:start w:val="0"/>
      <w:numFmt w:val="bullet"/>
      <w:lvlText w:val="•"/>
      <w:lvlJc w:val="left"/>
      <w:pPr>
        <w:ind w:left="7152" w:hanging="281"/>
      </w:pPr>
      <w:rPr>
        <w:rFonts w:hint="default"/>
        <w:lang w:val="zh-CN" w:eastAsia="zh-CN" w:bidi="zh-CN"/>
      </w:rPr>
    </w:lvl>
    <w:lvl w:ilvl="8" w:tentative="0">
      <w:start w:val="0"/>
      <w:numFmt w:val="bullet"/>
      <w:lvlText w:val="•"/>
      <w:lvlJc w:val="left"/>
      <w:pPr>
        <w:ind w:left="8016" w:hanging="281"/>
      </w:pPr>
      <w:rPr>
        <w:rFonts w:hint="default"/>
        <w:lang w:val="zh-CN" w:eastAsia="zh-CN" w:bidi="zh-CN"/>
      </w:rPr>
    </w:lvl>
  </w:abstractNum>
  <w:abstractNum w:abstractNumId="17">
    <w:nsid w:val="A0C93552"/>
    <w:multiLevelType w:val="multilevel"/>
    <w:tmpl w:val="A0C93552"/>
    <w:lvl w:ilvl="0" w:tentative="0">
      <w:start w:val="9"/>
      <w:numFmt w:val="decimal"/>
      <w:lvlText w:val="%1"/>
      <w:lvlJc w:val="left"/>
      <w:pPr>
        <w:ind w:left="3347" w:hanging="2984"/>
        <w:jc w:val="left"/>
      </w:pPr>
      <w:rPr>
        <w:rFonts w:hint="default" w:ascii="Times New Roman" w:hAnsi="Times New Roman" w:eastAsia="Times New Roman" w:cs="Times New Roman"/>
        <w:w w:val="99"/>
        <w:sz w:val="21"/>
        <w:szCs w:val="21"/>
        <w:lang w:val="zh-CN" w:eastAsia="zh-CN" w:bidi="zh-CN"/>
      </w:rPr>
    </w:lvl>
    <w:lvl w:ilvl="1" w:tentative="0">
      <w:start w:val="0"/>
      <w:numFmt w:val="bullet"/>
      <w:lvlText w:val="•"/>
      <w:lvlJc w:val="left"/>
      <w:pPr>
        <w:ind w:left="3428" w:hanging="2984"/>
      </w:pPr>
      <w:rPr>
        <w:rFonts w:hint="default"/>
        <w:lang w:val="zh-CN" w:eastAsia="zh-CN" w:bidi="zh-CN"/>
      </w:rPr>
    </w:lvl>
    <w:lvl w:ilvl="2" w:tentative="0">
      <w:start w:val="0"/>
      <w:numFmt w:val="bullet"/>
      <w:lvlText w:val="•"/>
      <w:lvlJc w:val="left"/>
      <w:pPr>
        <w:ind w:left="3517" w:hanging="2984"/>
      </w:pPr>
      <w:rPr>
        <w:rFonts w:hint="default"/>
        <w:lang w:val="zh-CN" w:eastAsia="zh-CN" w:bidi="zh-CN"/>
      </w:rPr>
    </w:lvl>
    <w:lvl w:ilvl="3" w:tentative="0">
      <w:start w:val="0"/>
      <w:numFmt w:val="bullet"/>
      <w:lvlText w:val="•"/>
      <w:lvlJc w:val="left"/>
      <w:pPr>
        <w:ind w:left="3605" w:hanging="2984"/>
      </w:pPr>
      <w:rPr>
        <w:rFonts w:hint="default"/>
        <w:lang w:val="zh-CN" w:eastAsia="zh-CN" w:bidi="zh-CN"/>
      </w:rPr>
    </w:lvl>
    <w:lvl w:ilvl="4" w:tentative="0">
      <w:start w:val="0"/>
      <w:numFmt w:val="bullet"/>
      <w:lvlText w:val="•"/>
      <w:lvlJc w:val="left"/>
      <w:pPr>
        <w:ind w:left="3693" w:hanging="2984"/>
      </w:pPr>
      <w:rPr>
        <w:rFonts w:hint="default"/>
        <w:lang w:val="zh-CN" w:eastAsia="zh-CN" w:bidi="zh-CN"/>
      </w:rPr>
    </w:lvl>
    <w:lvl w:ilvl="5" w:tentative="0">
      <w:start w:val="0"/>
      <w:numFmt w:val="bullet"/>
      <w:lvlText w:val="•"/>
      <w:lvlJc w:val="left"/>
      <w:pPr>
        <w:ind w:left="3782" w:hanging="2984"/>
      </w:pPr>
      <w:rPr>
        <w:rFonts w:hint="default"/>
        <w:lang w:val="zh-CN" w:eastAsia="zh-CN" w:bidi="zh-CN"/>
      </w:rPr>
    </w:lvl>
    <w:lvl w:ilvl="6" w:tentative="0">
      <w:start w:val="0"/>
      <w:numFmt w:val="bullet"/>
      <w:lvlText w:val="•"/>
      <w:lvlJc w:val="left"/>
      <w:pPr>
        <w:ind w:left="3870" w:hanging="2984"/>
      </w:pPr>
      <w:rPr>
        <w:rFonts w:hint="default"/>
        <w:lang w:val="zh-CN" w:eastAsia="zh-CN" w:bidi="zh-CN"/>
      </w:rPr>
    </w:lvl>
    <w:lvl w:ilvl="7" w:tentative="0">
      <w:start w:val="0"/>
      <w:numFmt w:val="bullet"/>
      <w:lvlText w:val="•"/>
      <w:lvlJc w:val="left"/>
      <w:pPr>
        <w:ind w:left="3959" w:hanging="2984"/>
      </w:pPr>
      <w:rPr>
        <w:rFonts w:hint="default"/>
        <w:lang w:val="zh-CN" w:eastAsia="zh-CN" w:bidi="zh-CN"/>
      </w:rPr>
    </w:lvl>
    <w:lvl w:ilvl="8" w:tentative="0">
      <w:start w:val="0"/>
      <w:numFmt w:val="bullet"/>
      <w:lvlText w:val="•"/>
      <w:lvlJc w:val="left"/>
      <w:pPr>
        <w:ind w:left="4047" w:hanging="2984"/>
      </w:pPr>
      <w:rPr>
        <w:rFonts w:hint="default"/>
        <w:lang w:val="zh-CN" w:eastAsia="zh-CN" w:bidi="zh-CN"/>
      </w:rPr>
    </w:lvl>
  </w:abstractNum>
  <w:abstractNum w:abstractNumId="18">
    <w:nsid w:val="A0F05207"/>
    <w:multiLevelType w:val="multilevel"/>
    <w:tmpl w:val="A0F05207"/>
    <w:lvl w:ilvl="0" w:tentative="0">
      <w:start w:val="1"/>
      <w:numFmt w:val="decimal"/>
      <w:lvlText w:val="（%1）"/>
      <w:lvlJc w:val="left"/>
      <w:pPr>
        <w:ind w:left="216" w:hanging="601"/>
        <w:jc w:val="left"/>
      </w:pPr>
      <w:rPr>
        <w:rFonts w:hint="default" w:ascii="宋体" w:hAnsi="宋体" w:eastAsia="宋体" w:cs="宋体"/>
        <w:spacing w:val="-36"/>
        <w:w w:val="100"/>
        <w:sz w:val="22"/>
        <w:szCs w:val="22"/>
        <w:lang w:val="zh-CN" w:eastAsia="zh-CN" w:bidi="zh-CN"/>
      </w:rPr>
    </w:lvl>
    <w:lvl w:ilvl="1" w:tentative="0">
      <w:start w:val="0"/>
      <w:numFmt w:val="bullet"/>
      <w:lvlText w:val="•"/>
      <w:lvlJc w:val="left"/>
      <w:pPr>
        <w:ind w:left="1190" w:hanging="601"/>
      </w:pPr>
      <w:rPr>
        <w:rFonts w:hint="default"/>
        <w:lang w:val="zh-CN" w:eastAsia="zh-CN" w:bidi="zh-CN"/>
      </w:rPr>
    </w:lvl>
    <w:lvl w:ilvl="2" w:tentative="0">
      <w:start w:val="0"/>
      <w:numFmt w:val="bullet"/>
      <w:lvlText w:val="•"/>
      <w:lvlJc w:val="left"/>
      <w:pPr>
        <w:ind w:left="2161" w:hanging="601"/>
      </w:pPr>
      <w:rPr>
        <w:rFonts w:hint="default"/>
        <w:lang w:val="zh-CN" w:eastAsia="zh-CN" w:bidi="zh-CN"/>
      </w:rPr>
    </w:lvl>
    <w:lvl w:ilvl="3" w:tentative="0">
      <w:start w:val="0"/>
      <w:numFmt w:val="bullet"/>
      <w:lvlText w:val="•"/>
      <w:lvlJc w:val="left"/>
      <w:pPr>
        <w:ind w:left="3131" w:hanging="601"/>
      </w:pPr>
      <w:rPr>
        <w:rFonts w:hint="default"/>
        <w:lang w:val="zh-CN" w:eastAsia="zh-CN" w:bidi="zh-CN"/>
      </w:rPr>
    </w:lvl>
    <w:lvl w:ilvl="4" w:tentative="0">
      <w:start w:val="0"/>
      <w:numFmt w:val="bullet"/>
      <w:lvlText w:val="•"/>
      <w:lvlJc w:val="left"/>
      <w:pPr>
        <w:ind w:left="4102" w:hanging="601"/>
      </w:pPr>
      <w:rPr>
        <w:rFonts w:hint="default"/>
        <w:lang w:val="zh-CN" w:eastAsia="zh-CN" w:bidi="zh-CN"/>
      </w:rPr>
    </w:lvl>
    <w:lvl w:ilvl="5" w:tentative="0">
      <w:start w:val="0"/>
      <w:numFmt w:val="bullet"/>
      <w:lvlText w:val="•"/>
      <w:lvlJc w:val="left"/>
      <w:pPr>
        <w:ind w:left="5073" w:hanging="601"/>
      </w:pPr>
      <w:rPr>
        <w:rFonts w:hint="default"/>
        <w:lang w:val="zh-CN" w:eastAsia="zh-CN" w:bidi="zh-CN"/>
      </w:rPr>
    </w:lvl>
    <w:lvl w:ilvl="6" w:tentative="0">
      <w:start w:val="0"/>
      <w:numFmt w:val="bullet"/>
      <w:lvlText w:val="•"/>
      <w:lvlJc w:val="left"/>
      <w:pPr>
        <w:ind w:left="6043" w:hanging="601"/>
      </w:pPr>
      <w:rPr>
        <w:rFonts w:hint="default"/>
        <w:lang w:val="zh-CN" w:eastAsia="zh-CN" w:bidi="zh-CN"/>
      </w:rPr>
    </w:lvl>
    <w:lvl w:ilvl="7" w:tentative="0">
      <w:start w:val="0"/>
      <w:numFmt w:val="bullet"/>
      <w:lvlText w:val="•"/>
      <w:lvlJc w:val="left"/>
      <w:pPr>
        <w:ind w:left="7014" w:hanging="601"/>
      </w:pPr>
      <w:rPr>
        <w:rFonts w:hint="default"/>
        <w:lang w:val="zh-CN" w:eastAsia="zh-CN" w:bidi="zh-CN"/>
      </w:rPr>
    </w:lvl>
    <w:lvl w:ilvl="8" w:tentative="0">
      <w:start w:val="0"/>
      <w:numFmt w:val="bullet"/>
      <w:lvlText w:val="•"/>
      <w:lvlJc w:val="left"/>
      <w:pPr>
        <w:ind w:left="7984" w:hanging="601"/>
      </w:pPr>
      <w:rPr>
        <w:rFonts w:hint="default"/>
        <w:lang w:val="zh-CN" w:eastAsia="zh-CN" w:bidi="zh-CN"/>
      </w:rPr>
    </w:lvl>
  </w:abstractNum>
  <w:abstractNum w:abstractNumId="19">
    <w:nsid w:val="A9AC3AA7"/>
    <w:multiLevelType w:val="multilevel"/>
    <w:tmpl w:val="A9AC3AA7"/>
    <w:lvl w:ilvl="0" w:tentative="0">
      <w:start w:val="1"/>
      <w:numFmt w:val="decimal"/>
      <w:lvlText w:val="（%1）"/>
      <w:lvlJc w:val="left"/>
      <w:pPr>
        <w:ind w:left="220" w:hanging="601"/>
        <w:jc w:val="left"/>
      </w:pPr>
      <w:rPr>
        <w:rFonts w:hint="default" w:ascii="宋体" w:hAnsi="宋体" w:eastAsia="宋体" w:cs="宋体"/>
        <w:spacing w:val="-20"/>
        <w:w w:val="100"/>
        <w:sz w:val="22"/>
        <w:szCs w:val="22"/>
        <w:lang w:val="zh-CN" w:eastAsia="zh-CN" w:bidi="zh-CN"/>
      </w:rPr>
    </w:lvl>
    <w:lvl w:ilvl="1" w:tentative="0">
      <w:start w:val="0"/>
      <w:numFmt w:val="bullet"/>
      <w:lvlText w:val="•"/>
      <w:lvlJc w:val="left"/>
      <w:pPr>
        <w:ind w:left="1172" w:hanging="601"/>
      </w:pPr>
      <w:rPr>
        <w:rFonts w:hint="default"/>
        <w:lang w:val="zh-CN" w:eastAsia="zh-CN" w:bidi="zh-CN"/>
      </w:rPr>
    </w:lvl>
    <w:lvl w:ilvl="2" w:tentative="0">
      <w:start w:val="0"/>
      <w:numFmt w:val="bullet"/>
      <w:lvlText w:val="•"/>
      <w:lvlJc w:val="left"/>
      <w:pPr>
        <w:ind w:left="2125" w:hanging="601"/>
      </w:pPr>
      <w:rPr>
        <w:rFonts w:hint="default"/>
        <w:lang w:val="zh-CN" w:eastAsia="zh-CN" w:bidi="zh-CN"/>
      </w:rPr>
    </w:lvl>
    <w:lvl w:ilvl="3" w:tentative="0">
      <w:start w:val="0"/>
      <w:numFmt w:val="bullet"/>
      <w:lvlText w:val="•"/>
      <w:lvlJc w:val="left"/>
      <w:pPr>
        <w:ind w:left="3077" w:hanging="601"/>
      </w:pPr>
      <w:rPr>
        <w:rFonts w:hint="default"/>
        <w:lang w:val="zh-CN" w:eastAsia="zh-CN" w:bidi="zh-CN"/>
      </w:rPr>
    </w:lvl>
    <w:lvl w:ilvl="4" w:tentative="0">
      <w:start w:val="0"/>
      <w:numFmt w:val="bullet"/>
      <w:lvlText w:val="•"/>
      <w:lvlJc w:val="left"/>
      <w:pPr>
        <w:ind w:left="4030" w:hanging="601"/>
      </w:pPr>
      <w:rPr>
        <w:rFonts w:hint="default"/>
        <w:lang w:val="zh-CN" w:eastAsia="zh-CN" w:bidi="zh-CN"/>
      </w:rPr>
    </w:lvl>
    <w:lvl w:ilvl="5" w:tentative="0">
      <w:start w:val="0"/>
      <w:numFmt w:val="bullet"/>
      <w:lvlText w:val="•"/>
      <w:lvlJc w:val="left"/>
      <w:pPr>
        <w:ind w:left="4983" w:hanging="601"/>
      </w:pPr>
      <w:rPr>
        <w:rFonts w:hint="default"/>
        <w:lang w:val="zh-CN" w:eastAsia="zh-CN" w:bidi="zh-CN"/>
      </w:rPr>
    </w:lvl>
    <w:lvl w:ilvl="6" w:tentative="0">
      <w:start w:val="0"/>
      <w:numFmt w:val="bullet"/>
      <w:lvlText w:val="•"/>
      <w:lvlJc w:val="left"/>
      <w:pPr>
        <w:ind w:left="5935" w:hanging="601"/>
      </w:pPr>
      <w:rPr>
        <w:rFonts w:hint="default"/>
        <w:lang w:val="zh-CN" w:eastAsia="zh-CN" w:bidi="zh-CN"/>
      </w:rPr>
    </w:lvl>
    <w:lvl w:ilvl="7" w:tentative="0">
      <w:start w:val="0"/>
      <w:numFmt w:val="bullet"/>
      <w:lvlText w:val="•"/>
      <w:lvlJc w:val="left"/>
      <w:pPr>
        <w:ind w:left="6888" w:hanging="601"/>
      </w:pPr>
      <w:rPr>
        <w:rFonts w:hint="default"/>
        <w:lang w:val="zh-CN" w:eastAsia="zh-CN" w:bidi="zh-CN"/>
      </w:rPr>
    </w:lvl>
    <w:lvl w:ilvl="8" w:tentative="0">
      <w:start w:val="0"/>
      <w:numFmt w:val="bullet"/>
      <w:lvlText w:val="•"/>
      <w:lvlJc w:val="left"/>
      <w:pPr>
        <w:ind w:left="7840" w:hanging="601"/>
      </w:pPr>
      <w:rPr>
        <w:rFonts w:hint="default"/>
        <w:lang w:val="zh-CN" w:eastAsia="zh-CN" w:bidi="zh-CN"/>
      </w:rPr>
    </w:lvl>
  </w:abstractNum>
  <w:abstractNum w:abstractNumId="20">
    <w:nsid w:val="AAF3F3FA"/>
    <w:multiLevelType w:val="multilevel"/>
    <w:tmpl w:val="AAF3F3FA"/>
    <w:lvl w:ilvl="0" w:tentative="0">
      <w:start w:val="1"/>
      <w:numFmt w:val="decimal"/>
      <w:lvlText w:val="%1."/>
      <w:lvlJc w:val="left"/>
      <w:pPr>
        <w:ind w:left="270" w:hanging="159"/>
        <w:jc w:val="left"/>
      </w:pPr>
      <w:rPr>
        <w:rFonts w:hint="default" w:ascii="Times New Roman" w:hAnsi="Times New Roman" w:eastAsia="Times New Roman" w:cs="Times New Roman"/>
        <w:spacing w:val="0"/>
        <w:w w:val="99"/>
        <w:position w:val="2"/>
        <w:sz w:val="19"/>
        <w:szCs w:val="19"/>
        <w:lang w:val="zh-CN" w:eastAsia="zh-CN" w:bidi="zh-CN"/>
      </w:rPr>
    </w:lvl>
    <w:lvl w:ilvl="1" w:tentative="0">
      <w:start w:val="0"/>
      <w:numFmt w:val="bullet"/>
      <w:lvlText w:val="•"/>
      <w:lvlJc w:val="left"/>
      <w:pPr>
        <w:ind w:left="833" w:hanging="159"/>
      </w:pPr>
      <w:rPr>
        <w:rFonts w:hint="default"/>
        <w:lang w:val="zh-CN" w:eastAsia="zh-CN" w:bidi="zh-CN"/>
      </w:rPr>
    </w:lvl>
    <w:lvl w:ilvl="2" w:tentative="0">
      <w:start w:val="0"/>
      <w:numFmt w:val="bullet"/>
      <w:lvlText w:val="•"/>
      <w:lvlJc w:val="left"/>
      <w:pPr>
        <w:ind w:left="1387" w:hanging="159"/>
      </w:pPr>
      <w:rPr>
        <w:rFonts w:hint="default"/>
        <w:lang w:val="zh-CN" w:eastAsia="zh-CN" w:bidi="zh-CN"/>
      </w:rPr>
    </w:lvl>
    <w:lvl w:ilvl="3" w:tentative="0">
      <w:start w:val="0"/>
      <w:numFmt w:val="bullet"/>
      <w:lvlText w:val="•"/>
      <w:lvlJc w:val="left"/>
      <w:pPr>
        <w:ind w:left="1941" w:hanging="159"/>
      </w:pPr>
      <w:rPr>
        <w:rFonts w:hint="default"/>
        <w:lang w:val="zh-CN" w:eastAsia="zh-CN" w:bidi="zh-CN"/>
      </w:rPr>
    </w:lvl>
    <w:lvl w:ilvl="4" w:tentative="0">
      <w:start w:val="0"/>
      <w:numFmt w:val="bullet"/>
      <w:lvlText w:val="•"/>
      <w:lvlJc w:val="left"/>
      <w:pPr>
        <w:ind w:left="2494" w:hanging="159"/>
      </w:pPr>
      <w:rPr>
        <w:rFonts w:hint="default"/>
        <w:lang w:val="zh-CN" w:eastAsia="zh-CN" w:bidi="zh-CN"/>
      </w:rPr>
    </w:lvl>
    <w:lvl w:ilvl="5" w:tentative="0">
      <w:start w:val="0"/>
      <w:numFmt w:val="bullet"/>
      <w:lvlText w:val="•"/>
      <w:lvlJc w:val="left"/>
      <w:pPr>
        <w:ind w:left="3048" w:hanging="159"/>
      </w:pPr>
      <w:rPr>
        <w:rFonts w:hint="default"/>
        <w:lang w:val="zh-CN" w:eastAsia="zh-CN" w:bidi="zh-CN"/>
      </w:rPr>
    </w:lvl>
    <w:lvl w:ilvl="6" w:tentative="0">
      <w:start w:val="0"/>
      <w:numFmt w:val="bullet"/>
      <w:lvlText w:val="•"/>
      <w:lvlJc w:val="left"/>
      <w:pPr>
        <w:ind w:left="3602" w:hanging="159"/>
      </w:pPr>
      <w:rPr>
        <w:rFonts w:hint="default"/>
        <w:lang w:val="zh-CN" w:eastAsia="zh-CN" w:bidi="zh-CN"/>
      </w:rPr>
    </w:lvl>
    <w:lvl w:ilvl="7" w:tentative="0">
      <w:start w:val="0"/>
      <w:numFmt w:val="bullet"/>
      <w:lvlText w:val="•"/>
      <w:lvlJc w:val="left"/>
      <w:pPr>
        <w:ind w:left="4155" w:hanging="159"/>
      </w:pPr>
      <w:rPr>
        <w:rFonts w:hint="default"/>
        <w:lang w:val="zh-CN" w:eastAsia="zh-CN" w:bidi="zh-CN"/>
      </w:rPr>
    </w:lvl>
    <w:lvl w:ilvl="8" w:tentative="0">
      <w:start w:val="0"/>
      <w:numFmt w:val="bullet"/>
      <w:lvlText w:val="•"/>
      <w:lvlJc w:val="left"/>
      <w:pPr>
        <w:ind w:left="4709" w:hanging="159"/>
      </w:pPr>
      <w:rPr>
        <w:rFonts w:hint="default"/>
        <w:lang w:val="zh-CN" w:eastAsia="zh-CN" w:bidi="zh-CN"/>
      </w:rPr>
    </w:lvl>
  </w:abstractNum>
  <w:abstractNum w:abstractNumId="21">
    <w:nsid w:val="B0ED9BEA"/>
    <w:multiLevelType w:val="multilevel"/>
    <w:tmpl w:val="B0ED9BEA"/>
    <w:lvl w:ilvl="0" w:tentative="0">
      <w:start w:val="3"/>
      <w:numFmt w:val="decimal"/>
      <w:lvlText w:val="%1."/>
      <w:lvlJc w:val="left"/>
      <w:pPr>
        <w:ind w:left="270"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833" w:hanging="159"/>
      </w:pPr>
      <w:rPr>
        <w:rFonts w:hint="default"/>
        <w:lang w:val="zh-CN" w:eastAsia="zh-CN" w:bidi="zh-CN"/>
      </w:rPr>
    </w:lvl>
    <w:lvl w:ilvl="2" w:tentative="0">
      <w:start w:val="0"/>
      <w:numFmt w:val="bullet"/>
      <w:lvlText w:val="•"/>
      <w:lvlJc w:val="left"/>
      <w:pPr>
        <w:ind w:left="1387" w:hanging="159"/>
      </w:pPr>
      <w:rPr>
        <w:rFonts w:hint="default"/>
        <w:lang w:val="zh-CN" w:eastAsia="zh-CN" w:bidi="zh-CN"/>
      </w:rPr>
    </w:lvl>
    <w:lvl w:ilvl="3" w:tentative="0">
      <w:start w:val="0"/>
      <w:numFmt w:val="bullet"/>
      <w:lvlText w:val="•"/>
      <w:lvlJc w:val="left"/>
      <w:pPr>
        <w:ind w:left="1941" w:hanging="159"/>
      </w:pPr>
      <w:rPr>
        <w:rFonts w:hint="default"/>
        <w:lang w:val="zh-CN" w:eastAsia="zh-CN" w:bidi="zh-CN"/>
      </w:rPr>
    </w:lvl>
    <w:lvl w:ilvl="4" w:tentative="0">
      <w:start w:val="0"/>
      <w:numFmt w:val="bullet"/>
      <w:lvlText w:val="•"/>
      <w:lvlJc w:val="left"/>
      <w:pPr>
        <w:ind w:left="2494" w:hanging="159"/>
      </w:pPr>
      <w:rPr>
        <w:rFonts w:hint="default"/>
        <w:lang w:val="zh-CN" w:eastAsia="zh-CN" w:bidi="zh-CN"/>
      </w:rPr>
    </w:lvl>
    <w:lvl w:ilvl="5" w:tentative="0">
      <w:start w:val="0"/>
      <w:numFmt w:val="bullet"/>
      <w:lvlText w:val="•"/>
      <w:lvlJc w:val="left"/>
      <w:pPr>
        <w:ind w:left="3048" w:hanging="159"/>
      </w:pPr>
      <w:rPr>
        <w:rFonts w:hint="default"/>
        <w:lang w:val="zh-CN" w:eastAsia="zh-CN" w:bidi="zh-CN"/>
      </w:rPr>
    </w:lvl>
    <w:lvl w:ilvl="6" w:tentative="0">
      <w:start w:val="0"/>
      <w:numFmt w:val="bullet"/>
      <w:lvlText w:val="•"/>
      <w:lvlJc w:val="left"/>
      <w:pPr>
        <w:ind w:left="3602" w:hanging="159"/>
      </w:pPr>
      <w:rPr>
        <w:rFonts w:hint="default"/>
        <w:lang w:val="zh-CN" w:eastAsia="zh-CN" w:bidi="zh-CN"/>
      </w:rPr>
    </w:lvl>
    <w:lvl w:ilvl="7" w:tentative="0">
      <w:start w:val="0"/>
      <w:numFmt w:val="bullet"/>
      <w:lvlText w:val="•"/>
      <w:lvlJc w:val="left"/>
      <w:pPr>
        <w:ind w:left="4155" w:hanging="159"/>
      </w:pPr>
      <w:rPr>
        <w:rFonts w:hint="default"/>
        <w:lang w:val="zh-CN" w:eastAsia="zh-CN" w:bidi="zh-CN"/>
      </w:rPr>
    </w:lvl>
    <w:lvl w:ilvl="8" w:tentative="0">
      <w:start w:val="0"/>
      <w:numFmt w:val="bullet"/>
      <w:lvlText w:val="•"/>
      <w:lvlJc w:val="left"/>
      <w:pPr>
        <w:ind w:left="4709" w:hanging="159"/>
      </w:pPr>
      <w:rPr>
        <w:rFonts w:hint="default"/>
        <w:lang w:val="zh-CN" w:eastAsia="zh-CN" w:bidi="zh-CN"/>
      </w:rPr>
    </w:lvl>
  </w:abstractNum>
  <w:abstractNum w:abstractNumId="22">
    <w:nsid w:val="B0F1ACD9"/>
    <w:multiLevelType w:val="multilevel"/>
    <w:tmpl w:val="B0F1ACD9"/>
    <w:lvl w:ilvl="0" w:tentative="0">
      <w:start w:val="1"/>
      <w:numFmt w:val="decimal"/>
      <w:lvlText w:val="%1"/>
      <w:lvlJc w:val="left"/>
      <w:pPr>
        <w:ind w:left="1040" w:hanging="423"/>
        <w:jc w:val="left"/>
      </w:pPr>
      <w:rPr>
        <w:rFonts w:hint="default"/>
        <w:lang w:val="zh-CN" w:eastAsia="zh-CN" w:bidi="zh-CN"/>
      </w:rPr>
    </w:lvl>
    <w:lvl w:ilvl="1" w:tentative="0">
      <w:start w:val="80"/>
      <w:numFmt w:val="decimal"/>
      <w:lvlText w:val="%1.%2"/>
      <w:lvlJc w:val="left"/>
      <w:pPr>
        <w:ind w:left="1040" w:hanging="423"/>
        <w:jc w:val="left"/>
      </w:pPr>
      <w:rPr>
        <w:rFonts w:hint="default" w:ascii="Times New Roman" w:hAnsi="Times New Roman" w:eastAsia="Times New Roman" w:cs="Times New Roman"/>
        <w:w w:val="100"/>
        <w:sz w:val="22"/>
        <w:szCs w:val="22"/>
        <w:lang w:val="zh-CN" w:eastAsia="zh-CN" w:bidi="zh-CN"/>
      </w:rPr>
    </w:lvl>
    <w:lvl w:ilvl="2" w:tentative="0">
      <w:start w:val="1"/>
      <w:numFmt w:val="decimal"/>
      <w:lvlText w:val="（%3）"/>
      <w:lvlJc w:val="left"/>
      <w:pPr>
        <w:ind w:left="2121" w:hanging="601"/>
        <w:jc w:val="left"/>
      </w:pPr>
      <w:rPr>
        <w:rFonts w:hint="default" w:ascii="宋体" w:hAnsi="宋体" w:eastAsia="宋体" w:cs="宋体"/>
        <w:w w:val="100"/>
        <w:sz w:val="22"/>
        <w:szCs w:val="22"/>
        <w:lang w:val="zh-CN" w:eastAsia="zh-CN" w:bidi="zh-CN"/>
      </w:rPr>
    </w:lvl>
    <w:lvl w:ilvl="3" w:tentative="0">
      <w:start w:val="0"/>
      <w:numFmt w:val="bullet"/>
      <w:lvlText w:val="•"/>
      <w:lvlJc w:val="left"/>
      <w:pPr>
        <w:ind w:left="3965" w:hanging="601"/>
      </w:pPr>
      <w:rPr>
        <w:rFonts w:hint="default"/>
        <w:lang w:val="zh-CN" w:eastAsia="zh-CN" w:bidi="zh-CN"/>
      </w:rPr>
    </w:lvl>
    <w:lvl w:ilvl="4" w:tentative="0">
      <w:start w:val="0"/>
      <w:numFmt w:val="bullet"/>
      <w:lvlText w:val="•"/>
      <w:lvlJc w:val="left"/>
      <w:pPr>
        <w:ind w:left="4888" w:hanging="601"/>
      </w:pPr>
      <w:rPr>
        <w:rFonts w:hint="default"/>
        <w:lang w:val="zh-CN" w:eastAsia="zh-CN" w:bidi="zh-CN"/>
      </w:rPr>
    </w:lvl>
    <w:lvl w:ilvl="5" w:tentative="0">
      <w:start w:val="0"/>
      <w:numFmt w:val="bullet"/>
      <w:lvlText w:val="•"/>
      <w:lvlJc w:val="left"/>
      <w:pPr>
        <w:ind w:left="5811" w:hanging="601"/>
      </w:pPr>
      <w:rPr>
        <w:rFonts w:hint="default"/>
        <w:lang w:val="zh-CN" w:eastAsia="zh-CN" w:bidi="zh-CN"/>
      </w:rPr>
    </w:lvl>
    <w:lvl w:ilvl="6" w:tentative="0">
      <w:start w:val="0"/>
      <w:numFmt w:val="bullet"/>
      <w:lvlText w:val="•"/>
      <w:lvlJc w:val="left"/>
      <w:pPr>
        <w:ind w:left="6734" w:hanging="601"/>
      </w:pPr>
      <w:rPr>
        <w:rFonts w:hint="default"/>
        <w:lang w:val="zh-CN" w:eastAsia="zh-CN" w:bidi="zh-CN"/>
      </w:rPr>
    </w:lvl>
    <w:lvl w:ilvl="7" w:tentative="0">
      <w:start w:val="0"/>
      <w:numFmt w:val="bullet"/>
      <w:lvlText w:val="•"/>
      <w:lvlJc w:val="left"/>
      <w:pPr>
        <w:ind w:left="7657" w:hanging="601"/>
      </w:pPr>
      <w:rPr>
        <w:rFonts w:hint="default"/>
        <w:lang w:val="zh-CN" w:eastAsia="zh-CN" w:bidi="zh-CN"/>
      </w:rPr>
    </w:lvl>
    <w:lvl w:ilvl="8" w:tentative="0">
      <w:start w:val="0"/>
      <w:numFmt w:val="bullet"/>
      <w:lvlText w:val="•"/>
      <w:lvlJc w:val="left"/>
      <w:pPr>
        <w:ind w:left="8580" w:hanging="601"/>
      </w:pPr>
      <w:rPr>
        <w:rFonts w:hint="default"/>
        <w:lang w:val="zh-CN" w:eastAsia="zh-CN" w:bidi="zh-CN"/>
      </w:rPr>
    </w:lvl>
  </w:abstractNum>
  <w:abstractNum w:abstractNumId="23">
    <w:nsid w:val="B23A94A9"/>
    <w:multiLevelType w:val="multilevel"/>
    <w:tmpl w:val="B23A94A9"/>
    <w:lvl w:ilvl="0" w:tentative="0">
      <w:start w:val="9"/>
      <w:numFmt w:val="decimal"/>
      <w:lvlText w:val="%1"/>
      <w:lvlJc w:val="left"/>
      <w:pPr>
        <w:ind w:left="708" w:hanging="492"/>
        <w:jc w:val="left"/>
      </w:pPr>
      <w:rPr>
        <w:rFonts w:hint="default"/>
        <w:lang w:val="zh-CN" w:eastAsia="zh-CN" w:bidi="zh-CN"/>
      </w:rPr>
    </w:lvl>
    <w:lvl w:ilvl="1" w:tentative="0">
      <w:start w:val="1"/>
      <w:numFmt w:val="decimal"/>
      <w:lvlText w:val="%1.%2"/>
      <w:lvlJc w:val="left"/>
      <w:pPr>
        <w:ind w:left="708" w:hanging="492"/>
        <w:jc w:val="left"/>
      </w:pPr>
      <w:rPr>
        <w:rFonts w:hint="default"/>
        <w:b/>
        <w:bCs/>
        <w:spacing w:val="-1"/>
        <w:w w:val="100"/>
        <w:lang w:val="zh-CN" w:eastAsia="zh-CN" w:bidi="zh-CN"/>
      </w:rPr>
    </w:lvl>
    <w:lvl w:ilvl="2" w:tentative="0">
      <w:start w:val="1"/>
      <w:numFmt w:val="decimal"/>
      <w:lvlText w:val="%1.%2.%3"/>
      <w:lvlJc w:val="left"/>
      <w:pPr>
        <w:ind w:left="916"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1.%2.%3.%4"/>
      <w:lvlJc w:val="left"/>
      <w:pPr>
        <w:ind w:left="936" w:hanging="720"/>
        <w:jc w:val="left"/>
      </w:pPr>
      <w:rPr>
        <w:rFonts w:hint="default" w:ascii="Times New Roman" w:hAnsi="Times New Roman" w:eastAsia="Times New Roman" w:cs="Times New Roman"/>
        <w:b/>
        <w:bCs/>
        <w:w w:val="99"/>
        <w:sz w:val="24"/>
        <w:szCs w:val="24"/>
        <w:lang w:val="zh-CN" w:eastAsia="zh-CN" w:bidi="zh-CN"/>
      </w:rPr>
    </w:lvl>
    <w:lvl w:ilvl="4" w:tentative="0">
      <w:start w:val="0"/>
      <w:numFmt w:val="bullet"/>
      <w:lvlText w:val="•"/>
      <w:lvlJc w:val="left"/>
      <w:pPr>
        <w:ind w:left="1000" w:hanging="720"/>
      </w:pPr>
      <w:rPr>
        <w:rFonts w:hint="default"/>
        <w:lang w:val="zh-CN" w:eastAsia="zh-CN" w:bidi="zh-CN"/>
      </w:rPr>
    </w:lvl>
    <w:lvl w:ilvl="5" w:tentative="0">
      <w:start w:val="0"/>
      <w:numFmt w:val="bullet"/>
      <w:lvlText w:val="•"/>
      <w:lvlJc w:val="left"/>
      <w:pPr>
        <w:ind w:left="2487" w:hanging="720"/>
      </w:pPr>
      <w:rPr>
        <w:rFonts w:hint="default"/>
        <w:lang w:val="zh-CN" w:eastAsia="zh-CN" w:bidi="zh-CN"/>
      </w:rPr>
    </w:lvl>
    <w:lvl w:ilvl="6" w:tentative="0">
      <w:start w:val="0"/>
      <w:numFmt w:val="bullet"/>
      <w:lvlText w:val="•"/>
      <w:lvlJc w:val="left"/>
      <w:pPr>
        <w:ind w:left="3975" w:hanging="720"/>
      </w:pPr>
      <w:rPr>
        <w:rFonts w:hint="default"/>
        <w:lang w:val="zh-CN" w:eastAsia="zh-CN" w:bidi="zh-CN"/>
      </w:rPr>
    </w:lvl>
    <w:lvl w:ilvl="7" w:tentative="0">
      <w:start w:val="0"/>
      <w:numFmt w:val="bullet"/>
      <w:lvlText w:val="•"/>
      <w:lvlJc w:val="left"/>
      <w:pPr>
        <w:ind w:left="5463" w:hanging="720"/>
      </w:pPr>
      <w:rPr>
        <w:rFonts w:hint="default"/>
        <w:lang w:val="zh-CN" w:eastAsia="zh-CN" w:bidi="zh-CN"/>
      </w:rPr>
    </w:lvl>
    <w:lvl w:ilvl="8" w:tentative="0">
      <w:start w:val="0"/>
      <w:numFmt w:val="bullet"/>
      <w:lvlText w:val="•"/>
      <w:lvlJc w:val="left"/>
      <w:pPr>
        <w:ind w:left="6950" w:hanging="720"/>
      </w:pPr>
      <w:rPr>
        <w:rFonts w:hint="default"/>
        <w:lang w:val="zh-CN" w:eastAsia="zh-CN" w:bidi="zh-CN"/>
      </w:rPr>
    </w:lvl>
  </w:abstractNum>
  <w:abstractNum w:abstractNumId="24">
    <w:nsid w:val="B53F3350"/>
    <w:multiLevelType w:val="multilevel"/>
    <w:tmpl w:val="B53F3350"/>
    <w:lvl w:ilvl="0" w:tentative="0">
      <w:start w:val="1"/>
      <w:numFmt w:val="decimal"/>
      <w:lvlText w:val="（%1）"/>
      <w:lvlJc w:val="left"/>
      <w:pPr>
        <w:ind w:left="163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68" w:hanging="601"/>
      </w:pPr>
      <w:rPr>
        <w:rFonts w:hint="default"/>
        <w:lang w:val="zh-CN" w:eastAsia="zh-CN" w:bidi="zh-CN"/>
      </w:rPr>
    </w:lvl>
    <w:lvl w:ilvl="2" w:tentative="0">
      <w:start w:val="0"/>
      <w:numFmt w:val="bullet"/>
      <w:lvlText w:val="•"/>
      <w:lvlJc w:val="left"/>
      <w:pPr>
        <w:ind w:left="3297" w:hanging="601"/>
      </w:pPr>
      <w:rPr>
        <w:rFonts w:hint="default"/>
        <w:lang w:val="zh-CN" w:eastAsia="zh-CN" w:bidi="zh-CN"/>
      </w:rPr>
    </w:lvl>
    <w:lvl w:ilvl="3" w:tentative="0">
      <w:start w:val="0"/>
      <w:numFmt w:val="bullet"/>
      <w:lvlText w:val="•"/>
      <w:lvlJc w:val="left"/>
      <w:pPr>
        <w:ind w:left="4125" w:hanging="601"/>
      </w:pPr>
      <w:rPr>
        <w:rFonts w:hint="default"/>
        <w:lang w:val="zh-CN" w:eastAsia="zh-CN" w:bidi="zh-CN"/>
      </w:rPr>
    </w:lvl>
    <w:lvl w:ilvl="4" w:tentative="0">
      <w:start w:val="0"/>
      <w:numFmt w:val="bullet"/>
      <w:lvlText w:val="•"/>
      <w:lvlJc w:val="left"/>
      <w:pPr>
        <w:ind w:left="4954" w:hanging="601"/>
      </w:pPr>
      <w:rPr>
        <w:rFonts w:hint="default"/>
        <w:lang w:val="zh-CN" w:eastAsia="zh-CN" w:bidi="zh-CN"/>
      </w:rPr>
    </w:lvl>
    <w:lvl w:ilvl="5" w:tentative="0">
      <w:start w:val="0"/>
      <w:numFmt w:val="bullet"/>
      <w:lvlText w:val="•"/>
      <w:lvlJc w:val="left"/>
      <w:pPr>
        <w:ind w:left="5783" w:hanging="601"/>
      </w:pPr>
      <w:rPr>
        <w:rFonts w:hint="default"/>
        <w:lang w:val="zh-CN" w:eastAsia="zh-CN" w:bidi="zh-CN"/>
      </w:rPr>
    </w:lvl>
    <w:lvl w:ilvl="6" w:tentative="0">
      <w:start w:val="0"/>
      <w:numFmt w:val="bullet"/>
      <w:lvlText w:val="•"/>
      <w:lvlJc w:val="left"/>
      <w:pPr>
        <w:ind w:left="6611" w:hanging="601"/>
      </w:pPr>
      <w:rPr>
        <w:rFonts w:hint="default"/>
        <w:lang w:val="zh-CN" w:eastAsia="zh-CN" w:bidi="zh-CN"/>
      </w:rPr>
    </w:lvl>
    <w:lvl w:ilvl="7" w:tentative="0">
      <w:start w:val="0"/>
      <w:numFmt w:val="bullet"/>
      <w:lvlText w:val="•"/>
      <w:lvlJc w:val="left"/>
      <w:pPr>
        <w:ind w:left="7440" w:hanging="601"/>
      </w:pPr>
      <w:rPr>
        <w:rFonts w:hint="default"/>
        <w:lang w:val="zh-CN" w:eastAsia="zh-CN" w:bidi="zh-CN"/>
      </w:rPr>
    </w:lvl>
    <w:lvl w:ilvl="8" w:tentative="0">
      <w:start w:val="0"/>
      <w:numFmt w:val="bullet"/>
      <w:lvlText w:val="•"/>
      <w:lvlJc w:val="left"/>
      <w:pPr>
        <w:ind w:left="8268" w:hanging="601"/>
      </w:pPr>
      <w:rPr>
        <w:rFonts w:hint="default"/>
        <w:lang w:val="zh-CN" w:eastAsia="zh-CN" w:bidi="zh-CN"/>
      </w:rPr>
    </w:lvl>
  </w:abstractNum>
  <w:abstractNum w:abstractNumId="25">
    <w:nsid w:val="B5E306ED"/>
    <w:multiLevelType w:val="multilevel"/>
    <w:tmpl w:val="B5E306ED"/>
    <w:lvl w:ilvl="0" w:tentative="0">
      <w:start w:val="1"/>
      <w:numFmt w:val="decimal"/>
      <w:lvlText w:val="%1."/>
      <w:lvlJc w:val="left"/>
      <w:pPr>
        <w:ind w:left="970" w:hanging="312"/>
        <w:jc w:val="right"/>
      </w:pPr>
      <w:rPr>
        <w:rFonts w:hint="default" w:ascii="Times New Roman" w:hAnsi="Times New Roman" w:eastAsia="Times New Roman" w:cs="Times New Roman"/>
        <w:b/>
        <w:bCs/>
        <w:w w:val="100"/>
        <w:sz w:val="36"/>
        <w:szCs w:val="36"/>
        <w:lang w:val="zh-CN" w:eastAsia="zh-CN" w:bidi="zh-CN"/>
      </w:rPr>
    </w:lvl>
    <w:lvl w:ilvl="1" w:tentative="0">
      <w:start w:val="0"/>
      <w:numFmt w:val="bullet"/>
      <w:lvlText w:val="•"/>
      <w:lvlJc w:val="left"/>
      <w:pPr>
        <w:ind w:left="1522" w:hanging="312"/>
      </w:pPr>
      <w:rPr>
        <w:rFonts w:hint="default"/>
        <w:lang w:val="zh-CN" w:eastAsia="zh-CN" w:bidi="zh-CN"/>
      </w:rPr>
    </w:lvl>
    <w:lvl w:ilvl="2" w:tentative="0">
      <w:start w:val="0"/>
      <w:numFmt w:val="bullet"/>
      <w:lvlText w:val="•"/>
      <w:lvlJc w:val="left"/>
      <w:pPr>
        <w:ind w:left="2065" w:hanging="312"/>
      </w:pPr>
      <w:rPr>
        <w:rFonts w:hint="default"/>
        <w:lang w:val="zh-CN" w:eastAsia="zh-CN" w:bidi="zh-CN"/>
      </w:rPr>
    </w:lvl>
    <w:lvl w:ilvl="3" w:tentative="0">
      <w:start w:val="0"/>
      <w:numFmt w:val="bullet"/>
      <w:lvlText w:val="•"/>
      <w:lvlJc w:val="left"/>
      <w:pPr>
        <w:ind w:left="2608" w:hanging="312"/>
      </w:pPr>
      <w:rPr>
        <w:rFonts w:hint="default"/>
        <w:lang w:val="zh-CN" w:eastAsia="zh-CN" w:bidi="zh-CN"/>
      </w:rPr>
    </w:lvl>
    <w:lvl w:ilvl="4" w:tentative="0">
      <w:start w:val="0"/>
      <w:numFmt w:val="bullet"/>
      <w:lvlText w:val="•"/>
      <w:lvlJc w:val="left"/>
      <w:pPr>
        <w:ind w:left="3151" w:hanging="312"/>
      </w:pPr>
      <w:rPr>
        <w:rFonts w:hint="default"/>
        <w:lang w:val="zh-CN" w:eastAsia="zh-CN" w:bidi="zh-CN"/>
      </w:rPr>
    </w:lvl>
    <w:lvl w:ilvl="5" w:tentative="0">
      <w:start w:val="0"/>
      <w:numFmt w:val="bullet"/>
      <w:lvlText w:val="•"/>
      <w:lvlJc w:val="left"/>
      <w:pPr>
        <w:ind w:left="3694" w:hanging="312"/>
      </w:pPr>
      <w:rPr>
        <w:rFonts w:hint="default"/>
        <w:lang w:val="zh-CN" w:eastAsia="zh-CN" w:bidi="zh-CN"/>
      </w:rPr>
    </w:lvl>
    <w:lvl w:ilvl="6" w:tentative="0">
      <w:start w:val="0"/>
      <w:numFmt w:val="bullet"/>
      <w:lvlText w:val="•"/>
      <w:lvlJc w:val="left"/>
      <w:pPr>
        <w:ind w:left="4237" w:hanging="312"/>
      </w:pPr>
      <w:rPr>
        <w:rFonts w:hint="default"/>
        <w:lang w:val="zh-CN" w:eastAsia="zh-CN" w:bidi="zh-CN"/>
      </w:rPr>
    </w:lvl>
    <w:lvl w:ilvl="7" w:tentative="0">
      <w:start w:val="0"/>
      <w:numFmt w:val="bullet"/>
      <w:lvlText w:val="•"/>
      <w:lvlJc w:val="left"/>
      <w:pPr>
        <w:ind w:left="4779" w:hanging="312"/>
      </w:pPr>
      <w:rPr>
        <w:rFonts w:hint="default"/>
        <w:lang w:val="zh-CN" w:eastAsia="zh-CN" w:bidi="zh-CN"/>
      </w:rPr>
    </w:lvl>
    <w:lvl w:ilvl="8" w:tentative="0">
      <w:start w:val="0"/>
      <w:numFmt w:val="bullet"/>
      <w:lvlText w:val="•"/>
      <w:lvlJc w:val="left"/>
      <w:pPr>
        <w:ind w:left="5322" w:hanging="312"/>
      </w:pPr>
      <w:rPr>
        <w:rFonts w:hint="default"/>
        <w:lang w:val="zh-CN" w:eastAsia="zh-CN" w:bidi="zh-CN"/>
      </w:rPr>
    </w:lvl>
  </w:abstractNum>
  <w:abstractNum w:abstractNumId="26">
    <w:nsid w:val="B88D21A8"/>
    <w:multiLevelType w:val="multilevel"/>
    <w:tmpl w:val="B88D21A8"/>
    <w:lvl w:ilvl="0" w:tentative="0">
      <w:start w:val="13"/>
      <w:numFmt w:val="decimal"/>
      <w:lvlText w:val="%1"/>
      <w:lvlJc w:val="left"/>
      <w:pPr>
        <w:ind w:left="896" w:hanging="660"/>
        <w:jc w:val="left"/>
      </w:pPr>
      <w:rPr>
        <w:rFonts w:hint="default"/>
        <w:lang w:val="zh-CN" w:eastAsia="zh-CN" w:bidi="zh-CN"/>
      </w:rPr>
    </w:lvl>
    <w:lvl w:ilvl="1" w:tentative="0">
      <w:start w:val="2"/>
      <w:numFmt w:val="decimal"/>
      <w:lvlText w:val="%1.%2"/>
      <w:lvlJc w:val="left"/>
      <w:pPr>
        <w:ind w:left="896" w:hanging="660"/>
        <w:jc w:val="left"/>
      </w:pPr>
      <w:rPr>
        <w:rFonts w:hint="default"/>
        <w:lang w:val="zh-CN" w:eastAsia="zh-CN" w:bidi="zh-CN"/>
      </w:rPr>
    </w:lvl>
    <w:lvl w:ilvl="2" w:tentative="0">
      <w:start w:val="1"/>
      <w:numFmt w:val="decimal"/>
      <w:lvlText w:val="%1.%2.%3"/>
      <w:lvlJc w:val="left"/>
      <w:pPr>
        <w:ind w:left="896" w:hanging="660"/>
        <w:jc w:val="left"/>
      </w:pPr>
      <w:rPr>
        <w:rFonts w:hint="default" w:ascii="Times New Roman" w:hAnsi="Times New Roman" w:eastAsia="Times New Roman" w:cs="Times New Roman"/>
        <w:b/>
        <w:bCs/>
        <w:w w:val="99"/>
        <w:sz w:val="24"/>
        <w:szCs w:val="24"/>
        <w:lang w:val="zh-CN" w:eastAsia="zh-CN" w:bidi="zh-CN"/>
      </w:rPr>
    </w:lvl>
    <w:lvl w:ilvl="3" w:tentative="0">
      <w:start w:val="1"/>
      <w:numFmt w:val="decimal"/>
      <w:lvlText w:val="（%4）"/>
      <w:lvlJc w:val="left"/>
      <w:pPr>
        <w:ind w:left="1317"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4082" w:hanging="601"/>
      </w:pPr>
      <w:rPr>
        <w:rFonts w:hint="default"/>
        <w:lang w:val="zh-CN" w:eastAsia="zh-CN" w:bidi="zh-CN"/>
      </w:rPr>
    </w:lvl>
    <w:lvl w:ilvl="5" w:tentative="0">
      <w:start w:val="0"/>
      <w:numFmt w:val="bullet"/>
      <w:lvlText w:val="•"/>
      <w:lvlJc w:val="left"/>
      <w:pPr>
        <w:ind w:left="5002" w:hanging="601"/>
      </w:pPr>
      <w:rPr>
        <w:rFonts w:hint="default"/>
        <w:lang w:val="zh-CN" w:eastAsia="zh-CN" w:bidi="zh-CN"/>
      </w:rPr>
    </w:lvl>
    <w:lvl w:ilvl="6" w:tentative="0">
      <w:start w:val="0"/>
      <w:numFmt w:val="bullet"/>
      <w:lvlText w:val="•"/>
      <w:lvlJc w:val="left"/>
      <w:pPr>
        <w:ind w:left="5923" w:hanging="601"/>
      </w:pPr>
      <w:rPr>
        <w:rFonts w:hint="default"/>
        <w:lang w:val="zh-CN" w:eastAsia="zh-CN" w:bidi="zh-CN"/>
      </w:rPr>
    </w:lvl>
    <w:lvl w:ilvl="7" w:tentative="0">
      <w:start w:val="0"/>
      <w:numFmt w:val="bullet"/>
      <w:lvlText w:val="•"/>
      <w:lvlJc w:val="left"/>
      <w:pPr>
        <w:ind w:left="6844" w:hanging="601"/>
      </w:pPr>
      <w:rPr>
        <w:rFonts w:hint="default"/>
        <w:lang w:val="zh-CN" w:eastAsia="zh-CN" w:bidi="zh-CN"/>
      </w:rPr>
    </w:lvl>
    <w:lvl w:ilvl="8" w:tentative="0">
      <w:start w:val="0"/>
      <w:numFmt w:val="bullet"/>
      <w:lvlText w:val="•"/>
      <w:lvlJc w:val="left"/>
      <w:pPr>
        <w:ind w:left="7764" w:hanging="601"/>
      </w:pPr>
      <w:rPr>
        <w:rFonts w:hint="default"/>
        <w:lang w:val="zh-CN" w:eastAsia="zh-CN" w:bidi="zh-CN"/>
      </w:rPr>
    </w:lvl>
  </w:abstractNum>
  <w:abstractNum w:abstractNumId="27">
    <w:nsid w:val="B8CEF35B"/>
    <w:multiLevelType w:val="multilevel"/>
    <w:tmpl w:val="B8CEF35B"/>
    <w:lvl w:ilvl="0" w:tentative="0">
      <w:start w:val="1"/>
      <w:numFmt w:val="decimal"/>
      <w:lvlText w:val="（%1）"/>
      <w:lvlJc w:val="left"/>
      <w:pPr>
        <w:ind w:left="153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16" w:hanging="601"/>
      </w:pPr>
      <w:rPr>
        <w:rFonts w:hint="default"/>
        <w:lang w:val="zh-CN" w:eastAsia="zh-CN" w:bidi="zh-CN"/>
      </w:rPr>
    </w:lvl>
    <w:lvl w:ilvl="2" w:tentative="0">
      <w:start w:val="0"/>
      <w:numFmt w:val="bullet"/>
      <w:lvlText w:val="•"/>
      <w:lvlJc w:val="left"/>
      <w:pPr>
        <w:ind w:left="3093" w:hanging="601"/>
      </w:pPr>
      <w:rPr>
        <w:rFonts w:hint="default"/>
        <w:lang w:val="zh-CN" w:eastAsia="zh-CN" w:bidi="zh-CN"/>
      </w:rPr>
    </w:lvl>
    <w:lvl w:ilvl="3" w:tentative="0">
      <w:start w:val="0"/>
      <w:numFmt w:val="bullet"/>
      <w:lvlText w:val="•"/>
      <w:lvlJc w:val="left"/>
      <w:pPr>
        <w:ind w:left="3869" w:hanging="601"/>
      </w:pPr>
      <w:rPr>
        <w:rFonts w:hint="default"/>
        <w:lang w:val="zh-CN" w:eastAsia="zh-CN" w:bidi="zh-CN"/>
      </w:rPr>
    </w:lvl>
    <w:lvl w:ilvl="4" w:tentative="0">
      <w:start w:val="0"/>
      <w:numFmt w:val="bullet"/>
      <w:lvlText w:val="•"/>
      <w:lvlJc w:val="left"/>
      <w:pPr>
        <w:ind w:left="4646" w:hanging="601"/>
      </w:pPr>
      <w:rPr>
        <w:rFonts w:hint="default"/>
        <w:lang w:val="zh-CN" w:eastAsia="zh-CN" w:bidi="zh-CN"/>
      </w:rPr>
    </w:lvl>
    <w:lvl w:ilvl="5" w:tentative="0">
      <w:start w:val="0"/>
      <w:numFmt w:val="bullet"/>
      <w:lvlText w:val="•"/>
      <w:lvlJc w:val="left"/>
      <w:pPr>
        <w:ind w:left="5423" w:hanging="601"/>
      </w:pPr>
      <w:rPr>
        <w:rFonts w:hint="default"/>
        <w:lang w:val="zh-CN" w:eastAsia="zh-CN" w:bidi="zh-CN"/>
      </w:rPr>
    </w:lvl>
    <w:lvl w:ilvl="6" w:tentative="0">
      <w:start w:val="0"/>
      <w:numFmt w:val="bullet"/>
      <w:lvlText w:val="•"/>
      <w:lvlJc w:val="left"/>
      <w:pPr>
        <w:ind w:left="6199" w:hanging="601"/>
      </w:pPr>
      <w:rPr>
        <w:rFonts w:hint="default"/>
        <w:lang w:val="zh-CN" w:eastAsia="zh-CN" w:bidi="zh-CN"/>
      </w:rPr>
    </w:lvl>
    <w:lvl w:ilvl="7" w:tentative="0">
      <w:start w:val="0"/>
      <w:numFmt w:val="bullet"/>
      <w:lvlText w:val="•"/>
      <w:lvlJc w:val="left"/>
      <w:pPr>
        <w:ind w:left="6976" w:hanging="601"/>
      </w:pPr>
      <w:rPr>
        <w:rFonts w:hint="default"/>
        <w:lang w:val="zh-CN" w:eastAsia="zh-CN" w:bidi="zh-CN"/>
      </w:rPr>
    </w:lvl>
    <w:lvl w:ilvl="8" w:tentative="0">
      <w:start w:val="0"/>
      <w:numFmt w:val="bullet"/>
      <w:lvlText w:val="•"/>
      <w:lvlJc w:val="left"/>
      <w:pPr>
        <w:ind w:left="7752" w:hanging="601"/>
      </w:pPr>
      <w:rPr>
        <w:rFonts w:hint="default"/>
        <w:lang w:val="zh-CN" w:eastAsia="zh-CN" w:bidi="zh-CN"/>
      </w:rPr>
    </w:lvl>
  </w:abstractNum>
  <w:abstractNum w:abstractNumId="28">
    <w:nsid w:val="BB64CFA9"/>
    <w:multiLevelType w:val="multilevel"/>
    <w:tmpl w:val="BB64CFA9"/>
    <w:lvl w:ilvl="0" w:tentative="0">
      <w:start w:val="1"/>
      <w:numFmt w:val="decimal"/>
      <w:lvlText w:val="（%1）"/>
      <w:lvlJc w:val="left"/>
      <w:pPr>
        <w:ind w:left="153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16" w:hanging="601"/>
      </w:pPr>
      <w:rPr>
        <w:rFonts w:hint="default"/>
        <w:lang w:val="zh-CN" w:eastAsia="zh-CN" w:bidi="zh-CN"/>
      </w:rPr>
    </w:lvl>
    <w:lvl w:ilvl="2" w:tentative="0">
      <w:start w:val="0"/>
      <w:numFmt w:val="bullet"/>
      <w:lvlText w:val="•"/>
      <w:lvlJc w:val="left"/>
      <w:pPr>
        <w:ind w:left="3093" w:hanging="601"/>
      </w:pPr>
      <w:rPr>
        <w:rFonts w:hint="default"/>
        <w:lang w:val="zh-CN" w:eastAsia="zh-CN" w:bidi="zh-CN"/>
      </w:rPr>
    </w:lvl>
    <w:lvl w:ilvl="3" w:tentative="0">
      <w:start w:val="0"/>
      <w:numFmt w:val="bullet"/>
      <w:lvlText w:val="•"/>
      <w:lvlJc w:val="left"/>
      <w:pPr>
        <w:ind w:left="3869" w:hanging="601"/>
      </w:pPr>
      <w:rPr>
        <w:rFonts w:hint="default"/>
        <w:lang w:val="zh-CN" w:eastAsia="zh-CN" w:bidi="zh-CN"/>
      </w:rPr>
    </w:lvl>
    <w:lvl w:ilvl="4" w:tentative="0">
      <w:start w:val="0"/>
      <w:numFmt w:val="bullet"/>
      <w:lvlText w:val="•"/>
      <w:lvlJc w:val="left"/>
      <w:pPr>
        <w:ind w:left="4646" w:hanging="601"/>
      </w:pPr>
      <w:rPr>
        <w:rFonts w:hint="default"/>
        <w:lang w:val="zh-CN" w:eastAsia="zh-CN" w:bidi="zh-CN"/>
      </w:rPr>
    </w:lvl>
    <w:lvl w:ilvl="5" w:tentative="0">
      <w:start w:val="0"/>
      <w:numFmt w:val="bullet"/>
      <w:lvlText w:val="•"/>
      <w:lvlJc w:val="left"/>
      <w:pPr>
        <w:ind w:left="5423" w:hanging="601"/>
      </w:pPr>
      <w:rPr>
        <w:rFonts w:hint="default"/>
        <w:lang w:val="zh-CN" w:eastAsia="zh-CN" w:bidi="zh-CN"/>
      </w:rPr>
    </w:lvl>
    <w:lvl w:ilvl="6" w:tentative="0">
      <w:start w:val="0"/>
      <w:numFmt w:val="bullet"/>
      <w:lvlText w:val="•"/>
      <w:lvlJc w:val="left"/>
      <w:pPr>
        <w:ind w:left="6199" w:hanging="601"/>
      </w:pPr>
      <w:rPr>
        <w:rFonts w:hint="default"/>
        <w:lang w:val="zh-CN" w:eastAsia="zh-CN" w:bidi="zh-CN"/>
      </w:rPr>
    </w:lvl>
    <w:lvl w:ilvl="7" w:tentative="0">
      <w:start w:val="0"/>
      <w:numFmt w:val="bullet"/>
      <w:lvlText w:val="•"/>
      <w:lvlJc w:val="left"/>
      <w:pPr>
        <w:ind w:left="6976" w:hanging="601"/>
      </w:pPr>
      <w:rPr>
        <w:rFonts w:hint="default"/>
        <w:lang w:val="zh-CN" w:eastAsia="zh-CN" w:bidi="zh-CN"/>
      </w:rPr>
    </w:lvl>
    <w:lvl w:ilvl="8" w:tentative="0">
      <w:start w:val="0"/>
      <w:numFmt w:val="bullet"/>
      <w:lvlText w:val="•"/>
      <w:lvlJc w:val="left"/>
      <w:pPr>
        <w:ind w:left="7752" w:hanging="601"/>
      </w:pPr>
      <w:rPr>
        <w:rFonts w:hint="default"/>
        <w:lang w:val="zh-CN" w:eastAsia="zh-CN" w:bidi="zh-CN"/>
      </w:rPr>
    </w:lvl>
  </w:abstractNum>
  <w:abstractNum w:abstractNumId="29">
    <w:nsid w:val="BCECA0B4"/>
    <w:multiLevelType w:val="multilevel"/>
    <w:tmpl w:val="BCECA0B4"/>
    <w:lvl w:ilvl="0" w:tentative="0">
      <w:start w:val="1"/>
      <w:numFmt w:val="decimal"/>
      <w:lvlText w:val="%1."/>
      <w:lvlJc w:val="left"/>
      <w:pPr>
        <w:ind w:left="270"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833" w:hanging="159"/>
      </w:pPr>
      <w:rPr>
        <w:rFonts w:hint="default"/>
        <w:lang w:val="zh-CN" w:eastAsia="zh-CN" w:bidi="zh-CN"/>
      </w:rPr>
    </w:lvl>
    <w:lvl w:ilvl="2" w:tentative="0">
      <w:start w:val="0"/>
      <w:numFmt w:val="bullet"/>
      <w:lvlText w:val="•"/>
      <w:lvlJc w:val="left"/>
      <w:pPr>
        <w:ind w:left="1387" w:hanging="159"/>
      </w:pPr>
      <w:rPr>
        <w:rFonts w:hint="default"/>
        <w:lang w:val="zh-CN" w:eastAsia="zh-CN" w:bidi="zh-CN"/>
      </w:rPr>
    </w:lvl>
    <w:lvl w:ilvl="3" w:tentative="0">
      <w:start w:val="0"/>
      <w:numFmt w:val="bullet"/>
      <w:lvlText w:val="•"/>
      <w:lvlJc w:val="left"/>
      <w:pPr>
        <w:ind w:left="1941" w:hanging="159"/>
      </w:pPr>
      <w:rPr>
        <w:rFonts w:hint="default"/>
        <w:lang w:val="zh-CN" w:eastAsia="zh-CN" w:bidi="zh-CN"/>
      </w:rPr>
    </w:lvl>
    <w:lvl w:ilvl="4" w:tentative="0">
      <w:start w:val="0"/>
      <w:numFmt w:val="bullet"/>
      <w:lvlText w:val="•"/>
      <w:lvlJc w:val="left"/>
      <w:pPr>
        <w:ind w:left="2494" w:hanging="159"/>
      </w:pPr>
      <w:rPr>
        <w:rFonts w:hint="default"/>
        <w:lang w:val="zh-CN" w:eastAsia="zh-CN" w:bidi="zh-CN"/>
      </w:rPr>
    </w:lvl>
    <w:lvl w:ilvl="5" w:tentative="0">
      <w:start w:val="0"/>
      <w:numFmt w:val="bullet"/>
      <w:lvlText w:val="•"/>
      <w:lvlJc w:val="left"/>
      <w:pPr>
        <w:ind w:left="3048" w:hanging="159"/>
      </w:pPr>
      <w:rPr>
        <w:rFonts w:hint="default"/>
        <w:lang w:val="zh-CN" w:eastAsia="zh-CN" w:bidi="zh-CN"/>
      </w:rPr>
    </w:lvl>
    <w:lvl w:ilvl="6" w:tentative="0">
      <w:start w:val="0"/>
      <w:numFmt w:val="bullet"/>
      <w:lvlText w:val="•"/>
      <w:lvlJc w:val="left"/>
      <w:pPr>
        <w:ind w:left="3602" w:hanging="159"/>
      </w:pPr>
      <w:rPr>
        <w:rFonts w:hint="default"/>
        <w:lang w:val="zh-CN" w:eastAsia="zh-CN" w:bidi="zh-CN"/>
      </w:rPr>
    </w:lvl>
    <w:lvl w:ilvl="7" w:tentative="0">
      <w:start w:val="0"/>
      <w:numFmt w:val="bullet"/>
      <w:lvlText w:val="•"/>
      <w:lvlJc w:val="left"/>
      <w:pPr>
        <w:ind w:left="4155" w:hanging="159"/>
      </w:pPr>
      <w:rPr>
        <w:rFonts w:hint="default"/>
        <w:lang w:val="zh-CN" w:eastAsia="zh-CN" w:bidi="zh-CN"/>
      </w:rPr>
    </w:lvl>
    <w:lvl w:ilvl="8" w:tentative="0">
      <w:start w:val="0"/>
      <w:numFmt w:val="bullet"/>
      <w:lvlText w:val="•"/>
      <w:lvlJc w:val="left"/>
      <w:pPr>
        <w:ind w:left="4709" w:hanging="159"/>
      </w:pPr>
      <w:rPr>
        <w:rFonts w:hint="default"/>
        <w:lang w:val="zh-CN" w:eastAsia="zh-CN" w:bidi="zh-CN"/>
      </w:rPr>
    </w:lvl>
  </w:abstractNum>
  <w:abstractNum w:abstractNumId="30">
    <w:nsid w:val="BDA1395C"/>
    <w:multiLevelType w:val="multilevel"/>
    <w:tmpl w:val="BDA1395C"/>
    <w:lvl w:ilvl="0" w:tentative="0">
      <w:start w:val="1"/>
      <w:numFmt w:val="decimal"/>
      <w:lvlText w:val="%1."/>
      <w:lvlJc w:val="left"/>
      <w:pPr>
        <w:ind w:left="270"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833" w:hanging="159"/>
      </w:pPr>
      <w:rPr>
        <w:rFonts w:hint="default"/>
        <w:lang w:val="zh-CN" w:eastAsia="zh-CN" w:bidi="zh-CN"/>
      </w:rPr>
    </w:lvl>
    <w:lvl w:ilvl="2" w:tentative="0">
      <w:start w:val="0"/>
      <w:numFmt w:val="bullet"/>
      <w:lvlText w:val="•"/>
      <w:lvlJc w:val="left"/>
      <w:pPr>
        <w:ind w:left="1387" w:hanging="159"/>
      </w:pPr>
      <w:rPr>
        <w:rFonts w:hint="default"/>
        <w:lang w:val="zh-CN" w:eastAsia="zh-CN" w:bidi="zh-CN"/>
      </w:rPr>
    </w:lvl>
    <w:lvl w:ilvl="3" w:tentative="0">
      <w:start w:val="0"/>
      <w:numFmt w:val="bullet"/>
      <w:lvlText w:val="•"/>
      <w:lvlJc w:val="left"/>
      <w:pPr>
        <w:ind w:left="1941" w:hanging="159"/>
      </w:pPr>
      <w:rPr>
        <w:rFonts w:hint="default"/>
        <w:lang w:val="zh-CN" w:eastAsia="zh-CN" w:bidi="zh-CN"/>
      </w:rPr>
    </w:lvl>
    <w:lvl w:ilvl="4" w:tentative="0">
      <w:start w:val="0"/>
      <w:numFmt w:val="bullet"/>
      <w:lvlText w:val="•"/>
      <w:lvlJc w:val="left"/>
      <w:pPr>
        <w:ind w:left="2494" w:hanging="159"/>
      </w:pPr>
      <w:rPr>
        <w:rFonts w:hint="default"/>
        <w:lang w:val="zh-CN" w:eastAsia="zh-CN" w:bidi="zh-CN"/>
      </w:rPr>
    </w:lvl>
    <w:lvl w:ilvl="5" w:tentative="0">
      <w:start w:val="0"/>
      <w:numFmt w:val="bullet"/>
      <w:lvlText w:val="•"/>
      <w:lvlJc w:val="left"/>
      <w:pPr>
        <w:ind w:left="3048" w:hanging="159"/>
      </w:pPr>
      <w:rPr>
        <w:rFonts w:hint="default"/>
        <w:lang w:val="zh-CN" w:eastAsia="zh-CN" w:bidi="zh-CN"/>
      </w:rPr>
    </w:lvl>
    <w:lvl w:ilvl="6" w:tentative="0">
      <w:start w:val="0"/>
      <w:numFmt w:val="bullet"/>
      <w:lvlText w:val="•"/>
      <w:lvlJc w:val="left"/>
      <w:pPr>
        <w:ind w:left="3602" w:hanging="159"/>
      </w:pPr>
      <w:rPr>
        <w:rFonts w:hint="default"/>
        <w:lang w:val="zh-CN" w:eastAsia="zh-CN" w:bidi="zh-CN"/>
      </w:rPr>
    </w:lvl>
    <w:lvl w:ilvl="7" w:tentative="0">
      <w:start w:val="0"/>
      <w:numFmt w:val="bullet"/>
      <w:lvlText w:val="•"/>
      <w:lvlJc w:val="left"/>
      <w:pPr>
        <w:ind w:left="4155" w:hanging="159"/>
      </w:pPr>
      <w:rPr>
        <w:rFonts w:hint="default"/>
        <w:lang w:val="zh-CN" w:eastAsia="zh-CN" w:bidi="zh-CN"/>
      </w:rPr>
    </w:lvl>
    <w:lvl w:ilvl="8" w:tentative="0">
      <w:start w:val="0"/>
      <w:numFmt w:val="bullet"/>
      <w:lvlText w:val="•"/>
      <w:lvlJc w:val="left"/>
      <w:pPr>
        <w:ind w:left="4709" w:hanging="159"/>
      </w:pPr>
      <w:rPr>
        <w:rFonts w:hint="default"/>
        <w:lang w:val="zh-CN" w:eastAsia="zh-CN" w:bidi="zh-CN"/>
      </w:rPr>
    </w:lvl>
  </w:abstractNum>
  <w:abstractNum w:abstractNumId="31">
    <w:nsid w:val="BE8A4F4C"/>
    <w:multiLevelType w:val="multilevel"/>
    <w:tmpl w:val="BE8A4F4C"/>
    <w:lvl w:ilvl="0" w:tentative="0">
      <w:start w:val="1"/>
      <w:numFmt w:val="decimal"/>
      <w:lvlText w:val="%1."/>
      <w:lvlJc w:val="left"/>
      <w:pPr>
        <w:ind w:left="270"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833" w:hanging="159"/>
      </w:pPr>
      <w:rPr>
        <w:rFonts w:hint="default"/>
        <w:lang w:val="zh-CN" w:eastAsia="zh-CN" w:bidi="zh-CN"/>
      </w:rPr>
    </w:lvl>
    <w:lvl w:ilvl="2" w:tentative="0">
      <w:start w:val="0"/>
      <w:numFmt w:val="bullet"/>
      <w:lvlText w:val="•"/>
      <w:lvlJc w:val="left"/>
      <w:pPr>
        <w:ind w:left="1387" w:hanging="159"/>
      </w:pPr>
      <w:rPr>
        <w:rFonts w:hint="default"/>
        <w:lang w:val="zh-CN" w:eastAsia="zh-CN" w:bidi="zh-CN"/>
      </w:rPr>
    </w:lvl>
    <w:lvl w:ilvl="3" w:tentative="0">
      <w:start w:val="0"/>
      <w:numFmt w:val="bullet"/>
      <w:lvlText w:val="•"/>
      <w:lvlJc w:val="left"/>
      <w:pPr>
        <w:ind w:left="1941" w:hanging="159"/>
      </w:pPr>
      <w:rPr>
        <w:rFonts w:hint="default"/>
        <w:lang w:val="zh-CN" w:eastAsia="zh-CN" w:bidi="zh-CN"/>
      </w:rPr>
    </w:lvl>
    <w:lvl w:ilvl="4" w:tentative="0">
      <w:start w:val="0"/>
      <w:numFmt w:val="bullet"/>
      <w:lvlText w:val="•"/>
      <w:lvlJc w:val="left"/>
      <w:pPr>
        <w:ind w:left="2494" w:hanging="159"/>
      </w:pPr>
      <w:rPr>
        <w:rFonts w:hint="default"/>
        <w:lang w:val="zh-CN" w:eastAsia="zh-CN" w:bidi="zh-CN"/>
      </w:rPr>
    </w:lvl>
    <w:lvl w:ilvl="5" w:tentative="0">
      <w:start w:val="0"/>
      <w:numFmt w:val="bullet"/>
      <w:lvlText w:val="•"/>
      <w:lvlJc w:val="left"/>
      <w:pPr>
        <w:ind w:left="3048" w:hanging="159"/>
      </w:pPr>
      <w:rPr>
        <w:rFonts w:hint="default"/>
        <w:lang w:val="zh-CN" w:eastAsia="zh-CN" w:bidi="zh-CN"/>
      </w:rPr>
    </w:lvl>
    <w:lvl w:ilvl="6" w:tentative="0">
      <w:start w:val="0"/>
      <w:numFmt w:val="bullet"/>
      <w:lvlText w:val="•"/>
      <w:lvlJc w:val="left"/>
      <w:pPr>
        <w:ind w:left="3602" w:hanging="159"/>
      </w:pPr>
      <w:rPr>
        <w:rFonts w:hint="default"/>
        <w:lang w:val="zh-CN" w:eastAsia="zh-CN" w:bidi="zh-CN"/>
      </w:rPr>
    </w:lvl>
    <w:lvl w:ilvl="7" w:tentative="0">
      <w:start w:val="0"/>
      <w:numFmt w:val="bullet"/>
      <w:lvlText w:val="•"/>
      <w:lvlJc w:val="left"/>
      <w:pPr>
        <w:ind w:left="4155" w:hanging="159"/>
      </w:pPr>
      <w:rPr>
        <w:rFonts w:hint="default"/>
        <w:lang w:val="zh-CN" w:eastAsia="zh-CN" w:bidi="zh-CN"/>
      </w:rPr>
    </w:lvl>
    <w:lvl w:ilvl="8" w:tentative="0">
      <w:start w:val="0"/>
      <w:numFmt w:val="bullet"/>
      <w:lvlText w:val="•"/>
      <w:lvlJc w:val="left"/>
      <w:pPr>
        <w:ind w:left="4709" w:hanging="159"/>
      </w:pPr>
      <w:rPr>
        <w:rFonts w:hint="default"/>
        <w:lang w:val="zh-CN" w:eastAsia="zh-CN" w:bidi="zh-CN"/>
      </w:rPr>
    </w:lvl>
  </w:abstractNum>
  <w:abstractNum w:abstractNumId="32">
    <w:nsid w:val="BE923771"/>
    <w:multiLevelType w:val="multilevel"/>
    <w:tmpl w:val="BE923771"/>
    <w:lvl w:ilvl="0" w:tentative="0">
      <w:start w:val="3"/>
      <w:numFmt w:val="decimal"/>
      <w:lvlText w:val="%1"/>
      <w:lvlJc w:val="left"/>
      <w:pPr>
        <w:ind w:left="1820" w:hanging="780"/>
        <w:jc w:val="left"/>
      </w:pPr>
      <w:rPr>
        <w:rFonts w:hint="default"/>
        <w:lang w:val="zh-CN" w:eastAsia="zh-CN" w:bidi="zh-CN"/>
      </w:rPr>
    </w:lvl>
    <w:lvl w:ilvl="1" w:tentative="0">
      <w:start w:val="3"/>
      <w:numFmt w:val="decimal"/>
      <w:lvlText w:val="%1.%2"/>
      <w:lvlJc w:val="left"/>
      <w:pPr>
        <w:ind w:left="1820" w:hanging="780"/>
        <w:jc w:val="left"/>
      </w:pPr>
      <w:rPr>
        <w:rFonts w:hint="default"/>
        <w:lang w:val="zh-CN" w:eastAsia="zh-CN" w:bidi="zh-CN"/>
      </w:rPr>
    </w:lvl>
    <w:lvl w:ilvl="2" w:tentative="0">
      <w:start w:val="4"/>
      <w:numFmt w:val="decimal"/>
      <w:lvlText w:val="%1.%2.%3"/>
      <w:lvlJc w:val="left"/>
      <w:pPr>
        <w:ind w:left="1820" w:hanging="780"/>
        <w:jc w:val="left"/>
      </w:pPr>
      <w:rPr>
        <w:rFonts w:hint="default"/>
        <w:lang w:val="zh-CN" w:eastAsia="zh-CN" w:bidi="zh-CN"/>
      </w:rPr>
    </w:lvl>
    <w:lvl w:ilvl="3" w:tentative="0">
      <w:start w:val="1"/>
      <w:numFmt w:val="decimal"/>
      <w:lvlText w:val="%1.%2.%3.%4"/>
      <w:lvlJc w:val="left"/>
      <w:pPr>
        <w:ind w:left="1820" w:hanging="780"/>
        <w:jc w:val="left"/>
      </w:pPr>
      <w:rPr>
        <w:rFonts w:hint="default" w:ascii="Times New Roman" w:hAnsi="Times New Roman" w:eastAsia="Times New Roman" w:cs="Times New Roman"/>
        <w:b/>
        <w:bCs/>
        <w:w w:val="99"/>
        <w:sz w:val="24"/>
        <w:szCs w:val="24"/>
        <w:lang w:val="zh-CN" w:eastAsia="zh-CN" w:bidi="zh-CN"/>
      </w:rPr>
    </w:lvl>
    <w:lvl w:ilvl="4" w:tentative="0">
      <w:start w:val="1"/>
      <w:numFmt w:val="decimal"/>
      <w:lvlText w:val="（%5）"/>
      <w:lvlJc w:val="left"/>
      <w:pPr>
        <w:ind w:left="2123" w:hanging="601"/>
        <w:jc w:val="left"/>
      </w:pPr>
      <w:rPr>
        <w:rFonts w:hint="default" w:ascii="宋体" w:hAnsi="宋体" w:eastAsia="宋体" w:cs="宋体"/>
        <w:w w:val="100"/>
        <w:sz w:val="22"/>
        <w:szCs w:val="22"/>
        <w:lang w:val="zh-CN" w:eastAsia="zh-CN" w:bidi="zh-CN"/>
      </w:rPr>
    </w:lvl>
    <w:lvl w:ilvl="5" w:tentative="0">
      <w:start w:val="0"/>
      <w:numFmt w:val="bullet"/>
      <w:lvlText w:val="•"/>
      <w:lvlJc w:val="left"/>
      <w:pPr>
        <w:ind w:left="5811" w:hanging="601"/>
      </w:pPr>
      <w:rPr>
        <w:rFonts w:hint="default"/>
        <w:lang w:val="zh-CN" w:eastAsia="zh-CN" w:bidi="zh-CN"/>
      </w:rPr>
    </w:lvl>
    <w:lvl w:ilvl="6" w:tentative="0">
      <w:start w:val="0"/>
      <w:numFmt w:val="bullet"/>
      <w:lvlText w:val="•"/>
      <w:lvlJc w:val="left"/>
      <w:pPr>
        <w:ind w:left="6734" w:hanging="601"/>
      </w:pPr>
      <w:rPr>
        <w:rFonts w:hint="default"/>
        <w:lang w:val="zh-CN" w:eastAsia="zh-CN" w:bidi="zh-CN"/>
      </w:rPr>
    </w:lvl>
    <w:lvl w:ilvl="7" w:tentative="0">
      <w:start w:val="0"/>
      <w:numFmt w:val="bullet"/>
      <w:lvlText w:val="•"/>
      <w:lvlJc w:val="left"/>
      <w:pPr>
        <w:ind w:left="7657" w:hanging="601"/>
      </w:pPr>
      <w:rPr>
        <w:rFonts w:hint="default"/>
        <w:lang w:val="zh-CN" w:eastAsia="zh-CN" w:bidi="zh-CN"/>
      </w:rPr>
    </w:lvl>
    <w:lvl w:ilvl="8" w:tentative="0">
      <w:start w:val="0"/>
      <w:numFmt w:val="bullet"/>
      <w:lvlText w:val="•"/>
      <w:lvlJc w:val="left"/>
      <w:pPr>
        <w:ind w:left="8580" w:hanging="601"/>
      </w:pPr>
      <w:rPr>
        <w:rFonts w:hint="default"/>
        <w:lang w:val="zh-CN" w:eastAsia="zh-CN" w:bidi="zh-CN"/>
      </w:rPr>
    </w:lvl>
  </w:abstractNum>
  <w:abstractNum w:abstractNumId="33">
    <w:nsid w:val="BF205925"/>
    <w:multiLevelType w:val="multilevel"/>
    <w:tmpl w:val="BF205925"/>
    <w:lvl w:ilvl="0" w:tentative="0">
      <w:start w:val="1"/>
      <w:numFmt w:val="decimal"/>
      <w:lvlText w:val="%1"/>
      <w:lvlJc w:val="left"/>
      <w:pPr>
        <w:ind w:left="1107" w:hanging="449"/>
        <w:jc w:val="left"/>
      </w:pPr>
      <w:rPr>
        <w:rFonts w:hint="default"/>
        <w:lang w:val="zh-CN" w:eastAsia="zh-CN" w:bidi="zh-CN"/>
      </w:rPr>
    </w:lvl>
    <w:lvl w:ilvl="1" w:tentative="0">
      <w:start w:val="1"/>
      <w:numFmt w:val="decimal"/>
      <w:lvlText w:val="%1.%2"/>
      <w:lvlJc w:val="left"/>
      <w:pPr>
        <w:ind w:left="1107" w:hanging="449"/>
        <w:jc w:val="left"/>
      </w:pPr>
      <w:rPr>
        <w:rFonts w:hint="default" w:ascii="Times New Roman" w:hAnsi="Times New Roman" w:eastAsia="Times New Roman" w:cs="Times New Roman"/>
        <w:b/>
        <w:bCs/>
        <w:spacing w:val="-1"/>
        <w:w w:val="100"/>
        <w:sz w:val="30"/>
        <w:szCs w:val="30"/>
        <w:lang w:val="zh-CN" w:eastAsia="zh-CN" w:bidi="zh-CN"/>
      </w:rPr>
    </w:lvl>
    <w:lvl w:ilvl="2" w:tentative="0">
      <w:start w:val="1"/>
      <w:numFmt w:val="decimal"/>
      <w:lvlText w:val="（%3）"/>
      <w:lvlJc w:val="left"/>
      <w:pPr>
        <w:ind w:left="658" w:hanging="605"/>
        <w:jc w:val="left"/>
      </w:pPr>
      <w:rPr>
        <w:rFonts w:hint="default" w:ascii="宋体" w:hAnsi="宋体" w:eastAsia="宋体" w:cs="宋体"/>
        <w:spacing w:val="0"/>
        <w:w w:val="100"/>
        <w:sz w:val="22"/>
        <w:szCs w:val="22"/>
        <w:lang w:val="zh-CN" w:eastAsia="zh-CN" w:bidi="zh-CN"/>
      </w:rPr>
    </w:lvl>
    <w:lvl w:ilvl="3" w:tentative="0">
      <w:start w:val="0"/>
      <w:numFmt w:val="bullet"/>
      <w:lvlText w:val="•"/>
      <w:lvlJc w:val="left"/>
      <w:pPr>
        <w:ind w:left="1377" w:hanging="605"/>
      </w:pPr>
      <w:rPr>
        <w:rFonts w:hint="default"/>
        <w:lang w:val="zh-CN" w:eastAsia="zh-CN" w:bidi="zh-CN"/>
      </w:rPr>
    </w:lvl>
    <w:lvl w:ilvl="4" w:tentative="0">
      <w:start w:val="0"/>
      <w:numFmt w:val="bullet"/>
      <w:lvlText w:val="•"/>
      <w:lvlJc w:val="left"/>
      <w:pPr>
        <w:ind w:left="1516" w:hanging="605"/>
      </w:pPr>
      <w:rPr>
        <w:rFonts w:hint="default"/>
        <w:lang w:val="zh-CN" w:eastAsia="zh-CN" w:bidi="zh-CN"/>
      </w:rPr>
    </w:lvl>
    <w:lvl w:ilvl="5" w:tentative="0">
      <w:start w:val="0"/>
      <w:numFmt w:val="bullet"/>
      <w:lvlText w:val="•"/>
      <w:lvlJc w:val="left"/>
      <w:pPr>
        <w:ind w:left="1655" w:hanging="605"/>
      </w:pPr>
      <w:rPr>
        <w:rFonts w:hint="default"/>
        <w:lang w:val="zh-CN" w:eastAsia="zh-CN" w:bidi="zh-CN"/>
      </w:rPr>
    </w:lvl>
    <w:lvl w:ilvl="6" w:tentative="0">
      <w:start w:val="0"/>
      <w:numFmt w:val="bullet"/>
      <w:lvlText w:val="•"/>
      <w:lvlJc w:val="left"/>
      <w:pPr>
        <w:ind w:left="1794" w:hanging="605"/>
      </w:pPr>
      <w:rPr>
        <w:rFonts w:hint="default"/>
        <w:lang w:val="zh-CN" w:eastAsia="zh-CN" w:bidi="zh-CN"/>
      </w:rPr>
    </w:lvl>
    <w:lvl w:ilvl="7" w:tentative="0">
      <w:start w:val="0"/>
      <w:numFmt w:val="bullet"/>
      <w:lvlText w:val="•"/>
      <w:lvlJc w:val="left"/>
      <w:pPr>
        <w:ind w:left="1933" w:hanging="605"/>
      </w:pPr>
      <w:rPr>
        <w:rFonts w:hint="default"/>
        <w:lang w:val="zh-CN" w:eastAsia="zh-CN" w:bidi="zh-CN"/>
      </w:rPr>
    </w:lvl>
    <w:lvl w:ilvl="8" w:tentative="0">
      <w:start w:val="0"/>
      <w:numFmt w:val="bullet"/>
      <w:lvlText w:val="•"/>
      <w:lvlJc w:val="left"/>
      <w:pPr>
        <w:ind w:left="2071" w:hanging="605"/>
      </w:pPr>
      <w:rPr>
        <w:rFonts w:hint="default"/>
        <w:lang w:val="zh-CN" w:eastAsia="zh-CN" w:bidi="zh-CN"/>
      </w:rPr>
    </w:lvl>
  </w:abstractNum>
  <w:abstractNum w:abstractNumId="34">
    <w:nsid w:val="BF50FE6B"/>
    <w:multiLevelType w:val="multilevel"/>
    <w:tmpl w:val="BF50FE6B"/>
    <w:lvl w:ilvl="0" w:tentative="0">
      <w:start w:val="17"/>
      <w:numFmt w:val="decimal"/>
      <w:lvlText w:val="%1"/>
      <w:lvlJc w:val="left"/>
      <w:pPr>
        <w:ind w:left="1260" w:hanging="600"/>
        <w:jc w:val="left"/>
      </w:pPr>
      <w:rPr>
        <w:rFonts w:hint="default"/>
        <w:lang w:val="zh-CN" w:eastAsia="zh-CN" w:bidi="zh-CN"/>
      </w:rPr>
    </w:lvl>
    <w:lvl w:ilvl="1" w:tentative="0">
      <w:start w:val="1"/>
      <w:numFmt w:val="decimal"/>
      <w:lvlText w:val="%1.%2"/>
      <w:lvlJc w:val="left"/>
      <w:pPr>
        <w:ind w:left="1260" w:hanging="600"/>
        <w:jc w:val="left"/>
      </w:pPr>
      <w:rPr>
        <w:rFonts w:hint="default" w:ascii="Times New Roman" w:hAnsi="Times New Roman" w:eastAsia="Times New Roman" w:cs="Times New Roman"/>
        <w:b/>
        <w:bCs/>
        <w:spacing w:val="-2"/>
        <w:w w:val="99"/>
        <w:sz w:val="30"/>
        <w:szCs w:val="30"/>
        <w:lang w:val="zh-CN" w:eastAsia="zh-CN" w:bidi="zh-CN"/>
      </w:rPr>
    </w:lvl>
    <w:lvl w:ilvl="2" w:tentative="0">
      <w:start w:val="1"/>
      <w:numFmt w:val="decimal"/>
      <w:lvlText w:val="（%3）"/>
      <w:lvlJc w:val="left"/>
      <w:pPr>
        <w:ind w:left="660" w:hanging="608"/>
        <w:jc w:val="left"/>
      </w:pPr>
      <w:rPr>
        <w:rFonts w:hint="default" w:ascii="宋体" w:hAnsi="宋体" w:eastAsia="宋体" w:cs="宋体"/>
        <w:spacing w:val="2"/>
        <w:w w:val="100"/>
        <w:sz w:val="22"/>
        <w:szCs w:val="22"/>
        <w:lang w:val="zh-CN" w:eastAsia="zh-CN" w:bidi="zh-CN"/>
      </w:rPr>
    </w:lvl>
    <w:lvl w:ilvl="3" w:tentative="0">
      <w:start w:val="0"/>
      <w:numFmt w:val="bullet"/>
      <w:lvlText w:val="•"/>
      <w:lvlJc w:val="left"/>
      <w:pPr>
        <w:ind w:left="3145" w:hanging="608"/>
      </w:pPr>
      <w:rPr>
        <w:rFonts w:hint="default"/>
        <w:lang w:val="zh-CN" w:eastAsia="zh-CN" w:bidi="zh-CN"/>
      </w:rPr>
    </w:lvl>
    <w:lvl w:ilvl="4" w:tentative="0">
      <w:start w:val="0"/>
      <w:numFmt w:val="bullet"/>
      <w:lvlText w:val="•"/>
      <w:lvlJc w:val="left"/>
      <w:pPr>
        <w:ind w:left="4088" w:hanging="608"/>
      </w:pPr>
      <w:rPr>
        <w:rFonts w:hint="default"/>
        <w:lang w:val="zh-CN" w:eastAsia="zh-CN" w:bidi="zh-CN"/>
      </w:rPr>
    </w:lvl>
    <w:lvl w:ilvl="5" w:tentative="0">
      <w:start w:val="0"/>
      <w:numFmt w:val="bullet"/>
      <w:lvlText w:val="•"/>
      <w:lvlJc w:val="left"/>
      <w:pPr>
        <w:ind w:left="5031" w:hanging="608"/>
      </w:pPr>
      <w:rPr>
        <w:rFonts w:hint="default"/>
        <w:lang w:val="zh-CN" w:eastAsia="zh-CN" w:bidi="zh-CN"/>
      </w:rPr>
    </w:lvl>
    <w:lvl w:ilvl="6" w:tentative="0">
      <w:start w:val="0"/>
      <w:numFmt w:val="bullet"/>
      <w:lvlText w:val="•"/>
      <w:lvlJc w:val="left"/>
      <w:pPr>
        <w:ind w:left="5974" w:hanging="608"/>
      </w:pPr>
      <w:rPr>
        <w:rFonts w:hint="default"/>
        <w:lang w:val="zh-CN" w:eastAsia="zh-CN" w:bidi="zh-CN"/>
      </w:rPr>
    </w:lvl>
    <w:lvl w:ilvl="7" w:tentative="0">
      <w:start w:val="0"/>
      <w:numFmt w:val="bullet"/>
      <w:lvlText w:val="•"/>
      <w:lvlJc w:val="left"/>
      <w:pPr>
        <w:ind w:left="6917" w:hanging="608"/>
      </w:pPr>
      <w:rPr>
        <w:rFonts w:hint="default"/>
        <w:lang w:val="zh-CN" w:eastAsia="zh-CN" w:bidi="zh-CN"/>
      </w:rPr>
    </w:lvl>
    <w:lvl w:ilvl="8" w:tentative="0">
      <w:start w:val="0"/>
      <w:numFmt w:val="bullet"/>
      <w:lvlText w:val="•"/>
      <w:lvlJc w:val="left"/>
      <w:pPr>
        <w:ind w:left="7860" w:hanging="608"/>
      </w:pPr>
      <w:rPr>
        <w:rFonts w:hint="default"/>
        <w:lang w:val="zh-CN" w:eastAsia="zh-CN" w:bidi="zh-CN"/>
      </w:rPr>
    </w:lvl>
  </w:abstractNum>
  <w:abstractNum w:abstractNumId="35">
    <w:nsid w:val="C0915F4F"/>
    <w:multiLevelType w:val="multilevel"/>
    <w:tmpl w:val="C0915F4F"/>
    <w:lvl w:ilvl="0" w:tentative="0">
      <w:start w:val="8"/>
      <w:numFmt w:val="decimal"/>
      <w:lvlText w:val="%1"/>
      <w:lvlJc w:val="left"/>
      <w:pPr>
        <w:ind w:left="667" w:hanging="452"/>
        <w:jc w:val="left"/>
      </w:pPr>
      <w:rPr>
        <w:rFonts w:hint="default"/>
        <w:lang w:val="zh-CN" w:eastAsia="zh-CN" w:bidi="zh-CN"/>
      </w:rPr>
    </w:lvl>
    <w:lvl w:ilvl="1" w:tentative="0">
      <w:start w:val="1"/>
      <w:numFmt w:val="decimal"/>
      <w:lvlText w:val="%1.%2"/>
      <w:lvlJc w:val="left"/>
      <w:pPr>
        <w:ind w:left="667" w:hanging="452"/>
        <w:jc w:val="left"/>
      </w:pPr>
      <w:rPr>
        <w:rFonts w:hint="default"/>
        <w:b/>
        <w:bCs/>
        <w:spacing w:val="-1"/>
        <w:w w:val="99"/>
        <w:lang w:val="zh-CN" w:eastAsia="zh-CN" w:bidi="zh-CN"/>
      </w:rPr>
    </w:lvl>
    <w:lvl w:ilvl="2" w:tentative="0">
      <w:start w:val="1"/>
      <w:numFmt w:val="decimal"/>
      <w:lvlText w:val="%1.%2.%3"/>
      <w:lvlJc w:val="left"/>
      <w:pPr>
        <w:ind w:left="847" w:hanging="632"/>
        <w:jc w:val="left"/>
      </w:pPr>
      <w:rPr>
        <w:rFonts w:hint="default" w:ascii="Times New Roman" w:hAnsi="Times New Roman" w:eastAsia="Times New Roman" w:cs="Times New Roman"/>
        <w:b/>
        <w:bCs/>
        <w:spacing w:val="-4"/>
        <w:w w:val="100"/>
        <w:sz w:val="28"/>
        <w:szCs w:val="28"/>
        <w:lang w:val="zh-CN" w:eastAsia="zh-CN" w:bidi="zh-CN"/>
      </w:rPr>
    </w:lvl>
    <w:lvl w:ilvl="3" w:tentative="0">
      <w:start w:val="1"/>
      <w:numFmt w:val="decimal"/>
      <w:lvlText w:val="（%4）"/>
      <w:lvlJc w:val="left"/>
      <w:pPr>
        <w:ind w:left="1297"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2532" w:hanging="601"/>
      </w:pPr>
      <w:rPr>
        <w:rFonts w:hint="default"/>
        <w:lang w:val="zh-CN" w:eastAsia="zh-CN" w:bidi="zh-CN"/>
      </w:rPr>
    </w:lvl>
    <w:lvl w:ilvl="5" w:tentative="0">
      <w:start w:val="0"/>
      <w:numFmt w:val="bullet"/>
      <w:lvlText w:val="•"/>
      <w:lvlJc w:val="left"/>
      <w:pPr>
        <w:ind w:left="3764" w:hanging="601"/>
      </w:pPr>
      <w:rPr>
        <w:rFonts w:hint="default"/>
        <w:lang w:val="zh-CN" w:eastAsia="zh-CN" w:bidi="zh-CN"/>
      </w:rPr>
    </w:lvl>
    <w:lvl w:ilvl="6" w:tentative="0">
      <w:start w:val="0"/>
      <w:numFmt w:val="bullet"/>
      <w:lvlText w:val="•"/>
      <w:lvlJc w:val="left"/>
      <w:pPr>
        <w:ind w:left="4996" w:hanging="601"/>
      </w:pPr>
      <w:rPr>
        <w:rFonts w:hint="default"/>
        <w:lang w:val="zh-CN" w:eastAsia="zh-CN" w:bidi="zh-CN"/>
      </w:rPr>
    </w:lvl>
    <w:lvl w:ilvl="7" w:tentative="0">
      <w:start w:val="0"/>
      <w:numFmt w:val="bullet"/>
      <w:lvlText w:val="•"/>
      <w:lvlJc w:val="left"/>
      <w:pPr>
        <w:ind w:left="6229" w:hanging="601"/>
      </w:pPr>
      <w:rPr>
        <w:rFonts w:hint="default"/>
        <w:lang w:val="zh-CN" w:eastAsia="zh-CN" w:bidi="zh-CN"/>
      </w:rPr>
    </w:lvl>
    <w:lvl w:ilvl="8" w:tentative="0">
      <w:start w:val="0"/>
      <w:numFmt w:val="bullet"/>
      <w:lvlText w:val="•"/>
      <w:lvlJc w:val="left"/>
      <w:pPr>
        <w:ind w:left="7461" w:hanging="601"/>
      </w:pPr>
      <w:rPr>
        <w:rFonts w:hint="default"/>
        <w:lang w:val="zh-CN" w:eastAsia="zh-CN" w:bidi="zh-CN"/>
      </w:rPr>
    </w:lvl>
  </w:abstractNum>
  <w:abstractNum w:abstractNumId="36">
    <w:nsid w:val="C4E0D24A"/>
    <w:multiLevelType w:val="multilevel"/>
    <w:tmpl w:val="C4E0D24A"/>
    <w:lvl w:ilvl="0" w:tentative="0">
      <w:start w:val="1"/>
      <w:numFmt w:val="decimal"/>
      <w:lvlText w:val="（%1）"/>
      <w:lvlJc w:val="left"/>
      <w:pPr>
        <w:ind w:left="216" w:hanging="601"/>
        <w:jc w:val="left"/>
      </w:pPr>
      <w:rPr>
        <w:rFonts w:hint="default" w:ascii="宋体" w:hAnsi="宋体" w:eastAsia="宋体" w:cs="宋体"/>
        <w:spacing w:val="-18"/>
        <w:w w:val="100"/>
        <w:sz w:val="22"/>
        <w:szCs w:val="22"/>
        <w:lang w:val="zh-CN" w:eastAsia="zh-CN" w:bidi="zh-CN"/>
      </w:rPr>
    </w:lvl>
    <w:lvl w:ilvl="1" w:tentative="0">
      <w:start w:val="0"/>
      <w:numFmt w:val="bullet"/>
      <w:lvlText w:val="•"/>
      <w:lvlJc w:val="left"/>
      <w:pPr>
        <w:ind w:left="1190" w:hanging="601"/>
      </w:pPr>
      <w:rPr>
        <w:rFonts w:hint="default"/>
        <w:lang w:val="zh-CN" w:eastAsia="zh-CN" w:bidi="zh-CN"/>
      </w:rPr>
    </w:lvl>
    <w:lvl w:ilvl="2" w:tentative="0">
      <w:start w:val="0"/>
      <w:numFmt w:val="bullet"/>
      <w:lvlText w:val="•"/>
      <w:lvlJc w:val="left"/>
      <w:pPr>
        <w:ind w:left="2161" w:hanging="601"/>
      </w:pPr>
      <w:rPr>
        <w:rFonts w:hint="default"/>
        <w:lang w:val="zh-CN" w:eastAsia="zh-CN" w:bidi="zh-CN"/>
      </w:rPr>
    </w:lvl>
    <w:lvl w:ilvl="3" w:tentative="0">
      <w:start w:val="0"/>
      <w:numFmt w:val="bullet"/>
      <w:lvlText w:val="•"/>
      <w:lvlJc w:val="left"/>
      <w:pPr>
        <w:ind w:left="3131" w:hanging="601"/>
      </w:pPr>
      <w:rPr>
        <w:rFonts w:hint="default"/>
        <w:lang w:val="zh-CN" w:eastAsia="zh-CN" w:bidi="zh-CN"/>
      </w:rPr>
    </w:lvl>
    <w:lvl w:ilvl="4" w:tentative="0">
      <w:start w:val="0"/>
      <w:numFmt w:val="bullet"/>
      <w:lvlText w:val="•"/>
      <w:lvlJc w:val="left"/>
      <w:pPr>
        <w:ind w:left="4102" w:hanging="601"/>
      </w:pPr>
      <w:rPr>
        <w:rFonts w:hint="default"/>
        <w:lang w:val="zh-CN" w:eastAsia="zh-CN" w:bidi="zh-CN"/>
      </w:rPr>
    </w:lvl>
    <w:lvl w:ilvl="5" w:tentative="0">
      <w:start w:val="0"/>
      <w:numFmt w:val="bullet"/>
      <w:lvlText w:val="•"/>
      <w:lvlJc w:val="left"/>
      <w:pPr>
        <w:ind w:left="5073" w:hanging="601"/>
      </w:pPr>
      <w:rPr>
        <w:rFonts w:hint="default"/>
        <w:lang w:val="zh-CN" w:eastAsia="zh-CN" w:bidi="zh-CN"/>
      </w:rPr>
    </w:lvl>
    <w:lvl w:ilvl="6" w:tentative="0">
      <w:start w:val="0"/>
      <w:numFmt w:val="bullet"/>
      <w:lvlText w:val="•"/>
      <w:lvlJc w:val="left"/>
      <w:pPr>
        <w:ind w:left="6043" w:hanging="601"/>
      </w:pPr>
      <w:rPr>
        <w:rFonts w:hint="default"/>
        <w:lang w:val="zh-CN" w:eastAsia="zh-CN" w:bidi="zh-CN"/>
      </w:rPr>
    </w:lvl>
    <w:lvl w:ilvl="7" w:tentative="0">
      <w:start w:val="0"/>
      <w:numFmt w:val="bullet"/>
      <w:lvlText w:val="•"/>
      <w:lvlJc w:val="left"/>
      <w:pPr>
        <w:ind w:left="7014" w:hanging="601"/>
      </w:pPr>
      <w:rPr>
        <w:rFonts w:hint="default"/>
        <w:lang w:val="zh-CN" w:eastAsia="zh-CN" w:bidi="zh-CN"/>
      </w:rPr>
    </w:lvl>
    <w:lvl w:ilvl="8" w:tentative="0">
      <w:start w:val="0"/>
      <w:numFmt w:val="bullet"/>
      <w:lvlText w:val="•"/>
      <w:lvlJc w:val="left"/>
      <w:pPr>
        <w:ind w:left="7984" w:hanging="601"/>
      </w:pPr>
      <w:rPr>
        <w:rFonts w:hint="default"/>
        <w:lang w:val="zh-CN" w:eastAsia="zh-CN" w:bidi="zh-CN"/>
      </w:rPr>
    </w:lvl>
  </w:abstractNum>
  <w:abstractNum w:abstractNumId="37">
    <w:nsid w:val="C8879AEF"/>
    <w:multiLevelType w:val="multilevel"/>
    <w:tmpl w:val="C8879AEF"/>
    <w:lvl w:ilvl="0" w:tentative="0">
      <w:start w:val="5"/>
      <w:numFmt w:val="decimal"/>
      <w:lvlText w:val="(%1)"/>
      <w:lvlJc w:val="left"/>
      <w:pPr>
        <w:ind w:left="1418" w:hanging="281"/>
        <w:jc w:val="left"/>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2320" w:hanging="281"/>
      </w:pPr>
      <w:rPr>
        <w:rFonts w:hint="default"/>
        <w:lang w:val="zh-CN" w:eastAsia="zh-CN" w:bidi="zh-CN"/>
      </w:rPr>
    </w:lvl>
    <w:lvl w:ilvl="2" w:tentative="0">
      <w:start w:val="0"/>
      <w:numFmt w:val="bullet"/>
      <w:lvlText w:val="•"/>
      <w:lvlJc w:val="left"/>
      <w:pPr>
        <w:ind w:left="3221" w:hanging="281"/>
      </w:pPr>
      <w:rPr>
        <w:rFonts w:hint="default"/>
        <w:lang w:val="zh-CN" w:eastAsia="zh-CN" w:bidi="zh-CN"/>
      </w:rPr>
    </w:lvl>
    <w:lvl w:ilvl="3" w:tentative="0">
      <w:start w:val="0"/>
      <w:numFmt w:val="bullet"/>
      <w:lvlText w:val="•"/>
      <w:lvlJc w:val="left"/>
      <w:pPr>
        <w:ind w:left="4121" w:hanging="281"/>
      </w:pPr>
      <w:rPr>
        <w:rFonts w:hint="default"/>
        <w:lang w:val="zh-CN" w:eastAsia="zh-CN" w:bidi="zh-CN"/>
      </w:rPr>
    </w:lvl>
    <w:lvl w:ilvl="4" w:tentative="0">
      <w:start w:val="0"/>
      <w:numFmt w:val="bullet"/>
      <w:lvlText w:val="•"/>
      <w:lvlJc w:val="left"/>
      <w:pPr>
        <w:ind w:left="5022" w:hanging="281"/>
      </w:pPr>
      <w:rPr>
        <w:rFonts w:hint="default"/>
        <w:lang w:val="zh-CN" w:eastAsia="zh-CN" w:bidi="zh-CN"/>
      </w:rPr>
    </w:lvl>
    <w:lvl w:ilvl="5" w:tentative="0">
      <w:start w:val="0"/>
      <w:numFmt w:val="bullet"/>
      <w:lvlText w:val="•"/>
      <w:lvlJc w:val="left"/>
      <w:pPr>
        <w:ind w:left="5923" w:hanging="281"/>
      </w:pPr>
      <w:rPr>
        <w:rFonts w:hint="default"/>
        <w:lang w:val="zh-CN" w:eastAsia="zh-CN" w:bidi="zh-CN"/>
      </w:rPr>
    </w:lvl>
    <w:lvl w:ilvl="6" w:tentative="0">
      <w:start w:val="0"/>
      <w:numFmt w:val="bullet"/>
      <w:lvlText w:val="•"/>
      <w:lvlJc w:val="left"/>
      <w:pPr>
        <w:ind w:left="6823" w:hanging="281"/>
      </w:pPr>
      <w:rPr>
        <w:rFonts w:hint="default"/>
        <w:lang w:val="zh-CN" w:eastAsia="zh-CN" w:bidi="zh-CN"/>
      </w:rPr>
    </w:lvl>
    <w:lvl w:ilvl="7" w:tentative="0">
      <w:start w:val="0"/>
      <w:numFmt w:val="bullet"/>
      <w:lvlText w:val="•"/>
      <w:lvlJc w:val="left"/>
      <w:pPr>
        <w:ind w:left="7724" w:hanging="281"/>
      </w:pPr>
      <w:rPr>
        <w:rFonts w:hint="default"/>
        <w:lang w:val="zh-CN" w:eastAsia="zh-CN" w:bidi="zh-CN"/>
      </w:rPr>
    </w:lvl>
    <w:lvl w:ilvl="8" w:tentative="0">
      <w:start w:val="0"/>
      <w:numFmt w:val="bullet"/>
      <w:lvlText w:val="•"/>
      <w:lvlJc w:val="left"/>
      <w:pPr>
        <w:ind w:left="8624" w:hanging="281"/>
      </w:pPr>
      <w:rPr>
        <w:rFonts w:hint="default"/>
        <w:lang w:val="zh-CN" w:eastAsia="zh-CN" w:bidi="zh-CN"/>
      </w:rPr>
    </w:lvl>
  </w:abstractNum>
  <w:abstractNum w:abstractNumId="38">
    <w:nsid w:val="C90D1B09"/>
    <w:multiLevelType w:val="multilevel"/>
    <w:tmpl w:val="C90D1B09"/>
    <w:lvl w:ilvl="0" w:tentative="0">
      <w:start w:val="18"/>
      <w:numFmt w:val="decimal"/>
      <w:lvlText w:val="%1"/>
      <w:lvlJc w:val="left"/>
      <w:pPr>
        <w:ind w:left="1260" w:hanging="600"/>
        <w:jc w:val="left"/>
      </w:pPr>
      <w:rPr>
        <w:rFonts w:hint="default"/>
        <w:lang w:val="zh-CN" w:eastAsia="zh-CN" w:bidi="zh-CN"/>
      </w:rPr>
    </w:lvl>
    <w:lvl w:ilvl="1" w:tentative="0">
      <w:start w:val="1"/>
      <w:numFmt w:val="decimal"/>
      <w:lvlText w:val="%1.%2"/>
      <w:lvlJc w:val="left"/>
      <w:pPr>
        <w:ind w:left="1260" w:hanging="600"/>
        <w:jc w:val="left"/>
      </w:pPr>
      <w:rPr>
        <w:rFonts w:hint="default" w:ascii="Times New Roman" w:hAnsi="Times New Roman" w:eastAsia="Times New Roman" w:cs="Times New Roman"/>
        <w:b/>
        <w:bCs/>
        <w:spacing w:val="-2"/>
        <w:w w:val="99"/>
        <w:sz w:val="30"/>
        <w:szCs w:val="30"/>
        <w:lang w:val="zh-CN" w:eastAsia="zh-CN" w:bidi="zh-CN"/>
      </w:rPr>
    </w:lvl>
    <w:lvl w:ilvl="2" w:tentative="0">
      <w:start w:val="1"/>
      <w:numFmt w:val="decimal"/>
      <w:lvlText w:val="%1.%2.%3"/>
      <w:lvlJc w:val="left"/>
      <w:pPr>
        <w:ind w:left="1430" w:hanging="77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741"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3741" w:hanging="601"/>
      </w:pPr>
      <w:rPr>
        <w:rFonts w:hint="default"/>
        <w:lang w:val="zh-CN" w:eastAsia="zh-CN" w:bidi="zh-CN"/>
      </w:rPr>
    </w:lvl>
    <w:lvl w:ilvl="5" w:tentative="0">
      <w:start w:val="0"/>
      <w:numFmt w:val="bullet"/>
      <w:lvlText w:val="•"/>
      <w:lvlJc w:val="left"/>
      <w:pPr>
        <w:ind w:left="4742" w:hanging="601"/>
      </w:pPr>
      <w:rPr>
        <w:rFonts w:hint="default"/>
        <w:lang w:val="zh-CN" w:eastAsia="zh-CN" w:bidi="zh-CN"/>
      </w:rPr>
    </w:lvl>
    <w:lvl w:ilvl="6" w:tentative="0">
      <w:start w:val="0"/>
      <w:numFmt w:val="bullet"/>
      <w:lvlText w:val="•"/>
      <w:lvlJc w:val="left"/>
      <w:pPr>
        <w:ind w:left="5743" w:hanging="601"/>
      </w:pPr>
      <w:rPr>
        <w:rFonts w:hint="default"/>
        <w:lang w:val="zh-CN" w:eastAsia="zh-CN" w:bidi="zh-CN"/>
      </w:rPr>
    </w:lvl>
    <w:lvl w:ilvl="7" w:tentative="0">
      <w:start w:val="0"/>
      <w:numFmt w:val="bullet"/>
      <w:lvlText w:val="•"/>
      <w:lvlJc w:val="left"/>
      <w:pPr>
        <w:ind w:left="6743" w:hanging="601"/>
      </w:pPr>
      <w:rPr>
        <w:rFonts w:hint="default"/>
        <w:lang w:val="zh-CN" w:eastAsia="zh-CN" w:bidi="zh-CN"/>
      </w:rPr>
    </w:lvl>
    <w:lvl w:ilvl="8" w:tentative="0">
      <w:start w:val="0"/>
      <w:numFmt w:val="bullet"/>
      <w:lvlText w:val="•"/>
      <w:lvlJc w:val="left"/>
      <w:pPr>
        <w:ind w:left="7744" w:hanging="601"/>
      </w:pPr>
      <w:rPr>
        <w:rFonts w:hint="default"/>
        <w:lang w:val="zh-CN" w:eastAsia="zh-CN" w:bidi="zh-CN"/>
      </w:rPr>
    </w:lvl>
  </w:abstractNum>
  <w:abstractNum w:abstractNumId="39">
    <w:nsid w:val="CF092B84"/>
    <w:multiLevelType w:val="multilevel"/>
    <w:tmpl w:val="CF092B84"/>
    <w:lvl w:ilvl="0" w:tentative="0">
      <w:start w:val="6"/>
      <w:numFmt w:val="decimal"/>
      <w:lvlText w:val="%1"/>
      <w:lvlJc w:val="left"/>
      <w:pPr>
        <w:ind w:left="1774" w:hanging="315"/>
        <w:jc w:val="left"/>
      </w:pPr>
      <w:rPr>
        <w:rFonts w:hint="default"/>
        <w:lang w:val="zh-CN" w:eastAsia="zh-CN" w:bidi="zh-CN"/>
      </w:rPr>
    </w:lvl>
    <w:lvl w:ilvl="1" w:tentative="0">
      <w:start w:val="2"/>
      <w:numFmt w:val="decimal"/>
      <w:lvlText w:val="%1.%2"/>
      <w:lvlJc w:val="left"/>
      <w:pPr>
        <w:ind w:left="1774" w:hanging="315"/>
        <w:jc w:val="left"/>
      </w:pPr>
      <w:rPr>
        <w:rFonts w:hint="default" w:ascii="Times New Roman" w:hAnsi="Times New Roman" w:eastAsia="Times New Roman" w:cs="Times New Roman"/>
        <w:spacing w:val="-2"/>
        <w:w w:val="99"/>
        <w:sz w:val="21"/>
        <w:szCs w:val="21"/>
        <w:lang w:val="zh-CN" w:eastAsia="zh-CN" w:bidi="zh-CN"/>
      </w:rPr>
    </w:lvl>
    <w:lvl w:ilvl="2" w:tentative="0">
      <w:start w:val="0"/>
      <w:numFmt w:val="bullet"/>
      <w:lvlText w:val="•"/>
      <w:lvlJc w:val="left"/>
      <w:pPr>
        <w:ind w:left="3509" w:hanging="315"/>
      </w:pPr>
      <w:rPr>
        <w:rFonts w:hint="default"/>
        <w:lang w:val="zh-CN" w:eastAsia="zh-CN" w:bidi="zh-CN"/>
      </w:rPr>
    </w:lvl>
    <w:lvl w:ilvl="3" w:tentative="0">
      <w:start w:val="0"/>
      <w:numFmt w:val="bullet"/>
      <w:lvlText w:val="•"/>
      <w:lvlJc w:val="left"/>
      <w:pPr>
        <w:ind w:left="4373" w:hanging="315"/>
      </w:pPr>
      <w:rPr>
        <w:rFonts w:hint="default"/>
        <w:lang w:val="zh-CN" w:eastAsia="zh-CN" w:bidi="zh-CN"/>
      </w:rPr>
    </w:lvl>
    <w:lvl w:ilvl="4" w:tentative="0">
      <w:start w:val="0"/>
      <w:numFmt w:val="bullet"/>
      <w:lvlText w:val="•"/>
      <w:lvlJc w:val="left"/>
      <w:pPr>
        <w:ind w:left="5238" w:hanging="315"/>
      </w:pPr>
      <w:rPr>
        <w:rFonts w:hint="default"/>
        <w:lang w:val="zh-CN" w:eastAsia="zh-CN" w:bidi="zh-CN"/>
      </w:rPr>
    </w:lvl>
    <w:lvl w:ilvl="5" w:tentative="0">
      <w:start w:val="0"/>
      <w:numFmt w:val="bullet"/>
      <w:lvlText w:val="•"/>
      <w:lvlJc w:val="left"/>
      <w:pPr>
        <w:ind w:left="6103" w:hanging="315"/>
      </w:pPr>
      <w:rPr>
        <w:rFonts w:hint="default"/>
        <w:lang w:val="zh-CN" w:eastAsia="zh-CN" w:bidi="zh-CN"/>
      </w:rPr>
    </w:lvl>
    <w:lvl w:ilvl="6" w:tentative="0">
      <w:start w:val="0"/>
      <w:numFmt w:val="bullet"/>
      <w:lvlText w:val="•"/>
      <w:lvlJc w:val="left"/>
      <w:pPr>
        <w:ind w:left="6967" w:hanging="315"/>
      </w:pPr>
      <w:rPr>
        <w:rFonts w:hint="default"/>
        <w:lang w:val="zh-CN" w:eastAsia="zh-CN" w:bidi="zh-CN"/>
      </w:rPr>
    </w:lvl>
    <w:lvl w:ilvl="7" w:tentative="0">
      <w:start w:val="0"/>
      <w:numFmt w:val="bullet"/>
      <w:lvlText w:val="•"/>
      <w:lvlJc w:val="left"/>
      <w:pPr>
        <w:ind w:left="7832" w:hanging="315"/>
      </w:pPr>
      <w:rPr>
        <w:rFonts w:hint="default"/>
        <w:lang w:val="zh-CN" w:eastAsia="zh-CN" w:bidi="zh-CN"/>
      </w:rPr>
    </w:lvl>
    <w:lvl w:ilvl="8" w:tentative="0">
      <w:start w:val="0"/>
      <w:numFmt w:val="bullet"/>
      <w:lvlText w:val="•"/>
      <w:lvlJc w:val="left"/>
      <w:pPr>
        <w:ind w:left="8696" w:hanging="315"/>
      </w:pPr>
      <w:rPr>
        <w:rFonts w:hint="default"/>
        <w:lang w:val="zh-CN" w:eastAsia="zh-CN" w:bidi="zh-CN"/>
      </w:rPr>
    </w:lvl>
  </w:abstractNum>
  <w:abstractNum w:abstractNumId="40">
    <w:nsid w:val="D1EB1714"/>
    <w:multiLevelType w:val="multilevel"/>
    <w:tmpl w:val="D1EB1714"/>
    <w:lvl w:ilvl="0" w:tentative="0">
      <w:start w:val="1"/>
      <w:numFmt w:val="decimal"/>
      <w:lvlText w:val="%1."/>
      <w:lvlJc w:val="left"/>
      <w:pPr>
        <w:ind w:left="111" w:hanging="161"/>
        <w:jc w:val="left"/>
      </w:pPr>
      <w:rPr>
        <w:rFonts w:hint="default" w:ascii="Times New Roman" w:hAnsi="Times New Roman" w:eastAsia="Times New Roman" w:cs="Times New Roman"/>
        <w:spacing w:val="1"/>
        <w:w w:val="99"/>
        <w:position w:val="2"/>
        <w:sz w:val="19"/>
        <w:szCs w:val="19"/>
        <w:lang w:val="zh-CN" w:eastAsia="zh-CN" w:bidi="zh-CN"/>
      </w:rPr>
    </w:lvl>
    <w:lvl w:ilvl="1" w:tentative="0">
      <w:start w:val="0"/>
      <w:numFmt w:val="bullet"/>
      <w:lvlText w:val="•"/>
      <w:lvlJc w:val="left"/>
      <w:pPr>
        <w:ind w:left="689" w:hanging="161"/>
      </w:pPr>
      <w:rPr>
        <w:rFonts w:hint="default"/>
        <w:lang w:val="zh-CN" w:eastAsia="zh-CN" w:bidi="zh-CN"/>
      </w:rPr>
    </w:lvl>
    <w:lvl w:ilvl="2" w:tentative="0">
      <w:start w:val="0"/>
      <w:numFmt w:val="bullet"/>
      <w:lvlText w:val="•"/>
      <w:lvlJc w:val="left"/>
      <w:pPr>
        <w:ind w:left="1259" w:hanging="161"/>
      </w:pPr>
      <w:rPr>
        <w:rFonts w:hint="default"/>
        <w:lang w:val="zh-CN" w:eastAsia="zh-CN" w:bidi="zh-CN"/>
      </w:rPr>
    </w:lvl>
    <w:lvl w:ilvl="3" w:tentative="0">
      <w:start w:val="0"/>
      <w:numFmt w:val="bullet"/>
      <w:lvlText w:val="•"/>
      <w:lvlJc w:val="left"/>
      <w:pPr>
        <w:ind w:left="1829" w:hanging="161"/>
      </w:pPr>
      <w:rPr>
        <w:rFonts w:hint="default"/>
        <w:lang w:val="zh-CN" w:eastAsia="zh-CN" w:bidi="zh-CN"/>
      </w:rPr>
    </w:lvl>
    <w:lvl w:ilvl="4" w:tentative="0">
      <w:start w:val="0"/>
      <w:numFmt w:val="bullet"/>
      <w:lvlText w:val="•"/>
      <w:lvlJc w:val="left"/>
      <w:pPr>
        <w:ind w:left="2398" w:hanging="161"/>
      </w:pPr>
      <w:rPr>
        <w:rFonts w:hint="default"/>
        <w:lang w:val="zh-CN" w:eastAsia="zh-CN" w:bidi="zh-CN"/>
      </w:rPr>
    </w:lvl>
    <w:lvl w:ilvl="5" w:tentative="0">
      <w:start w:val="0"/>
      <w:numFmt w:val="bullet"/>
      <w:lvlText w:val="•"/>
      <w:lvlJc w:val="left"/>
      <w:pPr>
        <w:ind w:left="2968" w:hanging="161"/>
      </w:pPr>
      <w:rPr>
        <w:rFonts w:hint="default"/>
        <w:lang w:val="zh-CN" w:eastAsia="zh-CN" w:bidi="zh-CN"/>
      </w:rPr>
    </w:lvl>
    <w:lvl w:ilvl="6" w:tentative="0">
      <w:start w:val="0"/>
      <w:numFmt w:val="bullet"/>
      <w:lvlText w:val="•"/>
      <w:lvlJc w:val="left"/>
      <w:pPr>
        <w:ind w:left="3538" w:hanging="161"/>
      </w:pPr>
      <w:rPr>
        <w:rFonts w:hint="default"/>
        <w:lang w:val="zh-CN" w:eastAsia="zh-CN" w:bidi="zh-CN"/>
      </w:rPr>
    </w:lvl>
    <w:lvl w:ilvl="7" w:tentative="0">
      <w:start w:val="0"/>
      <w:numFmt w:val="bullet"/>
      <w:lvlText w:val="•"/>
      <w:lvlJc w:val="left"/>
      <w:pPr>
        <w:ind w:left="4107" w:hanging="161"/>
      </w:pPr>
      <w:rPr>
        <w:rFonts w:hint="default"/>
        <w:lang w:val="zh-CN" w:eastAsia="zh-CN" w:bidi="zh-CN"/>
      </w:rPr>
    </w:lvl>
    <w:lvl w:ilvl="8" w:tentative="0">
      <w:start w:val="0"/>
      <w:numFmt w:val="bullet"/>
      <w:lvlText w:val="•"/>
      <w:lvlJc w:val="left"/>
      <w:pPr>
        <w:ind w:left="4677" w:hanging="161"/>
      </w:pPr>
      <w:rPr>
        <w:rFonts w:hint="default"/>
        <w:lang w:val="zh-CN" w:eastAsia="zh-CN" w:bidi="zh-CN"/>
      </w:rPr>
    </w:lvl>
  </w:abstractNum>
  <w:abstractNum w:abstractNumId="41">
    <w:nsid w:val="D7D140E4"/>
    <w:multiLevelType w:val="multilevel"/>
    <w:tmpl w:val="D7D140E4"/>
    <w:lvl w:ilvl="0" w:tentative="0">
      <w:start w:val="6"/>
      <w:numFmt w:val="decimal"/>
      <w:lvlText w:val="%1"/>
      <w:lvlJc w:val="left"/>
      <w:pPr>
        <w:ind w:left="1000" w:hanging="449"/>
        <w:jc w:val="left"/>
      </w:pPr>
      <w:rPr>
        <w:rFonts w:hint="default"/>
        <w:lang w:val="zh-CN" w:eastAsia="zh-CN" w:bidi="zh-CN"/>
      </w:rPr>
    </w:lvl>
    <w:lvl w:ilvl="1" w:tentative="0">
      <w:start w:val="1"/>
      <w:numFmt w:val="decimal"/>
      <w:lvlText w:val="%1.%2"/>
      <w:lvlJc w:val="left"/>
      <w:pPr>
        <w:ind w:left="1000" w:hanging="449"/>
        <w:jc w:val="left"/>
      </w:pPr>
      <w:rPr>
        <w:rFonts w:hint="default" w:ascii="Times New Roman" w:hAnsi="Times New Roman" w:eastAsia="Times New Roman" w:cs="Times New Roman"/>
        <w:b/>
        <w:bCs/>
        <w:spacing w:val="-1"/>
        <w:w w:val="100"/>
        <w:sz w:val="30"/>
        <w:szCs w:val="30"/>
        <w:lang w:val="zh-CN" w:eastAsia="zh-CN" w:bidi="zh-CN"/>
      </w:rPr>
    </w:lvl>
    <w:lvl w:ilvl="2" w:tentative="0">
      <w:start w:val="1"/>
      <w:numFmt w:val="decimal"/>
      <w:lvlText w:val="%1.%2.%3"/>
      <w:lvlJc w:val="left"/>
      <w:pPr>
        <w:ind w:left="1180"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633"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2823" w:hanging="601"/>
      </w:pPr>
      <w:rPr>
        <w:rFonts w:hint="default"/>
        <w:lang w:val="zh-CN" w:eastAsia="zh-CN" w:bidi="zh-CN"/>
      </w:rPr>
    </w:lvl>
    <w:lvl w:ilvl="5" w:tentative="0">
      <w:start w:val="0"/>
      <w:numFmt w:val="bullet"/>
      <w:lvlText w:val="•"/>
      <w:lvlJc w:val="left"/>
      <w:pPr>
        <w:ind w:left="4007" w:hanging="601"/>
      </w:pPr>
      <w:rPr>
        <w:rFonts w:hint="default"/>
        <w:lang w:val="zh-CN" w:eastAsia="zh-CN" w:bidi="zh-CN"/>
      </w:rPr>
    </w:lvl>
    <w:lvl w:ilvl="6" w:tentative="0">
      <w:start w:val="0"/>
      <w:numFmt w:val="bullet"/>
      <w:lvlText w:val="•"/>
      <w:lvlJc w:val="left"/>
      <w:pPr>
        <w:ind w:left="5191" w:hanging="601"/>
      </w:pPr>
      <w:rPr>
        <w:rFonts w:hint="default"/>
        <w:lang w:val="zh-CN" w:eastAsia="zh-CN" w:bidi="zh-CN"/>
      </w:rPr>
    </w:lvl>
    <w:lvl w:ilvl="7" w:tentative="0">
      <w:start w:val="0"/>
      <w:numFmt w:val="bullet"/>
      <w:lvlText w:val="•"/>
      <w:lvlJc w:val="left"/>
      <w:pPr>
        <w:ind w:left="6374" w:hanging="601"/>
      </w:pPr>
      <w:rPr>
        <w:rFonts w:hint="default"/>
        <w:lang w:val="zh-CN" w:eastAsia="zh-CN" w:bidi="zh-CN"/>
      </w:rPr>
    </w:lvl>
    <w:lvl w:ilvl="8" w:tentative="0">
      <w:start w:val="0"/>
      <w:numFmt w:val="bullet"/>
      <w:lvlText w:val="•"/>
      <w:lvlJc w:val="left"/>
      <w:pPr>
        <w:ind w:left="7558" w:hanging="601"/>
      </w:pPr>
      <w:rPr>
        <w:rFonts w:hint="default"/>
        <w:lang w:val="zh-CN" w:eastAsia="zh-CN" w:bidi="zh-CN"/>
      </w:rPr>
    </w:lvl>
  </w:abstractNum>
  <w:abstractNum w:abstractNumId="42">
    <w:nsid w:val="D7F9FE59"/>
    <w:multiLevelType w:val="multilevel"/>
    <w:tmpl w:val="D7F9FE59"/>
    <w:lvl w:ilvl="0" w:tentative="0">
      <w:start w:val="1"/>
      <w:numFmt w:val="decimal"/>
      <w:lvlText w:val="%1."/>
      <w:lvlJc w:val="left"/>
      <w:pPr>
        <w:ind w:left="1701" w:hanging="181"/>
        <w:jc w:val="left"/>
      </w:pPr>
      <w:rPr>
        <w:rFonts w:hint="default" w:ascii="Times New Roman" w:hAnsi="Times New Roman" w:eastAsia="Times New Roman" w:cs="Times New Roman"/>
        <w:b/>
        <w:bCs/>
        <w:w w:val="100"/>
        <w:sz w:val="22"/>
        <w:szCs w:val="22"/>
        <w:lang w:val="zh-CN" w:eastAsia="zh-CN" w:bidi="zh-CN"/>
      </w:rPr>
    </w:lvl>
    <w:lvl w:ilvl="1" w:tentative="0">
      <w:start w:val="4"/>
      <w:numFmt w:val="decimal"/>
      <w:lvlText w:val="%2."/>
      <w:lvlJc w:val="left"/>
      <w:pPr>
        <w:ind w:left="3044" w:hanging="272"/>
        <w:jc w:val="right"/>
      </w:pPr>
      <w:rPr>
        <w:rFonts w:hint="default" w:ascii="Times New Roman" w:hAnsi="Times New Roman" w:eastAsia="Times New Roman" w:cs="Times New Roman"/>
        <w:b/>
        <w:bCs/>
        <w:w w:val="100"/>
        <w:sz w:val="34"/>
        <w:szCs w:val="34"/>
        <w:lang w:val="zh-CN" w:eastAsia="zh-CN" w:bidi="zh-CN"/>
      </w:rPr>
    </w:lvl>
    <w:lvl w:ilvl="2" w:tentative="0">
      <w:start w:val="0"/>
      <w:numFmt w:val="bullet"/>
      <w:lvlText w:val="•"/>
      <w:lvlJc w:val="left"/>
      <w:pPr>
        <w:ind w:left="3751" w:hanging="272"/>
      </w:pPr>
      <w:rPr>
        <w:rFonts w:hint="default"/>
        <w:lang w:val="zh-CN" w:eastAsia="zh-CN" w:bidi="zh-CN"/>
      </w:rPr>
    </w:lvl>
    <w:lvl w:ilvl="3" w:tentative="0">
      <w:start w:val="0"/>
      <w:numFmt w:val="bullet"/>
      <w:lvlText w:val="•"/>
      <w:lvlJc w:val="left"/>
      <w:pPr>
        <w:ind w:left="4463" w:hanging="272"/>
      </w:pPr>
      <w:rPr>
        <w:rFonts w:hint="default"/>
        <w:lang w:val="zh-CN" w:eastAsia="zh-CN" w:bidi="zh-CN"/>
      </w:rPr>
    </w:lvl>
    <w:lvl w:ilvl="4" w:tentative="0">
      <w:start w:val="0"/>
      <w:numFmt w:val="bullet"/>
      <w:lvlText w:val="•"/>
      <w:lvlJc w:val="left"/>
      <w:pPr>
        <w:ind w:left="5175" w:hanging="272"/>
      </w:pPr>
      <w:rPr>
        <w:rFonts w:hint="default"/>
        <w:lang w:val="zh-CN" w:eastAsia="zh-CN" w:bidi="zh-CN"/>
      </w:rPr>
    </w:lvl>
    <w:lvl w:ilvl="5" w:tentative="0">
      <w:start w:val="0"/>
      <w:numFmt w:val="bullet"/>
      <w:lvlText w:val="•"/>
      <w:lvlJc w:val="left"/>
      <w:pPr>
        <w:ind w:left="5887" w:hanging="272"/>
      </w:pPr>
      <w:rPr>
        <w:rFonts w:hint="default"/>
        <w:lang w:val="zh-CN" w:eastAsia="zh-CN" w:bidi="zh-CN"/>
      </w:rPr>
    </w:lvl>
    <w:lvl w:ilvl="6" w:tentative="0">
      <w:start w:val="0"/>
      <w:numFmt w:val="bullet"/>
      <w:lvlText w:val="•"/>
      <w:lvlJc w:val="left"/>
      <w:pPr>
        <w:ind w:left="6598" w:hanging="272"/>
      </w:pPr>
      <w:rPr>
        <w:rFonts w:hint="default"/>
        <w:lang w:val="zh-CN" w:eastAsia="zh-CN" w:bidi="zh-CN"/>
      </w:rPr>
    </w:lvl>
    <w:lvl w:ilvl="7" w:tentative="0">
      <w:start w:val="0"/>
      <w:numFmt w:val="bullet"/>
      <w:lvlText w:val="•"/>
      <w:lvlJc w:val="left"/>
      <w:pPr>
        <w:ind w:left="7310" w:hanging="272"/>
      </w:pPr>
      <w:rPr>
        <w:rFonts w:hint="default"/>
        <w:lang w:val="zh-CN" w:eastAsia="zh-CN" w:bidi="zh-CN"/>
      </w:rPr>
    </w:lvl>
    <w:lvl w:ilvl="8" w:tentative="0">
      <w:start w:val="0"/>
      <w:numFmt w:val="bullet"/>
      <w:lvlText w:val="•"/>
      <w:lvlJc w:val="left"/>
      <w:pPr>
        <w:ind w:left="8022" w:hanging="272"/>
      </w:pPr>
      <w:rPr>
        <w:rFonts w:hint="default"/>
        <w:lang w:val="zh-CN" w:eastAsia="zh-CN" w:bidi="zh-CN"/>
      </w:rPr>
    </w:lvl>
  </w:abstractNum>
  <w:abstractNum w:abstractNumId="43">
    <w:nsid w:val="DAD3A854"/>
    <w:multiLevelType w:val="multilevel"/>
    <w:tmpl w:val="DAD3A854"/>
    <w:lvl w:ilvl="0" w:tentative="0">
      <w:start w:val="13"/>
      <w:numFmt w:val="decimal"/>
      <w:lvlText w:val="%1"/>
      <w:lvlJc w:val="left"/>
      <w:pPr>
        <w:ind w:left="867" w:hanging="632"/>
        <w:jc w:val="left"/>
      </w:pPr>
      <w:rPr>
        <w:rFonts w:hint="default"/>
        <w:lang w:val="zh-CN" w:eastAsia="zh-CN" w:bidi="zh-CN"/>
      </w:rPr>
    </w:lvl>
    <w:lvl w:ilvl="1" w:tentative="0">
      <w:start w:val="1"/>
      <w:numFmt w:val="decimal"/>
      <w:lvlText w:val="%1.%2"/>
      <w:lvlJc w:val="left"/>
      <w:pPr>
        <w:ind w:left="867" w:hanging="632"/>
        <w:jc w:val="left"/>
      </w:pPr>
      <w:rPr>
        <w:rFonts w:hint="default"/>
        <w:b/>
        <w:bCs/>
        <w:spacing w:val="-2"/>
        <w:w w:val="100"/>
        <w:lang w:val="zh-CN" w:eastAsia="zh-CN" w:bidi="zh-CN"/>
      </w:rPr>
    </w:lvl>
    <w:lvl w:ilvl="2" w:tentative="0">
      <w:start w:val="1"/>
      <w:numFmt w:val="decimal"/>
      <w:lvlText w:val="（%3）"/>
      <w:lvlJc w:val="left"/>
      <w:pPr>
        <w:ind w:left="236" w:hanging="601"/>
        <w:jc w:val="left"/>
      </w:pPr>
      <w:rPr>
        <w:rFonts w:hint="default" w:ascii="宋体" w:hAnsi="宋体" w:eastAsia="宋体" w:cs="宋体"/>
        <w:spacing w:val="-12"/>
        <w:w w:val="100"/>
        <w:sz w:val="22"/>
        <w:szCs w:val="22"/>
        <w:lang w:val="zh-CN" w:eastAsia="zh-CN" w:bidi="zh-CN"/>
      </w:rPr>
    </w:lvl>
    <w:lvl w:ilvl="3" w:tentative="0">
      <w:start w:val="0"/>
      <w:numFmt w:val="bullet"/>
      <w:lvlText w:val="•"/>
      <w:lvlJc w:val="left"/>
      <w:pPr>
        <w:ind w:left="2803" w:hanging="601"/>
      </w:pPr>
      <w:rPr>
        <w:rFonts w:hint="default"/>
        <w:lang w:val="zh-CN" w:eastAsia="zh-CN" w:bidi="zh-CN"/>
      </w:rPr>
    </w:lvl>
    <w:lvl w:ilvl="4" w:tentative="0">
      <w:start w:val="0"/>
      <w:numFmt w:val="bullet"/>
      <w:lvlText w:val="•"/>
      <w:lvlJc w:val="left"/>
      <w:pPr>
        <w:ind w:left="3775" w:hanging="601"/>
      </w:pPr>
      <w:rPr>
        <w:rFonts w:hint="default"/>
        <w:lang w:val="zh-CN" w:eastAsia="zh-CN" w:bidi="zh-CN"/>
      </w:rPr>
    </w:lvl>
    <w:lvl w:ilvl="5" w:tentative="0">
      <w:start w:val="0"/>
      <w:numFmt w:val="bullet"/>
      <w:lvlText w:val="•"/>
      <w:lvlJc w:val="left"/>
      <w:pPr>
        <w:ind w:left="4747" w:hanging="601"/>
      </w:pPr>
      <w:rPr>
        <w:rFonts w:hint="default"/>
        <w:lang w:val="zh-CN" w:eastAsia="zh-CN" w:bidi="zh-CN"/>
      </w:rPr>
    </w:lvl>
    <w:lvl w:ilvl="6" w:tentative="0">
      <w:start w:val="0"/>
      <w:numFmt w:val="bullet"/>
      <w:lvlText w:val="•"/>
      <w:lvlJc w:val="left"/>
      <w:pPr>
        <w:ind w:left="5718" w:hanging="601"/>
      </w:pPr>
      <w:rPr>
        <w:rFonts w:hint="default"/>
        <w:lang w:val="zh-CN" w:eastAsia="zh-CN" w:bidi="zh-CN"/>
      </w:rPr>
    </w:lvl>
    <w:lvl w:ilvl="7" w:tentative="0">
      <w:start w:val="0"/>
      <w:numFmt w:val="bullet"/>
      <w:lvlText w:val="•"/>
      <w:lvlJc w:val="left"/>
      <w:pPr>
        <w:ind w:left="6690" w:hanging="601"/>
      </w:pPr>
      <w:rPr>
        <w:rFonts w:hint="default"/>
        <w:lang w:val="zh-CN" w:eastAsia="zh-CN" w:bidi="zh-CN"/>
      </w:rPr>
    </w:lvl>
    <w:lvl w:ilvl="8" w:tentative="0">
      <w:start w:val="0"/>
      <w:numFmt w:val="bullet"/>
      <w:lvlText w:val="•"/>
      <w:lvlJc w:val="left"/>
      <w:pPr>
        <w:ind w:left="7662" w:hanging="601"/>
      </w:pPr>
      <w:rPr>
        <w:rFonts w:hint="default"/>
        <w:lang w:val="zh-CN" w:eastAsia="zh-CN" w:bidi="zh-CN"/>
      </w:rPr>
    </w:lvl>
  </w:abstractNum>
  <w:abstractNum w:abstractNumId="44">
    <w:nsid w:val="DCBA6B53"/>
    <w:multiLevelType w:val="multilevel"/>
    <w:tmpl w:val="DCBA6B53"/>
    <w:lvl w:ilvl="0" w:tentative="0">
      <w:start w:val="3"/>
      <w:numFmt w:val="decimal"/>
      <w:lvlText w:val="%1"/>
      <w:lvlJc w:val="left"/>
      <w:pPr>
        <w:ind w:left="1760" w:hanging="720"/>
        <w:jc w:val="left"/>
      </w:pPr>
      <w:rPr>
        <w:rFonts w:hint="default"/>
        <w:lang w:val="zh-CN" w:eastAsia="zh-CN" w:bidi="zh-CN"/>
      </w:rPr>
    </w:lvl>
    <w:lvl w:ilvl="1" w:tentative="0">
      <w:start w:val="2"/>
      <w:numFmt w:val="decimal"/>
      <w:lvlText w:val="%1.%2"/>
      <w:lvlJc w:val="left"/>
      <w:pPr>
        <w:ind w:left="1760" w:hanging="720"/>
        <w:jc w:val="left"/>
      </w:pPr>
      <w:rPr>
        <w:rFonts w:hint="default"/>
        <w:lang w:val="zh-CN" w:eastAsia="zh-CN" w:bidi="zh-CN"/>
      </w:rPr>
    </w:lvl>
    <w:lvl w:ilvl="2" w:tentative="0">
      <w:start w:val="7"/>
      <w:numFmt w:val="decimal"/>
      <w:lvlText w:val="%1.%2.%3"/>
      <w:lvlJc w:val="left"/>
      <w:pPr>
        <w:ind w:left="1760" w:hanging="720"/>
        <w:jc w:val="left"/>
      </w:pPr>
      <w:rPr>
        <w:rFonts w:hint="default"/>
        <w:lang w:val="zh-CN" w:eastAsia="zh-CN" w:bidi="zh-CN"/>
      </w:rPr>
    </w:lvl>
    <w:lvl w:ilvl="3" w:tentative="0">
      <w:start w:val="1"/>
      <w:numFmt w:val="decimal"/>
      <w:lvlText w:val="%1.%2.%3.%4"/>
      <w:lvlJc w:val="left"/>
      <w:pPr>
        <w:ind w:left="1760" w:hanging="720"/>
        <w:jc w:val="left"/>
      </w:pPr>
      <w:rPr>
        <w:rFonts w:hint="default" w:ascii="Times New Roman" w:hAnsi="Times New Roman" w:eastAsia="Times New Roman" w:cs="Times New Roman"/>
        <w:b/>
        <w:bCs/>
        <w:w w:val="99"/>
        <w:sz w:val="24"/>
        <w:szCs w:val="24"/>
        <w:lang w:val="zh-CN" w:eastAsia="zh-CN" w:bidi="zh-CN"/>
      </w:rPr>
    </w:lvl>
    <w:lvl w:ilvl="4" w:tentative="0">
      <w:start w:val="1"/>
      <w:numFmt w:val="decimal"/>
      <w:lvlText w:val="（%5）"/>
      <w:lvlJc w:val="left"/>
      <w:pPr>
        <w:ind w:left="2001" w:hanging="601"/>
        <w:jc w:val="left"/>
      </w:pPr>
      <w:rPr>
        <w:rFonts w:hint="default" w:ascii="宋体" w:hAnsi="宋体" w:eastAsia="宋体" w:cs="宋体"/>
        <w:w w:val="100"/>
        <w:sz w:val="22"/>
        <w:szCs w:val="22"/>
        <w:lang w:val="zh-CN" w:eastAsia="zh-CN" w:bidi="zh-CN"/>
      </w:rPr>
    </w:lvl>
    <w:lvl w:ilvl="5" w:tentative="0">
      <w:start w:val="0"/>
      <w:numFmt w:val="bullet"/>
      <w:lvlText w:val="•"/>
      <w:lvlJc w:val="left"/>
      <w:pPr>
        <w:ind w:left="5744" w:hanging="601"/>
      </w:pPr>
      <w:rPr>
        <w:rFonts w:hint="default"/>
        <w:lang w:val="zh-CN" w:eastAsia="zh-CN" w:bidi="zh-CN"/>
      </w:rPr>
    </w:lvl>
    <w:lvl w:ilvl="6" w:tentative="0">
      <w:start w:val="0"/>
      <w:numFmt w:val="bullet"/>
      <w:lvlText w:val="•"/>
      <w:lvlJc w:val="left"/>
      <w:pPr>
        <w:ind w:left="6681" w:hanging="601"/>
      </w:pPr>
      <w:rPr>
        <w:rFonts w:hint="default"/>
        <w:lang w:val="zh-CN" w:eastAsia="zh-CN" w:bidi="zh-CN"/>
      </w:rPr>
    </w:lvl>
    <w:lvl w:ilvl="7" w:tentative="0">
      <w:start w:val="0"/>
      <w:numFmt w:val="bullet"/>
      <w:lvlText w:val="•"/>
      <w:lvlJc w:val="left"/>
      <w:pPr>
        <w:ind w:left="7617" w:hanging="601"/>
      </w:pPr>
      <w:rPr>
        <w:rFonts w:hint="default"/>
        <w:lang w:val="zh-CN" w:eastAsia="zh-CN" w:bidi="zh-CN"/>
      </w:rPr>
    </w:lvl>
    <w:lvl w:ilvl="8" w:tentative="0">
      <w:start w:val="0"/>
      <w:numFmt w:val="bullet"/>
      <w:lvlText w:val="•"/>
      <w:lvlJc w:val="left"/>
      <w:pPr>
        <w:ind w:left="8553" w:hanging="601"/>
      </w:pPr>
      <w:rPr>
        <w:rFonts w:hint="default"/>
        <w:lang w:val="zh-CN" w:eastAsia="zh-CN" w:bidi="zh-CN"/>
      </w:rPr>
    </w:lvl>
  </w:abstractNum>
  <w:abstractNum w:abstractNumId="45">
    <w:nsid w:val="E0294EC7"/>
    <w:multiLevelType w:val="multilevel"/>
    <w:tmpl w:val="E0294EC7"/>
    <w:lvl w:ilvl="0" w:tentative="0">
      <w:start w:val="1"/>
      <w:numFmt w:val="decimal"/>
      <w:lvlText w:val="（%1）"/>
      <w:lvlJc w:val="left"/>
      <w:pPr>
        <w:ind w:left="130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4" w:hanging="601"/>
      </w:pPr>
      <w:rPr>
        <w:rFonts w:hint="default"/>
        <w:lang w:val="zh-CN" w:eastAsia="zh-CN" w:bidi="zh-CN"/>
      </w:rPr>
    </w:lvl>
    <w:lvl w:ilvl="2" w:tentative="0">
      <w:start w:val="0"/>
      <w:numFmt w:val="bullet"/>
      <w:lvlText w:val="•"/>
      <w:lvlJc w:val="left"/>
      <w:pPr>
        <w:ind w:left="2989" w:hanging="601"/>
      </w:pPr>
      <w:rPr>
        <w:rFonts w:hint="default"/>
        <w:lang w:val="zh-CN" w:eastAsia="zh-CN" w:bidi="zh-CN"/>
      </w:rPr>
    </w:lvl>
    <w:lvl w:ilvl="3" w:tentative="0">
      <w:start w:val="0"/>
      <w:numFmt w:val="bullet"/>
      <w:lvlText w:val="•"/>
      <w:lvlJc w:val="left"/>
      <w:pPr>
        <w:ind w:left="3833" w:hanging="601"/>
      </w:pPr>
      <w:rPr>
        <w:rFonts w:hint="default"/>
        <w:lang w:val="zh-CN" w:eastAsia="zh-CN" w:bidi="zh-CN"/>
      </w:rPr>
    </w:lvl>
    <w:lvl w:ilvl="4" w:tentative="0">
      <w:start w:val="0"/>
      <w:numFmt w:val="bullet"/>
      <w:lvlText w:val="•"/>
      <w:lvlJc w:val="left"/>
      <w:pPr>
        <w:ind w:left="4678"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67" w:hanging="601"/>
      </w:pPr>
      <w:rPr>
        <w:rFonts w:hint="default"/>
        <w:lang w:val="zh-CN" w:eastAsia="zh-CN" w:bidi="zh-CN"/>
      </w:rPr>
    </w:lvl>
    <w:lvl w:ilvl="7" w:tentative="0">
      <w:start w:val="0"/>
      <w:numFmt w:val="bullet"/>
      <w:lvlText w:val="•"/>
      <w:lvlJc w:val="left"/>
      <w:pPr>
        <w:ind w:left="7212" w:hanging="601"/>
      </w:pPr>
      <w:rPr>
        <w:rFonts w:hint="default"/>
        <w:lang w:val="zh-CN" w:eastAsia="zh-CN" w:bidi="zh-CN"/>
      </w:rPr>
    </w:lvl>
    <w:lvl w:ilvl="8" w:tentative="0">
      <w:start w:val="0"/>
      <w:numFmt w:val="bullet"/>
      <w:lvlText w:val="•"/>
      <w:lvlJc w:val="left"/>
      <w:pPr>
        <w:ind w:left="8056" w:hanging="601"/>
      </w:pPr>
      <w:rPr>
        <w:rFonts w:hint="default"/>
        <w:lang w:val="zh-CN" w:eastAsia="zh-CN" w:bidi="zh-CN"/>
      </w:rPr>
    </w:lvl>
  </w:abstractNum>
  <w:abstractNum w:abstractNumId="46">
    <w:nsid w:val="E093A4B0"/>
    <w:multiLevelType w:val="multilevel"/>
    <w:tmpl w:val="E093A4B0"/>
    <w:lvl w:ilvl="0" w:tentative="0">
      <w:start w:val="5"/>
      <w:numFmt w:val="decimal"/>
      <w:lvlText w:val="%1"/>
      <w:lvlJc w:val="left"/>
      <w:pPr>
        <w:ind w:left="960" w:hanging="449"/>
        <w:jc w:val="left"/>
      </w:pPr>
      <w:rPr>
        <w:rFonts w:hint="default"/>
        <w:lang w:val="zh-CN" w:eastAsia="zh-CN" w:bidi="zh-CN"/>
      </w:rPr>
    </w:lvl>
    <w:lvl w:ilvl="1" w:tentative="0">
      <w:start w:val="1"/>
      <w:numFmt w:val="decimal"/>
      <w:lvlText w:val="%1.%2"/>
      <w:lvlJc w:val="left"/>
      <w:pPr>
        <w:ind w:left="960" w:hanging="449"/>
        <w:jc w:val="left"/>
      </w:pPr>
      <w:rPr>
        <w:rFonts w:hint="default" w:ascii="Times New Roman" w:hAnsi="Times New Roman" w:eastAsia="Times New Roman" w:cs="Times New Roman"/>
        <w:b/>
        <w:bCs/>
        <w:spacing w:val="-1"/>
        <w:w w:val="100"/>
        <w:sz w:val="30"/>
        <w:szCs w:val="30"/>
        <w:lang w:val="zh-CN" w:eastAsia="zh-CN" w:bidi="zh-CN"/>
      </w:rPr>
    </w:lvl>
    <w:lvl w:ilvl="2" w:tentative="0">
      <w:start w:val="1"/>
      <w:numFmt w:val="decimal"/>
      <w:lvlText w:val="%1.%2.%3"/>
      <w:lvlJc w:val="left"/>
      <w:pPr>
        <w:ind w:left="1140"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1.%2.%3.%4"/>
      <w:lvlJc w:val="left"/>
      <w:pPr>
        <w:ind w:left="1292" w:hanging="780"/>
        <w:jc w:val="left"/>
      </w:pPr>
      <w:rPr>
        <w:rFonts w:hint="default" w:ascii="Times New Roman" w:hAnsi="Times New Roman" w:eastAsia="Times New Roman" w:cs="Times New Roman"/>
        <w:b/>
        <w:bCs/>
        <w:w w:val="99"/>
        <w:sz w:val="24"/>
        <w:szCs w:val="24"/>
        <w:lang w:val="zh-CN" w:eastAsia="zh-CN" w:bidi="zh-CN"/>
      </w:rPr>
    </w:lvl>
    <w:lvl w:ilvl="4" w:tentative="0">
      <w:start w:val="1"/>
      <w:numFmt w:val="decimal"/>
      <w:lvlText w:val="（%5）"/>
      <w:lvlJc w:val="left"/>
      <w:pPr>
        <w:ind w:left="1533" w:hanging="601"/>
        <w:jc w:val="left"/>
      </w:pPr>
      <w:rPr>
        <w:rFonts w:hint="default" w:ascii="宋体" w:hAnsi="宋体" w:eastAsia="宋体" w:cs="宋体"/>
        <w:w w:val="100"/>
        <w:sz w:val="22"/>
        <w:szCs w:val="22"/>
        <w:lang w:val="zh-CN" w:eastAsia="zh-CN" w:bidi="zh-CN"/>
      </w:rPr>
    </w:lvl>
    <w:lvl w:ilvl="5" w:tentative="0">
      <w:start w:val="0"/>
      <w:numFmt w:val="bullet"/>
      <w:lvlText w:val="•"/>
      <w:lvlJc w:val="left"/>
      <w:pPr>
        <w:ind w:left="1540" w:hanging="601"/>
      </w:pPr>
      <w:rPr>
        <w:rFonts w:hint="default"/>
        <w:lang w:val="zh-CN" w:eastAsia="zh-CN" w:bidi="zh-CN"/>
      </w:rPr>
    </w:lvl>
    <w:lvl w:ilvl="6" w:tentative="0">
      <w:start w:val="0"/>
      <w:numFmt w:val="bullet"/>
      <w:lvlText w:val="•"/>
      <w:lvlJc w:val="left"/>
      <w:pPr>
        <w:ind w:left="3093" w:hanging="601"/>
      </w:pPr>
      <w:rPr>
        <w:rFonts w:hint="default"/>
        <w:lang w:val="zh-CN" w:eastAsia="zh-CN" w:bidi="zh-CN"/>
      </w:rPr>
    </w:lvl>
    <w:lvl w:ilvl="7" w:tentative="0">
      <w:start w:val="0"/>
      <w:numFmt w:val="bullet"/>
      <w:lvlText w:val="•"/>
      <w:lvlJc w:val="left"/>
      <w:pPr>
        <w:ind w:left="4646" w:hanging="601"/>
      </w:pPr>
      <w:rPr>
        <w:rFonts w:hint="default"/>
        <w:lang w:val="zh-CN" w:eastAsia="zh-CN" w:bidi="zh-CN"/>
      </w:rPr>
    </w:lvl>
    <w:lvl w:ilvl="8" w:tentative="0">
      <w:start w:val="0"/>
      <w:numFmt w:val="bullet"/>
      <w:lvlText w:val="•"/>
      <w:lvlJc w:val="left"/>
      <w:pPr>
        <w:ind w:left="6199" w:hanging="601"/>
      </w:pPr>
      <w:rPr>
        <w:rFonts w:hint="default"/>
        <w:lang w:val="zh-CN" w:eastAsia="zh-CN" w:bidi="zh-CN"/>
      </w:rPr>
    </w:lvl>
  </w:abstractNum>
  <w:abstractNum w:abstractNumId="47">
    <w:nsid w:val="E504947C"/>
    <w:multiLevelType w:val="multilevel"/>
    <w:tmpl w:val="E504947C"/>
    <w:lvl w:ilvl="0" w:tentative="0">
      <w:start w:val="12"/>
      <w:numFmt w:val="decimal"/>
      <w:lvlText w:val="%1"/>
      <w:lvlJc w:val="left"/>
      <w:pPr>
        <w:ind w:left="816" w:hanging="600"/>
        <w:jc w:val="left"/>
      </w:pPr>
      <w:rPr>
        <w:rFonts w:hint="default"/>
        <w:lang w:val="zh-CN" w:eastAsia="zh-CN" w:bidi="zh-CN"/>
      </w:rPr>
    </w:lvl>
    <w:lvl w:ilvl="1" w:tentative="0">
      <w:start w:val="1"/>
      <w:numFmt w:val="decimal"/>
      <w:lvlText w:val="%1.%2"/>
      <w:lvlJc w:val="left"/>
      <w:pPr>
        <w:ind w:left="816" w:hanging="600"/>
        <w:jc w:val="left"/>
      </w:pPr>
      <w:rPr>
        <w:rFonts w:hint="default" w:ascii="Times New Roman" w:hAnsi="Times New Roman" w:eastAsia="Times New Roman" w:cs="Times New Roman"/>
        <w:b/>
        <w:bCs/>
        <w:spacing w:val="-2"/>
        <w:w w:val="99"/>
        <w:sz w:val="30"/>
        <w:szCs w:val="30"/>
        <w:lang w:val="zh-CN" w:eastAsia="zh-CN" w:bidi="zh-CN"/>
      </w:rPr>
    </w:lvl>
    <w:lvl w:ilvl="2" w:tentative="0">
      <w:start w:val="1"/>
      <w:numFmt w:val="decimal"/>
      <w:lvlText w:val="%1.%2.%3"/>
      <w:lvlJc w:val="left"/>
      <w:pPr>
        <w:ind w:left="986" w:hanging="77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297"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3456" w:hanging="601"/>
      </w:pPr>
      <w:rPr>
        <w:rFonts w:hint="default"/>
        <w:lang w:val="zh-CN" w:eastAsia="zh-CN" w:bidi="zh-CN"/>
      </w:rPr>
    </w:lvl>
    <w:lvl w:ilvl="5" w:tentative="0">
      <w:start w:val="0"/>
      <w:numFmt w:val="bullet"/>
      <w:lvlText w:val="•"/>
      <w:lvlJc w:val="left"/>
      <w:pPr>
        <w:ind w:left="4534" w:hanging="601"/>
      </w:pPr>
      <w:rPr>
        <w:rFonts w:hint="default"/>
        <w:lang w:val="zh-CN" w:eastAsia="zh-CN" w:bidi="zh-CN"/>
      </w:rPr>
    </w:lvl>
    <w:lvl w:ilvl="6" w:tentative="0">
      <w:start w:val="0"/>
      <w:numFmt w:val="bullet"/>
      <w:lvlText w:val="•"/>
      <w:lvlJc w:val="left"/>
      <w:pPr>
        <w:ind w:left="5613" w:hanging="601"/>
      </w:pPr>
      <w:rPr>
        <w:rFonts w:hint="default"/>
        <w:lang w:val="zh-CN" w:eastAsia="zh-CN" w:bidi="zh-CN"/>
      </w:rPr>
    </w:lvl>
    <w:lvl w:ilvl="7" w:tentative="0">
      <w:start w:val="0"/>
      <w:numFmt w:val="bullet"/>
      <w:lvlText w:val="•"/>
      <w:lvlJc w:val="left"/>
      <w:pPr>
        <w:ind w:left="6691" w:hanging="601"/>
      </w:pPr>
      <w:rPr>
        <w:rFonts w:hint="default"/>
        <w:lang w:val="zh-CN" w:eastAsia="zh-CN" w:bidi="zh-CN"/>
      </w:rPr>
    </w:lvl>
    <w:lvl w:ilvl="8" w:tentative="0">
      <w:start w:val="0"/>
      <w:numFmt w:val="bullet"/>
      <w:lvlText w:val="•"/>
      <w:lvlJc w:val="left"/>
      <w:pPr>
        <w:ind w:left="7769" w:hanging="601"/>
      </w:pPr>
      <w:rPr>
        <w:rFonts w:hint="default"/>
        <w:lang w:val="zh-CN" w:eastAsia="zh-CN" w:bidi="zh-CN"/>
      </w:rPr>
    </w:lvl>
  </w:abstractNum>
  <w:abstractNum w:abstractNumId="48">
    <w:nsid w:val="E7B27C5B"/>
    <w:multiLevelType w:val="multilevel"/>
    <w:tmpl w:val="E7B27C5B"/>
    <w:lvl w:ilvl="0" w:tentative="0">
      <w:start w:val="1"/>
      <w:numFmt w:val="decimal"/>
      <w:lvlText w:val="（%1）"/>
      <w:lvlJc w:val="left"/>
      <w:pPr>
        <w:ind w:left="1317" w:hanging="601"/>
        <w:jc w:val="left"/>
      </w:pPr>
      <w:rPr>
        <w:rFonts w:hint="default" w:ascii="宋体" w:hAnsi="宋体" w:eastAsia="宋体" w:cs="宋体"/>
        <w:spacing w:val="-2"/>
        <w:w w:val="100"/>
        <w:position w:val="2"/>
        <w:sz w:val="22"/>
        <w:szCs w:val="22"/>
        <w:lang w:val="zh-CN" w:eastAsia="zh-CN" w:bidi="zh-CN"/>
      </w:rPr>
    </w:lvl>
    <w:lvl w:ilvl="1" w:tentative="0">
      <w:start w:val="0"/>
      <w:numFmt w:val="bullet"/>
      <w:lvlText w:val="•"/>
      <w:lvlJc w:val="left"/>
      <w:pPr>
        <w:ind w:left="2148" w:hanging="601"/>
      </w:pPr>
      <w:rPr>
        <w:rFonts w:hint="default"/>
        <w:lang w:val="zh-CN" w:eastAsia="zh-CN" w:bidi="zh-CN"/>
      </w:rPr>
    </w:lvl>
    <w:lvl w:ilvl="2" w:tentative="0">
      <w:start w:val="0"/>
      <w:numFmt w:val="bullet"/>
      <w:lvlText w:val="•"/>
      <w:lvlJc w:val="left"/>
      <w:pPr>
        <w:ind w:left="2977" w:hanging="601"/>
      </w:pPr>
      <w:rPr>
        <w:rFonts w:hint="default"/>
        <w:lang w:val="zh-CN" w:eastAsia="zh-CN" w:bidi="zh-CN"/>
      </w:rPr>
    </w:lvl>
    <w:lvl w:ilvl="3" w:tentative="0">
      <w:start w:val="0"/>
      <w:numFmt w:val="bullet"/>
      <w:lvlText w:val="•"/>
      <w:lvlJc w:val="left"/>
      <w:pPr>
        <w:ind w:left="3805" w:hanging="601"/>
      </w:pPr>
      <w:rPr>
        <w:rFonts w:hint="default"/>
        <w:lang w:val="zh-CN" w:eastAsia="zh-CN" w:bidi="zh-CN"/>
      </w:rPr>
    </w:lvl>
    <w:lvl w:ilvl="4" w:tentative="0">
      <w:start w:val="0"/>
      <w:numFmt w:val="bullet"/>
      <w:lvlText w:val="•"/>
      <w:lvlJc w:val="left"/>
      <w:pPr>
        <w:ind w:left="4634" w:hanging="601"/>
      </w:pPr>
      <w:rPr>
        <w:rFonts w:hint="default"/>
        <w:lang w:val="zh-CN" w:eastAsia="zh-CN" w:bidi="zh-CN"/>
      </w:rPr>
    </w:lvl>
    <w:lvl w:ilvl="5" w:tentative="0">
      <w:start w:val="0"/>
      <w:numFmt w:val="bullet"/>
      <w:lvlText w:val="•"/>
      <w:lvlJc w:val="left"/>
      <w:pPr>
        <w:ind w:left="5463" w:hanging="601"/>
      </w:pPr>
      <w:rPr>
        <w:rFonts w:hint="default"/>
        <w:lang w:val="zh-CN" w:eastAsia="zh-CN" w:bidi="zh-CN"/>
      </w:rPr>
    </w:lvl>
    <w:lvl w:ilvl="6" w:tentative="0">
      <w:start w:val="0"/>
      <w:numFmt w:val="bullet"/>
      <w:lvlText w:val="•"/>
      <w:lvlJc w:val="left"/>
      <w:pPr>
        <w:ind w:left="6291" w:hanging="601"/>
      </w:pPr>
      <w:rPr>
        <w:rFonts w:hint="default"/>
        <w:lang w:val="zh-CN" w:eastAsia="zh-CN" w:bidi="zh-CN"/>
      </w:rPr>
    </w:lvl>
    <w:lvl w:ilvl="7" w:tentative="0">
      <w:start w:val="0"/>
      <w:numFmt w:val="bullet"/>
      <w:lvlText w:val="•"/>
      <w:lvlJc w:val="left"/>
      <w:pPr>
        <w:ind w:left="7120" w:hanging="601"/>
      </w:pPr>
      <w:rPr>
        <w:rFonts w:hint="default"/>
        <w:lang w:val="zh-CN" w:eastAsia="zh-CN" w:bidi="zh-CN"/>
      </w:rPr>
    </w:lvl>
    <w:lvl w:ilvl="8" w:tentative="0">
      <w:start w:val="0"/>
      <w:numFmt w:val="bullet"/>
      <w:lvlText w:val="•"/>
      <w:lvlJc w:val="left"/>
      <w:pPr>
        <w:ind w:left="7948" w:hanging="601"/>
      </w:pPr>
      <w:rPr>
        <w:rFonts w:hint="default"/>
        <w:lang w:val="zh-CN" w:eastAsia="zh-CN" w:bidi="zh-CN"/>
      </w:rPr>
    </w:lvl>
  </w:abstractNum>
  <w:abstractNum w:abstractNumId="49">
    <w:nsid w:val="F0E89278"/>
    <w:multiLevelType w:val="multilevel"/>
    <w:tmpl w:val="F0E89278"/>
    <w:lvl w:ilvl="0" w:tentative="0">
      <w:start w:val="6"/>
      <w:numFmt w:val="decimal"/>
      <w:lvlText w:val="%1"/>
      <w:lvlJc w:val="left"/>
      <w:pPr>
        <w:ind w:left="1272" w:hanging="720"/>
        <w:jc w:val="left"/>
      </w:pPr>
      <w:rPr>
        <w:rFonts w:hint="default"/>
        <w:lang w:val="zh-CN" w:eastAsia="zh-CN" w:bidi="zh-CN"/>
      </w:rPr>
    </w:lvl>
    <w:lvl w:ilvl="1" w:tentative="0">
      <w:start w:val="4"/>
      <w:numFmt w:val="decimal"/>
      <w:lvlText w:val="%1.%2"/>
      <w:lvlJc w:val="left"/>
      <w:pPr>
        <w:ind w:left="1272" w:hanging="720"/>
        <w:jc w:val="left"/>
      </w:pPr>
      <w:rPr>
        <w:rFonts w:hint="default"/>
        <w:lang w:val="zh-CN" w:eastAsia="zh-CN" w:bidi="zh-CN"/>
      </w:rPr>
    </w:lvl>
    <w:lvl w:ilvl="2" w:tentative="0">
      <w:start w:val="1"/>
      <w:numFmt w:val="decimal"/>
      <w:lvlText w:val="%1.%2.%3"/>
      <w:lvlJc w:val="left"/>
      <w:pPr>
        <w:ind w:left="1272" w:hanging="720"/>
        <w:jc w:val="left"/>
      </w:pPr>
      <w:rPr>
        <w:rFonts w:hint="default"/>
        <w:lang w:val="zh-CN" w:eastAsia="zh-CN" w:bidi="zh-CN"/>
      </w:rPr>
    </w:lvl>
    <w:lvl w:ilvl="3" w:tentative="0">
      <w:start w:val="1"/>
      <w:numFmt w:val="decimal"/>
      <w:lvlText w:val="%1.%2.%3.%4"/>
      <w:lvlJc w:val="left"/>
      <w:pPr>
        <w:ind w:left="1272" w:hanging="720"/>
        <w:jc w:val="left"/>
      </w:pPr>
      <w:rPr>
        <w:rFonts w:hint="default" w:ascii="Times New Roman" w:hAnsi="Times New Roman" w:eastAsia="Times New Roman" w:cs="Times New Roman"/>
        <w:b/>
        <w:bCs/>
        <w:w w:val="99"/>
        <w:sz w:val="24"/>
        <w:szCs w:val="24"/>
        <w:lang w:val="zh-CN" w:eastAsia="zh-CN" w:bidi="zh-CN"/>
      </w:rPr>
    </w:lvl>
    <w:lvl w:ilvl="4" w:tentative="0">
      <w:start w:val="0"/>
      <w:numFmt w:val="bullet"/>
      <w:lvlText w:val="•"/>
      <w:lvlJc w:val="left"/>
      <w:pPr>
        <w:ind w:left="4738" w:hanging="720"/>
      </w:pPr>
      <w:rPr>
        <w:rFonts w:hint="default"/>
        <w:lang w:val="zh-CN" w:eastAsia="zh-CN" w:bidi="zh-CN"/>
      </w:rPr>
    </w:lvl>
    <w:lvl w:ilvl="5" w:tentative="0">
      <w:start w:val="0"/>
      <w:numFmt w:val="bullet"/>
      <w:lvlText w:val="•"/>
      <w:lvlJc w:val="left"/>
      <w:pPr>
        <w:ind w:left="5603" w:hanging="720"/>
      </w:pPr>
      <w:rPr>
        <w:rFonts w:hint="default"/>
        <w:lang w:val="zh-CN" w:eastAsia="zh-CN" w:bidi="zh-CN"/>
      </w:rPr>
    </w:lvl>
    <w:lvl w:ilvl="6" w:tentative="0">
      <w:start w:val="0"/>
      <w:numFmt w:val="bullet"/>
      <w:lvlText w:val="•"/>
      <w:lvlJc w:val="left"/>
      <w:pPr>
        <w:ind w:left="6467" w:hanging="720"/>
      </w:pPr>
      <w:rPr>
        <w:rFonts w:hint="default"/>
        <w:lang w:val="zh-CN" w:eastAsia="zh-CN" w:bidi="zh-CN"/>
      </w:rPr>
    </w:lvl>
    <w:lvl w:ilvl="7" w:tentative="0">
      <w:start w:val="0"/>
      <w:numFmt w:val="bullet"/>
      <w:lvlText w:val="•"/>
      <w:lvlJc w:val="left"/>
      <w:pPr>
        <w:ind w:left="7332" w:hanging="720"/>
      </w:pPr>
      <w:rPr>
        <w:rFonts w:hint="default"/>
        <w:lang w:val="zh-CN" w:eastAsia="zh-CN" w:bidi="zh-CN"/>
      </w:rPr>
    </w:lvl>
    <w:lvl w:ilvl="8" w:tentative="0">
      <w:start w:val="0"/>
      <w:numFmt w:val="bullet"/>
      <w:lvlText w:val="•"/>
      <w:lvlJc w:val="left"/>
      <w:pPr>
        <w:ind w:left="8196" w:hanging="720"/>
      </w:pPr>
      <w:rPr>
        <w:rFonts w:hint="default"/>
        <w:lang w:val="zh-CN" w:eastAsia="zh-CN" w:bidi="zh-CN"/>
      </w:rPr>
    </w:lvl>
  </w:abstractNum>
  <w:abstractNum w:abstractNumId="50">
    <w:nsid w:val="F4B5D9F5"/>
    <w:multiLevelType w:val="multilevel"/>
    <w:tmpl w:val="F4B5D9F5"/>
    <w:lvl w:ilvl="0" w:tentative="0">
      <w:start w:val="2"/>
      <w:numFmt w:val="decimal"/>
      <w:lvlText w:val="%1"/>
      <w:lvlJc w:val="left"/>
      <w:pPr>
        <w:ind w:left="1078" w:hanging="420"/>
        <w:jc w:val="left"/>
      </w:pPr>
      <w:rPr>
        <w:rFonts w:hint="default"/>
        <w:lang w:val="zh-CN" w:eastAsia="zh-CN" w:bidi="zh-CN"/>
      </w:rPr>
    </w:lvl>
    <w:lvl w:ilvl="1" w:tentative="0">
      <w:start w:val="5"/>
      <w:numFmt w:val="decimal"/>
      <w:lvlText w:val="%1.%2"/>
      <w:lvlJc w:val="left"/>
      <w:pPr>
        <w:ind w:left="1078" w:hanging="420"/>
        <w:jc w:val="left"/>
      </w:pPr>
      <w:rPr>
        <w:rFonts w:hint="default"/>
        <w:b/>
        <w:bCs/>
        <w:spacing w:val="-1"/>
        <w:w w:val="100"/>
        <w:lang w:val="zh-CN" w:eastAsia="zh-CN" w:bidi="zh-CN"/>
      </w:rPr>
    </w:lvl>
    <w:lvl w:ilvl="2" w:tentative="0">
      <w:start w:val="1"/>
      <w:numFmt w:val="decimal"/>
      <w:lvlText w:val="%1.%2.%3"/>
      <w:lvlJc w:val="left"/>
      <w:pPr>
        <w:ind w:left="1356" w:hanging="699"/>
        <w:jc w:val="left"/>
      </w:pPr>
      <w:rPr>
        <w:rFonts w:hint="default"/>
        <w:b/>
        <w:bCs/>
        <w:spacing w:val="-4"/>
        <w:w w:val="100"/>
        <w:lang w:val="zh-CN" w:eastAsia="zh-CN" w:bidi="zh-CN"/>
      </w:rPr>
    </w:lvl>
    <w:lvl w:ilvl="3" w:tentative="0">
      <w:start w:val="0"/>
      <w:numFmt w:val="bullet"/>
      <w:lvlText w:val="•"/>
      <w:lvlJc w:val="left"/>
      <w:pPr>
        <w:ind w:left="3374" w:hanging="699"/>
      </w:pPr>
      <w:rPr>
        <w:rFonts w:hint="default"/>
        <w:lang w:val="zh-CN" w:eastAsia="zh-CN" w:bidi="zh-CN"/>
      </w:rPr>
    </w:lvl>
    <w:lvl w:ilvl="4" w:tentative="0">
      <w:start w:val="0"/>
      <w:numFmt w:val="bullet"/>
      <w:lvlText w:val="•"/>
      <w:lvlJc w:val="left"/>
      <w:pPr>
        <w:ind w:left="4382" w:hanging="699"/>
      </w:pPr>
      <w:rPr>
        <w:rFonts w:hint="default"/>
        <w:lang w:val="zh-CN" w:eastAsia="zh-CN" w:bidi="zh-CN"/>
      </w:rPr>
    </w:lvl>
    <w:lvl w:ilvl="5" w:tentative="0">
      <w:start w:val="0"/>
      <w:numFmt w:val="bullet"/>
      <w:lvlText w:val="•"/>
      <w:lvlJc w:val="left"/>
      <w:pPr>
        <w:ind w:left="5389" w:hanging="699"/>
      </w:pPr>
      <w:rPr>
        <w:rFonts w:hint="default"/>
        <w:lang w:val="zh-CN" w:eastAsia="zh-CN" w:bidi="zh-CN"/>
      </w:rPr>
    </w:lvl>
    <w:lvl w:ilvl="6" w:tentative="0">
      <w:start w:val="0"/>
      <w:numFmt w:val="bullet"/>
      <w:lvlText w:val="•"/>
      <w:lvlJc w:val="left"/>
      <w:pPr>
        <w:ind w:left="6396" w:hanging="699"/>
      </w:pPr>
      <w:rPr>
        <w:rFonts w:hint="default"/>
        <w:lang w:val="zh-CN" w:eastAsia="zh-CN" w:bidi="zh-CN"/>
      </w:rPr>
    </w:lvl>
    <w:lvl w:ilvl="7" w:tentative="0">
      <w:start w:val="0"/>
      <w:numFmt w:val="bullet"/>
      <w:lvlText w:val="•"/>
      <w:lvlJc w:val="left"/>
      <w:pPr>
        <w:ind w:left="7404" w:hanging="699"/>
      </w:pPr>
      <w:rPr>
        <w:rFonts w:hint="default"/>
        <w:lang w:val="zh-CN" w:eastAsia="zh-CN" w:bidi="zh-CN"/>
      </w:rPr>
    </w:lvl>
    <w:lvl w:ilvl="8" w:tentative="0">
      <w:start w:val="0"/>
      <w:numFmt w:val="bullet"/>
      <w:lvlText w:val="•"/>
      <w:lvlJc w:val="left"/>
      <w:pPr>
        <w:ind w:left="8411" w:hanging="699"/>
      </w:pPr>
      <w:rPr>
        <w:rFonts w:hint="default"/>
        <w:lang w:val="zh-CN" w:eastAsia="zh-CN" w:bidi="zh-CN"/>
      </w:rPr>
    </w:lvl>
  </w:abstractNum>
  <w:abstractNum w:abstractNumId="51">
    <w:nsid w:val="F585BF25"/>
    <w:multiLevelType w:val="multilevel"/>
    <w:tmpl w:val="F585BF25"/>
    <w:lvl w:ilvl="0" w:tentative="0">
      <w:start w:val="1"/>
      <w:numFmt w:val="decimal"/>
      <w:lvlText w:val="%1."/>
      <w:lvlJc w:val="left"/>
      <w:pPr>
        <w:ind w:left="270"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833" w:hanging="159"/>
      </w:pPr>
      <w:rPr>
        <w:rFonts w:hint="default"/>
        <w:lang w:val="zh-CN" w:eastAsia="zh-CN" w:bidi="zh-CN"/>
      </w:rPr>
    </w:lvl>
    <w:lvl w:ilvl="2" w:tentative="0">
      <w:start w:val="0"/>
      <w:numFmt w:val="bullet"/>
      <w:lvlText w:val="•"/>
      <w:lvlJc w:val="left"/>
      <w:pPr>
        <w:ind w:left="1387" w:hanging="159"/>
      </w:pPr>
      <w:rPr>
        <w:rFonts w:hint="default"/>
        <w:lang w:val="zh-CN" w:eastAsia="zh-CN" w:bidi="zh-CN"/>
      </w:rPr>
    </w:lvl>
    <w:lvl w:ilvl="3" w:tentative="0">
      <w:start w:val="0"/>
      <w:numFmt w:val="bullet"/>
      <w:lvlText w:val="•"/>
      <w:lvlJc w:val="left"/>
      <w:pPr>
        <w:ind w:left="1941" w:hanging="159"/>
      </w:pPr>
      <w:rPr>
        <w:rFonts w:hint="default"/>
        <w:lang w:val="zh-CN" w:eastAsia="zh-CN" w:bidi="zh-CN"/>
      </w:rPr>
    </w:lvl>
    <w:lvl w:ilvl="4" w:tentative="0">
      <w:start w:val="0"/>
      <w:numFmt w:val="bullet"/>
      <w:lvlText w:val="•"/>
      <w:lvlJc w:val="left"/>
      <w:pPr>
        <w:ind w:left="2494" w:hanging="159"/>
      </w:pPr>
      <w:rPr>
        <w:rFonts w:hint="default"/>
        <w:lang w:val="zh-CN" w:eastAsia="zh-CN" w:bidi="zh-CN"/>
      </w:rPr>
    </w:lvl>
    <w:lvl w:ilvl="5" w:tentative="0">
      <w:start w:val="0"/>
      <w:numFmt w:val="bullet"/>
      <w:lvlText w:val="•"/>
      <w:lvlJc w:val="left"/>
      <w:pPr>
        <w:ind w:left="3048" w:hanging="159"/>
      </w:pPr>
      <w:rPr>
        <w:rFonts w:hint="default"/>
        <w:lang w:val="zh-CN" w:eastAsia="zh-CN" w:bidi="zh-CN"/>
      </w:rPr>
    </w:lvl>
    <w:lvl w:ilvl="6" w:tentative="0">
      <w:start w:val="0"/>
      <w:numFmt w:val="bullet"/>
      <w:lvlText w:val="•"/>
      <w:lvlJc w:val="left"/>
      <w:pPr>
        <w:ind w:left="3602" w:hanging="159"/>
      </w:pPr>
      <w:rPr>
        <w:rFonts w:hint="default"/>
        <w:lang w:val="zh-CN" w:eastAsia="zh-CN" w:bidi="zh-CN"/>
      </w:rPr>
    </w:lvl>
    <w:lvl w:ilvl="7" w:tentative="0">
      <w:start w:val="0"/>
      <w:numFmt w:val="bullet"/>
      <w:lvlText w:val="•"/>
      <w:lvlJc w:val="left"/>
      <w:pPr>
        <w:ind w:left="4155" w:hanging="159"/>
      </w:pPr>
      <w:rPr>
        <w:rFonts w:hint="default"/>
        <w:lang w:val="zh-CN" w:eastAsia="zh-CN" w:bidi="zh-CN"/>
      </w:rPr>
    </w:lvl>
    <w:lvl w:ilvl="8" w:tentative="0">
      <w:start w:val="0"/>
      <w:numFmt w:val="bullet"/>
      <w:lvlText w:val="•"/>
      <w:lvlJc w:val="left"/>
      <w:pPr>
        <w:ind w:left="4709" w:hanging="159"/>
      </w:pPr>
      <w:rPr>
        <w:rFonts w:hint="default"/>
        <w:lang w:val="zh-CN" w:eastAsia="zh-CN" w:bidi="zh-CN"/>
      </w:rPr>
    </w:lvl>
  </w:abstractNum>
  <w:abstractNum w:abstractNumId="52">
    <w:nsid w:val="F689643B"/>
    <w:multiLevelType w:val="multilevel"/>
    <w:tmpl w:val="F689643B"/>
    <w:lvl w:ilvl="0" w:tentative="0">
      <w:start w:val="10"/>
      <w:numFmt w:val="decimal"/>
      <w:lvlText w:val="%1"/>
      <w:lvlJc w:val="left"/>
      <w:pPr>
        <w:ind w:left="847" w:hanging="632"/>
        <w:jc w:val="left"/>
      </w:pPr>
      <w:rPr>
        <w:rFonts w:hint="default"/>
        <w:lang w:val="zh-CN" w:eastAsia="zh-CN" w:bidi="zh-CN"/>
      </w:rPr>
    </w:lvl>
    <w:lvl w:ilvl="1" w:tentative="0">
      <w:start w:val="1"/>
      <w:numFmt w:val="decimal"/>
      <w:lvlText w:val="%1.%2"/>
      <w:lvlJc w:val="left"/>
      <w:pPr>
        <w:ind w:left="847" w:hanging="632"/>
        <w:jc w:val="left"/>
      </w:pPr>
      <w:rPr>
        <w:rFonts w:hint="default"/>
        <w:b/>
        <w:bCs/>
        <w:spacing w:val="-2"/>
        <w:w w:val="100"/>
        <w:lang w:val="zh-CN" w:eastAsia="zh-CN" w:bidi="zh-CN"/>
      </w:rPr>
    </w:lvl>
    <w:lvl w:ilvl="2" w:tentative="0">
      <w:start w:val="1"/>
      <w:numFmt w:val="decimal"/>
      <w:lvlText w:val="（%3）"/>
      <w:lvlJc w:val="left"/>
      <w:pPr>
        <w:ind w:left="216" w:hanging="601"/>
        <w:jc w:val="left"/>
      </w:pPr>
      <w:rPr>
        <w:rFonts w:hint="default" w:ascii="宋体" w:hAnsi="宋体" w:eastAsia="宋体" w:cs="宋体"/>
        <w:spacing w:val="-22"/>
        <w:w w:val="100"/>
        <w:sz w:val="22"/>
        <w:szCs w:val="22"/>
        <w:lang w:val="zh-CN" w:eastAsia="zh-CN" w:bidi="zh-CN"/>
      </w:rPr>
    </w:lvl>
    <w:lvl w:ilvl="3" w:tentative="0">
      <w:start w:val="0"/>
      <w:numFmt w:val="bullet"/>
      <w:lvlText w:val="•"/>
      <w:lvlJc w:val="left"/>
      <w:pPr>
        <w:ind w:left="2859" w:hanging="601"/>
      </w:pPr>
      <w:rPr>
        <w:rFonts w:hint="default"/>
        <w:lang w:val="zh-CN" w:eastAsia="zh-CN" w:bidi="zh-CN"/>
      </w:rPr>
    </w:lvl>
    <w:lvl w:ilvl="4" w:tentative="0">
      <w:start w:val="0"/>
      <w:numFmt w:val="bullet"/>
      <w:lvlText w:val="•"/>
      <w:lvlJc w:val="left"/>
      <w:pPr>
        <w:ind w:left="3868" w:hanging="601"/>
      </w:pPr>
      <w:rPr>
        <w:rFonts w:hint="default"/>
        <w:lang w:val="zh-CN" w:eastAsia="zh-CN" w:bidi="zh-CN"/>
      </w:rPr>
    </w:lvl>
    <w:lvl w:ilvl="5" w:tentative="0">
      <w:start w:val="0"/>
      <w:numFmt w:val="bullet"/>
      <w:lvlText w:val="•"/>
      <w:lvlJc w:val="left"/>
      <w:pPr>
        <w:ind w:left="4878" w:hanging="601"/>
      </w:pPr>
      <w:rPr>
        <w:rFonts w:hint="default"/>
        <w:lang w:val="zh-CN" w:eastAsia="zh-CN" w:bidi="zh-CN"/>
      </w:rPr>
    </w:lvl>
    <w:lvl w:ilvl="6" w:tentative="0">
      <w:start w:val="0"/>
      <w:numFmt w:val="bullet"/>
      <w:lvlText w:val="•"/>
      <w:lvlJc w:val="left"/>
      <w:pPr>
        <w:ind w:left="5887" w:hanging="601"/>
      </w:pPr>
      <w:rPr>
        <w:rFonts w:hint="default"/>
        <w:lang w:val="zh-CN" w:eastAsia="zh-CN" w:bidi="zh-CN"/>
      </w:rPr>
    </w:lvl>
    <w:lvl w:ilvl="7" w:tentative="0">
      <w:start w:val="0"/>
      <w:numFmt w:val="bullet"/>
      <w:lvlText w:val="•"/>
      <w:lvlJc w:val="left"/>
      <w:pPr>
        <w:ind w:left="6897" w:hanging="601"/>
      </w:pPr>
      <w:rPr>
        <w:rFonts w:hint="default"/>
        <w:lang w:val="zh-CN" w:eastAsia="zh-CN" w:bidi="zh-CN"/>
      </w:rPr>
    </w:lvl>
    <w:lvl w:ilvl="8" w:tentative="0">
      <w:start w:val="0"/>
      <w:numFmt w:val="bullet"/>
      <w:lvlText w:val="•"/>
      <w:lvlJc w:val="left"/>
      <w:pPr>
        <w:ind w:left="7906" w:hanging="601"/>
      </w:pPr>
      <w:rPr>
        <w:rFonts w:hint="default"/>
        <w:lang w:val="zh-CN" w:eastAsia="zh-CN" w:bidi="zh-CN"/>
      </w:rPr>
    </w:lvl>
  </w:abstractNum>
  <w:abstractNum w:abstractNumId="53">
    <w:nsid w:val="F7735DC9"/>
    <w:multiLevelType w:val="multilevel"/>
    <w:tmpl w:val="F7735DC9"/>
    <w:lvl w:ilvl="0" w:tentative="0">
      <w:start w:val="1"/>
      <w:numFmt w:val="decimal"/>
      <w:lvlText w:val="（%1）"/>
      <w:lvlJc w:val="left"/>
      <w:pPr>
        <w:ind w:left="159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84" w:hanging="601"/>
      </w:pPr>
      <w:rPr>
        <w:rFonts w:hint="default"/>
        <w:lang w:val="zh-CN" w:eastAsia="zh-CN" w:bidi="zh-CN"/>
      </w:rPr>
    </w:lvl>
    <w:lvl w:ilvl="2" w:tentative="0">
      <w:start w:val="0"/>
      <w:numFmt w:val="bullet"/>
      <w:lvlText w:val="•"/>
      <w:lvlJc w:val="left"/>
      <w:pPr>
        <w:ind w:left="3169" w:hanging="601"/>
      </w:pPr>
      <w:rPr>
        <w:rFonts w:hint="default"/>
        <w:lang w:val="zh-CN" w:eastAsia="zh-CN" w:bidi="zh-CN"/>
      </w:rPr>
    </w:lvl>
    <w:lvl w:ilvl="3" w:tentative="0">
      <w:start w:val="0"/>
      <w:numFmt w:val="bullet"/>
      <w:lvlText w:val="•"/>
      <w:lvlJc w:val="left"/>
      <w:pPr>
        <w:ind w:left="3953" w:hanging="601"/>
      </w:pPr>
      <w:rPr>
        <w:rFonts w:hint="default"/>
        <w:lang w:val="zh-CN" w:eastAsia="zh-CN" w:bidi="zh-CN"/>
      </w:rPr>
    </w:lvl>
    <w:lvl w:ilvl="4" w:tentative="0">
      <w:start w:val="0"/>
      <w:numFmt w:val="bullet"/>
      <w:lvlText w:val="•"/>
      <w:lvlJc w:val="left"/>
      <w:pPr>
        <w:ind w:left="4738"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7" w:hanging="601"/>
      </w:pPr>
      <w:rPr>
        <w:rFonts w:hint="default"/>
        <w:lang w:val="zh-CN" w:eastAsia="zh-CN" w:bidi="zh-CN"/>
      </w:rPr>
    </w:lvl>
    <w:lvl w:ilvl="7" w:tentative="0">
      <w:start w:val="0"/>
      <w:numFmt w:val="bullet"/>
      <w:lvlText w:val="•"/>
      <w:lvlJc w:val="left"/>
      <w:pPr>
        <w:ind w:left="7092" w:hanging="601"/>
      </w:pPr>
      <w:rPr>
        <w:rFonts w:hint="default"/>
        <w:lang w:val="zh-CN" w:eastAsia="zh-CN" w:bidi="zh-CN"/>
      </w:rPr>
    </w:lvl>
    <w:lvl w:ilvl="8" w:tentative="0">
      <w:start w:val="0"/>
      <w:numFmt w:val="bullet"/>
      <w:lvlText w:val="•"/>
      <w:lvlJc w:val="left"/>
      <w:pPr>
        <w:ind w:left="7876" w:hanging="601"/>
      </w:pPr>
      <w:rPr>
        <w:rFonts w:hint="default"/>
        <w:lang w:val="zh-CN" w:eastAsia="zh-CN" w:bidi="zh-CN"/>
      </w:rPr>
    </w:lvl>
  </w:abstractNum>
  <w:abstractNum w:abstractNumId="54">
    <w:nsid w:val="FEC2EA36"/>
    <w:multiLevelType w:val="multilevel"/>
    <w:tmpl w:val="FEC2EA36"/>
    <w:lvl w:ilvl="0" w:tentative="0">
      <w:start w:val="10"/>
      <w:numFmt w:val="decimal"/>
      <w:lvlText w:val="%1"/>
      <w:lvlJc w:val="left"/>
      <w:pPr>
        <w:ind w:left="1056" w:hanging="840"/>
        <w:jc w:val="left"/>
      </w:pPr>
      <w:rPr>
        <w:rFonts w:hint="default"/>
        <w:lang w:val="zh-CN" w:eastAsia="zh-CN" w:bidi="zh-CN"/>
      </w:rPr>
    </w:lvl>
    <w:lvl w:ilvl="1" w:tentative="0">
      <w:start w:val="3"/>
      <w:numFmt w:val="decimal"/>
      <w:lvlText w:val="%1.%2"/>
      <w:lvlJc w:val="left"/>
      <w:pPr>
        <w:ind w:left="1056" w:hanging="840"/>
        <w:jc w:val="left"/>
      </w:pPr>
      <w:rPr>
        <w:rFonts w:hint="default"/>
        <w:lang w:val="zh-CN" w:eastAsia="zh-CN" w:bidi="zh-CN"/>
      </w:rPr>
    </w:lvl>
    <w:lvl w:ilvl="2" w:tentative="0">
      <w:start w:val="1"/>
      <w:numFmt w:val="decimal"/>
      <w:lvlText w:val="%1.%2.%3"/>
      <w:lvlJc w:val="left"/>
      <w:pPr>
        <w:ind w:left="1056" w:hanging="840"/>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297"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4175" w:hanging="601"/>
      </w:pPr>
      <w:rPr>
        <w:rFonts w:hint="default"/>
        <w:lang w:val="zh-CN" w:eastAsia="zh-CN" w:bidi="zh-CN"/>
      </w:rPr>
    </w:lvl>
    <w:lvl w:ilvl="5" w:tentative="0">
      <w:start w:val="0"/>
      <w:numFmt w:val="bullet"/>
      <w:lvlText w:val="•"/>
      <w:lvlJc w:val="left"/>
      <w:pPr>
        <w:ind w:left="5133" w:hanging="601"/>
      </w:pPr>
      <w:rPr>
        <w:rFonts w:hint="default"/>
        <w:lang w:val="zh-CN" w:eastAsia="zh-CN" w:bidi="zh-CN"/>
      </w:rPr>
    </w:lvl>
    <w:lvl w:ilvl="6" w:tentative="0">
      <w:start w:val="0"/>
      <w:numFmt w:val="bullet"/>
      <w:lvlText w:val="•"/>
      <w:lvlJc w:val="left"/>
      <w:pPr>
        <w:ind w:left="6092" w:hanging="601"/>
      </w:pPr>
      <w:rPr>
        <w:rFonts w:hint="default"/>
        <w:lang w:val="zh-CN" w:eastAsia="zh-CN" w:bidi="zh-CN"/>
      </w:rPr>
    </w:lvl>
    <w:lvl w:ilvl="7" w:tentative="0">
      <w:start w:val="0"/>
      <w:numFmt w:val="bullet"/>
      <w:lvlText w:val="•"/>
      <w:lvlJc w:val="left"/>
      <w:pPr>
        <w:ind w:left="7050" w:hanging="601"/>
      </w:pPr>
      <w:rPr>
        <w:rFonts w:hint="default"/>
        <w:lang w:val="zh-CN" w:eastAsia="zh-CN" w:bidi="zh-CN"/>
      </w:rPr>
    </w:lvl>
    <w:lvl w:ilvl="8" w:tentative="0">
      <w:start w:val="0"/>
      <w:numFmt w:val="bullet"/>
      <w:lvlText w:val="•"/>
      <w:lvlJc w:val="left"/>
      <w:pPr>
        <w:ind w:left="8009" w:hanging="601"/>
      </w:pPr>
      <w:rPr>
        <w:rFonts w:hint="default"/>
        <w:lang w:val="zh-CN" w:eastAsia="zh-CN" w:bidi="zh-CN"/>
      </w:rPr>
    </w:lvl>
  </w:abstractNum>
  <w:abstractNum w:abstractNumId="55">
    <w:nsid w:val="0053208E"/>
    <w:multiLevelType w:val="multilevel"/>
    <w:tmpl w:val="0053208E"/>
    <w:lvl w:ilvl="0" w:tentative="0">
      <w:start w:val="1"/>
      <w:numFmt w:val="decimal"/>
      <w:lvlText w:val="%1."/>
      <w:lvlJc w:val="left"/>
      <w:pPr>
        <w:ind w:left="1252" w:hanging="213"/>
        <w:jc w:val="left"/>
      </w:pPr>
      <w:rPr>
        <w:rFonts w:hint="default" w:ascii="Times New Roman" w:hAnsi="Times New Roman" w:eastAsia="Times New Roman" w:cs="Times New Roman"/>
        <w:spacing w:val="-4"/>
        <w:w w:val="100"/>
        <w:sz w:val="26"/>
        <w:szCs w:val="26"/>
        <w:lang w:val="zh-CN" w:eastAsia="zh-CN" w:bidi="zh-CN"/>
      </w:rPr>
    </w:lvl>
    <w:lvl w:ilvl="1" w:tentative="0">
      <w:start w:val="1"/>
      <w:numFmt w:val="decimal"/>
      <w:lvlText w:val="%1.%2"/>
      <w:lvlJc w:val="left"/>
      <w:pPr>
        <w:ind w:left="1774" w:hanging="315"/>
        <w:jc w:val="left"/>
      </w:pPr>
      <w:rPr>
        <w:rFonts w:hint="default" w:ascii="Times New Roman" w:hAnsi="Times New Roman" w:eastAsia="Times New Roman" w:cs="Times New Roman"/>
        <w:spacing w:val="0"/>
        <w:w w:val="99"/>
        <w:sz w:val="21"/>
        <w:szCs w:val="21"/>
        <w:lang w:val="zh-CN" w:eastAsia="zh-CN" w:bidi="zh-CN"/>
      </w:rPr>
    </w:lvl>
    <w:lvl w:ilvl="2" w:tentative="0">
      <w:start w:val="0"/>
      <w:numFmt w:val="bullet"/>
      <w:lvlText w:val="•"/>
      <w:lvlJc w:val="left"/>
      <w:pPr>
        <w:ind w:left="1880" w:hanging="315"/>
      </w:pPr>
      <w:rPr>
        <w:rFonts w:hint="default"/>
        <w:lang w:val="zh-CN" w:eastAsia="zh-CN" w:bidi="zh-CN"/>
      </w:rPr>
    </w:lvl>
    <w:lvl w:ilvl="3" w:tentative="0">
      <w:start w:val="0"/>
      <w:numFmt w:val="bullet"/>
      <w:lvlText w:val="•"/>
      <w:lvlJc w:val="left"/>
      <w:pPr>
        <w:ind w:left="2948" w:hanging="315"/>
      </w:pPr>
      <w:rPr>
        <w:rFonts w:hint="default"/>
        <w:lang w:val="zh-CN" w:eastAsia="zh-CN" w:bidi="zh-CN"/>
      </w:rPr>
    </w:lvl>
    <w:lvl w:ilvl="4" w:tentative="0">
      <w:start w:val="0"/>
      <w:numFmt w:val="bullet"/>
      <w:lvlText w:val="•"/>
      <w:lvlJc w:val="left"/>
      <w:pPr>
        <w:ind w:left="4016" w:hanging="315"/>
      </w:pPr>
      <w:rPr>
        <w:rFonts w:hint="default"/>
        <w:lang w:val="zh-CN" w:eastAsia="zh-CN" w:bidi="zh-CN"/>
      </w:rPr>
    </w:lvl>
    <w:lvl w:ilvl="5" w:tentative="0">
      <w:start w:val="0"/>
      <w:numFmt w:val="bullet"/>
      <w:lvlText w:val="•"/>
      <w:lvlJc w:val="left"/>
      <w:pPr>
        <w:ind w:left="5084" w:hanging="315"/>
      </w:pPr>
      <w:rPr>
        <w:rFonts w:hint="default"/>
        <w:lang w:val="zh-CN" w:eastAsia="zh-CN" w:bidi="zh-CN"/>
      </w:rPr>
    </w:lvl>
    <w:lvl w:ilvl="6" w:tentative="0">
      <w:start w:val="0"/>
      <w:numFmt w:val="bullet"/>
      <w:lvlText w:val="•"/>
      <w:lvlJc w:val="left"/>
      <w:pPr>
        <w:ind w:left="6153" w:hanging="315"/>
      </w:pPr>
      <w:rPr>
        <w:rFonts w:hint="default"/>
        <w:lang w:val="zh-CN" w:eastAsia="zh-CN" w:bidi="zh-CN"/>
      </w:rPr>
    </w:lvl>
    <w:lvl w:ilvl="7" w:tentative="0">
      <w:start w:val="0"/>
      <w:numFmt w:val="bullet"/>
      <w:lvlText w:val="•"/>
      <w:lvlJc w:val="left"/>
      <w:pPr>
        <w:ind w:left="7221" w:hanging="315"/>
      </w:pPr>
      <w:rPr>
        <w:rFonts w:hint="default"/>
        <w:lang w:val="zh-CN" w:eastAsia="zh-CN" w:bidi="zh-CN"/>
      </w:rPr>
    </w:lvl>
    <w:lvl w:ilvl="8" w:tentative="0">
      <w:start w:val="0"/>
      <w:numFmt w:val="bullet"/>
      <w:lvlText w:val="•"/>
      <w:lvlJc w:val="left"/>
      <w:pPr>
        <w:ind w:left="8289" w:hanging="315"/>
      </w:pPr>
      <w:rPr>
        <w:rFonts w:hint="default"/>
        <w:lang w:val="zh-CN" w:eastAsia="zh-CN" w:bidi="zh-CN"/>
      </w:rPr>
    </w:lvl>
  </w:abstractNum>
  <w:abstractNum w:abstractNumId="56">
    <w:nsid w:val="01836A6D"/>
    <w:multiLevelType w:val="multilevel"/>
    <w:tmpl w:val="01836A6D"/>
    <w:lvl w:ilvl="0" w:tentative="0">
      <w:start w:val="1"/>
      <w:numFmt w:val="decimal"/>
      <w:lvlText w:val="(%1)"/>
      <w:lvlJc w:val="left"/>
      <w:pPr>
        <w:ind w:left="980" w:hanging="281"/>
        <w:jc w:val="left"/>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1856" w:hanging="281"/>
      </w:pPr>
      <w:rPr>
        <w:rFonts w:hint="default"/>
        <w:lang w:val="zh-CN" w:eastAsia="zh-CN" w:bidi="zh-CN"/>
      </w:rPr>
    </w:lvl>
    <w:lvl w:ilvl="2" w:tentative="0">
      <w:start w:val="0"/>
      <w:numFmt w:val="bullet"/>
      <w:lvlText w:val="•"/>
      <w:lvlJc w:val="left"/>
      <w:pPr>
        <w:ind w:left="2733" w:hanging="281"/>
      </w:pPr>
      <w:rPr>
        <w:rFonts w:hint="default"/>
        <w:lang w:val="zh-CN" w:eastAsia="zh-CN" w:bidi="zh-CN"/>
      </w:rPr>
    </w:lvl>
    <w:lvl w:ilvl="3" w:tentative="0">
      <w:start w:val="0"/>
      <w:numFmt w:val="bullet"/>
      <w:lvlText w:val="•"/>
      <w:lvlJc w:val="left"/>
      <w:pPr>
        <w:ind w:left="3609" w:hanging="281"/>
      </w:pPr>
      <w:rPr>
        <w:rFonts w:hint="default"/>
        <w:lang w:val="zh-CN" w:eastAsia="zh-CN" w:bidi="zh-CN"/>
      </w:rPr>
    </w:lvl>
    <w:lvl w:ilvl="4" w:tentative="0">
      <w:start w:val="0"/>
      <w:numFmt w:val="bullet"/>
      <w:lvlText w:val="•"/>
      <w:lvlJc w:val="left"/>
      <w:pPr>
        <w:ind w:left="4486" w:hanging="281"/>
      </w:pPr>
      <w:rPr>
        <w:rFonts w:hint="default"/>
        <w:lang w:val="zh-CN" w:eastAsia="zh-CN" w:bidi="zh-CN"/>
      </w:rPr>
    </w:lvl>
    <w:lvl w:ilvl="5" w:tentative="0">
      <w:start w:val="0"/>
      <w:numFmt w:val="bullet"/>
      <w:lvlText w:val="•"/>
      <w:lvlJc w:val="left"/>
      <w:pPr>
        <w:ind w:left="5363" w:hanging="281"/>
      </w:pPr>
      <w:rPr>
        <w:rFonts w:hint="default"/>
        <w:lang w:val="zh-CN" w:eastAsia="zh-CN" w:bidi="zh-CN"/>
      </w:rPr>
    </w:lvl>
    <w:lvl w:ilvl="6" w:tentative="0">
      <w:start w:val="0"/>
      <w:numFmt w:val="bullet"/>
      <w:lvlText w:val="•"/>
      <w:lvlJc w:val="left"/>
      <w:pPr>
        <w:ind w:left="6239" w:hanging="281"/>
      </w:pPr>
      <w:rPr>
        <w:rFonts w:hint="default"/>
        <w:lang w:val="zh-CN" w:eastAsia="zh-CN" w:bidi="zh-CN"/>
      </w:rPr>
    </w:lvl>
    <w:lvl w:ilvl="7" w:tentative="0">
      <w:start w:val="0"/>
      <w:numFmt w:val="bullet"/>
      <w:lvlText w:val="•"/>
      <w:lvlJc w:val="left"/>
      <w:pPr>
        <w:ind w:left="7116" w:hanging="281"/>
      </w:pPr>
      <w:rPr>
        <w:rFonts w:hint="default"/>
        <w:lang w:val="zh-CN" w:eastAsia="zh-CN" w:bidi="zh-CN"/>
      </w:rPr>
    </w:lvl>
    <w:lvl w:ilvl="8" w:tentative="0">
      <w:start w:val="0"/>
      <w:numFmt w:val="bullet"/>
      <w:lvlText w:val="•"/>
      <w:lvlJc w:val="left"/>
      <w:pPr>
        <w:ind w:left="7992" w:hanging="281"/>
      </w:pPr>
      <w:rPr>
        <w:rFonts w:hint="default"/>
        <w:lang w:val="zh-CN" w:eastAsia="zh-CN" w:bidi="zh-CN"/>
      </w:rPr>
    </w:lvl>
  </w:abstractNum>
  <w:abstractNum w:abstractNumId="57">
    <w:nsid w:val="0248C179"/>
    <w:multiLevelType w:val="multilevel"/>
    <w:tmpl w:val="0248C179"/>
    <w:lvl w:ilvl="0" w:tentative="0">
      <w:start w:val="1"/>
      <w:numFmt w:val="decimal"/>
      <w:lvlText w:val="(%1)"/>
      <w:lvlJc w:val="left"/>
      <w:pPr>
        <w:ind w:left="658" w:hanging="281"/>
        <w:jc w:val="left"/>
      </w:pPr>
      <w:rPr>
        <w:rFonts w:hint="default" w:ascii="Times New Roman" w:hAnsi="Times New Roman" w:eastAsia="Times New Roman" w:cs="Times New Roman"/>
        <w:spacing w:val="-23"/>
        <w:w w:val="100"/>
        <w:sz w:val="22"/>
        <w:szCs w:val="22"/>
        <w:lang w:val="zh-CN" w:eastAsia="zh-CN" w:bidi="zh-CN"/>
      </w:rPr>
    </w:lvl>
    <w:lvl w:ilvl="1" w:tentative="0">
      <w:start w:val="0"/>
      <w:numFmt w:val="bullet"/>
      <w:lvlText w:val="•"/>
      <w:lvlJc w:val="left"/>
      <w:pPr>
        <w:ind w:left="1636" w:hanging="281"/>
      </w:pPr>
      <w:rPr>
        <w:rFonts w:hint="default"/>
        <w:lang w:val="zh-CN" w:eastAsia="zh-CN" w:bidi="zh-CN"/>
      </w:rPr>
    </w:lvl>
    <w:lvl w:ilvl="2" w:tentative="0">
      <w:start w:val="0"/>
      <w:numFmt w:val="bullet"/>
      <w:lvlText w:val="•"/>
      <w:lvlJc w:val="left"/>
      <w:pPr>
        <w:ind w:left="2613" w:hanging="281"/>
      </w:pPr>
      <w:rPr>
        <w:rFonts w:hint="default"/>
        <w:lang w:val="zh-CN" w:eastAsia="zh-CN" w:bidi="zh-CN"/>
      </w:rPr>
    </w:lvl>
    <w:lvl w:ilvl="3" w:tentative="0">
      <w:start w:val="0"/>
      <w:numFmt w:val="bullet"/>
      <w:lvlText w:val="•"/>
      <w:lvlJc w:val="left"/>
      <w:pPr>
        <w:ind w:left="3589" w:hanging="281"/>
      </w:pPr>
      <w:rPr>
        <w:rFonts w:hint="default"/>
        <w:lang w:val="zh-CN" w:eastAsia="zh-CN" w:bidi="zh-CN"/>
      </w:rPr>
    </w:lvl>
    <w:lvl w:ilvl="4" w:tentative="0">
      <w:start w:val="0"/>
      <w:numFmt w:val="bullet"/>
      <w:lvlText w:val="•"/>
      <w:lvlJc w:val="left"/>
      <w:pPr>
        <w:ind w:left="4566" w:hanging="281"/>
      </w:pPr>
      <w:rPr>
        <w:rFonts w:hint="default"/>
        <w:lang w:val="zh-CN" w:eastAsia="zh-CN" w:bidi="zh-CN"/>
      </w:rPr>
    </w:lvl>
    <w:lvl w:ilvl="5" w:tentative="0">
      <w:start w:val="0"/>
      <w:numFmt w:val="bullet"/>
      <w:lvlText w:val="•"/>
      <w:lvlJc w:val="left"/>
      <w:pPr>
        <w:ind w:left="5543" w:hanging="281"/>
      </w:pPr>
      <w:rPr>
        <w:rFonts w:hint="default"/>
        <w:lang w:val="zh-CN" w:eastAsia="zh-CN" w:bidi="zh-CN"/>
      </w:rPr>
    </w:lvl>
    <w:lvl w:ilvl="6" w:tentative="0">
      <w:start w:val="0"/>
      <w:numFmt w:val="bullet"/>
      <w:lvlText w:val="•"/>
      <w:lvlJc w:val="left"/>
      <w:pPr>
        <w:ind w:left="6519" w:hanging="281"/>
      </w:pPr>
      <w:rPr>
        <w:rFonts w:hint="default"/>
        <w:lang w:val="zh-CN" w:eastAsia="zh-CN" w:bidi="zh-CN"/>
      </w:rPr>
    </w:lvl>
    <w:lvl w:ilvl="7" w:tentative="0">
      <w:start w:val="0"/>
      <w:numFmt w:val="bullet"/>
      <w:lvlText w:val="•"/>
      <w:lvlJc w:val="left"/>
      <w:pPr>
        <w:ind w:left="7496" w:hanging="281"/>
      </w:pPr>
      <w:rPr>
        <w:rFonts w:hint="default"/>
        <w:lang w:val="zh-CN" w:eastAsia="zh-CN" w:bidi="zh-CN"/>
      </w:rPr>
    </w:lvl>
    <w:lvl w:ilvl="8" w:tentative="0">
      <w:start w:val="0"/>
      <w:numFmt w:val="bullet"/>
      <w:lvlText w:val="•"/>
      <w:lvlJc w:val="left"/>
      <w:pPr>
        <w:ind w:left="8472" w:hanging="281"/>
      </w:pPr>
      <w:rPr>
        <w:rFonts w:hint="default"/>
        <w:lang w:val="zh-CN" w:eastAsia="zh-CN" w:bidi="zh-CN"/>
      </w:rPr>
    </w:lvl>
  </w:abstractNum>
  <w:abstractNum w:abstractNumId="58">
    <w:nsid w:val="03A63A41"/>
    <w:multiLevelType w:val="multilevel"/>
    <w:tmpl w:val="03A63A41"/>
    <w:lvl w:ilvl="0" w:tentative="0">
      <w:start w:val="1"/>
      <w:numFmt w:val="decimal"/>
      <w:lvlText w:val="（%1）"/>
      <w:lvlJc w:val="left"/>
      <w:pPr>
        <w:ind w:left="1297"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62" w:hanging="601"/>
      </w:pPr>
      <w:rPr>
        <w:rFonts w:hint="default"/>
        <w:lang w:val="zh-CN" w:eastAsia="zh-CN" w:bidi="zh-CN"/>
      </w:rPr>
    </w:lvl>
    <w:lvl w:ilvl="2" w:tentative="0">
      <w:start w:val="0"/>
      <w:numFmt w:val="bullet"/>
      <w:lvlText w:val="•"/>
      <w:lvlJc w:val="left"/>
      <w:pPr>
        <w:ind w:left="3025" w:hanging="601"/>
      </w:pPr>
      <w:rPr>
        <w:rFonts w:hint="default"/>
        <w:lang w:val="zh-CN" w:eastAsia="zh-CN" w:bidi="zh-CN"/>
      </w:rPr>
    </w:lvl>
    <w:lvl w:ilvl="3" w:tentative="0">
      <w:start w:val="0"/>
      <w:numFmt w:val="bullet"/>
      <w:lvlText w:val="•"/>
      <w:lvlJc w:val="left"/>
      <w:pPr>
        <w:ind w:left="3887" w:hanging="601"/>
      </w:pPr>
      <w:rPr>
        <w:rFonts w:hint="default"/>
        <w:lang w:val="zh-CN" w:eastAsia="zh-CN" w:bidi="zh-CN"/>
      </w:rPr>
    </w:lvl>
    <w:lvl w:ilvl="4" w:tentative="0">
      <w:start w:val="0"/>
      <w:numFmt w:val="bullet"/>
      <w:lvlText w:val="•"/>
      <w:lvlJc w:val="left"/>
      <w:pPr>
        <w:ind w:left="4750" w:hanging="601"/>
      </w:pPr>
      <w:rPr>
        <w:rFonts w:hint="default"/>
        <w:lang w:val="zh-CN" w:eastAsia="zh-CN" w:bidi="zh-CN"/>
      </w:rPr>
    </w:lvl>
    <w:lvl w:ilvl="5" w:tentative="0">
      <w:start w:val="0"/>
      <w:numFmt w:val="bullet"/>
      <w:lvlText w:val="•"/>
      <w:lvlJc w:val="left"/>
      <w:pPr>
        <w:ind w:left="5613" w:hanging="601"/>
      </w:pPr>
      <w:rPr>
        <w:rFonts w:hint="default"/>
        <w:lang w:val="zh-CN" w:eastAsia="zh-CN" w:bidi="zh-CN"/>
      </w:rPr>
    </w:lvl>
    <w:lvl w:ilvl="6" w:tentative="0">
      <w:start w:val="0"/>
      <w:numFmt w:val="bullet"/>
      <w:lvlText w:val="•"/>
      <w:lvlJc w:val="left"/>
      <w:pPr>
        <w:ind w:left="6475" w:hanging="601"/>
      </w:pPr>
      <w:rPr>
        <w:rFonts w:hint="default"/>
        <w:lang w:val="zh-CN" w:eastAsia="zh-CN" w:bidi="zh-CN"/>
      </w:rPr>
    </w:lvl>
    <w:lvl w:ilvl="7" w:tentative="0">
      <w:start w:val="0"/>
      <w:numFmt w:val="bullet"/>
      <w:lvlText w:val="•"/>
      <w:lvlJc w:val="left"/>
      <w:pPr>
        <w:ind w:left="7338" w:hanging="601"/>
      </w:pPr>
      <w:rPr>
        <w:rFonts w:hint="default"/>
        <w:lang w:val="zh-CN" w:eastAsia="zh-CN" w:bidi="zh-CN"/>
      </w:rPr>
    </w:lvl>
    <w:lvl w:ilvl="8" w:tentative="0">
      <w:start w:val="0"/>
      <w:numFmt w:val="bullet"/>
      <w:lvlText w:val="•"/>
      <w:lvlJc w:val="left"/>
      <w:pPr>
        <w:ind w:left="8200" w:hanging="601"/>
      </w:pPr>
      <w:rPr>
        <w:rFonts w:hint="default"/>
        <w:lang w:val="zh-CN" w:eastAsia="zh-CN" w:bidi="zh-CN"/>
      </w:rPr>
    </w:lvl>
  </w:abstractNum>
  <w:abstractNum w:abstractNumId="59">
    <w:nsid w:val="03D62ECE"/>
    <w:multiLevelType w:val="multilevel"/>
    <w:tmpl w:val="03D62ECE"/>
    <w:lvl w:ilvl="0" w:tentative="0">
      <w:start w:val="1"/>
      <w:numFmt w:val="decimal"/>
      <w:lvlText w:val="（%1）"/>
      <w:lvlJc w:val="left"/>
      <w:pPr>
        <w:ind w:left="173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608" w:hanging="601"/>
      </w:pPr>
      <w:rPr>
        <w:rFonts w:hint="default"/>
        <w:lang w:val="zh-CN" w:eastAsia="zh-CN" w:bidi="zh-CN"/>
      </w:rPr>
    </w:lvl>
    <w:lvl w:ilvl="2" w:tentative="0">
      <w:start w:val="0"/>
      <w:numFmt w:val="bullet"/>
      <w:lvlText w:val="•"/>
      <w:lvlJc w:val="left"/>
      <w:pPr>
        <w:ind w:left="3477" w:hanging="601"/>
      </w:pPr>
      <w:rPr>
        <w:rFonts w:hint="default"/>
        <w:lang w:val="zh-CN" w:eastAsia="zh-CN" w:bidi="zh-CN"/>
      </w:rPr>
    </w:lvl>
    <w:lvl w:ilvl="3" w:tentative="0">
      <w:start w:val="0"/>
      <w:numFmt w:val="bullet"/>
      <w:lvlText w:val="•"/>
      <w:lvlJc w:val="left"/>
      <w:pPr>
        <w:ind w:left="4345" w:hanging="601"/>
      </w:pPr>
      <w:rPr>
        <w:rFonts w:hint="default"/>
        <w:lang w:val="zh-CN" w:eastAsia="zh-CN" w:bidi="zh-CN"/>
      </w:rPr>
    </w:lvl>
    <w:lvl w:ilvl="4" w:tentative="0">
      <w:start w:val="0"/>
      <w:numFmt w:val="bullet"/>
      <w:lvlText w:val="•"/>
      <w:lvlJc w:val="left"/>
      <w:pPr>
        <w:ind w:left="5214" w:hanging="601"/>
      </w:pPr>
      <w:rPr>
        <w:rFonts w:hint="default"/>
        <w:lang w:val="zh-CN" w:eastAsia="zh-CN" w:bidi="zh-CN"/>
      </w:rPr>
    </w:lvl>
    <w:lvl w:ilvl="5" w:tentative="0">
      <w:start w:val="0"/>
      <w:numFmt w:val="bullet"/>
      <w:lvlText w:val="•"/>
      <w:lvlJc w:val="left"/>
      <w:pPr>
        <w:ind w:left="6083" w:hanging="601"/>
      </w:pPr>
      <w:rPr>
        <w:rFonts w:hint="default"/>
        <w:lang w:val="zh-CN" w:eastAsia="zh-CN" w:bidi="zh-CN"/>
      </w:rPr>
    </w:lvl>
    <w:lvl w:ilvl="6" w:tentative="0">
      <w:start w:val="0"/>
      <w:numFmt w:val="bullet"/>
      <w:lvlText w:val="•"/>
      <w:lvlJc w:val="left"/>
      <w:pPr>
        <w:ind w:left="6951" w:hanging="601"/>
      </w:pPr>
      <w:rPr>
        <w:rFonts w:hint="default"/>
        <w:lang w:val="zh-CN" w:eastAsia="zh-CN" w:bidi="zh-CN"/>
      </w:rPr>
    </w:lvl>
    <w:lvl w:ilvl="7" w:tentative="0">
      <w:start w:val="0"/>
      <w:numFmt w:val="bullet"/>
      <w:lvlText w:val="•"/>
      <w:lvlJc w:val="left"/>
      <w:pPr>
        <w:ind w:left="7820" w:hanging="601"/>
      </w:pPr>
      <w:rPr>
        <w:rFonts w:hint="default"/>
        <w:lang w:val="zh-CN" w:eastAsia="zh-CN" w:bidi="zh-CN"/>
      </w:rPr>
    </w:lvl>
    <w:lvl w:ilvl="8" w:tentative="0">
      <w:start w:val="0"/>
      <w:numFmt w:val="bullet"/>
      <w:lvlText w:val="•"/>
      <w:lvlJc w:val="left"/>
      <w:pPr>
        <w:ind w:left="8688" w:hanging="601"/>
      </w:pPr>
      <w:rPr>
        <w:rFonts w:hint="default"/>
        <w:lang w:val="zh-CN" w:eastAsia="zh-CN" w:bidi="zh-CN"/>
      </w:rPr>
    </w:lvl>
  </w:abstractNum>
  <w:abstractNum w:abstractNumId="60">
    <w:nsid w:val="0709FD3E"/>
    <w:multiLevelType w:val="multilevel"/>
    <w:tmpl w:val="0709FD3E"/>
    <w:lvl w:ilvl="0" w:tentative="0">
      <w:start w:val="1"/>
      <w:numFmt w:val="decimal"/>
      <w:lvlText w:val="%1."/>
      <w:lvlJc w:val="left"/>
      <w:pPr>
        <w:ind w:left="267" w:hanging="159"/>
        <w:jc w:val="left"/>
      </w:pPr>
      <w:rPr>
        <w:rFonts w:hint="default" w:ascii="Times New Roman" w:hAnsi="Times New Roman" w:eastAsia="Times New Roman" w:cs="Times New Roman"/>
        <w:spacing w:val="-2"/>
        <w:w w:val="99"/>
        <w:sz w:val="19"/>
        <w:szCs w:val="19"/>
        <w:lang w:val="zh-CN" w:eastAsia="zh-CN" w:bidi="zh-CN"/>
      </w:rPr>
    </w:lvl>
    <w:lvl w:ilvl="1" w:tentative="0">
      <w:start w:val="0"/>
      <w:numFmt w:val="bullet"/>
      <w:lvlText w:val="•"/>
      <w:lvlJc w:val="left"/>
      <w:pPr>
        <w:ind w:left="875" w:hanging="159"/>
      </w:pPr>
      <w:rPr>
        <w:rFonts w:hint="default"/>
        <w:lang w:val="zh-CN" w:eastAsia="zh-CN" w:bidi="zh-CN"/>
      </w:rPr>
    </w:lvl>
    <w:lvl w:ilvl="2" w:tentative="0">
      <w:start w:val="0"/>
      <w:numFmt w:val="bullet"/>
      <w:lvlText w:val="•"/>
      <w:lvlJc w:val="left"/>
      <w:pPr>
        <w:ind w:left="1490" w:hanging="159"/>
      </w:pPr>
      <w:rPr>
        <w:rFonts w:hint="default"/>
        <w:lang w:val="zh-CN" w:eastAsia="zh-CN" w:bidi="zh-CN"/>
      </w:rPr>
    </w:lvl>
    <w:lvl w:ilvl="3" w:tentative="0">
      <w:start w:val="0"/>
      <w:numFmt w:val="bullet"/>
      <w:lvlText w:val="•"/>
      <w:lvlJc w:val="left"/>
      <w:pPr>
        <w:ind w:left="2105" w:hanging="159"/>
      </w:pPr>
      <w:rPr>
        <w:rFonts w:hint="default"/>
        <w:lang w:val="zh-CN" w:eastAsia="zh-CN" w:bidi="zh-CN"/>
      </w:rPr>
    </w:lvl>
    <w:lvl w:ilvl="4" w:tentative="0">
      <w:start w:val="0"/>
      <w:numFmt w:val="bullet"/>
      <w:lvlText w:val="•"/>
      <w:lvlJc w:val="left"/>
      <w:pPr>
        <w:ind w:left="2720" w:hanging="159"/>
      </w:pPr>
      <w:rPr>
        <w:rFonts w:hint="default"/>
        <w:lang w:val="zh-CN" w:eastAsia="zh-CN" w:bidi="zh-CN"/>
      </w:rPr>
    </w:lvl>
    <w:lvl w:ilvl="5" w:tentative="0">
      <w:start w:val="0"/>
      <w:numFmt w:val="bullet"/>
      <w:lvlText w:val="•"/>
      <w:lvlJc w:val="left"/>
      <w:pPr>
        <w:ind w:left="3335" w:hanging="159"/>
      </w:pPr>
      <w:rPr>
        <w:rFonts w:hint="default"/>
        <w:lang w:val="zh-CN" w:eastAsia="zh-CN" w:bidi="zh-CN"/>
      </w:rPr>
    </w:lvl>
    <w:lvl w:ilvl="6" w:tentative="0">
      <w:start w:val="0"/>
      <w:numFmt w:val="bullet"/>
      <w:lvlText w:val="•"/>
      <w:lvlJc w:val="left"/>
      <w:pPr>
        <w:ind w:left="3950" w:hanging="159"/>
      </w:pPr>
      <w:rPr>
        <w:rFonts w:hint="default"/>
        <w:lang w:val="zh-CN" w:eastAsia="zh-CN" w:bidi="zh-CN"/>
      </w:rPr>
    </w:lvl>
    <w:lvl w:ilvl="7" w:tentative="0">
      <w:start w:val="0"/>
      <w:numFmt w:val="bullet"/>
      <w:lvlText w:val="•"/>
      <w:lvlJc w:val="left"/>
      <w:pPr>
        <w:ind w:left="4565" w:hanging="159"/>
      </w:pPr>
      <w:rPr>
        <w:rFonts w:hint="default"/>
        <w:lang w:val="zh-CN" w:eastAsia="zh-CN" w:bidi="zh-CN"/>
      </w:rPr>
    </w:lvl>
    <w:lvl w:ilvl="8" w:tentative="0">
      <w:start w:val="0"/>
      <w:numFmt w:val="bullet"/>
      <w:lvlText w:val="•"/>
      <w:lvlJc w:val="left"/>
      <w:pPr>
        <w:ind w:left="5180" w:hanging="159"/>
      </w:pPr>
      <w:rPr>
        <w:rFonts w:hint="default"/>
        <w:lang w:val="zh-CN" w:eastAsia="zh-CN" w:bidi="zh-CN"/>
      </w:rPr>
    </w:lvl>
  </w:abstractNum>
  <w:abstractNum w:abstractNumId="61">
    <w:nsid w:val="0CEF100B"/>
    <w:multiLevelType w:val="multilevel"/>
    <w:tmpl w:val="0CEF100B"/>
    <w:lvl w:ilvl="0" w:tentative="0">
      <w:start w:val="1"/>
      <w:numFmt w:val="decimal"/>
      <w:lvlText w:val="%1."/>
      <w:lvlJc w:val="left"/>
      <w:pPr>
        <w:ind w:left="267" w:hanging="159"/>
        <w:jc w:val="left"/>
      </w:pPr>
      <w:rPr>
        <w:rFonts w:hint="default" w:ascii="Times New Roman" w:hAnsi="Times New Roman" w:eastAsia="Times New Roman" w:cs="Times New Roman"/>
        <w:spacing w:val="-2"/>
        <w:w w:val="99"/>
        <w:sz w:val="19"/>
        <w:szCs w:val="19"/>
        <w:lang w:val="zh-CN" w:eastAsia="zh-CN" w:bidi="zh-CN"/>
      </w:rPr>
    </w:lvl>
    <w:lvl w:ilvl="1" w:tentative="0">
      <w:start w:val="0"/>
      <w:numFmt w:val="bullet"/>
      <w:lvlText w:val="•"/>
      <w:lvlJc w:val="left"/>
      <w:pPr>
        <w:ind w:left="875" w:hanging="159"/>
      </w:pPr>
      <w:rPr>
        <w:rFonts w:hint="default"/>
        <w:lang w:val="zh-CN" w:eastAsia="zh-CN" w:bidi="zh-CN"/>
      </w:rPr>
    </w:lvl>
    <w:lvl w:ilvl="2" w:tentative="0">
      <w:start w:val="0"/>
      <w:numFmt w:val="bullet"/>
      <w:lvlText w:val="•"/>
      <w:lvlJc w:val="left"/>
      <w:pPr>
        <w:ind w:left="1490" w:hanging="159"/>
      </w:pPr>
      <w:rPr>
        <w:rFonts w:hint="default"/>
        <w:lang w:val="zh-CN" w:eastAsia="zh-CN" w:bidi="zh-CN"/>
      </w:rPr>
    </w:lvl>
    <w:lvl w:ilvl="3" w:tentative="0">
      <w:start w:val="0"/>
      <w:numFmt w:val="bullet"/>
      <w:lvlText w:val="•"/>
      <w:lvlJc w:val="left"/>
      <w:pPr>
        <w:ind w:left="2105" w:hanging="159"/>
      </w:pPr>
      <w:rPr>
        <w:rFonts w:hint="default"/>
        <w:lang w:val="zh-CN" w:eastAsia="zh-CN" w:bidi="zh-CN"/>
      </w:rPr>
    </w:lvl>
    <w:lvl w:ilvl="4" w:tentative="0">
      <w:start w:val="0"/>
      <w:numFmt w:val="bullet"/>
      <w:lvlText w:val="•"/>
      <w:lvlJc w:val="left"/>
      <w:pPr>
        <w:ind w:left="2720" w:hanging="159"/>
      </w:pPr>
      <w:rPr>
        <w:rFonts w:hint="default"/>
        <w:lang w:val="zh-CN" w:eastAsia="zh-CN" w:bidi="zh-CN"/>
      </w:rPr>
    </w:lvl>
    <w:lvl w:ilvl="5" w:tentative="0">
      <w:start w:val="0"/>
      <w:numFmt w:val="bullet"/>
      <w:lvlText w:val="•"/>
      <w:lvlJc w:val="left"/>
      <w:pPr>
        <w:ind w:left="3335" w:hanging="159"/>
      </w:pPr>
      <w:rPr>
        <w:rFonts w:hint="default"/>
        <w:lang w:val="zh-CN" w:eastAsia="zh-CN" w:bidi="zh-CN"/>
      </w:rPr>
    </w:lvl>
    <w:lvl w:ilvl="6" w:tentative="0">
      <w:start w:val="0"/>
      <w:numFmt w:val="bullet"/>
      <w:lvlText w:val="•"/>
      <w:lvlJc w:val="left"/>
      <w:pPr>
        <w:ind w:left="3950" w:hanging="159"/>
      </w:pPr>
      <w:rPr>
        <w:rFonts w:hint="default"/>
        <w:lang w:val="zh-CN" w:eastAsia="zh-CN" w:bidi="zh-CN"/>
      </w:rPr>
    </w:lvl>
    <w:lvl w:ilvl="7" w:tentative="0">
      <w:start w:val="0"/>
      <w:numFmt w:val="bullet"/>
      <w:lvlText w:val="•"/>
      <w:lvlJc w:val="left"/>
      <w:pPr>
        <w:ind w:left="4565" w:hanging="159"/>
      </w:pPr>
      <w:rPr>
        <w:rFonts w:hint="default"/>
        <w:lang w:val="zh-CN" w:eastAsia="zh-CN" w:bidi="zh-CN"/>
      </w:rPr>
    </w:lvl>
    <w:lvl w:ilvl="8" w:tentative="0">
      <w:start w:val="0"/>
      <w:numFmt w:val="bullet"/>
      <w:lvlText w:val="•"/>
      <w:lvlJc w:val="left"/>
      <w:pPr>
        <w:ind w:left="5180" w:hanging="159"/>
      </w:pPr>
      <w:rPr>
        <w:rFonts w:hint="default"/>
        <w:lang w:val="zh-CN" w:eastAsia="zh-CN" w:bidi="zh-CN"/>
      </w:rPr>
    </w:lvl>
  </w:abstractNum>
  <w:abstractNum w:abstractNumId="62">
    <w:nsid w:val="0E640482"/>
    <w:multiLevelType w:val="multilevel"/>
    <w:tmpl w:val="0E640482"/>
    <w:lvl w:ilvl="0" w:tentative="0">
      <w:start w:val="1"/>
      <w:numFmt w:val="decimal"/>
      <w:lvlText w:val="（%1）"/>
      <w:lvlJc w:val="left"/>
      <w:pPr>
        <w:ind w:left="21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950" w:hanging="601"/>
      </w:pPr>
      <w:rPr>
        <w:rFonts w:hint="default"/>
        <w:lang w:val="zh-CN" w:eastAsia="zh-CN" w:bidi="zh-CN"/>
      </w:rPr>
    </w:lvl>
    <w:lvl w:ilvl="2" w:tentative="0">
      <w:start w:val="0"/>
      <w:numFmt w:val="bullet"/>
      <w:lvlText w:val="•"/>
      <w:lvlJc w:val="left"/>
      <w:pPr>
        <w:ind w:left="3781" w:hanging="601"/>
      </w:pPr>
      <w:rPr>
        <w:rFonts w:hint="default"/>
        <w:lang w:val="zh-CN" w:eastAsia="zh-CN" w:bidi="zh-CN"/>
      </w:rPr>
    </w:lvl>
    <w:lvl w:ilvl="3" w:tentative="0">
      <w:start w:val="0"/>
      <w:numFmt w:val="bullet"/>
      <w:lvlText w:val="•"/>
      <w:lvlJc w:val="left"/>
      <w:pPr>
        <w:ind w:left="4611" w:hanging="601"/>
      </w:pPr>
      <w:rPr>
        <w:rFonts w:hint="default"/>
        <w:lang w:val="zh-CN" w:eastAsia="zh-CN" w:bidi="zh-CN"/>
      </w:rPr>
    </w:lvl>
    <w:lvl w:ilvl="4" w:tentative="0">
      <w:start w:val="0"/>
      <w:numFmt w:val="bullet"/>
      <w:lvlText w:val="•"/>
      <w:lvlJc w:val="left"/>
      <w:pPr>
        <w:ind w:left="5442" w:hanging="601"/>
      </w:pPr>
      <w:rPr>
        <w:rFonts w:hint="default"/>
        <w:lang w:val="zh-CN" w:eastAsia="zh-CN" w:bidi="zh-CN"/>
      </w:rPr>
    </w:lvl>
    <w:lvl w:ilvl="5" w:tentative="0">
      <w:start w:val="0"/>
      <w:numFmt w:val="bullet"/>
      <w:lvlText w:val="•"/>
      <w:lvlJc w:val="left"/>
      <w:pPr>
        <w:ind w:left="6273" w:hanging="601"/>
      </w:pPr>
      <w:rPr>
        <w:rFonts w:hint="default"/>
        <w:lang w:val="zh-CN" w:eastAsia="zh-CN" w:bidi="zh-CN"/>
      </w:rPr>
    </w:lvl>
    <w:lvl w:ilvl="6" w:tentative="0">
      <w:start w:val="0"/>
      <w:numFmt w:val="bullet"/>
      <w:lvlText w:val="•"/>
      <w:lvlJc w:val="left"/>
      <w:pPr>
        <w:ind w:left="7103" w:hanging="601"/>
      </w:pPr>
      <w:rPr>
        <w:rFonts w:hint="default"/>
        <w:lang w:val="zh-CN" w:eastAsia="zh-CN" w:bidi="zh-CN"/>
      </w:rPr>
    </w:lvl>
    <w:lvl w:ilvl="7" w:tentative="0">
      <w:start w:val="0"/>
      <w:numFmt w:val="bullet"/>
      <w:lvlText w:val="•"/>
      <w:lvlJc w:val="left"/>
      <w:pPr>
        <w:ind w:left="7934" w:hanging="601"/>
      </w:pPr>
      <w:rPr>
        <w:rFonts w:hint="default"/>
        <w:lang w:val="zh-CN" w:eastAsia="zh-CN" w:bidi="zh-CN"/>
      </w:rPr>
    </w:lvl>
    <w:lvl w:ilvl="8" w:tentative="0">
      <w:start w:val="0"/>
      <w:numFmt w:val="bullet"/>
      <w:lvlText w:val="•"/>
      <w:lvlJc w:val="left"/>
      <w:pPr>
        <w:ind w:left="8764" w:hanging="601"/>
      </w:pPr>
      <w:rPr>
        <w:rFonts w:hint="default"/>
        <w:lang w:val="zh-CN" w:eastAsia="zh-CN" w:bidi="zh-CN"/>
      </w:rPr>
    </w:lvl>
  </w:abstractNum>
  <w:abstractNum w:abstractNumId="63">
    <w:nsid w:val="0F9F9CCA"/>
    <w:multiLevelType w:val="multilevel"/>
    <w:tmpl w:val="0F9F9CCA"/>
    <w:lvl w:ilvl="0" w:tentative="0">
      <w:start w:val="7"/>
      <w:numFmt w:val="decimal"/>
      <w:lvlText w:val="%1."/>
      <w:lvlJc w:val="left"/>
      <w:pPr>
        <w:ind w:left="487" w:hanging="271"/>
        <w:jc w:val="right"/>
      </w:pPr>
      <w:rPr>
        <w:rFonts w:hint="default" w:ascii="Times New Roman" w:hAnsi="Times New Roman" w:eastAsia="Times New Roman" w:cs="Times New Roman"/>
        <w:b/>
        <w:bCs/>
        <w:spacing w:val="-2"/>
        <w:w w:val="100"/>
        <w:sz w:val="34"/>
        <w:szCs w:val="34"/>
        <w:lang w:val="zh-CN" w:eastAsia="zh-CN" w:bidi="zh-CN"/>
      </w:rPr>
    </w:lvl>
    <w:lvl w:ilvl="1" w:tentative="0">
      <w:start w:val="0"/>
      <w:numFmt w:val="bullet"/>
      <w:lvlText w:val="•"/>
      <w:lvlJc w:val="left"/>
      <w:pPr>
        <w:ind w:left="1144" w:hanging="271"/>
      </w:pPr>
      <w:rPr>
        <w:rFonts w:hint="default"/>
        <w:lang w:val="zh-CN" w:eastAsia="zh-CN" w:bidi="zh-CN"/>
      </w:rPr>
    </w:lvl>
    <w:lvl w:ilvl="2" w:tentative="0">
      <w:start w:val="0"/>
      <w:numFmt w:val="bullet"/>
      <w:lvlText w:val="•"/>
      <w:lvlJc w:val="left"/>
      <w:pPr>
        <w:ind w:left="1808" w:hanging="271"/>
      </w:pPr>
      <w:rPr>
        <w:rFonts w:hint="default"/>
        <w:lang w:val="zh-CN" w:eastAsia="zh-CN" w:bidi="zh-CN"/>
      </w:rPr>
    </w:lvl>
    <w:lvl w:ilvl="3" w:tentative="0">
      <w:start w:val="0"/>
      <w:numFmt w:val="bullet"/>
      <w:lvlText w:val="•"/>
      <w:lvlJc w:val="left"/>
      <w:pPr>
        <w:ind w:left="2472" w:hanging="271"/>
      </w:pPr>
      <w:rPr>
        <w:rFonts w:hint="default"/>
        <w:lang w:val="zh-CN" w:eastAsia="zh-CN" w:bidi="zh-CN"/>
      </w:rPr>
    </w:lvl>
    <w:lvl w:ilvl="4" w:tentative="0">
      <w:start w:val="0"/>
      <w:numFmt w:val="bullet"/>
      <w:lvlText w:val="•"/>
      <w:lvlJc w:val="left"/>
      <w:pPr>
        <w:ind w:left="3136" w:hanging="271"/>
      </w:pPr>
      <w:rPr>
        <w:rFonts w:hint="default"/>
        <w:lang w:val="zh-CN" w:eastAsia="zh-CN" w:bidi="zh-CN"/>
      </w:rPr>
    </w:lvl>
    <w:lvl w:ilvl="5" w:tentative="0">
      <w:start w:val="0"/>
      <w:numFmt w:val="bullet"/>
      <w:lvlText w:val="•"/>
      <w:lvlJc w:val="left"/>
      <w:pPr>
        <w:ind w:left="3800" w:hanging="271"/>
      </w:pPr>
      <w:rPr>
        <w:rFonts w:hint="default"/>
        <w:lang w:val="zh-CN" w:eastAsia="zh-CN" w:bidi="zh-CN"/>
      </w:rPr>
    </w:lvl>
    <w:lvl w:ilvl="6" w:tentative="0">
      <w:start w:val="0"/>
      <w:numFmt w:val="bullet"/>
      <w:lvlText w:val="•"/>
      <w:lvlJc w:val="left"/>
      <w:pPr>
        <w:ind w:left="4464" w:hanging="271"/>
      </w:pPr>
      <w:rPr>
        <w:rFonts w:hint="default"/>
        <w:lang w:val="zh-CN" w:eastAsia="zh-CN" w:bidi="zh-CN"/>
      </w:rPr>
    </w:lvl>
    <w:lvl w:ilvl="7" w:tentative="0">
      <w:start w:val="0"/>
      <w:numFmt w:val="bullet"/>
      <w:lvlText w:val="•"/>
      <w:lvlJc w:val="left"/>
      <w:pPr>
        <w:ind w:left="5128" w:hanging="271"/>
      </w:pPr>
      <w:rPr>
        <w:rFonts w:hint="default"/>
        <w:lang w:val="zh-CN" w:eastAsia="zh-CN" w:bidi="zh-CN"/>
      </w:rPr>
    </w:lvl>
    <w:lvl w:ilvl="8" w:tentative="0">
      <w:start w:val="0"/>
      <w:numFmt w:val="bullet"/>
      <w:lvlText w:val="•"/>
      <w:lvlJc w:val="left"/>
      <w:pPr>
        <w:ind w:left="5792" w:hanging="271"/>
      </w:pPr>
      <w:rPr>
        <w:rFonts w:hint="default"/>
        <w:lang w:val="zh-CN" w:eastAsia="zh-CN" w:bidi="zh-CN"/>
      </w:rPr>
    </w:lvl>
  </w:abstractNum>
  <w:abstractNum w:abstractNumId="64">
    <w:nsid w:val="10D591E5"/>
    <w:multiLevelType w:val="multilevel"/>
    <w:tmpl w:val="10D591E5"/>
    <w:lvl w:ilvl="0" w:tentative="0">
      <w:start w:val="13"/>
      <w:numFmt w:val="decimal"/>
      <w:lvlText w:val="%1"/>
      <w:lvlJc w:val="left"/>
      <w:pPr>
        <w:ind w:left="1060" w:hanging="840"/>
        <w:jc w:val="left"/>
      </w:pPr>
      <w:rPr>
        <w:rFonts w:hint="default"/>
        <w:lang w:val="zh-CN" w:eastAsia="zh-CN" w:bidi="zh-CN"/>
      </w:rPr>
    </w:lvl>
    <w:lvl w:ilvl="1" w:tentative="0">
      <w:start w:val="5"/>
      <w:numFmt w:val="decimal"/>
      <w:lvlText w:val="%1.%2"/>
      <w:lvlJc w:val="left"/>
      <w:pPr>
        <w:ind w:left="1060" w:hanging="840"/>
        <w:jc w:val="left"/>
      </w:pPr>
      <w:rPr>
        <w:rFonts w:hint="default"/>
        <w:lang w:val="zh-CN" w:eastAsia="zh-CN" w:bidi="zh-CN"/>
      </w:rPr>
    </w:lvl>
    <w:lvl w:ilvl="2" w:tentative="0">
      <w:start w:val="1"/>
      <w:numFmt w:val="decimal"/>
      <w:lvlText w:val="%1.%2.%3"/>
      <w:lvlJc w:val="left"/>
      <w:pPr>
        <w:ind w:left="1060" w:hanging="840"/>
        <w:jc w:val="left"/>
      </w:pPr>
      <w:rPr>
        <w:rFonts w:hint="default"/>
        <w:b/>
        <w:bCs/>
        <w:spacing w:val="-2"/>
        <w:w w:val="100"/>
        <w:lang w:val="zh-CN" w:eastAsia="zh-CN" w:bidi="zh-CN"/>
      </w:rPr>
    </w:lvl>
    <w:lvl w:ilvl="3" w:tentative="0">
      <w:start w:val="1"/>
      <w:numFmt w:val="decimal"/>
      <w:lvlText w:val="（%4）"/>
      <w:lvlJc w:val="left"/>
      <w:pPr>
        <w:ind w:left="1301"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4115" w:hanging="601"/>
      </w:pPr>
      <w:rPr>
        <w:rFonts w:hint="default"/>
        <w:lang w:val="zh-CN" w:eastAsia="zh-CN" w:bidi="zh-CN"/>
      </w:rPr>
    </w:lvl>
    <w:lvl w:ilvl="5" w:tentative="0">
      <w:start w:val="0"/>
      <w:numFmt w:val="bullet"/>
      <w:lvlText w:val="•"/>
      <w:lvlJc w:val="left"/>
      <w:pPr>
        <w:ind w:left="5053" w:hanging="601"/>
      </w:pPr>
      <w:rPr>
        <w:rFonts w:hint="default"/>
        <w:lang w:val="zh-CN" w:eastAsia="zh-CN" w:bidi="zh-CN"/>
      </w:rPr>
    </w:lvl>
    <w:lvl w:ilvl="6" w:tentative="0">
      <w:start w:val="0"/>
      <w:numFmt w:val="bullet"/>
      <w:lvlText w:val="•"/>
      <w:lvlJc w:val="left"/>
      <w:pPr>
        <w:ind w:left="5992" w:hanging="601"/>
      </w:pPr>
      <w:rPr>
        <w:rFonts w:hint="default"/>
        <w:lang w:val="zh-CN" w:eastAsia="zh-CN" w:bidi="zh-CN"/>
      </w:rPr>
    </w:lvl>
    <w:lvl w:ilvl="7" w:tentative="0">
      <w:start w:val="0"/>
      <w:numFmt w:val="bullet"/>
      <w:lvlText w:val="•"/>
      <w:lvlJc w:val="left"/>
      <w:pPr>
        <w:ind w:left="6930" w:hanging="601"/>
      </w:pPr>
      <w:rPr>
        <w:rFonts w:hint="default"/>
        <w:lang w:val="zh-CN" w:eastAsia="zh-CN" w:bidi="zh-CN"/>
      </w:rPr>
    </w:lvl>
    <w:lvl w:ilvl="8" w:tentative="0">
      <w:start w:val="0"/>
      <w:numFmt w:val="bullet"/>
      <w:lvlText w:val="•"/>
      <w:lvlJc w:val="left"/>
      <w:pPr>
        <w:ind w:left="7869" w:hanging="601"/>
      </w:pPr>
      <w:rPr>
        <w:rFonts w:hint="default"/>
        <w:lang w:val="zh-CN" w:eastAsia="zh-CN" w:bidi="zh-CN"/>
      </w:rPr>
    </w:lvl>
  </w:abstractNum>
  <w:abstractNum w:abstractNumId="65">
    <w:nsid w:val="12EADF99"/>
    <w:multiLevelType w:val="multilevel"/>
    <w:tmpl w:val="12EADF99"/>
    <w:lvl w:ilvl="0" w:tentative="0">
      <w:start w:val="1"/>
      <w:numFmt w:val="decimal"/>
      <w:lvlText w:val="（%1）"/>
      <w:lvlJc w:val="left"/>
      <w:pPr>
        <w:ind w:left="1297"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62" w:hanging="601"/>
      </w:pPr>
      <w:rPr>
        <w:rFonts w:hint="default"/>
        <w:lang w:val="zh-CN" w:eastAsia="zh-CN" w:bidi="zh-CN"/>
      </w:rPr>
    </w:lvl>
    <w:lvl w:ilvl="2" w:tentative="0">
      <w:start w:val="0"/>
      <w:numFmt w:val="bullet"/>
      <w:lvlText w:val="•"/>
      <w:lvlJc w:val="left"/>
      <w:pPr>
        <w:ind w:left="3025" w:hanging="601"/>
      </w:pPr>
      <w:rPr>
        <w:rFonts w:hint="default"/>
        <w:lang w:val="zh-CN" w:eastAsia="zh-CN" w:bidi="zh-CN"/>
      </w:rPr>
    </w:lvl>
    <w:lvl w:ilvl="3" w:tentative="0">
      <w:start w:val="0"/>
      <w:numFmt w:val="bullet"/>
      <w:lvlText w:val="•"/>
      <w:lvlJc w:val="left"/>
      <w:pPr>
        <w:ind w:left="3887" w:hanging="601"/>
      </w:pPr>
      <w:rPr>
        <w:rFonts w:hint="default"/>
        <w:lang w:val="zh-CN" w:eastAsia="zh-CN" w:bidi="zh-CN"/>
      </w:rPr>
    </w:lvl>
    <w:lvl w:ilvl="4" w:tentative="0">
      <w:start w:val="0"/>
      <w:numFmt w:val="bullet"/>
      <w:lvlText w:val="•"/>
      <w:lvlJc w:val="left"/>
      <w:pPr>
        <w:ind w:left="4750" w:hanging="601"/>
      </w:pPr>
      <w:rPr>
        <w:rFonts w:hint="default"/>
        <w:lang w:val="zh-CN" w:eastAsia="zh-CN" w:bidi="zh-CN"/>
      </w:rPr>
    </w:lvl>
    <w:lvl w:ilvl="5" w:tentative="0">
      <w:start w:val="0"/>
      <w:numFmt w:val="bullet"/>
      <w:lvlText w:val="•"/>
      <w:lvlJc w:val="left"/>
      <w:pPr>
        <w:ind w:left="5613" w:hanging="601"/>
      </w:pPr>
      <w:rPr>
        <w:rFonts w:hint="default"/>
        <w:lang w:val="zh-CN" w:eastAsia="zh-CN" w:bidi="zh-CN"/>
      </w:rPr>
    </w:lvl>
    <w:lvl w:ilvl="6" w:tentative="0">
      <w:start w:val="0"/>
      <w:numFmt w:val="bullet"/>
      <w:lvlText w:val="•"/>
      <w:lvlJc w:val="left"/>
      <w:pPr>
        <w:ind w:left="6475" w:hanging="601"/>
      </w:pPr>
      <w:rPr>
        <w:rFonts w:hint="default"/>
        <w:lang w:val="zh-CN" w:eastAsia="zh-CN" w:bidi="zh-CN"/>
      </w:rPr>
    </w:lvl>
    <w:lvl w:ilvl="7" w:tentative="0">
      <w:start w:val="0"/>
      <w:numFmt w:val="bullet"/>
      <w:lvlText w:val="•"/>
      <w:lvlJc w:val="left"/>
      <w:pPr>
        <w:ind w:left="7338" w:hanging="601"/>
      </w:pPr>
      <w:rPr>
        <w:rFonts w:hint="default"/>
        <w:lang w:val="zh-CN" w:eastAsia="zh-CN" w:bidi="zh-CN"/>
      </w:rPr>
    </w:lvl>
    <w:lvl w:ilvl="8" w:tentative="0">
      <w:start w:val="0"/>
      <w:numFmt w:val="bullet"/>
      <w:lvlText w:val="•"/>
      <w:lvlJc w:val="left"/>
      <w:pPr>
        <w:ind w:left="8200" w:hanging="601"/>
      </w:pPr>
      <w:rPr>
        <w:rFonts w:hint="default"/>
        <w:lang w:val="zh-CN" w:eastAsia="zh-CN" w:bidi="zh-CN"/>
      </w:rPr>
    </w:lvl>
  </w:abstractNum>
  <w:abstractNum w:abstractNumId="66">
    <w:nsid w:val="1450273B"/>
    <w:multiLevelType w:val="multilevel"/>
    <w:tmpl w:val="1450273B"/>
    <w:lvl w:ilvl="0" w:tentative="0">
      <w:start w:val="1"/>
      <w:numFmt w:val="decimal"/>
      <w:lvlText w:val="%1."/>
      <w:lvlJc w:val="left"/>
      <w:pPr>
        <w:ind w:left="111"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689" w:hanging="159"/>
      </w:pPr>
      <w:rPr>
        <w:rFonts w:hint="default"/>
        <w:lang w:val="zh-CN" w:eastAsia="zh-CN" w:bidi="zh-CN"/>
      </w:rPr>
    </w:lvl>
    <w:lvl w:ilvl="2" w:tentative="0">
      <w:start w:val="0"/>
      <w:numFmt w:val="bullet"/>
      <w:lvlText w:val="•"/>
      <w:lvlJc w:val="left"/>
      <w:pPr>
        <w:ind w:left="1259" w:hanging="159"/>
      </w:pPr>
      <w:rPr>
        <w:rFonts w:hint="default"/>
        <w:lang w:val="zh-CN" w:eastAsia="zh-CN" w:bidi="zh-CN"/>
      </w:rPr>
    </w:lvl>
    <w:lvl w:ilvl="3" w:tentative="0">
      <w:start w:val="0"/>
      <w:numFmt w:val="bullet"/>
      <w:lvlText w:val="•"/>
      <w:lvlJc w:val="left"/>
      <w:pPr>
        <w:ind w:left="1829" w:hanging="159"/>
      </w:pPr>
      <w:rPr>
        <w:rFonts w:hint="default"/>
        <w:lang w:val="zh-CN" w:eastAsia="zh-CN" w:bidi="zh-CN"/>
      </w:rPr>
    </w:lvl>
    <w:lvl w:ilvl="4" w:tentative="0">
      <w:start w:val="0"/>
      <w:numFmt w:val="bullet"/>
      <w:lvlText w:val="•"/>
      <w:lvlJc w:val="left"/>
      <w:pPr>
        <w:ind w:left="2398" w:hanging="159"/>
      </w:pPr>
      <w:rPr>
        <w:rFonts w:hint="default"/>
        <w:lang w:val="zh-CN" w:eastAsia="zh-CN" w:bidi="zh-CN"/>
      </w:rPr>
    </w:lvl>
    <w:lvl w:ilvl="5" w:tentative="0">
      <w:start w:val="0"/>
      <w:numFmt w:val="bullet"/>
      <w:lvlText w:val="•"/>
      <w:lvlJc w:val="left"/>
      <w:pPr>
        <w:ind w:left="2968" w:hanging="159"/>
      </w:pPr>
      <w:rPr>
        <w:rFonts w:hint="default"/>
        <w:lang w:val="zh-CN" w:eastAsia="zh-CN" w:bidi="zh-CN"/>
      </w:rPr>
    </w:lvl>
    <w:lvl w:ilvl="6" w:tentative="0">
      <w:start w:val="0"/>
      <w:numFmt w:val="bullet"/>
      <w:lvlText w:val="•"/>
      <w:lvlJc w:val="left"/>
      <w:pPr>
        <w:ind w:left="3538" w:hanging="159"/>
      </w:pPr>
      <w:rPr>
        <w:rFonts w:hint="default"/>
        <w:lang w:val="zh-CN" w:eastAsia="zh-CN" w:bidi="zh-CN"/>
      </w:rPr>
    </w:lvl>
    <w:lvl w:ilvl="7" w:tentative="0">
      <w:start w:val="0"/>
      <w:numFmt w:val="bullet"/>
      <w:lvlText w:val="•"/>
      <w:lvlJc w:val="left"/>
      <w:pPr>
        <w:ind w:left="4107" w:hanging="159"/>
      </w:pPr>
      <w:rPr>
        <w:rFonts w:hint="default"/>
        <w:lang w:val="zh-CN" w:eastAsia="zh-CN" w:bidi="zh-CN"/>
      </w:rPr>
    </w:lvl>
    <w:lvl w:ilvl="8" w:tentative="0">
      <w:start w:val="0"/>
      <w:numFmt w:val="bullet"/>
      <w:lvlText w:val="•"/>
      <w:lvlJc w:val="left"/>
      <w:pPr>
        <w:ind w:left="4677" w:hanging="159"/>
      </w:pPr>
      <w:rPr>
        <w:rFonts w:hint="default"/>
        <w:lang w:val="zh-CN" w:eastAsia="zh-CN" w:bidi="zh-CN"/>
      </w:rPr>
    </w:lvl>
  </w:abstractNum>
  <w:abstractNum w:abstractNumId="67">
    <w:nsid w:val="18F74015"/>
    <w:multiLevelType w:val="multilevel"/>
    <w:tmpl w:val="18F74015"/>
    <w:lvl w:ilvl="0" w:tentative="0">
      <w:start w:val="11"/>
      <w:numFmt w:val="decimal"/>
      <w:lvlText w:val="%1"/>
      <w:lvlJc w:val="left"/>
      <w:pPr>
        <w:ind w:left="876" w:hanging="660"/>
        <w:jc w:val="left"/>
      </w:pPr>
      <w:rPr>
        <w:rFonts w:hint="default"/>
        <w:lang w:val="zh-CN" w:eastAsia="zh-CN" w:bidi="zh-CN"/>
      </w:rPr>
    </w:lvl>
    <w:lvl w:ilvl="1" w:tentative="0">
      <w:start w:val="1"/>
      <w:numFmt w:val="decimal"/>
      <w:lvlText w:val="%1.%2"/>
      <w:lvlJc w:val="left"/>
      <w:pPr>
        <w:ind w:left="876" w:hanging="660"/>
        <w:jc w:val="left"/>
      </w:pPr>
      <w:rPr>
        <w:rFonts w:hint="default" w:ascii="Times New Roman" w:hAnsi="Times New Roman" w:eastAsia="Times New Roman" w:cs="Times New Roman"/>
        <w:b/>
        <w:bCs/>
        <w:spacing w:val="-14"/>
        <w:w w:val="99"/>
        <w:sz w:val="30"/>
        <w:szCs w:val="30"/>
        <w:lang w:val="zh-CN" w:eastAsia="zh-CN" w:bidi="zh-CN"/>
      </w:rPr>
    </w:lvl>
    <w:lvl w:ilvl="2" w:tentative="0">
      <w:start w:val="1"/>
      <w:numFmt w:val="decimal"/>
      <w:lvlText w:val="%1.%2.%3"/>
      <w:lvlJc w:val="left"/>
      <w:pPr>
        <w:ind w:left="1041" w:hanging="826"/>
        <w:jc w:val="left"/>
      </w:pPr>
      <w:rPr>
        <w:rFonts w:hint="default" w:ascii="Times New Roman" w:hAnsi="Times New Roman" w:eastAsia="Times New Roman" w:cs="Times New Roman"/>
        <w:b/>
        <w:bCs/>
        <w:spacing w:val="-14"/>
        <w:w w:val="100"/>
        <w:sz w:val="28"/>
        <w:szCs w:val="28"/>
        <w:lang w:val="zh-CN" w:eastAsia="zh-CN" w:bidi="zh-CN"/>
      </w:rPr>
    </w:lvl>
    <w:lvl w:ilvl="3" w:tentative="0">
      <w:start w:val="1"/>
      <w:numFmt w:val="decimal"/>
      <w:lvlText w:val="%1.%2.%3.%4"/>
      <w:lvlJc w:val="left"/>
      <w:pPr>
        <w:ind w:left="1044" w:hanging="828"/>
        <w:jc w:val="left"/>
      </w:pPr>
      <w:rPr>
        <w:rFonts w:hint="default" w:ascii="Times New Roman" w:hAnsi="Times New Roman" w:eastAsia="Times New Roman" w:cs="Times New Roman"/>
        <w:b/>
        <w:bCs/>
        <w:spacing w:val="-10"/>
        <w:w w:val="99"/>
        <w:sz w:val="24"/>
        <w:szCs w:val="24"/>
        <w:lang w:val="zh-CN" w:eastAsia="zh-CN" w:bidi="zh-CN"/>
      </w:rPr>
    </w:lvl>
    <w:lvl w:ilvl="4" w:tentative="0">
      <w:start w:val="0"/>
      <w:numFmt w:val="bullet"/>
      <w:lvlText w:val="•"/>
      <w:lvlJc w:val="left"/>
      <w:pPr>
        <w:ind w:left="1159" w:hanging="828"/>
      </w:pPr>
      <w:rPr>
        <w:rFonts w:hint="default"/>
        <w:lang w:val="zh-CN" w:eastAsia="zh-CN" w:bidi="zh-CN"/>
      </w:rPr>
    </w:lvl>
    <w:lvl w:ilvl="5" w:tentative="0">
      <w:start w:val="0"/>
      <w:numFmt w:val="bullet"/>
      <w:lvlText w:val="•"/>
      <w:lvlJc w:val="left"/>
      <w:pPr>
        <w:ind w:left="1218" w:hanging="828"/>
      </w:pPr>
      <w:rPr>
        <w:rFonts w:hint="default"/>
        <w:lang w:val="zh-CN" w:eastAsia="zh-CN" w:bidi="zh-CN"/>
      </w:rPr>
    </w:lvl>
    <w:lvl w:ilvl="6" w:tentative="0">
      <w:start w:val="0"/>
      <w:numFmt w:val="bullet"/>
      <w:lvlText w:val="•"/>
      <w:lvlJc w:val="left"/>
      <w:pPr>
        <w:ind w:left="1278" w:hanging="828"/>
      </w:pPr>
      <w:rPr>
        <w:rFonts w:hint="default"/>
        <w:lang w:val="zh-CN" w:eastAsia="zh-CN" w:bidi="zh-CN"/>
      </w:rPr>
    </w:lvl>
    <w:lvl w:ilvl="7" w:tentative="0">
      <w:start w:val="0"/>
      <w:numFmt w:val="bullet"/>
      <w:lvlText w:val="•"/>
      <w:lvlJc w:val="left"/>
      <w:pPr>
        <w:ind w:left="1337" w:hanging="828"/>
      </w:pPr>
      <w:rPr>
        <w:rFonts w:hint="default"/>
        <w:lang w:val="zh-CN" w:eastAsia="zh-CN" w:bidi="zh-CN"/>
      </w:rPr>
    </w:lvl>
    <w:lvl w:ilvl="8" w:tentative="0">
      <w:start w:val="0"/>
      <w:numFmt w:val="bullet"/>
      <w:lvlText w:val="•"/>
      <w:lvlJc w:val="left"/>
      <w:pPr>
        <w:ind w:left="1397" w:hanging="828"/>
      </w:pPr>
      <w:rPr>
        <w:rFonts w:hint="default"/>
        <w:lang w:val="zh-CN" w:eastAsia="zh-CN" w:bidi="zh-CN"/>
      </w:rPr>
    </w:lvl>
  </w:abstractNum>
  <w:abstractNum w:abstractNumId="68">
    <w:nsid w:val="1ACDE60F"/>
    <w:multiLevelType w:val="multilevel"/>
    <w:tmpl w:val="1ACDE60F"/>
    <w:lvl w:ilvl="0" w:tentative="0">
      <w:start w:val="1"/>
      <w:numFmt w:val="decimal"/>
      <w:lvlText w:val="（%1）"/>
      <w:lvlJc w:val="left"/>
      <w:pPr>
        <w:ind w:left="163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68" w:hanging="601"/>
      </w:pPr>
      <w:rPr>
        <w:rFonts w:hint="default"/>
        <w:lang w:val="zh-CN" w:eastAsia="zh-CN" w:bidi="zh-CN"/>
      </w:rPr>
    </w:lvl>
    <w:lvl w:ilvl="2" w:tentative="0">
      <w:start w:val="0"/>
      <w:numFmt w:val="bullet"/>
      <w:lvlText w:val="•"/>
      <w:lvlJc w:val="left"/>
      <w:pPr>
        <w:ind w:left="3297" w:hanging="601"/>
      </w:pPr>
      <w:rPr>
        <w:rFonts w:hint="default"/>
        <w:lang w:val="zh-CN" w:eastAsia="zh-CN" w:bidi="zh-CN"/>
      </w:rPr>
    </w:lvl>
    <w:lvl w:ilvl="3" w:tentative="0">
      <w:start w:val="0"/>
      <w:numFmt w:val="bullet"/>
      <w:lvlText w:val="•"/>
      <w:lvlJc w:val="left"/>
      <w:pPr>
        <w:ind w:left="4125" w:hanging="601"/>
      </w:pPr>
      <w:rPr>
        <w:rFonts w:hint="default"/>
        <w:lang w:val="zh-CN" w:eastAsia="zh-CN" w:bidi="zh-CN"/>
      </w:rPr>
    </w:lvl>
    <w:lvl w:ilvl="4" w:tentative="0">
      <w:start w:val="0"/>
      <w:numFmt w:val="bullet"/>
      <w:lvlText w:val="•"/>
      <w:lvlJc w:val="left"/>
      <w:pPr>
        <w:ind w:left="4954" w:hanging="601"/>
      </w:pPr>
      <w:rPr>
        <w:rFonts w:hint="default"/>
        <w:lang w:val="zh-CN" w:eastAsia="zh-CN" w:bidi="zh-CN"/>
      </w:rPr>
    </w:lvl>
    <w:lvl w:ilvl="5" w:tentative="0">
      <w:start w:val="0"/>
      <w:numFmt w:val="bullet"/>
      <w:lvlText w:val="•"/>
      <w:lvlJc w:val="left"/>
      <w:pPr>
        <w:ind w:left="5783" w:hanging="601"/>
      </w:pPr>
      <w:rPr>
        <w:rFonts w:hint="default"/>
        <w:lang w:val="zh-CN" w:eastAsia="zh-CN" w:bidi="zh-CN"/>
      </w:rPr>
    </w:lvl>
    <w:lvl w:ilvl="6" w:tentative="0">
      <w:start w:val="0"/>
      <w:numFmt w:val="bullet"/>
      <w:lvlText w:val="•"/>
      <w:lvlJc w:val="left"/>
      <w:pPr>
        <w:ind w:left="6611" w:hanging="601"/>
      </w:pPr>
      <w:rPr>
        <w:rFonts w:hint="default"/>
        <w:lang w:val="zh-CN" w:eastAsia="zh-CN" w:bidi="zh-CN"/>
      </w:rPr>
    </w:lvl>
    <w:lvl w:ilvl="7" w:tentative="0">
      <w:start w:val="0"/>
      <w:numFmt w:val="bullet"/>
      <w:lvlText w:val="•"/>
      <w:lvlJc w:val="left"/>
      <w:pPr>
        <w:ind w:left="7440" w:hanging="601"/>
      </w:pPr>
      <w:rPr>
        <w:rFonts w:hint="default"/>
        <w:lang w:val="zh-CN" w:eastAsia="zh-CN" w:bidi="zh-CN"/>
      </w:rPr>
    </w:lvl>
    <w:lvl w:ilvl="8" w:tentative="0">
      <w:start w:val="0"/>
      <w:numFmt w:val="bullet"/>
      <w:lvlText w:val="•"/>
      <w:lvlJc w:val="left"/>
      <w:pPr>
        <w:ind w:left="8268" w:hanging="601"/>
      </w:pPr>
      <w:rPr>
        <w:rFonts w:hint="default"/>
        <w:lang w:val="zh-CN" w:eastAsia="zh-CN" w:bidi="zh-CN"/>
      </w:rPr>
    </w:lvl>
  </w:abstractNum>
  <w:abstractNum w:abstractNumId="69">
    <w:nsid w:val="1AD50295"/>
    <w:multiLevelType w:val="multilevel"/>
    <w:tmpl w:val="1AD50295"/>
    <w:lvl w:ilvl="0" w:tentative="0">
      <w:start w:val="1"/>
      <w:numFmt w:val="decimal"/>
      <w:lvlText w:val="（%1）"/>
      <w:lvlJc w:val="left"/>
      <w:pPr>
        <w:ind w:left="220" w:hanging="601"/>
        <w:jc w:val="left"/>
      </w:pPr>
      <w:rPr>
        <w:rFonts w:hint="default" w:ascii="宋体" w:hAnsi="宋体" w:eastAsia="宋体" w:cs="宋体"/>
        <w:spacing w:val="-41"/>
        <w:w w:val="100"/>
        <w:sz w:val="22"/>
        <w:szCs w:val="22"/>
        <w:lang w:val="zh-CN" w:eastAsia="zh-CN" w:bidi="zh-CN"/>
      </w:rPr>
    </w:lvl>
    <w:lvl w:ilvl="1" w:tentative="0">
      <w:start w:val="0"/>
      <w:numFmt w:val="bullet"/>
      <w:lvlText w:val="•"/>
      <w:lvlJc w:val="left"/>
      <w:pPr>
        <w:ind w:left="1172" w:hanging="601"/>
      </w:pPr>
      <w:rPr>
        <w:rFonts w:hint="default"/>
        <w:lang w:val="zh-CN" w:eastAsia="zh-CN" w:bidi="zh-CN"/>
      </w:rPr>
    </w:lvl>
    <w:lvl w:ilvl="2" w:tentative="0">
      <w:start w:val="0"/>
      <w:numFmt w:val="bullet"/>
      <w:lvlText w:val="•"/>
      <w:lvlJc w:val="left"/>
      <w:pPr>
        <w:ind w:left="2125" w:hanging="601"/>
      </w:pPr>
      <w:rPr>
        <w:rFonts w:hint="default"/>
        <w:lang w:val="zh-CN" w:eastAsia="zh-CN" w:bidi="zh-CN"/>
      </w:rPr>
    </w:lvl>
    <w:lvl w:ilvl="3" w:tentative="0">
      <w:start w:val="0"/>
      <w:numFmt w:val="bullet"/>
      <w:lvlText w:val="•"/>
      <w:lvlJc w:val="left"/>
      <w:pPr>
        <w:ind w:left="3077" w:hanging="601"/>
      </w:pPr>
      <w:rPr>
        <w:rFonts w:hint="default"/>
        <w:lang w:val="zh-CN" w:eastAsia="zh-CN" w:bidi="zh-CN"/>
      </w:rPr>
    </w:lvl>
    <w:lvl w:ilvl="4" w:tentative="0">
      <w:start w:val="0"/>
      <w:numFmt w:val="bullet"/>
      <w:lvlText w:val="•"/>
      <w:lvlJc w:val="left"/>
      <w:pPr>
        <w:ind w:left="4030" w:hanging="601"/>
      </w:pPr>
      <w:rPr>
        <w:rFonts w:hint="default"/>
        <w:lang w:val="zh-CN" w:eastAsia="zh-CN" w:bidi="zh-CN"/>
      </w:rPr>
    </w:lvl>
    <w:lvl w:ilvl="5" w:tentative="0">
      <w:start w:val="0"/>
      <w:numFmt w:val="bullet"/>
      <w:lvlText w:val="•"/>
      <w:lvlJc w:val="left"/>
      <w:pPr>
        <w:ind w:left="4983" w:hanging="601"/>
      </w:pPr>
      <w:rPr>
        <w:rFonts w:hint="default"/>
        <w:lang w:val="zh-CN" w:eastAsia="zh-CN" w:bidi="zh-CN"/>
      </w:rPr>
    </w:lvl>
    <w:lvl w:ilvl="6" w:tentative="0">
      <w:start w:val="0"/>
      <w:numFmt w:val="bullet"/>
      <w:lvlText w:val="•"/>
      <w:lvlJc w:val="left"/>
      <w:pPr>
        <w:ind w:left="5935" w:hanging="601"/>
      </w:pPr>
      <w:rPr>
        <w:rFonts w:hint="default"/>
        <w:lang w:val="zh-CN" w:eastAsia="zh-CN" w:bidi="zh-CN"/>
      </w:rPr>
    </w:lvl>
    <w:lvl w:ilvl="7" w:tentative="0">
      <w:start w:val="0"/>
      <w:numFmt w:val="bullet"/>
      <w:lvlText w:val="•"/>
      <w:lvlJc w:val="left"/>
      <w:pPr>
        <w:ind w:left="6888" w:hanging="601"/>
      </w:pPr>
      <w:rPr>
        <w:rFonts w:hint="default"/>
        <w:lang w:val="zh-CN" w:eastAsia="zh-CN" w:bidi="zh-CN"/>
      </w:rPr>
    </w:lvl>
    <w:lvl w:ilvl="8" w:tentative="0">
      <w:start w:val="0"/>
      <w:numFmt w:val="bullet"/>
      <w:lvlText w:val="•"/>
      <w:lvlJc w:val="left"/>
      <w:pPr>
        <w:ind w:left="7840" w:hanging="601"/>
      </w:pPr>
      <w:rPr>
        <w:rFonts w:hint="default"/>
        <w:lang w:val="zh-CN" w:eastAsia="zh-CN" w:bidi="zh-CN"/>
      </w:rPr>
    </w:lvl>
  </w:abstractNum>
  <w:abstractNum w:abstractNumId="70">
    <w:nsid w:val="1BCBBCF0"/>
    <w:multiLevelType w:val="multilevel"/>
    <w:tmpl w:val="1BCBBCF0"/>
    <w:lvl w:ilvl="0" w:tentative="0">
      <w:start w:val="1"/>
      <w:numFmt w:val="decimal"/>
      <w:lvlText w:val="%1."/>
      <w:lvlJc w:val="left"/>
      <w:pPr>
        <w:ind w:left="270" w:hanging="159"/>
        <w:jc w:val="left"/>
      </w:pPr>
      <w:rPr>
        <w:rFonts w:hint="default" w:ascii="Times New Roman" w:hAnsi="Times New Roman" w:eastAsia="Times New Roman" w:cs="Times New Roman"/>
        <w:spacing w:val="0"/>
        <w:w w:val="99"/>
        <w:position w:val="2"/>
        <w:sz w:val="19"/>
        <w:szCs w:val="19"/>
        <w:lang w:val="zh-CN" w:eastAsia="zh-CN" w:bidi="zh-CN"/>
      </w:rPr>
    </w:lvl>
    <w:lvl w:ilvl="1" w:tentative="0">
      <w:start w:val="0"/>
      <w:numFmt w:val="bullet"/>
      <w:lvlText w:val="•"/>
      <w:lvlJc w:val="left"/>
      <w:pPr>
        <w:ind w:left="833" w:hanging="159"/>
      </w:pPr>
      <w:rPr>
        <w:rFonts w:hint="default"/>
        <w:lang w:val="zh-CN" w:eastAsia="zh-CN" w:bidi="zh-CN"/>
      </w:rPr>
    </w:lvl>
    <w:lvl w:ilvl="2" w:tentative="0">
      <w:start w:val="0"/>
      <w:numFmt w:val="bullet"/>
      <w:lvlText w:val="•"/>
      <w:lvlJc w:val="left"/>
      <w:pPr>
        <w:ind w:left="1387" w:hanging="159"/>
      </w:pPr>
      <w:rPr>
        <w:rFonts w:hint="default"/>
        <w:lang w:val="zh-CN" w:eastAsia="zh-CN" w:bidi="zh-CN"/>
      </w:rPr>
    </w:lvl>
    <w:lvl w:ilvl="3" w:tentative="0">
      <w:start w:val="0"/>
      <w:numFmt w:val="bullet"/>
      <w:lvlText w:val="•"/>
      <w:lvlJc w:val="left"/>
      <w:pPr>
        <w:ind w:left="1941" w:hanging="159"/>
      </w:pPr>
      <w:rPr>
        <w:rFonts w:hint="default"/>
        <w:lang w:val="zh-CN" w:eastAsia="zh-CN" w:bidi="zh-CN"/>
      </w:rPr>
    </w:lvl>
    <w:lvl w:ilvl="4" w:tentative="0">
      <w:start w:val="0"/>
      <w:numFmt w:val="bullet"/>
      <w:lvlText w:val="•"/>
      <w:lvlJc w:val="left"/>
      <w:pPr>
        <w:ind w:left="2494" w:hanging="159"/>
      </w:pPr>
      <w:rPr>
        <w:rFonts w:hint="default"/>
        <w:lang w:val="zh-CN" w:eastAsia="zh-CN" w:bidi="zh-CN"/>
      </w:rPr>
    </w:lvl>
    <w:lvl w:ilvl="5" w:tentative="0">
      <w:start w:val="0"/>
      <w:numFmt w:val="bullet"/>
      <w:lvlText w:val="•"/>
      <w:lvlJc w:val="left"/>
      <w:pPr>
        <w:ind w:left="3048" w:hanging="159"/>
      </w:pPr>
      <w:rPr>
        <w:rFonts w:hint="default"/>
        <w:lang w:val="zh-CN" w:eastAsia="zh-CN" w:bidi="zh-CN"/>
      </w:rPr>
    </w:lvl>
    <w:lvl w:ilvl="6" w:tentative="0">
      <w:start w:val="0"/>
      <w:numFmt w:val="bullet"/>
      <w:lvlText w:val="•"/>
      <w:lvlJc w:val="left"/>
      <w:pPr>
        <w:ind w:left="3602" w:hanging="159"/>
      </w:pPr>
      <w:rPr>
        <w:rFonts w:hint="default"/>
        <w:lang w:val="zh-CN" w:eastAsia="zh-CN" w:bidi="zh-CN"/>
      </w:rPr>
    </w:lvl>
    <w:lvl w:ilvl="7" w:tentative="0">
      <w:start w:val="0"/>
      <w:numFmt w:val="bullet"/>
      <w:lvlText w:val="•"/>
      <w:lvlJc w:val="left"/>
      <w:pPr>
        <w:ind w:left="4155" w:hanging="159"/>
      </w:pPr>
      <w:rPr>
        <w:rFonts w:hint="default"/>
        <w:lang w:val="zh-CN" w:eastAsia="zh-CN" w:bidi="zh-CN"/>
      </w:rPr>
    </w:lvl>
    <w:lvl w:ilvl="8" w:tentative="0">
      <w:start w:val="0"/>
      <w:numFmt w:val="bullet"/>
      <w:lvlText w:val="•"/>
      <w:lvlJc w:val="left"/>
      <w:pPr>
        <w:ind w:left="4709" w:hanging="159"/>
      </w:pPr>
      <w:rPr>
        <w:rFonts w:hint="default"/>
        <w:lang w:val="zh-CN" w:eastAsia="zh-CN" w:bidi="zh-CN"/>
      </w:rPr>
    </w:lvl>
  </w:abstractNum>
  <w:abstractNum w:abstractNumId="71">
    <w:nsid w:val="1C257C7B"/>
    <w:multiLevelType w:val="multilevel"/>
    <w:tmpl w:val="1C257C7B"/>
    <w:lvl w:ilvl="0" w:tentative="0">
      <w:start w:val="1"/>
      <w:numFmt w:val="decimal"/>
      <w:lvlText w:val="（%1）"/>
      <w:lvlJc w:val="left"/>
      <w:pPr>
        <w:ind w:left="163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68" w:hanging="601"/>
      </w:pPr>
      <w:rPr>
        <w:rFonts w:hint="default"/>
        <w:lang w:val="zh-CN" w:eastAsia="zh-CN" w:bidi="zh-CN"/>
      </w:rPr>
    </w:lvl>
    <w:lvl w:ilvl="2" w:tentative="0">
      <w:start w:val="0"/>
      <w:numFmt w:val="bullet"/>
      <w:lvlText w:val="•"/>
      <w:lvlJc w:val="left"/>
      <w:pPr>
        <w:ind w:left="3297" w:hanging="601"/>
      </w:pPr>
      <w:rPr>
        <w:rFonts w:hint="default"/>
        <w:lang w:val="zh-CN" w:eastAsia="zh-CN" w:bidi="zh-CN"/>
      </w:rPr>
    </w:lvl>
    <w:lvl w:ilvl="3" w:tentative="0">
      <w:start w:val="0"/>
      <w:numFmt w:val="bullet"/>
      <w:lvlText w:val="•"/>
      <w:lvlJc w:val="left"/>
      <w:pPr>
        <w:ind w:left="4125" w:hanging="601"/>
      </w:pPr>
      <w:rPr>
        <w:rFonts w:hint="default"/>
        <w:lang w:val="zh-CN" w:eastAsia="zh-CN" w:bidi="zh-CN"/>
      </w:rPr>
    </w:lvl>
    <w:lvl w:ilvl="4" w:tentative="0">
      <w:start w:val="0"/>
      <w:numFmt w:val="bullet"/>
      <w:lvlText w:val="•"/>
      <w:lvlJc w:val="left"/>
      <w:pPr>
        <w:ind w:left="4954" w:hanging="601"/>
      </w:pPr>
      <w:rPr>
        <w:rFonts w:hint="default"/>
        <w:lang w:val="zh-CN" w:eastAsia="zh-CN" w:bidi="zh-CN"/>
      </w:rPr>
    </w:lvl>
    <w:lvl w:ilvl="5" w:tentative="0">
      <w:start w:val="0"/>
      <w:numFmt w:val="bullet"/>
      <w:lvlText w:val="•"/>
      <w:lvlJc w:val="left"/>
      <w:pPr>
        <w:ind w:left="5783" w:hanging="601"/>
      </w:pPr>
      <w:rPr>
        <w:rFonts w:hint="default"/>
        <w:lang w:val="zh-CN" w:eastAsia="zh-CN" w:bidi="zh-CN"/>
      </w:rPr>
    </w:lvl>
    <w:lvl w:ilvl="6" w:tentative="0">
      <w:start w:val="0"/>
      <w:numFmt w:val="bullet"/>
      <w:lvlText w:val="•"/>
      <w:lvlJc w:val="left"/>
      <w:pPr>
        <w:ind w:left="6611" w:hanging="601"/>
      </w:pPr>
      <w:rPr>
        <w:rFonts w:hint="default"/>
        <w:lang w:val="zh-CN" w:eastAsia="zh-CN" w:bidi="zh-CN"/>
      </w:rPr>
    </w:lvl>
    <w:lvl w:ilvl="7" w:tentative="0">
      <w:start w:val="0"/>
      <w:numFmt w:val="bullet"/>
      <w:lvlText w:val="•"/>
      <w:lvlJc w:val="left"/>
      <w:pPr>
        <w:ind w:left="7440" w:hanging="601"/>
      </w:pPr>
      <w:rPr>
        <w:rFonts w:hint="default"/>
        <w:lang w:val="zh-CN" w:eastAsia="zh-CN" w:bidi="zh-CN"/>
      </w:rPr>
    </w:lvl>
    <w:lvl w:ilvl="8" w:tentative="0">
      <w:start w:val="0"/>
      <w:numFmt w:val="bullet"/>
      <w:lvlText w:val="•"/>
      <w:lvlJc w:val="left"/>
      <w:pPr>
        <w:ind w:left="8268" w:hanging="601"/>
      </w:pPr>
      <w:rPr>
        <w:rFonts w:hint="default"/>
        <w:lang w:val="zh-CN" w:eastAsia="zh-CN" w:bidi="zh-CN"/>
      </w:rPr>
    </w:lvl>
  </w:abstractNum>
  <w:abstractNum w:abstractNumId="72">
    <w:nsid w:val="23E97754"/>
    <w:multiLevelType w:val="multilevel"/>
    <w:tmpl w:val="23E97754"/>
    <w:lvl w:ilvl="0" w:tentative="0">
      <w:start w:val="6"/>
      <w:numFmt w:val="decimal"/>
      <w:lvlText w:val="%1"/>
      <w:lvlJc w:val="left"/>
      <w:pPr>
        <w:ind w:left="1272" w:hanging="720"/>
        <w:jc w:val="left"/>
      </w:pPr>
      <w:rPr>
        <w:rFonts w:hint="default"/>
        <w:lang w:val="zh-CN" w:eastAsia="zh-CN" w:bidi="zh-CN"/>
      </w:rPr>
    </w:lvl>
    <w:lvl w:ilvl="1" w:tentative="0">
      <w:start w:val="3"/>
      <w:numFmt w:val="decimal"/>
      <w:lvlText w:val="%1.%2"/>
      <w:lvlJc w:val="left"/>
      <w:pPr>
        <w:ind w:left="1272" w:hanging="720"/>
        <w:jc w:val="left"/>
      </w:pPr>
      <w:rPr>
        <w:rFonts w:hint="default"/>
        <w:lang w:val="zh-CN" w:eastAsia="zh-CN" w:bidi="zh-CN"/>
      </w:rPr>
    </w:lvl>
    <w:lvl w:ilvl="2" w:tentative="0">
      <w:start w:val="2"/>
      <w:numFmt w:val="decimal"/>
      <w:lvlText w:val="%1.%2.%3"/>
      <w:lvlJc w:val="left"/>
      <w:pPr>
        <w:ind w:left="1272" w:hanging="720"/>
        <w:jc w:val="left"/>
      </w:pPr>
      <w:rPr>
        <w:rFonts w:hint="default"/>
        <w:lang w:val="zh-CN" w:eastAsia="zh-CN" w:bidi="zh-CN"/>
      </w:rPr>
    </w:lvl>
    <w:lvl w:ilvl="3" w:tentative="0">
      <w:start w:val="2"/>
      <w:numFmt w:val="decimal"/>
      <w:lvlText w:val="%1.%2.%3.%4"/>
      <w:lvlJc w:val="left"/>
      <w:pPr>
        <w:ind w:left="1272" w:hanging="720"/>
        <w:jc w:val="left"/>
      </w:pPr>
      <w:rPr>
        <w:rFonts w:hint="default" w:ascii="Times New Roman" w:hAnsi="Times New Roman" w:eastAsia="Times New Roman" w:cs="Times New Roman"/>
        <w:b/>
        <w:bCs/>
        <w:w w:val="99"/>
        <w:sz w:val="24"/>
        <w:szCs w:val="24"/>
        <w:lang w:val="zh-CN" w:eastAsia="zh-CN" w:bidi="zh-CN"/>
      </w:rPr>
    </w:lvl>
    <w:lvl w:ilvl="4" w:tentative="0">
      <w:start w:val="1"/>
      <w:numFmt w:val="decimal"/>
      <w:lvlText w:val="（%5）"/>
      <w:lvlJc w:val="left"/>
      <w:pPr>
        <w:ind w:left="552" w:hanging="601"/>
        <w:jc w:val="left"/>
      </w:pPr>
      <w:rPr>
        <w:rFonts w:hint="default" w:ascii="宋体" w:hAnsi="宋体" w:eastAsia="宋体" w:cs="宋体"/>
        <w:spacing w:val="-34"/>
        <w:w w:val="100"/>
        <w:sz w:val="22"/>
        <w:szCs w:val="22"/>
        <w:lang w:val="zh-CN" w:eastAsia="zh-CN" w:bidi="zh-CN"/>
      </w:rPr>
    </w:lvl>
    <w:lvl w:ilvl="5" w:tentative="0">
      <w:start w:val="0"/>
      <w:numFmt w:val="bullet"/>
      <w:lvlText w:val="•"/>
      <w:lvlJc w:val="left"/>
      <w:pPr>
        <w:ind w:left="5122" w:hanging="601"/>
      </w:pPr>
      <w:rPr>
        <w:rFonts w:hint="default"/>
        <w:lang w:val="zh-CN" w:eastAsia="zh-CN" w:bidi="zh-CN"/>
      </w:rPr>
    </w:lvl>
    <w:lvl w:ilvl="6" w:tentative="0">
      <w:start w:val="0"/>
      <w:numFmt w:val="bullet"/>
      <w:lvlText w:val="•"/>
      <w:lvlJc w:val="left"/>
      <w:pPr>
        <w:ind w:left="6083" w:hanging="601"/>
      </w:pPr>
      <w:rPr>
        <w:rFonts w:hint="default"/>
        <w:lang w:val="zh-CN" w:eastAsia="zh-CN" w:bidi="zh-CN"/>
      </w:rPr>
    </w:lvl>
    <w:lvl w:ilvl="7" w:tentative="0">
      <w:start w:val="0"/>
      <w:numFmt w:val="bullet"/>
      <w:lvlText w:val="•"/>
      <w:lvlJc w:val="left"/>
      <w:pPr>
        <w:ind w:left="7044" w:hanging="601"/>
      </w:pPr>
      <w:rPr>
        <w:rFonts w:hint="default"/>
        <w:lang w:val="zh-CN" w:eastAsia="zh-CN" w:bidi="zh-CN"/>
      </w:rPr>
    </w:lvl>
    <w:lvl w:ilvl="8" w:tentative="0">
      <w:start w:val="0"/>
      <w:numFmt w:val="bullet"/>
      <w:lvlText w:val="•"/>
      <w:lvlJc w:val="left"/>
      <w:pPr>
        <w:ind w:left="8004" w:hanging="601"/>
      </w:pPr>
      <w:rPr>
        <w:rFonts w:hint="default"/>
        <w:lang w:val="zh-CN" w:eastAsia="zh-CN" w:bidi="zh-CN"/>
      </w:rPr>
    </w:lvl>
  </w:abstractNum>
  <w:abstractNum w:abstractNumId="73">
    <w:nsid w:val="243FCF68"/>
    <w:multiLevelType w:val="multilevel"/>
    <w:tmpl w:val="243FCF68"/>
    <w:lvl w:ilvl="0" w:tentative="0">
      <w:start w:val="1"/>
      <w:numFmt w:val="decimal"/>
      <w:lvlText w:val="（%1）"/>
      <w:lvlJc w:val="left"/>
      <w:pPr>
        <w:ind w:left="512" w:hanging="601"/>
        <w:jc w:val="left"/>
      </w:pPr>
      <w:rPr>
        <w:rFonts w:hint="default" w:ascii="宋体" w:hAnsi="宋体" w:eastAsia="宋体" w:cs="宋体"/>
        <w:spacing w:val="-41"/>
        <w:w w:val="100"/>
        <w:sz w:val="22"/>
        <w:szCs w:val="22"/>
        <w:lang w:val="zh-CN" w:eastAsia="zh-CN" w:bidi="zh-CN"/>
      </w:rPr>
    </w:lvl>
    <w:lvl w:ilvl="1" w:tentative="0">
      <w:start w:val="0"/>
      <w:numFmt w:val="bullet"/>
      <w:lvlText w:val="•"/>
      <w:lvlJc w:val="left"/>
      <w:pPr>
        <w:ind w:left="1412" w:hanging="601"/>
      </w:pPr>
      <w:rPr>
        <w:rFonts w:hint="default"/>
        <w:lang w:val="zh-CN" w:eastAsia="zh-CN" w:bidi="zh-CN"/>
      </w:rPr>
    </w:lvl>
    <w:lvl w:ilvl="2" w:tentative="0">
      <w:start w:val="0"/>
      <w:numFmt w:val="bullet"/>
      <w:lvlText w:val="•"/>
      <w:lvlJc w:val="left"/>
      <w:pPr>
        <w:ind w:left="2305" w:hanging="601"/>
      </w:pPr>
      <w:rPr>
        <w:rFonts w:hint="default"/>
        <w:lang w:val="zh-CN" w:eastAsia="zh-CN" w:bidi="zh-CN"/>
      </w:rPr>
    </w:lvl>
    <w:lvl w:ilvl="3" w:tentative="0">
      <w:start w:val="0"/>
      <w:numFmt w:val="bullet"/>
      <w:lvlText w:val="•"/>
      <w:lvlJc w:val="left"/>
      <w:pPr>
        <w:ind w:left="3197" w:hanging="601"/>
      </w:pPr>
      <w:rPr>
        <w:rFonts w:hint="default"/>
        <w:lang w:val="zh-CN" w:eastAsia="zh-CN" w:bidi="zh-CN"/>
      </w:rPr>
    </w:lvl>
    <w:lvl w:ilvl="4" w:tentative="0">
      <w:start w:val="0"/>
      <w:numFmt w:val="bullet"/>
      <w:lvlText w:val="•"/>
      <w:lvlJc w:val="left"/>
      <w:pPr>
        <w:ind w:left="4090" w:hanging="601"/>
      </w:pPr>
      <w:rPr>
        <w:rFonts w:hint="default"/>
        <w:lang w:val="zh-CN" w:eastAsia="zh-CN" w:bidi="zh-CN"/>
      </w:rPr>
    </w:lvl>
    <w:lvl w:ilvl="5" w:tentative="0">
      <w:start w:val="0"/>
      <w:numFmt w:val="bullet"/>
      <w:lvlText w:val="•"/>
      <w:lvlJc w:val="left"/>
      <w:pPr>
        <w:ind w:left="4983" w:hanging="601"/>
      </w:pPr>
      <w:rPr>
        <w:rFonts w:hint="default"/>
        <w:lang w:val="zh-CN" w:eastAsia="zh-CN" w:bidi="zh-CN"/>
      </w:rPr>
    </w:lvl>
    <w:lvl w:ilvl="6" w:tentative="0">
      <w:start w:val="0"/>
      <w:numFmt w:val="bullet"/>
      <w:lvlText w:val="•"/>
      <w:lvlJc w:val="left"/>
      <w:pPr>
        <w:ind w:left="5875" w:hanging="601"/>
      </w:pPr>
      <w:rPr>
        <w:rFonts w:hint="default"/>
        <w:lang w:val="zh-CN" w:eastAsia="zh-CN" w:bidi="zh-CN"/>
      </w:rPr>
    </w:lvl>
    <w:lvl w:ilvl="7" w:tentative="0">
      <w:start w:val="0"/>
      <w:numFmt w:val="bullet"/>
      <w:lvlText w:val="•"/>
      <w:lvlJc w:val="left"/>
      <w:pPr>
        <w:ind w:left="6768" w:hanging="601"/>
      </w:pPr>
      <w:rPr>
        <w:rFonts w:hint="default"/>
        <w:lang w:val="zh-CN" w:eastAsia="zh-CN" w:bidi="zh-CN"/>
      </w:rPr>
    </w:lvl>
    <w:lvl w:ilvl="8" w:tentative="0">
      <w:start w:val="0"/>
      <w:numFmt w:val="bullet"/>
      <w:lvlText w:val="•"/>
      <w:lvlJc w:val="left"/>
      <w:pPr>
        <w:ind w:left="7660" w:hanging="601"/>
      </w:pPr>
      <w:rPr>
        <w:rFonts w:hint="default"/>
        <w:lang w:val="zh-CN" w:eastAsia="zh-CN" w:bidi="zh-CN"/>
      </w:rPr>
    </w:lvl>
  </w:abstractNum>
  <w:abstractNum w:abstractNumId="74">
    <w:nsid w:val="2470EC97"/>
    <w:multiLevelType w:val="multilevel"/>
    <w:tmpl w:val="2470EC97"/>
    <w:lvl w:ilvl="0" w:tentative="0">
      <w:start w:val="3"/>
      <w:numFmt w:val="decimal"/>
      <w:lvlText w:val="%1"/>
      <w:lvlJc w:val="left"/>
      <w:pPr>
        <w:ind w:left="1488" w:hanging="449"/>
        <w:jc w:val="left"/>
      </w:pPr>
      <w:rPr>
        <w:rFonts w:hint="default"/>
        <w:lang w:val="zh-CN" w:eastAsia="zh-CN" w:bidi="zh-CN"/>
      </w:rPr>
    </w:lvl>
    <w:lvl w:ilvl="1" w:tentative="0">
      <w:start w:val="1"/>
      <w:numFmt w:val="decimal"/>
      <w:lvlText w:val="%1.%2"/>
      <w:lvlJc w:val="left"/>
      <w:pPr>
        <w:ind w:left="1488" w:hanging="449"/>
        <w:jc w:val="left"/>
      </w:pPr>
      <w:rPr>
        <w:rFonts w:hint="default" w:ascii="Times New Roman" w:hAnsi="Times New Roman" w:eastAsia="Times New Roman" w:cs="Times New Roman"/>
        <w:b/>
        <w:bCs/>
        <w:spacing w:val="-1"/>
        <w:w w:val="100"/>
        <w:sz w:val="30"/>
        <w:szCs w:val="30"/>
        <w:lang w:val="zh-CN" w:eastAsia="zh-CN" w:bidi="zh-CN"/>
      </w:rPr>
    </w:lvl>
    <w:lvl w:ilvl="2" w:tentative="0">
      <w:start w:val="1"/>
      <w:numFmt w:val="decimal"/>
      <w:lvlText w:val="%1.%2.%3"/>
      <w:lvlJc w:val="left"/>
      <w:pPr>
        <w:ind w:left="1668"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2121"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3306" w:hanging="601"/>
      </w:pPr>
      <w:rPr>
        <w:rFonts w:hint="default"/>
        <w:lang w:val="zh-CN" w:eastAsia="zh-CN" w:bidi="zh-CN"/>
      </w:rPr>
    </w:lvl>
    <w:lvl w:ilvl="5" w:tentative="0">
      <w:start w:val="0"/>
      <w:numFmt w:val="bullet"/>
      <w:lvlText w:val="•"/>
      <w:lvlJc w:val="left"/>
      <w:pPr>
        <w:ind w:left="4493" w:hanging="601"/>
      </w:pPr>
      <w:rPr>
        <w:rFonts w:hint="default"/>
        <w:lang w:val="zh-CN" w:eastAsia="zh-CN" w:bidi="zh-CN"/>
      </w:rPr>
    </w:lvl>
    <w:lvl w:ilvl="6" w:tentative="0">
      <w:start w:val="0"/>
      <w:numFmt w:val="bullet"/>
      <w:lvlText w:val="•"/>
      <w:lvlJc w:val="left"/>
      <w:pPr>
        <w:ind w:left="56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8052" w:hanging="601"/>
      </w:pPr>
      <w:rPr>
        <w:rFonts w:hint="default"/>
        <w:lang w:val="zh-CN" w:eastAsia="zh-CN" w:bidi="zh-CN"/>
      </w:rPr>
    </w:lvl>
  </w:abstractNum>
  <w:abstractNum w:abstractNumId="75">
    <w:nsid w:val="25B654F3"/>
    <w:multiLevelType w:val="multilevel"/>
    <w:tmpl w:val="25B654F3"/>
    <w:lvl w:ilvl="0" w:tentative="0">
      <w:start w:val="2"/>
      <w:numFmt w:val="decimal"/>
      <w:lvlText w:val="%1"/>
      <w:lvlJc w:val="left"/>
      <w:pPr>
        <w:ind w:left="1184" w:hanging="526"/>
        <w:jc w:val="left"/>
      </w:pPr>
      <w:rPr>
        <w:rFonts w:hint="default"/>
        <w:lang w:val="zh-CN" w:eastAsia="zh-CN" w:bidi="zh-CN"/>
      </w:rPr>
    </w:lvl>
    <w:lvl w:ilvl="1" w:tentative="0">
      <w:start w:val="1"/>
      <w:numFmt w:val="decimal"/>
      <w:lvlText w:val="%1.%2"/>
      <w:lvlJc w:val="left"/>
      <w:pPr>
        <w:ind w:left="1184" w:hanging="526"/>
        <w:jc w:val="left"/>
      </w:pPr>
      <w:rPr>
        <w:rFonts w:hint="default" w:ascii="Times New Roman" w:hAnsi="Times New Roman" w:eastAsia="Times New Roman" w:cs="Times New Roman"/>
        <w:b/>
        <w:bCs/>
        <w:spacing w:val="-1"/>
        <w:w w:val="99"/>
        <w:sz w:val="30"/>
        <w:szCs w:val="30"/>
        <w:lang w:val="zh-CN" w:eastAsia="zh-CN" w:bidi="zh-CN"/>
      </w:rPr>
    </w:lvl>
    <w:lvl w:ilvl="2" w:tentative="0">
      <w:start w:val="1"/>
      <w:numFmt w:val="decimal"/>
      <w:lvlText w:val="%1.%2.%3"/>
      <w:lvlJc w:val="left"/>
      <w:pPr>
        <w:ind w:left="1287"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658" w:hanging="605"/>
        <w:jc w:val="left"/>
      </w:pPr>
      <w:rPr>
        <w:rFonts w:hint="default" w:ascii="宋体" w:hAnsi="宋体" w:eastAsia="宋体" w:cs="宋体"/>
        <w:spacing w:val="0"/>
        <w:w w:val="100"/>
        <w:sz w:val="22"/>
        <w:szCs w:val="22"/>
        <w:lang w:val="zh-CN" w:eastAsia="zh-CN" w:bidi="zh-CN"/>
      </w:rPr>
    </w:lvl>
    <w:lvl w:ilvl="4" w:tentative="0">
      <w:start w:val="0"/>
      <w:numFmt w:val="bullet"/>
      <w:lvlText w:val="•"/>
      <w:lvlJc w:val="left"/>
      <w:pPr>
        <w:ind w:left="3566" w:hanging="605"/>
      </w:pPr>
      <w:rPr>
        <w:rFonts w:hint="default"/>
        <w:lang w:val="zh-CN" w:eastAsia="zh-CN" w:bidi="zh-CN"/>
      </w:rPr>
    </w:lvl>
    <w:lvl w:ilvl="5" w:tentative="0">
      <w:start w:val="0"/>
      <w:numFmt w:val="bullet"/>
      <w:lvlText w:val="•"/>
      <w:lvlJc w:val="left"/>
      <w:pPr>
        <w:ind w:left="4709" w:hanging="605"/>
      </w:pPr>
      <w:rPr>
        <w:rFonts w:hint="default"/>
        <w:lang w:val="zh-CN" w:eastAsia="zh-CN" w:bidi="zh-CN"/>
      </w:rPr>
    </w:lvl>
    <w:lvl w:ilvl="6" w:tentative="0">
      <w:start w:val="0"/>
      <w:numFmt w:val="bullet"/>
      <w:lvlText w:val="•"/>
      <w:lvlJc w:val="left"/>
      <w:pPr>
        <w:ind w:left="5853" w:hanging="605"/>
      </w:pPr>
      <w:rPr>
        <w:rFonts w:hint="default"/>
        <w:lang w:val="zh-CN" w:eastAsia="zh-CN" w:bidi="zh-CN"/>
      </w:rPr>
    </w:lvl>
    <w:lvl w:ilvl="7" w:tentative="0">
      <w:start w:val="0"/>
      <w:numFmt w:val="bullet"/>
      <w:lvlText w:val="•"/>
      <w:lvlJc w:val="left"/>
      <w:pPr>
        <w:ind w:left="6996" w:hanging="605"/>
      </w:pPr>
      <w:rPr>
        <w:rFonts w:hint="default"/>
        <w:lang w:val="zh-CN" w:eastAsia="zh-CN" w:bidi="zh-CN"/>
      </w:rPr>
    </w:lvl>
    <w:lvl w:ilvl="8" w:tentative="0">
      <w:start w:val="0"/>
      <w:numFmt w:val="bullet"/>
      <w:lvlText w:val="•"/>
      <w:lvlJc w:val="left"/>
      <w:pPr>
        <w:ind w:left="8139" w:hanging="605"/>
      </w:pPr>
      <w:rPr>
        <w:rFonts w:hint="default"/>
        <w:lang w:val="zh-CN" w:eastAsia="zh-CN" w:bidi="zh-CN"/>
      </w:rPr>
    </w:lvl>
  </w:abstractNum>
  <w:abstractNum w:abstractNumId="76">
    <w:nsid w:val="2A8F537B"/>
    <w:multiLevelType w:val="multilevel"/>
    <w:tmpl w:val="2A8F537B"/>
    <w:lvl w:ilvl="0" w:tentative="0">
      <w:start w:val="24"/>
      <w:numFmt w:val="decimal"/>
      <w:lvlText w:val="(%1)"/>
      <w:lvlJc w:val="left"/>
      <w:pPr>
        <w:ind w:left="1538" w:hanging="401"/>
        <w:jc w:val="left"/>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2428" w:hanging="401"/>
      </w:pPr>
      <w:rPr>
        <w:rFonts w:hint="default"/>
        <w:lang w:val="zh-CN" w:eastAsia="zh-CN" w:bidi="zh-CN"/>
      </w:rPr>
    </w:lvl>
    <w:lvl w:ilvl="2" w:tentative="0">
      <w:start w:val="0"/>
      <w:numFmt w:val="bullet"/>
      <w:lvlText w:val="•"/>
      <w:lvlJc w:val="left"/>
      <w:pPr>
        <w:ind w:left="3317" w:hanging="401"/>
      </w:pPr>
      <w:rPr>
        <w:rFonts w:hint="default"/>
        <w:lang w:val="zh-CN" w:eastAsia="zh-CN" w:bidi="zh-CN"/>
      </w:rPr>
    </w:lvl>
    <w:lvl w:ilvl="3" w:tentative="0">
      <w:start w:val="0"/>
      <w:numFmt w:val="bullet"/>
      <w:lvlText w:val="•"/>
      <w:lvlJc w:val="left"/>
      <w:pPr>
        <w:ind w:left="4205" w:hanging="401"/>
      </w:pPr>
      <w:rPr>
        <w:rFonts w:hint="default"/>
        <w:lang w:val="zh-CN" w:eastAsia="zh-CN" w:bidi="zh-CN"/>
      </w:rPr>
    </w:lvl>
    <w:lvl w:ilvl="4" w:tentative="0">
      <w:start w:val="0"/>
      <w:numFmt w:val="bullet"/>
      <w:lvlText w:val="•"/>
      <w:lvlJc w:val="left"/>
      <w:pPr>
        <w:ind w:left="5094" w:hanging="401"/>
      </w:pPr>
      <w:rPr>
        <w:rFonts w:hint="default"/>
        <w:lang w:val="zh-CN" w:eastAsia="zh-CN" w:bidi="zh-CN"/>
      </w:rPr>
    </w:lvl>
    <w:lvl w:ilvl="5" w:tentative="0">
      <w:start w:val="0"/>
      <w:numFmt w:val="bullet"/>
      <w:lvlText w:val="•"/>
      <w:lvlJc w:val="left"/>
      <w:pPr>
        <w:ind w:left="5983" w:hanging="401"/>
      </w:pPr>
      <w:rPr>
        <w:rFonts w:hint="default"/>
        <w:lang w:val="zh-CN" w:eastAsia="zh-CN" w:bidi="zh-CN"/>
      </w:rPr>
    </w:lvl>
    <w:lvl w:ilvl="6" w:tentative="0">
      <w:start w:val="0"/>
      <w:numFmt w:val="bullet"/>
      <w:lvlText w:val="•"/>
      <w:lvlJc w:val="left"/>
      <w:pPr>
        <w:ind w:left="6871" w:hanging="401"/>
      </w:pPr>
      <w:rPr>
        <w:rFonts w:hint="default"/>
        <w:lang w:val="zh-CN" w:eastAsia="zh-CN" w:bidi="zh-CN"/>
      </w:rPr>
    </w:lvl>
    <w:lvl w:ilvl="7" w:tentative="0">
      <w:start w:val="0"/>
      <w:numFmt w:val="bullet"/>
      <w:lvlText w:val="•"/>
      <w:lvlJc w:val="left"/>
      <w:pPr>
        <w:ind w:left="7760" w:hanging="401"/>
      </w:pPr>
      <w:rPr>
        <w:rFonts w:hint="default"/>
        <w:lang w:val="zh-CN" w:eastAsia="zh-CN" w:bidi="zh-CN"/>
      </w:rPr>
    </w:lvl>
    <w:lvl w:ilvl="8" w:tentative="0">
      <w:start w:val="0"/>
      <w:numFmt w:val="bullet"/>
      <w:lvlText w:val="•"/>
      <w:lvlJc w:val="left"/>
      <w:pPr>
        <w:ind w:left="8648" w:hanging="401"/>
      </w:pPr>
      <w:rPr>
        <w:rFonts w:hint="default"/>
        <w:lang w:val="zh-CN" w:eastAsia="zh-CN" w:bidi="zh-CN"/>
      </w:rPr>
    </w:lvl>
  </w:abstractNum>
  <w:abstractNum w:abstractNumId="77">
    <w:nsid w:val="2F2D79CE"/>
    <w:multiLevelType w:val="multilevel"/>
    <w:tmpl w:val="2F2D79CE"/>
    <w:lvl w:ilvl="0" w:tentative="0">
      <w:start w:val="1"/>
      <w:numFmt w:val="decimal"/>
      <w:lvlText w:val="（%1）"/>
      <w:lvlJc w:val="left"/>
      <w:pPr>
        <w:ind w:left="1317"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8" w:hanging="601"/>
      </w:pPr>
      <w:rPr>
        <w:rFonts w:hint="default"/>
        <w:lang w:val="zh-CN" w:eastAsia="zh-CN" w:bidi="zh-CN"/>
      </w:rPr>
    </w:lvl>
    <w:lvl w:ilvl="2" w:tentative="0">
      <w:start w:val="0"/>
      <w:numFmt w:val="bullet"/>
      <w:lvlText w:val="•"/>
      <w:lvlJc w:val="left"/>
      <w:pPr>
        <w:ind w:left="2977" w:hanging="601"/>
      </w:pPr>
      <w:rPr>
        <w:rFonts w:hint="default"/>
        <w:lang w:val="zh-CN" w:eastAsia="zh-CN" w:bidi="zh-CN"/>
      </w:rPr>
    </w:lvl>
    <w:lvl w:ilvl="3" w:tentative="0">
      <w:start w:val="0"/>
      <w:numFmt w:val="bullet"/>
      <w:lvlText w:val="•"/>
      <w:lvlJc w:val="left"/>
      <w:pPr>
        <w:ind w:left="3805" w:hanging="601"/>
      </w:pPr>
      <w:rPr>
        <w:rFonts w:hint="default"/>
        <w:lang w:val="zh-CN" w:eastAsia="zh-CN" w:bidi="zh-CN"/>
      </w:rPr>
    </w:lvl>
    <w:lvl w:ilvl="4" w:tentative="0">
      <w:start w:val="0"/>
      <w:numFmt w:val="bullet"/>
      <w:lvlText w:val="•"/>
      <w:lvlJc w:val="left"/>
      <w:pPr>
        <w:ind w:left="4634" w:hanging="601"/>
      </w:pPr>
      <w:rPr>
        <w:rFonts w:hint="default"/>
        <w:lang w:val="zh-CN" w:eastAsia="zh-CN" w:bidi="zh-CN"/>
      </w:rPr>
    </w:lvl>
    <w:lvl w:ilvl="5" w:tentative="0">
      <w:start w:val="0"/>
      <w:numFmt w:val="bullet"/>
      <w:lvlText w:val="•"/>
      <w:lvlJc w:val="left"/>
      <w:pPr>
        <w:ind w:left="5463" w:hanging="601"/>
      </w:pPr>
      <w:rPr>
        <w:rFonts w:hint="default"/>
        <w:lang w:val="zh-CN" w:eastAsia="zh-CN" w:bidi="zh-CN"/>
      </w:rPr>
    </w:lvl>
    <w:lvl w:ilvl="6" w:tentative="0">
      <w:start w:val="0"/>
      <w:numFmt w:val="bullet"/>
      <w:lvlText w:val="•"/>
      <w:lvlJc w:val="left"/>
      <w:pPr>
        <w:ind w:left="6291" w:hanging="601"/>
      </w:pPr>
      <w:rPr>
        <w:rFonts w:hint="default"/>
        <w:lang w:val="zh-CN" w:eastAsia="zh-CN" w:bidi="zh-CN"/>
      </w:rPr>
    </w:lvl>
    <w:lvl w:ilvl="7" w:tentative="0">
      <w:start w:val="0"/>
      <w:numFmt w:val="bullet"/>
      <w:lvlText w:val="•"/>
      <w:lvlJc w:val="left"/>
      <w:pPr>
        <w:ind w:left="7120" w:hanging="601"/>
      </w:pPr>
      <w:rPr>
        <w:rFonts w:hint="default"/>
        <w:lang w:val="zh-CN" w:eastAsia="zh-CN" w:bidi="zh-CN"/>
      </w:rPr>
    </w:lvl>
    <w:lvl w:ilvl="8" w:tentative="0">
      <w:start w:val="0"/>
      <w:numFmt w:val="bullet"/>
      <w:lvlText w:val="•"/>
      <w:lvlJc w:val="left"/>
      <w:pPr>
        <w:ind w:left="7948" w:hanging="601"/>
      </w:pPr>
      <w:rPr>
        <w:rFonts w:hint="default"/>
        <w:lang w:val="zh-CN" w:eastAsia="zh-CN" w:bidi="zh-CN"/>
      </w:rPr>
    </w:lvl>
  </w:abstractNum>
  <w:abstractNum w:abstractNumId="78">
    <w:nsid w:val="30A0AC00"/>
    <w:multiLevelType w:val="multilevel"/>
    <w:tmpl w:val="30A0AC00"/>
    <w:lvl w:ilvl="0" w:tentative="0">
      <w:start w:val="1"/>
      <w:numFmt w:val="decimal"/>
      <w:lvlText w:val="（%1）"/>
      <w:lvlJc w:val="left"/>
      <w:pPr>
        <w:ind w:left="1297"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62" w:hanging="601"/>
      </w:pPr>
      <w:rPr>
        <w:rFonts w:hint="default"/>
        <w:lang w:val="zh-CN" w:eastAsia="zh-CN" w:bidi="zh-CN"/>
      </w:rPr>
    </w:lvl>
    <w:lvl w:ilvl="2" w:tentative="0">
      <w:start w:val="0"/>
      <w:numFmt w:val="bullet"/>
      <w:lvlText w:val="•"/>
      <w:lvlJc w:val="left"/>
      <w:pPr>
        <w:ind w:left="3025" w:hanging="601"/>
      </w:pPr>
      <w:rPr>
        <w:rFonts w:hint="default"/>
        <w:lang w:val="zh-CN" w:eastAsia="zh-CN" w:bidi="zh-CN"/>
      </w:rPr>
    </w:lvl>
    <w:lvl w:ilvl="3" w:tentative="0">
      <w:start w:val="0"/>
      <w:numFmt w:val="bullet"/>
      <w:lvlText w:val="•"/>
      <w:lvlJc w:val="left"/>
      <w:pPr>
        <w:ind w:left="3887" w:hanging="601"/>
      </w:pPr>
      <w:rPr>
        <w:rFonts w:hint="default"/>
        <w:lang w:val="zh-CN" w:eastAsia="zh-CN" w:bidi="zh-CN"/>
      </w:rPr>
    </w:lvl>
    <w:lvl w:ilvl="4" w:tentative="0">
      <w:start w:val="0"/>
      <w:numFmt w:val="bullet"/>
      <w:lvlText w:val="•"/>
      <w:lvlJc w:val="left"/>
      <w:pPr>
        <w:ind w:left="4750" w:hanging="601"/>
      </w:pPr>
      <w:rPr>
        <w:rFonts w:hint="default"/>
        <w:lang w:val="zh-CN" w:eastAsia="zh-CN" w:bidi="zh-CN"/>
      </w:rPr>
    </w:lvl>
    <w:lvl w:ilvl="5" w:tentative="0">
      <w:start w:val="0"/>
      <w:numFmt w:val="bullet"/>
      <w:lvlText w:val="•"/>
      <w:lvlJc w:val="left"/>
      <w:pPr>
        <w:ind w:left="5613" w:hanging="601"/>
      </w:pPr>
      <w:rPr>
        <w:rFonts w:hint="default"/>
        <w:lang w:val="zh-CN" w:eastAsia="zh-CN" w:bidi="zh-CN"/>
      </w:rPr>
    </w:lvl>
    <w:lvl w:ilvl="6" w:tentative="0">
      <w:start w:val="0"/>
      <w:numFmt w:val="bullet"/>
      <w:lvlText w:val="•"/>
      <w:lvlJc w:val="left"/>
      <w:pPr>
        <w:ind w:left="6475" w:hanging="601"/>
      </w:pPr>
      <w:rPr>
        <w:rFonts w:hint="default"/>
        <w:lang w:val="zh-CN" w:eastAsia="zh-CN" w:bidi="zh-CN"/>
      </w:rPr>
    </w:lvl>
    <w:lvl w:ilvl="7" w:tentative="0">
      <w:start w:val="0"/>
      <w:numFmt w:val="bullet"/>
      <w:lvlText w:val="•"/>
      <w:lvlJc w:val="left"/>
      <w:pPr>
        <w:ind w:left="7338" w:hanging="601"/>
      </w:pPr>
      <w:rPr>
        <w:rFonts w:hint="default"/>
        <w:lang w:val="zh-CN" w:eastAsia="zh-CN" w:bidi="zh-CN"/>
      </w:rPr>
    </w:lvl>
    <w:lvl w:ilvl="8" w:tentative="0">
      <w:start w:val="0"/>
      <w:numFmt w:val="bullet"/>
      <w:lvlText w:val="•"/>
      <w:lvlJc w:val="left"/>
      <w:pPr>
        <w:ind w:left="8200" w:hanging="601"/>
      </w:pPr>
      <w:rPr>
        <w:rFonts w:hint="default"/>
        <w:lang w:val="zh-CN" w:eastAsia="zh-CN" w:bidi="zh-CN"/>
      </w:rPr>
    </w:lvl>
  </w:abstractNum>
  <w:abstractNum w:abstractNumId="79">
    <w:nsid w:val="30FC5B15"/>
    <w:multiLevelType w:val="multilevel"/>
    <w:tmpl w:val="30FC5B15"/>
    <w:lvl w:ilvl="0" w:tentative="0">
      <w:start w:val="1"/>
      <w:numFmt w:val="decimal"/>
      <w:lvlText w:val="（%1）"/>
      <w:lvlJc w:val="left"/>
      <w:pPr>
        <w:ind w:left="452" w:hanging="601"/>
        <w:jc w:val="left"/>
      </w:pPr>
      <w:rPr>
        <w:rFonts w:hint="default" w:ascii="宋体" w:hAnsi="宋体" w:eastAsia="宋体" w:cs="宋体"/>
        <w:spacing w:val="-24"/>
        <w:w w:val="100"/>
        <w:sz w:val="22"/>
        <w:szCs w:val="22"/>
        <w:lang w:val="zh-CN" w:eastAsia="zh-CN" w:bidi="zh-CN"/>
      </w:rPr>
    </w:lvl>
    <w:lvl w:ilvl="1" w:tentative="0">
      <w:start w:val="0"/>
      <w:numFmt w:val="bullet"/>
      <w:lvlText w:val="•"/>
      <w:lvlJc w:val="left"/>
      <w:pPr>
        <w:ind w:left="1344" w:hanging="601"/>
      </w:pPr>
      <w:rPr>
        <w:rFonts w:hint="default"/>
        <w:lang w:val="zh-CN" w:eastAsia="zh-CN" w:bidi="zh-CN"/>
      </w:rPr>
    </w:lvl>
    <w:lvl w:ilvl="2" w:tentative="0">
      <w:start w:val="0"/>
      <w:numFmt w:val="bullet"/>
      <w:lvlText w:val="•"/>
      <w:lvlJc w:val="left"/>
      <w:pPr>
        <w:ind w:left="2229" w:hanging="601"/>
      </w:pPr>
      <w:rPr>
        <w:rFonts w:hint="default"/>
        <w:lang w:val="zh-CN" w:eastAsia="zh-CN" w:bidi="zh-CN"/>
      </w:rPr>
    </w:lvl>
    <w:lvl w:ilvl="3" w:tentative="0">
      <w:start w:val="0"/>
      <w:numFmt w:val="bullet"/>
      <w:lvlText w:val="•"/>
      <w:lvlJc w:val="left"/>
      <w:pPr>
        <w:ind w:left="3113" w:hanging="601"/>
      </w:pPr>
      <w:rPr>
        <w:rFonts w:hint="default"/>
        <w:lang w:val="zh-CN" w:eastAsia="zh-CN" w:bidi="zh-CN"/>
      </w:rPr>
    </w:lvl>
    <w:lvl w:ilvl="4" w:tentative="0">
      <w:start w:val="0"/>
      <w:numFmt w:val="bullet"/>
      <w:lvlText w:val="•"/>
      <w:lvlJc w:val="left"/>
      <w:pPr>
        <w:ind w:left="3998" w:hanging="601"/>
      </w:pPr>
      <w:rPr>
        <w:rFonts w:hint="default"/>
        <w:lang w:val="zh-CN" w:eastAsia="zh-CN" w:bidi="zh-CN"/>
      </w:rPr>
    </w:lvl>
    <w:lvl w:ilvl="5" w:tentative="0">
      <w:start w:val="0"/>
      <w:numFmt w:val="bullet"/>
      <w:lvlText w:val="•"/>
      <w:lvlJc w:val="left"/>
      <w:pPr>
        <w:ind w:left="4883" w:hanging="601"/>
      </w:pPr>
      <w:rPr>
        <w:rFonts w:hint="default"/>
        <w:lang w:val="zh-CN" w:eastAsia="zh-CN" w:bidi="zh-CN"/>
      </w:rPr>
    </w:lvl>
    <w:lvl w:ilvl="6" w:tentative="0">
      <w:start w:val="0"/>
      <w:numFmt w:val="bullet"/>
      <w:lvlText w:val="•"/>
      <w:lvlJc w:val="left"/>
      <w:pPr>
        <w:ind w:left="5767" w:hanging="601"/>
      </w:pPr>
      <w:rPr>
        <w:rFonts w:hint="default"/>
        <w:lang w:val="zh-CN" w:eastAsia="zh-CN" w:bidi="zh-CN"/>
      </w:rPr>
    </w:lvl>
    <w:lvl w:ilvl="7" w:tentative="0">
      <w:start w:val="0"/>
      <w:numFmt w:val="bullet"/>
      <w:lvlText w:val="•"/>
      <w:lvlJc w:val="left"/>
      <w:pPr>
        <w:ind w:left="6652" w:hanging="601"/>
      </w:pPr>
      <w:rPr>
        <w:rFonts w:hint="default"/>
        <w:lang w:val="zh-CN" w:eastAsia="zh-CN" w:bidi="zh-CN"/>
      </w:rPr>
    </w:lvl>
    <w:lvl w:ilvl="8" w:tentative="0">
      <w:start w:val="0"/>
      <w:numFmt w:val="bullet"/>
      <w:lvlText w:val="•"/>
      <w:lvlJc w:val="left"/>
      <w:pPr>
        <w:ind w:left="7536" w:hanging="601"/>
      </w:pPr>
      <w:rPr>
        <w:rFonts w:hint="default"/>
        <w:lang w:val="zh-CN" w:eastAsia="zh-CN" w:bidi="zh-CN"/>
      </w:rPr>
    </w:lvl>
  </w:abstractNum>
  <w:abstractNum w:abstractNumId="80">
    <w:nsid w:val="322D85CA"/>
    <w:multiLevelType w:val="multilevel"/>
    <w:tmpl w:val="322D85CA"/>
    <w:lvl w:ilvl="0" w:tentative="0">
      <w:start w:val="1"/>
      <w:numFmt w:val="decimal"/>
      <w:lvlText w:val="%1."/>
      <w:lvlJc w:val="left"/>
      <w:pPr>
        <w:ind w:left="267" w:hanging="159"/>
        <w:jc w:val="left"/>
      </w:pPr>
      <w:rPr>
        <w:rFonts w:hint="default" w:ascii="Times New Roman" w:hAnsi="Times New Roman" w:eastAsia="Times New Roman" w:cs="Times New Roman"/>
        <w:spacing w:val="-2"/>
        <w:w w:val="99"/>
        <w:sz w:val="19"/>
        <w:szCs w:val="19"/>
        <w:lang w:val="zh-CN" w:eastAsia="zh-CN" w:bidi="zh-CN"/>
      </w:rPr>
    </w:lvl>
    <w:lvl w:ilvl="1" w:tentative="0">
      <w:start w:val="0"/>
      <w:numFmt w:val="bullet"/>
      <w:lvlText w:val="•"/>
      <w:lvlJc w:val="left"/>
      <w:pPr>
        <w:ind w:left="875" w:hanging="159"/>
      </w:pPr>
      <w:rPr>
        <w:rFonts w:hint="default"/>
        <w:lang w:val="zh-CN" w:eastAsia="zh-CN" w:bidi="zh-CN"/>
      </w:rPr>
    </w:lvl>
    <w:lvl w:ilvl="2" w:tentative="0">
      <w:start w:val="0"/>
      <w:numFmt w:val="bullet"/>
      <w:lvlText w:val="•"/>
      <w:lvlJc w:val="left"/>
      <w:pPr>
        <w:ind w:left="1490" w:hanging="159"/>
      </w:pPr>
      <w:rPr>
        <w:rFonts w:hint="default"/>
        <w:lang w:val="zh-CN" w:eastAsia="zh-CN" w:bidi="zh-CN"/>
      </w:rPr>
    </w:lvl>
    <w:lvl w:ilvl="3" w:tentative="0">
      <w:start w:val="0"/>
      <w:numFmt w:val="bullet"/>
      <w:lvlText w:val="•"/>
      <w:lvlJc w:val="left"/>
      <w:pPr>
        <w:ind w:left="2105" w:hanging="159"/>
      </w:pPr>
      <w:rPr>
        <w:rFonts w:hint="default"/>
        <w:lang w:val="zh-CN" w:eastAsia="zh-CN" w:bidi="zh-CN"/>
      </w:rPr>
    </w:lvl>
    <w:lvl w:ilvl="4" w:tentative="0">
      <w:start w:val="0"/>
      <w:numFmt w:val="bullet"/>
      <w:lvlText w:val="•"/>
      <w:lvlJc w:val="left"/>
      <w:pPr>
        <w:ind w:left="2720" w:hanging="159"/>
      </w:pPr>
      <w:rPr>
        <w:rFonts w:hint="default"/>
        <w:lang w:val="zh-CN" w:eastAsia="zh-CN" w:bidi="zh-CN"/>
      </w:rPr>
    </w:lvl>
    <w:lvl w:ilvl="5" w:tentative="0">
      <w:start w:val="0"/>
      <w:numFmt w:val="bullet"/>
      <w:lvlText w:val="•"/>
      <w:lvlJc w:val="left"/>
      <w:pPr>
        <w:ind w:left="3335" w:hanging="159"/>
      </w:pPr>
      <w:rPr>
        <w:rFonts w:hint="default"/>
        <w:lang w:val="zh-CN" w:eastAsia="zh-CN" w:bidi="zh-CN"/>
      </w:rPr>
    </w:lvl>
    <w:lvl w:ilvl="6" w:tentative="0">
      <w:start w:val="0"/>
      <w:numFmt w:val="bullet"/>
      <w:lvlText w:val="•"/>
      <w:lvlJc w:val="left"/>
      <w:pPr>
        <w:ind w:left="3950" w:hanging="159"/>
      </w:pPr>
      <w:rPr>
        <w:rFonts w:hint="default"/>
        <w:lang w:val="zh-CN" w:eastAsia="zh-CN" w:bidi="zh-CN"/>
      </w:rPr>
    </w:lvl>
    <w:lvl w:ilvl="7" w:tentative="0">
      <w:start w:val="0"/>
      <w:numFmt w:val="bullet"/>
      <w:lvlText w:val="•"/>
      <w:lvlJc w:val="left"/>
      <w:pPr>
        <w:ind w:left="4565" w:hanging="159"/>
      </w:pPr>
      <w:rPr>
        <w:rFonts w:hint="default"/>
        <w:lang w:val="zh-CN" w:eastAsia="zh-CN" w:bidi="zh-CN"/>
      </w:rPr>
    </w:lvl>
    <w:lvl w:ilvl="8" w:tentative="0">
      <w:start w:val="0"/>
      <w:numFmt w:val="bullet"/>
      <w:lvlText w:val="•"/>
      <w:lvlJc w:val="left"/>
      <w:pPr>
        <w:ind w:left="5180" w:hanging="159"/>
      </w:pPr>
      <w:rPr>
        <w:rFonts w:hint="default"/>
        <w:lang w:val="zh-CN" w:eastAsia="zh-CN" w:bidi="zh-CN"/>
      </w:rPr>
    </w:lvl>
  </w:abstractNum>
  <w:abstractNum w:abstractNumId="81">
    <w:nsid w:val="32A7AF2D"/>
    <w:multiLevelType w:val="multilevel"/>
    <w:tmpl w:val="32A7AF2D"/>
    <w:lvl w:ilvl="0" w:tentative="0">
      <w:start w:val="1"/>
      <w:numFmt w:val="decimal"/>
      <w:lvlText w:val="（%1）"/>
      <w:lvlJc w:val="left"/>
      <w:pPr>
        <w:ind w:left="552" w:hanging="601"/>
        <w:jc w:val="left"/>
      </w:pPr>
      <w:rPr>
        <w:rFonts w:hint="default" w:ascii="宋体" w:hAnsi="宋体" w:eastAsia="宋体" w:cs="宋体"/>
        <w:spacing w:val="-18"/>
        <w:w w:val="100"/>
        <w:sz w:val="22"/>
        <w:szCs w:val="22"/>
        <w:lang w:val="zh-CN" w:eastAsia="zh-CN" w:bidi="zh-CN"/>
      </w:rPr>
    </w:lvl>
    <w:lvl w:ilvl="1" w:tentative="0">
      <w:start w:val="0"/>
      <w:numFmt w:val="bullet"/>
      <w:lvlText w:val="•"/>
      <w:lvlJc w:val="left"/>
      <w:pPr>
        <w:ind w:left="1496" w:hanging="601"/>
      </w:pPr>
      <w:rPr>
        <w:rFonts w:hint="default"/>
        <w:lang w:val="zh-CN" w:eastAsia="zh-CN" w:bidi="zh-CN"/>
      </w:rPr>
    </w:lvl>
    <w:lvl w:ilvl="2" w:tentative="0">
      <w:start w:val="0"/>
      <w:numFmt w:val="bullet"/>
      <w:lvlText w:val="•"/>
      <w:lvlJc w:val="left"/>
      <w:pPr>
        <w:ind w:left="2433" w:hanging="601"/>
      </w:pPr>
      <w:rPr>
        <w:rFonts w:hint="default"/>
        <w:lang w:val="zh-CN" w:eastAsia="zh-CN" w:bidi="zh-CN"/>
      </w:rPr>
    </w:lvl>
    <w:lvl w:ilvl="3" w:tentative="0">
      <w:start w:val="0"/>
      <w:numFmt w:val="bullet"/>
      <w:lvlText w:val="•"/>
      <w:lvlJc w:val="left"/>
      <w:pPr>
        <w:ind w:left="3369" w:hanging="601"/>
      </w:pPr>
      <w:rPr>
        <w:rFonts w:hint="default"/>
        <w:lang w:val="zh-CN" w:eastAsia="zh-CN" w:bidi="zh-CN"/>
      </w:rPr>
    </w:lvl>
    <w:lvl w:ilvl="4" w:tentative="0">
      <w:start w:val="0"/>
      <w:numFmt w:val="bullet"/>
      <w:lvlText w:val="•"/>
      <w:lvlJc w:val="left"/>
      <w:pPr>
        <w:ind w:left="4306" w:hanging="601"/>
      </w:pPr>
      <w:rPr>
        <w:rFonts w:hint="default"/>
        <w:lang w:val="zh-CN" w:eastAsia="zh-CN" w:bidi="zh-CN"/>
      </w:rPr>
    </w:lvl>
    <w:lvl w:ilvl="5" w:tentative="0">
      <w:start w:val="0"/>
      <w:numFmt w:val="bullet"/>
      <w:lvlText w:val="•"/>
      <w:lvlJc w:val="left"/>
      <w:pPr>
        <w:ind w:left="5243" w:hanging="601"/>
      </w:pPr>
      <w:rPr>
        <w:rFonts w:hint="default"/>
        <w:lang w:val="zh-CN" w:eastAsia="zh-CN" w:bidi="zh-CN"/>
      </w:rPr>
    </w:lvl>
    <w:lvl w:ilvl="6" w:tentative="0">
      <w:start w:val="0"/>
      <w:numFmt w:val="bullet"/>
      <w:lvlText w:val="•"/>
      <w:lvlJc w:val="left"/>
      <w:pPr>
        <w:ind w:left="6179" w:hanging="601"/>
      </w:pPr>
      <w:rPr>
        <w:rFonts w:hint="default"/>
        <w:lang w:val="zh-CN" w:eastAsia="zh-CN" w:bidi="zh-CN"/>
      </w:rPr>
    </w:lvl>
    <w:lvl w:ilvl="7" w:tentative="0">
      <w:start w:val="0"/>
      <w:numFmt w:val="bullet"/>
      <w:lvlText w:val="•"/>
      <w:lvlJc w:val="left"/>
      <w:pPr>
        <w:ind w:left="7116" w:hanging="601"/>
      </w:pPr>
      <w:rPr>
        <w:rFonts w:hint="default"/>
        <w:lang w:val="zh-CN" w:eastAsia="zh-CN" w:bidi="zh-CN"/>
      </w:rPr>
    </w:lvl>
    <w:lvl w:ilvl="8" w:tentative="0">
      <w:start w:val="0"/>
      <w:numFmt w:val="bullet"/>
      <w:lvlText w:val="•"/>
      <w:lvlJc w:val="left"/>
      <w:pPr>
        <w:ind w:left="8052" w:hanging="601"/>
      </w:pPr>
      <w:rPr>
        <w:rFonts w:hint="default"/>
        <w:lang w:val="zh-CN" w:eastAsia="zh-CN" w:bidi="zh-CN"/>
      </w:rPr>
    </w:lvl>
  </w:abstractNum>
  <w:abstractNum w:abstractNumId="82">
    <w:nsid w:val="35E83B33"/>
    <w:multiLevelType w:val="multilevel"/>
    <w:tmpl w:val="35E83B33"/>
    <w:lvl w:ilvl="0" w:tentative="0">
      <w:start w:val="1"/>
      <w:numFmt w:val="decimal"/>
      <w:lvlText w:val="（%1）"/>
      <w:lvlJc w:val="left"/>
      <w:pPr>
        <w:ind w:left="1297"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62" w:hanging="601"/>
      </w:pPr>
      <w:rPr>
        <w:rFonts w:hint="default"/>
        <w:lang w:val="zh-CN" w:eastAsia="zh-CN" w:bidi="zh-CN"/>
      </w:rPr>
    </w:lvl>
    <w:lvl w:ilvl="2" w:tentative="0">
      <w:start w:val="0"/>
      <w:numFmt w:val="bullet"/>
      <w:lvlText w:val="•"/>
      <w:lvlJc w:val="left"/>
      <w:pPr>
        <w:ind w:left="3025" w:hanging="601"/>
      </w:pPr>
      <w:rPr>
        <w:rFonts w:hint="default"/>
        <w:lang w:val="zh-CN" w:eastAsia="zh-CN" w:bidi="zh-CN"/>
      </w:rPr>
    </w:lvl>
    <w:lvl w:ilvl="3" w:tentative="0">
      <w:start w:val="0"/>
      <w:numFmt w:val="bullet"/>
      <w:lvlText w:val="•"/>
      <w:lvlJc w:val="left"/>
      <w:pPr>
        <w:ind w:left="3887" w:hanging="601"/>
      </w:pPr>
      <w:rPr>
        <w:rFonts w:hint="default"/>
        <w:lang w:val="zh-CN" w:eastAsia="zh-CN" w:bidi="zh-CN"/>
      </w:rPr>
    </w:lvl>
    <w:lvl w:ilvl="4" w:tentative="0">
      <w:start w:val="0"/>
      <w:numFmt w:val="bullet"/>
      <w:lvlText w:val="•"/>
      <w:lvlJc w:val="left"/>
      <w:pPr>
        <w:ind w:left="4750" w:hanging="601"/>
      </w:pPr>
      <w:rPr>
        <w:rFonts w:hint="default"/>
        <w:lang w:val="zh-CN" w:eastAsia="zh-CN" w:bidi="zh-CN"/>
      </w:rPr>
    </w:lvl>
    <w:lvl w:ilvl="5" w:tentative="0">
      <w:start w:val="0"/>
      <w:numFmt w:val="bullet"/>
      <w:lvlText w:val="•"/>
      <w:lvlJc w:val="left"/>
      <w:pPr>
        <w:ind w:left="5613" w:hanging="601"/>
      </w:pPr>
      <w:rPr>
        <w:rFonts w:hint="default"/>
        <w:lang w:val="zh-CN" w:eastAsia="zh-CN" w:bidi="zh-CN"/>
      </w:rPr>
    </w:lvl>
    <w:lvl w:ilvl="6" w:tentative="0">
      <w:start w:val="0"/>
      <w:numFmt w:val="bullet"/>
      <w:lvlText w:val="•"/>
      <w:lvlJc w:val="left"/>
      <w:pPr>
        <w:ind w:left="6475" w:hanging="601"/>
      </w:pPr>
      <w:rPr>
        <w:rFonts w:hint="default"/>
        <w:lang w:val="zh-CN" w:eastAsia="zh-CN" w:bidi="zh-CN"/>
      </w:rPr>
    </w:lvl>
    <w:lvl w:ilvl="7" w:tentative="0">
      <w:start w:val="0"/>
      <w:numFmt w:val="bullet"/>
      <w:lvlText w:val="•"/>
      <w:lvlJc w:val="left"/>
      <w:pPr>
        <w:ind w:left="7338" w:hanging="601"/>
      </w:pPr>
      <w:rPr>
        <w:rFonts w:hint="default"/>
        <w:lang w:val="zh-CN" w:eastAsia="zh-CN" w:bidi="zh-CN"/>
      </w:rPr>
    </w:lvl>
    <w:lvl w:ilvl="8" w:tentative="0">
      <w:start w:val="0"/>
      <w:numFmt w:val="bullet"/>
      <w:lvlText w:val="•"/>
      <w:lvlJc w:val="left"/>
      <w:pPr>
        <w:ind w:left="8200" w:hanging="601"/>
      </w:pPr>
      <w:rPr>
        <w:rFonts w:hint="default"/>
        <w:lang w:val="zh-CN" w:eastAsia="zh-CN" w:bidi="zh-CN"/>
      </w:rPr>
    </w:lvl>
  </w:abstractNum>
  <w:abstractNum w:abstractNumId="83">
    <w:nsid w:val="39A0D9AC"/>
    <w:multiLevelType w:val="multilevel"/>
    <w:tmpl w:val="39A0D9AC"/>
    <w:lvl w:ilvl="0" w:tentative="0">
      <w:start w:val="1"/>
      <w:numFmt w:val="decimal"/>
      <w:lvlText w:val="（%1）"/>
      <w:lvlJc w:val="left"/>
      <w:pPr>
        <w:ind w:left="21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950" w:hanging="601"/>
      </w:pPr>
      <w:rPr>
        <w:rFonts w:hint="default"/>
        <w:lang w:val="zh-CN" w:eastAsia="zh-CN" w:bidi="zh-CN"/>
      </w:rPr>
    </w:lvl>
    <w:lvl w:ilvl="2" w:tentative="0">
      <w:start w:val="0"/>
      <w:numFmt w:val="bullet"/>
      <w:lvlText w:val="•"/>
      <w:lvlJc w:val="left"/>
      <w:pPr>
        <w:ind w:left="3781" w:hanging="601"/>
      </w:pPr>
      <w:rPr>
        <w:rFonts w:hint="default"/>
        <w:lang w:val="zh-CN" w:eastAsia="zh-CN" w:bidi="zh-CN"/>
      </w:rPr>
    </w:lvl>
    <w:lvl w:ilvl="3" w:tentative="0">
      <w:start w:val="0"/>
      <w:numFmt w:val="bullet"/>
      <w:lvlText w:val="•"/>
      <w:lvlJc w:val="left"/>
      <w:pPr>
        <w:ind w:left="4611" w:hanging="601"/>
      </w:pPr>
      <w:rPr>
        <w:rFonts w:hint="default"/>
        <w:lang w:val="zh-CN" w:eastAsia="zh-CN" w:bidi="zh-CN"/>
      </w:rPr>
    </w:lvl>
    <w:lvl w:ilvl="4" w:tentative="0">
      <w:start w:val="0"/>
      <w:numFmt w:val="bullet"/>
      <w:lvlText w:val="•"/>
      <w:lvlJc w:val="left"/>
      <w:pPr>
        <w:ind w:left="5442" w:hanging="601"/>
      </w:pPr>
      <w:rPr>
        <w:rFonts w:hint="default"/>
        <w:lang w:val="zh-CN" w:eastAsia="zh-CN" w:bidi="zh-CN"/>
      </w:rPr>
    </w:lvl>
    <w:lvl w:ilvl="5" w:tentative="0">
      <w:start w:val="0"/>
      <w:numFmt w:val="bullet"/>
      <w:lvlText w:val="•"/>
      <w:lvlJc w:val="left"/>
      <w:pPr>
        <w:ind w:left="6273" w:hanging="601"/>
      </w:pPr>
      <w:rPr>
        <w:rFonts w:hint="default"/>
        <w:lang w:val="zh-CN" w:eastAsia="zh-CN" w:bidi="zh-CN"/>
      </w:rPr>
    </w:lvl>
    <w:lvl w:ilvl="6" w:tentative="0">
      <w:start w:val="0"/>
      <w:numFmt w:val="bullet"/>
      <w:lvlText w:val="•"/>
      <w:lvlJc w:val="left"/>
      <w:pPr>
        <w:ind w:left="7103" w:hanging="601"/>
      </w:pPr>
      <w:rPr>
        <w:rFonts w:hint="default"/>
        <w:lang w:val="zh-CN" w:eastAsia="zh-CN" w:bidi="zh-CN"/>
      </w:rPr>
    </w:lvl>
    <w:lvl w:ilvl="7" w:tentative="0">
      <w:start w:val="0"/>
      <w:numFmt w:val="bullet"/>
      <w:lvlText w:val="•"/>
      <w:lvlJc w:val="left"/>
      <w:pPr>
        <w:ind w:left="7934" w:hanging="601"/>
      </w:pPr>
      <w:rPr>
        <w:rFonts w:hint="default"/>
        <w:lang w:val="zh-CN" w:eastAsia="zh-CN" w:bidi="zh-CN"/>
      </w:rPr>
    </w:lvl>
    <w:lvl w:ilvl="8" w:tentative="0">
      <w:start w:val="0"/>
      <w:numFmt w:val="bullet"/>
      <w:lvlText w:val="•"/>
      <w:lvlJc w:val="left"/>
      <w:pPr>
        <w:ind w:left="8764" w:hanging="601"/>
      </w:pPr>
      <w:rPr>
        <w:rFonts w:hint="default"/>
        <w:lang w:val="zh-CN" w:eastAsia="zh-CN" w:bidi="zh-CN"/>
      </w:rPr>
    </w:lvl>
  </w:abstractNum>
  <w:abstractNum w:abstractNumId="84">
    <w:nsid w:val="3B8127DF"/>
    <w:multiLevelType w:val="multilevel"/>
    <w:tmpl w:val="3B8127DF"/>
    <w:lvl w:ilvl="0" w:tentative="0">
      <w:start w:val="1"/>
      <w:numFmt w:val="decimal"/>
      <w:lvlText w:val="（%1）"/>
      <w:lvlJc w:val="left"/>
      <w:pPr>
        <w:ind w:left="216" w:hanging="601"/>
        <w:jc w:val="left"/>
      </w:pPr>
      <w:rPr>
        <w:rFonts w:hint="default" w:ascii="宋体" w:hAnsi="宋体" w:eastAsia="宋体" w:cs="宋体"/>
        <w:spacing w:val="-27"/>
        <w:w w:val="100"/>
        <w:sz w:val="22"/>
        <w:szCs w:val="22"/>
        <w:lang w:val="zh-CN" w:eastAsia="zh-CN" w:bidi="zh-CN"/>
      </w:rPr>
    </w:lvl>
    <w:lvl w:ilvl="1" w:tentative="0">
      <w:start w:val="0"/>
      <w:numFmt w:val="bullet"/>
      <w:lvlText w:val="•"/>
      <w:lvlJc w:val="left"/>
      <w:pPr>
        <w:ind w:left="1190" w:hanging="601"/>
      </w:pPr>
      <w:rPr>
        <w:rFonts w:hint="default"/>
        <w:lang w:val="zh-CN" w:eastAsia="zh-CN" w:bidi="zh-CN"/>
      </w:rPr>
    </w:lvl>
    <w:lvl w:ilvl="2" w:tentative="0">
      <w:start w:val="0"/>
      <w:numFmt w:val="bullet"/>
      <w:lvlText w:val="•"/>
      <w:lvlJc w:val="left"/>
      <w:pPr>
        <w:ind w:left="2161" w:hanging="601"/>
      </w:pPr>
      <w:rPr>
        <w:rFonts w:hint="default"/>
        <w:lang w:val="zh-CN" w:eastAsia="zh-CN" w:bidi="zh-CN"/>
      </w:rPr>
    </w:lvl>
    <w:lvl w:ilvl="3" w:tentative="0">
      <w:start w:val="0"/>
      <w:numFmt w:val="bullet"/>
      <w:lvlText w:val="•"/>
      <w:lvlJc w:val="left"/>
      <w:pPr>
        <w:ind w:left="3131" w:hanging="601"/>
      </w:pPr>
      <w:rPr>
        <w:rFonts w:hint="default"/>
        <w:lang w:val="zh-CN" w:eastAsia="zh-CN" w:bidi="zh-CN"/>
      </w:rPr>
    </w:lvl>
    <w:lvl w:ilvl="4" w:tentative="0">
      <w:start w:val="0"/>
      <w:numFmt w:val="bullet"/>
      <w:lvlText w:val="•"/>
      <w:lvlJc w:val="left"/>
      <w:pPr>
        <w:ind w:left="4102" w:hanging="601"/>
      </w:pPr>
      <w:rPr>
        <w:rFonts w:hint="default"/>
        <w:lang w:val="zh-CN" w:eastAsia="zh-CN" w:bidi="zh-CN"/>
      </w:rPr>
    </w:lvl>
    <w:lvl w:ilvl="5" w:tentative="0">
      <w:start w:val="0"/>
      <w:numFmt w:val="bullet"/>
      <w:lvlText w:val="•"/>
      <w:lvlJc w:val="left"/>
      <w:pPr>
        <w:ind w:left="5073" w:hanging="601"/>
      </w:pPr>
      <w:rPr>
        <w:rFonts w:hint="default"/>
        <w:lang w:val="zh-CN" w:eastAsia="zh-CN" w:bidi="zh-CN"/>
      </w:rPr>
    </w:lvl>
    <w:lvl w:ilvl="6" w:tentative="0">
      <w:start w:val="0"/>
      <w:numFmt w:val="bullet"/>
      <w:lvlText w:val="•"/>
      <w:lvlJc w:val="left"/>
      <w:pPr>
        <w:ind w:left="6043" w:hanging="601"/>
      </w:pPr>
      <w:rPr>
        <w:rFonts w:hint="default"/>
        <w:lang w:val="zh-CN" w:eastAsia="zh-CN" w:bidi="zh-CN"/>
      </w:rPr>
    </w:lvl>
    <w:lvl w:ilvl="7" w:tentative="0">
      <w:start w:val="0"/>
      <w:numFmt w:val="bullet"/>
      <w:lvlText w:val="•"/>
      <w:lvlJc w:val="left"/>
      <w:pPr>
        <w:ind w:left="7014" w:hanging="601"/>
      </w:pPr>
      <w:rPr>
        <w:rFonts w:hint="default"/>
        <w:lang w:val="zh-CN" w:eastAsia="zh-CN" w:bidi="zh-CN"/>
      </w:rPr>
    </w:lvl>
    <w:lvl w:ilvl="8" w:tentative="0">
      <w:start w:val="0"/>
      <w:numFmt w:val="bullet"/>
      <w:lvlText w:val="•"/>
      <w:lvlJc w:val="left"/>
      <w:pPr>
        <w:ind w:left="7984" w:hanging="601"/>
      </w:pPr>
      <w:rPr>
        <w:rFonts w:hint="default"/>
        <w:lang w:val="zh-CN" w:eastAsia="zh-CN" w:bidi="zh-CN"/>
      </w:rPr>
    </w:lvl>
  </w:abstractNum>
  <w:abstractNum w:abstractNumId="85">
    <w:nsid w:val="40B249F9"/>
    <w:multiLevelType w:val="multilevel"/>
    <w:tmpl w:val="40B249F9"/>
    <w:lvl w:ilvl="0" w:tentative="0">
      <w:start w:val="7"/>
      <w:numFmt w:val="decimal"/>
      <w:lvlText w:val="%1"/>
      <w:lvlJc w:val="left"/>
      <w:pPr>
        <w:ind w:left="667" w:hanging="452"/>
        <w:jc w:val="left"/>
      </w:pPr>
      <w:rPr>
        <w:rFonts w:hint="default"/>
        <w:lang w:val="zh-CN" w:eastAsia="zh-CN" w:bidi="zh-CN"/>
      </w:rPr>
    </w:lvl>
    <w:lvl w:ilvl="1" w:tentative="0">
      <w:start w:val="1"/>
      <w:numFmt w:val="decimal"/>
      <w:lvlText w:val="%1.%2"/>
      <w:lvlJc w:val="left"/>
      <w:pPr>
        <w:ind w:left="667" w:hanging="452"/>
        <w:jc w:val="left"/>
      </w:pPr>
      <w:rPr>
        <w:rFonts w:hint="default"/>
        <w:b/>
        <w:bCs/>
        <w:spacing w:val="-1"/>
        <w:w w:val="99"/>
        <w:lang w:val="zh-CN" w:eastAsia="zh-CN" w:bidi="zh-CN"/>
      </w:rPr>
    </w:lvl>
    <w:lvl w:ilvl="2" w:tentative="0">
      <w:start w:val="1"/>
      <w:numFmt w:val="decimal"/>
      <w:lvlText w:val="%1.%2.%3"/>
      <w:lvlJc w:val="left"/>
      <w:pPr>
        <w:ind w:left="847" w:hanging="632"/>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1.%2.%3.%4"/>
      <w:lvlJc w:val="left"/>
      <w:pPr>
        <w:ind w:left="936" w:hanging="720"/>
        <w:jc w:val="left"/>
      </w:pPr>
      <w:rPr>
        <w:rFonts w:hint="default" w:ascii="Times New Roman" w:hAnsi="Times New Roman" w:eastAsia="Times New Roman" w:cs="Times New Roman"/>
        <w:b/>
        <w:bCs/>
        <w:w w:val="99"/>
        <w:sz w:val="24"/>
        <w:szCs w:val="24"/>
        <w:lang w:val="zh-CN" w:eastAsia="zh-CN" w:bidi="zh-CN"/>
      </w:rPr>
    </w:lvl>
    <w:lvl w:ilvl="4" w:tentative="0">
      <w:start w:val="0"/>
      <w:numFmt w:val="bullet"/>
      <w:lvlText w:val="•"/>
      <w:lvlJc w:val="left"/>
      <w:pPr>
        <w:ind w:left="1000" w:hanging="720"/>
      </w:pPr>
      <w:rPr>
        <w:rFonts w:hint="default"/>
        <w:lang w:val="zh-CN" w:eastAsia="zh-CN" w:bidi="zh-CN"/>
      </w:rPr>
    </w:lvl>
    <w:lvl w:ilvl="5" w:tentative="0">
      <w:start w:val="0"/>
      <w:numFmt w:val="bullet"/>
      <w:lvlText w:val="•"/>
      <w:lvlJc w:val="left"/>
      <w:pPr>
        <w:ind w:left="1151" w:hanging="720"/>
      </w:pPr>
      <w:rPr>
        <w:rFonts w:hint="default"/>
        <w:lang w:val="zh-CN" w:eastAsia="zh-CN" w:bidi="zh-CN"/>
      </w:rPr>
    </w:lvl>
    <w:lvl w:ilvl="6" w:tentative="0">
      <w:start w:val="0"/>
      <w:numFmt w:val="bullet"/>
      <w:lvlText w:val="•"/>
      <w:lvlJc w:val="left"/>
      <w:pPr>
        <w:ind w:left="1303" w:hanging="720"/>
      </w:pPr>
      <w:rPr>
        <w:rFonts w:hint="default"/>
        <w:lang w:val="zh-CN" w:eastAsia="zh-CN" w:bidi="zh-CN"/>
      </w:rPr>
    </w:lvl>
    <w:lvl w:ilvl="7" w:tentative="0">
      <w:start w:val="0"/>
      <w:numFmt w:val="bullet"/>
      <w:lvlText w:val="•"/>
      <w:lvlJc w:val="left"/>
      <w:pPr>
        <w:ind w:left="1454" w:hanging="720"/>
      </w:pPr>
      <w:rPr>
        <w:rFonts w:hint="default"/>
        <w:lang w:val="zh-CN" w:eastAsia="zh-CN" w:bidi="zh-CN"/>
      </w:rPr>
    </w:lvl>
    <w:lvl w:ilvl="8" w:tentative="0">
      <w:start w:val="0"/>
      <w:numFmt w:val="bullet"/>
      <w:lvlText w:val="•"/>
      <w:lvlJc w:val="left"/>
      <w:pPr>
        <w:ind w:left="1606" w:hanging="720"/>
      </w:pPr>
      <w:rPr>
        <w:rFonts w:hint="default"/>
        <w:lang w:val="zh-CN" w:eastAsia="zh-CN" w:bidi="zh-CN"/>
      </w:rPr>
    </w:lvl>
  </w:abstractNum>
  <w:abstractNum w:abstractNumId="86">
    <w:nsid w:val="46A08BB8"/>
    <w:multiLevelType w:val="multilevel"/>
    <w:tmpl w:val="46A08BB8"/>
    <w:lvl w:ilvl="0" w:tentative="0">
      <w:start w:val="1"/>
      <w:numFmt w:val="decimal"/>
      <w:lvlText w:val="（%1）"/>
      <w:lvlJc w:val="left"/>
      <w:pPr>
        <w:ind w:left="1040" w:hanging="601"/>
        <w:jc w:val="left"/>
      </w:pPr>
      <w:rPr>
        <w:rFonts w:hint="default" w:ascii="宋体" w:hAnsi="宋体" w:eastAsia="宋体" w:cs="宋体"/>
        <w:spacing w:val="-24"/>
        <w:w w:val="100"/>
        <w:sz w:val="22"/>
        <w:szCs w:val="22"/>
        <w:lang w:val="zh-CN" w:eastAsia="zh-CN" w:bidi="zh-CN"/>
      </w:rPr>
    </w:lvl>
    <w:lvl w:ilvl="1" w:tentative="0">
      <w:start w:val="0"/>
      <w:numFmt w:val="bullet"/>
      <w:lvlText w:val="•"/>
      <w:lvlJc w:val="left"/>
      <w:pPr>
        <w:ind w:left="1978" w:hanging="601"/>
      </w:pPr>
      <w:rPr>
        <w:rFonts w:hint="default"/>
        <w:lang w:val="zh-CN" w:eastAsia="zh-CN" w:bidi="zh-CN"/>
      </w:rPr>
    </w:lvl>
    <w:lvl w:ilvl="2" w:tentative="0">
      <w:start w:val="0"/>
      <w:numFmt w:val="bullet"/>
      <w:lvlText w:val="•"/>
      <w:lvlJc w:val="left"/>
      <w:pPr>
        <w:ind w:left="2917" w:hanging="601"/>
      </w:pPr>
      <w:rPr>
        <w:rFonts w:hint="default"/>
        <w:lang w:val="zh-CN" w:eastAsia="zh-CN" w:bidi="zh-CN"/>
      </w:rPr>
    </w:lvl>
    <w:lvl w:ilvl="3" w:tentative="0">
      <w:start w:val="0"/>
      <w:numFmt w:val="bullet"/>
      <w:lvlText w:val="•"/>
      <w:lvlJc w:val="left"/>
      <w:pPr>
        <w:ind w:left="3855" w:hanging="601"/>
      </w:pPr>
      <w:rPr>
        <w:rFonts w:hint="default"/>
        <w:lang w:val="zh-CN" w:eastAsia="zh-CN" w:bidi="zh-CN"/>
      </w:rPr>
    </w:lvl>
    <w:lvl w:ilvl="4" w:tentative="0">
      <w:start w:val="0"/>
      <w:numFmt w:val="bullet"/>
      <w:lvlText w:val="•"/>
      <w:lvlJc w:val="left"/>
      <w:pPr>
        <w:ind w:left="4794" w:hanging="601"/>
      </w:pPr>
      <w:rPr>
        <w:rFonts w:hint="default"/>
        <w:lang w:val="zh-CN" w:eastAsia="zh-CN" w:bidi="zh-CN"/>
      </w:rPr>
    </w:lvl>
    <w:lvl w:ilvl="5" w:tentative="0">
      <w:start w:val="0"/>
      <w:numFmt w:val="bullet"/>
      <w:lvlText w:val="•"/>
      <w:lvlJc w:val="left"/>
      <w:pPr>
        <w:ind w:left="5733" w:hanging="601"/>
      </w:pPr>
      <w:rPr>
        <w:rFonts w:hint="default"/>
        <w:lang w:val="zh-CN" w:eastAsia="zh-CN" w:bidi="zh-CN"/>
      </w:rPr>
    </w:lvl>
    <w:lvl w:ilvl="6" w:tentative="0">
      <w:start w:val="0"/>
      <w:numFmt w:val="bullet"/>
      <w:lvlText w:val="•"/>
      <w:lvlJc w:val="left"/>
      <w:pPr>
        <w:ind w:left="6671" w:hanging="601"/>
      </w:pPr>
      <w:rPr>
        <w:rFonts w:hint="default"/>
        <w:lang w:val="zh-CN" w:eastAsia="zh-CN" w:bidi="zh-CN"/>
      </w:rPr>
    </w:lvl>
    <w:lvl w:ilvl="7" w:tentative="0">
      <w:start w:val="0"/>
      <w:numFmt w:val="bullet"/>
      <w:lvlText w:val="•"/>
      <w:lvlJc w:val="left"/>
      <w:pPr>
        <w:ind w:left="7610" w:hanging="601"/>
      </w:pPr>
      <w:rPr>
        <w:rFonts w:hint="default"/>
        <w:lang w:val="zh-CN" w:eastAsia="zh-CN" w:bidi="zh-CN"/>
      </w:rPr>
    </w:lvl>
    <w:lvl w:ilvl="8" w:tentative="0">
      <w:start w:val="0"/>
      <w:numFmt w:val="bullet"/>
      <w:lvlText w:val="•"/>
      <w:lvlJc w:val="left"/>
      <w:pPr>
        <w:ind w:left="8548" w:hanging="601"/>
      </w:pPr>
      <w:rPr>
        <w:rFonts w:hint="default"/>
        <w:lang w:val="zh-CN" w:eastAsia="zh-CN" w:bidi="zh-CN"/>
      </w:rPr>
    </w:lvl>
  </w:abstractNum>
  <w:abstractNum w:abstractNumId="87">
    <w:nsid w:val="4A51D704"/>
    <w:multiLevelType w:val="multilevel"/>
    <w:tmpl w:val="4A51D704"/>
    <w:lvl w:ilvl="0" w:tentative="0">
      <w:start w:val="14"/>
      <w:numFmt w:val="decimal"/>
      <w:lvlText w:val="%1"/>
      <w:lvlJc w:val="left"/>
      <w:pPr>
        <w:ind w:left="852" w:hanging="632"/>
        <w:jc w:val="left"/>
      </w:pPr>
      <w:rPr>
        <w:rFonts w:hint="default"/>
        <w:lang w:val="zh-CN" w:eastAsia="zh-CN" w:bidi="zh-CN"/>
      </w:rPr>
    </w:lvl>
    <w:lvl w:ilvl="1" w:tentative="0">
      <w:start w:val="1"/>
      <w:numFmt w:val="decimal"/>
      <w:lvlText w:val="%1.%2"/>
      <w:lvlJc w:val="left"/>
      <w:pPr>
        <w:ind w:left="852" w:hanging="632"/>
        <w:jc w:val="left"/>
      </w:pPr>
      <w:rPr>
        <w:rFonts w:hint="default"/>
        <w:b/>
        <w:bCs/>
        <w:spacing w:val="-2"/>
        <w:w w:val="100"/>
        <w:lang w:val="zh-CN" w:eastAsia="zh-CN" w:bidi="zh-CN"/>
      </w:rPr>
    </w:lvl>
    <w:lvl w:ilvl="2" w:tentative="0">
      <w:start w:val="1"/>
      <w:numFmt w:val="decimal"/>
      <w:lvlText w:val="%1.%2.%3"/>
      <w:lvlJc w:val="left"/>
      <w:pPr>
        <w:ind w:left="1060" w:hanging="840"/>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301"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1609" w:hanging="601"/>
      </w:pPr>
      <w:rPr>
        <w:rFonts w:hint="default"/>
        <w:lang w:val="zh-CN" w:eastAsia="zh-CN" w:bidi="zh-CN"/>
      </w:rPr>
    </w:lvl>
    <w:lvl w:ilvl="5" w:tentative="0">
      <w:start w:val="0"/>
      <w:numFmt w:val="bullet"/>
      <w:lvlText w:val="•"/>
      <w:lvlJc w:val="left"/>
      <w:pPr>
        <w:ind w:left="1764" w:hanging="601"/>
      </w:pPr>
      <w:rPr>
        <w:rFonts w:hint="default"/>
        <w:lang w:val="zh-CN" w:eastAsia="zh-CN" w:bidi="zh-CN"/>
      </w:rPr>
    </w:lvl>
    <w:lvl w:ilvl="6" w:tentative="0">
      <w:start w:val="0"/>
      <w:numFmt w:val="bullet"/>
      <w:lvlText w:val="•"/>
      <w:lvlJc w:val="left"/>
      <w:pPr>
        <w:ind w:left="1919" w:hanging="601"/>
      </w:pPr>
      <w:rPr>
        <w:rFonts w:hint="default"/>
        <w:lang w:val="zh-CN" w:eastAsia="zh-CN" w:bidi="zh-CN"/>
      </w:rPr>
    </w:lvl>
    <w:lvl w:ilvl="7" w:tentative="0">
      <w:start w:val="0"/>
      <w:numFmt w:val="bullet"/>
      <w:lvlText w:val="•"/>
      <w:lvlJc w:val="left"/>
      <w:pPr>
        <w:ind w:left="2074" w:hanging="601"/>
      </w:pPr>
      <w:rPr>
        <w:rFonts w:hint="default"/>
        <w:lang w:val="zh-CN" w:eastAsia="zh-CN" w:bidi="zh-CN"/>
      </w:rPr>
    </w:lvl>
    <w:lvl w:ilvl="8" w:tentative="0">
      <w:start w:val="0"/>
      <w:numFmt w:val="bullet"/>
      <w:lvlText w:val="•"/>
      <w:lvlJc w:val="left"/>
      <w:pPr>
        <w:ind w:left="2229" w:hanging="601"/>
      </w:pPr>
      <w:rPr>
        <w:rFonts w:hint="default"/>
        <w:lang w:val="zh-CN" w:eastAsia="zh-CN" w:bidi="zh-CN"/>
      </w:rPr>
    </w:lvl>
  </w:abstractNum>
  <w:abstractNum w:abstractNumId="88">
    <w:nsid w:val="4C1BAE26"/>
    <w:multiLevelType w:val="multilevel"/>
    <w:tmpl w:val="4C1BAE26"/>
    <w:lvl w:ilvl="0" w:tentative="0">
      <w:start w:val="3"/>
      <w:numFmt w:val="decimal"/>
      <w:lvlText w:val="%1"/>
      <w:lvlJc w:val="left"/>
      <w:pPr>
        <w:ind w:left="1760" w:hanging="720"/>
        <w:jc w:val="left"/>
      </w:pPr>
      <w:rPr>
        <w:rFonts w:hint="default"/>
        <w:lang w:val="zh-CN" w:eastAsia="zh-CN" w:bidi="zh-CN"/>
      </w:rPr>
    </w:lvl>
    <w:lvl w:ilvl="1" w:tentative="0">
      <w:start w:val="3"/>
      <w:numFmt w:val="decimal"/>
      <w:lvlText w:val="%1.%2"/>
      <w:lvlJc w:val="left"/>
      <w:pPr>
        <w:ind w:left="1760" w:hanging="720"/>
        <w:jc w:val="left"/>
      </w:pPr>
      <w:rPr>
        <w:rFonts w:hint="default"/>
        <w:lang w:val="zh-CN" w:eastAsia="zh-CN" w:bidi="zh-CN"/>
      </w:rPr>
    </w:lvl>
    <w:lvl w:ilvl="2" w:tentative="0">
      <w:start w:val="2"/>
      <w:numFmt w:val="decimal"/>
      <w:lvlText w:val="%1.%2.%3"/>
      <w:lvlJc w:val="left"/>
      <w:pPr>
        <w:ind w:left="1760" w:hanging="720"/>
        <w:jc w:val="left"/>
      </w:pPr>
      <w:rPr>
        <w:rFonts w:hint="default"/>
        <w:lang w:val="zh-CN" w:eastAsia="zh-CN" w:bidi="zh-CN"/>
      </w:rPr>
    </w:lvl>
    <w:lvl w:ilvl="3" w:tentative="0">
      <w:start w:val="1"/>
      <w:numFmt w:val="decimal"/>
      <w:lvlText w:val="%1.%2.%3.%4"/>
      <w:lvlJc w:val="left"/>
      <w:pPr>
        <w:ind w:left="1760" w:hanging="720"/>
        <w:jc w:val="left"/>
      </w:pPr>
      <w:rPr>
        <w:rFonts w:hint="default" w:ascii="Times New Roman" w:hAnsi="Times New Roman" w:eastAsia="Times New Roman" w:cs="Times New Roman"/>
        <w:b/>
        <w:bCs/>
        <w:w w:val="99"/>
        <w:sz w:val="24"/>
        <w:szCs w:val="24"/>
        <w:lang w:val="zh-CN" w:eastAsia="zh-CN" w:bidi="zh-CN"/>
      </w:rPr>
    </w:lvl>
    <w:lvl w:ilvl="4" w:tentative="0">
      <w:start w:val="1"/>
      <w:numFmt w:val="decimal"/>
      <w:lvlText w:val="（%5）"/>
      <w:lvlJc w:val="left"/>
      <w:pPr>
        <w:ind w:left="2121" w:hanging="601"/>
        <w:jc w:val="left"/>
      </w:pPr>
      <w:rPr>
        <w:rFonts w:hint="default" w:ascii="宋体" w:hAnsi="宋体" w:eastAsia="宋体" w:cs="宋体"/>
        <w:w w:val="100"/>
        <w:sz w:val="22"/>
        <w:szCs w:val="22"/>
        <w:lang w:val="zh-CN" w:eastAsia="zh-CN" w:bidi="zh-CN"/>
      </w:rPr>
    </w:lvl>
    <w:lvl w:ilvl="5" w:tentative="0">
      <w:start w:val="0"/>
      <w:numFmt w:val="bullet"/>
      <w:lvlText w:val="•"/>
      <w:lvlJc w:val="left"/>
      <w:pPr>
        <w:ind w:left="5811" w:hanging="601"/>
      </w:pPr>
      <w:rPr>
        <w:rFonts w:hint="default"/>
        <w:lang w:val="zh-CN" w:eastAsia="zh-CN" w:bidi="zh-CN"/>
      </w:rPr>
    </w:lvl>
    <w:lvl w:ilvl="6" w:tentative="0">
      <w:start w:val="0"/>
      <w:numFmt w:val="bullet"/>
      <w:lvlText w:val="•"/>
      <w:lvlJc w:val="left"/>
      <w:pPr>
        <w:ind w:left="6734" w:hanging="601"/>
      </w:pPr>
      <w:rPr>
        <w:rFonts w:hint="default"/>
        <w:lang w:val="zh-CN" w:eastAsia="zh-CN" w:bidi="zh-CN"/>
      </w:rPr>
    </w:lvl>
    <w:lvl w:ilvl="7" w:tentative="0">
      <w:start w:val="0"/>
      <w:numFmt w:val="bullet"/>
      <w:lvlText w:val="•"/>
      <w:lvlJc w:val="left"/>
      <w:pPr>
        <w:ind w:left="7657" w:hanging="601"/>
      </w:pPr>
      <w:rPr>
        <w:rFonts w:hint="default"/>
        <w:lang w:val="zh-CN" w:eastAsia="zh-CN" w:bidi="zh-CN"/>
      </w:rPr>
    </w:lvl>
    <w:lvl w:ilvl="8" w:tentative="0">
      <w:start w:val="0"/>
      <w:numFmt w:val="bullet"/>
      <w:lvlText w:val="•"/>
      <w:lvlJc w:val="left"/>
      <w:pPr>
        <w:ind w:left="8580" w:hanging="601"/>
      </w:pPr>
      <w:rPr>
        <w:rFonts w:hint="default"/>
        <w:lang w:val="zh-CN" w:eastAsia="zh-CN" w:bidi="zh-CN"/>
      </w:rPr>
    </w:lvl>
  </w:abstractNum>
  <w:abstractNum w:abstractNumId="89">
    <w:nsid w:val="4C3D7A74"/>
    <w:multiLevelType w:val="multilevel"/>
    <w:tmpl w:val="4C3D7A74"/>
    <w:lvl w:ilvl="0" w:tentative="0">
      <w:start w:val="1"/>
      <w:numFmt w:val="decimal"/>
      <w:lvlText w:val="%1."/>
      <w:lvlJc w:val="left"/>
      <w:pPr>
        <w:ind w:left="267" w:hanging="159"/>
        <w:jc w:val="left"/>
      </w:pPr>
      <w:rPr>
        <w:rFonts w:hint="default" w:ascii="Times New Roman" w:hAnsi="Times New Roman" w:eastAsia="Times New Roman" w:cs="Times New Roman"/>
        <w:spacing w:val="-2"/>
        <w:w w:val="99"/>
        <w:sz w:val="19"/>
        <w:szCs w:val="19"/>
        <w:lang w:val="zh-CN" w:eastAsia="zh-CN" w:bidi="zh-CN"/>
      </w:rPr>
    </w:lvl>
    <w:lvl w:ilvl="1" w:tentative="0">
      <w:start w:val="0"/>
      <w:numFmt w:val="bullet"/>
      <w:lvlText w:val="•"/>
      <w:lvlJc w:val="left"/>
      <w:pPr>
        <w:ind w:left="875" w:hanging="159"/>
      </w:pPr>
      <w:rPr>
        <w:rFonts w:hint="default"/>
        <w:lang w:val="zh-CN" w:eastAsia="zh-CN" w:bidi="zh-CN"/>
      </w:rPr>
    </w:lvl>
    <w:lvl w:ilvl="2" w:tentative="0">
      <w:start w:val="0"/>
      <w:numFmt w:val="bullet"/>
      <w:lvlText w:val="•"/>
      <w:lvlJc w:val="left"/>
      <w:pPr>
        <w:ind w:left="1490" w:hanging="159"/>
      </w:pPr>
      <w:rPr>
        <w:rFonts w:hint="default"/>
        <w:lang w:val="zh-CN" w:eastAsia="zh-CN" w:bidi="zh-CN"/>
      </w:rPr>
    </w:lvl>
    <w:lvl w:ilvl="3" w:tentative="0">
      <w:start w:val="0"/>
      <w:numFmt w:val="bullet"/>
      <w:lvlText w:val="•"/>
      <w:lvlJc w:val="left"/>
      <w:pPr>
        <w:ind w:left="2105" w:hanging="159"/>
      </w:pPr>
      <w:rPr>
        <w:rFonts w:hint="default"/>
        <w:lang w:val="zh-CN" w:eastAsia="zh-CN" w:bidi="zh-CN"/>
      </w:rPr>
    </w:lvl>
    <w:lvl w:ilvl="4" w:tentative="0">
      <w:start w:val="0"/>
      <w:numFmt w:val="bullet"/>
      <w:lvlText w:val="•"/>
      <w:lvlJc w:val="left"/>
      <w:pPr>
        <w:ind w:left="2720" w:hanging="159"/>
      </w:pPr>
      <w:rPr>
        <w:rFonts w:hint="default"/>
        <w:lang w:val="zh-CN" w:eastAsia="zh-CN" w:bidi="zh-CN"/>
      </w:rPr>
    </w:lvl>
    <w:lvl w:ilvl="5" w:tentative="0">
      <w:start w:val="0"/>
      <w:numFmt w:val="bullet"/>
      <w:lvlText w:val="•"/>
      <w:lvlJc w:val="left"/>
      <w:pPr>
        <w:ind w:left="3335" w:hanging="159"/>
      </w:pPr>
      <w:rPr>
        <w:rFonts w:hint="default"/>
        <w:lang w:val="zh-CN" w:eastAsia="zh-CN" w:bidi="zh-CN"/>
      </w:rPr>
    </w:lvl>
    <w:lvl w:ilvl="6" w:tentative="0">
      <w:start w:val="0"/>
      <w:numFmt w:val="bullet"/>
      <w:lvlText w:val="•"/>
      <w:lvlJc w:val="left"/>
      <w:pPr>
        <w:ind w:left="3950" w:hanging="159"/>
      </w:pPr>
      <w:rPr>
        <w:rFonts w:hint="default"/>
        <w:lang w:val="zh-CN" w:eastAsia="zh-CN" w:bidi="zh-CN"/>
      </w:rPr>
    </w:lvl>
    <w:lvl w:ilvl="7" w:tentative="0">
      <w:start w:val="0"/>
      <w:numFmt w:val="bullet"/>
      <w:lvlText w:val="•"/>
      <w:lvlJc w:val="left"/>
      <w:pPr>
        <w:ind w:left="4565" w:hanging="159"/>
      </w:pPr>
      <w:rPr>
        <w:rFonts w:hint="default"/>
        <w:lang w:val="zh-CN" w:eastAsia="zh-CN" w:bidi="zh-CN"/>
      </w:rPr>
    </w:lvl>
    <w:lvl w:ilvl="8" w:tentative="0">
      <w:start w:val="0"/>
      <w:numFmt w:val="bullet"/>
      <w:lvlText w:val="•"/>
      <w:lvlJc w:val="left"/>
      <w:pPr>
        <w:ind w:left="5180" w:hanging="159"/>
      </w:pPr>
      <w:rPr>
        <w:rFonts w:hint="default"/>
        <w:lang w:val="zh-CN" w:eastAsia="zh-CN" w:bidi="zh-CN"/>
      </w:rPr>
    </w:lvl>
  </w:abstractNum>
  <w:abstractNum w:abstractNumId="90">
    <w:nsid w:val="4CD1E351"/>
    <w:multiLevelType w:val="multilevel"/>
    <w:tmpl w:val="4CD1E351"/>
    <w:lvl w:ilvl="0" w:tentative="0">
      <w:start w:val="1"/>
      <w:numFmt w:val="decimal"/>
      <w:lvlText w:val="%1."/>
      <w:lvlJc w:val="left"/>
      <w:pPr>
        <w:ind w:left="270"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833" w:hanging="159"/>
      </w:pPr>
      <w:rPr>
        <w:rFonts w:hint="default"/>
        <w:lang w:val="zh-CN" w:eastAsia="zh-CN" w:bidi="zh-CN"/>
      </w:rPr>
    </w:lvl>
    <w:lvl w:ilvl="2" w:tentative="0">
      <w:start w:val="0"/>
      <w:numFmt w:val="bullet"/>
      <w:lvlText w:val="•"/>
      <w:lvlJc w:val="left"/>
      <w:pPr>
        <w:ind w:left="1387" w:hanging="159"/>
      </w:pPr>
      <w:rPr>
        <w:rFonts w:hint="default"/>
        <w:lang w:val="zh-CN" w:eastAsia="zh-CN" w:bidi="zh-CN"/>
      </w:rPr>
    </w:lvl>
    <w:lvl w:ilvl="3" w:tentative="0">
      <w:start w:val="0"/>
      <w:numFmt w:val="bullet"/>
      <w:lvlText w:val="•"/>
      <w:lvlJc w:val="left"/>
      <w:pPr>
        <w:ind w:left="1941" w:hanging="159"/>
      </w:pPr>
      <w:rPr>
        <w:rFonts w:hint="default"/>
        <w:lang w:val="zh-CN" w:eastAsia="zh-CN" w:bidi="zh-CN"/>
      </w:rPr>
    </w:lvl>
    <w:lvl w:ilvl="4" w:tentative="0">
      <w:start w:val="0"/>
      <w:numFmt w:val="bullet"/>
      <w:lvlText w:val="•"/>
      <w:lvlJc w:val="left"/>
      <w:pPr>
        <w:ind w:left="2494" w:hanging="159"/>
      </w:pPr>
      <w:rPr>
        <w:rFonts w:hint="default"/>
        <w:lang w:val="zh-CN" w:eastAsia="zh-CN" w:bidi="zh-CN"/>
      </w:rPr>
    </w:lvl>
    <w:lvl w:ilvl="5" w:tentative="0">
      <w:start w:val="0"/>
      <w:numFmt w:val="bullet"/>
      <w:lvlText w:val="•"/>
      <w:lvlJc w:val="left"/>
      <w:pPr>
        <w:ind w:left="3048" w:hanging="159"/>
      </w:pPr>
      <w:rPr>
        <w:rFonts w:hint="default"/>
        <w:lang w:val="zh-CN" w:eastAsia="zh-CN" w:bidi="zh-CN"/>
      </w:rPr>
    </w:lvl>
    <w:lvl w:ilvl="6" w:tentative="0">
      <w:start w:val="0"/>
      <w:numFmt w:val="bullet"/>
      <w:lvlText w:val="•"/>
      <w:lvlJc w:val="left"/>
      <w:pPr>
        <w:ind w:left="3602" w:hanging="159"/>
      </w:pPr>
      <w:rPr>
        <w:rFonts w:hint="default"/>
        <w:lang w:val="zh-CN" w:eastAsia="zh-CN" w:bidi="zh-CN"/>
      </w:rPr>
    </w:lvl>
    <w:lvl w:ilvl="7" w:tentative="0">
      <w:start w:val="0"/>
      <w:numFmt w:val="bullet"/>
      <w:lvlText w:val="•"/>
      <w:lvlJc w:val="left"/>
      <w:pPr>
        <w:ind w:left="4155" w:hanging="159"/>
      </w:pPr>
      <w:rPr>
        <w:rFonts w:hint="default"/>
        <w:lang w:val="zh-CN" w:eastAsia="zh-CN" w:bidi="zh-CN"/>
      </w:rPr>
    </w:lvl>
    <w:lvl w:ilvl="8" w:tentative="0">
      <w:start w:val="0"/>
      <w:numFmt w:val="bullet"/>
      <w:lvlText w:val="•"/>
      <w:lvlJc w:val="left"/>
      <w:pPr>
        <w:ind w:left="4709" w:hanging="159"/>
      </w:pPr>
      <w:rPr>
        <w:rFonts w:hint="default"/>
        <w:lang w:val="zh-CN" w:eastAsia="zh-CN" w:bidi="zh-CN"/>
      </w:rPr>
    </w:lvl>
  </w:abstractNum>
  <w:abstractNum w:abstractNumId="91">
    <w:nsid w:val="4D4DC07F"/>
    <w:multiLevelType w:val="multilevel"/>
    <w:tmpl w:val="4D4DC07F"/>
    <w:lvl w:ilvl="0" w:tentative="0">
      <w:start w:val="2"/>
      <w:numFmt w:val="decimal"/>
      <w:lvlText w:val="%1"/>
      <w:lvlJc w:val="left"/>
      <w:pPr>
        <w:ind w:left="1498" w:hanging="840"/>
        <w:jc w:val="left"/>
      </w:pPr>
      <w:rPr>
        <w:rFonts w:hint="default"/>
        <w:lang w:val="zh-CN" w:eastAsia="zh-CN" w:bidi="zh-CN"/>
      </w:rPr>
    </w:lvl>
    <w:lvl w:ilvl="1" w:tentative="0">
      <w:start w:val="4"/>
      <w:numFmt w:val="decimal"/>
      <w:lvlText w:val="%1.%2"/>
      <w:lvlJc w:val="left"/>
      <w:pPr>
        <w:ind w:left="1498" w:hanging="840"/>
        <w:jc w:val="left"/>
      </w:pPr>
      <w:rPr>
        <w:rFonts w:hint="default"/>
        <w:lang w:val="zh-CN" w:eastAsia="zh-CN" w:bidi="zh-CN"/>
      </w:rPr>
    </w:lvl>
    <w:lvl w:ilvl="2" w:tentative="0">
      <w:start w:val="5"/>
      <w:numFmt w:val="decimal"/>
      <w:lvlText w:val="%1.%2.%3"/>
      <w:lvlJc w:val="left"/>
      <w:pPr>
        <w:ind w:left="1498" w:hanging="840"/>
        <w:jc w:val="left"/>
      </w:pPr>
      <w:rPr>
        <w:rFonts w:hint="default"/>
        <w:lang w:val="zh-CN" w:eastAsia="zh-CN" w:bidi="zh-CN"/>
      </w:rPr>
    </w:lvl>
    <w:lvl w:ilvl="3" w:tentative="0">
      <w:start w:val="1"/>
      <w:numFmt w:val="decimal"/>
      <w:lvlText w:val="%1.%2.%3.%4"/>
      <w:lvlJc w:val="left"/>
      <w:pPr>
        <w:ind w:left="1498" w:hanging="840"/>
        <w:jc w:val="left"/>
      </w:pPr>
      <w:rPr>
        <w:rFonts w:hint="default" w:ascii="Times New Roman" w:hAnsi="Times New Roman" w:eastAsia="Times New Roman" w:cs="Times New Roman"/>
        <w:b/>
        <w:bCs/>
        <w:spacing w:val="-2"/>
        <w:w w:val="100"/>
        <w:sz w:val="28"/>
        <w:szCs w:val="28"/>
        <w:lang w:val="zh-CN" w:eastAsia="zh-CN" w:bidi="zh-CN"/>
      </w:rPr>
    </w:lvl>
    <w:lvl w:ilvl="4" w:tentative="0">
      <w:start w:val="0"/>
      <w:numFmt w:val="bullet"/>
      <w:lvlText w:val="•"/>
      <w:lvlJc w:val="left"/>
      <w:pPr>
        <w:ind w:left="5070" w:hanging="840"/>
      </w:pPr>
      <w:rPr>
        <w:rFonts w:hint="default"/>
        <w:lang w:val="zh-CN" w:eastAsia="zh-CN" w:bidi="zh-CN"/>
      </w:rPr>
    </w:lvl>
    <w:lvl w:ilvl="5" w:tentative="0">
      <w:start w:val="0"/>
      <w:numFmt w:val="bullet"/>
      <w:lvlText w:val="•"/>
      <w:lvlJc w:val="left"/>
      <w:pPr>
        <w:ind w:left="5963" w:hanging="840"/>
      </w:pPr>
      <w:rPr>
        <w:rFonts w:hint="default"/>
        <w:lang w:val="zh-CN" w:eastAsia="zh-CN" w:bidi="zh-CN"/>
      </w:rPr>
    </w:lvl>
    <w:lvl w:ilvl="6" w:tentative="0">
      <w:start w:val="0"/>
      <w:numFmt w:val="bullet"/>
      <w:lvlText w:val="•"/>
      <w:lvlJc w:val="left"/>
      <w:pPr>
        <w:ind w:left="6855" w:hanging="840"/>
      </w:pPr>
      <w:rPr>
        <w:rFonts w:hint="default"/>
        <w:lang w:val="zh-CN" w:eastAsia="zh-CN" w:bidi="zh-CN"/>
      </w:rPr>
    </w:lvl>
    <w:lvl w:ilvl="7" w:tentative="0">
      <w:start w:val="0"/>
      <w:numFmt w:val="bullet"/>
      <w:lvlText w:val="•"/>
      <w:lvlJc w:val="left"/>
      <w:pPr>
        <w:ind w:left="7748" w:hanging="840"/>
      </w:pPr>
      <w:rPr>
        <w:rFonts w:hint="default"/>
        <w:lang w:val="zh-CN" w:eastAsia="zh-CN" w:bidi="zh-CN"/>
      </w:rPr>
    </w:lvl>
    <w:lvl w:ilvl="8" w:tentative="0">
      <w:start w:val="0"/>
      <w:numFmt w:val="bullet"/>
      <w:lvlText w:val="•"/>
      <w:lvlJc w:val="left"/>
      <w:pPr>
        <w:ind w:left="8640" w:hanging="840"/>
      </w:pPr>
      <w:rPr>
        <w:rFonts w:hint="default"/>
        <w:lang w:val="zh-CN" w:eastAsia="zh-CN" w:bidi="zh-CN"/>
      </w:rPr>
    </w:lvl>
  </w:abstractNum>
  <w:abstractNum w:abstractNumId="92">
    <w:nsid w:val="4D94DA66"/>
    <w:multiLevelType w:val="multilevel"/>
    <w:tmpl w:val="4D94DA66"/>
    <w:lvl w:ilvl="0" w:tentative="0">
      <w:start w:val="4"/>
      <w:numFmt w:val="decimal"/>
      <w:lvlText w:val="%1"/>
      <w:lvlJc w:val="left"/>
      <w:pPr>
        <w:ind w:left="960" w:hanging="449"/>
        <w:jc w:val="left"/>
      </w:pPr>
      <w:rPr>
        <w:rFonts w:hint="default"/>
        <w:lang w:val="zh-CN" w:eastAsia="zh-CN" w:bidi="zh-CN"/>
      </w:rPr>
    </w:lvl>
    <w:lvl w:ilvl="1" w:tentative="0">
      <w:start w:val="1"/>
      <w:numFmt w:val="decimal"/>
      <w:lvlText w:val="%1.%2"/>
      <w:lvlJc w:val="left"/>
      <w:pPr>
        <w:ind w:left="960" w:hanging="449"/>
        <w:jc w:val="left"/>
      </w:pPr>
      <w:rPr>
        <w:rFonts w:hint="default" w:ascii="Times New Roman" w:hAnsi="Times New Roman" w:eastAsia="Times New Roman" w:cs="Times New Roman"/>
        <w:b/>
        <w:bCs/>
        <w:spacing w:val="-1"/>
        <w:w w:val="100"/>
        <w:sz w:val="30"/>
        <w:szCs w:val="30"/>
        <w:lang w:val="zh-CN" w:eastAsia="zh-CN" w:bidi="zh-CN"/>
      </w:rPr>
    </w:lvl>
    <w:lvl w:ilvl="2" w:tentative="0">
      <w:start w:val="1"/>
      <w:numFmt w:val="decimal"/>
      <w:lvlText w:val="%1.%2.%3"/>
      <w:lvlJc w:val="left"/>
      <w:pPr>
        <w:ind w:left="1140"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0"/>
      <w:numFmt w:val="bullet"/>
      <w:lvlText w:val="•"/>
      <w:lvlJc w:val="left"/>
      <w:pPr>
        <w:ind w:left="2985" w:hanging="629"/>
      </w:pPr>
      <w:rPr>
        <w:rFonts w:hint="default"/>
        <w:lang w:val="zh-CN" w:eastAsia="zh-CN" w:bidi="zh-CN"/>
      </w:rPr>
    </w:lvl>
    <w:lvl w:ilvl="4" w:tentative="0">
      <w:start w:val="0"/>
      <w:numFmt w:val="bullet"/>
      <w:lvlText w:val="•"/>
      <w:lvlJc w:val="left"/>
      <w:pPr>
        <w:ind w:left="3908" w:hanging="629"/>
      </w:pPr>
      <w:rPr>
        <w:rFonts w:hint="default"/>
        <w:lang w:val="zh-CN" w:eastAsia="zh-CN" w:bidi="zh-CN"/>
      </w:rPr>
    </w:lvl>
    <w:lvl w:ilvl="5" w:tentative="0">
      <w:start w:val="0"/>
      <w:numFmt w:val="bullet"/>
      <w:lvlText w:val="•"/>
      <w:lvlJc w:val="left"/>
      <w:pPr>
        <w:ind w:left="4831" w:hanging="629"/>
      </w:pPr>
      <w:rPr>
        <w:rFonts w:hint="default"/>
        <w:lang w:val="zh-CN" w:eastAsia="zh-CN" w:bidi="zh-CN"/>
      </w:rPr>
    </w:lvl>
    <w:lvl w:ilvl="6" w:tentative="0">
      <w:start w:val="0"/>
      <w:numFmt w:val="bullet"/>
      <w:lvlText w:val="•"/>
      <w:lvlJc w:val="left"/>
      <w:pPr>
        <w:ind w:left="5754" w:hanging="629"/>
      </w:pPr>
      <w:rPr>
        <w:rFonts w:hint="default"/>
        <w:lang w:val="zh-CN" w:eastAsia="zh-CN" w:bidi="zh-CN"/>
      </w:rPr>
    </w:lvl>
    <w:lvl w:ilvl="7" w:tentative="0">
      <w:start w:val="0"/>
      <w:numFmt w:val="bullet"/>
      <w:lvlText w:val="•"/>
      <w:lvlJc w:val="left"/>
      <w:pPr>
        <w:ind w:left="6677" w:hanging="629"/>
      </w:pPr>
      <w:rPr>
        <w:rFonts w:hint="default"/>
        <w:lang w:val="zh-CN" w:eastAsia="zh-CN" w:bidi="zh-CN"/>
      </w:rPr>
    </w:lvl>
    <w:lvl w:ilvl="8" w:tentative="0">
      <w:start w:val="0"/>
      <w:numFmt w:val="bullet"/>
      <w:lvlText w:val="•"/>
      <w:lvlJc w:val="left"/>
      <w:pPr>
        <w:ind w:left="7600" w:hanging="629"/>
      </w:pPr>
      <w:rPr>
        <w:rFonts w:hint="default"/>
        <w:lang w:val="zh-CN" w:eastAsia="zh-CN" w:bidi="zh-CN"/>
      </w:rPr>
    </w:lvl>
  </w:abstractNum>
  <w:abstractNum w:abstractNumId="93">
    <w:nsid w:val="58765686"/>
    <w:multiLevelType w:val="multilevel"/>
    <w:tmpl w:val="58765686"/>
    <w:lvl w:ilvl="0" w:tentative="0">
      <w:start w:val="2"/>
      <w:numFmt w:val="decimal"/>
      <w:lvlText w:val="（%1）"/>
      <w:lvlJc w:val="left"/>
      <w:pPr>
        <w:ind w:left="1595" w:hanging="601"/>
        <w:jc w:val="right"/>
      </w:pPr>
      <w:rPr>
        <w:rFonts w:hint="default" w:ascii="宋体" w:hAnsi="宋体" w:eastAsia="宋体" w:cs="宋体"/>
        <w:w w:val="100"/>
        <w:sz w:val="22"/>
        <w:szCs w:val="22"/>
        <w:lang w:val="zh-CN" w:eastAsia="zh-CN" w:bidi="zh-CN"/>
      </w:rPr>
    </w:lvl>
    <w:lvl w:ilvl="1" w:tentative="0">
      <w:start w:val="0"/>
      <w:numFmt w:val="bullet"/>
      <w:lvlText w:val="•"/>
      <w:lvlJc w:val="left"/>
      <w:pPr>
        <w:ind w:left="2384" w:hanging="601"/>
      </w:pPr>
      <w:rPr>
        <w:rFonts w:hint="default"/>
        <w:lang w:val="zh-CN" w:eastAsia="zh-CN" w:bidi="zh-CN"/>
      </w:rPr>
    </w:lvl>
    <w:lvl w:ilvl="2" w:tentative="0">
      <w:start w:val="0"/>
      <w:numFmt w:val="bullet"/>
      <w:lvlText w:val="•"/>
      <w:lvlJc w:val="left"/>
      <w:pPr>
        <w:ind w:left="3169" w:hanging="601"/>
      </w:pPr>
      <w:rPr>
        <w:rFonts w:hint="default"/>
        <w:lang w:val="zh-CN" w:eastAsia="zh-CN" w:bidi="zh-CN"/>
      </w:rPr>
    </w:lvl>
    <w:lvl w:ilvl="3" w:tentative="0">
      <w:start w:val="0"/>
      <w:numFmt w:val="bullet"/>
      <w:lvlText w:val="•"/>
      <w:lvlJc w:val="left"/>
      <w:pPr>
        <w:ind w:left="3953" w:hanging="601"/>
      </w:pPr>
      <w:rPr>
        <w:rFonts w:hint="default"/>
        <w:lang w:val="zh-CN" w:eastAsia="zh-CN" w:bidi="zh-CN"/>
      </w:rPr>
    </w:lvl>
    <w:lvl w:ilvl="4" w:tentative="0">
      <w:start w:val="0"/>
      <w:numFmt w:val="bullet"/>
      <w:lvlText w:val="•"/>
      <w:lvlJc w:val="left"/>
      <w:pPr>
        <w:ind w:left="4738"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7" w:hanging="601"/>
      </w:pPr>
      <w:rPr>
        <w:rFonts w:hint="default"/>
        <w:lang w:val="zh-CN" w:eastAsia="zh-CN" w:bidi="zh-CN"/>
      </w:rPr>
    </w:lvl>
    <w:lvl w:ilvl="7" w:tentative="0">
      <w:start w:val="0"/>
      <w:numFmt w:val="bullet"/>
      <w:lvlText w:val="•"/>
      <w:lvlJc w:val="left"/>
      <w:pPr>
        <w:ind w:left="7092" w:hanging="601"/>
      </w:pPr>
      <w:rPr>
        <w:rFonts w:hint="default"/>
        <w:lang w:val="zh-CN" w:eastAsia="zh-CN" w:bidi="zh-CN"/>
      </w:rPr>
    </w:lvl>
    <w:lvl w:ilvl="8" w:tentative="0">
      <w:start w:val="0"/>
      <w:numFmt w:val="bullet"/>
      <w:lvlText w:val="•"/>
      <w:lvlJc w:val="left"/>
      <w:pPr>
        <w:ind w:left="7876" w:hanging="601"/>
      </w:pPr>
      <w:rPr>
        <w:rFonts w:hint="default"/>
        <w:lang w:val="zh-CN" w:eastAsia="zh-CN" w:bidi="zh-CN"/>
      </w:rPr>
    </w:lvl>
  </w:abstractNum>
  <w:abstractNum w:abstractNumId="94">
    <w:nsid w:val="59ADCABA"/>
    <w:multiLevelType w:val="multilevel"/>
    <w:tmpl w:val="59ADCABA"/>
    <w:lvl w:ilvl="0" w:tentative="0">
      <w:start w:val="11"/>
      <w:numFmt w:val="decimal"/>
      <w:lvlText w:val="%1"/>
      <w:lvlJc w:val="left"/>
      <w:pPr>
        <w:ind w:left="1872" w:hanging="413"/>
        <w:jc w:val="left"/>
      </w:pPr>
      <w:rPr>
        <w:rFonts w:hint="default"/>
        <w:lang w:val="zh-CN" w:eastAsia="zh-CN" w:bidi="zh-CN"/>
      </w:rPr>
    </w:lvl>
    <w:lvl w:ilvl="1" w:tentative="0">
      <w:start w:val="2"/>
      <w:numFmt w:val="decimal"/>
      <w:lvlText w:val="%1.%2"/>
      <w:lvlJc w:val="left"/>
      <w:pPr>
        <w:ind w:left="1872" w:hanging="413"/>
        <w:jc w:val="left"/>
      </w:pPr>
      <w:rPr>
        <w:rFonts w:hint="default" w:ascii="Times New Roman" w:hAnsi="Times New Roman" w:eastAsia="Times New Roman" w:cs="Times New Roman"/>
        <w:spacing w:val="-4"/>
        <w:w w:val="99"/>
        <w:sz w:val="21"/>
        <w:szCs w:val="21"/>
        <w:lang w:val="zh-CN" w:eastAsia="zh-CN" w:bidi="zh-CN"/>
      </w:rPr>
    </w:lvl>
    <w:lvl w:ilvl="2" w:tentative="0">
      <w:start w:val="0"/>
      <w:numFmt w:val="bullet"/>
      <w:lvlText w:val="•"/>
      <w:lvlJc w:val="left"/>
      <w:pPr>
        <w:ind w:left="3589" w:hanging="413"/>
      </w:pPr>
      <w:rPr>
        <w:rFonts w:hint="default"/>
        <w:lang w:val="zh-CN" w:eastAsia="zh-CN" w:bidi="zh-CN"/>
      </w:rPr>
    </w:lvl>
    <w:lvl w:ilvl="3" w:tentative="0">
      <w:start w:val="0"/>
      <w:numFmt w:val="bullet"/>
      <w:lvlText w:val="•"/>
      <w:lvlJc w:val="left"/>
      <w:pPr>
        <w:ind w:left="4443" w:hanging="413"/>
      </w:pPr>
      <w:rPr>
        <w:rFonts w:hint="default"/>
        <w:lang w:val="zh-CN" w:eastAsia="zh-CN" w:bidi="zh-CN"/>
      </w:rPr>
    </w:lvl>
    <w:lvl w:ilvl="4" w:tentative="0">
      <w:start w:val="0"/>
      <w:numFmt w:val="bullet"/>
      <w:lvlText w:val="•"/>
      <w:lvlJc w:val="left"/>
      <w:pPr>
        <w:ind w:left="5298" w:hanging="413"/>
      </w:pPr>
      <w:rPr>
        <w:rFonts w:hint="default"/>
        <w:lang w:val="zh-CN" w:eastAsia="zh-CN" w:bidi="zh-CN"/>
      </w:rPr>
    </w:lvl>
    <w:lvl w:ilvl="5" w:tentative="0">
      <w:start w:val="0"/>
      <w:numFmt w:val="bullet"/>
      <w:lvlText w:val="•"/>
      <w:lvlJc w:val="left"/>
      <w:pPr>
        <w:ind w:left="6153" w:hanging="413"/>
      </w:pPr>
      <w:rPr>
        <w:rFonts w:hint="default"/>
        <w:lang w:val="zh-CN" w:eastAsia="zh-CN" w:bidi="zh-CN"/>
      </w:rPr>
    </w:lvl>
    <w:lvl w:ilvl="6" w:tentative="0">
      <w:start w:val="0"/>
      <w:numFmt w:val="bullet"/>
      <w:lvlText w:val="•"/>
      <w:lvlJc w:val="left"/>
      <w:pPr>
        <w:ind w:left="7007" w:hanging="413"/>
      </w:pPr>
      <w:rPr>
        <w:rFonts w:hint="default"/>
        <w:lang w:val="zh-CN" w:eastAsia="zh-CN" w:bidi="zh-CN"/>
      </w:rPr>
    </w:lvl>
    <w:lvl w:ilvl="7" w:tentative="0">
      <w:start w:val="0"/>
      <w:numFmt w:val="bullet"/>
      <w:lvlText w:val="•"/>
      <w:lvlJc w:val="left"/>
      <w:pPr>
        <w:ind w:left="7862" w:hanging="413"/>
      </w:pPr>
      <w:rPr>
        <w:rFonts w:hint="default"/>
        <w:lang w:val="zh-CN" w:eastAsia="zh-CN" w:bidi="zh-CN"/>
      </w:rPr>
    </w:lvl>
    <w:lvl w:ilvl="8" w:tentative="0">
      <w:start w:val="0"/>
      <w:numFmt w:val="bullet"/>
      <w:lvlText w:val="•"/>
      <w:lvlJc w:val="left"/>
      <w:pPr>
        <w:ind w:left="8716" w:hanging="413"/>
      </w:pPr>
      <w:rPr>
        <w:rFonts w:hint="default"/>
        <w:lang w:val="zh-CN" w:eastAsia="zh-CN" w:bidi="zh-CN"/>
      </w:rPr>
    </w:lvl>
  </w:abstractNum>
  <w:abstractNum w:abstractNumId="95">
    <w:nsid w:val="59EEFD2A"/>
    <w:multiLevelType w:val="multilevel"/>
    <w:tmpl w:val="59EEFD2A"/>
    <w:lvl w:ilvl="0" w:tentative="0">
      <w:start w:val="1"/>
      <w:numFmt w:val="decimal"/>
      <w:lvlText w:val="%1."/>
      <w:lvlJc w:val="left"/>
      <w:pPr>
        <w:ind w:left="270"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833" w:hanging="159"/>
      </w:pPr>
      <w:rPr>
        <w:rFonts w:hint="default"/>
        <w:lang w:val="zh-CN" w:eastAsia="zh-CN" w:bidi="zh-CN"/>
      </w:rPr>
    </w:lvl>
    <w:lvl w:ilvl="2" w:tentative="0">
      <w:start w:val="0"/>
      <w:numFmt w:val="bullet"/>
      <w:lvlText w:val="•"/>
      <w:lvlJc w:val="left"/>
      <w:pPr>
        <w:ind w:left="1387" w:hanging="159"/>
      </w:pPr>
      <w:rPr>
        <w:rFonts w:hint="default"/>
        <w:lang w:val="zh-CN" w:eastAsia="zh-CN" w:bidi="zh-CN"/>
      </w:rPr>
    </w:lvl>
    <w:lvl w:ilvl="3" w:tentative="0">
      <w:start w:val="0"/>
      <w:numFmt w:val="bullet"/>
      <w:lvlText w:val="•"/>
      <w:lvlJc w:val="left"/>
      <w:pPr>
        <w:ind w:left="1941" w:hanging="159"/>
      </w:pPr>
      <w:rPr>
        <w:rFonts w:hint="default"/>
        <w:lang w:val="zh-CN" w:eastAsia="zh-CN" w:bidi="zh-CN"/>
      </w:rPr>
    </w:lvl>
    <w:lvl w:ilvl="4" w:tentative="0">
      <w:start w:val="0"/>
      <w:numFmt w:val="bullet"/>
      <w:lvlText w:val="•"/>
      <w:lvlJc w:val="left"/>
      <w:pPr>
        <w:ind w:left="2494" w:hanging="159"/>
      </w:pPr>
      <w:rPr>
        <w:rFonts w:hint="default"/>
        <w:lang w:val="zh-CN" w:eastAsia="zh-CN" w:bidi="zh-CN"/>
      </w:rPr>
    </w:lvl>
    <w:lvl w:ilvl="5" w:tentative="0">
      <w:start w:val="0"/>
      <w:numFmt w:val="bullet"/>
      <w:lvlText w:val="•"/>
      <w:lvlJc w:val="left"/>
      <w:pPr>
        <w:ind w:left="3048" w:hanging="159"/>
      </w:pPr>
      <w:rPr>
        <w:rFonts w:hint="default"/>
        <w:lang w:val="zh-CN" w:eastAsia="zh-CN" w:bidi="zh-CN"/>
      </w:rPr>
    </w:lvl>
    <w:lvl w:ilvl="6" w:tentative="0">
      <w:start w:val="0"/>
      <w:numFmt w:val="bullet"/>
      <w:lvlText w:val="•"/>
      <w:lvlJc w:val="left"/>
      <w:pPr>
        <w:ind w:left="3602" w:hanging="159"/>
      </w:pPr>
      <w:rPr>
        <w:rFonts w:hint="default"/>
        <w:lang w:val="zh-CN" w:eastAsia="zh-CN" w:bidi="zh-CN"/>
      </w:rPr>
    </w:lvl>
    <w:lvl w:ilvl="7" w:tentative="0">
      <w:start w:val="0"/>
      <w:numFmt w:val="bullet"/>
      <w:lvlText w:val="•"/>
      <w:lvlJc w:val="left"/>
      <w:pPr>
        <w:ind w:left="4155" w:hanging="159"/>
      </w:pPr>
      <w:rPr>
        <w:rFonts w:hint="default"/>
        <w:lang w:val="zh-CN" w:eastAsia="zh-CN" w:bidi="zh-CN"/>
      </w:rPr>
    </w:lvl>
    <w:lvl w:ilvl="8" w:tentative="0">
      <w:start w:val="0"/>
      <w:numFmt w:val="bullet"/>
      <w:lvlText w:val="•"/>
      <w:lvlJc w:val="left"/>
      <w:pPr>
        <w:ind w:left="4709" w:hanging="159"/>
      </w:pPr>
      <w:rPr>
        <w:rFonts w:hint="default"/>
        <w:lang w:val="zh-CN" w:eastAsia="zh-CN" w:bidi="zh-CN"/>
      </w:rPr>
    </w:lvl>
  </w:abstractNum>
  <w:abstractNum w:abstractNumId="96">
    <w:nsid w:val="5A241D34"/>
    <w:multiLevelType w:val="multilevel"/>
    <w:tmpl w:val="5A241D34"/>
    <w:lvl w:ilvl="0" w:tentative="0">
      <w:start w:val="1"/>
      <w:numFmt w:val="decimal"/>
      <w:lvlText w:val="(%1)"/>
      <w:lvlJc w:val="left"/>
      <w:pPr>
        <w:ind w:left="1418" w:hanging="281"/>
        <w:jc w:val="left"/>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2320" w:hanging="281"/>
      </w:pPr>
      <w:rPr>
        <w:rFonts w:hint="default"/>
        <w:lang w:val="zh-CN" w:eastAsia="zh-CN" w:bidi="zh-CN"/>
      </w:rPr>
    </w:lvl>
    <w:lvl w:ilvl="2" w:tentative="0">
      <w:start w:val="0"/>
      <w:numFmt w:val="bullet"/>
      <w:lvlText w:val="•"/>
      <w:lvlJc w:val="left"/>
      <w:pPr>
        <w:ind w:left="3221" w:hanging="281"/>
      </w:pPr>
      <w:rPr>
        <w:rFonts w:hint="default"/>
        <w:lang w:val="zh-CN" w:eastAsia="zh-CN" w:bidi="zh-CN"/>
      </w:rPr>
    </w:lvl>
    <w:lvl w:ilvl="3" w:tentative="0">
      <w:start w:val="0"/>
      <w:numFmt w:val="bullet"/>
      <w:lvlText w:val="•"/>
      <w:lvlJc w:val="left"/>
      <w:pPr>
        <w:ind w:left="4121" w:hanging="281"/>
      </w:pPr>
      <w:rPr>
        <w:rFonts w:hint="default"/>
        <w:lang w:val="zh-CN" w:eastAsia="zh-CN" w:bidi="zh-CN"/>
      </w:rPr>
    </w:lvl>
    <w:lvl w:ilvl="4" w:tentative="0">
      <w:start w:val="0"/>
      <w:numFmt w:val="bullet"/>
      <w:lvlText w:val="•"/>
      <w:lvlJc w:val="left"/>
      <w:pPr>
        <w:ind w:left="5022" w:hanging="281"/>
      </w:pPr>
      <w:rPr>
        <w:rFonts w:hint="default"/>
        <w:lang w:val="zh-CN" w:eastAsia="zh-CN" w:bidi="zh-CN"/>
      </w:rPr>
    </w:lvl>
    <w:lvl w:ilvl="5" w:tentative="0">
      <w:start w:val="0"/>
      <w:numFmt w:val="bullet"/>
      <w:lvlText w:val="•"/>
      <w:lvlJc w:val="left"/>
      <w:pPr>
        <w:ind w:left="5923" w:hanging="281"/>
      </w:pPr>
      <w:rPr>
        <w:rFonts w:hint="default"/>
        <w:lang w:val="zh-CN" w:eastAsia="zh-CN" w:bidi="zh-CN"/>
      </w:rPr>
    </w:lvl>
    <w:lvl w:ilvl="6" w:tentative="0">
      <w:start w:val="0"/>
      <w:numFmt w:val="bullet"/>
      <w:lvlText w:val="•"/>
      <w:lvlJc w:val="left"/>
      <w:pPr>
        <w:ind w:left="6823" w:hanging="281"/>
      </w:pPr>
      <w:rPr>
        <w:rFonts w:hint="default"/>
        <w:lang w:val="zh-CN" w:eastAsia="zh-CN" w:bidi="zh-CN"/>
      </w:rPr>
    </w:lvl>
    <w:lvl w:ilvl="7" w:tentative="0">
      <w:start w:val="0"/>
      <w:numFmt w:val="bullet"/>
      <w:lvlText w:val="•"/>
      <w:lvlJc w:val="left"/>
      <w:pPr>
        <w:ind w:left="7724" w:hanging="281"/>
      </w:pPr>
      <w:rPr>
        <w:rFonts w:hint="default"/>
        <w:lang w:val="zh-CN" w:eastAsia="zh-CN" w:bidi="zh-CN"/>
      </w:rPr>
    </w:lvl>
    <w:lvl w:ilvl="8" w:tentative="0">
      <w:start w:val="0"/>
      <w:numFmt w:val="bullet"/>
      <w:lvlText w:val="•"/>
      <w:lvlJc w:val="left"/>
      <w:pPr>
        <w:ind w:left="8624" w:hanging="281"/>
      </w:pPr>
      <w:rPr>
        <w:rFonts w:hint="default"/>
        <w:lang w:val="zh-CN" w:eastAsia="zh-CN" w:bidi="zh-CN"/>
      </w:rPr>
    </w:lvl>
  </w:abstractNum>
  <w:abstractNum w:abstractNumId="97">
    <w:nsid w:val="5E29AB5A"/>
    <w:multiLevelType w:val="multilevel"/>
    <w:tmpl w:val="5E29AB5A"/>
    <w:lvl w:ilvl="0" w:tentative="0">
      <w:start w:val="1"/>
      <w:numFmt w:val="decimal"/>
      <w:lvlText w:val="（%1）"/>
      <w:lvlJc w:val="left"/>
      <w:pPr>
        <w:ind w:left="1533" w:hanging="601"/>
        <w:jc w:val="left"/>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2316" w:hanging="601"/>
      </w:pPr>
      <w:rPr>
        <w:rFonts w:hint="default"/>
        <w:lang w:val="zh-CN" w:eastAsia="zh-CN" w:bidi="zh-CN"/>
      </w:rPr>
    </w:lvl>
    <w:lvl w:ilvl="2" w:tentative="0">
      <w:start w:val="0"/>
      <w:numFmt w:val="bullet"/>
      <w:lvlText w:val="•"/>
      <w:lvlJc w:val="left"/>
      <w:pPr>
        <w:ind w:left="3093" w:hanging="601"/>
      </w:pPr>
      <w:rPr>
        <w:rFonts w:hint="default"/>
        <w:lang w:val="zh-CN" w:eastAsia="zh-CN" w:bidi="zh-CN"/>
      </w:rPr>
    </w:lvl>
    <w:lvl w:ilvl="3" w:tentative="0">
      <w:start w:val="0"/>
      <w:numFmt w:val="bullet"/>
      <w:lvlText w:val="•"/>
      <w:lvlJc w:val="left"/>
      <w:pPr>
        <w:ind w:left="3869" w:hanging="601"/>
      </w:pPr>
      <w:rPr>
        <w:rFonts w:hint="default"/>
        <w:lang w:val="zh-CN" w:eastAsia="zh-CN" w:bidi="zh-CN"/>
      </w:rPr>
    </w:lvl>
    <w:lvl w:ilvl="4" w:tentative="0">
      <w:start w:val="0"/>
      <w:numFmt w:val="bullet"/>
      <w:lvlText w:val="•"/>
      <w:lvlJc w:val="left"/>
      <w:pPr>
        <w:ind w:left="4646" w:hanging="601"/>
      </w:pPr>
      <w:rPr>
        <w:rFonts w:hint="default"/>
        <w:lang w:val="zh-CN" w:eastAsia="zh-CN" w:bidi="zh-CN"/>
      </w:rPr>
    </w:lvl>
    <w:lvl w:ilvl="5" w:tentative="0">
      <w:start w:val="0"/>
      <w:numFmt w:val="bullet"/>
      <w:lvlText w:val="•"/>
      <w:lvlJc w:val="left"/>
      <w:pPr>
        <w:ind w:left="5423" w:hanging="601"/>
      </w:pPr>
      <w:rPr>
        <w:rFonts w:hint="default"/>
        <w:lang w:val="zh-CN" w:eastAsia="zh-CN" w:bidi="zh-CN"/>
      </w:rPr>
    </w:lvl>
    <w:lvl w:ilvl="6" w:tentative="0">
      <w:start w:val="0"/>
      <w:numFmt w:val="bullet"/>
      <w:lvlText w:val="•"/>
      <w:lvlJc w:val="left"/>
      <w:pPr>
        <w:ind w:left="6199" w:hanging="601"/>
      </w:pPr>
      <w:rPr>
        <w:rFonts w:hint="default"/>
        <w:lang w:val="zh-CN" w:eastAsia="zh-CN" w:bidi="zh-CN"/>
      </w:rPr>
    </w:lvl>
    <w:lvl w:ilvl="7" w:tentative="0">
      <w:start w:val="0"/>
      <w:numFmt w:val="bullet"/>
      <w:lvlText w:val="•"/>
      <w:lvlJc w:val="left"/>
      <w:pPr>
        <w:ind w:left="6976" w:hanging="601"/>
      </w:pPr>
      <w:rPr>
        <w:rFonts w:hint="default"/>
        <w:lang w:val="zh-CN" w:eastAsia="zh-CN" w:bidi="zh-CN"/>
      </w:rPr>
    </w:lvl>
    <w:lvl w:ilvl="8" w:tentative="0">
      <w:start w:val="0"/>
      <w:numFmt w:val="bullet"/>
      <w:lvlText w:val="•"/>
      <w:lvlJc w:val="left"/>
      <w:pPr>
        <w:ind w:left="7752" w:hanging="601"/>
      </w:pPr>
      <w:rPr>
        <w:rFonts w:hint="default"/>
        <w:lang w:val="zh-CN" w:eastAsia="zh-CN" w:bidi="zh-CN"/>
      </w:rPr>
    </w:lvl>
  </w:abstractNum>
  <w:abstractNum w:abstractNumId="98">
    <w:nsid w:val="5FFFB1A7"/>
    <w:multiLevelType w:val="multilevel"/>
    <w:tmpl w:val="5FFFB1A7"/>
    <w:lvl w:ilvl="0" w:tentative="0">
      <w:start w:val="1"/>
      <w:numFmt w:val="decimal"/>
      <w:lvlText w:val="（%1）"/>
      <w:lvlJc w:val="left"/>
      <w:pPr>
        <w:ind w:left="552" w:hanging="601"/>
        <w:jc w:val="left"/>
      </w:pPr>
      <w:rPr>
        <w:rFonts w:hint="default" w:ascii="宋体" w:hAnsi="宋体" w:eastAsia="宋体" w:cs="宋体"/>
        <w:spacing w:val="-41"/>
        <w:w w:val="100"/>
        <w:sz w:val="22"/>
        <w:szCs w:val="22"/>
        <w:lang w:val="zh-CN" w:eastAsia="zh-CN" w:bidi="zh-CN"/>
      </w:rPr>
    </w:lvl>
    <w:lvl w:ilvl="1" w:tentative="0">
      <w:start w:val="0"/>
      <w:numFmt w:val="bullet"/>
      <w:lvlText w:val="•"/>
      <w:lvlJc w:val="left"/>
      <w:pPr>
        <w:ind w:left="1496" w:hanging="601"/>
      </w:pPr>
      <w:rPr>
        <w:rFonts w:hint="default"/>
        <w:lang w:val="zh-CN" w:eastAsia="zh-CN" w:bidi="zh-CN"/>
      </w:rPr>
    </w:lvl>
    <w:lvl w:ilvl="2" w:tentative="0">
      <w:start w:val="0"/>
      <w:numFmt w:val="bullet"/>
      <w:lvlText w:val="•"/>
      <w:lvlJc w:val="left"/>
      <w:pPr>
        <w:ind w:left="2433" w:hanging="601"/>
      </w:pPr>
      <w:rPr>
        <w:rFonts w:hint="default"/>
        <w:lang w:val="zh-CN" w:eastAsia="zh-CN" w:bidi="zh-CN"/>
      </w:rPr>
    </w:lvl>
    <w:lvl w:ilvl="3" w:tentative="0">
      <w:start w:val="0"/>
      <w:numFmt w:val="bullet"/>
      <w:lvlText w:val="•"/>
      <w:lvlJc w:val="left"/>
      <w:pPr>
        <w:ind w:left="3369" w:hanging="601"/>
      </w:pPr>
      <w:rPr>
        <w:rFonts w:hint="default"/>
        <w:lang w:val="zh-CN" w:eastAsia="zh-CN" w:bidi="zh-CN"/>
      </w:rPr>
    </w:lvl>
    <w:lvl w:ilvl="4" w:tentative="0">
      <w:start w:val="0"/>
      <w:numFmt w:val="bullet"/>
      <w:lvlText w:val="•"/>
      <w:lvlJc w:val="left"/>
      <w:pPr>
        <w:ind w:left="4306" w:hanging="601"/>
      </w:pPr>
      <w:rPr>
        <w:rFonts w:hint="default"/>
        <w:lang w:val="zh-CN" w:eastAsia="zh-CN" w:bidi="zh-CN"/>
      </w:rPr>
    </w:lvl>
    <w:lvl w:ilvl="5" w:tentative="0">
      <w:start w:val="0"/>
      <w:numFmt w:val="bullet"/>
      <w:lvlText w:val="•"/>
      <w:lvlJc w:val="left"/>
      <w:pPr>
        <w:ind w:left="5243" w:hanging="601"/>
      </w:pPr>
      <w:rPr>
        <w:rFonts w:hint="default"/>
        <w:lang w:val="zh-CN" w:eastAsia="zh-CN" w:bidi="zh-CN"/>
      </w:rPr>
    </w:lvl>
    <w:lvl w:ilvl="6" w:tentative="0">
      <w:start w:val="0"/>
      <w:numFmt w:val="bullet"/>
      <w:lvlText w:val="•"/>
      <w:lvlJc w:val="left"/>
      <w:pPr>
        <w:ind w:left="6179" w:hanging="601"/>
      </w:pPr>
      <w:rPr>
        <w:rFonts w:hint="default"/>
        <w:lang w:val="zh-CN" w:eastAsia="zh-CN" w:bidi="zh-CN"/>
      </w:rPr>
    </w:lvl>
    <w:lvl w:ilvl="7" w:tentative="0">
      <w:start w:val="0"/>
      <w:numFmt w:val="bullet"/>
      <w:lvlText w:val="•"/>
      <w:lvlJc w:val="left"/>
      <w:pPr>
        <w:ind w:left="7116" w:hanging="601"/>
      </w:pPr>
      <w:rPr>
        <w:rFonts w:hint="default"/>
        <w:lang w:val="zh-CN" w:eastAsia="zh-CN" w:bidi="zh-CN"/>
      </w:rPr>
    </w:lvl>
    <w:lvl w:ilvl="8" w:tentative="0">
      <w:start w:val="0"/>
      <w:numFmt w:val="bullet"/>
      <w:lvlText w:val="•"/>
      <w:lvlJc w:val="left"/>
      <w:pPr>
        <w:ind w:left="8052" w:hanging="601"/>
      </w:pPr>
      <w:rPr>
        <w:rFonts w:hint="default"/>
        <w:lang w:val="zh-CN" w:eastAsia="zh-CN" w:bidi="zh-CN"/>
      </w:rPr>
    </w:lvl>
  </w:abstractNum>
  <w:abstractNum w:abstractNumId="99">
    <w:nsid w:val="60382F6E"/>
    <w:multiLevelType w:val="multilevel"/>
    <w:tmpl w:val="60382F6E"/>
    <w:lvl w:ilvl="0" w:tentative="0">
      <w:start w:val="1"/>
      <w:numFmt w:val="decimal"/>
      <w:lvlText w:val="（%1）"/>
      <w:lvlJc w:val="left"/>
      <w:pPr>
        <w:ind w:left="21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950" w:hanging="601"/>
      </w:pPr>
      <w:rPr>
        <w:rFonts w:hint="default"/>
        <w:lang w:val="zh-CN" w:eastAsia="zh-CN" w:bidi="zh-CN"/>
      </w:rPr>
    </w:lvl>
    <w:lvl w:ilvl="2" w:tentative="0">
      <w:start w:val="0"/>
      <w:numFmt w:val="bullet"/>
      <w:lvlText w:val="•"/>
      <w:lvlJc w:val="left"/>
      <w:pPr>
        <w:ind w:left="3781" w:hanging="601"/>
      </w:pPr>
      <w:rPr>
        <w:rFonts w:hint="default"/>
        <w:lang w:val="zh-CN" w:eastAsia="zh-CN" w:bidi="zh-CN"/>
      </w:rPr>
    </w:lvl>
    <w:lvl w:ilvl="3" w:tentative="0">
      <w:start w:val="0"/>
      <w:numFmt w:val="bullet"/>
      <w:lvlText w:val="•"/>
      <w:lvlJc w:val="left"/>
      <w:pPr>
        <w:ind w:left="4611" w:hanging="601"/>
      </w:pPr>
      <w:rPr>
        <w:rFonts w:hint="default"/>
        <w:lang w:val="zh-CN" w:eastAsia="zh-CN" w:bidi="zh-CN"/>
      </w:rPr>
    </w:lvl>
    <w:lvl w:ilvl="4" w:tentative="0">
      <w:start w:val="0"/>
      <w:numFmt w:val="bullet"/>
      <w:lvlText w:val="•"/>
      <w:lvlJc w:val="left"/>
      <w:pPr>
        <w:ind w:left="5442" w:hanging="601"/>
      </w:pPr>
      <w:rPr>
        <w:rFonts w:hint="default"/>
        <w:lang w:val="zh-CN" w:eastAsia="zh-CN" w:bidi="zh-CN"/>
      </w:rPr>
    </w:lvl>
    <w:lvl w:ilvl="5" w:tentative="0">
      <w:start w:val="0"/>
      <w:numFmt w:val="bullet"/>
      <w:lvlText w:val="•"/>
      <w:lvlJc w:val="left"/>
      <w:pPr>
        <w:ind w:left="6273" w:hanging="601"/>
      </w:pPr>
      <w:rPr>
        <w:rFonts w:hint="default"/>
        <w:lang w:val="zh-CN" w:eastAsia="zh-CN" w:bidi="zh-CN"/>
      </w:rPr>
    </w:lvl>
    <w:lvl w:ilvl="6" w:tentative="0">
      <w:start w:val="0"/>
      <w:numFmt w:val="bullet"/>
      <w:lvlText w:val="•"/>
      <w:lvlJc w:val="left"/>
      <w:pPr>
        <w:ind w:left="7103" w:hanging="601"/>
      </w:pPr>
      <w:rPr>
        <w:rFonts w:hint="default"/>
        <w:lang w:val="zh-CN" w:eastAsia="zh-CN" w:bidi="zh-CN"/>
      </w:rPr>
    </w:lvl>
    <w:lvl w:ilvl="7" w:tentative="0">
      <w:start w:val="0"/>
      <w:numFmt w:val="bullet"/>
      <w:lvlText w:val="•"/>
      <w:lvlJc w:val="left"/>
      <w:pPr>
        <w:ind w:left="7934" w:hanging="601"/>
      </w:pPr>
      <w:rPr>
        <w:rFonts w:hint="default"/>
        <w:lang w:val="zh-CN" w:eastAsia="zh-CN" w:bidi="zh-CN"/>
      </w:rPr>
    </w:lvl>
    <w:lvl w:ilvl="8" w:tentative="0">
      <w:start w:val="0"/>
      <w:numFmt w:val="bullet"/>
      <w:lvlText w:val="•"/>
      <w:lvlJc w:val="left"/>
      <w:pPr>
        <w:ind w:left="8764" w:hanging="601"/>
      </w:pPr>
      <w:rPr>
        <w:rFonts w:hint="default"/>
        <w:lang w:val="zh-CN" w:eastAsia="zh-CN" w:bidi="zh-CN"/>
      </w:rPr>
    </w:lvl>
  </w:abstractNum>
  <w:abstractNum w:abstractNumId="100">
    <w:nsid w:val="610EFE5C"/>
    <w:multiLevelType w:val="multilevel"/>
    <w:tmpl w:val="610EFE5C"/>
    <w:lvl w:ilvl="0" w:tentative="0">
      <w:start w:val="15"/>
      <w:numFmt w:val="decimal"/>
      <w:lvlText w:val="%1"/>
      <w:lvlJc w:val="left"/>
      <w:pPr>
        <w:ind w:left="895" w:hanging="675"/>
        <w:jc w:val="left"/>
      </w:pPr>
      <w:rPr>
        <w:rFonts w:hint="default"/>
        <w:lang w:val="zh-CN" w:eastAsia="zh-CN" w:bidi="zh-CN"/>
      </w:rPr>
    </w:lvl>
    <w:lvl w:ilvl="1" w:tentative="0">
      <w:start w:val="1"/>
      <w:numFmt w:val="decimal"/>
      <w:lvlText w:val="%1.%2"/>
      <w:lvlJc w:val="left"/>
      <w:pPr>
        <w:ind w:left="895" w:hanging="675"/>
        <w:jc w:val="left"/>
      </w:pPr>
      <w:rPr>
        <w:rFonts w:hint="default" w:ascii="Times New Roman" w:hAnsi="Times New Roman" w:eastAsia="Times New Roman" w:cs="Times New Roman"/>
        <w:b/>
        <w:bCs/>
        <w:spacing w:val="-2"/>
        <w:w w:val="99"/>
        <w:sz w:val="30"/>
        <w:szCs w:val="30"/>
        <w:lang w:val="zh-CN" w:eastAsia="zh-CN" w:bidi="zh-CN"/>
      </w:rPr>
    </w:lvl>
    <w:lvl w:ilvl="2" w:tentative="0">
      <w:start w:val="1"/>
      <w:numFmt w:val="decimal"/>
      <w:lvlText w:val="%1.%2.%3"/>
      <w:lvlJc w:val="left"/>
      <w:pPr>
        <w:ind w:left="1060" w:hanging="840"/>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301" w:hanging="601"/>
        <w:jc w:val="left"/>
      </w:pPr>
      <w:rPr>
        <w:rFonts w:hint="default" w:ascii="宋体" w:hAnsi="宋体" w:eastAsia="宋体" w:cs="宋体"/>
        <w:spacing w:val="-29"/>
        <w:w w:val="100"/>
        <w:sz w:val="22"/>
        <w:szCs w:val="22"/>
        <w:lang w:val="zh-CN" w:eastAsia="zh-CN" w:bidi="zh-CN"/>
      </w:rPr>
    </w:lvl>
    <w:lvl w:ilvl="4" w:tentative="0">
      <w:start w:val="0"/>
      <w:numFmt w:val="bullet"/>
      <w:lvlText w:val="•"/>
      <w:lvlJc w:val="left"/>
      <w:pPr>
        <w:ind w:left="1509" w:hanging="601"/>
      </w:pPr>
      <w:rPr>
        <w:rFonts w:hint="default"/>
        <w:lang w:val="zh-CN" w:eastAsia="zh-CN" w:bidi="zh-CN"/>
      </w:rPr>
    </w:lvl>
    <w:lvl w:ilvl="5" w:tentative="0">
      <w:start w:val="0"/>
      <w:numFmt w:val="bullet"/>
      <w:lvlText w:val="•"/>
      <w:lvlJc w:val="left"/>
      <w:pPr>
        <w:ind w:left="1614" w:hanging="601"/>
      </w:pPr>
      <w:rPr>
        <w:rFonts w:hint="default"/>
        <w:lang w:val="zh-CN" w:eastAsia="zh-CN" w:bidi="zh-CN"/>
      </w:rPr>
    </w:lvl>
    <w:lvl w:ilvl="6" w:tentative="0">
      <w:start w:val="0"/>
      <w:numFmt w:val="bullet"/>
      <w:lvlText w:val="•"/>
      <w:lvlJc w:val="left"/>
      <w:pPr>
        <w:ind w:left="1718" w:hanging="601"/>
      </w:pPr>
      <w:rPr>
        <w:rFonts w:hint="default"/>
        <w:lang w:val="zh-CN" w:eastAsia="zh-CN" w:bidi="zh-CN"/>
      </w:rPr>
    </w:lvl>
    <w:lvl w:ilvl="7" w:tentative="0">
      <w:start w:val="0"/>
      <w:numFmt w:val="bullet"/>
      <w:lvlText w:val="•"/>
      <w:lvlJc w:val="left"/>
      <w:pPr>
        <w:ind w:left="1823" w:hanging="601"/>
      </w:pPr>
      <w:rPr>
        <w:rFonts w:hint="default"/>
        <w:lang w:val="zh-CN" w:eastAsia="zh-CN" w:bidi="zh-CN"/>
      </w:rPr>
    </w:lvl>
    <w:lvl w:ilvl="8" w:tentative="0">
      <w:start w:val="0"/>
      <w:numFmt w:val="bullet"/>
      <w:lvlText w:val="•"/>
      <w:lvlJc w:val="left"/>
      <w:pPr>
        <w:ind w:left="1928" w:hanging="601"/>
      </w:pPr>
      <w:rPr>
        <w:rFonts w:hint="default"/>
        <w:lang w:val="zh-CN" w:eastAsia="zh-CN" w:bidi="zh-CN"/>
      </w:rPr>
    </w:lvl>
  </w:abstractNum>
  <w:abstractNum w:abstractNumId="101">
    <w:nsid w:val="629F7852"/>
    <w:multiLevelType w:val="multilevel"/>
    <w:tmpl w:val="629F7852"/>
    <w:lvl w:ilvl="0" w:tentative="0">
      <w:start w:val="1"/>
      <w:numFmt w:val="decimal"/>
      <w:lvlText w:val="（%1）"/>
      <w:lvlJc w:val="left"/>
      <w:pPr>
        <w:ind w:left="21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950" w:hanging="601"/>
      </w:pPr>
      <w:rPr>
        <w:rFonts w:hint="default"/>
        <w:lang w:val="zh-CN" w:eastAsia="zh-CN" w:bidi="zh-CN"/>
      </w:rPr>
    </w:lvl>
    <w:lvl w:ilvl="2" w:tentative="0">
      <w:start w:val="0"/>
      <w:numFmt w:val="bullet"/>
      <w:lvlText w:val="•"/>
      <w:lvlJc w:val="left"/>
      <w:pPr>
        <w:ind w:left="3781" w:hanging="601"/>
      </w:pPr>
      <w:rPr>
        <w:rFonts w:hint="default"/>
        <w:lang w:val="zh-CN" w:eastAsia="zh-CN" w:bidi="zh-CN"/>
      </w:rPr>
    </w:lvl>
    <w:lvl w:ilvl="3" w:tentative="0">
      <w:start w:val="0"/>
      <w:numFmt w:val="bullet"/>
      <w:lvlText w:val="•"/>
      <w:lvlJc w:val="left"/>
      <w:pPr>
        <w:ind w:left="4611" w:hanging="601"/>
      </w:pPr>
      <w:rPr>
        <w:rFonts w:hint="default"/>
        <w:lang w:val="zh-CN" w:eastAsia="zh-CN" w:bidi="zh-CN"/>
      </w:rPr>
    </w:lvl>
    <w:lvl w:ilvl="4" w:tentative="0">
      <w:start w:val="0"/>
      <w:numFmt w:val="bullet"/>
      <w:lvlText w:val="•"/>
      <w:lvlJc w:val="left"/>
      <w:pPr>
        <w:ind w:left="5442" w:hanging="601"/>
      </w:pPr>
      <w:rPr>
        <w:rFonts w:hint="default"/>
        <w:lang w:val="zh-CN" w:eastAsia="zh-CN" w:bidi="zh-CN"/>
      </w:rPr>
    </w:lvl>
    <w:lvl w:ilvl="5" w:tentative="0">
      <w:start w:val="0"/>
      <w:numFmt w:val="bullet"/>
      <w:lvlText w:val="•"/>
      <w:lvlJc w:val="left"/>
      <w:pPr>
        <w:ind w:left="6273" w:hanging="601"/>
      </w:pPr>
      <w:rPr>
        <w:rFonts w:hint="default"/>
        <w:lang w:val="zh-CN" w:eastAsia="zh-CN" w:bidi="zh-CN"/>
      </w:rPr>
    </w:lvl>
    <w:lvl w:ilvl="6" w:tentative="0">
      <w:start w:val="0"/>
      <w:numFmt w:val="bullet"/>
      <w:lvlText w:val="•"/>
      <w:lvlJc w:val="left"/>
      <w:pPr>
        <w:ind w:left="7103" w:hanging="601"/>
      </w:pPr>
      <w:rPr>
        <w:rFonts w:hint="default"/>
        <w:lang w:val="zh-CN" w:eastAsia="zh-CN" w:bidi="zh-CN"/>
      </w:rPr>
    </w:lvl>
    <w:lvl w:ilvl="7" w:tentative="0">
      <w:start w:val="0"/>
      <w:numFmt w:val="bullet"/>
      <w:lvlText w:val="•"/>
      <w:lvlJc w:val="left"/>
      <w:pPr>
        <w:ind w:left="7934" w:hanging="601"/>
      </w:pPr>
      <w:rPr>
        <w:rFonts w:hint="default"/>
        <w:lang w:val="zh-CN" w:eastAsia="zh-CN" w:bidi="zh-CN"/>
      </w:rPr>
    </w:lvl>
    <w:lvl w:ilvl="8" w:tentative="0">
      <w:start w:val="0"/>
      <w:numFmt w:val="bullet"/>
      <w:lvlText w:val="•"/>
      <w:lvlJc w:val="left"/>
      <w:pPr>
        <w:ind w:left="8764" w:hanging="601"/>
      </w:pPr>
      <w:rPr>
        <w:rFonts w:hint="default"/>
        <w:lang w:val="zh-CN" w:eastAsia="zh-CN" w:bidi="zh-CN"/>
      </w:rPr>
    </w:lvl>
  </w:abstractNum>
  <w:abstractNum w:abstractNumId="102">
    <w:nsid w:val="65CD0074"/>
    <w:multiLevelType w:val="multilevel"/>
    <w:tmpl w:val="65CD0074"/>
    <w:lvl w:ilvl="0" w:tentative="0">
      <w:start w:val="1"/>
      <w:numFmt w:val="decimal"/>
      <w:lvlText w:val="%1."/>
      <w:lvlJc w:val="left"/>
      <w:pPr>
        <w:ind w:left="267" w:hanging="159"/>
        <w:jc w:val="left"/>
      </w:pPr>
      <w:rPr>
        <w:rFonts w:hint="default" w:ascii="Times New Roman" w:hAnsi="Times New Roman" w:eastAsia="Times New Roman" w:cs="Times New Roman"/>
        <w:spacing w:val="-2"/>
        <w:w w:val="99"/>
        <w:sz w:val="19"/>
        <w:szCs w:val="19"/>
        <w:lang w:val="zh-CN" w:eastAsia="zh-CN" w:bidi="zh-CN"/>
      </w:rPr>
    </w:lvl>
    <w:lvl w:ilvl="1" w:tentative="0">
      <w:start w:val="0"/>
      <w:numFmt w:val="bullet"/>
      <w:lvlText w:val="•"/>
      <w:lvlJc w:val="left"/>
      <w:pPr>
        <w:ind w:left="875" w:hanging="159"/>
      </w:pPr>
      <w:rPr>
        <w:rFonts w:hint="default"/>
        <w:lang w:val="zh-CN" w:eastAsia="zh-CN" w:bidi="zh-CN"/>
      </w:rPr>
    </w:lvl>
    <w:lvl w:ilvl="2" w:tentative="0">
      <w:start w:val="0"/>
      <w:numFmt w:val="bullet"/>
      <w:lvlText w:val="•"/>
      <w:lvlJc w:val="left"/>
      <w:pPr>
        <w:ind w:left="1490" w:hanging="159"/>
      </w:pPr>
      <w:rPr>
        <w:rFonts w:hint="default"/>
        <w:lang w:val="zh-CN" w:eastAsia="zh-CN" w:bidi="zh-CN"/>
      </w:rPr>
    </w:lvl>
    <w:lvl w:ilvl="3" w:tentative="0">
      <w:start w:val="0"/>
      <w:numFmt w:val="bullet"/>
      <w:lvlText w:val="•"/>
      <w:lvlJc w:val="left"/>
      <w:pPr>
        <w:ind w:left="2105" w:hanging="159"/>
      </w:pPr>
      <w:rPr>
        <w:rFonts w:hint="default"/>
        <w:lang w:val="zh-CN" w:eastAsia="zh-CN" w:bidi="zh-CN"/>
      </w:rPr>
    </w:lvl>
    <w:lvl w:ilvl="4" w:tentative="0">
      <w:start w:val="0"/>
      <w:numFmt w:val="bullet"/>
      <w:lvlText w:val="•"/>
      <w:lvlJc w:val="left"/>
      <w:pPr>
        <w:ind w:left="2720" w:hanging="159"/>
      </w:pPr>
      <w:rPr>
        <w:rFonts w:hint="default"/>
        <w:lang w:val="zh-CN" w:eastAsia="zh-CN" w:bidi="zh-CN"/>
      </w:rPr>
    </w:lvl>
    <w:lvl w:ilvl="5" w:tentative="0">
      <w:start w:val="0"/>
      <w:numFmt w:val="bullet"/>
      <w:lvlText w:val="•"/>
      <w:lvlJc w:val="left"/>
      <w:pPr>
        <w:ind w:left="3335" w:hanging="159"/>
      </w:pPr>
      <w:rPr>
        <w:rFonts w:hint="default"/>
        <w:lang w:val="zh-CN" w:eastAsia="zh-CN" w:bidi="zh-CN"/>
      </w:rPr>
    </w:lvl>
    <w:lvl w:ilvl="6" w:tentative="0">
      <w:start w:val="0"/>
      <w:numFmt w:val="bullet"/>
      <w:lvlText w:val="•"/>
      <w:lvlJc w:val="left"/>
      <w:pPr>
        <w:ind w:left="3950" w:hanging="159"/>
      </w:pPr>
      <w:rPr>
        <w:rFonts w:hint="default"/>
        <w:lang w:val="zh-CN" w:eastAsia="zh-CN" w:bidi="zh-CN"/>
      </w:rPr>
    </w:lvl>
    <w:lvl w:ilvl="7" w:tentative="0">
      <w:start w:val="0"/>
      <w:numFmt w:val="bullet"/>
      <w:lvlText w:val="•"/>
      <w:lvlJc w:val="left"/>
      <w:pPr>
        <w:ind w:left="4565" w:hanging="159"/>
      </w:pPr>
      <w:rPr>
        <w:rFonts w:hint="default"/>
        <w:lang w:val="zh-CN" w:eastAsia="zh-CN" w:bidi="zh-CN"/>
      </w:rPr>
    </w:lvl>
    <w:lvl w:ilvl="8" w:tentative="0">
      <w:start w:val="0"/>
      <w:numFmt w:val="bullet"/>
      <w:lvlText w:val="•"/>
      <w:lvlJc w:val="left"/>
      <w:pPr>
        <w:ind w:left="5180" w:hanging="159"/>
      </w:pPr>
      <w:rPr>
        <w:rFonts w:hint="default"/>
        <w:lang w:val="zh-CN" w:eastAsia="zh-CN" w:bidi="zh-CN"/>
      </w:rPr>
    </w:lvl>
  </w:abstractNum>
  <w:abstractNum w:abstractNumId="103">
    <w:nsid w:val="68B298F7"/>
    <w:multiLevelType w:val="multilevel"/>
    <w:tmpl w:val="68B298F7"/>
    <w:lvl w:ilvl="0" w:tentative="0">
      <w:start w:val="1"/>
      <w:numFmt w:val="decimal"/>
      <w:lvlText w:val="%1."/>
      <w:lvlJc w:val="left"/>
      <w:pPr>
        <w:ind w:left="111" w:hanging="161"/>
        <w:jc w:val="left"/>
      </w:pPr>
      <w:rPr>
        <w:rFonts w:hint="default" w:ascii="Times New Roman" w:hAnsi="Times New Roman" w:eastAsia="Times New Roman" w:cs="Times New Roman"/>
        <w:spacing w:val="1"/>
        <w:w w:val="99"/>
        <w:position w:val="2"/>
        <w:sz w:val="19"/>
        <w:szCs w:val="19"/>
        <w:lang w:val="zh-CN" w:eastAsia="zh-CN" w:bidi="zh-CN"/>
      </w:rPr>
    </w:lvl>
    <w:lvl w:ilvl="1" w:tentative="0">
      <w:start w:val="0"/>
      <w:numFmt w:val="bullet"/>
      <w:lvlText w:val="•"/>
      <w:lvlJc w:val="left"/>
      <w:pPr>
        <w:ind w:left="689" w:hanging="161"/>
      </w:pPr>
      <w:rPr>
        <w:rFonts w:hint="default"/>
        <w:lang w:val="zh-CN" w:eastAsia="zh-CN" w:bidi="zh-CN"/>
      </w:rPr>
    </w:lvl>
    <w:lvl w:ilvl="2" w:tentative="0">
      <w:start w:val="0"/>
      <w:numFmt w:val="bullet"/>
      <w:lvlText w:val="•"/>
      <w:lvlJc w:val="left"/>
      <w:pPr>
        <w:ind w:left="1259" w:hanging="161"/>
      </w:pPr>
      <w:rPr>
        <w:rFonts w:hint="default"/>
        <w:lang w:val="zh-CN" w:eastAsia="zh-CN" w:bidi="zh-CN"/>
      </w:rPr>
    </w:lvl>
    <w:lvl w:ilvl="3" w:tentative="0">
      <w:start w:val="0"/>
      <w:numFmt w:val="bullet"/>
      <w:lvlText w:val="•"/>
      <w:lvlJc w:val="left"/>
      <w:pPr>
        <w:ind w:left="1829" w:hanging="161"/>
      </w:pPr>
      <w:rPr>
        <w:rFonts w:hint="default"/>
        <w:lang w:val="zh-CN" w:eastAsia="zh-CN" w:bidi="zh-CN"/>
      </w:rPr>
    </w:lvl>
    <w:lvl w:ilvl="4" w:tentative="0">
      <w:start w:val="0"/>
      <w:numFmt w:val="bullet"/>
      <w:lvlText w:val="•"/>
      <w:lvlJc w:val="left"/>
      <w:pPr>
        <w:ind w:left="2398" w:hanging="161"/>
      </w:pPr>
      <w:rPr>
        <w:rFonts w:hint="default"/>
        <w:lang w:val="zh-CN" w:eastAsia="zh-CN" w:bidi="zh-CN"/>
      </w:rPr>
    </w:lvl>
    <w:lvl w:ilvl="5" w:tentative="0">
      <w:start w:val="0"/>
      <w:numFmt w:val="bullet"/>
      <w:lvlText w:val="•"/>
      <w:lvlJc w:val="left"/>
      <w:pPr>
        <w:ind w:left="2968" w:hanging="161"/>
      </w:pPr>
      <w:rPr>
        <w:rFonts w:hint="default"/>
        <w:lang w:val="zh-CN" w:eastAsia="zh-CN" w:bidi="zh-CN"/>
      </w:rPr>
    </w:lvl>
    <w:lvl w:ilvl="6" w:tentative="0">
      <w:start w:val="0"/>
      <w:numFmt w:val="bullet"/>
      <w:lvlText w:val="•"/>
      <w:lvlJc w:val="left"/>
      <w:pPr>
        <w:ind w:left="3538" w:hanging="161"/>
      </w:pPr>
      <w:rPr>
        <w:rFonts w:hint="default"/>
        <w:lang w:val="zh-CN" w:eastAsia="zh-CN" w:bidi="zh-CN"/>
      </w:rPr>
    </w:lvl>
    <w:lvl w:ilvl="7" w:tentative="0">
      <w:start w:val="0"/>
      <w:numFmt w:val="bullet"/>
      <w:lvlText w:val="•"/>
      <w:lvlJc w:val="left"/>
      <w:pPr>
        <w:ind w:left="4107" w:hanging="161"/>
      </w:pPr>
      <w:rPr>
        <w:rFonts w:hint="default"/>
        <w:lang w:val="zh-CN" w:eastAsia="zh-CN" w:bidi="zh-CN"/>
      </w:rPr>
    </w:lvl>
    <w:lvl w:ilvl="8" w:tentative="0">
      <w:start w:val="0"/>
      <w:numFmt w:val="bullet"/>
      <w:lvlText w:val="•"/>
      <w:lvlJc w:val="left"/>
      <w:pPr>
        <w:ind w:left="4677" w:hanging="161"/>
      </w:pPr>
      <w:rPr>
        <w:rFonts w:hint="default"/>
        <w:lang w:val="zh-CN" w:eastAsia="zh-CN" w:bidi="zh-CN"/>
      </w:rPr>
    </w:lvl>
  </w:abstractNum>
  <w:abstractNum w:abstractNumId="104">
    <w:nsid w:val="700FDCEF"/>
    <w:multiLevelType w:val="multilevel"/>
    <w:tmpl w:val="700FDCEF"/>
    <w:lvl w:ilvl="0" w:tentative="0">
      <w:start w:val="1"/>
      <w:numFmt w:val="decimal"/>
      <w:lvlText w:val="（%1）"/>
      <w:lvlJc w:val="left"/>
      <w:pPr>
        <w:ind w:left="1297"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62" w:hanging="601"/>
      </w:pPr>
      <w:rPr>
        <w:rFonts w:hint="default"/>
        <w:lang w:val="zh-CN" w:eastAsia="zh-CN" w:bidi="zh-CN"/>
      </w:rPr>
    </w:lvl>
    <w:lvl w:ilvl="2" w:tentative="0">
      <w:start w:val="0"/>
      <w:numFmt w:val="bullet"/>
      <w:lvlText w:val="•"/>
      <w:lvlJc w:val="left"/>
      <w:pPr>
        <w:ind w:left="3025" w:hanging="601"/>
      </w:pPr>
      <w:rPr>
        <w:rFonts w:hint="default"/>
        <w:lang w:val="zh-CN" w:eastAsia="zh-CN" w:bidi="zh-CN"/>
      </w:rPr>
    </w:lvl>
    <w:lvl w:ilvl="3" w:tentative="0">
      <w:start w:val="0"/>
      <w:numFmt w:val="bullet"/>
      <w:lvlText w:val="•"/>
      <w:lvlJc w:val="left"/>
      <w:pPr>
        <w:ind w:left="3887" w:hanging="601"/>
      </w:pPr>
      <w:rPr>
        <w:rFonts w:hint="default"/>
        <w:lang w:val="zh-CN" w:eastAsia="zh-CN" w:bidi="zh-CN"/>
      </w:rPr>
    </w:lvl>
    <w:lvl w:ilvl="4" w:tentative="0">
      <w:start w:val="0"/>
      <w:numFmt w:val="bullet"/>
      <w:lvlText w:val="•"/>
      <w:lvlJc w:val="left"/>
      <w:pPr>
        <w:ind w:left="4750" w:hanging="601"/>
      </w:pPr>
      <w:rPr>
        <w:rFonts w:hint="default"/>
        <w:lang w:val="zh-CN" w:eastAsia="zh-CN" w:bidi="zh-CN"/>
      </w:rPr>
    </w:lvl>
    <w:lvl w:ilvl="5" w:tentative="0">
      <w:start w:val="0"/>
      <w:numFmt w:val="bullet"/>
      <w:lvlText w:val="•"/>
      <w:lvlJc w:val="left"/>
      <w:pPr>
        <w:ind w:left="5613" w:hanging="601"/>
      </w:pPr>
      <w:rPr>
        <w:rFonts w:hint="default"/>
        <w:lang w:val="zh-CN" w:eastAsia="zh-CN" w:bidi="zh-CN"/>
      </w:rPr>
    </w:lvl>
    <w:lvl w:ilvl="6" w:tentative="0">
      <w:start w:val="0"/>
      <w:numFmt w:val="bullet"/>
      <w:lvlText w:val="•"/>
      <w:lvlJc w:val="left"/>
      <w:pPr>
        <w:ind w:left="6475" w:hanging="601"/>
      </w:pPr>
      <w:rPr>
        <w:rFonts w:hint="default"/>
        <w:lang w:val="zh-CN" w:eastAsia="zh-CN" w:bidi="zh-CN"/>
      </w:rPr>
    </w:lvl>
    <w:lvl w:ilvl="7" w:tentative="0">
      <w:start w:val="0"/>
      <w:numFmt w:val="bullet"/>
      <w:lvlText w:val="•"/>
      <w:lvlJc w:val="left"/>
      <w:pPr>
        <w:ind w:left="7338" w:hanging="601"/>
      </w:pPr>
      <w:rPr>
        <w:rFonts w:hint="default"/>
        <w:lang w:val="zh-CN" w:eastAsia="zh-CN" w:bidi="zh-CN"/>
      </w:rPr>
    </w:lvl>
    <w:lvl w:ilvl="8" w:tentative="0">
      <w:start w:val="0"/>
      <w:numFmt w:val="bullet"/>
      <w:lvlText w:val="•"/>
      <w:lvlJc w:val="left"/>
      <w:pPr>
        <w:ind w:left="8200" w:hanging="601"/>
      </w:pPr>
      <w:rPr>
        <w:rFonts w:hint="default"/>
        <w:lang w:val="zh-CN" w:eastAsia="zh-CN" w:bidi="zh-CN"/>
      </w:rPr>
    </w:lvl>
  </w:abstractNum>
  <w:abstractNum w:abstractNumId="105">
    <w:nsid w:val="72183CF9"/>
    <w:multiLevelType w:val="multilevel"/>
    <w:tmpl w:val="72183CF9"/>
    <w:lvl w:ilvl="0" w:tentative="0">
      <w:start w:val="1"/>
      <w:numFmt w:val="decimal"/>
      <w:lvlText w:val="（%1）"/>
      <w:lvlJc w:val="left"/>
      <w:pPr>
        <w:ind w:left="1743" w:hanging="605"/>
        <w:jc w:val="left"/>
      </w:pPr>
      <w:rPr>
        <w:rFonts w:hint="default" w:ascii="宋体" w:hAnsi="宋体" w:eastAsia="宋体" w:cs="宋体"/>
        <w:spacing w:val="0"/>
        <w:w w:val="100"/>
        <w:sz w:val="22"/>
        <w:szCs w:val="22"/>
        <w:lang w:val="zh-CN" w:eastAsia="zh-CN" w:bidi="zh-CN"/>
      </w:rPr>
    </w:lvl>
    <w:lvl w:ilvl="1" w:tentative="0">
      <w:start w:val="0"/>
      <w:numFmt w:val="bullet"/>
      <w:lvlText w:val="•"/>
      <w:lvlJc w:val="left"/>
      <w:pPr>
        <w:ind w:left="2608" w:hanging="605"/>
      </w:pPr>
      <w:rPr>
        <w:rFonts w:hint="default"/>
        <w:lang w:val="zh-CN" w:eastAsia="zh-CN" w:bidi="zh-CN"/>
      </w:rPr>
    </w:lvl>
    <w:lvl w:ilvl="2" w:tentative="0">
      <w:start w:val="0"/>
      <w:numFmt w:val="bullet"/>
      <w:lvlText w:val="•"/>
      <w:lvlJc w:val="left"/>
      <w:pPr>
        <w:ind w:left="3477" w:hanging="605"/>
      </w:pPr>
      <w:rPr>
        <w:rFonts w:hint="default"/>
        <w:lang w:val="zh-CN" w:eastAsia="zh-CN" w:bidi="zh-CN"/>
      </w:rPr>
    </w:lvl>
    <w:lvl w:ilvl="3" w:tentative="0">
      <w:start w:val="0"/>
      <w:numFmt w:val="bullet"/>
      <w:lvlText w:val="•"/>
      <w:lvlJc w:val="left"/>
      <w:pPr>
        <w:ind w:left="4345" w:hanging="605"/>
      </w:pPr>
      <w:rPr>
        <w:rFonts w:hint="default"/>
        <w:lang w:val="zh-CN" w:eastAsia="zh-CN" w:bidi="zh-CN"/>
      </w:rPr>
    </w:lvl>
    <w:lvl w:ilvl="4" w:tentative="0">
      <w:start w:val="0"/>
      <w:numFmt w:val="bullet"/>
      <w:lvlText w:val="•"/>
      <w:lvlJc w:val="left"/>
      <w:pPr>
        <w:ind w:left="5214" w:hanging="605"/>
      </w:pPr>
      <w:rPr>
        <w:rFonts w:hint="default"/>
        <w:lang w:val="zh-CN" w:eastAsia="zh-CN" w:bidi="zh-CN"/>
      </w:rPr>
    </w:lvl>
    <w:lvl w:ilvl="5" w:tentative="0">
      <w:start w:val="0"/>
      <w:numFmt w:val="bullet"/>
      <w:lvlText w:val="•"/>
      <w:lvlJc w:val="left"/>
      <w:pPr>
        <w:ind w:left="6083" w:hanging="605"/>
      </w:pPr>
      <w:rPr>
        <w:rFonts w:hint="default"/>
        <w:lang w:val="zh-CN" w:eastAsia="zh-CN" w:bidi="zh-CN"/>
      </w:rPr>
    </w:lvl>
    <w:lvl w:ilvl="6" w:tentative="0">
      <w:start w:val="0"/>
      <w:numFmt w:val="bullet"/>
      <w:lvlText w:val="•"/>
      <w:lvlJc w:val="left"/>
      <w:pPr>
        <w:ind w:left="6951" w:hanging="605"/>
      </w:pPr>
      <w:rPr>
        <w:rFonts w:hint="default"/>
        <w:lang w:val="zh-CN" w:eastAsia="zh-CN" w:bidi="zh-CN"/>
      </w:rPr>
    </w:lvl>
    <w:lvl w:ilvl="7" w:tentative="0">
      <w:start w:val="0"/>
      <w:numFmt w:val="bullet"/>
      <w:lvlText w:val="•"/>
      <w:lvlJc w:val="left"/>
      <w:pPr>
        <w:ind w:left="7820" w:hanging="605"/>
      </w:pPr>
      <w:rPr>
        <w:rFonts w:hint="default"/>
        <w:lang w:val="zh-CN" w:eastAsia="zh-CN" w:bidi="zh-CN"/>
      </w:rPr>
    </w:lvl>
    <w:lvl w:ilvl="8" w:tentative="0">
      <w:start w:val="0"/>
      <w:numFmt w:val="bullet"/>
      <w:lvlText w:val="•"/>
      <w:lvlJc w:val="left"/>
      <w:pPr>
        <w:ind w:left="8688" w:hanging="605"/>
      </w:pPr>
      <w:rPr>
        <w:rFonts w:hint="default"/>
        <w:lang w:val="zh-CN" w:eastAsia="zh-CN" w:bidi="zh-CN"/>
      </w:rPr>
    </w:lvl>
  </w:abstractNum>
  <w:abstractNum w:abstractNumId="106">
    <w:nsid w:val="74C28B35"/>
    <w:multiLevelType w:val="multilevel"/>
    <w:tmpl w:val="74C28B35"/>
    <w:lvl w:ilvl="0" w:tentative="0">
      <w:start w:val="1"/>
      <w:numFmt w:val="decimal"/>
      <w:lvlText w:val="%1."/>
      <w:lvlJc w:val="left"/>
      <w:pPr>
        <w:ind w:left="108" w:hanging="159"/>
        <w:jc w:val="left"/>
      </w:pPr>
      <w:rPr>
        <w:rFonts w:hint="default" w:ascii="Times New Roman" w:hAnsi="Times New Roman" w:eastAsia="Times New Roman" w:cs="Times New Roman"/>
        <w:spacing w:val="-2"/>
        <w:w w:val="99"/>
        <w:sz w:val="19"/>
        <w:szCs w:val="19"/>
        <w:lang w:val="zh-CN" w:eastAsia="zh-CN" w:bidi="zh-CN"/>
      </w:rPr>
    </w:lvl>
    <w:lvl w:ilvl="1" w:tentative="0">
      <w:start w:val="0"/>
      <w:numFmt w:val="bullet"/>
      <w:lvlText w:val="•"/>
      <w:lvlJc w:val="left"/>
      <w:pPr>
        <w:ind w:left="731" w:hanging="159"/>
      </w:pPr>
      <w:rPr>
        <w:rFonts w:hint="default"/>
        <w:lang w:val="zh-CN" w:eastAsia="zh-CN" w:bidi="zh-CN"/>
      </w:rPr>
    </w:lvl>
    <w:lvl w:ilvl="2" w:tentative="0">
      <w:start w:val="0"/>
      <w:numFmt w:val="bullet"/>
      <w:lvlText w:val="•"/>
      <w:lvlJc w:val="left"/>
      <w:pPr>
        <w:ind w:left="1362" w:hanging="159"/>
      </w:pPr>
      <w:rPr>
        <w:rFonts w:hint="default"/>
        <w:lang w:val="zh-CN" w:eastAsia="zh-CN" w:bidi="zh-CN"/>
      </w:rPr>
    </w:lvl>
    <w:lvl w:ilvl="3" w:tentative="0">
      <w:start w:val="0"/>
      <w:numFmt w:val="bullet"/>
      <w:lvlText w:val="•"/>
      <w:lvlJc w:val="left"/>
      <w:pPr>
        <w:ind w:left="1993" w:hanging="159"/>
      </w:pPr>
      <w:rPr>
        <w:rFonts w:hint="default"/>
        <w:lang w:val="zh-CN" w:eastAsia="zh-CN" w:bidi="zh-CN"/>
      </w:rPr>
    </w:lvl>
    <w:lvl w:ilvl="4" w:tentative="0">
      <w:start w:val="0"/>
      <w:numFmt w:val="bullet"/>
      <w:lvlText w:val="•"/>
      <w:lvlJc w:val="left"/>
      <w:pPr>
        <w:ind w:left="2624" w:hanging="159"/>
      </w:pPr>
      <w:rPr>
        <w:rFonts w:hint="default"/>
        <w:lang w:val="zh-CN" w:eastAsia="zh-CN" w:bidi="zh-CN"/>
      </w:rPr>
    </w:lvl>
    <w:lvl w:ilvl="5" w:tentative="0">
      <w:start w:val="0"/>
      <w:numFmt w:val="bullet"/>
      <w:lvlText w:val="•"/>
      <w:lvlJc w:val="left"/>
      <w:pPr>
        <w:ind w:left="3255" w:hanging="159"/>
      </w:pPr>
      <w:rPr>
        <w:rFonts w:hint="default"/>
        <w:lang w:val="zh-CN" w:eastAsia="zh-CN" w:bidi="zh-CN"/>
      </w:rPr>
    </w:lvl>
    <w:lvl w:ilvl="6" w:tentative="0">
      <w:start w:val="0"/>
      <w:numFmt w:val="bullet"/>
      <w:lvlText w:val="•"/>
      <w:lvlJc w:val="left"/>
      <w:pPr>
        <w:ind w:left="3886" w:hanging="159"/>
      </w:pPr>
      <w:rPr>
        <w:rFonts w:hint="default"/>
        <w:lang w:val="zh-CN" w:eastAsia="zh-CN" w:bidi="zh-CN"/>
      </w:rPr>
    </w:lvl>
    <w:lvl w:ilvl="7" w:tentative="0">
      <w:start w:val="0"/>
      <w:numFmt w:val="bullet"/>
      <w:lvlText w:val="•"/>
      <w:lvlJc w:val="left"/>
      <w:pPr>
        <w:ind w:left="4517" w:hanging="159"/>
      </w:pPr>
      <w:rPr>
        <w:rFonts w:hint="default"/>
        <w:lang w:val="zh-CN" w:eastAsia="zh-CN" w:bidi="zh-CN"/>
      </w:rPr>
    </w:lvl>
    <w:lvl w:ilvl="8" w:tentative="0">
      <w:start w:val="0"/>
      <w:numFmt w:val="bullet"/>
      <w:lvlText w:val="•"/>
      <w:lvlJc w:val="left"/>
      <w:pPr>
        <w:ind w:left="5148" w:hanging="159"/>
      </w:pPr>
      <w:rPr>
        <w:rFonts w:hint="default"/>
        <w:lang w:val="zh-CN" w:eastAsia="zh-CN" w:bidi="zh-CN"/>
      </w:rPr>
    </w:lvl>
  </w:abstractNum>
  <w:abstractNum w:abstractNumId="107">
    <w:nsid w:val="77633216"/>
    <w:multiLevelType w:val="multilevel"/>
    <w:tmpl w:val="77633216"/>
    <w:lvl w:ilvl="0" w:tentative="0">
      <w:start w:val="12"/>
      <w:numFmt w:val="decimal"/>
      <w:lvlText w:val="%1"/>
      <w:lvlJc w:val="left"/>
      <w:pPr>
        <w:ind w:left="836" w:hanging="600"/>
        <w:jc w:val="left"/>
      </w:pPr>
      <w:rPr>
        <w:rFonts w:hint="default"/>
        <w:lang w:val="zh-CN" w:eastAsia="zh-CN" w:bidi="zh-CN"/>
      </w:rPr>
    </w:lvl>
    <w:lvl w:ilvl="1" w:tentative="0">
      <w:start w:val="3"/>
      <w:numFmt w:val="decimal"/>
      <w:lvlText w:val="%1.%2"/>
      <w:lvlJc w:val="left"/>
      <w:pPr>
        <w:ind w:left="836" w:hanging="600"/>
        <w:jc w:val="left"/>
      </w:pPr>
      <w:rPr>
        <w:rFonts w:hint="default" w:ascii="Times New Roman" w:hAnsi="Times New Roman" w:eastAsia="Times New Roman" w:cs="Times New Roman"/>
        <w:b/>
        <w:bCs/>
        <w:spacing w:val="-2"/>
        <w:w w:val="100"/>
        <w:sz w:val="30"/>
        <w:szCs w:val="30"/>
        <w:lang w:val="zh-CN" w:eastAsia="zh-CN" w:bidi="zh-CN"/>
      </w:rPr>
    </w:lvl>
    <w:lvl w:ilvl="2" w:tentative="0">
      <w:start w:val="1"/>
      <w:numFmt w:val="decimal"/>
      <w:lvlText w:val="（%3）"/>
      <w:lvlJc w:val="left"/>
      <w:pPr>
        <w:ind w:left="236" w:hanging="601"/>
        <w:jc w:val="left"/>
      </w:pPr>
      <w:rPr>
        <w:rFonts w:hint="default" w:ascii="宋体" w:hAnsi="宋体" w:eastAsia="宋体" w:cs="宋体"/>
        <w:spacing w:val="-18"/>
        <w:w w:val="100"/>
        <w:sz w:val="22"/>
        <w:szCs w:val="22"/>
        <w:lang w:val="zh-CN" w:eastAsia="zh-CN" w:bidi="zh-CN"/>
      </w:rPr>
    </w:lvl>
    <w:lvl w:ilvl="3" w:tentative="0">
      <w:start w:val="0"/>
      <w:numFmt w:val="bullet"/>
      <w:lvlText w:val="•"/>
      <w:lvlJc w:val="left"/>
      <w:pPr>
        <w:ind w:left="2788" w:hanging="601"/>
      </w:pPr>
      <w:rPr>
        <w:rFonts w:hint="default"/>
        <w:lang w:val="zh-CN" w:eastAsia="zh-CN" w:bidi="zh-CN"/>
      </w:rPr>
    </w:lvl>
    <w:lvl w:ilvl="4" w:tentative="0">
      <w:start w:val="0"/>
      <w:numFmt w:val="bullet"/>
      <w:lvlText w:val="•"/>
      <w:lvlJc w:val="left"/>
      <w:pPr>
        <w:ind w:left="3762" w:hanging="601"/>
      </w:pPr>
      <w:rPr>
        <w:rFonts w:hint="default"/>
        <w:lang w:val="zh-CN" w:eastAsia="zh-CN" w:bidi="zh-CN"/>
      </w:rPr>
    </w:lvl>
    <w:lvl w:ilvl="5" w:tentative="0">
      <w:start w:val="0"/>
      <w:numFmt w:val="bullet"/>
      <w:lvlText w:val="•"/>
      <w:lvlJc w:val="left"/>
      <w:pPr>
        <w:ind w:left="4736" w:hanging="601"/>
      </w:pPr>
      <w:rPr>
        <w:rFonts w:hint="default"/>
        <w:lang w:val="zh-CN" w:eastAsia="zh-CN" w:bidi="zh-CN"/>
      </w:rPr>
    </w:lvl>
    <w:lvl w:ilvl="6" w:tentative="0">
      <w:start w:val="0"/>
      <w:numFmt w:val="bullet"/>
      <w:lvlText w:val="•"/>
      <w:lvlJc w:val="left"/>
      <w:pPr>
        <w:ind w:left="5710" w:hanging="601"/>
      </w:pPr>
      <w:rPr>
        <w:rFonts w:hint="default"/>
        <w:lang w:val="zh-CN" w:eastAsia="zh-CN" w:bidi="zh-CN"/>
      </w:rPr>
    </w:lvl>
    <w:lvl w:ilvl="7" w:tentative="0">
      <w:start w:val="0"/>
      <w:numFmt w:val="bullet"/>
      <w:lvlText w:val="•"/>
      <w:lvlJc w:val="left"/>
      <w:pPr>
        <w:ind w:left="6684" w:hanging="601"/>
      </w:pPr>
      <w:rPr>
        <w:rFonts w:hint="default"/>
        <w:lang w:val="zh-CN" w:eastAsia="zh-CN" w:bidi="zh-CN"/>
      </w:rPr>
    </w:lvl>
    <w:lvl w:ilvl="8" w:tentative="0">
      <w:start w:val="0"/>
      <w:numFmt w:val="bullet"/>
      <w:lvlText w:val="•"/>
      <w:lvlJc w:val="left"/>
      <w:pPr>
        <w:ind w:left="7658" w:hanging="601"/>
      </w:pPr>
      <w:rPr>
        <w:rFonts w:hint="default"/>
        <w:lang w:val="zh-CN" w:eastAsia="zh-CN" w:bidi="zh-CN"/>
      </w:rPr>
    </w:lvl>
  </w:abstractNum>
  <w:abstractNum w:abstractNumId="108">
    <w:nsid w:val="77ECEA79"/>
    <w:multiLevelType w:val="multilevel"/>
    <w:tmpl w:val="77ECEA79"/>
    <w:lvl w:ilvl="0" w:tentative="0">
      <w:start w:val="1"/>
      <w:numFmt w:val="decimal"/>
      <w:lvlText w:val="（%1）"/>
      <w:lvlJc w:val="left"/>
      <w:pPr>
        <w:ind w:left="21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950" w:hanging="601"/>
      </w:pPr>
      <w:rPr>
        <w:rFonts w:hint="default"/>
        <w:lang w:val="zh-CN" w:eastAsia="zh-CN" w:bidi="zh-CN"/>
      </w:rPr>
    </w:lvl>
    <w:lvl w:ilvl="2" w:tentative="0">
      <w:start w:val="0"/>
      <w:numFmt w:val="bullet"/>
      <w:lvlText w:val="•"/>
      <w:lvlJc w:val="left"/>
      <w:pPr>
        <w:ind w:left="3781" w:hanging="601"/>
      </w:pPr>
      <w:rPr>
        <w:rFonts w:hint="default"/>
        <w:lang w:val="zh-CN" w:eastAsia="zh-CN" w:bidi="zh-CN"/>
      </w:rPr>
    </w:lvl>
    <w:lvl w:ilvl="3" w:tentative="0">
      <w:start w:val="0"/>
      <w:numFmt w:val="bullet"/>
      <w:lvlText w:val="•"/>
      <w:lvlJc w:val="left"/>
      <w:pPr>
        <w:ind w:left="4611" w:hanging="601"/>
      </w:pPr>
      <w:rPr>
        <w:rFonts w:hint="default"/>
        <w:lang w:val="zh-CN" w:eastAsia="zh-CN" w:bidi="zh-CN"/>
      </w:rPr>
    </w:lvl>
    <w:lvl w:ilvl="4" w:tentative="0">
      <w:start w:val="0"/>
      <w:numFmt w:val="bullet"/>
      <w:lvlText w:val="•"/>
      <w:lvlJc w:val="left"/>
      <w:pPr>
        <w:ind w:left="5442" w:hanging="601"/>
      </w:pPr>
      <w:rPr>
        <w:rFonts w:hint="default"/>
        <w:lang w:val="zh-CN" w:eastAsia="zh-CN" w:bidi="zh-CN"/>
      </w:rPr>
    </w:lvl>
    <w:lvl w:ilvl="5" w:tentative="0">
      <w:start w:val="0"/>
      <w:numFmt w:val="bullet"/>
      <w:lvlText w:val="•"/>
      <w:lvlJc w:val="left"/>
      <w:pPr>
        <w:ind w:left="6273" w:hanging="601"/>
      </w:pPr>
      <w:rPr>
        <w:rFonts w:hint="default"/>
        <w:lang w:val="zh-CN" w:eastAsia="zh-CN" w:bidi="zh-CN"/>
      </w:rPr>
    </w:lvl>
    <w:lvl w:ilvl="6" w:tentative="0">
      <w:start w:val="0"/>
      <w:numFmt w:val="bullet"/>
      <w:lvlText w:val="•"/>
      <w:lvlJc w:val="left"/>
      <w:pPr>
        <w:ind w:left="7103" w:hanging="601"/>
      </w:pPr>
      <w:rPr>
        <w:rFonts w:hint="default"/>
        <w:lang w:val="zh-CN" w:eastAsia="zh-CN" w:bidi="zh-CN"/>
      </w:rPr>
    </w:lvl>
    <w:lvl w:ilvl="7" w:tentative="0">
      <w:start w:val="0"/>
      <w:numFmt w:val="bullet"/>
      <w:lvlText w:val="•"/>
      <w:lvlJc w:val="left"/>
      <w:pPr>
        <w:ind w:left="7934" w:hanging="601"/>
      </w:pPr>
      <w:rPr>
        <w:rFonts w:hint="default"/>
        <w:lang w:val="zh-CN" w:eastAsia="zh-CN" w:bidi="zh-CN"/>
      </w:rPr>
    </w:lvl>
    <w:lvl w:ilvl="8" w:tentative="0">
      <w:start w:val="0"/>
      <w:numFmt w:val="bullet"/>
      <w:lvlText w:val="•"/>
      <w:lvlJc w:val="left"/>
      <w:pPr>
        <w:ind w:left="8764" w:hanging="601"/>
      </w:pPr>
      <w:rPr>
        <w:rFonts w:hint="default"/>
        <w:lang w:val="zh-CN" w:eastAsia="zh-CN" w:bidi="zh-CN"/>
      </w:rPr>
    </w:lvl>
  </w:abstractNum>
  <w:abstractNum w:abstractNumId="109">
    <w:nsid w:val="79AA4FA4"/>
    <w:multiLevelType w:val="multilevel"/>
    <w:tmpl w:val="79AA4FA4"/>
    <w:lvl w:ilvl="0" w:tentative="0">
      <w:start w:val="1"/>
      <w:numFmt w:val="decimal"/>
      <w:lvlText w:val="（%1）"/>
      <w:lvlJc w:val="left"/>
      <w:pPr>
        <w:ind w:left="153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16" w:hanging="601"/>
      </w:pPr>
      <w:rPr>
        <w:rFonts w:hint="default"/>
        <w:lang w:val="zh-CN" w:eastAsia="zh-CN" w:bidi="zh-CN"/>
      </w:rPr>
    </w:lvl>
    <w:lvl w:ilvl="2" w:tentative="0">
      <w:start w:val="0"/>
      <w:numFmt w:val="bullet"/>
      <w:lvlText w:val="•"/>
      <w:lvlJc w:val="left"/>
      <w:pPr>
        <w:ind w:left="3093" w:hanging="601"/>
      </w:pPr>
      <w:rPr>
        <w:rFonts w:hint="default"/>
        <w:lang w:val="zh-CN" w:eastAsia="zh-CN" w:bidi="zh-CN"/>
      </w:rPr>
    </w:lvl>
    <w:lvl w:ilvl="3" w:tentative="0">
      <w:start w:val="0"/>
      <w:numFmt w:val="bullet"/>
      <w:lvlText w:val="•"/>
      <w:lvlJc w:val="left"/>
      <w:pPr>
        <w:ind w:left="3869" w:hanging="601"/>
      </w:pPr>
      <w:rPr>
        <w:rFonts w:hint="default"/>
        <w:lang w:val="zh-CN" w:eastAsia="zh-CN" w:bidi="zh-CN"/>
      </w:rPr>
    </w:lvl>
    <w:lvl w:ilvl="4" w:tentative="0">
      <w:start w:val="0"/>
      <w:numFmt w:val="bullet"/>
      <w:lvlText w:val="•"/>
      <w:lvlJc w:val="left"/>
      <w:pPr>
        <w:ind w:left="4646" w:hanging="601"/>
      </w:pPr>
      <w:rPr>
        <w:rFonts w:hint="default"/>
        <w:lang w:val="zh-CN" w:eastAsia="zh-CN" w:bidi="zh-CN"/>
      </w:rPr>
    </w:lvl>
    <w:lvl w:ilvl="5" w:tentative="0">
      <w:start w:val="0"/>
      <w:numFmt w:val="bullet"/>
      <w:lvlText w:val="•"/>
      <w:lvlJc w:val="left"/>
      <w:pPr>
        <w:ind w:left="5423" w:hanging="601"/>
      </w:pPr>
      <w:rPr>
        <w:rFonts w:hint="default"/>
        <w:lang w:val="zh-CN" w:eastAsia="zh-CN" w:bidi="zh-CN"/>
      </w:rPr>
    </w:lvl>
    <w:lvl w:ilvl="6" w:tentative="0">
      <w:start w:val="0"/>
      <w:numFmt w:val="bullet"/>
      <w:lvlText w:val="•"/>
      <w:lvlJc w:val="left"/>
      <w:pPr>
        <w:ind w:left="6199" w:hanging="601"/>
      </w:pPr>
      <w:rPr>
        <w:rFonts w:hint="default"/>
        <w:lang w:val="zh-CN" w:eastAsia="zh-CN" w:bidi="zh-CN"/>
      </w:rPr>
    </w:lvl>
    <w:lvl w:ilvl="7" w:tentative="0">
      <w:start w:val="0"/>
      <w:numFmt w:val="bullet"/>
      <w:lvlText w:val="•"/>
      <w:lvlJc w:val="left"/>
      <w:pPr>
        <w:ind w:left="6976" w:hanging="601"/>
      </w:pPr>
      <w:rPr>
        <w:rFonts w:hint="default"/>
        <w:lang w:val="zh-CN" w:eastAsia="zh-CN" w:bidi="zh-CN"/>
      </w:rPr>
    </w:lvl>
    <w:lvl w:ilvl="8" w:tentative="0">
      <w:start w:val="0"/>
      <w:numFmt w:val="bullet"/>
      <w:lvlText w:val="•"/>
      <w:lvlJc w:val="left"/>
      <w:pPr>
        <w:ind w:left="7752" w:hanging="601"/>
      </w:pPr>
      <w:rPr>
        <w:rFonts w:hint="default"/>
        <w:lang w:val="zh-CN" w:eastAsia="zh-CN" w:bidi="zh-CN"/>
      </w:rPr>
    </w:lvl>
  </w:abstractNum>
  <w:abstractNum w:abstractNumId="110">
    <w:nsid w:val="7C246926"/>
    <w:multiLevelType w:val="multilevel"/>
    <w:tmpl w:val="7C246926"/>
    <w:lvl w:ilvl="0" w:tentative="0">
      <w:start w:val="1"/>
      <w:numFmt w:val="decimal"/>
      <w:lvlText w:val="（%1）"/>
      <w:lvlJc w:val="left"/>
      <w:pPr>
        <w:ind w:left="1040"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978" w:hanging="601"/>
      </w:pPr>
      <w:rPr>
        <w:rFonts w:hint="default"/>
        <w:lang w:val="zh-CN" w:eastAsia="zh-CN" w:bidi="zh-CN"/>
      </w:rPr>
    </w:lvl>
    <w:lvl w:ilvl="2" w:tentative="0">
      <w:start w:val="0"/>
      <w:numFmt w:val="bullet"/>
      <w:lvlText w:val="•"/>
      <w:lvlJc w:val="left"/>
      <w:pPr>
        <w:ind w:left="2917" w:hanging="601"/>
      </w:pPr>
      <w:rPr>
        <w:rFonts w:hint="default"/>
        <w:lang w:val="zh-CN" w:eastAsia="zh-CN" w:bidi="zh-CN"/>
      </w:rPr>
    </w:lvl>
    <w:lvl w:ilvl="3" w:tentative="0">
      <w:start w:val="0"/>
      <w:numFmt w:val="bullet"/>
      <w:lvlText w:val="•"/>
      <w:lvlJc w:val="left"/>
      <w:pPr>
        <w:ind w:left="3855" w:hanging="601"/>
      </w:pPr>
      <w:rPr>
        <w:rFonts w:hint="default"/>
        <w:lang w:val="zh-CN" w:eastAsia="zh-CN" w:bidi="zh-CN"/>
      </w:rPr>
    </w:lvl>
    <w:lvl w:ilvl="4" w:tentative="0">
      <w:start w:val="0"/>
      <w:numFmt w:val="bullet"/>
      <w:lvlText w:val="•"/>
      <w:lvlJc w:val="left"/>
      <w:pPr>
        <w:ind w:left="4794" w:hanging="601"/>
      </w:pPr>
      <w:rPr>
        <w:rFonts w:hint="default"/>
        <w:lang w:val="zh-CN" w:eastAsia="zh-CN" w:bidi="zh-CN"/>
      </w:rPr>
    </w:lvl>
    <w:lvl w:ilvl="5" w:tentative="0">
      <w:start w:val="0"/>
      <w:numFmt w:val="bullet"/>
      <w:lvlText w:val="•"/>
      <w:lvlJc w:val="left"/>
      <w:pPr>
        <w:ind w:left="5733" w:hanging="601"/>
      </w:pPr>
      <w:rPr>
        <w:rFonts w:hint="default"/>
        <w:lang w:val="zh-CN" w:eastAsia="zh-CN" w:bidi="zh-CN"/>
      </w:rPr>
    </w:lvl>
    <w:lvl w:ilvl="6" w:tentative="0">
      <w:start w:val="0"/>
      <w:numFmt w:val="bullet"/>
      <w:lvlText w:val="•"/>
      <w:lvlJc w:val="left"/>
      <w:pPr>
        <w:ind w:left="6671" w:hanging="601"/>
      </w:pPr>
      <w:rPr>
        <w:rFonts w:hint="default"/>
        <w:lang w:val="zh-CN" w:eastAsia="zh-CN" w:bidi="zh-CN"/>
      </w:rPr>
    </w:lvl>
    <w:lvl w:ilvl="7" w:tentative="0">
      <w:start w:val="0"/>
      <w:numFmt w:val="bullet"/>
      <w:lvlText w:val="•"/>
      <w:lvlJc w:val="left"/>
      <w:pPr>
        <w:ind w:left="7610" w:hanging="601"/>
      </w:pPr>
      <w:rPr>
        <w:rFonts w:hint="default"/>
        <w:lang w:val="zh-CN" w:eastAsia="zh-CN" w:bidi="zh-CN"/>
      </w:rPr>
    </w:lvl>
    <w:lvl w:ilvl="8" w:tentative="0">
      <w:start w:val="0"/>
      <w:numFmt w:val="bullet"/>
      <w:lvlText w:val="•"/>
      <w:lvlJc w:val="left"/>
      <w:pPr>
        <w:ind w:left="8548" w:hanging="601"/>
      </w:pPr>
      <w:rPr>
        <w:rFonts w:hint="default"/>
        <w:lang w:val="zh-CN" w:eastAsia="zh-CN" w:bidi="zh-CN"/>
      </w:rPr>
    </w:lvl>
  </w:abstractNum>
  <w:abstractNum w:abstractNumId="111">
    <w:nsid w:val="7DEC2089"/>
    <w:multiLevelType w:val="multilevel"/>
    <w:tmpl w:val="7DEC2089"/>
    <w:lvl w:ilvl="0" w:tentative="0">
      <w:start w:val="3"/>
      <w:numFmt w:val="decimal"/>
      <w:lvlText w:val="%1"/>
      <w:lvlJc w:val="left"/>
      <w:pPr>
        <w:ind w:left="960" w:hanging="449"/>
        <w:jc w:val="left"/>
      </w:pPr>
      <w:rPr>
        <w:rFonts w:hint="default"/>
        <w:lang w:val="zh-CN" w:eastAsia="zh-CN" w:bidi="zh-CN"/>
      </w:rPr>
    </w:lvl>
    <w:lvl w:ilvl="1" w:tentative="0">
      <w:start w:val="5"/>
      <w:numFmt w:val="decimal"/>
      <w:lvlText w:val="%1.%2"/>
      <w:lvlJc w:val="left"/>
      <w:pPr>
        <w:ind w:left="960" w:hanging="449"/>
        <w:jc w:val="left"/>
      </w:pPr>
      <w:rPr>
        <w:rFonts w:hint="default" w:ascii="Times New Roman" w:hAnsi="Times New Roman" w:eastAsia="Times New Roman" w:cs="Times New Roman"/>
        <w:b/>
        <w:bCs/>
        <w:spacing w:val="-1"/>
        <w:w w:val="100"/>
        <w:sz w:val="30"/>
        <w:szCs w:val="30"/>
        <w:lang w:val="zh-CN" w:eastAsia="zh-CN" w:bidi="zh-CN"/>
      </w:rPr>
    </w:lvl>
    <w:lvl w:ilvl="2" w:tentative="0">
      <w:start w:val="1"/>
      <w:numFmt w:val="decimal"/>
      <w:lvlText w:val="（%3）"/>
      <w:lvlJc w:val="left"/>
      <w:pPr>
        <w:ind w:left="512" w:hanging="601"/>
        <w:jc w:val="left"/>
      </w:pPr>
      <w:rPr>
        <w:rFonts w:hint="default" w:ascii="宋体" w:hAnsi="宋体" w:eastAsia="宋体" w:cs="宋体"/>
        <w:spacing w:val="-32"/>
        <w:w w:val="100"/>
        <w:sz w:val="22"/>
        <w:szCs w:val="22"/>
        <w:lang w:val="zh-CN" w:eastAsia="zh-CN" w:bidi="zh-CN"/>
      </w:rPr>
    </w:lvl>
    <w:lvl w:ilvl="3" w:tentative="0">
      <w:start w:val="0"/>
      <w:numFmt w:val="bullet"/>
      <w:lvlText w:val="•"/>
      <w:lvlJc w:val="left"/>
      <w:pPr>
        <w:ind w:left="2845" w:hanging="601"/>
      </w:pPr>
      <w:rPr>
        <w:rFonts w:hint="default"/>
        <w:lang w:val="zh-CN" w:eastAsia="zh-CN" w:bidi="zh-CN"/>
      </w:rPr>
    </w:lvl>
    <w:lvl w:ilvl="4" w:tentative="0">
      <w:start w:val="0"/>
      <w:numFmt w:val="bullet"/>
      <w:lvlText w:val="•"/>
      <w:lvlJc w:val="left"/>
      <w:pPr>
        <w:ind w:left="3788" w:hanging="601"/>
      </w:pPr>
      <w:rPr>
        <w:rFonts w:hint="default"/>
        <w:lang w:val="zh-CN" w:eastAsia="zh-CN" w:bidi="zh-CN"/>
      </w:rPr>
    </w:lvl>
    <w:lvl w:ilvl="5" w:tentative="0">
      <w:start w:val="0"/>
      <w:numFmt w:val="bullet"/>
      <w:lvlText w:val="•"/>
      <w:lvlJc w:val="left"/>
      <w:pPr>
        <w:ind w:left="4731" w:hanging="601"/>
      </w:pPr>
      <w:rPr>
        <w:rFonts w:hint="default"/>
        <w:lang w:val="zh-CN" w:eastAsia="zh-CN" w:bidi="zh-CN"/>
      </w:rPr>
    </w:lvl>
    <w:lvl w:ilvl="6" w:tentative="0">
      <w:start w:val="0"/>
      <w:numFmt w:val="bullet"/>
      <w:lvlText w:val="•"/>
      <w:lvlJc w:val="left"/>
      <w:pPr>
        <w:ind w:left="5674" w:hanging="601"/>
      </w:pPr>
      <w:rPr>
        <w:rFonts w:hint="default"/>
        <w:lang w:val="zh-CN" w:eastAsia="zh-CN" w:bidi="zh-CN"/>
      </w:rPr>
    </w:lvl>
    <w:lvl w:ilvl="7" w:tentative="0">
      <w:start w:val="0"/>
      <w:numFmt w:val="bullet"/>
      <w:lvlText w:val="•"/>
      <w:lvlJc w:val="left"/>
      <w:pPr>
        <w:ind w:left="6617" w:hanging="601"/>
      </w:pPr>
      <w:rPr>
        <w:rFonts w:hint="default"/>
        <w:lang w:val="zh-CN" w:eastAsia="zh-CN" w:bidi="zh-CN"/>
      </w:rPr>
    </w:lvl>
    <w:lvl w:ilvl="8" w:tentative="0">
      <w:start w:val="0"/>
      <w:numFmt w:val="bullet"/>
      <w:lvlText w:val="•"/>
      <w:lvlJc w:val="left"/>
      <w:pPr>
        <w:ind w:left="7560" w:hanging="601"/>
      </w:pPr>
      <w:rPr>
        <w:rFonts w:hint="default"/>
        <w:lang w:val="zh-CN" w:eastAsia="zh-CN" w:bidi="zh-CN"/>
      </w:rPr>
    </w:lvl>
  </w:abstractNum>
  <w:num w:numId="1">
    <w:abstractNumId w:val="55"/>
  </w:num>
  <w:num w:numId="2">
    <w:abstractNumId w:val="39"/>
  </w:num>
  <w:num w:numId="3">
    <w:abstractNumId w:val="94"/>
  </w:num>
  <w:num w:numId="4">
    <w:abstractNumId w:val="33"/>
  </w:num>
  <w:num w:numId="5">
    <w:abstractNumId w:val="25"/>
  </w:num>
  <w:num w:numId="6">
    <w:abstractNumId w:val="59"/>
  </w:num>
  <w:num w:numId="7">
    <w:abstractNumId w:val="75"/>
  </w:num>
  <w:num w:numId="8">
    <w:abstractNumId w:val="105"/>
  </w:num>
  <w:num w:numId="9">
    <w:abstractNumId w:val="57"/>
  </w:num>
  <w:num w:numId="10">
    <w:abstractNumId w:val="9"/>
  </w:num>
  <w:num w:numId="11">
    <w:abstractNumId w:val="76"/>
  </w:num>
  <w:num w:numId="12">
    <w:abstractNumId w:val="96"/>
  </w:num>
  <w:num w:numId="13">
    <w:abstractNumId w:val="37"/>
  </w:num>
  <w:num w:numId="14">
    <w:abstractNumId w:val="91"/>
  </w:num>
  <w:num w:numId="15">
    <w:abstractNumId w:val="50"/>
  </w:num>
  <w:num w:numId="16">
    <w:abstractNumId w:val="74"/>
  </w:num>
  <w:num w:numId="17">
    <w:abstractNumId w:val="44"/>
  </w:num>
  <w:num w:numId="18">
    <w:abstractNumId w:val="42"/>
  </w:num>
  <w:num w:numId="19">
    <w:abstractNumId w:val="14"/>
  </w:num>
  <w:num w:numId="20">
    <w:abstractNumId w:val="88"/>
  </w:num>
  <w:num w:numId="21">
    <w:abstractNumId w:val="99"/>
  </w:num>
  <w:num w:numId="22">
    <w:abstractNumId w:val="62"/>
  </w:num>
  <w:num w:numId="23">
    <w:abstractNumId w:val="86"/>
  </w:num>
  <w:num w:numId="24">
    <w:abstractNumId w:val="22"/>
  </w:num>
  <w:num w:numId="25">
    <w:abstractNumId w:val="110"/>
  </w:num>
  <w:num w:numId="26">
    <w:abstractNumId w:val="108"/>
  </w:num>
  <w:num w:numId="27">
    <w:abstractNumId w:val="32"/>
  </w:num>
  <w:num w:numId="28">
    <w:abstractNumId w:val="101"/>
  </w:num>
  <w:num w:numId="29">
    <w:abstractNumId w:val="10"/>
  </w:num>
  <w:num w:numId="30">
    <w:abstractNumId w:val="83"/>
  </w:num>
  <w:num w:numId="31">
    <w:abstractNumId w:val="4"/>
  </w:num>
  <w:num w:numId="32">
    <w:abstractNumId w:val="93"/>
  </w:num>
  <w:num w:numId="33">
    <w:abstractNumId w:val="111"/>
  </w:num>
  <w:num w:numId="34">
    <w:abstractNumId w:val="1"/>
  </w:num>
  <w:num w:numId="35">
    <w:abstractNumId w:val="73"/>
  </w:num>
  <w:num w:numId="36">
    <w:abstractNumId w:val="92"/>
  </w:num>
  <w:num w:numId="37">
    <w:abstractNumId w:val="53"/>
  </w:num>
  <w:num w:numId="38">
    <w:abstractNumId w:val="46"/>
  </w:num>
  <w:num w:numId="39">
    <w:abstractNumId w:val="79"/>
  </w:num>
  <w:num w:numId="40">
    <w:abstractNumId w:val="109"/>
  </w:num>
  <w:num w:numId="41">
    <w:abstractNumId w:val="28"/>
  </w:num>
  <w:num w:numId="42">
    <w:abstractNumId w:val="7"/>
  </w:num>
  <w:num w:numId="43">
    <w:abstractNumId w:val="27"/>
  </w:num>
  <w:num w:numId="44">
    <w:abstractNumId w:val="97"/>
  </w:num>
  <w:num w:numId="45">
    <w:abstractNumId w:val="3"/>
  </w:num>
  <w:num w:numId="46">
    <w:abstractNumId w:val="68"/>
  </w:num>
  <w:num w:numId="47">
    <w:abstractNumId w:val="6"/>
  </w:num>
  <w:num w:numId="48">
    <w:abstractNumId w:val="98"/>
  </w:num>
  <w:num w:numId="49">
    <w:abstractNumId w:val="106"/>
  </w:num>
  <w:num w:numId="50">
    <w:abstractNumId w:val="89"/>
  </w:num>
  <w:num w:numId="51">
    <w:abstractNumId w:val="80"/>
  </w:num>
  <w:num w:numId="52">
    <w:abstractNumId w:val="102"/>
  </w:num>
  <w:num w:numId="53">
    <w:abstractNumId w:val="60"/>
  </w:num>
  <w:num w:numId="54">
    <w:abstractNumId w:val="61"/>
  </w:num>
  <w:num w:numId="55">
    <w:abstractNumId w:val="41"/>
  </w:num>
  <w:num w:numId="56">
    <w:abstractNumId w:val="81"/>
  </w:num>
  <w:num w:numId="57">
    <w:abstractNumId w:val="71"/>
  </w:num>
  <w:num w:numId="58">
    <w:abstractNumId w:val="49"/>
  </w:num>
  <w:num w:numId="59">
    <w:abstractNumId w:val="72"/>
  </w:num>
  <w:num w:numId="60">
    <w:abstractNumId w:val="24"/>
  </w:num>
  <w:num w:numId="61">
    <w:abstractNumId w:val="85"/>
  </w:num>
  <w:num w:numId="62">
    <w:abstractNumId w:val="63"/>
  </w:num>
  <w:num w:numId="63">
    <w:abstractNumId w:val="82"/>
  </w:num>
  <w:num w:numId="64">
    <w:abstractNumId w:val="58"/>
  </w:num>
  <w:num w:numId="65">
    <w:abstractNumId w:val="35"/>
  </w:num>
  <w:num w:numId="66">
    <w:abstractNumId w:val="65"/>
  </w:num>
  <w:num w:numId="67">
    <w:abstractNumId w:val="23"/>
  </w:num>
  <w:num w:numId="68">
    <w:abstractNumId w:val="84"/>
  </w:num>
  <w:num w:numId="69">
    <w:abstractNumId w:val="18"/>
  </w:num>
  <w:num w:numId="70">
    <w:abstractNumId w:val="52"/>
  </w:num>
  <w:num w:numId="71">
    <w:abstractNumId w:val="78"/>
  </w:num>
  <w:num w:numId="72">
    <w:abstractNumId w:val="54"/>
  </w:num>
  <w:num w:numId="73">
    <w:abstractNumId w:val="67"/>
  </w:num>
  <w:num w:numId="74">
    <w:abstractNumId w:val="104"/>
  </w:num>
  <w:num w:numId="75">
    <w:abstractNumId w:val="47"/>
  </w:num>
  <w:num w:numId="76">
    <w:abstractNumId w:val="36"/>
  </w:num>
  <w:num w:numId="77">
    <w:abstractNumId w:val="17"/>
  </w:num>
  <w:num w:numId="78">
    <w:abstractNumId w:val="107"/>
  </w:num>
  <w:num w:numId="79">
    <w:abstractNumId w:val="43"/>
  </w:num>
  <w:num w:numId="80">
    <w:abstractNumId w:val="26"/>
  </w:num>
  <w:num w:numId="81">
    <w:abstractNumId w:val="77"/>
  </w:num>
  <w:num w:numId="82">
    <w:abstractNumId w:val="48"/>
  </w:num>
  <w:num w:numId="83">
    <w:abstractNumId w:val="12"/>
  </w:num>
  <w:num w:numId="84">
    <w:abstractNumId w:val="95"/>
  </w:num>
  <w:num w:numId="85">
    <w:abstractNumId w:val="30"/>
  </w:num>
  <w:num w:numId="86">
    <w:abstractNumId w:val="21"/>
  </w:num>
  <w:num w:numId="87">
    <w:abstractNumId w:val="11"/>
  </w:num>
  <w:num w:numId="88">
    <w:abstractNumId w:val="15"/>
  </w:num>
  <w:num w:numId="89">
    <w:abstractNumId w:val="20"/>
  </w:num>
  <w:num w:numId="90">
    <w:abstractNumId w:val="8"/>
  </w:num>
  <w:num w:numId="91">
    <w:abstractNumId w:val="70"/>
  </w:num>
  <w:num w:numId="92">
    <w:abstractNumId w:val="31"/>
  </w:num>
  <w:num w:numId="93">
    <w:abstractNumId w:val="66"/>
  </w:num>
  <w:num w:numId="94">
    <w:abstractNumId w:val="40"/>
  </w:num>
  <w:num w:numId="95">
    <w:abstractNumId w:val="103"/>
  </w:num>
  <w:num w:numId="96">
    <w:abstractNumId w:val="0"/>
  </w:num>
  <w:num w:numId="97">
    <w:abstractNumId w:val="29"/>
  </w:num>
  <w:num w:numId="98">
    <w:abstractNumId w:val="51"/>
  </w:num>
  <w:num w:numId="99">
    <w:abstractNumId w:val="90"/>
  </w:num>
  <w:num w:numId="100">
    <w:abstractNumId w:val="64"/>
  </w:num>
  <w:num w:numId="101">
    <w:abstractNumId w:val="13"/>
  </w:num>
  <w:num w:numId="102">
    <w:abstractNumId w:val="45"/>
  </w:num>
  <w:num w:numId="103">
    <w:abstractNumId w:val="69"/>
  </w:num>
  <w:num w:numId="104">
    <w:abstractNumId w:val="87"/>
  </w:num>
  <w:num w:numId="105">
    <w:abstractNumId w:val="19"/>
  </w:num>
  <w:num w:numId="106">
    <w:abstractNumId w:val="100"/>
  </w:num>
  <w:num w:numId="107">
    <w:abstractNumId w:val="2"/>
  </w:num>
  <w:num w:numId="108">
    <w:abstractNumId w:val="5"/>
  </w:num>
  <w:num w:numId="109">
    <w:abstractNumId w:val="56"/>
  </w:num>
  <w:num w:numId="110">
    <w:abstractNumId w:val="16"/>
  </w:num>
  <w:num w:numId="111">
    <w:abstractNumId w:val="34"/>
  </w:num>
  <w:num w:numId="11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82338C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46"/>
      <w:ind w:hanging="632"/>
      <w:outlineLvl w:val="1"/>
    </w:pPr>
    <w:rPr>
      <w:rFonts w:ascii="宋体" w:hAnsi="宋体" w:eastAsia="宋体" w:cs="宋体"/>
      <w:b/>
      <w:bCs/>
      <w:sz w:val="36"/>
      <w:szCs w:val="36"/>
      <w:lang w:val="zh-CN" w:eastAsia="zh-CN" w:bidi="zh-CN"/>
    </w:rPr>
  </w:style>
  <w:style w:type="paragraph" w:styleId="3">
    <w:name w:val="heading 2"/>
    <w:basedOn w:val="1"/>
    <w:next w:val="1"/>
    <w:qFormat/>
    <w:uiPriority w:val="1"/>
    <w:pPr>
      <w:ind w:left="667" w:hanging="450"/>
      <w:outlineLvl w:val="2"/>
    </w:pPr>
    <w:rPr>
      <w:rFonts w:ascii="宋体" w:hAnsi="宋体" w:eastAsia="宋体" w:cs="宋体"/>
      <w:b/>
      <w:bCs/>
      <w:sz w:val="30"/>
      <w:szCs w:val="30"/>
      <w:lang w:val="zh-CN" w:eastAsia="zh-CN" w:bidi="zh-CN"/>
    </w:rPr>
  </w:style>
  <w:style w:type="paragraph" w:styleId="4">
    <w:name w:val="heading 3"/>
    <w:basedOn w:val="1"/>
    <w:next w:val="1"/>
    <w:qFormat/>
    <w:uiPriority w:val="1"/>
    <w:pPr>
      <w:ind w:left="847" w:hanging="630"/>
      <w:outlineLvl w:val="3"/>
    </w:pPr>
    <w:rPr>
      <w:rFonts w:ascii="宋体" w:hAnsi="宋体" w:eastAsia="宋体" w:cs="宋体"/>
      <w:b/>
      <w:bCs/>
      <w:sz w:val="28"/>
      <w:szCs w:val="28"/>
      <w:lang w:val="zh-CN" w:eastAsia="zh-CN" w:bidi="zh-CN"/>
    </w:rPr>
  </w:style>
  <w:style w:type="paragraph" w:styleId="5">
    <w:name w:val="heading 4"/>
    <w:basedOn w:val="1"/>
    <w:next w:val="1"/>
    <w:qFormat/>
    <w:uiPriority w:val="1"/>
    <w:pPr>
      <w:outlineLvl w:val="4"/>
    </w:pPr>
    <w:rPr>
      <w:rFonts w:ascii="宋体" w:hAnsi="宋体" w:eastAsia="宋体" w:cs="宋体"/>
      <w:b/>
      <w:bCs/>
      <w:sz w:val="24"/>
      <w:szCs w:val="24"/>
      <w:lang w:val="zh-CN" w:eastAsia="zh-CN" w:bidi="zh-CN"/>
    </w:rPr>
  </w:style>
  <w:style w:type="character" w:default="1" w:styleId="11">
    <w:name w:val="Default Paragraph Font"/>
    <w:semiHidden/>
    <w:unhideWhenUsed/>
    <w:uiPriority w:val="1"/>
  </w:style>
  <w:style w:type="table" w:default="1" w:styleId="10">
    <w:name w:val="Normal Table"/>
    <w:semiHidden/>
    <w:uiPriority w:val="0"/>
    <w:tblPr>
      <w:tblCellMar>
        <w:top w:w="0" w:type="dxa"/>
        <w:left w:w="108" w:type="dxa"/>
        <w:bottom w:w="0" w:type="dxa"/>
        <w:right w:w="108" w:type="dxa"/>
      </w:tblCellMar>
    </w:tblPr>
  </w:style>
  <w:style w:type="paragraph" w:styleId="6">
    <w:name w:val="Body Text"/>
    <w:basedOn w:val="1"/>
    <w:qFormat/>
    <w:uiPriority w:val="1"/>
    <w:rPr>
      <w:rFonts w:ascii="宋体" w:hAnsi="宋体" w:eastAsia="宋体" w:cs="宋体"/>
      <w:sz w:val="24"/>
      <w:szCs w:val="24"/>
      <w:lang w:val="zh-CN" w:eastAsia="zh-CN" w:bidi="zh-CN"/>
    </w:rPr>
  </w:style>
  <w:style w:type="paragraph" w:styleId="7">
    <w:name w:val="toc 3"/>
    <w:basedOn w:val="1"/>
    <w:next w:val="1"/>
    <w:qFormat/>
    <w:uiPriority w:val="1"/>
    <w:pPr>
      <w:spacing w:before="2"/>
      <w:ind w:left="1774" w:hanging="315"/>
    </w:pPr>
    <w:rPr>
      <w:rFonts w:ascii="宋体" w:hAnsi="宋体" w:eastAsia="宋体" w:cs="宋体"/>
      <w:sz w:val="21"/>
      <w:szCs w:val="21"/>
      <w:lang w:val="zh-CN" w:eastAsia="zh-CN" w:bidi="zh-CN"/>
    </w:rPr>
  </w:style>
  <w:style w:type="paragraph" w:styleId="8">
    <w:name w:val="toc 1"/>
    <w:basedOn w:val="1"/>
    <w:next w:val="1"/>
    <w:qFormat/>
    <w:uiPriority w:val="1"/>
    <w:pPr>
      <w:spacing w:before="42"/>
      <w:ind w:left="1252" w:right="36" w:hanging="1253"/>
    </w:pPr>
    <w:rPr>
      <w:rFonts w:ascii="宋体" w:hAnsi="宋体" w:eastAsia="宋体" w:cs="宋体"/>
      <w:sz w:val="28"/>
      <w:szCs w:val="28"/>
      <w:lang w:val="zh-CN" w:eastAsia="zh-CN" w:bidi="zh-CN"/>
    </w:rPr>
  </w:style>
  <w:style w:type="paragraph" w:styleId="9">
    <w:name w:val="toc 2"/>
    <w:basedOn w:val="1"/>
    <w:next w:val="1"/>
    <w:qFormat/>
    <w:uiPriority w:val="1"/>
    <w:pPr>
      <w:spacing w:before="42"/>
      <w:ind w:left="1392" w:hanging="353"/>
    </w:pPr>
    <w:rPr>
      <w:rFonts w:ascii="宋体" w:hAnsi="宋体" w:eastAsia="宋体" w:cs="宋体"/>
      <w:sz w:val="28"/>
      <w:szCs w:val="28"/>
      <w:lang w:val="zh-CN" w:eastAsia="zh-CN" w:bidi="zh-CN"/>
    </w:rPr>
  </w:style>
  <w:style w:type="table" w:customStyle="1" w:styleId="12">
    <w:name w:val="Table Normal"/>
    <w:semiHidden/>
    <w:unhideWhenUsed/>
    <w:qFormat/>
    <w:uiPriority w:val="2"/>
    <w:tblPr>
      <w:tblCellMar>
        <w:top w:w="0" w:type="dxa"/>
        <w:left w:w="0" w:type="dxa"/>
        <w:bottom w:w="0" w:type="dxa"/>
        <w:right w:w="0" w:type="dxa"/>
      </w:tblCellMar>
    </w:tblPr>
  </w:style>
  <w:style w:type="paragraph" w:styleId="13">
    <w:name w:val="List Paragraph"/>
    <w:basedOn w:val="1"/>
    <w:qFormat/>
    <w:uiPriority w:val="1"/>
    <w:pPr>
      <w:ind w:left="1774" w:hanging="601"/>
    </w:pPr>
    <w:rPr>
      <w:rFonts w:ascii="宋体" w:hAnsi="宋体" w:eastAsia="宋体" w:cs="宋体"/>
      <w:lang w:val="zh-CN" w:eastAsia="zh-CN" w:bidi="zh-CN"/>
    </w:rPr>
  </w:style>
  <w:style w:type="paragraph" w:customStyle="1" w:styleId="14">
    <w:name w:val="Table Paragraph"/>
    <w:basedOn w:val="1"/>
    <w:qFormat/>
    <w:uiPriority w:val="1"/>
    <w:pPr>
      <w:jc w:val="center"/>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3" Type="http://schemas.openxmlformats.org/officeDocument/2006/relationships/fontTable" Target="fontTable.xml"/><Relationship Id="rId82" Type="http://schemas.openxmlformats.org/officeDocument/2006/relationships/numbering" Target="numbering.xml"/><Relationship Id="rId81" Type="http://schemas.openxmlformats.org/officeDocument/2006/relationships/customXml" Target="../customXml/item1.xml"/><Relationship Id="rId80" Type="http://schemas.openxmlformats.org/officeDocument/2006/relationships/image" Target="media/image44.jpeg"/><Relationship Id="rId8" Type="http://schemas.openxmlformats.org/officeDocument/2006/relationships/footer" Target="footer6.xml"/><Relationship Id="rId79" Type="http://schemas.openxmlformats.org/officeDocument/2006/relationships/image" Target="media/image43.jpeg"/><Relationship Id="rId78" Type="http://schemas.openxmlformats.org/officeDocument/2006/relationships/image" Target="media/image42.jpeg"/><Relationship Id="rId77" Type="http://schemas.openxmlformats.org/officeDocument/2006/relationships/image" Target="media/image41.png"/><Relationship Id="rId76" Type="http://schemas.openxmlformats.org/officeDocument/2006/relationships/image" Target="media/image40.png"/><Relationship Id="rId75" Type="http://schemas.openxmlformats.org/officeDocument/2006/relationships/image" Target="media/image39.png"/><Relationship Id="rId74" Type="http://schemas.openxmlformats.org/officeDocument/2006/relationships/image" Target="media/image38.png"/><Relationship Id="rId73" Type="http://schemas.openxmlformats.org/officeDocument/2006/relationships/image" Target="media/image37.jpeg"/><Relationship Id="rId72" Type="http://schemas.openxmlformats.org/officeDocument/2006/relationships/image" Target="media/image36.jpeg"/><Relationship Id="rId71" Type="http://schemas.openxmlformats.org/officeDocument/2006/relationships/image" Target="media/image35.jpeg"/><Relationship Id="rId70" Type="http://schemas.openxmlformats.org/officeDocument/2006/relationships/image" Target="media/image34.png"/><Relationship Id="rId7" Type="http://schemas.openxmlformats.org/officeDocument/2006/relationships/footer" Target="footer5.xml"/><Relationship Id="rId69" Type="http://schemas.openxmlformats.org/officeDocument/2006/relationships/image" Target="media/image33.png"/><Relationship Id="rId68" Type="http://schemas.openxmlformats.org/officeDocument/2006/relationships/image" Target="media/image32.png"/><Relationship Id="rId67" Type="http://schemas.openxmlformats.org/officeDocument/2006/relationships/image" Target="media/image31.png"/><Relationship Id="rId66" Type="http://schemas.openxmlformats.org/officeDocument/2006/relationships/image" Target="media/image30.jpeg"/><Relationship Id="rId65" Type="http://schemas.openxmlformats.org/officeDocument/2006/relationships/image" Target="media/image29.png"/><Relationship Id="rId64" Type="http://schemas.openxmlformats.org/officeDocument/2006/relationships/image" Target="media/image28.png"/><Relationship Id="rId63" Type="http://schemas.openxmlformats.org/officeDocument/2006/relationships/image" Target="media/image27.png"/><Relationship Id="rId62" Type="http://schemas.openxmlformats.org/officeDocument/2006/relationships/image" Target="media/image26.png"/><Relationship Id="rId61" Type="http://schemas.openxmlformats.org/officeDocument/2006/relationships/image" Target="media/image25.jpeg"/><Relationship Id="rId60" Type="http://schemas.openxmlformats.org/officeDocument/2006/relationships/image" Target="media/image24.jpeg"/><Relationship Id="rId6" Type="http://schemas.openxmlformats.org/officeDocument/2006/relationships/footer" Target="footer4.xml"/><Relationship Id="rId59" Type="http://schemas.openxmlformats.org/officeDocument/2006/relationships/image" Target="media/image23.png"/><Relationship Id="rId58" Type="http://schemas.openxmlformats.org/officeDocument/2006/relationships/image" Target="media/image22.png"/><Relationship Id="rId57" Type="http://schemas.openxmlformats.org/officeDocument/2006/relationships/image" Target="media/image21.png"/><Relationship Id="rId56" Type="http://schemas.openxmlformats.org/officeDocument/2006/relationships/image" Target="media/image20.png"/><Relationship Id="rId55" Type="http://schemas.openxmlformats.org/officeDocument/2006/relationships/image" Target="media/image19.png"/><Relationship Id="rId54" Type="http://schemas.openxmlformats.org/officeDocument/2006/relationships/image" Target="media/image18.jpeg"/><Relationship Id="rId53" Type="http://schemas.openxmlformats.org/officeDocument/2006/relationships/image" Target="media/image17.jpeg"/><Relationship Id="rId52" Type="http://schemas.openxmlformats.org/officeDocument/2006/relationships/image" Target="media/image16.png"/><Relationship Id="rId51" Type="http://schemas.openxmlformats.org/officeDocument/2006/relationships/image" Target="media/image15.png"/><Relationship Id="rId50" Type="http://schemas.openxmlformats.org/officeDocument/2006/relationships/image" Target="media/image14.jpeg"/><Relationship Id="rId5" Type="http://schemas.openxmlformats.org/officeDocument/2006/relationships/footer" Target="footer3.xml"/><Relationship Id="rId49" Type="http://schemas.openxmlformats.org/officeDocument/2006/relationships/image" Target="media/image13.jpeg"/><Relationship Id="rId48" Type="http://schemas.openxmlformats.org/officeDocument/2006/relationships/image" Target="media/image12.jpeg"/><Relationship Id="rId47" Type="http://schemas.openxmlformats.org/officeDocument/2006/relationships/image" Target="media/image11.jpeg"/><Relationship Id="rId46" Type="http://schemas.openxmlformats.org/officeDocument/2006/relationships/image" Target="media/image10.jpeg"/><Relationship Id="rId45" Type="http://schemas.openxmlformats.org/officeDocument/2006/relationships/image" Target="media/image9.jpeg"/><Relationship Id="rId44" Type="http://schemas.openxmlformats.org/officeDocument/2006/relationships/image" Target="media/image8.jpeg"/><Relationship Id="rId43" Type="http://schemas.openxmlformats.org/officeDocument/2006/relationships/image" Target="media/image7.jpeg"/><Relationship Id="rId42" Type="http://schemas.openxmlformats.org/officeDocument/2006/relationships/image" Target="media/image6.jpeg"/><Relationship Id="rId41" Type="http://schemas.openxmlformats.org/officeDocument/2006/relationships/image" Target="media/image5.jpeg"/><Relationship Id="rId40" Type="http://schemas.openxmlformats.org/officeDocument/2006/relationships/image" Target="media/image4.jpeg"/><Relationship Id="rId4" Type="http://schemas.openxmlformats.org/officeDocument/2006/relationships/footer" Target="footer2.xml"/><Relationship Id="rId39" Type="http://schemas.openxmlformats.org/officeDocument/2006/relationships/image" Target="media/image3.jpeg"/><Relationship Id="rId38" Type="http://schemas.openxmlformats.org/officeDocument/2006/relationships/image" Target="media/image2.jpeg"/><Relationship Id="rId37" Type="http://schemas.openxmlformats.org/officeDocument/2006/relationships/image" Target="media/image1.jpeg"/><Relationship Id="rId36" Type="http://schemas.openxmlformats.org/officeDocument/2006/relationships/theme" Target="theme/theme1.xml"/><Relationship Id="rId35" Type="http://schemas.openxmlformats.org/officeDocument/2006/relationships/footer" Target="footer33.xml"/><Relationship Id="rId34" Type="http://schemas.openxmlformats.org/officeDocument/2006/relationships/footer" Target="footer32.xml"/><Relationship Id="rId33" Type="http://schemas.openxmlformats.org/officeDocument/2006/relationships/footer" Target="footer31.xml"/><Relationship Id="rId32" Type="http://schemas.openxmlformats.org/officeDocument/2006/relationships/footer" Target="footer30.xml"/><Relationship Id="rId31" Type="http://schemas.openxmlformats.org/officeDocument/2006/relationships/footer" Target="footer29.xml"/><Relationship Id="rId30" Type="http://schemas.openxmlformats.org/officeDocument/2006/relationships/footer" Target="footer28.xml"/><Relationship Id="rId3" Type="http://schemas.openxmlformats.org/officeDocument/2006/relationships/footer" Target="footer1.xml"/><Relationship Id="rId29" Type="http://schemas.openxmlformats.org/officeDocument/2006/relationships/footer" Target="footer27.xml"/><Relationship Id="rId28" Type="http://schemas.openxmlformats.org/officeDocument/2006/relationships/footer" Target="footer26.xml"/><Relationship Id="rId27" Type="http://schemas.openxmlformats.org/officeDocument/2006/relationships/footer" Target="footer25.xml"/><Relationship Id="rId26" Type="http://schemas.openxmlformats.org/officeDocument/2006/relationships/footer" Target="footer24.xml"/><Relationship Id="rId25" Type="http://schemas.openxmlformats.org/officeDocument/2006/relationships/footer" Target="footer23.xml"/><Relationship Id="rId24" Type="http://schemas.openxmlformats.org/officeDocument/2006/relationships/footer" Target="footer22.xml"/><Relationship Id="rId23" Type="http://schemas.openxmlformats.org/officeDocument/2006/relationships/footer" Target="footer2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2020-11-01T00:00:00Z</dcterms:created>
  <dc:creator>Administrator</dc:creator>
  <cp:lastModifiedBy>常雷</cp:lastModifiedBy>
  <dcterms:modified xsi:type="dcterms:W3CDTF">2020-11-01T00:00:27Z</dcterms:modified>
  <dc:title>前    言</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WPS 文字</vt:lpwstr>
  </property>
  <property fmtid="{D5CDD505-2E9C-101B-9397-08002B2CF9AE}" pid="4" name="LastSaved">
    <vt:filetime>2020-10-31T00:00:00Z</vt:filetime>
  </property>
  <property fmtid="{D5CDD505-2E9C-101B-9397-08002B2CF9AE}" pid="5" name="KSOProductBuildVer">
    <vt:lpwstr>2052-11.1.0.9999</vt:lpwstr>
  </property>
</Properties>
</file>